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883E01">
              <w:rPr>
                <w:sz w:val="14"/>
                <w:szCs w:val="14"/>
                <w:lang w:val="it-IT"/>
              </w:rPr>
              <w:t xml:space="preserve">David </w:t>
            </w:r>
            <w:proofErr w:type="spellStart"/>
            <w:r w:rsidR="004C3D84" w:rsidRPr="00883E01">
              <w:rPr>
                <w:sz w:val="14"/>
                <w:szCs w:val="14"/>
                <w:lang w:val="it-IT"/>
              </w:rPr>
              <w:t>Bogle</w:t>
            </w:r>
            <w:proofErr w:type="spellEnd"/>
            <w:r w:rsidR="004C3D84" w:rsidRPr="00883E01">
              <w:rPr>
                <w:sz w:val="14"/>
                <w:szCs w:val="14"/>
                <w:lang w:val="it-IT"/>
              </w:rPr>
              <w:t>,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3E41CFDB" w14:textId="77777777" w:rsidR="00DA6B66" w:rsidRPr="00DA6B66" w:rsidRDefault="00DA6B66" w:rsidP="00DA6B66">
      <w:pPr>
        <w:tabs>
          <w:tab w:val="clear" w:pos="7100"/>
        </w:tabs>
        <w:suppressAutoHyphens/>
        <w:spacing w:before="480" w:after="120"/>
        <w:jc w:val="center"/>
        <w:outlineLvl w:val="0"/>
        <w:rPr>
          <w:sz w:val="32"/>
        </w:rPr>
      </w:pPr>
      <w:bookmarkStart w:id="0" w:name="_Hlk98168898"/>
      <w:r w:rsidRPr="00DA6B66">
        <w:rPr>
          <w:sz w:val="32"/>
        </w:rPr>
        <w:t>Techno-economic analysis of electrified biogas reforming</w:t>
      </w:r>
    </w:p>
    <w:p w14:paraId="7DCFD9C0" w14:textId="76EE0A6D" w:rsidR="00DA6B66" w:rsidRPr="00DA6B66" w:rsidRDefault="00DA6B66" w:rsidP="00DA6B66">
      <w:pPr>
        <w:keepNext/>
        <w:suppressAutoHyphens/>
        <w:spacing w:after="120"/>
        <w:rPr>
          <w:noProof/>
          <w:sz w:val="24"/>
          <w:lang w:val="it-IT"/>
        </w:rPr>
      </w:pPr>
      <w:r w:rsidRPr="00DA6B66">
        <w:rPr>
          <w:noProof/>
          <w:sz w:val="24"/>
          <w:lang w:val="it-IT"/>
        </w:rPr>
        <w:t>Diego Maporti</w:t>
      </w:r>
      <w:r w:rsidR="002D5788">
        <w:rPr>
          <w:noProof/>
          <w:sz w:val="24"/>
          <w:lang w:val="it-IT"/>
        </w:rPr>
        <w:t xml:space="preserve"> </w:t>
      </w:r>
      <w:r w:rsidRPr="00DA6B66">
        <w:rPr>
          <w:noProof/>
          <w:sz w:val="24"/>
          <w:vertAlign w:val="superscript"/>
          <w:lang w:val="it-IT"/>
        </w:rPr>
        <w:t>a</w:t>
      </w:r>
      <w:r w:rsidRPr="00DA6B66">
        <w:rPr>
          <w:noProof/>
          <w:sz w:val="24"/>
          <w:lang w:val="it-IT"/>
        </w:rPr>
        <w:t>, Riccardo Nardi</w:t>
      </w:r>
      <w:r w:rsidR="002D5788">
        <w:rPr>
          <w:noProof/>
          <w:sz w:val="24"/>
          <w:lang w:val="it-IT"/>
        </w:rPr>
        <w:t xml:space="preserve"> </w:t>
      </w:r>
      <w:r w:rsidRPr="00DA6B66">
        <w:rPr>
          <w:noProof/>
          <w:sz w:val="24"/>
          <w:vertAlign w:val="superscript"/>
          <w:lang w:val="it-IT"/>
        </w:rPr>
        <w:t>a</w:t>
      </w:r>
      <w:r w:rsidRPr="00DA6B66">
        <w:rPr>
          <w:noProof/>
          <w:sz w:val="24"/>
          <w:lang w:val="it-IT"/>
        </w:rPr>
        <w:t>,</w:t>
      </w:r>
      <w:r w:rsidR="00984B1D">
        <w:rPr>
          <w:noProof/>
          <w:sz w:val="24"/>
          <w:lang w:val="it-IT"/>
        </w:rPr>
        <w:t xml:space="preserve"> </w:t>
      </w:r>
      <w:r w:rsidR="00F47CB1">
        <w:rPr>
          <w:noProof/>
          <w:sz w:val="24"/>
          <w:lang w:val="it-IT"/>
        </w:rPr>
        <w:t xml:space="preserve">Simone Guffanti </w:t>
      </w:r>
      <w:r w:rsidR="00F47CB1" w:rsidRPr="00F47CB1">
        <w:rPr>
          <w:noProof/>
          <w:sz w:val="24"/>
          <w:vertAlign w:val="superscript"/>
          <w:lang w:val="it-IT"/>
        </w:rPr>
        <w:t>b</w:t>
      </w:r>
      <w:r w:rsidR="00F47CB1">
        <w:rPr>
          <w:noProof/>
          <w:sz w:val="24"/>
          <w:lang w:val="it-IT"/>
        </w:rPr>
        <w:t xml:space="preserve">, </w:t>
      </w:r>
      <w:r w:rsidR="002D5788">
        <w:rPr>
          <w:noProof/>
          <w:sz w:val="24"/>
          <w:lang w:val="it-IT"/>
        </w:rPr>
        <w:t xml:space="preserve">Chiara Vianello </w:t>
      </w:r>
      <w:r w:rsidR="002D5788" w:rsidRPr="002D5788">
        <w:rPr>
          <w:noProof/>
          <w:sz w:val="24"/>
          <w:vertAlign w:val="superscript"/>
          <w:lang w:val="it-IT"/>
        </w:rPr>
        <w:t>a,c</w:t>
      </w:r>
      <w:r w:rsidR="002D5788">
        <w:rPr>
          <w:noProof/>
          <w:sz w:val="24"/>
          <w:lang w:val="it-IT"/>
        </w:rPr>
        <w:t xml:space="preserve">, </w:t>
      </w:r>
      <w:r w:rsidRPr="00AB2A69">
        <w:rPr>
          <w:noProof/>
          <w:sz w:val="24"/>
          <w:u w:val="single"/>
          <w:lang w:val="it-IT"/>
        </w:rPr>
        <w:t>Paolo Mocellin</w:t>
      </w:r>
      <w:r w:rsidR="002D5788">
        <w:rPr>
          <w:noProof/>
          <w:sz w:val="24"/>
          <w:lang w:val="it-IT"/>
        </w:rPr>
        <w:t xml:space="preserve"> </w:t>
      </w:r>
      <w:r w:rsidRPr="00DA6B66">
        <w:rPr>
          <w:noProof/>
          <w:sz w:val="24"/>
          <w:vertAlign w:val="superscript"/>
          <w:lang w:val="it-IT"/>
        </w:rPr>
        <w:t>a,</w:t>
      </w:r>
      <w:r w:rsidRPr="00DA6B66">
        <w:rPr>
          <w:noProof/>
          <w:sz w:val="24"/>
          <w:lang w:val="it-IT"/>
        </w:rPr>
        <w:t>*, Gianluca Pauletto</w:t>
      </w:r>
      <w:r w:rsidR="002D5788">
        <w:rPr>
          <w:noProof/>
          <w:sz w:val="24"/>
          <w:lang w:val="it-IT"/>
        </w:rPr>
        <w:t xml:space="preserve"> </w:t>
      </w:r>
      <w:r w:rsidRPr="00DA6B66">
        <w:rPr>
          <w:noProof/>
          <w:sz w:val="24"/>
          <w:vertAlign w:val="superscript"/>
          <w:lang w:val="it-IT"/>
        </w:rPr>
        <w:t>b</w:t>
      </w:r>
      <w:r w:rsidRPr="00DA6B66">
        <w:rPr>
          <w:noProof/>
          <w:sz w:val="24"/>
          <w:lang w:val="it-IT"/>
        </w:rPr>
        <w:t xml:space="preserve"> </w:t>
      </w:r>
    </w:p>
    <w:p w14:paraId="29E188BF" w14:textId="77777777" w:rsidR="00DA6B66" w:rsidRPr="00DA6B66" w:rsidRDefault="00DA6B66" w:rsidP="00AB2A69">
      <w:pPr>
        <w:keepNext/>
        <w:tabs>
          <w:tab w:val="clear" w:pos="7100"/>
        </w:tabs>
        <w:suppressAutoHyphens/>
        <w:spacing w:line="276" w:lineRule="auto"/>
        <w:contextualSpacing/>
        <w:rPr>
          <w:noProof/>
          <w:sz w:val="16"/>
        </w:rPr>
      </w:pPr>
      <w:r w:rsidRPr="00DA6B66">
        <w:rPr>
          <w:noProof/>
          <w:sz w:val="16"/>
          <w:vertAlign w:val="superscript"/>
          <w:lang w:val="it-IT"/>
        </w:rPr>
        <w:t>a</w:t>
      </w:r>
      <w:r w:rsidRPr="00DA6B66">
        <w:rPr>
          <w:noProof/>
          <w:sz w:val="16"/>
          <w:lang w:val="it-IT"/>
        </w:rPr>
        <w:t xml:space="preserve"> Università degli Studi di Padova, Dipartimento di Ingegneria Industriale. </w:t>
      </w:r>
      <w:r w:rsidRPr="00DA6B66">
        <w:rPr>
          <w:noProof/>
          <w:sz w:val="16"/>
        </w:rPr>
        <w:t xml:space="preserve">Via Marzolo 9, 35131, Padova, Italia </w:t>
      </w:r>
    </w:p>
    <w:p w14:paraId="4C47D3BD" w14:textId="069FA0FC" w:rsidR="00DA6B66" w:rsidRDefault="00DA6B66" w:rsidP="00AB2A69">
      <w:pPr>
        <w:keepNext/>
        <w:tabs>
          <w:tab w:val="clear" w:pos="7100"/>
        </w:tabs>
        <w:suppressAutoHyphens/>
        <w:spacing w:line="276" w:lineRule="auto"/>
        <w:contextualSpacing/>
        <w:rPr>
          <w:noProof/>
          <w:sz w:val="16"/>
        </w:rPr>
      </w:pPr>
      <w:r w:rsidRPr="00DA6B66">
        <w:rPr>
          <w:noProof/>
          <w:sz w:val="16"/>
          <w:vertAlign w:val="superscript"/>
        </w:rPr>
        <w:t>b</w:t>
      </w:r>
      <w:r w:rsidRPr="00DA6B66">
        <w:rPr>
          <w:noProof/>
          <w:sz w:val="16"/>
        </w:rPr>
        <w:t xml:space="preserve"> SYPOX, Department of Chemistry, Technical University of Munich, 88747 Garching, Germany </w:t>
      </w:r>
    </w:p>
    <w:p w14:paraId="34EF8890" w14:textId="3C3ADF31" w:rsidR="002D5788" w:rsidRPr="008C5A42" w:rsidRDefault="002D5788" w:rsidP="00AB2A69">
      <w:pPr>
        <w:keepNext/>
        <w:tabs>
          <w:tab w:val="clear" w:pos="7100"/>
        </w:tabs>
        <w:suppressAutoHyphens/>
        <w:spacing w:line="276" w:lineRule="auto"/>
        <w:contextualSpacing/>
        <w:rPr>
          <w:noProof/>
          <w:sz w:val="16"/>
          <w:lang w:val="en-US"/>
        </w:rPr>
      </w:pPr>
      <w:r w:rsidRPr="002D5788">
        <w:rPr>
          <w:noProof/>
          <w:sz w:val="16"/>
          <w:vertAlign w:val="superscript"/>
          <w:lang w:val="it-IT"/>
        </w:rPr>
        <w:t>c</w:t>
      </w:r>
      <w:r w:rsidRPr="002D5788">
        <w:rPr>
          <w:noProof/>
          <w:sz w:val="16"/>
          <w:lang w:val="it-IT"/>
        </w:rPr>
        <w:t xml:space="preserve"> </w:t>
      </w:r>
      <w:r w:rsidRPr="00DA6B66">
        <w:rPr>
          <w:noProof/>
          <w:sz w:val="16"/>
          <w:lang w:val="it-IT"/>
        </w:rPr>
        <w:t xml:space="preserve">Università degli Studi di Padova, Dipartimento di Ingegneria </w:t>
      </w:r>
      <w:r>
        <w:rPr>
          <w:noProof/>
          <w:sz w:val="16"/>
          <w:lang w:val="it-IT"/>
        </w:rPr>
        <w:t>Civile Edile e Ambientale</w:t>
      </w:r>
      <w:r w:rsidRPr="00DA6B66">
        <w:rPr>
          <w:noProof/>
          <w:sz w:val="16"/>
          <w:lang w:val="it-IT"/>
        </w:rPr>
        <w:t xml:space="preserve">. </w:t>
      </w:r>
      <w:r w:rsidRPr="008C5A42">
        <w:rPr>
          <w:noProof/>
          <w:sz w:val="16"/>
          <w:lang w:val="en-US"/>
        </w:rPr>
        <w:t xml:space="preserve">Via Marzolo 9, 35131, Padova, Italia </w:t>
      </w:r>
    </w:p>
    <w:p w14:paraId="7A92D704" w14:textId="394F022D" w:rsidR="00DA6B66" w:rsidRPr="00DA6B66" w:rsidRDefault="001B47B7" w:rsidP="00DA6B66">
      <w:pPr>
        <w:keepNext/>
        <w:tabs>
          <w:tab w:val="clear" w:pos="7100"/>
        </w:tabs>
        <w:suppressAutoHyphens/>
        <w:spacing w:line="276" w:lineRule="auto"/>
        <w:contextualSpacing/>
        <w:jc w:val="left"/>
        <w:rPr>
          <w:noProof/>
          <w:sz w:val="16"/>
        </w:rPr>
      </w:pPr>
      <w:hyperlink r:id="rId10" w:history="1">
        <w:r w:rsidR="002D5788" w:rsidRPr="00F44964">
          <w:rPr>
            <w:rStyle w:val="Collegamentoipertestuale"/>
            <w:noProof/>
            <w:sz w:val="16"/>
          </w:rPr>
          <w:t>paolo.mocellin@unipd.it</w:t>
        </w:r>
      </w:hyperlink>
      <w:r w:rsidR="002D5788">
        <w:rPr>
          <w:noProof/>
          <w:sz w:val="16"/>
        </w:rPr>
        <w:t xml:space="preserve"> </w:t>
      </w:r>
      <w:r w:rsidR="00DA6B66" w:rsidRPr="00DA6B66">
        <w:rPr>
          <w:noProof/>
          <w:sz w:val="16"/>
        </w:rPr>
        <w:t xml:space="preserve"> </w:t>
      </w:r>
    </w:p>
    <w:p w14:paraId="6E4FC117" w14:textId="77777777" w:rsidR="00DA6B66" w:rsidRPr="00DA6B66" w:rsidRDefault="00DA6B66" w:rsidP="00DA6B66">
      <w:pPr>
        <w:rPr>
          <w:noProof/>
          <w:lang w:val="en-US"/>
        </w:rPr>
      </w:pPr>
    </w:p>
    <w:p w14:paraId="04AF8D50" w14:textId="45AF86E0" w:rsidR="00DA6B66" w:rsidRPr="00DA6B66" w:rsidRDefault="00DA6B66" w:rsidP="00DA6B66">
      <w:pPr>
        <w:rPr>
          <w:lang w:val="en-US"/>
        </w:rPr>
      </w:pPr>
      <w:r w:rsidRPr="00996CF2">
        <w:rPr>
          <w:rStyle w:val="CETBodytextCarattere"/>
        </w:rPr>
        <w:t xml:space="preserve">The world annual hydrogen demand continues to increase with a direct impact on the </w:t>
      </w:r>
      <w:r w:rsidR="00D720E8">
        <w:rPr>
          <w:rStyle w:val="CETBodytextCarattere"/>
        </w:rPr>
        <w:t>global</w:t>
      </w:r>
      <w:r w:rsidRPr="00996CF2">
        <w:rPr>
          <w:rStyle w:val="CETBodytextCarattere"/>
        </w:rPr>
        <w:t xml:space="preserve"> CO</w:t>
      </w:r>
      <w:r w:rsidRPr="00996CF2">
        <w:rPr>
          <w:rStyle w:val="CETBodytextCarattere"/>
          <w:vertAlign w:val="subscript"/>
        </w:rPr>
        <w:t>2</w:t>
      </w:r>
      <w:r w:rsidRPr="00996CF2">
        <w:rPr>
          <w:rStyle w:val="CETBodytextCarattere"/>
        </w:rPr>
        <w:t xml:space="preserve"> emissions. A potential solution is the production of CO</w:t>
      </w:r>
      <w:r w:rsidRPr="00996CF2">
        <w:rPr>
          <w:rStyle w:val="CETBodytextCarattere"/>
          <w:vertAlign w:val="subscript"/>
        </w:rPr>
        <w:t>2</w:t>
      </w:r>
      <w:r w:rsidR="0007045A">
        <w:rPr>
          <w:rStyle w:val="CETBodytextCarattere"/>
        </w:rPr>
        <w:t>-</w:t>
      </w:r>
      <w:r w:rsidRPr="00996CF2">
        <w:rPr>
          <w:rStyle w:val="CETBodytextCarattere"/>
        </w:rPr>
        <w:t>neutral hydrogen (green hydrogen) using renewable resources. In addition to electrolytic hydrogen, biogenic hydrogen can increase productivity and enable the expansion of the H</w:t>
      </w:r>
      <w:r w:rsidRPr="00996CF2">
        <w:rPr>
          <w:rStyle w:val="CETBodytextCarattere"/>
          <w:vertAlign w:val="subscript"/>
        </w:rPr>
        <w:t>2</w:t>
      </w:r>
      <w:r w:rsidRPr="00996CF2">
        <w:rPr>
          <w:rStyle w:val="CETBodytextCarattere"/>
        </w:rPr>
        <w:t xml:space="preserve"> economy for regions with low availability of solar and wind, such as central Europe. </w:t>
      </w:r>
      <w:r w:rsidR="00883E01" w:rsidRPr="00996CF2">
        <w:rPr>
          <w:rStyle w:val="CETBodytextCarattere"/>
        </w:rPr>
        <w:t>In this work</w:t>
      </w:r>
      <w:r w:rsidR="00D63A4F">
        <w:rPr>
          <w:rStyle w:val="CETBodytextCarattere"/>
        </w:rPr>
        <w:t>,</w:t>
      </w:r>
      <w:r w:rsidR="00883E01" w:rsidRPr="00996CF2">
        <w:rPr>
          <w:rStyle w:val="CETBodytextCarattere"/>
        </w:rPr>
        <w:t xml:space="preserve"> </w:t>
      </w:r>
      <w:r w:rsidR="002F365C" w:rsidRPr="00996CF2">
        <w:rPr>
          <w:rStyle w:val="CETBodytextCarattere"/>
        </w:rPr>
        <w:t>the</w:t>
      </w:r>
      <w:r w:rsidR="00883E01" w:rsidRPr="00996CF2">
        <w:rPr>
          <w:rStyle w:val="CETBodytextCarattere"/>
        </w:rPr>
        <w:t xml:space="preserve"> </w:t>
      </w:r>
      <w:r w:rsidRPr="00996CF2">
        <w:rPr>
          <w:rStyle w:val="CETBodytextCarattere"/>
        </w:rPr>
        <w:t>design</w:t>
      </w:r>
      <w:r w:rsidR="002F365C" w:rsidRPr="00996CF2">
        <w:rPr>
          <w:rStyle w:val="CETBodytextCarattere"/>
        </w:rPr>
        <w:t xml:space="preserve"> of </w:t>
      </w:r>
      <w:r w:rsidRPr="00996CF2">
        <w:rPr>
          <w:rStyle w:val="CETBodytextCarattere"/>
        </w:rPr>
        <w:t>a decentralized biogas-to-hydrogen process</w:t>
      </w:r>
      <w:r w:rsidR="006C45DE" w:rsidRPr="00996CF2">
        <w:rPr>
          <w:rStyle w:val="CETBodytextCarattere"/>
        </w:rPr>
        <w:t xml:space="preserve"> </w:t>
      </w:r>
      <w:r w:rsidR="00984B1D" w:rsidRPr="00996CF2">
        <w:rPr>
          <w:rStyle w:val="CETBodytextCarattere"/>
        </w:rPr>
        <w:t>(</w:t>
      </w:r>
      <w:r w:rsidR="006C45DE" w:rsidRPr="00996CF2">
        <w:rPr>
          <w:rStyle w:val="CETBodytextCarattere"/>
        </w:rPr>
        <w:t>50 Nm</w:t>
      </w:r>
      <w:r w:rsidR="006C45DE" w:rsidRPr="00996CF2">
        <w:rPr>
          <w:rStyle w:val="CETBodytextCarattere"/>
          <w:vertAlign w:val="superscript"/>
        </w:rPr>
        <w:t>3</w:t>
      </w:r>
      <w:r w:rsidR="00393C6F" w:rsidRPr="00996CF2">
        <w:rPr>
          <w:rStyle w:val="CETBodytextCarattere"/>
          <w:vertAlign w:val="superscript"/>
        </w:rPr>
        <w:t xml:space="preserve"> </w:t>
      </w:r>
      <w:r w:rsidR="006C45DE" w:rsidRPr="00996CF2">
        <w:rPr>
          <w:rStyle w:val="CETBodytextCarattere"/>
        </w:rPr>
        <w:t>h</w:t>
      </w:r>
      <w:r w:rsidR="006C45DE" w:rsidRPr="00996CF2">
        <w:rPr>
          <w:rStyle w:val="CETBodytextCarattere"/>
          <w:vertAlign w:val="superscript"/>
        </w:rPr>
        <w:t>-1</w:t>
      </w:r>
      <w:r w:rsidR="00A63333">
        <w:rPr>
          <w:rStyle w:val="CETBodytextCarattere"/>
          <w:vertAlign w:val="superscript"/>
        </w:rPr>
        <w:t xml:space="preserve"> </w:t>
      </w:r>
      <w:r w:rsidR="00A63333">
        <w:rPr>
          <w:rStyle w:val="CETBodytextCarattere"/>
        </w:rPr>
        <w:t>H</w:t>
      </w:r>
      <w:r w:rsidR="00A63333" w:rsidRPr="00BD7F01">
        <w:rPr>
          <w:rStyle w:val="CETBodytextCarattere"/>
          <w:vertAlign w:val="subscript"/>
        </w:rPr>
        <w:t>2</w:t>
      </w:r>
      <w:r w:rsidR="00A63333">
        <w:rPr>
          <w:rStyle w:val="CETBodytextCarattere"/>
        </w:rPr>
        <w:t xml:space="preserve"> productivity</w:t>
      </w:r>
      <w:r w:rsidR="00984B1D" w:rsidRPr="00996CF2">
        <w:rPr>
          <w:rStyle w:val="CETBodytextCarattere"/>
        </w:rPr>
        <w:t>)</w:t>
      </w:r>
      <w:r w:rsidR="008636DD" w:rsidRPr="00996CF2">
        <w:rPr>
          <w:rStyle w:val="CETBodytextCarattere"/>
        </w:rPr>
        <w:t xml:space="preserve"> </w:t>
      </w:r>
      <w:r w:rsidR="00984B1D" w:rsidRPr="00996CF2">
        <w:rPr>
          <w:rStyle w:val="CETBodytextCarattere"/>
        </w:rPr>
        <w:t xml:space="preserve">based on an </w:t>
      </w:r>
      <w:r w:rsidR="00883E01" w:rsidRPr="00996CF2">
        <w:rPr>
          <w:rStyle w:val="CETBodytextCarattere"/>
        </w:rPr>
        <w:t>electrically heated reformer</w:t>
      </w:r>
      <w:r w:rsidR="00984B1D" w:rsidRPr="00996CF2">
        <w:rPr>
          <w:rStyle w:val="CETBodytextCarattere"/>
        </w:rPr>
        <w:t xml:space="preserve"> was developed</w:t>
      </w:r>
      <w:r w:rsidR="00883E01" w:rsidRPr="00996CF2">
        <w:rPr>
          <w:rStyle w:val="CETBodytextCarattere"/>
        </w:rPr>
        <w:t xml:space="preserve">. </w:t>
      </w:r>
      <w:r w:rsidR="008636DD" w:rsidRPr="00996CF2">
        <w:rPr>
          <w:rStyle w:val="CETBodytextCarattere"/>
        </w:rPr>
        <w:t>A</w:t>
      </w:r>
      <w:r w:rsidR="00883E01" w:rsidRPr="00996CF2">
        <w:rPr>
          <w:rStyle w:val="CETBodytextCarattere"/>
        </w:rPr>
        <w:t xml:space="preserve">n </w:t>
      </w:r>
      <w:r w:rsidRPr="00996CF2">
        <w:rPr>
          <w:rStyle w:val="CETBodytextCarattere"/>
        </w:rPr>
        <w:t>economic analysis</w:t>
      </w:r>
      <w:r w:rsidR="006D4E4B" w:rsidRPr="00996CF2">
        <w:rPr>
          <w:rStyle w:val="CETBodytextCarattere"/>
        </w:rPr>
        <w:t xml:space="preserve"> </w:t>
      </w:r>
      <w:r w:rsidR="00984B1D" w:rsidRPr="00996CF2">
        <w:rPr>
          <w:rStyle w:val="CETBodytextCarattere"/>
        </w:rPr>
        <w:t xml:space="preserve">has </w:t>
      </w:r>
      <w:r w:rsidR="008636DD" w:rsidRPr="00996CF2">
        <w:rPr>
          <w:rStyle w:val="CETBodytextCarattere"/>
        </w:rPr>
        <w:t>establish</w:t>
      </w:r>
      <w:r w:rsidR="00984B1D" w:rsidRPr="00996CF2">
        <w:rPr>
          <w:rStyle w:val="CETBodytextCarattere"/>
        </w:rPr>
        <w:t>ed</w:t>
      </w:r>
      <w:r w:rsidR="008636DD" w:rsidRPr="00996CF2">
        <w:rPr>
          <w:rStyle w:val="CETBodytextCarattere"/>
        </w:rPr>
        <w:t xml:space="preserve"> the</w:t>
      </w:r>
      <w:r w:rsidR="006D4E4B" w:rsidRPr="00996CF2">
        <w:rPr>
          <w:rStyle w:val="CETBodytextCarattere"/>
        </w:rPr>
        <w:t xml:space="preserve"> viability of this </w:t>
      </w:r>
      <w:r w:rsidR="00984B1D" w:rsidRPr="00996CF2">
        <w:rPr>
          <w:rStyle w:val="CETBodytextCarattere"/>
        </w:rPr>
        <w:t xml:space="preserve">suggested </w:t>
      </w:r>
      <w:r w:rsidR="006D4E4B" w:rsidRPr="00996CF2">
        <w:rPr>
          <w:rStyle w:val="CETBodytextCarattere"/>
        </w:rPr>
        <w:t>production route</w:t>
      </w:r>
      <w:r w:rsidR="00984B1D" w:rsidRPr="00996CF2">
        <w:rPr>
          <w:rStyle w:val="CETBodytextCarattere"/>
        </w:rPr>
        <w:t xml:space="preserve">: the Hydrogen production price remains below </w:t>
      </w:r>
      <w:r w:rsidR="003C36CD" w:rsidRPr="00996CF2">
        <w:rPr>
          <w:rStyle w:val="CETBodytextCarattere"/>
        </w:rPr>
        <w:t>6 € kg</w:t>
      </w:r>
      <w:r w:rsidR="003C36CD" w:rsidRPr="00996CF2">
        <w:rPr>
          <w:rStyle w:val="CETBodytextCarattere"/>
          <w:vertAlign w:val="superscript"/>
        </w:rPr>
        <w:t>-1</w:t>
      </w:r>
      <w:r w:rsidRPr="00996CF2">
        <w:rPr>
          <w:rStyle w:val="CETBodytextCarattere"/>
        </w:rPr>
        <w:t xml:space="preserve">. </w:t>
      </w:r>
      <w:r w:rsidR="006D4E4B" w:rsidRPr="00996CF2">
        <w:rPr>
          <w:rStyle w:val="CETBodytextCarattere"/>
        </w:rPr>
        <w:t xml:space="preserve">It results that this </w:t>
      </w:r>
      <w:r w:rsidRPr="00996CF2">
        <w:rPr>
          <w:rStyle w:val="CETBodytextCarattere"/>
        </w:rPr>
        <w:t xml:space="preserve">innovative </w:t>
      </w:r>
      <w:r w:rsidR="006D4E4B" w:rsidRPr="00996CF2">
        <w:rPr>
          <w:rStyle w:val="CETBodytextCarattere"/>
        </w:rPr>
        <w:t xml:space="preserve">process requires </w:t>
      </w:r>
      <w:r w:rsidR="00984B1D" w:rsidRPr="00996CF2">
        <w:rPr>
          <w:rStyle w:val="CETBodytextCarattere"/>
        </w:rPr>
        <w:t xml:space="preserve">approximately </w:t>
      </w:r>
      <w:r w:rsidR="00AF72D4" w:rsidRPr="00996CF2">
        <w:rPr>
          <w:rStyle w:val="CETBodytextCarattere"/>
        </w:rPr>
        <w:t>0.6 Nm</w:t>
      </w:r>
      <w:r w:rsidR="00AF72D4" w:rsidRPr="00996CF2">
        <w:rPr>
          <w:rStyle w:val="CETBodytextCarattere"/>
          <w:vertAlign w:val="superscript"/>
        </w:rPr>
        <w:t>3</w:t>
      </w:r>
      <w:r w:rsidR="00AF72D4" w:rsidRPr="00996CF2">
        <w:rPr>
          <w:rStyle w:val="CETBodytextCarattere"/>
        </w:rPr>
        <w:t xml:space="preserve"> of biogas and 1.25 k</w:t>
      </w:r>
      <w:r w:rsidR="00F97E24" w:rsidRPr="00996CF2">
        <w:rPr>
          <w:rStyle w:val="CETBodytextCarattere"/>
        </w:rPr>
        <w:t>W</w:t>
      </w:r>
      <w:r w:rsidR="00AF72D4" w:rsidRPr="00996CF2">
        <w:rPr>
          <w:rStyle w:val="CETBodytextCarattere"/>
        </w:rPr>
        <w:t>h</w:t>
      </w:r>
      <w:r w:rsidR="00984B1D" w:rsidRPr="00996CF2">
        <w:rPr>
          <w:rStyle w:val="CETBodytextCarattere"/>
        </w:rPr>
        <w:t xml:space="preserve"> of renewable electricity to produce 1</w:t>
      </w:r>
      <w:r w:rsidR="00AF72D4" w:rsidRPr="00996CF2">
        <w:rPr>
          <w:rStyle w:val="CETBodytextCarattere"/>
        </w:rPr>
        <w:t xml:space="preserve"> Nm</w:t>
      </w:r>
      <w:r w:rsidR="00AF72D4" w:rsidRPr="00996CF2">
        <w:rPr>
          <w:rStyle w:val="CETBodytextCarattere"/>
          <w:vertAlign w:val="superscript"/>
        </w:rPr>
        <w:t>3</w:t>
      </w:r>
      <w:r w:rsidR="00AF72D4" w:rsidRPr="00996CF2">
        <w:rPr>
          <w:rStyle w:val="CETBodytextCarattere"/>
        </w:rPr>
        <w:t xml:space="preserve"> of hydrogen</w:t>
      </w:r>
      <w:r w:rsidR="00984B1D" w:rsidRPr="00996CF2">
        <w:rPr>
          <w:rStyle w:val="CETBodytextCarattere"/>
        </w:rPr>
        <w:t xml:space="preserve">. </w:t>
      </w:r>
    </w:p>
    <w:p w14:paraId="1B1C4E4E" w14:textId="20A15CEC" w:rsidR="00DA6B66" w:rsidRPr="00DA6B66" w:rsidRDefault="00DA6B66" w:rsidP="00C11684">
      <w:pPr>
        <w:pStyle w:val="CETHeading1"/>
      </w:pPr>
      <w:r w:rsidRPr="00DA6B66">
        <w:t>Introduction</w:t>
      </w:r>
    </w:p>
    <w:p w14:paraId="27F4C534" w14:textId="3DD4B4B0" w:rsidR="00DA6B66" w:rsidRPr="00C11684" w:rsidRDefault="00DA6B66" w:rsidP="00C11684">
      <w:pPr>
        <w:pStyle w:val="CETBodytext"/>
      </w:pPr>
      <w:r w:rsidRPr="00C11684">
        <w:t xml:space="preserve">The annual world hydrogen demand accounts for approximately 74 Mt </w:t>
      </w:r>
      <w:r w:rsidR="00310B33" w:rsidRPr="00C11684">
        <w:t>(IEA, 2019)</w:t>
      </w:r>
      <w:r w:rsidRPr="00C11684">
        <w:t xml:space="preserve">. Hydrogen is used </w:t>
      </w:r>
      <w:r w:rsidR="00A0323B">
        <w:t>to produce</w:t>
      </w:r>
      <w:r w:rsidRPr="00C11684">
        <w:t xml:space="preserve"> chemicals </w:t>
      </w:r>
      <w:r w:rsidR="002B7CF5">
        <w:t>s</w:t>
      </w:r>
      <w:r w:rsidRPr="00C11684">
        <w:t xml:space="preserve">uch as ammonia and methanol and as </w:t>
      </w:r>
      <w:r w:rsidR="00D720E8">
        <w:t xml:space="preserve">a </w:t>
      </w:r>
      <w:r w:rsidR="006D4E4B">
        <w:t>reagent</w:t>
      </w:r>
      <w:r w:rsidRPr="00C11684">
        <w:t xml:space="preserve"> in refineries. It is also used as fuel for energy production via directly hydrogen combustion </w:t>
      </w:r>
      <w:r w:rsidR="00C23C20" w:rsidRPr="00C11684">
        <w:t>or within</w:t>
      </w:r>
      <w:r w:rsidRPr="00C11684">
        <w:t xml:space="preserve"> fuel cell</w:t>
      </w:r>
      <w:r w:rsidR="00A0323B">
        <w:t>s</w:t>
      </w:r>
      <w:r w:rsidRPr="00C11684">
        <w:t xml:space="preserve"> that produce electricity.</w:t>
      </w:r>
    </w:p>
    <w:p w14:paraId="743E1E93" w14:textId="3EF74AF9" w:rsidR="00DA6B66" w:rsidRPr="00C11684" w:rsidRDefault="00EE4E03" w:rsidP="00C11684">
      <w:pPr>
        <w:pStyle w:val="CETBodytext"/>
      </w:pPr>
      <w:r>
        <w:t>At present</w:t>
      </w:r>
      <w:r w:rsidR="00A0323B">
        <w:t>,</w:t>
      </w:r>
      <w:r w:rsidR="006D4E4B">
        <w:t xml:space="preserve"> approximately</w:t>
      </w:r>
      <w:r w:rsidR="006D4E4B" w:rsidRPr="00C11684">
        <w:t xml:space="preserve"> </w:t>
      </w:r>
      <w:r w:rsidR="00DA6B66" w:rsidRPr="00C11684">
        <w:t xml:space="preserve">90 % of </w:t>
      </w:r>
      <w:r w:rsidR="006D4E4B">
        <w:t xml:space="preserve">the total </w:t>
      </w:r>
      <w:r w:rsidR="00DA6B66" w:rsidRPr="00C11684">
        <w:t>H</w:t>
      </w:r>
      <w:r w:rsidR="00DA6B66" w:rsidRPr="00C11684">
        <w:rPr>
          <w:vertAlign w:val="subscript"/>
        </w:rPr>
        <w:t>2</w:t>
      </w:r>
      <w:r w:rsidR="00DA6B66" w:rsidRPr="00C11684">
        <w:t xml:space="preserve"> is obtained from steam reforming of natural gas (SMR) (IEA,</w:t>
      </w:r>
      <w:r w:rsidR="00D720E8">
        <w:t xml:space="preserve"> </w:t>
      </w:r>
      <w:r w:rsidR="00DA6B66" w:rsidRPr="00C11684">
        <w:t xml:space="preserve">2019). </w:t>
      </w:r>
      <w:r w:rsidR="00C21B91">
        <w:t>Usage</w:t>
      </w:r>
      <w:r w:rsidR="00DA6B66" w:rsidRPr="00C11684">
        <w:t xml:space="preserve"> of the standard processes to boost hydrogen production will lead to an increase </w:t>
      </w:r>
      <w:r w:rsidR="00A0323B">
        <w:t>in</w:t>
      </w:r>
      <w:r w:rsidR="00A0323B" w:rsidRPr="00C11684">
        <w:t xml:space="preserve"> </w:t>
      </w:r>
      <w:r w:rsidR="00DA6B66" w:rsidRPr="00C11684">
        <w:t xml:space="preserve">greenhouse gases (GHG) </w:t>
      </w:r>
      <w:r w:rsidR="00C21B91">
        <w:t>emissions.</w:t>
      </w:r>
      <w:r w:rsidR="00DA6B66" w:rsidRPr="00C11684">
        <w:t xml:space="preserve"> Alternative </w:t>
      </w:r>
      <w:r w:rsidR="00AF5022">
        <w:t>technologies</w:t>
      </w:r>
      <w:r w:rsidR="00AF5022" w:rsidRPr="00C11684">
        <w:t xml:space="preserve"> </w:t>
      </w:r>
      <w:r w:rsidR="00DA6B66" w:rsidRPr="00C11684">
        <w:t xml:space="preserve">are </w:t>
      </w:r>
      <w:r w:rsidR="00D720E8">
        <w:t xml:space="preserve">the </w:t>
      </w:r>
      <w:r w:rsidR="00DA6B66" w:rsidRPr="00C11684">
        <w:t xml:space="preserve">partial oxidation (POX), </w:t>
      </w:r>
      <w:r w:rsidR="00D720E8">
        <w:t>the partial catalytic</w:t>
      </w:r>
      <w:r w:rsidR="00DA6B66" w:rsidRPr="00C11684">
        <w:t xml:space="preserve"> oxidation (CPOX)</w:t>
      </w:r>
      <w:r w:rsidR="00AF5022">
        <w:t>, and</w:t>
      </w:r>
      <w:r w:rsidR="00DA6B66" w:rsidRPr="00C11684">
        <w:t xml:space="preserve"> </w:t>
      </w:r>
      <w:r w:rsidR="00D720E8">
        <w:t xml:space="preserve">the </w:t>
      </w:r>
      <w:r w:rsidR="00DA6B66" w:rsidRPr="00C11684">
        <w:t>autothermal reforming (ATR). These processes could be coupled with carbon capture and storage (CCS)</w:t>
      </w:r>
      <w:r>
        <w:t>, leading</w:t>
      </w:r>
      <w:r w:rsidR="00C21B91">
        <w:t xml:space="preserve"> </w:t>
      </w:r>
      <w:r w:rsidR="009C3D83">
        <w:t xml:space="preserve">to </w:t>
      </w:r>
      <w:r w:rsidR="009C3D83" w:rsidRPr="00C11684">
        <w:t>blue</w:t>
      </w:r>
      <w:r w:rsidR="00DA6B66" w:rsidRPr="00C11684">
        <w:t xml:space="preserve"> hydrogen</w:t>
      </w:r>
      <w:r w:rsidR="00D86567">
        <w:t xml:space="preserve"> (</w:t>
      </w:r>
      <w:r w:rsidR="00D86567" w:rsidRPr="00C6637A">
        <w:t>French</w:t>
      </w:r>
      <w:r w:rsidR="006C55A5" w:rsidRPr="00C6637A">
        <w:t>,</w:t>
      </w:r>
      <w:r w:rsidRPr="00C6637A">
        <w:t xml:space="preserve"> </w:t>
      </w:r>
      <w:r w:rsidR="00D86567" w:rsidRPr="00C6637A">
        <w:t>2020</w:t>
      </w:r>
      <w:r w:rsidR="00D86567">
        <w:t>)</w:t>
      </w:r>
      <w:r w:rsidR="00DA6B66" w:rsidRPr="00C11684">
        <w:t xml:space="preserve">. In 2020, the European Commission published the European Hydrogen Strategy where it is clearly stated the key role that </w:t>
      </w:r>
      <w:r w:rsidR="00AF5022">
        <w:t xml:space="preserve">hydrogen will play as </w:t>
      </w:r>
      <w:r>
        <w:t xml:space="preserve">a </w:t>
      </w:r>
      <w:r w:rsidR="00AF5022">
        <w:t xml:space="preserve">fuel and </w:t>
      </w:r>
      <w:r w:rsidR="00DA6B66" w:rsidRPr="00C11684">
        <w:t xml:space="preserve">energy carrier </w:t>
      </w:r>
      <w:r w:rsidR="00D40BBF">
        <w:t>for</w:t>
      </w:r>
      <w:r w:rsidR="00D40BBF" w:rsidRPr="00C11684">
        <w:t xml:space="preserve"> </w:t>
      </w:r>
      <w:r w:rsidR="00DA6B66" w:rsidRPr="00C11684">
        <w:t xml:space="preserve">the energy transition. </w:t>
      </w:r>
      <w:r w:rsidR="00FD5FA7">
        <w:t>Additional</w:t>
      </w:r>
      <w:r w:rsidR="00D720E8">
        <w:t>ly, electrolysis, biomass gasification and biogas reforming have been identified as</w:t>
      </w:r>
      <w:r w:rsidR="00DA6B66" w:rsidRPr="00C11684">
        <w:t xml:space="preserve"> key production technologies (European </w:t>
      </w:r>
      <w:r w:rsidR="00C11684" w:rsidRPr="00C11684">
        <w:t>Commission</w:t>
      </w:r>
      <w:r w:rsidR="00DA6B66" w:rsidRPr="00C11684">
        <w:t>, 2020).</w:t>
      </w:r>
    </w:p>
    <w:p w14:paraId="0E27E092" w14:textId="2D9A5BDC" w:rsidR="00DA6B66" w:rsidRPr="00C11684" w:rsidRDefault="00A0323B" w:rsidP="00C11684">
      <w:pPr>
        <w:pStyle w:val="CETBodytext"/>
      </w:pPr>
      <w:r>
        <w:t>The present work proposes</w:t>
      </w:r>
      <w:r w:rsidR="00DA6B66" w:rsidRPr="00C11684">
        <w:t xml:space="preserve"> the design of a decentralized process for </w:t>
      </w:r>
      <w:r w:rsidR="00D720E8">
        <w:t>producing</w:t>
      </w:r>
      <w:r w:rsidR="00DA6B66" w:rsidRPr="00C11684">
        <w:t xml:space="preserve"> renewable hydrogen via electrified reforming </w:t>
      </w:r>
      <w:r>
        <w:t>of biogas</w:t>
      </w:r>
      <w:r w:rsidR="00DA6B66" w:rsidRPr="00C11684">
        <w:t xml:space="preserve">. </w:t>
      </w:r>
      <w:r>
        <w:t>The process scheme was</w:t>
      </w:r>
      <w:r w:rsidR="00DA6B66" w:rsidRPr="00C11684">
        <w:t xml:space="preserve"> simulated with Aspen Plus®. The </w:t>
      </w:r>
      <w:r>
        <w:t>ultimate configuration produces</w:t>
      </w:r>
      <w:r w:rsidR="00DA6B66" w:rsidRPr="00C11684">
        <w:t xml:space="preserve"> </w:t>
      </w:r>
      <w:r w:rsidR="00FD5FA7">
        <w:t xml:space="preserve">approximately </w:t>
      </w:r>
      <w:r w:rsidR="00DA6B66" w:rsidRPr="00C11684">
        <w:t>1.6 Nm</w:t>
      </w:r>
      <w:r w:rsidR="00DA6B66" w:rsidRPr="00745DEE">
        <w:rPr>
          <w:vertAlign w:val="superscript"/>
        </w:rPr>
        <w:t>3</w:t>
      </w:r>
      <w:r w:rsidR="00700399">
        <w:t xml:space="preserve"> </w:t>
      </w:r>
      <w:r w:rsidR="00DA6B66" w:rsidRPr="00C11684">
        <w:t>h</w:t>
      </w:r>
      <w:r w:rsidR="00700399" w:rsidRPr="00700399">
        <w:rPr>
          <w:vertAlign w:val="superscript"/>
        </w:rPr>
        <w:t>-1</w:t>
      </w:r>
      <w:r w:rsidR="00DA6B66" w:rsidRPr="00C11684">
        <w:t xml:space="preserve"> of hydrogen </w:t>
      </w:r>
      <w:r w:rsidRPr="00C11684">
        <w:t>f</w:t>
      </w:r>
      <w:r>
        <w:t>rom</w:t>
      </w:r>
      <w:r w:rsidRPr="00C11684">
        <w:t xml:space="preserve"> </w:t>
      </w:r>
      <w:r w:rsidR="00DA6B66" w:rsidRPr="00C11684">
        <w:t>1 Nm</w:t>
      </w:r>
      <w:r w:rsidR="00DA6B66" w:rsidRPr="00745DEE">
        <w:rPr>
          <w:vertAlign w:val="superscript"/>
        </w:rPr>
        <w:t>3</w:t>
      </w:r>
      <w:r w:rsidR="00700399">
        <w:t xml:space="preserve"> </w:t>
      </w:r>
      <w:r w:rsidR="00DA6B66" w:rsidRPr="00C11684">
        <w:t>h</w:t>
      </w:r>
      <w:r w:rsidR="00700399" w:rsidRPr="00700399">
        <w:rPr>
          <w:vertAlign w:val="superscript"/>
        </w:rPr>
        <w:t>-1</w:t>
      </w:r>
      <w:r w:rsidR="00DA6B66" w:rsidRPr="00C11684">
        <w:t xml:space="preserve"> of biogas </w:t>
      </w:r>
      <w:r>
        <w:t xml:space="preserve">made of 50:50 </w:t>
      </w:r>
      <w:r w:rsidR="00DA6B66" w:rsidRPr="00C11684">
        <w:t>methane and carbon dioxide. The energy efficiency of the process is a</w:t>
      </w:r>
      <w:r w:rsidR="00FD5FA7">
        <w:t>pproximately</w:t>
      </w:r>
      <w:r w:rsidR="00DA6B66" w:rsidRPr="00C11684">
        <w:t xml:space="preserve"> 87</w:t>
      </w:r>
      <w:r w:rsidR="00700399">
        <w:t xml:space="preserve"> </w:t>
      </w:r>
      <w:r w:rsidR="00DA6B66" w:rsidRPr="00C11684">
        <w:t xml:space="preserve">%. </w:t>
      </w:r>
    </w:p>
    <w:p w14:paraId="2ADEFB8F" w14:textId="77777777" w:rsidR="00DA6B66" w:rsidRPr="00DA6B66" w:rsidRDefault="00DA6B66" w:rsidP="00C11684">
      <w:pPr>
        <w:pStyle w:val="CETHeading1"/>
      </w:pPr>
      <w:r w:rsidRPr="00DA6B66">
        <w:t xml:space="preserve"> Methods</w:t>
      </w:r>
    </w:p>
    <w:p w14:paraId="727F0491" w14:textId="50D6B2E2" w:rsidR="00614694" w:rsidRDefault="000231E3" w:rsidP="00DA6B66">
      <w:pPr>
        <w:rPr>
          <w:rStyle w:val="CETBodytextCarattere"/>
        </w:rPr>
      </w:pPr>
      <w:r>
        <w:rPr>
          <w:rStyle w:val="CETBodytextCarattere"/>
        </w:rPr>
        <w:t xml:space="preserve">As in traditional hydrogen plants, </w:t>
      </w:r>
      <w:r w:rsidR="00C6637A">
        <w:rPr>
          <w:rStyle w:val="CETBodytextCarattere"/>
        </w:rPr>
        <w:t>this biogas-to-hydrogen scheme also comprises</w:t>
      </w:r>
      <w:r w:rsidR="00DA6B66" w:rsidRPr="00C11684">
        <w:rPr>
          <w:rStyle w:val="CETBodytextCarattere"/>
        </w:rPr>
        <w:t xml:space="preserve"> three </w:t>
      </w:r>
      <w:r w:rsidR="00A0323B">
        <w:rPr>
          <w:rStyle w:val="CETBodytextCarattere"/>
        </w:rPr>
        <w:t xml:space="preserve">main </w:t>
      </w:r>
      <w:r w:rsidR="00DA6B66" w:rsidRPr="00C11684">
        <w:rPr>
          <w:rStyle w:val="CETBodytextCarattere"/>
        </w:rPr>
        <w:t xml:space="preserve">sections: reforming, </w:t>
      </w:r>
      <w:r w:rsidR="009C3D83">
        <w:rPr>
          <w:rStyle w:val="CETBodytextCarattere"/>
        </w:rPr>
        <w:t>water gas-shift (WGS)</w:t>
      </w:r>
      <w:r w:rsidR="00FD5FA7">
        <w:rPr>
          <w:rStyle w:val="CETBodytextCarattere"/>
        </w:rPr>
        <w:t>,</w:t>
      </w:r>
      <w:r w:rsidR="00DA6B66" w:rsidRPr="00C11684">
        <w:rPr>
          <w:rStyle w:val="CETBodytextCarattere"/>
        </w:rPr>
        <w:t xml:space="preserve"> and separation</w:t>
      </w:r>
      <w:r w:rsidR="00EE4E03">
        <w:rPr>
          <w:rStyle w:val="CETBodytextCarattere"/>
        </w:rPr>
        <w:t xml:space="preserve"> (Figure 1)</w:t>
      </w:r>
      <w:r w:rsidR="00DA6B66" w:rsidRPr="00C11684">
        <w:rPr>
          <w:rStyle w:val="CETBodytextCarattere"/>
        </w:rPr>
        <w:t xml:space="preserve">. </w:t>
      </w:r>
      <w:bookmarkStart w:id="1" w:name="_Hlk95290971"/>
      <w:r w:rsidR="00DA6B66" w:rsidRPr="00C11684">
        <w:rPr>
          <w:rStyle w:val="CETBodytextCarattere"/>
        </w:rPr>
        <w:t>Aspen Plus</w:t>
      </w:r>
      <w:r w:rsidR="00A0323B">
        <w:rPr>
          <w:rStyle w:val="CETBodytextCarattere"/>
        </w:rPr>
        <w:t>®</w:t>
      </w:r>
      <w:r w:rsidR="00DA6B66" w:rsidRPr="00C11684">
        <w:rPr>
          <w:rStyle w:val="CETBodytextCarattere"/>
        </w:rPr>
        <w:t xml:space="preserve"> solved the mass and energy balances using Peng-Robinson with the Boston-Mathias alpha function as </w:t>
      </w:r>
      <w:r w:rsidR="00A0323B">
        <w:rPr>
          <w:rStyle w:val="CETBodytextCarattere"/>
        </w:rPr>
        <w:t>the</w:t>
      </w:r>
      <w:r w:rsidR="00DA6B66" w:rsidRPr="00C11684">
        <w:rPr>
          <w:rStyle w:val="CETBodytextCarattere"/>
        </w:rPr>
        <w:t xml:space="preserve"> thermodynamic model.</w:t>
      </w:r>
      <w:bookmarkEnd w:id="1"/>
      <w:r w:rsidR="00A0323B">
        <w:rPr>
          <w:rStyle w:val="CETBodytextCarattere"/>
        </w:rPr>
        <w:t xml:space="preserve"> The steam reformer was modelled as</w:t>
      </w:r>
      <w:r w:rsidR="00DA6B66" w:rsidRPr="00C11684">
        <w:rPr>
          <w:rStyle w:val="CETBodytextCarattere"/>
        </w:rPr>
        <w:t xml:space="preserve"> </w:t>
      </w:r>
      <w:r w:rsidR="009C3D83" w:rsidRPr="00C11684">
        <w:rPr>
          <w:rStyle w:val="CETBodytextCarattere"/>
        </w:rPr>
        <w:t>a</w:t>
      </w:r>
      <w:r w:rsidR="00A0323B">
        <w:rPr>
          <w:rStyle w:val="CETBodytextCarattere"/>
        </w:rPr>
        <w:t xml:space="preserve"> </w:t>
      </w:r>
      <w:r w:rsidR="00DA6B66" w:rsidRPr="00C11684">
        <w:rPr>
          <w:rStyle w:val="CETBodytextCarattere"/>
        </w:rPr>
        <w:t>Gibbs reactor</w:t>
      </w:r>
      <w:r w:rsidR="00DE56CA">
        <w:rPr>
          <w:rStyle w:val="CETBodytextCarattere"/>
        </w:rPr>
        <w:t xml:space="preserve"> (</w:t>
      </w:r>
      <w:proofErr w:type="spellStart"/>
      <w:r w:rsidR="00DE56CA">
        <w:rPr>
          <w:rStyle w:val="CETBodytextCarattere"/>
        </w:rPr>
        <w:t>RGibbs</w:t>
      </w:r>
      <w:proofErr w:type="spellEnd"/>
      <w:r w:rsidR="00DE56CA">
        <w:rPr>
          <w:rStyle w:val="CETBodytextCarattere"/>
        </w:rPr>
        <w:t>)</w:t>
      </w:r>
      <w:r w:rsidR="00DA6B66" w:rsidRPr="00C11684">
        <w:rPr>
          <w:rStyle w:val="CETBodytextCarattere"/>
        </w:rPr>
        <w:t xml:space="preserve"> </w:t>
      </w:r>
      <w:r w:rsidR="00A0323B">
        <w:rPr>
          <w:rStyle w:val="CETBodytextCarattere"/>
        </w:rPr>
        <w:t xml:space="preserve">working </w:t>
      </w:r>
      <w:r w:rsidR="00FD5FA7">
        <w:rPr>
          <w:rStyle w:val="CETBodytextCarattere"/>
        </w:rPr>
        <w:t xml:space="preserve">at </w:t>
      </w:r>
      <w:r w:rsidR="00DA6B66" w:rsidRPr="00C11684">
        <w:rPr>
          <w:rStyle w:val="CETBodytextCarattere"/>
        </w:rPr>
        <w:t xml:space="preserve">equilibrium. </w:t>
      </w:r>
      <w:r w:rsidR="00614694">
        <w:rPr>
          <w:rStyle w:val="CETBodytextCarattere"/>
        </w:rPr>
        <w:t>T</w:t>
      </w:r>
      <w:r w:rsidR="00A0323B">
        <w:rPr>
          <w:rStyle w:val="CETBodytextCarattere"/>
        </w:rPr>
        <w:t>he</w:t>
      </w:r>
      <w:r w:rsidR="00DA6B66" w:rsidRPr="00C11684">
        <w:rPr>
          <w:rStyle w:val="CETBodytextCarattere"/>
        </w:rPr>
        <w:t xml:space="preserve"> </w:t>
      </w:r>
      <w:r w:rsidR="00745DEE">
        <w:rPr>
          <w:rStyle w:val="CETBodytextCarattere"/>
        </w:rPr>
        <w:t>water</w:t>
      </w:r>
      <w:r w:rsidR="00D720E8">
        <w:rPr>
          <w:rStyle w:val="CETBodytextCarattere"/>
        </w:rPr>
        <w:t xml:space="preserve"> </w:t>
      </w:r>
      <w:r w:rsidR="00745DEE">
        <w:rPr>
          <w:rStyle w:val="CETBodytextCarattere"/>
        </w:rPr>
        <w:t>gas shift</w:t>
      </w:r>
      <w:r w:rsidR="00745DEE" w:rsidRPr="00C11684">
        <w:rPr>
          <w:rStyle w:val="CETBodytextCarattere"/>
        </w:rPr>
        <w:t xml:space="preserve"> </w:t>
      </w:r>
      <w:r w:rsidR="00DA6B66" w:rsidRPr="00C11684">
        <w:rPr>
          <w:rStyle w:val="CETBodytextCarattere"/>
        </w:rPr>
        <w:t>section</w:t>
      </w:r>
      <w:r w:rsidR="00614694">
        <w:rPr>
          <w:rStyle w:val="CETBodytextCarattere"/>
        </w:rPr>
        <w:t xml:space="preserve"> was modelled with </w:t>
      </w:r>
      <w:r w:rsidR="00A0323B">
        <w:rPr>
          <w:rStyle w:val="CETBodytextCarattere"/>
        </w:rPr>
        <w:t>two</w:t>
      </w:r>
      <w:r w:rsidR="00614694">
        <w:rPr>
          <w:rStyle w:val="CETBodytextCarattere"/>
        </w:rPr>
        <w:t xml:space="preserve"> adiabatic</w:t>
      </w:r>
      <w:r w:rsidR="00DA6B66" w:rsidRPr="00C11684">
        <w:rPr>
          <w:rStyle w:val="CETBodytextCarattere"/>
        </w:rPr>
        <w:t xml:space="preserve"> </w:t>
      </w:r>
      <w:r w:rsidR="009C3D83">
        <w:rPr>
          <w:rStyle w:val="CETBodytextCarattere"/>
        </w:rPr>
        <w:t xml:space="preserve">equilibrium </w:t>
      </w:r>
      <w:r w:rsidR="00DA6B66" w:rsidRPr="00C11684">
        <w:rPr>
          <w:rStyle w:val="CETBodytextCarattere"/>
        </w:rPr>
        <w:t>reactor</w:t>
      </w:r>
      <w:r w:rsidR="00A0323B">
        <w:rPr>
          <w:rStyle w:val="CETBodytextCarattere"/>
        </w:rPr>
        <w:t>s</w:t>
      </w:r>
      <w:r w:rsidR="00DE56CA">
        <w:rPr>
          <w:rStyle w:val="CETBodytextCarattere"/>
        </w:rPr>
        <w:t xml:space="preserve"> (</w:t>
      </w:r>
      <w:proofErr w:type="spellStart"/>
      <w:r w:rsidR="00DE56CA">
        <w:rPr>
          <w:rStyle w:val="CETBodytextCarattere"/>
        </w:rPr>
        <w:t>REquil</w:t>
      </w:r>
      <w:proofErr w:type="spellEnd"/>
      <w:r w:rsidR="00DE56CA">
        <w:rPr>
          <w:rStyle w:val="CETBodytextCarattere"/>
        </w:rPr>
        <w:t>)</w:t>
      </w:r>
      <w:r w:rsidR="00614694">
        <w:rPr>
          <w:rStyle w:val="CETBodytextCarattere"/>
        </w:rPr>
        <w:t>, operating at equilibrium,</w:t>
      </w:r>
      <w:r w:rsidR="00DA6B66" w:rsidRPr="00C11684">
        <w:rPr>
          <w:rStyle w:val="CETBodytextCarattere"/>
        </w:rPr>
        <w:t xml:space="preserve"> </w:t>
      </w:r>
      <w:r w:rsidR="000B7855">
        <w:rPr>
          <w:rStyle w:val="CETBodytextCarattere"/>
        </w:rPr>
        <w:t xml:space="preserve">where only the </w:t>
      </w:r>
      <w:r w:rsidR="00614694">
        <w:rPr>
          <w:rStyle w:val="CETBodytextCarattere"/>
        </w:rPr>
        <w:t>WGS</w:t>
      </w:r>
      <w:r w:rsidR="000B7855">
        <w:rPr>
          <w:rStyle w:val="CETBodytextCarattere"/>
        </w:rPr>
        <w:t xml:space="preserve"> reaction </w:t>
      </w:r>
      <w:r w:rsidR="00614694">
        <w:rPr>
          <w:rStyle w:val="CETBodytextCarattere"/>
        </w:rPr>
        <w:t>takes place</w:t>
      </w:r>
      <w:r w:rsidR="000B7855">
        <w:rPr>
          <w:rStyle w:val="CETBodytextCarattere"/>
        </w:rPr>
        <w:t xml:space="preserve">. This is necessary and is commonly done to avoid the production </w:t>
      </w:r>
      <w:r w:rsidR="00614694">
        <w:rPr>
          <w:rStyle w:val="CETBodytextCarattere"/>
        </w:rPr>
        <w:t>of</w:t>
      </w:r>
      <w:r w:rsidR="000B7855">
        <w:rPr>
          <w:rStyle w:val="CETBodytextCarattere"/>
        </w:rPr>
        <w:t xml:space="preserve"> methane</w:t>
      </w:r>
      <w:r w:rsidR="00EE4E03">
        <w:rPr>
          <w:rStyle w:val="CETBodytextCarattere"/>
        </w:rPr>
        <w:t>,</w:t>
      </w:r>
      <w:r w:rsidR="000B7855">
        <w:rPr>
          <w:rStyle w:val="CETBodytextCarattere"/>
        </w:rPr>
        <w:t xml:space="preserve"> </w:t>
      </w:r>
      <w:r w:rsidR="00EE4E03">
        <w:rPr>
          <w:rStyle w:val="CETBodytextCarattere"/>
        </w:rPr>
        <w:t>which</w:t>
      </w:r>
      <w:r w:rsidR="000B7855">
        <w:rPr>
          <w:rStyle w:val="CETBodytextCarattere"/>
        </w:rPr>
        <w:t xml:space="preserve"> is thermodynamically the most favored product.</w:t>
      </w:r>
    </w:p>
    <w:p w14:paraId="19BEDE3D" w14:textId="79A7E652" w:rsidR="00DA6B66" w:rsidRPr="00DA6B66" w:rsidRDefault="00666CD5" w:rsidP="00DA6B66">
      <w:pPr>
        <w:keepNext/>
        <w:numPr>
          <w:ilvl w:val="2"/>
          <w:numId w:val="1"/>
        </w:numPr>
        <w:tabs>
          <w:tab w:val="clear" w:pos="7100"/>
        </w:tabs>
        <w:suppressAutoHyphens/>
        <w:spacing w:before="120" w:after="120" w:line="240" w:lineRule="auto"/>
        <w:jc w:val="left"/>
        <w:rPr>
          <w:rFonts w:eastAsiaTheme="minorHAnsi"/>
          <w:b/>
          <w:lang w:val="en-US"/>
        </w:rPr>
      </w:pPr>
      <w:r>
        <w:rPr>
          <w:rFonts w:eastAsiaTheme="minorHAnsi"/>
          <w:b/>
          <w:lang w:val="en-US"/>
        </w:rPr>
        <w:lastRenderedPageBreak/>
        <w:t>Process description</w:t>
      </w:r>
    </w:p>
    <w:p w14:paraId="4A60953D" w14:textId="3C912F7F" w:rsidR="00DA6B66" w:rsidRDefault="00DA6B66" w:rsidP="00C11684">
      <w:pPr>
        <w:pStyle w:val="CETBodytext"/>
      </w:pPr>
      <w:r w:rsidRPr="00DA6B66">
        <w:t>The reforming section is mainly driven by the following equilibrium reactions</w:t>
      </w:r>
      <w:r w:rsidR="00127BF9">
        <w:t>:</w:t>
      </w:r>
    </w:p>
    <w:tbl>
      <w:tblPr>
        <w:tblW w:w="5000" w:type="pct"/>
        <w:tblLook w:val="04A0" w:firstRow="1" w:lastRow="0" w:firstColumn="1" w:lastColumn="0" w:noHBand="0" w:noVBand="1"/>
      </w:tblPr>
      <w:tblGrid>
        <w:gridCol w:w="7987"/>
        <w:gridCol w:w="800"/>
      </w:tblGrid>
      <w:tr w:rsidR="003C63DD" w:rsidRPr="003C63DD" w14:paraId="5B73B851" w14:textId="77777777" w:rsidTr="003C63DD">
        <w:tc>
          <w:tcPr>
            <w:tcW w:w="7978" w:type="dxa"/>
            <w:shd w:val="clear" w:color="auto" w:fill="auto"/>
            <w:vAlign w:val="center"/>
          </w:tcPr>
          <w:p w14:paraId="603FF799" w14:textId="77777777" w:rsidR="003C63DD" w:rsidRPr="003C63DD" w:rsidRDefault="003C63DD" w:rsidP="009C3D83">
            <w:pPr>
              <w:pStyle w:val="CETEquation"/>
            </w:pPr>
            <w:r w:rsidRPr="003C63DD">
              <w:t>CH</w:t>
            </w:r>
            <w:r w:rsidRPr="003C63DD">
              <w:rPr>
                <w:vertAlign w:val="subscript"/>
              </w:rPr>
              <w:t>4</w:t>
            </w:r>
            <w:r w:rsidRPr="003C63DD">
              <w:t xml:space="preserve"> + H</w:t>
            </w:r>
            <w:r w:rsidRPr="003C63DD">
              <w:rPr>
                <w:vertAlign w:val="subscript"/>
              </w:rPr>
              <w:t>2</w:t>
            </w:r>
            <w:r w:rsidRPr="003C63DD">
              <w:t xml:space="preserve">O </w:t>
            </w:r>
            <w:r w:rsidRPr="003C63DD">
              <w:rPr>
                <w:rFonts w:ascii="Cambria Math" w:hAnsi="Cambria Math" w:cs="Cambria Math"/>
              </w:rPr>
              <w:t>⇌</w:t>
            </w:r>
            <w:r w:rsidRPr="003C63DD">
              <w:t xml:space="preserve"> 3H</w:t>
            </w:r>
            <w:r w:rsidRPr="003C63DD">
              <w:rPr>
                <w:vertAlign w:val="subscript"/>
              </w:rPr>
              <w:t>2</w:t>
            </w:r>
            <w:r w:rsidRPr="003C63DD">
              <w:t xml:space="preserve"> + CO</w:t>
            </w:r>
          </w:p>
        </w:tc>
        <w:tc>
          <w:tcPr>
            <w:tcW w:w="799" w:type="dxa"/>
            <w:shd w:val="clear" w:color="auto" w:fill="auto"/>
            <w:vAlign w:val="center"/>
          </w:tcPr>
          <w:p w14:paraId="110A83EC" w14:textId="77777777" w:rsidR="003C63DD" w:rsidRPr="003C63DD" w:rsidRDefault="003C63DD" w:rsidP="00940540">
            <w:pPr>
              <w:pStyle w:val="CETEquation"/>
              <w:jc w:val="right"/>
            </w:pPr>
            <w:r w:rsidRPr="003C63DD">
              <w:t>(1)</w:t>
            </w:r>
          </w:p>
        </w:tc>
      </w:tr>
      <w:tr w:rsidR="003C63DD" w:rsidRPr="003C63DD" w14:paraId="6C731040" w14:textId="77777777" w:rsidTr="003C63DD">
        <w:tc>
          <w:tcPr>
            <w:tcW w:w="7978" w:type="dxa"/>
            <w:shd w:val="clear" w:color="auto" w:fill="auto"/>
            <w:vAlign w:val="center"/>
          </w:tcPr>
          <w:p w14:paraId="0172F57D" w14:textId="77777777" w:rsidR="003C63DD" w:rsidRPr="003C63DD" w:rsidRDefault="003C63DD" w:rsidP="009C3D83">
            <w:pPr>
              <w:pStyle w:val="CETEquation"/>
              <w:rPr>
                <w:noProof/>
                <w:lang w:val="it-IT" w:eastAsia="it-IT"/>
              </w:rPr>
            </w:pPr>
            <w:r w:rsidRPr="003C63DD">
              <w:t>CH</w:t>
            </w:r>
            <w:r w:rsidRPr="009C3D83">
              <w:rPr>
                <w:vertAlign w:val="subscript"/>
              </w:rPr>
              <w:t>4</w:t>
            </w:r>
            <w:r w:rsidRPr="003C63DD">
              <w:t xml:space="preserve"> + CO</w:t>
            </w:r>
            <w:r w:rsidRPr="009C3D83">
              <w:rPr>
                <w:vertAlign w:val="subscript"/>
              </w:rPr>
              <w:t>2</w:t>
            </w:r>
            <w:r w:rsidRPr="003C63DD">
              <w:t xml:space="preserve"> </w:t>
            </w:r>
            <w:r w:rsidRPr="003C63DD">
              <w:rPr>
                <w:rFonts w:ascii="Cambria Math" w:hAnsi="Cambria Math" w:cs="Cambria Math"/>
              </w:rPr>
              <w:t>⇌</w:t>
            </w:r>
            <w:r w:rsidRPr="003C63DD">
              <w:t xml:space="preserve"> 2H</w:t>
            </w:r>
            <w:r w:rsidRPr="009C3D83">
              <w:rPr>
                <w:vertAlign w:val="subscript"/>
              </w:rPr>
              <w:t>2</w:t>
            </w:r>
            <w:r w:rsidRPr="003C63DD">
              <w:t xml:space="preserve"> + 2CO</w:t>
            </w:r>
          </w:p>
        </w:tc>
        <w:tc>
          <w:tcPr>
            <w:tcW w:w="799" w:type="dxa"/>
            <w:shd w:val="clear" w:color="auto" w:fill="auto"/>
            <w:vAlign w:val="center"/>
          </w:tcPr>
          <w:p w14:paraId="32406BC4" w14:textId="77777777" w:rsidR="003C63DD" w:rsidRPr="003C63DD" w:rsidRDefault="003C63DD" w:rsidP="00940540">
            <w:pPr>
              <w:pStyle w:val="CETEquation"/>
              <w:jc w:val="right"/>
            </w:pPr>
            <w:r w:rsidRPr="003C63DD">
              <w:t>(2)</w:t>
            </w:r>
          </w:p>
        </w:tc>
      </w:tr>
      <w:tr w:rsidR="003C63DD" w:rsidRPr="003C63DD" w14:paraId="7C7FA4E0" w14:textId="77777777" w:rsidTr="003C63DD">
        <w:tc>
          <w:tcPr>
            <w:tcW w:w="7978" w:type="dxa"/>
            <w:shd w:val="clear" w:color="auto" w:fill="auto"/>
            <w:vAlign w:val="center"/>
          </w:tcPr>
          <w:p w14:paraId="1543489F" w14:textId="77777777" w:rsidR="003C63DD" w:rsidRPr="003C63DD" w:rsidRDefault="003C63DD" w:rsidP="009C3D83">
            <w:pPr>
              <w:pStyle w:val="CETEquation"/>
              <w:rPr>
                <w:noProof/>
                <w:lang w:val="it-IT" w:eastAsia="it-IT"/>
              </w:rPr>
            </w:pPr>
            <w:r w:rsidRPr="003C63DD">
              <w:rPr>
                <w:position w:val="2"/>
              </w:rPr>
              <w:t>CO</w:t>
            </w:r>
            <w:r w:rsidRPr="003C63DD">
              <w:rPr>
                <w:spacing w:val="22"/>
                <w:sz w:val="14"/>
              </w:rPr>
              <w:t xml:space="preserve"> </w:t>
            </w:r>
            <w:r w:rsidRPr="003C63DD">
              <w:rPr>
                <w:position w:val="2"/>
              </w:rPr>
              <w:t>+ H</w:t>
            </w:r>
            <w:r w:rsidRPr="003C63DD">
              <w:rPr>
                <w:position w:val="2"/>
                <w:vertAlign w:val="subscript"/>
              </w:rPr>
              <w:t>2</w:t>
            </w:r>
            <w:r w:rsidRPr="003C63DD">
              <w:rPr>
                <w:position w:val="2"/>
              </w:rPr>
              <w:t>O</w:t>
            </w:r>
            <w:r w:rsidRPr="003C63DD">
              <w:rPr>
                <w:spacing w:val="23"/>
                <w:sz w:val="14"/>
              </w:rPr>
              <w:t xml:space="preserve"> </w:t>
            </w:r>
            <w:r w:rsidRPr="003C63DD">
              <w:rPr>
                <w:rFonts w:ascii="Cambria Math" w:hAnsi="Cambria Math"/>
                <w:position w:val="2"/>
              </w:rPr>
              <w:t>⇌</w:t>
            </w:r>
            <w:r w:rsidRPr="003C63DD">
              <w:rPr>
                <w:rFonts w:ascii="Cambria Math" w:hAnsi="Cambria Math"/>
                <w:spacing w:val="69"/>
                <w:position w:val="2"/>
              </w:rPr>
              <w:t xml:space="preserve"> </w:t>
            </w:r>
            <w:r w:rsidRPr="003C63DD">
              <w:rPr>
                <w:position w:val="2"/>
              </w:rPr>
              <w:t>CO</w:t>
            </w:r>
            <w:r w:rsidRPr="003C63DD">
              <w:rPr>
                <w:position w:val="2"/>
                <w:vertAlign w:val="subscript"/>
              </w:rPr>
              <w:t>2</w:t>
            </w:r>
            <w:r w:rsidRPr="003C63DD">
              <w:rPr>
                <w:spacing w:val="-2"/>
                <w:sz w:val="14"/>
                <w:vertAlign w:val="subscript"/>
              </w:rPr>
              <w:t xml:space="preserve"> </w:t>
            </w:r>
            <w:r w:rsidRPr="003C63DD">
              <w:rPr>
                <w:position w:val="2"/>
              </w:rPr>
              <w:t>+ H</w:t>
            </w:r>
            <w:r w:rsidRPr="003C63DD">
              <w:rPr>
                <w:position w:val="2"/>
                <w:vertAlign w:val="subscript"/>
              </w:rPr>
              <w:t>2</w:t>
            </w:r>
          </w:p>
        </w:tc>
        <w:tc>
          <w:tcPr>
            <w:tcW w:w="799" w:type="dxa"/>
            <w:shd w:val="clear" w:color="auto" w:fill="auto"/>
            <w:vAlign w:val="center"/>
          </w:tcPr>
          <w:p w14:paraId="5145C411" w14:textId="77777777" w:rsidR="003C63DD" w:rsidRPr="003C63DD" w:rsidRDefault="003C63DD" w:rsidP="00940540">
            <w:pPr>
              <w:pStyle w:val="CETEquation"/>
              <w:jc w:val="right"/>
            </w:pPr>
            <w:r w:rsidRPr="003C63DD">
              <w:t>(3)</w:t>
            </w:r>
          </w:p>
        </w:tc>
      </w:tr>
    </w:tbl>
    <w:p w14:paraId="59635684" w14:textId="0F492E88" w:rsidR="00B80B2E" w:rsidRDefault="005F4CAE" w:rsidP="00D0760B">
      <w:pPr>
        <w:pStyle w:val="CETBodytext"/>
        <w:rPr>
          <w:color w:val="000000" w:themeColor="text1"/>
        </w:rPr>
      </w:pPr>
      <w:r w:rsidRPr="009C3D83">
        <w:t>SMR</w:t>
      </w:r>
      <w:r w:rsidR="00745DEE" w:rsidRPr="009C3D83">
        <w:t xml:space="preserve"> (1),</w:t>
      </w:r>
      <w:r w:rsidR="00DA6B66" w:rsidRPr="009C3D83">
        <w:t xml:space="preserve"> dry reforming</w:t>
      </w:r>
      <w:r w:rsidRPr="009C3D83">
        <w:t xml:space="preserve"> (DR)</w:t>
      </w:r>
      <w:r w:rsidR="00745DEE" w:rsidRPr="009C3D83">
        <w:t xml:space="preserve"> (2), and WGS (3).</w:t>
      </w:r>
      <w:r w:rsidR="00DA6B66" w:rsidRPr="009C3D83">
        <w:t xml:space="preserve"> Both</w:t>
      </w:r>
      <w:r w:rsidR="00745DEE" w:rsidRPr="009C3D83">
        <w:t xml:space="preserve"> reforming</w:t>
      </w:r>
      <w:r w:rsidR="00DA6B66" w:rsidRPr="009C3D83">
        <w:t xml:space="preserve"> reactions are endothermic with </w:t>
      </w:r>
      <m:oMath>
        <m:r>
          <w:rPr>
            <w:rFonts w:ascii="Cambria Math" w:eastAsiaTheme="minorHAnsi" w:hAnsi="Cambria Math"/>
          </w:rPr>
          <m:t>∆</m:t>
        </m:r>
      </m:oMath>
      <w:r w:rsidR="00DA6B66" w:rsidRPr="009C3D83">
        <w:rPr>
          <w:rFonts w:eastAsiaTheme="minorHAnsi"/>
        </w:rPr>
        <w:t>H</w:t>
      </w:r>
      <w:r w:rsidR="00DA6B66" w:rsidRPr="00A114CD">
        <w:rPr>
          <w:rFonts w:eastAsiaTheme="minorHAnsi"/>
          <w:vertAlign w:val="subscript"/>
        </w:rPr>
        <w:t>298</w:t>
      </w:r>
      <w:r w:rsidR="00A114CD">
        <w:rPr>
          <w:rFonts w:eastAsiaTheme="minorHAnsi"/>
          <w:vertAlign w:val="subscript"/>
        </w:rPr>
        <w:t xml:space="preserve"> </w:t>
      </w:r>
      <w:r w:rsidR="00DA6B66" w:rsidRPr="009C3D83">
        <w:rPr>
          <w:rFonts w:eastAsiaTheme="minorHAnsi"/>
        </w:rPr>
        <w:t>=</w:t>
      </w:r>
      <w:r w:rsidR="00A114CD">
        <w:rPr>
          <w:rFonts w:eastAsiaTheme="minorHAnsi"/>
        </w:rPr>
        <w:t xml:space="preserve"> </w:t>
      </w:r>
      <w:r w:rsidR="00DA6B66" w:rsidRPr="009C3D83">
        <w:rPr>
          <w:rFonts w:eastAsiaTheme="minorHAnsi"/>
        </w:rPr>
        <w:t>206 kJ</w:t>
      </w:r>
      <w:r w:rsidR="00700399">
        <w:rPr>
          <w:rFonts w:eastAsiaTheme="minorHAnsi"/>
        </w:rPr>
        <w:t xml:space="preserve"> </w:t>
      </w:r>
      <w:r w:rsidR="00DA6B66" w:rsidRPr="009C3D83">
        <w:rPr>
          <w:rFonts w:eastAsiaTheme="minorHAnsi"/>
        </w:rPr>
        <w:t>mol</w:t>
      </w:r>
      <w:r w:rsidR="00700399" w:rsidRPr="00700399">
        <w:rPr>
          <w:rFonts w:eastAsiaTheme="minorHAnsi"/>
          <w:vertAlign w:val="superscript"/>
        </w:rPr>
        <w:t>-1</w:t>
      </w:r>
      <w:r w:rsidR="00DA6B66" w:rsidRPr="009C3D83">
        <w:rPr>
          <w:rFonts w:eastAsia="Arial"/>
        </w:rPr>
        <w:t xml:space="preserve"> for </w:t>
      </w:r>
      <w:r w:rsidRPr="009C3D83">
        <w:rPr>
          <w:rFonts w:eastAsia="Arial"/>
        </w:rPr>
        <w:t>SMR</w:t>
      </w:r>
      <w:r w:rsidR="00DA6B66" w:rsidRPr="009C3D83">
        <w:rPr>
          <w:rFonts w:eastAsiaTheme="minorHAnsi"/>
        </w:rPr>
        <w:t xml:space="preserve"> and </w:t>
      </w:r>
      <w:r w:rsidR="00DE56CA" w:rsidRPr="009C3D83">
        <w:rPr>
          <w:rFonts w:eastAsiaTheme="minorHAnsi"/>
        </w:rPr>
        <w:t>247</w:t>
      </w:r>
      <w:r w:rsidR="00DA6B66" w:rsidRPr="009C3D83">
        <w:rPr>
          <w:rFonts w:eastAsiaTheme="minorHAnsi"/>
        </w:rPr>
        <w:t xml:space="preserve"> kJ</w:t>
      </w:r>
      <w:r w:rsidR="00700399">
        <w:rPr>
          <w:rFonts w:eastAsiaTheme="minorHAnsi"/>
        </w:rPr>
        <w:t xml:space="preserve"> </w:t>
      </w:r>
      <w:r w:rsidR="00DA6B66" w:rsidRPr="009C3D83">
        <w:rPr>
          <w:rFonts w:eastAsiaTheme="minorHAnsi"/>
        </w:rPr>
        <w:t>mol</w:t>
      </w:r>
      <w:r w:rsidR="00700399" w:rsidRPr="00700399">
        <w:rPr>
          <w:rFonts w:eastAsiaTheme="minorHAnsi"/>
          <w:vertAlign w:val="superscript"/>
        </w:rPr>
        <w:t>-1</w:t>
      </w:r>
      <w:r w:rsidR="00DA6B66" w:rsidRPr="009C3D83">
        <w:rPr>
          <w:rFonts w:eastAsiaTheme="minorHAnsi"/>
        </w:rPr>
        <w:t xml:space="preserve"> </w:t>
      </w:r>
      <w:r w:rsidR="000A3251" w:rsidRPr="009C3D83">
        <w:rPr>
          <w:rFonts w:eastAsiaTheme="minorHAnsi"/>
        </w:rPr>
        <w:t>for DR</w:t>
      </w:r>
      <w:r w:rsidR="00DA6B66" w:rsidRPr="009C3D83">
        <w:rPr>
          <w:rFonts w:eastAsiaTheme="minorHAnsi"/>
        </w:rPr>
        <w:t xml:space="preserve"> </w:t>
      </w:r>
      <w:r w:rsidR="00310B33" w:rsidRPr="009C3D83">
        <w:rPr>
          <w:rFonts w:eastAsiaTheme="minorHAnsi"/>
        </w:rPr>
        <w:t xml:space="preserve">(Xu </w:t>
      </w:r>
      <w:r w:rsidR="000A3251" w:rsidRPr="009C3D83">
        <w:rPr>
          <w:rFonts w:eastAsiaTheme="minorHAnsi"/>
        </w:rPr>
        <w:t xml:space="preserve">and </w:t>
      </w:r>
      <w:proofErr w:type="spellStart"/>
      <w:r w:rsidR="00310B33" w:rsidRPr="009C3D83">
        <w:rPr>
          <w:rFonts w:eastAsiaTheme="minorHAnsi"/>
        </w:rPr>
        <w:t>Froment</w:t>
      </w:r>
      <w:proofErr w:type="spellEnd"/>
      <w:r w:rsidR="00310B33" w:rsidRPr="009C3D83">
        <w:rPr>
          <w:rFonts w:eastAsiaTheme="minorHAnsi"/>
        </w:rPr>
        <w:t>, 1989</w:t>
      </w:r>
      <w:r w:rsidR="00A114CD" w:rsidRPr="009C3D83">
        <w:rPr>
          <w:rFonts w:eastAsiaTheme="minorHAnsi"/>
        </w:rPr>
        <w:t>), while</w:t>
      </w:r>
      <w:r w:rsidR="006F2BCE" w:rsidRPr="009C3D83">
        <w:rPr>
          <w:rFonts w:eastAsiaTheme="minorHAnsi"/>
        </w:rPr>
        <w:t xml:space="preserve"> the </w:t>
      </w:r>
      <w:r w:rsidR="00A114CD">
        <w:rPr>
          <w:rFonts w:eastAsiaTheme="minorHAnsi"/>
        </w:rPr>
        <w:t>WGS</w:t>
      </w:r>
      <w:r w:rsidR="006F2BCE" w:rsidRPr="009C3D83">
        <w:rPr>
          <w:rFonts w:eastAsiaTheme="minorHAnsi"/>
        </w:rPr>
        <w:t xml:space="preserve"> reaction is </w:t>
      </w:r>
      <w:r w:rsidR="00A114CD" w:rsidRPr="009C3D83">
        <w:rPr>
          <w:rFonts w:eastAsiaTheme="minorHAnsi"/>
        </w:rPr>
        <w:t>exothermic</w:t>
      </w:r>
      <w:r w:rsidR="006F2BCE" w:rsidRPr="009C3D83">
        <w:rPr>
          <w:rFonts w:eastAsiaTheme="minorHAnsi"/>
        </w:rPr>
        <w:t xml:space="preserve"> with</w:t>
      </w:r>
      <w:r w:rsidR="00C23C20" w:rsidRPr="009C3D83">
        <w:rPr>
          <w:rFonts w:eastAsiaTheme="minorHAnsi"/>
        </w:rPr>
        <w:t xml:space="preserve"> </w:t>
      </w:r>
      <m:oMath>
        <m:r>
          <w:rPr>
            <w:rFonts w:ascii="Cambria Math" w:eastAsiaTheme="minorHAnsi" w:hAnsi="Cambria Math"/>
          </w:rPr>
          <m:t>∆</m:t>
        </m:r>
      </m:oMath>
      <w:r w:rsidR="006F2BCE" w:rsidRPr="009C3D83">
        <w:rPr>
          <w:rFonts w:eastAsiaTheme="minorHAnsi"/>
        </w:rPr>
        <w:t>H</w:t>
      </w:r>
      <w:r w:rsidR="006F2BCE" w:rsidRPr="00A114CD">
        <w:rPr>
          <w:rFonts w:eastAsiaTheme="minorHAnsi"/>
          <w:vertAlign w:val="subscript"/>
        </w:rPr>
        <w:t>298</w:t>
      </w:r>
      <w:r w:rsidR="00A114CD">
        <w:rPr>
          <w:rFonts w:eastAsiaTheme="minorHAnsi"/>
          <w:vertAlign w:val="subscript"/>
        </w:rPr>
        <w:t xml:space="preserve"> </w:t>
      </w:r>
      <w:r w:rsidR="006F2BCE" w:rsidRPr="009C3D83">
        <w:rPr>
          <w:rFonts w:eastAsiaTheme="minorHAnsi"/>
        </w:rPr>
        <w:t>=</w:t>
      </w:r>
      <w:r w:rsidR="00A114CD">
        <w:rPr>
          <w:rFonts w:eastAsiaTheme="minorHAnsi"/>
        </w:rPr>
        <w:t xml:space="preserve"> </w:t>
      </w:r>
      <w:r w:rsidR="006F2BCE" w:rsidRPr="009C3D83">
        <w:rPr>
          <w:rFonts w:eastAsiaTheme="minorHAnsi"/>
        </w:rPr>
        <w:t>-41 kJ</w:t>
      </w:r>
      <w:r w:rsidR="00700399">
        <w:rPr>
          <w:rFonts w:eastAsiaTheme="minorHAnsi"/>
        </w:rPr>
        <w:t xml:space="preserve"> </w:t>
      </w:r>
      <w:r w:rsidR="006F2BCE" w:rsidRPr="009C3D83">
        <w:rPr>
          <w:rFonts w:eastAsiaTheme="minorHAnsi"/>
        </w:rPr>
        <w:t>mol</w:t>
      </w:r>
      <w:r w:rsidR="00700399" w:rsidRPr="00700399">
        <w:rPr>
          <w:rFonts w:eastAsiaTheme="minorHAnsi"/>
          <w:vertAlign w:val="superscript"/>
        </w:rPr>
        <w:t>-1</w:t>
      </w:r>
      <w:r w:rsidR="006F2BCE" w:rsidRPr="009C3D83">
        <w:rPr>
          <w:rFonts w:eastAsia="Arial"/>
        </w:rPr>
        <w:t>.</w:t>
      </w:r>
      <w:r w:rsidR="009C3D83">
        <w:rPr>
          <w:rFonts w:eastAsia="Arial"/>
        </w:rPr>
        <w:t xml:space="preserve"> </w:t>
      </w:r>
      <w:r w:rsidR="006F2BCE" w:rsidRPr="009C3D83">
        <w:rPr>
          <w:rFonts w:eastAsiaTheme="minorHAnsi"/>
        </w:rPr>
        <w:t>Both reforming</w:t>
      </w:r>
      <w:r w:rsidR="006F2BCE">
        <w:rPr>
          <w:rFonts w:eastAsiaTheme="minorHAnsi"/>
          <w:color w:val="000000" w:themeColor="text1"/>
        </w:rPr>
        <w:t xml:space="preserve"> reactions</w:t>
      </w:r>
      <w:r w:rsidR="00DA6B66" w:rsidRPr="00DA6B66">
        <w:rPr>
          <w:rFonts w:eastAsiaTheme="minorHAnsi"/>
          <w:color w:val="000000" w:themeColor="text1"/>
        </w:rPr>
        <w:t xml:space="preserve"> </w:t>
      </w:r>
      <w:r w:rsidR="00614694">
        <w:rPr>
          <w:rFonts w:eastAsiaTheme="minorHAnsi"/>
          <w:color w:val="000000" w:themeColor="text1"/>
        </w:rPr>
        <w:t>lead to</w:t>
      </w:r>
      <w:r w:rsidR="00DA6B66" w:rsidRPr="00DA6B66">
        <w:rPr>
          <w:rFonts w:eastAsiaTheme="minorHAnsi"/>
        </w:rPr>
        <w:t xml:space="preserve"> </w:t>
      </w:r>
      <w:r w:rsidR="00077BC7">
        <w:rPr>
          <w:rFonts w:eastAsiaTheme="minorHAnsi"/>
        </w:rPr>
        <w:t xml:space="preserve">a </w:t>
      </w:r>
      <w:r w:rsidR="00267CF8">
        <w:rPr>
          <w:rFonts w:eastAsiaTheme="minorHAnsi"/>
        </w:rPr>
        <w:t xml:space="preserve">higher </w:t>
      </w:r>
      <w:r w:rsidR="00DA6B66" w:rsidRPr="00DA6B66">
        <w:rPr>
          <w:rFonts w:eastAsiaTheme="minorHAnsi"/>
        </w:rPr>
        <w:t xml:space="preserve">number of moles. </w:t>
      </w:r>
      <w:r w:rsidR="00F407A0">
        <w:rPr>
          <w:rFonts w:eastAsiaTheme="minorHAnsi"/>
        </w:rPr>
        <w:t xml:space="preserve">The reformer </w:t>
      </w:r>
      <w:r w:rsidR="00616599">
        <w:rPr>
          <w:rFonts w:eastAsiaTheme="minorHAnsi"/>
        </w:rPr>
        <w:t>converts</w:t>
      </w:r>
      <w:r w:rsidR="00CF6EEA">
        <w:rPr>
          <w:rFonts w:eastAsiaTheme="minorHAnsi"/>
        </w:rPr>
        <w:t xml:space="preserve"> 0.66 </w:t>
      </w:r>
      <w:proofErr w:type="spellStart"/>
      <w:r w:rsidR="00BA6D2A">
        <w:rPr>
          <w:rFonts w:eastAsiaTheme="minorHAnsi"/>
        </w:rPr>
        <w:t>k</w:t>
      </w:r>
      <w:r w:rsidR="00CF6EEA">
        <w:rPr>
          <w:rFonts w:eastAsiaTheme="minorHAnsi"/>
        </w:rPr>
        <w:t>mol</w:t>
      </w:r>
      <w:proofErr w:type="spellEnd"/>
      <w:r w:rsidR="00CF6EEA">
        <w:rPr>
          <w:rFonts w:eastAsiaTheme="minorHAnsi"/>
        </w:rPr>
        <w:t xml:space="preserve"> h</w:t>
      </w:r>
      <w:r w:rsidR="00CF6EEA" w:rsidRPr="00CF6EEA">
        <w:rPr>
          <w:rFonts w:eastAsiaTheme="minorHAnsi"/>
          <w:vertAlign w:val="superscript"/>
        </w:rPr>
        <w:t>-1</w:t>
      </w:r>
      <w:r w:rsidR="00616599">
        <w:rPr>
          <w:rFonts w:eastAsiaTheme="minorHAnsi"/>
        </w:rPr>
        <w:t xml:space="preserve"> </w:t>
      </w:r>
      <w:r w:rsidR="00A51132">
        <w:rPr>
          <w:rFonts w:eastAsiaTheme="minorHAnsi"/>
        </w:rPr>
        <w:t xml:space="preserve">and </w:t>
      </w:r>
      <w:r w:rsidR="00F407A0">
        <w:rPr>
          <w:rFonts w:eastAsiaTheme="minorHAnsi"/>
        </w:rPr>
        <w:t>operates at</w:t>
      </w:r>
      <w:r w:rsidR="00F407A0" w:rsidRPr="00DA6B66">
        <w:rPr>
          <w:rFonts w:eastAsiaTheme="minorHAnsi"/>
        </w:rPr>
        <w:t xml:space="preserve"> </w:t>
      </w:r>
      <w:r w:rsidR="00DA6B66" w:rsidRPr="00DA6B66">
        <w:rPr>
          <w:rFonts w:eastAsiaTheme="minorHAnsi"/>
        </w:rPr>
        <w:t>15 bar</w:t>
      </w:r>
      <w:r w:rsidR="00267CF8">
        <w:rPr>
          <w:rFonts w:eastAsiaTheme="minorHAnsi"/>
        </w:rPr>
        <w:t xml:space="preserve"> and </w:t>
      </w:r>
      <w:r w:rsidR="00DA6B66" w:rsidRPr="00DA6B66">
        <w:rPr>
          <w:rFonts w:eastAsiaTheme="minorHAnsi"/>
        </w:rPr>
        <w:t xml:space="preserve">950 °C </w:t>
      </w:r>
      <w:r w:rsidR="00F407A0">
        <w:rPr>
          <w:rFonts w:eastAsiaTheme="minorHAnsi"/>
        </w:rPr>
        <w:t>with a</w:t>
      </w:r>
      <w:r w:rsidR="00DA6B66" w:rsidRPr="00DA6B66">
        <w:rPr>
          <w:rFonts w:eastAsiaTheme="minorHAnsi"/>
        </w:rPr>
        <w:t xml:space="preserve"> </w:t>
      </w:r>
      <w:r w:rsidR="00C23C20">
        <w:rPr>
          <w:rFonts w:eastAsiaTheme="minorHAnsi"/>
        </w:rPr>
        <w:t>steam to carbon ratio (</w:t>
      </w:r>
      <w:r w:rsidR="00DA6B66" w:rsidRPr="00DA6B66">
        <w:rPr>
          <w:rFonts w:eastAsiaTheme="minorHAnsi"/>
        </w:rPr>
        <w:t>S/C</w:t>
      </w:r>
      <w:r w:rsidR="00C23C20">
        <w:rPr>
          <w:rFonts w:eastAsiaTheme="minorHAnsi"/>
        </w:rPr>
        <w:t>)</w:t>
      </w:r>
      <w:r w:rsidR="00DA6B66" w:rsidRPr="00DA6B66">
        <w:rPr>
          <w:rFonts w:eastAsiaTheme="minorHAnsi"/>
        </w:rPr>
        <w:t xml:space="preserve"> </w:t>
      </w:r>
      <w:r w:rsidR="00F407A0">
        <w:rPr>
          <w:rFonts w:eastAsiaTheme="minorHAnsi"/>
        </w:rPr>
        <w:t xml:space="preserve">of </w:t>
      </w:r>
      <w:r w:rsidR="00DA6B66" w:rsidRPr="00DA6B66">
        <w:rPr>
          <w:rFonts w:eastAsiaTheme="minorHAnsi"/>
        </w:rPr>
        <w:t xml:space="preserve">2. </w:t>
      </w:r>
      <w:r w:rsidR="00DA6B66" w:rsidRPr="00DA6B66">
        <w:t>Commercially</w:t>
      </w:r>
      <w:r w:rsidR="00DA6B66" w:rsidRPr="00DA6B66">
        <w:rPr>
          <w:spacing w:val="-4"/>
        </w:rPr>
        <w:t xml:space="preserve"> </w:t>
      </w:r>
      <w:r w:rsidR="00F407A0">
        <w:t>Ni</w:t>
      </w:r>
      <w:r w:rsidR="00DA6B66" w:rsidRPr="00DA6B66">
        <w:t>-based</w:t>
      </w:r>
      <w:r w:rsidR="00DA6B66" w:rsidRPr="00DA6B66">
        <w:rPr>
          <w:spacing w:val="-4"/>
        </w:rPr>
        <w:t xml:space="preserve"> </w:t>
      </w:r>
      <w:r w:rsidR="00DA6B66" w:rsidRPr="00DA6B66">
        <w:t>catalyst</w:t>
      </w:r>
      <w:r w:rsidR="00EE4E03">
        <w:t>s</w:t>
      </w:r>
      <w:r w:rsidR="00DA6B66" w:rsidRPr="00DA6B66">
        <w:rPr>
          <w:spacing w:val="-4"/>
        </w:rPr>
        <w:t xml:space="preserve"> </w:t>
      </w:r>
      <w:r w:rsidR="004D5704">
        <w:rPr>
          <w:spacing w:val="-4"/>
        </w:rPr>
        <w:t>can</w:t>
      </w:r>
      <w:r w:rsidR="00DA6B66" w:rsidRPr="00DA6B66">
        <w:rPr>
          <w:spacing w:val="-4"/>
        </w:rPr>
        <w:t xml:space="preserve"> </w:t>
      </w:r>
      <w:r w:rsidR="00DA6B66" w:rsidRPr="00DA6B66">
        <w:t>operate</w:t>
      </w:r>
      <w:r w:rsidR="00DA6B66" w:rsidRPr="00DA6B66">
        <w:rPr>
          <w:spacing w:val="-5"/>
        </w:rPr>
        <w:t xml:space="preserve"> </w:t>
      </w:r>
      <w:r w:rsidR="00FD31D7">
        <w:rPr>
          <w:spacing w:val="-5"/>
        </w:rPr>
        <w:t>under</w:t>
      </w:r>
      <w:r w:rsidR="004D5704">
        <w:rPr>
          <w:spacing w:val="-5"/>
        </w:rPr>
        <w:t xml:space="preserve"> these </w:t>
      </w:r>
      <w:r w:rsidR="00DA6B66" w:rsidRPr="00DA6B66">
        <w:t>condition</w:t>
      </w:r>
      <w:r w:rsidR="004D5704">
        <w:t>s</w:t>
      </w:r>
      <w:r w:rsidR="00412AEC">
        <w:t xml:space="preserve"> without coke formation</w:t>
      </w:r>
      <w:r w:rsidR="00DA6B66" w:rsidRPr="00DA6B66">
        <w:t xml:space="preserve"> (Lavoie,</w:t>
      </w:r>
      <w:r w:rsidR="004D5704">
        <w:t xml:space="preserve"> </w:t>
      </w:r>
      <w:r w:rsidR="00DA6B66" w:rsidRPr="00DA6B66">
        <w:t>2014)</w:t>
      </w:r>
      <w:r w:rsidR="00FD31D7">
        <w:t>. T</w:t>
      </w:r>
      <w:r w:rsidR="00412AEC">
        <w:t xml:space="preserve">hese conditions also </w:t>
      </w:r>
      <w:r w:rsidR="001162D3">
        <w:t>favor</w:t>
      </w:r>
      <w:r w:rsidR="00412AEC">
        <w:t xml:space="preserve"> </w:t>
      </w:r>
      <w:r w:rsidR="00A114CD">
        <w:rPr>
          <w:rFonts w:eastAsiaTheme="minorHAnsi"/>
        </w:rPr>
        <w:t>a</w:t>
      </w:r>
      <w:r w:rsidR="00267CF8">
        <w:rPr>
          <w:rFonts w:eastAsiaTheme="minorHAnsi"/>
        </w:rPr>
        <w:t xml:space="preserve"> </w:t>
      </w:r>
      <w:r w:rsidR="000C20E2">
        <w:rPr>
          <w:rFonts w:eastAsiaTheme="minorHAnsi"/>
        </w:rPr>
        <w:t>higher</w:t>
      </w:r>
      <w:r w:rsidR="00267CF8">
        <w:rPr>
          <w:rFonts w:eastAsiaTheme="minorHAnsi"/>
        </w:rPr>
        <w:t xml:space="preserve"> </w:t>
      </w:r>
      <w:r w:rsidR="000C20E2" w:rsidRPr="00DA6B66">
        <w:rPr>
          <w:rFonts w:eastAsiaTheme="minorHAnsi"/>
        </w:rPr>
        <w:t>H</w:t>
      </w:r>
      <w:r w:rsidR="000C20E2" w:rsidRPr="00DA6B66">
        <w:rPr>
          <w:rFonts w:eastAsiaTheme="minorHAnsi"/>
          <w:vertAlign w:val="subscript"/>
        </w:rPr>
        <w:t>2</w:t>
      </w:r>
      <w:r w:rsidR="000231E3" w:rsidRPr="000231E3">
        <w:rPr>
          <w:rFonts w:eastAsiaTheme="minorHAnsi"/>
        </w:rPr>
        <w:t>/CO</w:t>
      </w:r>
      <w:r w:rsidR="000231E3">
        <w:rPr>
          <w:rFonts w:eastAsiaTheme="minorHAnsi"/>
        </w:rPr>
        <w:t xml:space="preserve"> ratio </w:t>
      </w:r>
      <w:r w:rsidR="00412AEC">
        <w:rPr>
          <w:rFonts w:eastAsiaTheme="minorHAnsi"/>
        </w:rPr>
        <w:t xml:space="preserve">which is essential </w:t>
      </w:r>
      <w:r w:rsidR="00841FAD">
        <w:rPr>
          <w:rFonts w:eastAsiaTheme="minorHAnsi"/>
        </w:rPr>
        <w:t>for</w:t>
      </w:r>
      <w:r w:rsidR="00412AEC">
        <w:rPr>
          <w:rFonts w:eastAsiaTheme="minorHAnsi"/>
        </w:rPr>
        <w:t xml:space="preserve"> hydrogen production</w:t>
      </w:r>
      <w:r w:rsidR="000231E3">
        <w:rPr>
          <w:rFonts w:eastAsiaTheme="minorHAnsi"/>
        </w:rPr>
        <w:t>.</w:t>
      </w:r>
      <w:r w:rsidR="00DA6B66" w:rsidRPr="00DA6B66">
        <w:rPr>
          <w:color w:val="000000" w:themeColor="text1"/>
        </w:rPr>
        <w:t xml:space="preserve"> </w:t>
      </w:r>
      <w:r w:rsidR="00331F11">
        <w:rPr>
          <w:color w:val="000000" w:themeColor="text1"/>
        </w:rPr>
        <w:t xml:space="preserve">The lower pressure compared to the typical </w:t>
      </w:r>
      <w:r w:rsidR="00DA6B66" w:rsidRPr="00DA6B66">
        <w:t xml:space="preserve">value of </w:t>
      </w:r>
      <w:r w:rsidR="000C20E2">
        <w:t xml:space="preserve">approximately </w:t>
      </w:r>
      <w:r w:rsidR="00DA6B66" w:rsidRPr="00DA6B66">
        <w:t xml:space="preserve">30 bar </w:t>
      </w:r>
      <w:r w:rsidR="000C20E2">
        <w:t>is used to r</w:t>
      </w:r>
      <w:r w:rsidR="00331F11">
        <w:t>educ</w:t>
      </w:r>
      <w:r w:rsidR="000C20E2">
        <w:t xml:space="preserve">e </w:t>
      </w:r>
      <w:r w:rsidR="00331F11">
        <w:t>the</w:t>
      </w:r>
      <w:r w:rsidR="00BE2329">
        <w:t xml:space="preserve"> </w:t>
      </w:r>
      <w:r w:rsidR="00DA6B66" w:rsidRPr="00DA6B66">
        <w:t>carbon form</w:t>
      </w:r>
      <w:r w:rsidR="00267CF8">
        <w:t>ing potential</w:t>
      </w:r>
      <w:r w:rsidR="00585538">
        <w:t xml:space="preserve">, </w:t>
      </w:r>
      <w:r w:rsidR="00DA6B66" w:rsidRPr="00DA6B66">
        <w:t>which</w:t>
      </w:r>
      <w:r w:rsidR="000C20E2">
        <w:t xml:space="preserve"> is</w:t>
      </w:r>
      <w:r w:rsidR="00267CF8">
        <w:t xml:space="preserve"> high </w:t>
      </w:r>
      <w:r w:rsidR="000C20E2">
        <w:t>when</w:t>
      </w:r>
      <w:r w:rsidR="00DA6B66" w:rsidRPr="00DA6B66">
        <w:t xml:space="preserve"> reforming CH</w:t>
      </w:r>
      <w:r w:rsidR="00DA6B66" w:rsidRPr="00DA6B66">
        <w:rPr>
          <w:vertAlign w:val="subscript"/>
        </w:rPr>
        <w:t>4</w:t>
      </w:r>
      <w:r w:rsidR="00DA6B66" w:rsidRPr="00DA6B66">
        <w:t>, H</w:t>
      </w:r>
      <w:r w:rsidR="00DA6B66" w:rsidRPr="00DA6B66">
        <w:rPr>
          <w:vertAlign w:val="subscript"/>
        </w:rPr>
        <w:t>2</w:t>
      </w:r>
      <w:r w:rsidR="00DA6B66" w:rsidRPr="00DA6B66">
        <w:t>O</w:t>
      </w:r>
      <w:r w:rsidR="000C20E2">
        <w:t>,</w:t>
      </w:r>
      <w:r w:rsidR="00DA6B66" w:rsidRPr="00DA6B66">
        <w:t xml:space="preserve"> and CO</w:t>
      </w:r>
      <w:r w:rsidR="00DA6B66" w:rsidRPr="00DA6B66">
        <w:rPr>
          <w:vertAlign w:val="subscript"/>
        </w:rPr>
        <w:t>2</w:t>
      </w:r>
      <w:r w:rsidR="00DA6B66" w:rsidRPr="00DA6B66">
        <w:t xml:space="preserve"> mixtures. </w:t>
      </w:r>
      <w:r w:rsidR="000C20E2">
        <w:t>At the same time</w:t>
      </w:r>
      <w:r w:rsidR="00EE4E03">
        <w:t>,</w:t>
      </w:r>
      <w:r w:rsidR="000C20E2">
        <w:t xml:space="preserve"> the</w:t>
      </w:r>
      <w:r w:rsidR="00BE2329">
        <w:t xml:space="preserve"> lower </w:t>
      </w:r>
      <w:r w:rsidR="00DA6B66" w:rsidRPr="00DA6B66">
        <w:t xml:space="preserve">pressure </w:t>
      </w:r>
      <w:r w:rsidR="00BE2329">
        <w:t xml:space="preserve">enhances the </w:t>
      </w:r>
      <w:r w:rsidR="00DA6B66" w:rsidRPr="00DA6B66">
        <w:t>conversion</w:t>
      </w:r>
      <w:r w:rsidR="00BE2329">
        <w:t xml:space="preserve"> of methane</w:t>
      </w:r>
      <w:r w:rsidR="00E7099F">
        <w:t xml:space="preserve"> </w:t>
      </w:r>
      <w:r w:rsidR="0072461F" w:rsidRPr="002B7CF5">
        <w:rPr>
          <w:noProof/>
          <w:lang w:val="en-CA"/>
        </w:rPr>
        <w:t>(Seo et al., 2002)</w:t>
      </w:r>
      <w:r w:rsidR="005F7E3C">
        <w:rPr>
          <w:noProof/>
          <w:lang w:val="en-CA"/>
        </w:rPr>
        <w:t>,</w:t>
      </w:r>
      <w:r w:rsidR="00267CF8">
        <w:rPr>
          <w:noProof/>
          <w:color w:val="000000" w:themeColor="text1"/>
          <w:lang w:val="en-CA"/>
        </w:rPr>
        <w:t xml:space="preserve"> </w:t>
      </w:r>
      <w:r w:rsidR="005F7E3C">
        <w:rPr>
          <w:noProof/>
          <w:color w:val="000000" w:themeColor="text1"/>
          <w:lang w:val="en-CA"/>
        </w:rPr>
        <w:t>which</w:t>
      </w:r>
      <w:r w:rsidR="00267CF8">
        <w:rPr>
          <w:noProof/>
          <w:color w:val="000000" w:themeColor="text1"/>
          <w:lang w:val="en-CA"/>
        </w:rPr>
        <w:t xml:space="preserve"> is</w:t>
      </w:r>
      <w:r w:rsidR="000231E3">
        <w:rPr>
          <w:noProof/>
          <w:color w:val="000000" w:themeColor="text1"/>
          <w:lang w:val="en-CA"/>
        </w:rPr>
        <w:t xml:space="preserve"> </w:t>
      </w:r>
      <w:r w:rsidR="005F7E3C">
        <w:rPr>
          <w:noProof/>
          <w:color w:val="000000" w:themeColor="text1"/>
          <w:lang w:val="en-CA"/>
        </w:rPr>
        <w:t>t</w:t>
      </w:r>
      <w:r w:rsidR="0055392D">
        <w:rPr>
          <w:noProof/>
          <w:color w:val="000000" w:themeColor="text1"/>
          <w:lang w:val="en-CA"/>
        </w:rPr>
        <w:t>y</w:t>
      </w:r>
      <w:r w:rsidR="005F7E3C">
        <w:rPr>
          <w:noProof/>
          <w:color w:val="000000" w:themeColor="text1"/>
          <w:lang w:val="en-CA"/>
        </w:rPr>
        <w:t>pical</w:t>
      </w:r>
      <w:r w:rsidR="000231E3">
        <w:rPr>
          <w:noProof/>
          <w:color w:val="000000" w:themeColor="text1"/>
          <w:lang w:val="en-CA"/>
        </w:rPr>
        <w:t xml:space="preserve"> </w:t>
      </w:r>
      <w:r w:rsidR="00267CF8">
        <w:rPr>
          <w:noProof/>
          <w:color w:val="000000" w:themeColor="text1"/>
          <w:lang w:val="en-CA"/>
        </w:rPr>
        <w:t xml:space="preserve">for </w:t>
      </w:r>
      <w:r w:rsidR="005F7E3C">
        <w:rPr>
          <w:noProof/>
          <w:color w:val="000000" w:themeColor="text1"/>
          <w:lang w:val="en-CA"/>
        </w:rPr>
        <w:t xml:space="preserve">the </w:t>
      </w:r>
      <w:r w:rsidR="000231E3">
        <w:rPr>
          <w:noProof/>
          <w:color w:val="000000" w:themeColor="text1"/>
          <w:lang w:val="en-CA"/>
        </w:rPr>
        <w:t xml:space="preserve">electrically heated SMR </w:t>
      </w:r>
      <w:r w:rsidR="00B80B2E">
        <w:rPr>
          <w:noProof/>
          <w:color w:val="000000" w:themeColor="text1"/>
          <w:lang w:val="en-CA"/>
        </w:rPr>
        <w:t>process</w:t>
      </w:r>
      <w:r w:rsidR="00B80B2E" w:rsidRPr="00DA6B66">
        <w:rPr>
          <w:color w:val="000000" w:themeColor="text1"/>
        </w:rPr>
        <w:t>.</w:t>
      </w:r>
    </w:p>
    <w:p w14:paraId="0F7E6296" w14:textId="058AC365" w:rsidR="005C4A65" w:rsidRDefault="00B80B2E" w:rsidP="00D0760B">
      <w:pPr>
        <w:pStyle w:val="CETBodytext"/>
        <w:rPr>
          <w:rFonts w:eastAsiaTheme="minorHAnsi"/>
        </w:rPr>
      </w:pPr>
      <w:r w:rsidRPr="00DA6B66">
        <w:rPr>
          <w:rFonts w:eastAsiaTheme="minorHAnsi"/>
        </w:rPr>
        <w:t>The</w:t>
      </w:r>
      <w:r w:rsidR="00DA6B66" w:rsidRPr="00DA6B66">
        <w:rPr>
          <w:rFonts w:eastAsiaTheme="minorHAnsi"/>
        </w:rPr>
        <w:t xml:space="preserve"> WGS reaction is </w:t>
      </w:r>
      <w:r w:rsidR="00267CF8">
        <w:rPr>
          <w:rFonts w:eastAsiaTheme="minorHAnsi"/>
        </w:rPr>
        <w:t>completed</w:t>
      </w:r>
      <w:r w:rsidR="00DA6B66" w:rsidRPr="00DA6B66">
        <w:rPr>
          <w:rFonts w:eastAsiaTheme="minorHAnsi"/>
        </w:rPr>
        <w:t xml:space="preserve"> in </w:t>
      </w:r>
      <w:r w:rsidR="00EE0976">
        <w:rPr>
          <w:rFonts w:eastAsiaTheme="minorHAnsi"/>
        </w:rPr>
        <w:t>two</w:t>
      </w:r>
      <w:r w:rsidR="00EE0976" w:rsidRPr="00DA6B66">
        <w:rPr>
          <w:rFonts w:eastAsiaTheme="minorHAnsi"/>
        </w:rPr>
        <w:t xml:space="preserve"> </w:t>
      </w:r>
      <w:r w:rsidR="00DA6B66" w:rsidRPr="00DA6B66">
        <w:rPr>
          <w:rFonts w:eastAsiaTheme="minorHAnsi"/>
        </w:rPr>
        <w:t>steps</w:t>
      </w:r>
      <w:r w:rsidR="003A7CC7">
        <w:rPr>
          <w:rFonts w:eastAsiaTheme="minorHAnsi"/>
        </w:rPr>
        <w:t xml:space="preserve"> respectively</w:t>
      </w:r>
      <w:r w:rsidR="005F7E3C">
        <w:rPr>
          <w:rFonts w:eastAsiaTheme="minorHAnsi"/>
        </w:rPr>
        <w:t>,</w:t>
      </w:r>
      <w:r w:rsidR="003A7CC7">
        <w:rPr>
          <w:rFonts w:eastAsiaTheme="minorHAnsi"/>
        </w:rPr>
        <w:t xml:space="preserve"> </w:t>
      </w:r>
      <w:r w:rsidR="00267CF8">
        <w:rPr>
          <w:rFonts w:eastAsiaTheme="minorHAnsi"/>
        </w:rPr>
        <w:t xml:space="preserve">working </w:t>
      </w:r>
      <w:r w:rsidR="00231D17">
        <w:rPr>
          <w:rFonts w:eastAsiaTheme="minorHAnsi"/>
        </w:rPr>
        <w:t>from</w:t>
      </w:r>
      <w:r w:rsidR="000231E3">
        <w:rPr>
          <w:rFonts w:eastAsiaTheme="minorHAnsi"/>
        </w:rPr>
        <w:t xml:space="preserve"> 3</w:t>
      </w:r>
      <w:r>
        <w:rPr>
          <w:rFonts w:eastAsiaTheme="minorHAnsi"/>
        </w:rPr>
        <w:t>3</w:t>
      </w:r>
      <w:r w:rsidR="00DA6B66" w:rsidRPr="00DA6B66">
        <w:rPr>
          <w:rFonts w:eastAsiaTheme="minorHAnsi"/>
        </w:rPr>
        <w:t>0</w:t>
      </w:r>
      <w:r w:rsidR="000231E3">
        <w:rPr>
          <w:rFonts w:eastAsiaTheme="minorHAnsi"/>
        </w:rPr>
        <w:t xml:space="preserve"> °C </w:t>
      </w:r>
      <w:r w:rsidR="00231D17">
        <w:rPr>
          <w:rFonts w:eastAsiaTheme="minorHAnsi"/>
        </w:rPr>
        <w:t>to</w:t>
      </w:r>
      <w:r w:rsidR="000231E3">
        <w:rPr>
          <w:rFonts w:eastAsiaTheme="minorHAnsi"/>
        </w:rPr>
        <w:t xml:space="preserve"> </w:t>
      </w:r>
      <w:r w:rsidR="007708A6">
        <w:rPr>
          <w:rFonts w:eastAsiaTheme="minorHAnsi"/>
        </w:rPr>
        <w:t>470</w:t>
      </w:r>
      <w:r w:rsidR="00DA6B66" w:rsidRPr="00DA6B66">
        <w:rPr>
          <w:rFonts w:eastAsiaTheme="minorHAnsi"/>
        </w:rPr>
        <w:t xml:space="preserve"> °C </w:t>
      </w:r>
      <w:r w:rsidR="003A7CC7">
        <w:rPr>
          <w:rFonts w:eastAsiaTheme="minorHAnsi"/>
        </w:rPr>
        <w:t xml:space="preserve">(high-temperature WGS, HT-WGS) and </w:t>
      </w:r>
      <w:r w:rsidR="00231D17">
        <w:rPr>
          <w:rFonts w:eastAsiaTheme="minorHAnsi"/>
        </w:rPr>
        <w:t xml:space="preserve">from </w:t>
      </w:r>
      <w:r w:rsidR="00DA6B66" w:rsidRPr="00DA6B66">
        <w:rPr>
          <w:rFonts w:eastAsiaTheme="minorHAnsi"/>
        </w:rPr>
        <w:t>1</w:t>
      </w:r>
      <w:r w:rsidR="007708A6">
        <w:rPr>
          <w:rFonts w:eastAsiaTheme="minorHAnsi"/>
        </w:rPr>
        <w:t>9</w:t>
      </w:r>
      <w:r w:rsidR="00DA6B66" w:rsidRPr="00DA6B66">
        <w:rPr>
          <w:rFonts w:eastAsiaTheme="minorHAnsi"/>
        </w:rPr>
        <w:t>5</w:t>
      </w:r>
      <w:r w:rsidR="00231D17">
        <w:rPr>
          <w:rFonts w:eastAsiaTheme="minorHAnsi"/>
        </w:rPr>
        <w:t xml:space="preserve">°C </w:t>
      </w:r>
      <w:r w:rsidR="007708A6">
        <w:rPr>
          <w:rFonts w:eastAsiaTheme="minorHAnsi"/>
        </w:rPr>
        <w:t>to</w:t>
      </w:r>
      <w:r w:rsidR="00231D17">
        <w:rPr>
          <w:rFonts w:eastAsiaTheme="minorHAnsi"/>
        </w:rPr>
        <w:t xml:space="preserve"> </w:t>
      </w:r>
      <w:r w:rsidR="00DA6B66" w:rsidRPr="00DA6B66">
        <w:rPr>
          <w:rFonts w:eastAsiaTheme="minorHAnsi"/>
        </w:rPr>
        <w:t>2</w:t>
      </w:r>
      <w:r w:rsidR="007708A6">
        <w:rPr>
          <w:rFonts w:eastAsiaTheme="minorHAnsi"/>
        </w:rPr>
        <w:t>35</w:t>
      </w:r>
      <w:r w:rsidR="00DA6B66" w:rsidRPr="00DA6B66">
        <w:rPr>
          <w:rFonts w:eastAsiaTheme="minorHAnsi"/>
        </w:rPr>
        <w:t xml:space="preserve"> °C </w:t>
      </w:r>
      <w:r w:rsidR="003A7CC7">
        <w:rPr>
          <w:rFonts w:eastAsiaTheme="minorHAnsi"/>
        </w:rPr>
        <w:t>(low-temperature WGS, LT-WGS)</w:t>
      </w:r>
      <w:r w:rsidR="00231D17">
        <w:rPr>
          <w:rFonts w:eastAsiaTheme="minorHAnsi"/>
        </w:rPr>
        <w:t>. The</w:t>
      </w:r>
      <w:r w:rsidR="007708A6">
        <w:rPr>
          <w:rFonts w:eastAsiaTheme="minorHAnsi"/>
        </w:rPr>
        <w:t xml:space="preserve"> inlet temperature of the two WGS steps</w:t>
      </w:r>
      <w:r w:rsidR="00231D17">
        <w:rPr>
          <w:rFonts w:eastAsiaTheme="minorHAnsi"/>
        </w:rPr>
        <w:t xml:space="preserve"> </w:t>
      </w:r>
      <w:r w:rsidR="00EE4E03">
        <w:rPr>
          <w:rFonts w:eastAsiaTheme="minorHAnsi"/>
        </w:rPr>
        <w:t>is</w:t>
      </w:r>
      <w:r w:rsidR="00324EE7">
        <w:rPr>
          <w:rFonts w:eastAsiaTheme="minorHAnsi"/>
        </w:rPr>
        <w:t xml:space="preserve"> in line with </w:t>
      </w:r>
      <w:r w:rsidR="00231D17">
        <w:rPr>
          <w:rFonts w:eastAsiaTheme="minorHAnsi"/>
        </w:rPr>
        <w:t xml:space="preserve">the requirements of </w:t>
      </w:r>
      <w:r w:rsidR="00267CF8">
        <w:rPr>
          <w:rFonts w:eastAsiaTheme="minorHAnsi"/>
        </w:rPr>
        <w:t>commercial WGS catalysts</w:t>
      </w:r>
      <w:r w:rsidR="00324EE7">
        <w:rPr>
          <w:rFonts w:eastAsiaTheme="minorHAnsi"/>
        </w:rPr>
        <w:t xml:space="preserve"> (Johnson Matthey PLC)</w:t>
      </w:r>
      <w:r w:rsidR="00EE3DF6">
        <w:rPr>
          <w:rFonts w:eastAsiaTheme="minorHAnsi"/>
        </w:rPr>
        <w:t xml:space="preserve"> </w:t>
      </w:r>
      <w:r w:rsidR="00A362EA">
        <w:rPr>
          <w:rFonts w:eastAsiaTheme="minorHAnsi"/>
        </w:rPr>
        <w:t>Fe</w:t>
      </w:r>
      <w:r w:rsidR="00EE3DF6">
        <w:rPr>
          <w:rFonts w:eastAsiaTheme="minorHAnsi"/>
        </w:rPr>
        <w:t>/Cr and Cu</w:t>
      </w:r>
      <w:r w:rsidR="00A362EA">
        <w:rPr>
          <w:rFonts w:eastAsiaTheme="minorHAnsi"/>
        </w:rPr>
        <w:t xml:space="preserve"> based</w:t>
      </w:r>
      <w:r w:rsidR="00EE3DF6">
        <w:rPr>
          <w:rFonts w:eastAsiaTheme="minorHAnsi"/>
        </w:rPr>
        <w:t>.</w:t>
      </w:r>
      <w:r w:rsidR="00EE3DF6" w:rsidRPr="00DA6B66" w:rsidDel="00EE3DF6">
        <w:rPr>
          <w:rFonts w:eastAsiaTheme="minorHAnsi"/>
        </w:rPr>
        <w:t xml:space="preserve"> </w:t>
      </w:r>
      <w:r w:rsidR="00231D17">
        <w:rPr>
          <w:rFonts w:eastAsiaTheme="minorHAnsi"/>
        </w:rPr>
        <w:t>An e</w:t>
      </w:r>
      <w:r w:rsidR="00A362EA">
        <w:rPr>
          <w:rFonts w:eastAsiaTheme="minorHAnsi"/>
        </w:rPr>
        <w:t>xcess of w</w:t>
      </w:r>
      <w:r w:rsidR="009E4C43">
        <w:rPr>
          <w:rFonts w:eastAsiaTheme="minorHAnsi"/>
          <w:color w:val="000000" w:themeColor="text1"/>
        </w:rPr>
        <w:t xml:space="preserve">ater is </w:t>
      </w:r>
      <w:r w:rsidR="00247D4C">
        <w:rPr>
          <w:rFonts w:eastAsiaTheme="minorHAnsi"/>
          <w:color w:val="000000" w:themeColor="text1"/>
        </w:rPr>
        <w:t xml:space="preserve">needed </w:t>
      </w:r>
      <w:r w:rsidR="00247D4C" w:rsidRPr="00DA6B66">
        <w:rPr>
          <w:rFonts w:eastAsiaTheme="minorHAnsi"/>
        </w:rPr>
        <w:t>to</w:t>
      </w:r>
      <w:r w:rsidR="00A362EA">
        <w:rPr>
          <w:rFonts w:eastAsiaTheme="minorHAnsi"/>
        </w:rPr>
        <w:t xml:space="preserve"> </w:t>
      </w:r>
      <w:r w:rsidR="00DA6B66" w:rsidRPr="00DA6B66">
        <w:rPr>
          <w:rFonts w:eastAsiaTheme="minorHAnsi"/>
        </w:rPr>
        <w:t>avoid hydrocarbon formation by Fischer-</w:t>
      </w:r>
      <w:proofErr w:type="spellStart"/>
      <w:r w:rsidR="00DA6B66" w:rsidRPr="00DA6B66">
        <w:rPr>
          <w:rFonts w:eastAsiaTheme="minorHAnsi"/>
        </w:rPr>
        <w:t>Tropsch</w:t>
      </w:r>
      <w:proofErr w:type="spellEnd"/>
      <w:r w:rsidR="00DA6B66" w:rsidRPr="00DA6B66">
        <w:rPr>
          <w:rFonts w:eastAsiaTheme="minorHAnsi"/>
        </w:rPr>
        <w:t xml:space="preserve"> reaction</w:t>
      </w:r>
      <w:r w:rsidR="00742F49">
        <w:rPr>
          <w:rFonts w:eastAsiaTheme="minorHAnsi"/>
        </w:rPr>
        <w:t xml:space="preserve"> </w:t>
      </w:r>
      <w:r w:rsidR="002C2182">
        <w:rPr>
          <w:rFonts w:eastAsiaTheme="minorHAnsi"/>
        </w:rPr>
        <w:t>in the</w:t>
      </w:r>
      <w:r w:rsidR="005B5DBD">
        <w:rPr>
          <w:rFonts w:eastAsiaTheme="minorHAnsi"/>
        </w:rPr>
        <w:t xml:space="preserve"> </w:t>
      </w:r>
      <w:r w:rsidR="00F82075">
        <w:rPr>
          <w:rFonts w:eastAsiaTheme="minorHAnsi"/>
        </w:rPr>
        <w:t>HT-WGS</w:t>
      </w:r>
      <w:r w:rsidR="002C2182">
        <w:rPr>
          <w:rFonts w:eastAsiaTheme="minorHAnsi"/>
        </w:rPr>
        <w:t xml:space="preserve"> stage</w:t>
      </w:r>
      <w:r w:rsidR="00742F49">
        <w:rPr>
          <w:rFonts w:eastAsiaTheme="minorHAnsi"/>
        </w:rPr>
        <w:t xml:space="preserve"> and preserve the catalyst </w:t>
      </w:r>
      <w:r w:rsidR="00800082">
        <w:rPr>
          <w:rFonts w:eastAsiaTheme="minorHAnsi"/>
        </w:rPr>
        <w:t xml:space="preserve">activity </w:t>
      </w:r>
      <w:r w:rsidR="002C2182">
        <w:rPr>
          <w:rFonts w:eastAsiaTheme="minorHAnsi"/>
        </w:rPr>
        <w:t xml:space="preserve">in the </w:t>
      </w:r>
      <w:r w:rsidR="00F82075">
        <w:rPr>
          <w:rFonts w:eastAsiaTheme="minorHAnsi"/>
        </w:rPr>
        <w:t>LT-WGS</w:t>
      </w:r>
      <w:r w:rsidR="004B7021">
        <w:rPr>
          <w:rFonts w:eastAsiaTheme="minorHAnsi"/>
        </w:rPr>
        <w:t xml:space="preserve">. </w:t>
      </w:r>
      <w:r w:rsidR="004B7021" w:rsidRPr="004D5183">
        <w:rPr>
          <w:rFonts w:eastAsiaTheme="minorHAnsi"/>
        </w:rPr>
        <w:t>In particular</w:t>
      </w:r>
      <w:r w:rsidR="00EE4E03">
        <w:rPr>
          <w:rFonts w:eastAsiaTheme="minorHAnsi"/>
        </w:rPr>
        <w:t>,</w:t>
      </w:r>
      <w:r w:rsidR="004B7021" w:rsidRPr="004D5183">
        <w:rPr>
          <w:rFonts w:eastAsiaTheme="minorHAnsi"/>
        </w:rPr>
        <w:t xml:space="preserve"> </w:t>
      </w:r>
      <w:r w:rsidR="00800082" w:rsidRPr="004D5183">
        <w:rPr>
          <w:rFonts w:eastAsiaTheme="minorHAnsi"/>
        </w:rPr>
        <w:t xml:space="preserve">a reduction ratio below </w:t>
      </w:r>
      <w:r w:rsidR="009023B5" w:rsidRPr="004D5183">
        <w:rPr>
          <w:rFonts w:eastAsiaTheme="minorHAnsi"/>
        </w:rPr>
        <w:t>1.9</w:t>
      </w:r>
      <w:r w:rsidR="00800082" w:rsidRPr="004D5183">
        <w:rPr>
          <w:rFonts w:eastAsiaTheme="minorHAnsi"/>
        </w:rPr>
        <w:t xml:space="preserve"> is required </w:t>
      </w:r>
      <w:r w:rsidR="00266379" w:rsidRPr="004D5183">
        <w:rPr>
          <w:rFonts w:eastAsiaTheme="minorHAnsi"/>
        </w:rPr>
        <w:t>at the entrance of the</w:t>
      </w:r>
      <w:r w:rsidR="009023B5" w:rsidRPr="004D5183">
        <w:rPr>
          <w:rFonts w:eastAsiaTheme="minorHAnsi"/>
        </w:rPr>
        <w:t xml:space="preserve"> HT-WGS </w:t>
      </w:r>
      <w:r w:rsidR="00266379" w:rsidRPr="004D5183">
        <w:rPr>
          <w:rFonts w:eastAsiaTheme="minorHAnsi"/>
        </w:rPr>
        <w:t>step</w:t>
      </w:r>
      <w:r w:rsidR="00FD31D7">
        <w:rPr>
          <w:rFonts w:eastAsiaTheme="minorHAnsi"/>
        </w:rPr>
        <w:t>,</w:t>
      </w:r>
      <w:r w:rsidR="005C4A65">
        <w:rPr>
          <w:rFonts w:eastAsiaTheme="minorHAnsi"/>
        </w:rPr>
        <w:t xml:space="preserve"> where the reduction ratio is defined as below</w:t>
      </w:r>
      <w:r w:rsidR="00496C59">
        <w:rPr>
          <w:rFonts w:eastAsiaTheme="minorHAnsi"/>
        </w:rPr>
        <w:t xml:space="preserve"> :</w:t>
      </w:r>
    </w:p>
    <w:p w14:paraId="05C02C0C" w14:textId="5659EB91" w:rsidR="005C4A65" w:rsidRDefault="005C4A65" w:rsidP="00D0760B">
      <w:pPr>
        <w:pStyle w:val="CETBodytext"/>
        <w:rPr>
          <w:rFonts w:eastAsiaTheme="minorHAnsi"/>
        </w:rPr>
      </w:pPr>
    </w:p>
    <w:tbl>
      <w:tblPr>
        <w:tblW w:w="5000" w:type="pct"/>
        <w:tblLook w:val="04A0" w:firstRow="1" w:lastRow="0" w:firstColumn="1" w:lastColumn="0" w:noHBand="0" w:noVBand="1"/>
      </w:tblPr>
      <w:tblGrid>
        <w:gridCol w:w="7984"/>
        <w:gridCol w:w="803"/>
      </w:tblGrid>
      <w:tr w:rsidR="005C4A65" w:rsidRPr="00B57B36" w14:paraId="0A5DE3F6" w14:textId="77777777" w:rsidTr="00D72F8B">
        <w:tc>
          <w:tcPr>
            <w:tcW w:w="8188" w:type="dxa"/>
            <w:shd w:val="clear" w:color="auto" w:fill="auto"/>
            <w:vAlign w:val="center"/>
          </w:tcPr>
          <w:p w14:paraId="11B67BD7" w14:textId="1431819B" w:rsidR="005C4A65" w:rsidRPr="005C4A65" w:rsidRDefault="005C4A65" w:rsidP="0024467A">
            <w:pPr>
              <w:pStyle w:val="CETEquation"/>
            </w:pPr>
            <m:oMathPara>
              <m:oMathParaPr>
                <m:jc m:val="left"/>
              </m:oMathParaPr>
              <m:oMath>
                <m:r>
                  <w:rPr>
                    <w:rFonts w:ascii="Cambria Math" w:hAnsi="Cambria Math"/>
                  </w:rPr>
                  <m:t xml:space="preserve">R= </m:t>
                </m:r>
                <m:d>
                  <m:dPr>
                    <m:ctrlPr>
                      <w:rPr>
                        <w:rFonts w:ascii="Cambria Math" w:hAnsi="Cambria Math"/>
                        <w:i/>
                      </w:rPr>
                    </m:ctrlPr>
                  </m:dPr>
                  <m:e>
                    <m:f>
                      <m:fPr>
                        <m:ctrlPr>
                          <w:rPr>
                            <w:rFonts w:ascii="Cambria Math" w:hAnsi="Cambria Math"/>
                            <w:i/>
                          </w:rPr>
                        </m:ctrlPr>
                      </m:fPr>
                      <m:num>
                        <m:r>
                          <w:rPr>
                            <w:rFonts w:ascii="Cambria Math" w:hAnsi="Cambria Math"/>
                          </w:rPr>
                          <m:t xml:space="preserve">CO+ </m:t>
                        </m:r>
                        <m:sSub>
                          <m:sSubPr>
                            <m:ctrlPr>
                              <w:rPr>
                                <w:rFonts w:ascii="Cambria Math" w:hAnsi="Cambria Math"/>
                                <w:i/>
                              </w:rPr>
                            </m:ctrlPr>
                          </m:sSubPr>
                          <m:e>
                            <m:r>
                              <w:rPr>
                                <w:rFonts w:ascii="Cambria Math" w:hAnsi="Cambria Math"/>
                              </w:rPr>
                              <m:t>H</m:t>
                            </m:r>
                          </m:e>
                          <m:sub>
                            <m:r>
                              <w:rPr>
                                <w:rFonts w:ascii="Cambria Math" w:hAnsi="Cambria Math"/>
                              </w:rPr>
                              <m:t>2</m:t>
                            </m:r>
                          </m:sub>
                        </m:sSub>
                      </m:num>
                      <m:den>
                        <m:r>
                          <w:rPr>
                            <w:rFonts w:ascii="Cambria Math" w:hAnsi="Cambria Math"/>
                          </w:rPr>
                          <m:t xml:space="preserve">CO+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den>
                    </m:f>
                  </m:e>
                </m:d>
                <m:r>
                  <w:rPr>
                    <w:rFonts w:ascii="Cambria Math" w:hAnsi="Cambria Math"/>
                  </w:rPr>
                  <m:t xml:space="preserve"> ∙</m:t>
                </m:r>
                <m:d>
                  <m:dPr>
                    <m:ctrlPr>
                      <w:rPr>
                        <w:rFonts w:ascii="Cambria Math" w:hAnsi="Cambria Math"/>
                        <w:i/>
                      </w:rPr>
                    </m:ctrlPr>
                  </m:dPr>
                  <m:e>
                    <m:f>
                      <m:fPr>
                        <m:ctrlPr>
                          <w:rPr>
                            <w:rFonts w:ascii="Cambria Math" w:hAnsi="Cambria Math"/>
                            <w:i/>
                          </w:rPr>
                        </m:ctrlPr>
                      </m:fPr>
                      <m:num>
                        <m:r>
                          <w:rPr>
                            <w:rFonts w:ascii="Cambria Math" w:hAnsi="Cambria Math"/>
                          </w:rPr>
                          <m:t>P</m:t>
                        </m:r>
                      </m:num>
                      <m:den>
                        <m:r>
                          <w:rPr>
                            <w:rFonts w:ascii="Cambria Math" w:hAnsi="Cambria Math"/>
                          </w:rPr>
                          <m:t>26</m:t>
                        </m:r>
                      </m:den>
                    </m:f>
                  </m:e>
                </m:d>
              </m:oMath>
            </m:oMathPara>
          </w:p>
        </w:tc>
        <w:tc>
          <w:tcPr>
            <w:tcW w:w="815" w:type="dxa"/>
            <w:shd w:val="clear" w:color="auto" w:fill="auto"/>
            <w:vAlign w:val="center"/>
          </w:tcPr>
          <w:p w14:paraId="20B9938A" w14:textId="55D1377D" w:rsidR="005C4A65" w:rsidRPr="00B57B36" w:rsidRDefault="005C4A65" w:rsidP="0024467A">
            <w:pPr>
              <w:pStyle w:val="CETEquation"/>
              <w:jc w:val="right"/>
            </w:pPr>
            <w:r w:rsidRPr="00B57B36">
              <w:t>(</w:t>
            </w:r>
            <w:r w:rsidR="00496C59">
              <w:t>4</w:t>
            </w:r>
            <w:r w:rsidRPr="00B57B36">
              <w:t>)</w:t>
            </w:r>
          </w:p>
        </w:tc>
      </w:tr>
    </w:tbl>
    <w:p w14:paraId="52AEEB32" w14:textId="77777777" w:rsidR="005C4A65" w:rsidRDefault="005C4A65" w:rsidP="00D0760B">
      <w:pPr>
        <w:pStyle w:val="CETBodytext"/>
        <w:rPr>
          <w:rFonts w:eastAsiaTheme="minorHAnsi"/>
        </w:rPr>
      </w:pPr>
    </w:p>
    <w:p w14:paraId="7CD071EC" w14:textId="5D3BFFAB" w:rsidR="005C4A65" w:rsidRDefault="00496C59" w:rsidP="00D0760B">
      <w:pPr>
        <w:pStyle w:val="CETBodytext"/>
        <w:rPr>
          <w:rFonts w:eastAsiaTheme="minorHAnsi"/>
        </w:rPr>
      </w:pPr>
      <w:r>
        <w:rPr>
          <w:rFonts w:eastAsiaTheme="minorHAnsi"/>
        </w:rPr>
        <w:t>where all the species are defined in volume fraction and P is the pressure in bar.</w:t>
      </w:r>
    </w:p>
    <w:p w14:paraId="4283F9D4" w14:textId="567E730A" w:rsidR="00B27ECC" w:rsidRDefault="00EE4E03" w:rsidP="00D0760B">
      <w:pPr>
        <w:pStyle w:val="CETBodytext"/>
        <w:rPr>
          <w:rFonts w:eastAsiaTheme="minorHAnsi"/>
        </w:rPr>
      </w:pPr>
      <w:r>
        <w:rPr>
          <w:rFonts w:eastAsiaTheme="minorHAnsi"/>
        </w:rPr>
        <w:t>Similarl</w:t>
      </w:r>
      <w:r w:rsidR="00800082" w:rsidRPr="004D5183">
        <w:rPr>
          <w:rFonts w:eastAsiaTheme="minorHAnsi"/>
        </w:rPr>
        <w:t xml:space="preserve">y, the syngas entering the WGS </w:t>
      </w:r>
      <w:r w:rsidR="004D5183" w:rsidRPr="004D5183">
        <w:rPr>
          <w:rFonts w:eastAsiaTheme="minorHAnsi"/>
        </w:rPr>
        <w:t xml:space="preserve">must have a </w:t>
      </w:r>
      <w:r>
        <w:rPr>
          <w:rFonts w:eastAsiaTheme="minorHAnsi"/>
        </w:rPr>
        <w:t>wet-to-dry ratio</w:t>
      </w:r>
      <w:r w:rsidR="001162D3">
        <w:rPr>
          <w:rFonts w:eastAsiaTheme="minorHAnsi"/>
        </w:rPr>
        <w:t xml:space="preserve"> (W/D)</w:t>
      </w:r>
      <w:r w:rsidR="004B7021" w:rsidRPr="004D5183">
        <w:rPr>
          <w:rFonts w:eastAsiaTheme="minorHAnsi"/>
        </w:rPr>
        <w:t xml:space="preserve"> </w:t>
      </w:r>
      <w:r w:rsidR="004D5183" w:rsidRPr="004D5183">
        <w:rPr>
          <w:rFonts w:eastAsiaTheme="minorHAnsi"/>
        </w:rPr>
        <w:t>greate</w:t>
      </w:r>
      <w:r w:rsidR="004D5183">
        <w:rPr>
          <w:rFonts w:eastAsiaTheme="minorHAnsi"/>
        </w:rPr>
        <w:t>r</w:t>
      </w:r>
      <w:r w:rsidR="004D5183" w:rsidRPr="004D5183">
        <w:rPr>
          <w:rFonts w:eastAsiaTheme="minorHAnsi"/>
        </w:rPr>
        <w:t xml:space="preserve"> than </w:t>
      </w:r>
      <w:r w:rsidR="004B7021" w:rsidRPr="004D5183">
        <w:rPr>
          <w:rFonts w:eastAsiaTheme="minorHAnsi"/>
        </w:rPr>
        <w:t>1.3 (Johnson Matthey PLC)</w:t>
      </w:r>
      <w:r w:rsidR="00FD31D7">
        <w:rPr>
          <w:rFonts w:eastAsiaTheme="minorHAnsi"/>
        </w:rPr>
        <w:t>,</w:t>
      </w:r>
      <w:r w:rsidR="00496C59">
        <w:rPr>
          <w:rFonts w:eastAsiaTheme="minorHAnsi"/>
        </w:rPr>
        <w:t xml:space="preserve"> where the </w:t>
      </w:r>
      <w:r w:rsidR="001162D3">
        <w:rPr>
          <w:rFonts w:eastAsiaTheme="minorHAnsi"/>
        </w:rPr>
        <w:t>W/D</w:t>
      </w:r>
      <w:r w:rsidR="00496C59">
        <w:rPr>
          <w:rFonts w:eastAsiaTheme="minorHAnsi"/>
        </w:rPr>
        <w:t xml:space="preserve"> ratio is given by the molar flowrate of water divided by the sum of the molar flowrates of all species excluding water</w:t>
      </w:r>
      <w:r w:rsidR="004B7021" w:rsidRPr="004D5183">
        <w:rPr>
          <w:rFonts w:eastAsiaTheme="minorHAnsi"/>
        </w:rPr>
        <w:t>.</w:t>
      </w:r>
      <w:r w:rsidR="00F82075" w:rsidRPr="004D5183">
        <w:rPr>
          <w:rFonts w:eastAsiaTheme="minorHAnsi"/>
        </w:rPr>
        <w:t xml:space="preserve"> </w:t>
      </w:r>
      <w:r w:rsidR="004D5183" w:rsidRPr="004D5183">
        <w:rPr>
          <w:rFonts w:eastAsiaTheme="minorHAnsi"/>
        </w:rPr>
        <w:t xml:space="preserve">To fulfil these requirements, an injection of water downstream </w:t>
      </w:r>
      <w:r w:rsidR="00D55FE9">
        <w:rPr>
          <w:rFonts w:eastAsiaTheme="minorHAnsi"/>
        </w:rPr>
        <w:t xml:space="preserve">of </w:t>
      </w:r>
      <w:r w:rsidR="004D5183" w:rsidRPr="004D5183">
        <w:rPr>
          <w:rFonts w:eastAsiaTheme="minorHAnsi"/>
        </w:rPr>
        <w:t xml:space="preserve">the reformer has been used. </w:t>
      </w:r>
      <w:r w:rsidR="005F7E3C">
        <w:rPr>
          <w:rFonts w:eastAsiaTheme="minorHAnsi"/>
        </w:rPr>
        <w:t>Using water at 25°C as a quenching medium makes</w:t>
      </w:r>
      <w:r w:rsidR="00C44593">
        <w:rPr>
          <w:rFonts w:eastAsiaTheme="minorHAnsi"/>
        </w:rPr>
        <w:t xml:space="preserve"> it </w:t>
      </w:r>
      <w:r w:rsidR="00B27ECC">
        <w:rPr>
          <w:rFonts w:eastAsiaTheme="minorHAnsi"/>
        </w:rPr>
        <w:t xml:space="preserve">possible to </w:t>
      </w:r>
      <w:r w:rsidR="009C7F99">
        <w:rPr>
          <w:rFonts w:eastAsiaTheme="minorHAnsi"/>
        </w:rPr>
        <w:t>achieve</w:t>
      </w:r>
      <w:r w:rsidR="00B27ECC">
        <w:rPr>
          <w:rFonts w:eastAsiaTheme="minorHAnsi"/>
        </w:rPr>
        <w:t xml:space="preserve"> the required reduction ratio and temperature needed at the entrance of the HT-WGS</w:t>
      </w:r>
      <w:r w:rsidR="00742F49">
        <w:rPr>
          <w:rFonts w:eastAsiaTheme="minorHAnsi"/>
        </w:rPr>
        <w:t>.</w:t>
      </w:r>
      <w:r w:rsidR="009B0A89" w:rsidRPr="009B0A89">
        <w:rPr>
          <w:rStyle w:val="CETBodytextCarattere"/>
        </w:rPr>
        <w:t xml:space="preserve"> </w:t>
      </w:r>
      <w:r w:rsidR="00B27ECC">
        <w:rPr>
          <w:rStyle w:val="CETBodytextCarattere"/>
        </w:rPr>
        <w:t>Additionally, using a quench result</w:t>
      </w:r>
      <w:r>
        <w:rPr>
          <w:rStyle w:val="CETBodytextCarattere"/>
        </w:rPr>
        <w:t>s</w:t>
      </w:r>
      <w:r w:rsidR="00B27ECC">
        <w:rPr>
          <w:rStyle w:val="CETBodytextCarattere"/>
        </w:rPr>
        <w:t xml:space="preserve"> simpler and cheaper </w:t>
      </w:r>
      <w:r>
        <w:rPr>
          <w:rStyle w:val="CETBodytextCarattere"/>
        </w:rPr>
        <w:t>in terms of</w:t>
      </w:r>
      <w:r w:rsidR="00DA68D7">
        <w:rPr>
          <w:rStyle w:val="CETBodytextCarattere"/>
        </w:rPr>
        <w:t xml:space="preserve"> operational and capital cost</w:t>
      </w:r>
      <w:r w:rsidR="00CB224E">
        <w:rPr>
          <w:rStyle w:val="CETBodytextCarattere"/>
        </w:rPr>
        <w:t>s</w:t>
      </w:r>
      <w:r w:rsidR="00DA68D7">
        <w:rPr>
          <w:rStyle w:val="CETBodytextCarattere"/>
        </w:rPr>
        <w:t xml:space="preserve"> in comparison to a</w:t>
      </w:r>
      <w:r>
        <w:rPr>
          <w:rStyle w:val="CETBodytextCarattere"/>
        </w:rPr>
        <w:t xml:space="preserve"> </w:t>
      </w:r>
      <w:r w:rsidR="00B27ECC" w:rsidRPr="004D5183">
        <w:rPr>
          <w:rFonts w:eastAsiaTheme="minorHAnsi"/>
        </w:rPr>
        <w:t>waste heat boiler.</w:t>
      </w:r>
    </w:p>
    <w:p w14:paraId="69F09515" w14:textId="5321C324" w:rsidR="009B0A89" w:rsidRPr="004D5183" w:rsidRDefault="009B0A89" w:rsidP="00D0760B">
      <w:pPr>
        <w:pStyle w:val="CETBodytext"/>
        <w:rPr>
          <w:rFonts w:eastAsiaTheme="minorHAnsi"/>
          <w:highlight w:val="yellow"/>
        </w:rPr>
      </w:pPr>
      <w:r>
        <w:rPr>
          <w:rStyle w:val="CETBodytextCarattere"/>
        </w:rPr>
        <w:t>The waste heat boiler for the production of the dilution steam</w:t>
      </w:r>
      <w:r w:rsidR="006A6F7F">
        <w:rPr>
          <w:rStyle w:val="CETBodytextCarattere"/>
        </w:rPr>
        <w:t xml:space="preserve"> fed to the reformer</w:t>
      </w:r>
      <w:r>
        <w:rPr>
          <w:rStyle w:val="CETBodytextCarattere"/>
        </w:rPr>
        <w:t xml:space="preserve"> is located between the </w:t>
      </w:r>
      <w:r w:rsidR="006A6F7F">
        <w:rPr>
          <w:rStyle w:val="CETBodytextCarattere"/>
        </w:rPr>
        <w:t>two</w:t>
      </w:r>
      <w:r>
        <w:rPr>
          <w:rStyle w:val="CETBodytextCarattere"/>
        </w:rPr>
        <w:t xml:space="preserve"> WGS steps. The production of steam (15 atm, 255 </w:t>
      </w:r>
      <w:r w:rsidRPr="00DA6B66">
        <w:rPr>
          <w:rFonts w:eastAsiaTheme="minorHAnsi"/>
        </w:rPr>
        <w:t>°C</w:t>
      </w:r>
      <w:r>
        <w:rPr>
          <w:rFonts w:eastAsiaTheme="minorHAnsi"/>
        </w:rPr>
        <w:t>)</w:t>
      </w:r>
      <w:r>
        <w:rPr>
          <w:rStyle w:val="CETBodytextCarattere"/>
        </w:rPr>
        <w:t xml:space="preserve"> in this equipment </w:t>
      </w:r>
      <w:r w:rsidR="00B27ECC">
        <w:rPr>
          <w:rStyle w:val="CETBodytextCarattere"/>
        </w:rPr>
        <w:t>enables cool</w:t>
      </w:r>
      <w:r w:rsidR="00EE4E03">
        <w:rPr>
          <w:rStyle w:val="CETBodytextCarattere"/>
        </w:rPr>
        <w:t>ing</w:t>
      </w:r>
      <w:r w:rsidR="00B27ECC">
        <w:rPr>
          <w:rStyle w:val="CETBodytextCarattere"/>
        </w:rPr>
        <w:t xml:space="preserve"> down the syngas to the </w:t>
      </w:r>
      <w:r>
        <w:rPr>
          <w:rStyle w:val="CETBodytextCarattere"/>
        </w:rPr>
        <w:t xml:space="preserve">temperature </w:t>
      </w:r>
      <w:r w:rsidR="00B27ECC">
        <w:rPr>
          <w:rStyle w:val="CETBodytextCarattere"/>
        </w:rPr>
        <w:t>required at the inlet of the L</w:t>
      </w:r>
      <w:r>
        <w:rPr>
          <w:rFonts w:eastAsiaTheme="minorHAnsi"/>
        </w:rPr>
        <w:t>T-WGS</w:t>
      </w:r>
      <w:r w:rsidR="00B27ECC">
        <w:rPr>
          <w:rFonts w:eastAsiaTheme="minorHAnsi"/>
        </w:rPr>
        <w:t>.</w:t>
      </w:r>
    </w:p>
    <w:p w14:paraId="7E5C7935" w14:textId="05417FD3" w:rsidR="006B4D26" w:rsidRDefault="006B4D26" w:rsidP="006B4D26">
      <w:pPr>
        <w:rPr>
          <w:rFonts w:eastAsiaTheme="minorHAnsi"/>
        </w:rPr>
      </w:pPr>
      <w:r w:rsidRPr="00F77106">
        <w:rPr>
          <w:rStyle w:val="CETBodytextCarattere"/>
        </w:rPr>
        <w:t>After the WGS step, the product mixture is cooled down to condens</w:t>
      </w:r>
      <w:r w:rsidR="00E0177B">
        <w:rPr>
          <w:rStyle w:val="CETBodytextCarattere"/>
        </w:rPr>
        <w:t>e</w:t>
      </w:r>
      <w:r w:rsidRPr="00F77106">
        <w:rPr>
          <w:rStyle w:val="CETBodytextCarattere"/>
        </w:rPr>
        <w:t xml:space="preserve"> the rema</w:t>
      </w:r>
      <w:r>
        <w:rPr>
          <w:rStyle w:val="CETBodytextCarattere"/>
        </w:rPr>
        <w:t>in</w:t>
      </w:r>
      <w:r w:rsidRPr="00F77106">
        <w:rPr>
          <w:rStyle w:val="CETBodytextCarattere"/>
        </w:rPr>
        <w:t>in</w:t>
      </w:r>
      <w:r>
        <w:rPr>
          <w:rStyle w:val="CETBodytextCarattere"/>
        </w:rPr>
        <w:t>g</w:t>
      </w:r>
      <w:r w:rsidRPr="00F77106">
        <w:rPr>
          <w:rStyle w:val="CETBodytextCarattere"/>
        </w:rPr>
        <w:t xml:space="preserve"> excess steam presen</w:t>
      </w:r>
      <w:r>
        <w:rPr>
          <w:rStyle w:val="CETBodytextCarattere"/>
        </w:rPr>
        <w:t>t</w:t>
      </w:r>
      <w:r w:rsidRPr="00F77106">
        <w:rPr>
          <w:rStyle w:val="CETBodytextCarattere"/>
        </w:rPr>
        <w:t xml:space="preserve"> in the H</w:t>
      </w:r>
      <w:r w:rsidRPr="00F77106">
        <w:rPr>
          <w:rStyle w:val="CETBodytextCarattere"/>
          <w:vertAlign w:val="subscript"/>
        </w:rPr>
        <w:t>2</w:t>
      </w:r>
      <w:r w:rsidRPr="00F77106">
        <w:rPr>
          <w:rStyle w:val="CETBodytextCarattere"/>
        </w:rPr>
        <w:t xml:space="preserve">-rich </w:t>
      </w:r>
      <w:r w:rsidRPr="00616599">
        <w:rPr>
          <w:rStyle w:val="CETBodytextCarattere"/>
        </w:rPr>
        <w:t>syngas</w:t>
      </w:r>
      <w:r w:rsidRPr="00616599">
        <w:rPr>
          <w:lang w:val="en-US"/>
        </w:rPr>
        <w:t xml:space="preserve">. </w:t>
      </w:r>
      <w:r w:rsidRPr="00DA6B66">
        <w:rPr>
          <w:rFonts w:eastAsiaTheme="minorHAnsi"/>
        </w:rPr>
        <w:t>After taking out the condense</w:t>
      </w:r>
      <w:r>
        <w:rPr>
          <w:rFonts w:eastAsiaTheme="minorHAnsi"/>
        </w:rPr>
        <w:t xml:space="preserve"> in a two-phase separator,</w:t>
      </w:r>
      <w:r w:rsidRPr="00DA6B66">
        <w:rPr>
          <w:rFonts w:eastAsiaTheme="minorHAnsi"/>
        </w:rPr>
        <w:t xml:space="preserve"> the product mixture is </w:t>
      </w:r>
      <w:r>
        <w:rPr>
          <w:rFonts w:eastAsiaTheme="minorHAnsi"/>
        </w:rPr>
        <w:t xml:space="preserve">sent to a  </w:t>
      </w:r>
      <w:r w:rsidRPr="00DA6B66">
        <w:rPr>
          <w:rFonts w:eastAsiaTheme="minorHAnsi"/>
        </w:rPr>
        <w:t>PSA</w:t>
      </w:r>
      <w:r>
        <w:rPr>
          <w:rFonts w:eastAsiaTheme="minorHAnsi"/>
        </w:rPr>
        <w:t xml:space="preserve"> (pressure swing adsorption)</w:t>
      </w:r>
      <w:r w:rsidRPr="00DA6B66">
        <w:rPr>
          <w:rFonts w:eastAsiaTheme="minorHAnsi"/>
        </w:rPr>
        <w:t xml:space="preserve"> unit</w:t>
      </w:r>
      <w:r>
        <w:rPr>
          <w:rFonts w:eastAsiaTheme="minorHAnsi"/>
        </w:rPr>
        <w:t xml:space="preserve"> for purification. Given the gas composition and pressure, a recovery efficiency of about 85 % with a H</w:t>
      </w:r>
      <w:r w:rsidRPr="000671C8">
        <w:rPr>
          <w:rFonts w:eastAsiaTheme="minorHAnsi"/>
          <w:vertAlign w:val="subscript"/>
        </w:rPr>
        <w:t>2</w:t>
      </w:r>
      <w:r>
        <w:rPr>
          <w:rFonts w:eastAsiaTheme="minorHAnsi"/>
        </w:rPr>
        <w:t xml:space="preserve"> purity of 99.9 % seems reasonable for an industrial PSA (</w:t>
      </w:r>
      <w:proofErr w:type="spellStart"/>
      <w:r>
        <w:rPr>
          <w:rFonts w:eastAsiaTheme="minorHAnsi"/>
        </w:rPr>
        <w:t>Hygear</w:t>
      </w:r>
      <w:proofErr w:type="spellEnd"/>
      <w:r>
        <w:rPr>
          <w:rFonts w:eastAsiaTheme="minorHAnsi"/>
        </w:rPr>
        <w:t>, 2020).  A part of</w:t>
      </w:r>
      <w:r w:rsidRPr="00DA6B66">
        <w:rPr>
          <w:rFonts w:eastAsiaTheme="minorHAnsi"/>
        </w:rPr>
        <w:t xml:space="preserve"> </w:t>
      </w:r>
      <w:r>
        <w:rPr>
          <w:rFonts w:eastAsiaTheme="minorHAnsi"/>
        </w:rPr>
        <w:t>the H</w:t>
      </w:r>
      <w:r w:rsidRPr="008A1BB7">
        <w:rPr>
          <w:rFonts w:eastAsiaTheme="minorHAnsi"/>
          <w:vertAlign w:val="subscript"/>
        </w:rPr>
        <w:t>2</w:t>
      </w:r>
      <w:r>
        <w:rPr>
          <w:rFonts w:eastAsiaTheme="minorHAnsi"/>
        </w:rPr>
        <w:t xml:space="preserve"> is left in the </w:t>
      </w:r>
      <w:r w:rsidRPr="00DA6B66">
        <w:rPr>
          <w:rFonts w:eastAsiaTheme="minorHAnsi"/>
        </w:rPr>
        <w:t>PSA off</w:t>
      </w:r>
      <w:r>
        <w:rPr>
          <w:rFonts w:eastAsiaTheme="minorHAnsi"/>
        </w:rPr>
        <w:t>-</w:t>
      </w:r>
      <w:r w:rsidRPr="00DA6B66">
        <w:rPr>
          <w:rFonts w:eastAsiaTheme="minorHAnsi"/>
        </w:rPr>
        <w:t xml:space="preserve">gases </w:t>
      </w:r>
      <w:r>
        <w:rPr>
          <w:rFonts w:eastAsiaTheme="minorHAnsi"/>
        </w:rPr>
        <w:t>(</w:t>
      </w:r>
      <w:r w:rsidRPr="00DA6B66">
        <w:rPr>
          <w:rFonts w:eastAsiaTheme="minorHAnsi"/>
        </w:rPr>
        <w:t>S-22)</w:t>
      </w:r>
      <w:r w:rsidR="005E7902">
        <w:rPr>
          <w:rFonts w:eastAsiaTheme="minorHAnsi"/>
        </w:rPr>
        <w:t>,</w:t>
      </w:r>
      <w:r>
        <w:rPr>
          <w:rFonts w:eastAsiaTheme="minorHAnsi"/>
        </w:rPr>
        <w:t xml:space="preserve"> where unreacted CH</w:t>
      </w:r>
      <w:r w:rsidRPr="008A1BB7">
        <w:rPr>
          <w:rFonts w:eastAsiaTheme="minorHAnsi"/>
          <w:vertAlign w:val="subscript"/>
        </w:rPr>
        <w:t>4</w:t>
      </w:r>
      <w:r>
        <w:rPr>
          <w:rFonts w:eastAsiaTheme="minorHAnsi"/>
        </w:rPr>
        <w:t xml:space="preserve"> and CO coexist</w:t>
      </w:r>
      <w:r w:rsidRPr="00DA6B66">
        <w:rPr>
          <w:rFonts w:eastAsiaTheme="minorHAnsi"/>
        </w:rPr>
        <w:t xml:space="preserve">. </w:t>
      </w:r>
      <w:r>
        <w:rPr>
          <w:rFonts w:eastAsiaTheme="minorHAnsi"/>
        </w:rPr>
        <w:t xml:space="preserve">As this </w:t>
      </w:r>
      <w:r w:rsidRPr="00DA6B66">
        <w:rPr>
          <w:rFonts w:eastAsiaTheme="minorHAnsi"/>
        </w:rPr>
        <w:t>stream</w:t>
      </w:r>
      <w:r>
        <w:rPr>
          <w:rFonts w:eastAsiaTheme="minorHAnsi"/>
        </w:rPr>
        <w:t xml:space="preserve"> contains</w:t>
      </w:r>
      <w:r w:rsidRPr="00DA6B66">
        <w:rPr>
          <w:rFonts w:eastAsiaTheme="minorHAnsi"/>
        </w:rPr>
        <w:t xml:space="preserve"> an appreciable amount of energy</w:t>
      </w:r>
      <w:r>
        <w:rPr>
          <w:rFonts w:eastAsiaTheme="minorHAnsi"/>
        </w:rPr>
        <w:t xml:space="preserve"> and cannot be vented due to the presence of toxic and polluting gases, it is integrated within the process.</w:t>
      </w:r>
      <w:r w:rsidRPr="00DA6B66">
        <w:rPr>
          <w:rFonts w:eastAsiaTheme="minorHAnsi"/>
        </w:rPr>
        <w:t xml:space="preserve"> </w:t>
      </w:r>
      <w:r>
        <w:rPr>
          <w:rFonts w:eastAsiaTheme="minorHAnsi"/>
        </w:rPr>
        <w:t>For this purpose</w:t>
      </w:r>
      <w:r w:rsidRPr="00DA6B66">
        <w:rPr>
          <w:rFonts w:eastAsiaTheme="minorHAnsi"/>
        </w:rPr>
        <w:t xml:space="preserve">, </w:t>
      </w:r>
      <w:r>
        <w:rPr>
          <w:rFonts w:eastAsiaTheme="minorHAnsi"/>
        </w:rPr>
        <w:t>it is</w:t>
      </w:r>
      <w:r w:rsidRPr="00DA6B66">
        <w:rPr>
          <w:rFonts w:eastAsiaTheme="minorHAnsi"/>
        </w:rPr>
        <w:t xml:space="preserve"> </w:t>
      </w:r>
      <w:r>
        <w:rPr>
          <w:rFonts w:eastAsiaTheme="minorHAnsi"/>
        </w:rPr>
        <w:t>burned</w:t>
      </w:r>
      <w:r w:rsidRPr="00DA6B66">
        <w:rPr>
          <w:rFonts w:eastAsiaTheme="minorHAnsi"/>
        </w:rPr>
        <w:t xml:space="preserve"> with 10</w:t>
      </w:r>
      <w:r>
        <w:rPr>
          <w:rFonts w:eastAsiaTheme="minorHAnsi"/>
        </w:rPr>
        <w:t xml:space="preserve"> </w:t>
      </w:r>
      <w:r w:rsidRPr="00DA6B66">
        <w:rPr>
          <w:rFonts w:eastAsiaTheme="minorHAnsi"/>
        </w:rPr>
        <w:t xml:space="preserve">% </w:t>
      </w:r>
      <w:r>
        <w:rPr>
          <w:rFonts w:eastAsiaTheme="minorHAnsi"/>
        </w:rPr>
        <w:t>air excess and is used to preheat</w:t>
      </w:r>
      <w:r w:rsidRPr="00DA6B66">
        <w:rPr>
          <w:rFonts w:eastAsiaTheme="minorHAnsi"/>
        </w:rPr>
        <w:t xml:space="preserve"> the reactive mixture </w:t>
      </w:r>
      <w:r>
        <w:rPr>
          <w:rFonts w:eastAsiaTheme="minorHAnsi"/>
        </w:rPr>
        <w:t xml:space="preserve">up to </w:t>
      </w:r>
      <w:r w:rsidRPr="00DA6B66">
        <w:rPr>
          <w:rFonts w:eastAsiaTheme="minorHAnsi"/>
        </w:rPr>
        <w:t>650 °C,</w:t>
      </w:r>
      <w:r>
        <w:rPr>
          <w:rFonts w:eastAsiaTheme="minorHAnsi"/>
        </w:rPr>
        <w:t xml:space="preserve"> i.e. the</w:t>
      </w:r>
      <w:r w:rsidRPr="00DA6B66">
        <w:rPr>
          <w:rFonts w:eastAsiaTheme="minorHAnsi"/>
        </w:rPr>
        <w:t xml:space="preserve"> typical cross-over temperature </w:t>
      </w:r>
      <w:r>
        <w:rPr>
          <w:rFonts w:eastAsiaTheme="minorHAnsi"/>
        </w:rPr>
        <w:t>for</w:t>
      </w:r>
      <w:r w:rsidRPr="00DA6B66">
        <w:rPr>
          <w:rFonts w:eastAsiaTheme="minorHAnsi"/>
        </w:rPr>
        <w:t xml:space="preserve"> modern reformers </w:t>
      </w:r>
      <w:r w:rsidRPr="00883E01">
        <w:rPr>
          <w:rFonts w:eastAsiaTheme="minorHAnsi"/>
          <w:noProof/>
          <w:color w:val="000000" w:themeColor="text1"/>
          <w:lang w:val="en-CA"/>
        </w:rPr>
        <w:t>(Rostrup-Nielsen and Christiansen, 2011)</w:t>
      </w:r>
      <w:r w:rsidRPr="00DA6B66">
        <w:rPr>
          <w:rFonts w:eastAsiaTheme="minorHAnsi"/>
        </w:rPr>
        <w:t xml:space="preserve">. </w:t>
      </w:r>
      <w:r>
        <w:rPr>
          <w:rFonts w:eastAsiaTheme="minorHAnsi"/>
        </w:rPr>
        <w:t>Biogas feed cannot be mixed directly with the steam arriving from the boiler to avoid partial condensation. The boiling feed water required for the correct operation of the waste heat boiler is produced by preheating pressurized demi water to near-saturation conditions. This required duty comes from the flue gases produced via combustion of the PSA off-gases.</w:t>
      </w:r>
    </w:p>
    <w:p w14:paraId="3CA2E1E3" w14:textId="77777777" w:rsidR="006B4D26" w:rsidRDefault="006B4D26" w:rsidP="006B4D26">
      <w:pPr>
        <w:rPr>
          <w:rFonts w:eastAsiaTheme="minorHAnsi"/>
        </w:rPr>
      </w:pPr>
      <w:r>
        <w:rPr>
          <w:rFonts w:eastAsiaTheme="minorHAnsi"/>
        </w:rPr>
        <w:t xml:space="preserve">The fermenter requires approximately </w:t>
      </w:r>
      <w:r w:rsidRPr="00DA6B66">
        <w:rPr>
          <w:rFonts w:eastAsiaTheme="minorHAnsi"/>
        </w:rPr>
        <w:t xml:space="preserve">1.2 </w:t>
      </w:r>
      <w:r>
        <w:rPr>
          <w:rFonts w:eastAsiaTheme="minorHAnsi"/>
        </w:rPr>
        <w:t>kW</w:t>
      </w:r>
      <w:r w:rsidRPr="00DA6B66">
        <w:rPr>
          <w:rFonts w:eastAsiaTheme="minorHAnsi"/>
        </w:rPr>
        <w:t xml:space="preserve"> of </w:t>
      </w:r>
      <w:r>
        <w:rPr>
          <w:rFonts w:eastAsiaTheme="minorHAnsi"/>
        </w:rPr>
        <w:t xml:space="preserve">thermal energy supplied as </w:t>
      </w:r>
      <w:r w:rsidRPr="00DA6B66">
        <w:rPr>
          <w:rFonts w:eastAsiaTheme="minorHAnsi"/>
        </w:rPr>
        <w:t xml:space="preserve">hot water at </w:t>
      </w:r>
      <w:r>
        <w:rPr>
          <w:rFonts w:eastAsiaTheme="minorHAnsi"/>
        </w:rPr>
        <w:t>4</w:t>
      </w:r>
      <w:r w:rsidRPr="00DA6B66">
        <w:rPr>
          <w:rFonts w:eastAsiaTheme="minorHAnsi"/>
        </w:rPr>
        <w:t>0 °C</w:t>
      </w:r>
      <w:r>
        <w:rPr>
          <w:rFonts w:eastAsiaTheme="minorHAnsi"/>
        </w:rPr>
        <w:t xml:space="preserve"> to be able to produce 1 Nm</w:t>
      </w:r>
      <w:r w:rsidRPr="00420084">
        <w:rPr>
          <w:rFonts w:eastAsiaTheme="minorHAnsi"/>
          <w:vertAlign w:val="superscript"/>
        </w:rPr>
        <w:t>3</w:t>
      </w:r>
      <w:r>
        <w:rPr>
          <w:rFonts w:eastAsiaTheme="minorHAnsi"/>
        </w:rPr>
        <w:t xml:space="preserve"> h</w:t>
      </w:r>
      <w:r w:rsidRPr="004F08EC">
        <w:rPr>
          <w:rFonts w:eastAsiaTheme="minorHAnsi"/>
          <w:vertAlign w:val="superscript"/>
        </w:rPr>
        <w:t>-</w:t>
      </w:r>
      <w:r w:rsidRPr="00B652D3">
        <w:rPr>
          <w:rFonts w:eastAsiaTheme="minorHAnsi"/>
          <w:vertAlign w:val="superscript"/>
        </w:rPr>
        <w:t>1</w:t>
      </w:r>
      <w:r>
        <w:rPr>
          <w:rFonts w:eastAsiaTheme="minorHAnsi"/>
        </w:rPr>
        <w:t xml:space="preserve"> of biogas via anaerobic digestion</w:t>
      </w:r>
      <w:r w:rsidRPr="00DA6B66">
        <w:rPr>
          <w:rFonts w:eastAsiaTheme="minorHAnsi"/>
        </w:rPr>
        <w:t xml:space="preserve"> </w:t>
      </w:r>
      <w:r w:rsidRPr="00883E01">
        <w:rPr>
          <w:rFonts w:eastAsiaTheme="minorHAnsi"/>
          <w:noProof/>
          <w:lang w:val="en-CA"/>
        </w:rPr>
        <w:t>(Benato and Macor, 2019)</w:t>
      </w:r>
      <w:r>
        <w:rPr>
          <w:rFonts w:eastAsiaTheme="minorHAnsi"/>
          <w:noProof/>
          <w:lang w:val="en-CA"/>
        </w:rPr>
        <w:t xml:space="preserve">. For this reason, the herein described hydrogen production plant must supply </w:t>
      </w:r>
      <w:r w:rsidRPr="00DA6B66">
        <w:rPr>
          <w:rFonts w:eastAsiaTheme="minorHAnsi"/>
        </w:rPr>
        <w:t>3</w:t>
      </w:r>
      <w:r>
        <w:rPr>
          <w:rFonts w:eastAsiaTheme="minorHAnsi"/>
        </w:rPr>
        <w:t>7</w:t>
      </w:r>
      <w:r w:rsidRPr="00DA6B66">
        <w:rPr>
          <w:rFonts w:eastAsiaTheme="minorHAnsi"/>
        </w:rPr>
        <w:t xml:space="preserve"> </w:t>
      </w:r>
      <w:r>
        <w:rPr>
          <w:rFonts w:eastAsiaTheme="minorHAnsi"/>
        </w:rPr>
        <w:t>kW of thermal energy</w:t>
      </w:r>
      <w:r w:rsidRPr="00DA6B66">
        <w:rPr>
          <w:rFonts w:eastAsiaTheme="minorHAnsi"/>
        </w:rPr>
        <w:t>.</w:t>
      </w:r>
      <w:r>
        <w:rPr>
          <w:rFonts w:eastAsiaTheme="minorHAnsi"/>
        </w:rPr>
        <w:t xml:space="preserve"> This is achieved using a water preheater exchanger and part of the duty of the water economizer where </w:t>
      </w:r>
      <w:r w:rsidRPr="00DA6B66">
        <w:rPr>
          <w:rFonts w:eastAsiaTheme="minorHAnsi"/>
        </w:rPr>
        <w:t>water</w:t>
      </w:r>
      <w:r>
        <w:rPr>
          <w:rFonts w:eastAsiaTheme="minorHAnsi"/>
        </w:rPr>
        <w:t xml:space="preserve"> is</w:t>
      </w:r>
      <w:r w:rsidRPr="00DA6B66">
        <w:rPr>
          <w:rFonts w:eastAsiaTheme="minorHAnsi"/>
        </w:rPr>
        <w:t xml:space="preserve"> heate</w:t>
      </w:r>
      <w:r>
        <w:rPr>
          <w:rFonts w:eastAsiaTheme="minorHAnsi"/>
        </w:rPr>
        <w:t xml:space="preserve">d respectively to 45 </w:t>
      </w:r>
      <w:r w:rsidRPr="00DA6B66">
        <w:rPr>
          <w:rFonts w:eastAsiaTheme="minorHAnsi"/>
        </w:rPr>
        <w:t>°C</w:t>
      </w:r>
      <w:r>
        <w:rPr>
          <w:rFonts w:eastAsiaTheme="minorHAnsi"/>
        </w:rPr>
        <w:t xml:space="preserve"> and 170 </w:t>
      </w:r>
      <w:r w:rsidRPr="00DA6B66">
        <w:rPr>
          <w:rFonts w:eastAsiaTheme="minorHAnsi"/>
        </w:rPr>
        <w:t>°C</w:t>
      </w:r>
      <w:r>
        <w:rPr>
          <w:rFonts w:eastAsiaTheme="minorHAnsi"/>
        </w:rPr>
        <w:t xml:space="preserve">. A mixture of these </w:t>
      </w:r>
      <w:r w:rsidRPr="00DA6B66">
        <w:rPr>
          <w:rFonts w:eastAsiaTheme="minorHAnsi"/>
        </w:rPr>
        <w:t>two streams</w:t>
      </w:r>
      <w:r>
        <w:rPr>
          <w:rFonts w:eastAsiaTheme="minorHAnsi"/>
        </w:rPr>
        <w:t xml:space="preserve"> at 50 </w:t>
      </w:r>
      <w:r w:rsidRPr="00DA6B66">
        <w:rPr>
          <w:rFonts w:eastAsiaTheme="minorHAnsi"/>
        </w:rPr>
        <w:t>°C</w:t>
      </w:r>
      <w:r>
        <w:rPr>
          <w:rFonts w:eastAsiaTheme="minorHAnsi"/>
        </w:rPr>
        <w:t xml:space="preserve"> </w:t>
      </w:r>
      <w:r w:rsidRPr="00DA6B66">
        <w:rPr>
          <w:rFonts w:eastAsiaTheme="minorHAnsi"/>
        </w:rPr>
        <w:t xml:space="preserve"> (S-17 and S-18) </w:t>
      </w:r>
      <w:r>
        <w:rPr>
          <w:rFonts w:eastAsiaTheme="minorHAnsi"/>
        </w:rPr>
        <w:t xml:space="preserve">is </w:t>
      </w:r>
      <w:r w:rsidRPr="00DA6B66">
        <w:rPr>
          <w:rFonts w:eastAsiaTheme="minorHAnsi"/>
        </w:rPr>
        <w:t>sent to the anaerobic digestor.</w:t>
      </w:r>
    </w:p>
    <w:p w14:paraId="6BEB8065" w14:textId="4D9441F6" w:rsidR="007708A6" w:rsidRPr="006B4D26" w:rsidRDefault="007708A6" w:rsidP="00C11684">
      <w:pPr>
        <w:pStyle w:val="CETBodytext"/>
        <w:rPr>
          <w:rFonts w:eastAsiaTheme="minorHAnsi"/>
          <w:lang w:val="en-GB"/>
        </w:rPr>
      </w:pPr>
    </w:p>
    <w:p w14:paraId="0A53727A" w14:textId="5A17629A" w:rsidR="00DA6B66" w:rsidRPr="00DA6B66" w:rsidRDefault="002004F6" w:rsidP="00183AB0">
      <w:pPr>
        <w:keepNext/>
        <w:tabs>
          <w:tab w:val="clear" w:pos="7100"/>
        </w:tabs>
        <w:suppressAutoHyphens/>
        <w:spacing w:before="120" w:after="120" w:line="240" w:lineRule="auto"/>
        <w:jc w:val="left"/>
        <w:rPr>
          <w:b/>
          <w:lang w:val="en-US"/>
        </w:rPr>
      </w:pPr>
      <w:r>
        <w:rPr>
          <w:noProof/>
        </w:rPr>
        <w:lastRenderedPageBreak/>
        <w:drawing>
          <wp:inline distT="0" distB="0" distL="0" distR="0" wp14:anchorId="4E2EA575" wp14:editId="6E8E487A">
            <wp:extent cx="5574030" cy="3138170"/>
            <wp:effectExtent l="0" t="0" r="7620" b="508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4030" cy="3138170"/>
                    </a:xfrm>
                    <a:prstGeom prst="rect">
                      <a:avLst/>
                    </a:prstGeom>
                    <a:noFill/>
                    <a:ln>
                      <a:noFill/>
                    </a:ln>
                  </pic:spPr>
                </pic:pic>
              </a:graphicData>
            </a:graphic>
          </wp:inline>
        </w:drawing>
      </w:r>
    </w:p>
    <w:p w14:paraId="3E5B7169" w14:textId="41CA4461" w:rsidR="00DA6B66" w:rsidRPr="00DA6B66" w:rsidRDefault="00DA6B66" w:rsidP="00183AB0">
      <w:pPr>
        <w:pStyle w:val="CETCaption"/>
      </w:pPr>
      <w:r w:rsidRPr="00DA6B66">
        <w:t xml:space="preserve">Figure 1: Process </w:t>
      </w:r>
      <w:r w:rsidR="00207A59">
        <w:t>scheme</w:t>
      </w:r>
      <w:r w:rsidRPr="00DA6B66">
        <w:t xml:space="preserve"> of the </w:t>
      </w:r>
      <w:r w:rsidR="00046A67">
        <w:t xml:space="preserve">developed </w:t>
      </w:r>
      <w:r w:rsidRPr="00DA6B66">
        <w:t>biogas to hydrogen route</w:t>
      </w:r>
      <w:r w:rsidR="00BE2095">
        <w:t>.</w:t>
      </w:r>
    </w:p>
    <w:p w14:paraId="0F12F120" w14:textId="77777777" w:rsidR="00DA6B66" w:rsidRPr="00DA6B66" w:rsidRDefault="00DA6B66" w:rsidP="00DA6B66">
      <w:pPr>
        <w:keepNext/>
        <w:numPr>
          <w:ilvl w:val="2"/>
          <w:numId w:val="1"/>
        </w:numPr>
        <w:tabs>
          <w:tab w:val="clear" w:pos="7100"/>
        </w:tabs>
        <w:suppressAutoHyphens/>
        <w:spacing w:before="120" w:after="120" w:line="240" w:lineRule="auto"/>
        <w:jc w:val="left"/>
        <w:rPr>
          <w:rFonts w:eastAsiaTheme="minorHAnsi"/>
          <w:b/>
          <w:lang w:val="en-US"/>
        </w:rPr>
      </w:pPr>
      <w:r w:rsidRPr="00DA6B66">
        <w:rPr>
          <w:rFonts w:eastAsiaTheme="minorHAnsi"/>
          <w:b/>
          <w:lang w:val="en-US"/>
        </w:rPr>
        <w:t>Economic assessment</w:t>
      </w:r>
    </w:p>
    <w:p w14:paraId="64B90069" w14:textId="66125C77" w:rsidR="00DA6B66" w:rsidRPr="00DA6B66" w:rsidRDefault="00DA6B66" w:rsidP="00C11684">
      <w:pPr>
        <w:pStyle w:val="CETBodytext"/>
      </w:pPr>
      <w:r w:rsidRPr="00DA6B66">
        <w:t>The</w:t>
      </w:r>
      <w:r w:rsidR="00B1575E">
        <w:t xml:space="preserve"> described</w:t>
      </w:r>
      <w:r w:rsidRPr="00DA6B66">
        <w:t xml:space="preserve"> biogas-to-hydrogen </w:t>
      </w:r>
      <w:r w:rsidR="00B1575E">
        <w:t>process produces renewable</w:t>
      </w:r>
      <w:r w:rsidRPr="00DA6B66">
        <w:t xml:space="preserve"> hydrogen, which has a</w:t>
      </w:r>
      <w:r w:rsidR="00B1575E">
        <w:t xml:space="preserve"> current market </w:t>
      </w:r>
      <w:r w:rsidRPr="00DA6B66">
        <w:t>price that varies from 7</w:t>
      </w:r>
      <w:r w:rsidR="00B1575E">
        <w:t xml:space="preserve"> </w:t>
      </w:r>
      <w:r w:rsidR="00B1575E" w:rsidRPr="00DA6B66">
        <w:rPr>
          <w:rFonts w:cs="Arial"/>
        </w:rPr>
        <w:t>€</w:t>
      </w:r>
      <w:r w:rsidR="004F08EC">
        <w:t xml:space="preserve"> K</w:t>
      </w:r>
      <w:r w:rsidR="00B1575E" w:rsidRPr="00DA6B66">
        <w:t>g</w:t>
      </w:r>
      <w:r w:rsidR="004F08EC" w:rsidRPr="004F08EC">
        <w:rPr>
          <w:vertAlign w:val="superscript"/>
        </w:rPr>
        <w:t>-1</w:t>
      </w:r>
      <w:r w:rsidRPr="00DA6B66">
        <w:t xml:space="preserve"> to 9 </w:t>
      </w:r>
      <w:r w:rsidRPr="00DA6B66">
        <w:rPr>
          <w:rFonts w:cs="Arial"/>
        </w:rPr>
        <w:t>€</w:t>
      </w:r>
      <w:r w:rsidR="004F08EC">
        <w:t xml:space="preserve"> K</w:t>
      </w:r>
      <w:r w:rsidRPr="00DA6B66">
        <w:t>g</w:t>
      </w:r>
      <w:r w:rsidR="004F08EC" w:rsidRPr="004F08EC">
        <w:rPr>
          <w:vertAlign w:val="superscript"/>
        </w:rPr>
        <w:t>-1</w:t>
      </w:r>
      <w:r w:rsidRPr="00DA6B66">
        <w:t xml:space="preserve"> (IEA,</w:t>
      </w:r>
      <w:r w:rsidR="00E43D7E">
        <w:t xml:space="preserve"> </w:t>
      </w:r>
      <w:r w:rsidRPr="00DA6B66">
        <w:t>2019).</w:t>
      </w:r>
    </w:p>
    <w:p w14:paraId="2851A74B" w14:textId="77777777" w:rsidR="00DA6B66" w:rsidRPr="00DA6B66" w:rsidRDefault="00DA6B66" w:rsidP="005577DE">
      <w:pPr>
        <w:pStyle w:val="CETTabletitle"/>
        <w:jc w:val="both"/>
      </w:pPr>
      <w:r w:rsidRPr="00DA6B66">
        <w:t>Table 1:  Price of consumables and reactants used in the case study.</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85"/>
        <w:gridCol w:w="1276"/>
        <w:gridCol w:w="2409"/>
      </w:tblGrid>
      <w:tr w:rsidR="006E2401" w:rsidRPr="00B57B36" w14:paraId="58C53A25" w14:textId="77777777" w:rsidTr="000F3ABE">
        <w:tc>
          <w:tcPr>
            <w:tcW w:w="1985" w:type="dxa"/>
            <w:tcBorders>
              <w:top w:val="single" w:sz="12" w:space="0" w:color="008000"/>
              <w:bottom w:val="single" w:sz="8" w:space="0" w:color="000000"/>
            </w:tcBorders>
          </w:tcPr>
          <w:p w14:paraId="752DC6FD" w14:textId="77777777" w:rsidR="006E2401" w:rsidRPr="00B57B36" w:rsidRDefault="006E2401" w:rsidP="00424984">
            <w:pPr>
              <w:pStyle w:val="CETBodytext"/>
              <w:rPr>
                <w:lang w:val="en-GB"/>
              </w:rPr>
            </w:pPr>
            <w:r w:rsidRPr="00DA6B66">
              <w:rPr>
                <w:rFonts w:eastAsia="Arial MT"/>
              </w:rPr>
              <w:t>Chemical</w:t>
            </w:r>
          </w:p>
        </w:tc>
        <w:tc>
          <w:tcPr>
            <w:tcW w:w="1276" w:type="dxa"/>
            <w:tcBorders>
              <w:top w:val="single" w:sz="12" w:space="0" w:color="008000"/>
              <w:bottom w:val="single" w:sz="8" w:space="0" w:color="000000"/>
            </w:tcBorders>
          </w:tcPr>
          <w:p w14:paraId="7837CED1" w14:textId="77777777" w:rsidR="006E2401" w:rsidRPr="00B57B36" w:rsidRDefault="006E2401" w:rsidP="00424984">
            <w:pPr>
              <w:pStyle w:val="CETBodytext"/>
              <w:rPr>
                <w:lang w:val="en-GB"/>
              </w:rPr>
            </w:pPr>
            <w:r w:rsidRPr="00DA6B66">
              <w:rPr>
                <w:rFonts w:eastAsia="Arial MT"/>
              </w:rPr>
              <w:t>Price</w:t>
            </w:r>
          </w:p>
        </w:tc>
        <w:tc>
          <w:tcPr>
            <w:tcW w:w="2409" w:type="dxa"/>
            <w:tcBorders>
              <w:top w:val="single" w:sz="12" w:space="0" w:color="008000"/>
              <w:bottom w:val="single" w:sz="8" w:space="0" w:color="008000"/>
            </w:tcBorders>
          </w:tcPr>
          <w:p w14:paraId="10063252" w14:textId="77777777" w:rsidR="006E2401" w:rsidRPr="00B57B36" w:rsidRDefault="006E2401" w:rsidP="00424984">
            <w:pPr>
              <w:pStyle w:val="CETBodytext"/>
              <w:rPr>
                <w:lang w:val="en-GB"/>
              </w:rPr>
            </w:pPr>
            <w:r w:rsidRPr="00DA6B66">
              <w:rPr>
                <w:rFonts w:eastAsia="Arial MT"/>
              </w:rPr>
              <w:t>Reference</w:t>
            </w:r>
          </w:p>
        </w:tc>
      </w:tr>
      <w:tr w:rsidR="006E2401" w:rsidRPr="00B57B36" w14:paraId="5CE9BA33" w14:textId="77777777" w:rsidTr="000F3ABE">
        <w:tc>
          <w:tcPr>
            <w:tcW w:w="1985" w:type="dxa"/>
            <w:tcBorders>
              <w:top w:val="single" w:sz="8" w:space="0" w:color="008000"/>
            </w:tcBorders>
          </w:tcPr>
          <w:p w14:paraId="21548CC9" w14:textId="77777777" w:rsidR="006E2401" w:rsidRPr="00B57B36" w:rsidRDefault="006E2401" w:rsidP="00424984">
            <w:pPr>
              <w:pStyle w:val="CETBodytext"/>
              <w:rPr>
                <w:lang w:val="en-GB"/>
              </w:rPr>
            </w:pPr>
            <w:r w:rsidRPr="00DA6B66">
              <w:rPr>
                <w:rFonts w:ascii="Arial MT" w:eastAsia="Arial MT"/>
              </w:rPr>
              <w:t>Biogas</w:t>
            </w:r>
          </w:p>
        </w:tc>
        <w:tc>
          <w:tcPr>
            <w:tcW w:w="1276" w:type="dxa"/>
            <w:tcBorders>
              <w:top w:val="single" w:sz="8" w:space="0" w:color="008000"/>
            </w:tcBorders>
          </w:tcPr>
          <w:p w14:paraId="43A9D1B6" w14:textId="59A6B25B" w:rsidR="006E2401" w:rsidRPr="000F3ABE" w:rsidRDefault="006E2401" w:rsidP="000F3ABE">
            <w:pPr>
              <w:pStyle w:val="CETBodytext"/>
            </w:pPr>
            <w:r w:rsidRPr="000F3ABE">
              <w:rPr>
                <w:rFonts w:eastAsia="Arial MT"/>
              </w:rPr>
              <w:t>0.2</w:t>
            </w:r>
            <w:r w:rsidR="00B1575E" w:rsidRPr="000F3ABE">
              <w:rPr>
                <w:rFonts w:eastAsia="Arial MT"/>
              </w:rPr>
              <w:t>5</w:t>
            </w:r>
            <w:r w:rsidRPr="000F3ABE">
              <w:rPr>
                <w:rFonts w:eastAsia="Arial MT"/>
              </w:rPr>
              <w:t xml:space="preserve"> €</w:t>
            </w:r>
            <w:r w:rsidR="00940540" w:rsidRPr="000F3ABE">
              <w:rPr>
                <w:rFonts w:eastAsia="Arial MT"/>
              </w:rPr>
              <w:t xml:space="preserve"> </w:t>
            </w:r>
            <w:r w:rsidRPr="000F3ABE">
              <w:rPr>
                <w:rFonts w:eastAsia="Arial MT"/>
              </w:rPr>
              <w:t>Nm</w:t>
            </w:r>
            <w:r w:rsidR="00940540" w:rsidRPr="000C0D0F">
              <w:rPr>
                <w:rFonts w:eastAsia="Arial MT"/>
                <w:vertAlign w:val="superscript"/>
              </w:rPr>
              <w:t>-</w:t>
            </w:r>
            <w:r w:rsidRPr="000C0D0F">
              <w:rPr>
                <w:rFonts w:eastAsia="Arial MT"/>
                <w:vertAlign w:val="superscript"/>
              </w:rPr>
              <w:t>3</w:t>
            </w:r>
          </w:p>
        </w:tc>
        <w:tc>
          <w:tcPr>
            <w:tcW w:w="2409" w:type="dxa"/>
            <w:tcBorders>
              <w:top w:val="single" w:sz="8" w:space="0" w:color="008000"/>
            </w:tcBorders>
          </w:tcPr>
          <w:p w14:paraId="64DF1306" w14:textId="3BF1E0E4" w:rsidR="006E2401" w:rsidRPr="00B57B36" w:rsidRDefault="006E2401" w:rsidP="00424984">
            <w:pPr>
              <w:pStyle w:val="CETBodytext"/>
              <w:rPr>
                <w:lang w:val="en-GB"/>
              </w:rPr>
            </w:pPr>
            <w:r w:rsidRPr="00DA6B66">
              <w:rPr>
                <w:rFonts w:eastAsiaTheme="minorHAnsi"/>
                <w:noProof/>
                <w:lang w:val="it-IT"/>
              </w:rPr>
              <w:t xml:space="preserve">(Benato </w:t>
            </w:r>
            <w:r w:rsidR="006137DD">
              <w:rPr>
                <w:rFonts w:eastAsiaTheme="minorHAnsi"/>
                <w:noProof/>
                <w:lang w:val="it-IT"/>
              </w:rPr>
              <w:t xml:space="preserve">and </w:t>
            </w:r>
            <w:r w:rsidRPr="00DA6B66">
              <w:rPr>
                <w:rFonts w:eastAsiaTheme="minorHAnsi"/>
                <w:noProof/>
                <w:lang w:val="it-IT"/>
              </w:rPr>
              <w:t>Macor, 2019)</w:t>
            </w:r>
          </w:p>
        </w:tc>
      </w:tr>
      <w:tr w:rsidR="006E2401" w:rsidRPr="00B57B36" w14:paraId="79400B3D" w14:textId="77777777" w:rsidTr="000F3ABE">
        <w:tc>
          <w:tcPr>
            <w:tcW w:w="1985" w:type="dxa"/>
          </w:tcPr>
          <w:p w14:paraId="0D991B62" w14:textId="77777777" w:rsidR="006E2401" w:rsidRPr="00B57B36" w:rsidRDefault="006E2401" w:rsidP="00424984">
            <w:pPr>
              <w:pStyle w:val="CETBodytext"/>
              <w:ind w:right="-1"/>
              <w:rPr>
                <w:rFonts w:cs="Arial"/>
                <w:szCs w:val="18"/>
                <w:lang w:val="en-GB"/>
              </w:rPr>
            </w:pPr>
            <w:r w:rsidRPr="00DA6B66">
              <w:rPr>
                <w:rFonts w:ascii="Arial MT" w:eastAsia="Arial MT"/>
                <w:szCs w:val="18"/>
              </w:rPr>
              <w:t>Demineralized H</w:t>
            </w:r>
            <w:r w:rsidRPr="00DA6B66">
              <w:rPr>
                <w:rFonts w:ascii="Arial MT" w:eastAsia="Arial MT"/>
                <w:szCs w:val="18"/>
                <w:vertAlign w:val="subscript"/>
              </w:rPr>
              <w:t>2</w:t>
            </w:r>
            <w:r w:rsidRPr="00DA6B66">
              <w:rPr>
                <w:rFonts w:ascii="Arial MT" w:eastAsia="Arial MT"/>
                <w:szCs w:val="18"/>
              </w:rPr>
              <w:t>O</w:t>
            </w:r>
          </w:p>
        </w:tc>
        <w:tc>
          <w:tcPr>
            <w:tcW w:w="1276" w:type="dxa"/>
          </w:tcPr>
          <w:p w14:paraId="45BC44CF" w14:textId="6255F189" w:rsidR="006E2401" w:rsidRPr="000F3ABE" w:rsidRDefault="006A185B" w:rsidP="000F3ABE">
            <w:pPr>
              <w:pStyle w:val="CETBodytext"/>
            </w:pPr>
            <w:r>
              <w:rPr>
                <w:rFonts w:eastAsia="Arial MT"/>
              </w:rPr>
              <w:t>2</w:t>
            </w:r>
            <w:r w:rsidR="006E2401" w:rsidRPr="000F3ABE">
              <w:rPr>
                <w:rFonts w:eastAsia="Arial MT"/>
              </w:rPr>
              <w:t>.7 € m</w:t>
            </w:r>
            <w:r w:rsidR="00940540" w:rsidRPr="000C0D0F">
              <w:rPr>
                <w:rFonts w:eastAsia="Arial MT"/>
                <w:vertAlign w:val="superscript"/>
              </w:rPr>
              <w:t>-</w:t>
            </w:r>
            <w:r w:rsidR="006E2401" w:rsidRPr="000C0D0F">
              <w:rPr>
                <w:rFonts w:eastAsia="Arial MT"/>
                <w:vertAlign w:val="superscript"/>
              </w:rPr>
              <w:t>3</w:t>
            </w:r>
          </w:p>
        </w:tc>
        <w:tc>
          <w:tcPr>
            <w:tcW w:w="2409" w:type="dxa"/>
          </w:tcPr>
          <w:p w14:paraId="62A89A9B" w14:textId="3AC93C84" w:rsidR="006E2401" w:rsidRPr="00B57B36" w:rsidRDefault="006E2401" w:rsidP="00424984">
            <w:pPr>
              <w:pStyle w:val="CETBodytext"/>
              <w:ind w:right="-1"/>
              <w:rPr>
                <w:rFonts w:cs="Arial"/>
                <w:szCs w:val="18"/>
                <w:lang w:val="en-GB"/>
              </w:rPr>
            </w:pPr>
            <w:r w:rsidRPr="00DA6B66">
              <w:rPr>
                <w:rFonts w:ascii="Arial MT" w:eastAsia="Arial MT" w:hAnsi="Arial MT"/>
                <w:noProof/>
                <w:color w:val="000000" w:themeColor="text1"/>
                <w:lang w:val="it-IT"/>
              </w:rPr>
              <w:t>(</w:t>
            </w:r>
            <w:r w:rsidR="006A185B">
              <w:rPr>
                <w:rFonts w:ascii="Arial MT" w:eastAsia="Arial MT" w:hAnsi="Arial MT"/>
                <w:noProof/>
                <w:color w:val="000000" w:themeColor="text1"/>
                <w:lang w:val="it-IT"/>
              </w:rPr>
              <w:t>ICIS</w:t>
            </w:r>
            <w:r w:rsidRPr="003112E9">
              <w:rPr>
                <w:rFonts w:ascii="Arial MT" w:eastAsia="Arial MT" w:hAnsi="Arial MT"/>
                <w:noProof/>
                <w:color w:val="000000" w:themeColor="text1"/>
                <w:lang w:val="it-IT"/>
              </w:rPr>
              <w:t>, 2</w:t>
            </w:r>
            <w:r w:rsidR="006A185B">
              <w:rPr>
                <w:rFonts w:ascii="Arial MT" w:eastAsia="Arial MT" w:hAnsi="Arial MT"/>
                <w:noProof/>
                <w:color w:val="000000" w:themeColor="text1"/>
                <w:lang w:val="it-IT"/>
              </w:rPr>
              <w:t>022</w:t>
            </w:r>
            <w:r w:rsidRPr="003112E9">
              <w:rPr>
                <w:rFonts w:ascii="Arial MT" w:eastAsia="Arial MT" w:hAnsi="Arial MT"/>
                <w:noProof/>
                <w:color w:val="000000" w:themeColor="text1"/>
                <w:lang w:val="it-IT"/>
              </w:rPr>
              <w:t>)</w:t>
            </w:r>
          </w:p>
        </w:tc>
      </w:tr>
      <w:tr w:rsidR="006E2401" w:rsidRPr="00B57B36" w14:paraId="6718A6BE" w14:textId="77777777" w:rsidTr="000F3ABE">
        <w:tc>
          <w:tcPr>
            <w:tcW w:w="1985" w:type="dxa"/>
            <w:tcBorders>
              <w:bottom w:val="single" w:sz="12" w:space="0" w:color="008000"/>
            </w:tcBorders>
          </w:tcPr>
          <w:p w14:paraId="28FC28AF" w14:textId="6AE7F6E2" w:rsidR="006E2401" w:rsidRPr="00B57B36" w:rsidRDefault="00B1575E" w:rsidP="00424984">
            <w:pPr>
              <w:pStyle w:val="CETBodytext"/>
              <w:ind w:right="-1"/>
              <w:rPr>
                <w:rFonts w:cs="Arial"/>
                <w:szCs w:val="18"/>
                <w:lang w:val="en-GB"/>
              </w:rPr>
            </w:pPr>
            <w:r>
              <w:rPr>
                <w:rFonts w:ascii="Arial MT" w:eastAsia="Arial MT"/>
              </w:rPr>
              <w:t>Renewable e</w:t>
            </w:r>
            <w:r w:rsidR="006E2401" w:rsidRPr="00DA6B66">
              <w:rPr>
                <w:rFonts w:ascii="Arial MT" w:eastAsia="Arial MT"/>
              </w:rPr>
              <w:t>lectricity</w:t>
            </w:r>
          </w:p>
        </w:tc>
        <w:tc>
          <w:tcPr>
            <w:tcW w:w="1276" w:type="dxa"/>
            <w:tcBorders>
              <w:bottom w:val="single" w:sz="12" w:space="0" w:color="008000"/>
            </w:tcBorders>
          </w:tcPr>
          <w:p w14:paraId="6CB18F6C" w14:textId="38E508D8" w:rsidR="006E2401" w:rsidRPr="000F3ABE" w:rsidRDefault="006E2401" w:rsidP="000F3ABE">
            <w:pPr>
              <w:pStyle w:val="CETBodytext"/>
            </w:pPr>
            <w:r w:rsidRPr="000F3ABE">
              <w:rPr>
                <w:rFonts w:eastAsia="Arial MT"/>
              </w:rPr>
              <w:t>15</w:t>
            </w:r>
            <w:r w:rsidR="000C0D0F">
              <w:rPr>
                <w:rFonts w:eastAsia="Arial MT"/>
              </w:rPr>
              <w:t>0</w:t>
            </w:r>
            <w:r w:rsidRPr="000F3ABE">
              <w:rPr>
                <w:rFonts w:eastAsia="Arial MT"/>
              </w:rPr>
              <w:t xml:space="preserve"> €</w:t>
            </w:r>
            <w:r w:rsidR="00940540" w:rsidRPr="000F3ABE">
              <w:rPr>
                <w:rFonts w:eastAsia="Arial MT"/>
              </w:rPr>
              <w:t xml:space="preserve"> </w:t>
            </w:r>
            <w:r w:rsidR="000C0D0F">
              <w:rPr>
                <w:rFonts w:eastAsia="Arial MT"/>
              </w:rPr>
              <w:t>M</w:t>
            </w:r>
            <w:r w:rsidR="00940540" w:rsidRPr="000F3ABE">
              <w:rPr>
                <w:rFonts w:eastAsia="Arial MT"/>
              </w:rPr>
              <w:t>W</w:t>
            </w:r>
            <w:r w:rsidR="000C0D0F">
              <w:rPr>
                <w:rFonts w:eastAsia="Arial MT"/>
              </w:rPr>
              <w:t>h</w:t>
            </w:r>
            <w:r w:rsidR="00940540" w:rsidRPr="000C0D0F">
              <w:rPr>
                <w:rFonts w:eastAsia="Arial MT"/>
                <w:vertAlign w:val="superscript"/>
              </w:rPr>
              <w:t>-1</w:t>
            </w:r>
          </w:p>
        </w:tc>
        <w:tc>
          <w:tcPr>
            <w:tcW w:w="2409" w:type="dxa"/>
            <w:tcBorders>
              <w:bottom w:val="single" w:sz="12" w:space="0" w:color="008000"/>
            </w:tcBorders>
          </w:tcPr>
          <w:p w14:paraId="72D817DE" w14:textId="29132AFE" w:rsidR="006E2401" w:rsidRPr="00B57B36" w:rsidRDefault="00F22072" w:rsidP="00424984">
            <w:pPr>
              <w:pStyle w:val="CETBodytext"/>
              <w:ind w:right="-1"/>
              <w:rPr>
                <w:rFonts w:cs="Arial"/>
                <w:szCs w:val="18"/>
                <w:lang w:val="en-GB"/>
              </w:rPr>
            </w:pPr>
            <w:r w:rsidRPr="00DA6B66">
              <w:rPr>
                <w:rFonts w:ascii="Arial MT" w:eastAsia="Arial MT" w:hAnsi="Arial MT"/>
                <w:noProof/>
                <w:color w:val="000000" w:themeColor="text1"/>
                <w:lang w:val="it-IT"/>
              </w:rPr>
              <w:t>(</w:t>
            </w:r>
            <w:r>
              <w:rPr>
                <w:rFonts w:ascii="Arial MT" w:eastAsia="Arial MT" w:hAnsi="Arial MT"/>
                <w:noProof/>
                <w:color w:val="000000" w:themeColor="text1"/>
                <w:lang w:val="it-IT"/>
              </w:rPr>
              <w:t>Irena</w:t>
            </w:r>
            <w:r w:rsidRPr="00DA6B66">
              <w:rPr>
                <w:rFonts w:ascii="Arial MT" w:eastAsia="Arial MT" w:hAnsi="Arial MT"/>
                <w:noProof/>
                <w:color w:val="000000" w:themeColor="text1"/>
                <w:lang w:val="it-IT"/>
              </w:rPr>
              <w:t>, 2021)</w:t>
            </w:r>
          </w:p>
        </w:tc>
      </w:tr>
    </w:tbl>
    <w:p w14:paraId="520933E6" w14:textId="77777777" w:rsidR="00DA6B66" w:rsidRPr="00DA6B66" w:rsidRDefault="00DA6B66" w:rsidP="00DA6B66">
      <w:pPr>
        <w:rPr>
          <w:lang w:val="en-US"/>
        </w:rPr>
      </w:pPr>
    </w:p>
    <w:p w14:paraId="4618EE46" w14:textId="1F36BF5A" w:rsidR="00DA6B66" w:rsidRPr="00DA6B66" w:rsidRDefault="00DA6B66" w:rsidP="00C11684">
      <w:pPr>
        <w:pStyle w:val="CETBodytext"/>
      </w:pPr>
      <w:r w:rsidRPr="00DA6B66">
        <w:t xml:space="preserve">The capital expenditure (CAPEX) is depreciated over </w:t>
      </w:r>
      <w:r w:rsidR="006137DD">
        <w:t xml:space="preserve">an </w:t>
      </w:r>
      <w:r w:rsidRPr="00DA6B66">
        <w:t>operation</w:t>
      </w:r>
      <w:r w:rsidR="00EC3F25">
        <w:t>al</w:t>
      </w:r>
      <w:r w:rsidRPr="00DA6B66">
        <w:t xml:space="preserve"> plant lifetime of 15 years. </w:t>
      </w:r>
      <w:r w:rsidR="00536EF1">
        <w:t>T</w:t>
      </w:r>
      <w:r w:rsidRPr="00DA6B66">
        <w:t xml:space="preserve">he </w:t>
      </w:r>
      <w:r w:rsidR="006F38BD">
        <w:t xml:space="preserve">CAPEX for </w:t>
      </w:r>
      <w:r w:rsidR="00940540">
        <w:t>a</w:t>
      </w:r>
      <w:r w:rsidR="006F38BD">
        <w:t xml:space="preserve"> production plant of</w:t>
      </w:r>
      <w:r w:rsidR="00536EF1">
        <w:t xml:space="preserve"> </w:t>
      </w:r>
      <w:r w:rsidRPr="00DA6B66">
        <w:t>100 Nm</w:t>
      </w:r>
      <w:r w:rsidRPr="00DA6B66">
        <w:rPr>
          <w:vertAlign w:val="superscript"/>
        </w:rPr>
        <w:t>3</w:t>
      </w:r>
      <w:r w:rsidR="00B652D3">
        <w:t xml:space="preserve"> </w:t>
      </w:r>
      <w:r w:rsidRPr="00DA6B66">
        <w:t>h</w:t>
      </w:r>
      <w:r w:rsidR="00940540" w:rsidRPr="00940540">
        <w:rPr>
          <w:vertAlign w:val="superscript"/>
        </w:rPr>
        <w:t>-1</w:t>
      </w:r>
      <w:r w:rsidRPr="00DA6B66">
        <w:t xml:space="preserve"> H</w:t>
      </w:r>
      <w:r w:rsidRPr="00745DEE">
        <w:rPr>
          <w:vertAlign w:val="subscript"/>
        </w:rPr>
        <w:t>2</w:t>
      </w:r>
      <w:r w:rsidRPr="00DA6B66">
        <w:t xml:space="preserve"> is </w:t>
      </w:r>
      <w:r w:rsidR="006F38BD">
        <w:t>approximately</w:t>
      </w:r>
      <w:r w:rsidRPr="00DA6B66">
        <w:t xml:space="preserve"> </w:t>
      </w:r>
      <w:r w:rsidRPr="00DA6B66">
        <w:rPr>
          <w:color w:val="000000" w:themeColor="text1"/>
        </w:rPr>
        <w:t>1</w:t>
      </w:r>
      <w:r w:rsidR="006F38BD">
        <w:rPr>
          <w:color w:val="000000" w:themeColor="text1"/>
        </w:rPr>
        <w:t xml:space="preserve"> </w:t>
      </w:r>
      <w:r w:rsidRPr="00DA6B66">
        <w:rPr>
          <w:color w:val="000000" w:themeColor="text1"/>
        </w:rPr>
        <w:t xml:space="preserve">M€ </w:t>
      </w:r>
      <w:r w:rsidRPr="00883E01">
        <w:rPr>
          <w:rFonts w:eastAsiaTheme="minorHAnsi"/>
          <w:noProof/>
          <w:color w:val="000000" w:themeColor="text1"/>
          <w:lang w:val="en-CA"/>
        </w:rPr>
        <w:t>(</w:t>
      </w:r>
      <w:r w:rsidR="00B36542" w:rsidRPr="00883E01">
        <w:rPr>
          <w:rFonts w:eastAsiaTheme="minorHAnsi"/>
          <w:noProof/>
          <w:color w:val="000000" w:themeColor="text1"/>
          <w:lang w:val="en-CA"/>
        </w:rPr>
        <w:t>Rostrup-Nielsen and Christiansen,</w:t>
      </w:r>
      <w:r w:rsidR="00111ED8">
        <w:rPr>
          <w:rFonts w:eastAsiaTheme="minorHAnsi"/>
          <w:noProof/>
          <w:color w:val="000000" w:themeColor="text1"/>
          <w:lang w:val="en-CA"/>
        </w:rPr>
        <w:t xml:space="preserve"> </w:t>
      </w:r>
      <w:r w:rsidR="00B36542" w:rsidRPr="00883E01">
        <w:rPr>
          <w:rFonts w:eastAsiaTheme="minorHAnsi"/>
          <w:noProof/>
          <w:color w:val="000000" w:themeColor="text1"/>
          <w:lang w:val="en-CA"/>
        </w:rPr>
        <w:t>2011</w:t>
      </w:r>
      <w:r w:rsidRPr="00883E01">
        <w:rPr>
          <w:rFonts w:eastAsiaTheme="minorHAnsi"/>
          <w:noProof/>
          <w:color w:val="000000" w:themeColor="text1"/>
          <w:lang w:val="en-CA"/>
        </w:rPr>
        <w:t>)</w:t>
      </w:r>
      <w:r w:rsidR="006F38BD">
        <w:rPr>
          <w:rFonts w:eastAsiaTheme="minorHAnsi"/>
          <w:noProof/>
          <w:color w:val="000000" w:themeColor="text1"/>
          <w:lang w:val="en-CA"/>
        </w:rPr>
        <w:t>. Considering</w:t>
      </w:r>
      <w:r w:rsidR="0036267B">
        <w:rPr>
          <w:rFonts w:eastAsiaTheme="minorHAnsi"/>
          <w:noProof/>
          <w:color w:val="000000" w:themeColor="text1"/>
          <w:lang w:val="en-CA"/>
        </w:rPr>
        <w:t xml:space="preserve"> 0.77 as</w:t>
      </w:r>
      <w:r w:rsidR="006F38BD">
        <w:rPr>
          <w:rFonts w:eastAsiaTheme="minorHAnsi"/>
          <w:noProof/>
          <w:color w:val="000000" w:themeColor="text1"/>
          <w:lang w:val="en-CA"/>
        </w:rPr>
        <w:t xml:space="preserve"> the scale</w:t>
      </w:r>
      <w:r w:rsidR="007E031E">
        <w:rPr>
          <w:rFonts w:eastAsiaTheme="minorHAnsi"/>
          <w:noProof/>
          <w:color w:val="000000" w:themeColor="text1"/>
          <w:lang w:val="en-CA"/>
        </w:rPr>
        <w:t>-</w:t>
      </w:r>
      <w:r w:rsidR="006F38BD">
        <w:rPr>
          <w:rFonts w:eastAsiaTheme="minorHAnsi"/>
          <w:noProof/>
          <w:color w:val="000000" w:themeColor="text1"/>
          <w:lang w:val="en-CA"/>
        </w:rPr>
        <w:t>down factor</w:t>
      </w:r>
      <w:r w:rsidR="0036267B">
        <w:rPr>
          <w:rFonts w:eastAsiaTheme="minorHAnsi"/>
          <w:noProof/>
          <w:color w:val="000000" w:themeColor="text1"/>
          <w:lang w:val="en-CA"/>
        </w:rPr>
        <w:t xml:space="preserve"> for H</w:t>
      </w:r>
      <w:r w:rsidR="0036267B" w:rsidRPr="005A6228">
        <w:rPr>
          <w:rFonts w:eastAsiaTheme="minorHAnsi"/>
          <w:noProof/>
          <w:color w:val="000000" w:themeColor="text1"/>
          <w:vertAlign w:val="subscript"/>
          <w:lang w:val="en-CA"/>
        </w:rPr>
        <w:t>2</w:t>
      </w:r>
      <w:r w:rsidR="0036267B">
        <w:rPr>
          <w:rFonts w:eastAsiaTheme="minorHAnsi"/>
          <w:noProof/>
          <w:color w:val="000000" w:themeColor="text1"/>
          <w:vertAlign w:val="subscript"/>
          <w:lang w:val="en-CA"/>
        </w:rPr>
        <w:t xml:space="preserve"> </w:t>
      </w:r>
      <w:r w:rsidR="0036267B">
        <w:rPr>
          <w:rFonts w:eastAsiaTheme="minorHAnsi"/>
          <w:noProof/>
          <w:color w:val="000000" w:themeColor="text1"/>
          <w:lang w:val="en-CA"/>
        </w:rPr>
        <w:t>(Towler and Sinnot, 2008)</w:t>
      </w:r>
      <w:r w:rsidR="006F38BD">
        <w:rPr>
          <w:rFonts w:eastAsiaTheme="minorHAnsi"/>
          <w:noProof/>
          <w:color w:val="000000" w:themeColor="text1"/>
          <w:lang w:val="en-CA"/>
        </w:rPr>
        <w:t>,</w:t>
      </w:r>
      <w:r w:rsidR="00602350">
        <w:rPr>
          <w:color w:val="000000" w:themeColor="text1"/>
        </w:rPr>
        <w:t xml:space="preserve"> a CAPEX of 580 </w:t>
      </w:r>
      <w:r w:rsidR="004F08EC">
        <w:rPr>
          <w:color w:val="000000" w:themeColor="text1"/>
        </w:rPr>
        <w:t>K</w:t>
      </w:r>
      <w:r w:rsidR="00602350">
        <w:rPr>
          <w:color w:val="000000" w:themeColor="text1"/>
        </w:rPr>
        <w:t xml:space="preserve">€ is reasonable </w:t>
      </w:r>
      <w:r w:rsidR="006F38BD">
        <w:rPr>
          <w:color w:val="000000" w:themeColor="text1"/>
        </w:rPr>
        <w:t xml:space="preserve">for an installation </w:t>
      </w:r>
      <w:r w:rsidR="00072E1B">
        <w:rPr>
          <w:color w:val="000000" w:themeColor="text1"/>
        </w:rPr>
        <w:t xml:space="preserve">of </w:t>
      </w:r>
      <w:r w:rsidRPr="00DA6B66">
        <w:t>about 50 Nm</w:t>
      </w:r>
      <w:r w:rsidRPr="00745DEE">
        <w:rPr>
          <w:vertAlign w:val="superscript"/>
        </w:rPr>
        <w:t>3</w:t>
      </w:r>
      <w:r w:rsidR="004F08EC">
        <w:t xml:space="preserve"> </w:t>
      </w:r>
      <w:r w:rsidRPr="00DA6B66">
        <w:t>h</w:t>
      </w:r>
      <w:r w:rsidR="004F08EC" w:rsidRPr="004F08EC">
        <w:rPr>
          <w:vertAlign w:val="superscript"/>
        </w:rPr>
        <w:t>-1</w:t>
      </w:r>
      <w:r w:rsidRPr="00DA6B66">
        <w:t>.</w:t>
      </w:r>
    </w:p>
    <w:p w14:paraId="4579C69A" w14:textId="77777777" w:rsidR="00DA6B66" w:rsidRPr="00DA6B66" w:rsidRDefault="00DA6B66" w:rsidP="00DA6B66">
      <w:pPr>
        <w:rPr>
          <w:lang w:val="en-US"/>
        </w:rPr>
      </w:pPr>
      <w:r w:rsidRPr="00DA6B66">
        <w:rPr>
          <w:lang w:val="en-US"/>
        </w:rPr>
        <w:t>The following economic indicators are used for comparison:</w:t>
      </w:r>
    </w:p>
    <w:p w14:paraId="6BC4CD3F" w14:textId="247D87BC" w:rsidR="00DA6B66" w:rsidRPr="00DA6B66" w:rsidRDefault="00072E1B" w:rsidP="00DA6B66">
      <w:pPr>
        <w:numPr>
          <w:ilvl w:val="0"/>
          <w:numId w:val="23"/>
        </w:numPr>
        <w:rPr>
          <w:lang w:val="en-US"/>
        </w:rPr>
      </w:pPr>
      <w:r>
        <w:rPr>
          <w:lang w:val="en-US"/>
        </w:rPr>
        <w:t>t</w:t>
      </w:r>
      <w:r w:rsidR="00DA6B66" w:rsidRPr="00DA6B66">
        <w:rPr>
          <w:lang w:val="en-US"/>
        </w:rPr>
        <w:t>he Operating Expenditure (</w:t>
      </w:r>
      <w:r>
        <w:rPr>
          <w:lang w:val="en-US"/>
        </w:rPr>
        <w:t>OPEX</w:t>
      </w:r>
      <w:r w:rsidR="00DA6B66" w:rsidRPr="00DA6B66">
        <w:rPr>
          <w:lang w:val="en-US"/>
        </w:rPr>
        <w:t xml:space="preserve">) </w:t>
      </w:r>
      <w:r w:rsidR="006F38BD">
        <w:rPr>
          <w:lang w:val="en-US"/>
        </w:rPr>
        <w:t>considering 8000 h</w:t>
      </w:r>
      <w:r w:rsidR="00940540">
        <w:rPr>
          <w:lang w:val="en-US"/>
        </w:rPr>
        <w:t xml:space="preserve"> </w:t>
      </w:r>
      <w:r w:rsidR="006F38BD">
        <w:rPr>
          <w:lang w:val="en-US"/>
        </w:rPr>
        <w:t>y</w:t>
      </w:r>
      <w:r w:rsidR="00940540" w:rsidRPr="00940540">
        <w:rPr>
          <w:vertAlign w:val="superscript"/>
          <w:lang w:val="en-US"/>
        </w:rPr>
        <w:t>-1</w:t>
      </w:r>
      <w:r w:rsidR="006F38BD">
        <w:rPr>
          <w:lang w:val="en-US"/>
        </w:rPr>
        <w:t xml:space="preserve"> of </w:t>
      </w:r>
      <w:r w:rsidR="00DA6B66" w:rsidRPr="00DA6B66">
        <w:rPr>
          <w:lang w:val="en-US"/>
        </w:rPr>
        <w:t>operati</w:t>
      </w:r>
      <w:r w:rsidR="006F38BD">
        <w:rPr>
          <w:lang w:val="en-US"/>
        </w:rPr>
        <w:t>on</w:t>
      </w:r>
    </w:p>
    <w:p w14:paraId="60F4F5A0" w14:textId="3CB6A11D" w:rsidR="00866A91" w:rsidRPr="00571500" w:rsidRDefault="00DA6B66" w:rsidP="00571500">
      <w:pPr>
        <w:numPr>
          <w:ilvl w:val="0"/>
          <w:numId w:val="23"/>
        </w:numPr>
        <w:rPr>
          <w:lang w:val="en-US"/>
        </w:rPr>
      </w:pPr>
      <w:r w:rsidRPr="00DA6B66">
        <w:rPr>
          <w:lang w:val="en-US"/>
        </w:rPr>
        <w:t xml:space="preserve">the </w:t>
      </w:r>
      <w:r w:rsidR="006F38BD">
        <w:rPr>
          <w:lang w:val="en-US"/>
        </w:rPr>
        <w:t>h</w:t>
      </w:r>
      <w:r w:rsidRPr="00DA6B66">
        <w:rPr>
          <w:lang w:val="en-US"/>
        </w:rPr>
        <w:t>ydrogen production cost</w:t>
      </w:r>
      <w:r w:rsidR="00103937">
        <w:rPr>
          <w:lang w:val="en-US"/>
        </w:rPr>
        <w:t xml:space="preserve"> (HPC)</w:t>
      </w:r>
      <w:r w:rsidR="006F38BD">
        <w:rPr>
          <w:lang w:val="en-US"/>
        </w:rPr>
        <w:t xml:space="preserve"> (Eq. </w:t>
      </w:r>
      <w:r w:rsidR="00103937">
        <w:rPr>
          <w:lang w:val="en-US"/>
        </w:rPr>
        <w:t>5</w:t>
      </w:r>
      <w:r w:rsidR="00571500">
        <w:rPr>
          <w:lang w:val="en-US"/>
        </w:rPr>
        <w:t>)</w:t>
      </w:r>
    </w:p>
    <w:tbl>
      <w:tblPr>
        <w:tblW w:w="5000" w:type="pct"/>
        <w:tblLook w:val="04A0" w:firstRow="1" w:lastRow="0" w:firstColumn="1" w:lastColumn="0" w:noHBand="0" w:noVBand="1"/>
      </w:tblPr>
      <w:tblGrid>
        <w:gridCol w:w="7982"/>
        <w:gridCol w:w="805"/>
      </w:tblGrid>
      <w:tr w:rsidR="00DA6B66" w:rsidRPr="00DA6B66" w14:paraId="00394716" w14:textId="77777777" w:rsidTr="00940540">
        <w:tc>
          <w:tcPr>
            <w:tcW w:w="7973" w:type="dxa"/>
            <w:shd w:val="clear" w:color="auto" w:fill="auto"/>
            <w:vAlign w:val="center"/>
          </w:tcPr>
          <w:p w14:paraId="204343E7" w14:textId="6E07B058" w:rsidR="00DA6B66" w:rsidRPr="00DA6B66" w:rsidRDefault="005146F5" w:rsidP="00940540">
            <w:pPr>
              <w:pStyle w:val="CETEquation"/>
              <w:rPr>
                <w:lang w:val="en-US"/>
              </w:rPr>
            </w:pPr>
            <m:oMathPara>
              <m:oMathParaPr>
                <m:jc m:val="left"/>
              </m:oMathParaPr>
              <m:oMath>
                <m:r>
                  <w:rPr>
                    <w:rFonts w:ascii="Cambria Math" w:hAnsi="Cambria Math"/>
                    <w:lang w:val="en-US"/>
                  </w:rPr>
                  <m:t>HPC</m:t>
                </m:r>
                <m:r>
                  <m:rPr>
                    <m:sty m:val="p"/>
                  </m:rPr>
                  <w:rPr>
                    <w:rFonts w:ascii="Cambria Math" w:hAnsi="Cambria Math"/>
                    <w:lang w:val="en-US"/>
                  </w:rPr>
                  <m:t xml:space="preserve"> [€ </m:t>
                </m:r>
                <m:sSup>
                  <m:sSupPr>
                    <m:ctrlPr>
                      <w:rPr>
                        <w:rFonts w:ascii="Cambria Math" w:hAnsi="Cambria Math"/>
                        <w:lang w:val="en-US"/>
                      </w:rPr>
                    </m:ctrlPr>
                  </m:sSupPr>
                  <m:e>
                    <m:r>
                      <w:rPr>
                        <w:rFonts w:ascii="Cambria Math" w:hAnsi="Cambria Math"/>
                        <w:lang w:val="en-US"/>
                      </w:rPr>
                      <m:t>kg</m:t>
                    </m:r>
                  </m:e>
                  <m:sup>
                    <m:r>
                      <w:rPr>
                        <w:rFonts w:ascii="Cambria Math" w:hAnsi="Cambria Math"/>
                        <w:lang w:val="en-US"/>
                      </w:rPr>
                      <m:t>-1</m:t>
                    </m:r>
                  </m:sup>
                </m:sSup>
                <m:r>
                  <m:rPr>
                    <m:sty m:val="p"/>
                  </m:rPr>
                  <w:rPr>
                    <w:rFonts w:ascii="Cambria Math" w:hAnsi="Cambria Math"/>
                    <w:lang w:val="en-US"/>
                  </w:rPr>
                  <m:t>]=</m:t>
                </m:r>
                <m:r>
                  <w:rPr>
                    <w:rFonts w:ascii="Cambria Math" w:hAnsi="Cambria Math"/>
                    <w:lang w:val="en-US"/>
                  </w:rPr>
                  <m:t>OPEX</m:t>
                </m:r>
                <m:r>
                  <m:rPr>
                    <m:sty m:val="p"/>
                  </m:rPr>
                  <w:rPr>
                    <w:rFonts w:ascii="Cambria Math" w:hAnsi="Cambria Math"/>
                    <w:lang w:val="en-US"/>
                  </w:rPr>
                  <m:t xml:space="preserve"> </m:t>
                </m:r>
                <m:d>
                  <m:dPr>
                    <m:begChr m:val="["/>
                    <m:endChr m:val="]"/>
                    <m:ctrlPr>
                      <w:rPr>
                        <w:rFonts w:ascii="Cambria Math" w:hAnsi="Cambria Math"/>
                        <w:lang w:val="en-US"/>
                      </w:rPr>
                    </m:ctrlPr>
                  </m:dPr>
                  <m:e>
                    <m:r>
                      <m:rPr>
                        <m:sty m:val="p"/>
                      </m:rPr>
                      <w:rPr>
                        <w:rFonts w:ascii="Cambria Math" w:hAnsi="Cambria Math"/>
                        <w:lang w:val="en-US"/>
                      </w:rPr>
                      <m:t>€</m:t>
                    </m:r>
                  </m:e>
                </m:d>
                <m:r>
                  <m:rPr>
                    <m:sty m:val="p"/>
                  </m:rPr>
                  <w:rPr>
                    <w:rFonts w:ascii="Cambria Math" w:hAnsi="Cambria Math"/>
                    <w:lang w:val="en-US"/>
                  </w:rPr>
                  <m:t>+</m:t>
                </m:r>
                <m:f>
                  <m:fPr>
                    <m:ctrlPr>
                      <w:rPr>
                        <w:rFonts w:ascii="Cambria Math" w:hAnsi="Cambria Math"/>
                        <w:lang w:val="en-US"/>
                      </w:rPr>
                    </m:ctrlPr>
                  </m:fPr>
                  <m:num>
                    <m:r>
                      <w:rPr>
                        <w:rFonts w:ascii="Cambria Math" w:hAnsi="Cambria Math"/>
                        <w:lang w:val="en-US"/>
                      </w:rPr>
                      <m:t>CAPEX</m:t>
                    </m:r>
                    <m:d>
                      <m:dPr>
                        <m:begChr m:val="["/>
                        <m:endChr m:val="]"/>
                        <m:ctrlPr>
                          <w:rPr>
                            <w:rFonts w:ascii="Cambria Math" w:hAnsi="Cambria Math"/>
                            <w:lang w:val="en-US"/>
                          </w:rPr>
                        </m:ctrlPr>
                      </m:dPr>
                      <m:e>
                        <m:r>
                          <m:rPr>
                            <m:sty m:val="p"/>
                          </m:rPr>
                          <w:rPr>
                            <w:rFonts w:ascii="Cambria Math" w:hAnsi="Cambria Math"/>
                            <w:lang w:val="en-US"/>
                          </w:rPr>
                          <m:t>€</m:t>
                        </m:r>
                      </m:e>
                    </m:d>
                  </m:num>
                  <m:den>
                    <m:r>
                      <w:rPr>
                        <w:rFonts w:ascii="Cambria Math" w:hAnsi="Cambria Math"/>
                        <w:lang w:val="en-US"/>
                      </w:rPr>
                      <m:t>years</m:t>
                    </m:r>
                    <m:r>
                      <m:rPr>
                        <m:sty m:val="p"/>
                      </m:rPr>
                      <w:rPr>
                        <w:rFonts w:ascii="Cambria Math" w:hAnsi="Cambria Math"/>
                        <w:lang w:val="en-US"/>
                      </w:rPr>
                      <m:t>[</m:t>
                    </m:r>
                    <m:r>
                      <w:rPr>
                        <w:rFonts w:ascii="Cambria Math" w:hAnsi="Cambria Math"/>
                        <w:lang w:val="en-US"/>
                      </w:rPr>
                      <m:t>y</m:t>
                    </m:r>
                    <m:r>
                      <m:rPr>
                        <m:sty m:val="p"/>
                      </m:rPr>
                      <w:rPr>
                        <w:rFonts w:ascii="Cambria Math" w:hAnsi="Cambria Math"/>
                        <w:lang w:val="en-US"/>
                      </w:rPr>
                      <m:t>]</m:t>
                    </m:r>
                  </m:den>
                </m:f>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sSub>
                          <m:sSubPr>
                            <m:ctrlPr>
                              <w:rPr>
                                <w:rFonts w:ascii="Cambria Math" w:hAnsi="Cambria Math"/>
                                <w:lang w:val="en-US"/>
                              </w:rPr>
                            </m:ctrlPr>
                          </m:sSubPr>
                          <m:e>
                            <m:r>
                              <w:rPr>
                                <w:rFonts w:ascii="Cambria Math" w:hAnsi="Cambria Math"/>
                                <w:lang w:val="en-US"/>
                              </w:rPr>
                              <m:t>H</m:t>
                            </m:r>
                          </m:e>
                          <m:sub>
                            <m:r>
                              <m:rPr>
                                <m:sty m:val="p"/>
                              </m:rPr>
                              <w:rPr>
                                <w:rFonts w:ascii="Cambria Math" w:hAnsi="Cambria Math"/>
                                <w:lang w:val="en-US"/>
                              </w:rPr>
                              <m:t>2</m:t>
                            </m:r>
                            <m:r>
                              <w:rPr>
                                <w:rFonts w:ascii="Cambria Math" w:hAnsi="Cambria Math"/>
                                <w:lang w:val="en-US"/>
                              </w:rPr>
                              <m:t>prod</m:t>
                            </m:r>
                          </m:sub>
                        </m:sSub>
                        <m:r>
                          <m:rPr>
                            <m:sty m:val="p"/>
                          </m:rPr>
                          <w:rPr>
                            <w:rFonts w:ascii="Cambria Math" w:hAnsi="Cambria Math"/>
                            <w:lang w:val="en-US"/>
                          </w:rPr>
                          <m:t>[</m:t>
                        </m:r>
                        <m:r>
                          <w:rPr>
                            <w:rFonts w:ascii="Cambria Math" w:hAnsi="Cambria Math"/>
                            <w:lang w:val="en-US"/>
                          </w:rPr>
                          <m:t xml:space="preserve">kg </m:t>
                        </m:r>
                        <m:sSup>
                          <m:sSupPr>
                            <m:ctrlPr>
                              <w:rPr>
                                <w:rFonts w:ascii="Cambria Math" w:hAnsi="Cambria Math"/>
                                <w:i/>
                                <w:lang w:val="en-US"/>
                              </w:rPr>
                            </m:ctrlPr>
                          </m:sSupPr>
                          <m:e>
                            <m:r>
                              <w:rPr>
                                <w:rFonts w:ascii="Cambria Math" w:hAnsi="Cambria Math"/>
                                <w:lang w:val="en-US"/>
                              </w:rPr>
                              <m:t>h</m:t>
                            </m:r>
                          </m:e>
                          <m:sup>
                            <m:r>
                              <w:rPr>
                                <w:rFonts w:ascii="Cambria Math" w:hAnsi="Cambria Math"/>
                                <w:lang w:val="en-US"/>
                              </w:rPr>
                              <m:t>-1</m:t>
                            </m:r>
                          </m:sup>
                        </m:sSup>
                        <m:r>
                          <m:rPr>
                            <m:sty m:val="p"/>
                          </m:rPr>
                          <w:rPr>
                            <w:rFonts w:ascii="Cambria Math" w:hAnsi="Cambria Math"/>
                            <w:lang w:val="en-US"/>
                          </w:rPr>
                          <m:t>]∙</m:t>
                        </m:r>
                        <m:r>
                          <w:rPr>
                            <w:rFonts w:ascii="Cambria Math" w:hAnsi="Cambria Math"/>
                            <w:lang w:val="en-US"/>
                          </w:rPr>
                          <m:t>hours</m:t>
                        </m:r>
                        <m:r>
                          <m:rPr>
                            <m:sty m:val="p"/>
                          </m:rPr>
                          <w:rPr>
                            <w:rFonts w:ascii="Cambria Math" w:hAnsi="Cambria Math"/>
                            <w:lang w:val="en-US"/>
                          </w:rPr>
                          <m:t>[</m:t>
                        </m:r>
                        <m:r>
                          <w:rPr>
                            <w:rFonts w:ascii="Cambria Math" w:hAnsi="Cambria Math"/>
                            <w:lang w:val="en-US"/>
                          </w:rPr>
                          <m:t>h</m:t>
                        </m:r>
                        <m:r>
                          <m:rPr>
                            <m:sty m:val="p"/>
                          </m:rPr>
                          <w:rPr>
                            <w:rFonts w:ascii="Cambria Math" w:hAnsi="Cambria Math"/>
                            <w:lang w:val="en-US"/>
                          </w:rPr>
                          <m:t>]</m:t>
                        </m:r>
                      </m:e>
                    </m:d>
                  </m:e>
                  <m:sup>
                    <m:r>
                      <w:rPr>
                        <w:rFonts w:ascii="Cambria Math" w:hAnsi="Cambria Math"/>
                        <w:lang w:val="en-US"/>
                      </w:rPr>
                      <m:t>-1</m:t>
                    </m:r>
                  </m:sup>
                </m:sSup>
              </m:oMath>
            </m:oMathPara>
          </w:p>
        </w:tc>
        <w:tc>
          <w:tcPr>
            <w:tcW w:w="804" w:type="dxa"/>
            <w:shd w:val="clear" w:color="auto" w:fill="auto"/>
            <w:vAlign w:val="center"/>
          </w:tcPr>
          <w:p w14:paraId="4F90C743" w14:textId="567E8F0A" w:rsidR="00DA6B66" w:rsidRPr="00DA6B66" w:rsidRDefault="00DA6B66" w:rsidP="00940540">
            <w:pPr>
              <w:pStyle w:val="CETEquation"/>
              <w:jc w:val="right"/>
            </w:pPr>
            <w:r w:rsidRPr="00DA6B66">
              <w:t>(</w:t>
            </w:r>
            <w:r w:rsidR="006E6980">
              <w:t>5</w:t>
            </w:r>
            <w:r w:rsidRPr="00DA6B66">
              <w:t>)</w:t>
            </w:r>
          </w:p>
        </w:tc>
      </w:tr>
    </w:tbl>
    <w:p w14:paraId="3068C021" w14:textId="5513476E" w:rsidR="00DA6B66" w:rsidRPr="00DA6B66" w:rsidRDefault="00DA6B66" w:rsidP="00DA6B66">
      <w:pPr>
        <w:numPr>
          <w:ilvl w:val="0"/>
          <w:numId w:val="25"/>
        </w:numPr>
        <w:contextualSpacing/>
        <w:rPr>
          <w:lang w:val="en-US"/>
        </w:rPr>
      </w:pPr>
      <w:r w:rsidRPr="00DA6B66">
        <w:rPr>
          <w:lang w:val="en-US"/>
        </w:rPr>
        <w:t xml:space="preserve">the yearly profit </w:t>
      </w:r>
      <w:r w:rsidR="006F38BD">
        <w:rPr>
          <w:lang w:val="en-US"/>
        </w:rPr>
        <w:t xml:space="preserve">(Eq. </w:t>
      </w:r>
      <w:r w:rsidR="00103937">
        <w:rPr>
          <w:lang w:val="en-US"/>
        </w:rPr>
        <w:t>6</w:t>
      </w:r>
      <w:r w:rsidR="006F38BD">
        <w:rPr>
          <w:lang w:val="en-US"/>
        </w:rPr>
        <w:t>)</w:t>
      </w:r>
      <w:r w:rsidR="000D3427">
        <w:rPr>
          <w:lang w:val="en-US"/>
        </w:rPr>
        <w:t>:</w:t>
      </w:r>
    </w:p>
    <w:tbl>
      <w:tblPr>
        <w:tblW w:w="5000" w:type="pct"/>
        <w:tblLook w:val="04A0" w:firstRow="1" w:lastRow="0" w:firstColumn="1" w:lastColumn="0" w:noHBand="0" w:noVBand="1"/>
      </w:tblPr>
      <w:tblGrid>
        <w:gridCol w:w="7982"/>
        <w:gridCol w:w="805"/>
      </w:tblGrid>
      <w:tr w:rsidR="00DA6B66" w:rsidRPr="00DA6B66" w14:paraId="62539B21" w14:textId="77777777" w:rsidTr="00940540">
        <w:tc>
          <w:tcPr>
            <w:tcW w:w="7973" w:type="dxa"/>
            <w:shd w:val="clear" w:color="auto" w:fill="auto"/>
            <w:vAlign w:val="center"/>
          </w:tcPr>
          <w:p w14:paraId="3D9F811D" w14:textId="1F281855" w:rsidR="00DA6B66" w:rsidRPr="00940540" w:rsidRDefault="00DA6B66" w:rsidP="00940540">
            <w:pPr>
              <w:pStyle w:val="CETEquation"/>
            </w:pPr>
            <m:oMathPara>
              <m:oMathParaPr>
                <m:jc m:val="left"/>
              </m:oMathParaPr>
              <m:oMath>
                <m:r>
                  <w:rPr>
                    <w:rFonts w:ascii="Cambria Math" w:hAnsi="Cambria Math"/>
                  </w:rPr>
                  <m:t>Profit</m:t>
                </m:r>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 xml:space="preserve">€ </m:t>
                    </m:r>
                    <m:sSup>
                      <m:sSupPr>
                        <m:ctrlPr>
                          <w:rPr>
                            <w:rFonts w:ascii="Cambria Math" w:hAnsi="Cambria Math"/>
                          </w:rPr>
                        </m:ctrlPr>
                      </m:sSupPr>
                      <m:e>
                        <m:r>
                          <w:rPr>
                            <w:rFonts w:ascii="Cambria Math" w:hAnsi="Cambria Math"/>
                          </w:rPr>
                          <m:t>y</m:t>
                        </m:r>
                      </m:e>
                      <m:sup>
                        <m:r>
                          <w:rPr>
                            <w:rFonts w:ascii="Cambria Math" w:hAnsi="Cambria Math"/>
                          </w:rPr>
                          <m:t>-1</m:t>
                        </m:r>
                      </m:sup>
                    </m:sSup>
                  </m:e>
                </m:d>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H</m:t>
                        </m:r>
                      </m:e>
                      <m:sub>
                        <m:r>
                          <m:rPr>
                            <m:sty m:val="p"/>
                          </m:rPr>
                          <w:rPr>
                            <w:rFonts w:ascii="Cambria Math" w:hAnsi="Cambria Math"/>
                          </w:rPr>
                          <m:t>2</m:t>
                        </m:r>
                        <m:r>
                          <w:rPr>
                            <w:rFonts w:ascii="Cambria Math" w:hAnsi="Cambria Math"/>
                          </w:rPr>
                          <m:t>prod</m:t>
                        </m:r>
                      </m:sub>
                    </m:sSub>
                    <m:d>
                      <m:dPr>
                        <m:begChr m:val="["/>
                        <m:endChr m:val="]"/>
                        <m:ctrlPr>
                          <w:rPr>
                            <w:rFonts w:ascii="Cambria Math" w:hAnsi="Cambria Math"/>
                          </w:rPr>
                        </m:ctrlPr>
                      </m:dPr>
                      <m:e>
                        <m:r>
                          <w:rPr>
                            <w:rFonts w:ascii="Cambria Math" w:hAnsi="Cambria Math"/>
                          </w:rPr>
                          <m:t xml:space="preserve">kg </m:t>
                        </m:r>
                        <m:sSup>
                          <m:sSupPr>
                            <m:ctrlPr>
                              <w:rPr>
                                <w:rFonts w:ascii="Cambria Math" w:hAnsi="Cambria Math"/>
                                <w:i/>
                                <w:lang w:val="en-US"/>
                              </w:rPr>
                            </m:ctrlPr>
                          </m:sSupPr>
                          <m:e>
                            <m:r>
                              <w:rPr>
                                <w:rFonts w:ascii="Cambria Math" w:hAnsi="Cambria Math"/>
                                <w:lang w:val="en-US"/>
                              </w:rPr>
                              <m:t>h</m:t>
                            </m:r>
                          </m:e>
                          <m:sup>
                            <m:r>
                              <w:rPr>
                                <w:rFonts w:ascii="Cambria Math" w:hAnsi="Cambria Math"/>
                                <w:lang w:val="en-US"/>
                              </w:rPr>
                              <m:t>-1</m:t>
                            </m:r>
                          </m:sup>
                        </m:sSup>
                      </m:e>
                    </m:d>
                    <m:r>
                      <m:rPr>
                        <m:sty m:val="p"/>
                      </m:rPr>
                      <w:rPr>
                        <w:rFonts w:ascii="Cambria Math" w:hAnsi="Cambria Math"/>
                      </w:rPr>
                      <m:t>∙</m:t>
                    </m:r>
                    <m:r>
                      <w:rPr>
                        <w:rFonts w:ascii="Cambria Math" w:hAnsi="Cambria Math"/>
                      </w:rPr>
                      <m:t>hours</m:t>
                    </m:r>
                    <m:d>
                      <m:dPr>
                        <m:begChr m:val="["/>
                        <m:endChr m:val="]"/>
                        <m:ctrlPr>
                          <w:rPr>
                            <w:rFonts w:ascii="Cambria Math" w:hAnsi="Cambria Math"/>
                          </w:rPr>
                        </m:ctrlPr>
                      </m:dPr>
                      <m:e>
                        <m:r>
                          <w:rPr>
                            <w:rFonts w:ascii="Cambria Math" w:hAnsi="Cambria Math"/>
                          </w:rPr>
                          <m:t>h</m:t>
                        </m:r>
                      </m:e>
                    </m:d>
                    <m:r>
                      <m:rPr>
                        <m:sty m:val="p"/>
                      </m:rPr>
                      <w:rPr>
                        <w:rFonts w:ascii="Cambria Math" w:hAnsi="Cambria Math"/>
                      </w:rPr>
                      <m:t>∙</m:t>
                    </m:r>
                    <m:sSub>
                      <m:sSubPr>
                        <m:ctrlPr>
                          <w:rPr>
                            <w:rFonts w:ascii="Cambria Math" w:hAnsi="Cambria Math"/>
                          </w:rPr>
                        </m:ctrlPr>
                      </m:sSubPr>
                      <m:e>
                        <m:r>
                          <w:rPr>
                            <w:rFonts w:ascii="Cambria Math" w:hAnsi="Cambria Math"/>
                          </w:rPr>
                          <m:t>H</m:t>
                        </m:r>
                      </m:e>
                      <m:sub>
                        <m:r>
                          <m:rPr>
                            <m:sty m:val="p"/>
                          </m:rPr>
                          <w:rPr>
                            <w:rFonts w:ascii="Cambria Math" w:hAnsi="Cambria Math"/>
                          </w:rPr>
                          <m:t>2</m:t>
                        </m:r>
                        <m:r>
                          <w:rPr>
                            <w:rFonts w:ascii="Cambria Math" w:hAnsi="Cambria Math"/>
                          </w:rPr>
                          <m:t>price</m:t>
                        </m:r>
                      </m:sub>
                    </m:sSub>
                    <m:d>
                      <m:dPr>
                        <m:begChr m:val="["/>
                        <m:endChr m:val="]"/>
                        <m:ctrlPr>
                          <w:rPr>
                            <w:rFonts w:ascii="Cambria Math" w:hAnsi="Cambria Math"/>
                          </w:rPr>
                        </m:ctrlPr>
                      </m:dPr>
                      <m:e>
                        <m:r>
                          <m:rPr>
                            <m:sty m:val="p"/>
                          </m:rPr>
                          <w:rPr>
                            <w:rFonts w:ascii="Cambria Math" w:hAnsi="Cambria Math"/>
                            <w:lang w:val="en-US"/>
                          </w:rPr>
                          <m:t xml:space="preserve">€ </m:t>
                        </m:r>
                        <m:sSup>
                          <m:sSupPr>
                            <m:ctrlPr>
                              <w:rPr>
                                <w:rFonts w:ascii="Cambria Math" w:hAnsi="Cambria Math"/>
                                <w:lang w:val="en-US"/>
                              </w:rPr>
                            </m:ctrlPr>
                          </m:sSupPr>
                          <m:e>
                            <m:r>
                              <w:rPr>
                                <w:rFonts w:ascii="Cambria Math" w:hAnsi="Cambria Math"/>
                                <w:lang w:val="en-US"/>
                              </w:rPr>
                              <m:t>kg</m:t>
                            </m:r>
                          </m:e>
                          <m:sup>
                            <m:r>
                              <w:rPr>
                                <w:rFonts w:ascii="Cambria Math" w:hAnsi="Cambria Math"/>
                                <w:lang w:val="en-US"/>
                              </w:rPr>
                              <m:t>-1</m:t>
                            </m:r>
                          </m:sup>
                        </m:sSup>
                      </m:e>
                    </m:d>
                  </m:e>
                </m:d>
                <m:r>
                  <m:rPr>
                    <m:sty m:val="p"/>
                  </m:rPr>
                  <w:rPr>
                    <w:rFonts w:ascii="Cambria Math" w:hAnsi="Cambria Math"/>
                  </w:rPr>
                  <m:t>-</m:t>
                </m:r>
                <m:r>
                  <w:rPr>
                    <w:rFonts w:ascii="Cambria Math" w:hAnsi="Cambria Math"/>
                  </w:rPr>
                  <m:t>OPEX</m:t>
                </m:r>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m:t>
                </m:r>
                <m:f>
                  <m:fPr>
                    <m:ctrlPr>
                      <w:rPr>
                        <w:rFonts w:ascii="Cambria Math" w:hAnsi="Cambria Math"/>
                      </w:rPr>
                    </m:ctrlPr>
                  </m:fPr>
                  <m:num>
                    <m:r>
                      <w:rPr>
                        <w:rFonts w:ascii="Cambria Math" w:hAnsi="Cambria Math"/>
                      </w:rPr>
                      <m:t>CAPEX</m:t>
                    </m:r>
                    <m:d>
                      <m:dPr>
                        <m:begChr m:val="["/>
                        <m:endChr m:val="]"/>
                        <m:ctrlPr>
                          <w:rPr>
                            <w:rFonts w:ascii="Cambria Math" w:hAnsi="Cambria Math"/>
                          </w:rPr>
                        </m:ctrlPr>
                      </m:dPr>
                      <m:e>
                        <m:r>
                          <m:rPr>
                            <m:sty m:val="p"/>
                          </m:rPr>
                          <w:rPr>
                            <w:rFonts w:ascii="Cambria Math" w:hAnsi="Cambria Math"/>
                          </w:rPr>
                          <m:t>€</m:t>
                        </m:r>
                      </m:e>
                    </m:d>
                  </m:num>
                  <m:den>
                    <m:r>
                      <w:rPr>
                        <w:rFonts w:ascii="Cambria Math" w:hAnsi="Cambria Math"/>
                      </w:rPr>
                      <m:t>years [y]</m:t>
                    </m:r>
                  </m:den>
                </m:f>
              </m:oMath>
            </m:oMathPara>
          </w:p>
        </w:tc>
        <w:tc>
          <w:tcPr>
            <w:tcW w:w="804" w:type="dxa"/>
            <w:shd w:val="clear" w:color="auto" w:fill="auto"/>
            <w:vAlign w:val="center"/>
          </w:tcPr>
          <w:p w14:paraId="2B291692" w14:textId="4FF7D76A" w:rsidR="00DA6B66" w:rsidRPr="00940540" w:rsidRDefault="008C06B7" w:rsidP="00940540">
            <w:pPr>
              <w:pStyle w:val="CETEquation"/>
              <w:jc w:val="right"/>
            </w:pPr>
            <w:r w:rsidRPr="00940540">
              <w:t xml:space="preserve">     </w:t>
            </w:r>
            <w:r w:rsidR="00DA6B66" w:rsidRPr="00940540">
              <w:t>(</w:t>
            </w:r>
            <w:r w:rsidR="006E6980">
              <w:t>6</w:t>
            </w:r>
            <w:r w:rsidR="00DA6B66" w:rsidRPr="00940540">
              <w:t>)</w:t>
            </w:r>
          </w:p>
        </w:tc>
      </w:tr>
    </w:tbl>
    <w:p w14:paraId="3C7334C1" w14:textId="40190496" w:rsidR="00DA6B66" w:rsidRPr="00DA6B66" w:rsidRDefault="00EE4E03" w:rsidP="00DA6B66">
      <w:pPr>
        <w:numPr>
          <w:ilvl w:val="0"/>
          <w:numId w:val="25"/>
        </w:numPr>
        <w:contextualSpacing/>
        <w:rPr>
          <w:lang w:val="en-US"/>
        </w:rPr>
      </w:pPr>
      <w:r>
        <w:rPr>
          <w:lang w:val="en-US"/>
        </w:rPr>
        <w:t>t</w:t>
      </w:r>
      <w:r w:rsidR="00DA6B66" w:rsidRPr="00DA6B66">
        <w:rPr>
          <w:lang w:val="en-US"/>
        </w:rPr>
        <w:t xml:space="preserve">he % of </w:t>
      </w:r>
      <w:r w:rsidR="000D3427">
        <w:rPr>
          <w:lang w:val="en-US"/>
        </w:rPr>
        <w:t>OPEX</w:t>
      </w:r>
      <w:r w:rsidR="000D3427" w:rsidRPr="00DA6B66">
        <w:rPr>
          <w:lang w:val="en-US"/>
        </w:rPr>
        <w:t xml:space="preserve"> </w:t>
      </w:r>
      <w:r w:rsidR="00DA6B66" w:rsidRPr="00DA6B66">
        <w:rPr>
          <w:lang w:val="en-US"/>
        </w:rPr>
        <w:t>defined as</w:t>
      </w:r>
    </w:p>
    <w:tbl>
      <w:tblPr>
        <w:tblW w:w="5000" w:type="pct"/>
        <w:tblLook w:val="04A0" w:firstRow="1" w:lastRow="0" w:firstColumn="1" w:lastColumn="0" w:noHBand="0" w:noVBand="1"/>
      </w:tblPr>
      <w:tblGrid>
        <w:gridCol w:w="7982"/>
        <w:gridCol w:w="805"/>
      </w:tblGrid>
      <w:tr w:rsidR="00DA6B66" w:rsidRPr="00DA6B66" w14:paraId="7342C7E5" w14:textId="77777777" w:rsidTr="008C06B7">
        <w:tc>
          <w:tcPr>
            <w:tcW w:w="7973" w:type="dxa"/>
            <w:shd w:val="clear" w:color="auto" w:fill="auto"/>
            <w:vAlign w:val="center"/>
          </w:tcPr>
          <w:p w14:paraId="2ABB9BF1" w14:textId="3CF9560D" w:rsidR="00DA6B66" w:rsidRPr="00940540" w:rsidRDefault="00DA6B66" w:rsidP="00940540">
            <w:pPr>
              <w:pStyle w:val="CETEquation"/>
            </w:pPr>
            <m:oMathPara>
              <m:oMathParaPr>
                <m:jc m:val="left"/>
              </m:oMathParaPr>
              <m:oMath>
                <m:r>
                  <m:rPr>
                    <m:sty m:val="p"/>
                  </m:rPr>
                  <w:rPr>
                    <w:rFonts w:ascii="Cambria Math" w:hAnsi="Cambria Math"/>
                  </w:rPr>
                  <m:t>%</m:t>
                </m:r>
                <m:r>
                  <w:rPr>
                    <w:rFonts w:ascii="Cambria Math" w:hAnsi="Cambria Math"/>
                  </w:rPr>
                  <m:t>opex</m:t>
                </m:r>
                <m:r>
                  <m:rPr>
                    <m:sty m:val="p"/>
                  </m:rPr>
                  <w:rPr>
                    <w:rFonts w:ascii="Cambria Math" w:hAnsi="Cambria Math"/>
                  </w:rPr>
                  <m:t>=</m:t>
                </m:r>
                <m:r>
                  <w:rPr>
                    <w:rFonts w:ascii="Cambria Math" w:hAnsi="Cambria Math"/>
                  </w:rPr>
                  <m:t>OPEX</m:t>
                </m:r>
                <m:r>
                  <m:rPr>
                    <m:sty m:val="p"/>
                  </m:rPr>
                  <w:rPr>
                    <w:rFonts w:ascii="Cambria Math" w:hAnsi="Cambria Math"/>
                  </w:rPr>
                  <m:t xml:space="preserve"> [€]</m:t>
                </m:r>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OPEX</m:t>
                        </m:r>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m:t>
                            </m:r>
                          </m:e>
                        </m:d>
                        <m:r>
                          <m:rPr>
                            <m:sty m:val="p"/>
                          </m:rPr>
                          <w:rPr>
                            <w:rFonts w:ascii="Cambria Math" w:hAnsi="Cambria Math"/>
                          </w:rPr>
                          <m:t>+</m:t>
                        </m:r>
                        <m:f>
                          <m:fPr>
                            <m:ctrlPr>
                              <w:rPr>
                                <w:rFonts w:ascii="Cambria Math" w:hAnsi="Cambria Math"/>
                              </w:rPr>
                            </m:ctrlPr>
                          </m:fPr>
                          <m:num>
                            <m:r>
                              <w:rPr>
                                <w:rFonts w:ascii="Cambria Math" w:hAnsi="Cambria Math"/>
                              </w:rPr>
                              <m:t>CAPEX</m:t>
                            </m:r>
                            <m:d>
                              <m:dPr>
                                <m:begChr m:val="["/>
                                <m:endChr m:val="]"/>
                                <m:ctrlPr>
                                  <w:rPr>
                                    <w:rFonts w:ascii="Cambria Math" w:hAnsi="Cambria Math"/>
                                  </w:rPr>
                                </m:ctrlPr>
                              </m:dPr>
                              <m:e>
                                <m:r>
                                  <m:rPr>
                                    <m:sty m:val="p"/>
                                  </m:rPr>
                                  <w:rPr>
                                    <w:rFonts w:ascii="Cambria Math" w:hAnsi="Cambria Math"/>
                                  </w:rPr>
                                  <m:t>€</m:t>
                                </m:r>
                              </m:e>
                            </m:d>
                          </m:num>
                          <m:den>
                            <m:r>
                              <w:rPr>
                                <w:rFonts w:ascii="Cambria Math" w:hAnsi="Cambria Math"/>
                              </w:rPr>
                              <m:t>years</m:t>
                            </m:r>
                            <m:r>
                              <m:rPr>
                                <m:sty m:val="p"/>
                              </m:rPr>
                              <w:rPr>
                                <w:rFonts w:ascii="Cambria Math" w:hAnsi="Cambria Math"/>
                              </w:rPr>
                              <m:t>[</m:t>
                            </m:r>
                            <m:r>
                              <w:rPr>
                                <w:rFonts w:ascii="Cambria Math" w:hAnsi="Cambria Math"/>
                              </w:rPr>
                              <m:t>y</m:t>
                            </m:r>
                            <m:r>
                              <m:rPr>
                                <m:sty m:val="p"/>
                              </m:rPr>
                              <w:rPr>
                                <w:rFonts w:ascii="Cambria Math" w:hAnsi="Cambria Math"/>
                              </w:rPr>
                              <m:t>]</m:t>
                            </m:r>
                          </m:den>
                        </m:f>
                      </m:e>
                    </m:d>
                  </m:e>
                  <m:sup>
                    <m:r>
                      <w:rPr>
                        <w:rFonts w:ascii="Cambria Math" w:hAnsi="Cambria Math"/>
                        <w:lang w:val="en-US"/>
                      </w:rPr>
                      <m:t>-1</m:t>
                    </m:r>
                  </m:sup>
                </m:sSup>
              </m:oMath>
            </m:oMathPara>
          </w:p>
        </w:tc>
        <w:tc>
          <w:tcPr>
            <w:tcW w:w="804" w:type="dxa"/>
            <w:shd w:val="clear" w:color="auto" w:fill="auto"/>
            <w:vAlign w:val="center"/>
          </w:tcPr>
          <w:p w14:paraId="7A5A3F7E" w14:textId="585B0CFE" w:rsidR="00DA6B66" w:rsidRPr="00940540" w:rsidRDefault="00DA6B66" w:rsidP="00940540">
            <w:pPr>
              <w:pStyle w:val="CETEquation"/>
              <w:jc w:val="right"/>
            </w:pPr>
            <w:r w:rsidRPr="00940540">
              <w:t>(</w:t>
            </w:r>
            <w:r w:rsidR="006E6980">
              <w:t>7</w:t>
            </w:r>
            <w:r w:rsidRPr="00940540">
              <w:t>)</w:t>
            </w:r>
          </w:p>
        </w:tc>
      </w:tr>
    </w:tbl>
    <w:p w14:paraId="20D52EC7" w14:textId="4EE76080" w:rsidR="00666CD5" w:rsidRDefault="00893D5D" w:rsidP="00C11684">
      <w:pPr>
        <w:pStyle w:val="CETBodytext"/>
      </w:pPr>
      <w:r>
        <w:t xml:space="preserve">Since the recovery of the PSA is the most important factor </w:t>
      </w:r>
      <w:r w:rsidR="00F50622">
        <w:t>affecting the H2 productivity, the abovementioned parameters are calculated for a recovery ranging between 85 % and 75 %</w:t>
      </w:r>
      <w:r w:rsidR="00D32042">
        <w:t xml:space="preserve"> to investigate more </w:t>
      </w:r>
      <w:r w:rsidR="00D32042">
        <w:lastRenderedPageBreak/>
        <w:t>pessimistic scenarios.</w:t>
      </w:r>
      <w:r w:rsidR="00DE7654">
        <w:t xml:space="preserve"> Moreover</w:t>
      </w:r>
      <w:r w:rsidR="00F50622">
        <w:t>,</w:t>
      </w:r>
      <w:r w:rsidR="00DE7654">
        <w:t xml:space="preserve"> a</w:t>
      </w:r>
      <w:r w:rsidR="006D73BB">
        <w:t xml:space="preserve"> </w:t>
      </w:r>
      <w:r w:rsidR="0048005F">
        <w:t xml:space="preserve">sensitivity analysis </w:t>
      </w:r>
      <w:r w:rsidR="007D678E">
        <w:t xml:space="preserve">on the </w:t>
      </w:r>
      <w:r w:rsidR="004F08EC">
        <w:t>above-described</w:t>
      </w:r>
      <w:r w:rsidR="007D678E">
        <w:t xml:space="preserve"> economic </w:t>
      </w:r>
      <w:r w:rsidR="00E44E40">
        <w:t>indicators</w:t>
      </w:r>
      <w:r w:rsidR="007D678E">
        <w:t xml:space="preserve"> has been performed. T</w:t>
      </w:r>
      <w:r w:rsidR="0048005F">
        <w:t>he</w:t>
      </w:r>
      <w:r w:rsidR="000652FF">
        <w:t xml:space="preserve"> cost of</w:t>
      </w:r>
      <w:r w:rsidR="0048005F">
        <w:t xml:space="preserve"> </w:t>
      </w:r>
      <w:r w:rsidR="00B36542">
        <w:t>biogas</w:t>
      </w:r>
      <w:r w:rsidR="007D678E">
        <w:t xml:space="preserve"> and electricity have been varied respectively from </w:t>
      </w:r>
      <w:r w:rsidR="00DA6B66" w:rsidRPr="00DA6B66">
        <w:t>0.</w:t>
      </w:r>
      <w:r w:rsidR="007D678E">
        <w:t xml:space="preserve">2 </w:t>
      </w:r>
      <w:r w:rsidR="007D678E" w:rsidRPr="00DA6B66">
        <w:t>€</w:t>
      </w:r>
      <w:r w:rsidR="00B64BDA">
        <w:t xml:space="preserve"> </w:t>
      </w:r>
      <w:r w:rsidR="007D678E" w:rsidRPr="00DA6B66">
        <w:t>Nm</w:t>
      </w:r>
      <w:r w:rsidR="00B64BDA" w:rsidRPr="00B64BDA">
        <w:rPr>
          <w:vertAlign w:val="superscript"/>
        </w:rPr>
        <w:t>-</w:t>
      </w:r>
      <w:r w:rsidR="007D678E" w:rsidRPr="00DA6B66">
        <w:rPr>
          <w:vertAlign w:val="superscript"/>
        </w:rPr>
        <w:t>3</w:t>
      </w:r>
      <w:r w:rsidR="00DA6B66" w:rsidRPr="00DA6B66">
        <w:t xml:space="preserve"> </w:t>
      </w:r>
      <w:r w:rsidR="007D678E">
        <w:t>to</w:t>
      </w:r>
      <w:r w:rsidR="00DA6B66" w:rsidRPr="00DA6B66">
        <w:t xml:space="preserve"> 0.</w:t>
      </w:r>
      <w:r w:rsidR="007D678E">
        <w:t>3</w:t>
      </w:r>
      <w:r w:rsidR="00DA6B66" w:rsidRPr="00DA6B66">
        <w:t xml:space="preserve"> €</w:t>
      </w:r>
      <w:r w:rsidR="00B64BDA">
        <w:t xml:space="preserve"> </w:t>
      </w:r>
      <w:r w:rsidR="00DA6B66" w:rsidRPr="00DA6B66">
        <w:t>Nm</w:t>
      </w:r>
      <w:r w:rsidR="00B64BDA" w:rsidRPr="00B64BDA">
        <w:rPr>
          <w:vertAlign w:val="superscript"/>
        </w:rPr>
        <w:t>-</w:t>
      </w:r>
      <w:r w:rsidR="00DA6B66" w:rsidRPr="00DA6B66">
        <w:rPr>
          <w:vertAlign w:val="superscript"/>
        </w:rPr>
        <w:t>3</w:t>
      </w:r>
      <w:r w:rsidR="00DA6B66" w:rsidRPr="00DA6B66">
        <w:t xml:space="preserve"> </w:t>
      </w:r>
      <w:r w:rsidR="007D678E">
        <w:t xml:space="preserve">and from </w:t>
      </w:r>
      <w:r w:rsidR="00DA6B66" w:rsidRPr="00DA6B66">
        <w:t>0.05</w:t>
      </w:r>
      <w:r w:rsidR="007D678E">
        <w:t xml:space="preserve"> </w:t>
      </w:r>
      <w:r w:rsidR="007D678E" w:rsidRPr="00DA6B66">
        <w:t>€</w:t>
      </w:r>
      <w:r w:rsidR="00B64BDA">
        <w:t xml:space="preserve"> </w:t>
      </w:r>
      <w:r w:rsidR="007D678E" w:rsidRPr="00DA6B66">
        <w:t>kWh</w:t>
      </w:r>
      <w:r w:rsidR="00B64BDA" w:rsidRPr="00B64BDA">
        <w:rPr>
          <w:vertAlign w:val="superscript"/>
        </w:rPr>
        <w:t>-1</w:t>
      </w:r>
      <w:r w:rsidR="00DA6B66" w:rsidRPr="00DA6B66">
        <w:t xml:space="preserve"> to 0.</w:t>
      </w:r>
      <w:r w:rsidR="00DE7654">
        <w:t>20</w:t>
      </w:r>
      <w:r w:rsidR="00DA6B66" w:rsidRPr="00DA6B66">
        <w:t xml:space="preserve"> €</w:t>
      </w:r>
      <w:r w:rsidR="00B64BDA">
        <w:t xml:space="preserve"> </w:t>
      </w:r>
      <w:r w:rsidR="00DA6B66" w:rsidRPr="00DA6B66">
        <w:t>kWh</w:t>
      </w:r>
      <w:r w:rsidR="00B64BDA" w:rsidRPr="00B64BDA">
        <w:rPr>
          <w:vertAlign w:val="superscript"/>
        </w:rPr>
        <w:t>-1</w:t>
      </w:r>
      <w:r w:rsidR="00DA6B66" w:rsidRPr="00DA6B66">
        <w:t xml:space="preserve">. </w:t>
      </w:r>
      <w:r w:rsidR="00AA7B52">
        <w:t>The c</w:t>
      </w:r>
      <w:r w:rsidR="00AA7B52" w:rsidRPr="00DA6B66">
        <w:t xml:space="preserve">ost </w:t>
      </w:r>
      <w:r w:rsidR="00DA6B66" w:rsidRPr="00DA6B66">
        <w:t xml:space="preserve">of demineralized water is maintained constant. </w:t>
      </w:r>
    </w:p>
    <w:p w14:paraId="073225B0" w14:textId="77777777" w:rsidR="007D678E" w:rsidRDefault="007D678E" w:rsidP="00C11684">
      <w:pPr>
        <w:pStyle w:val="CETBodytext"/>
        <w:rPr>
          <w:rFonts w:eastAsiaTheme="minorHAnsi"/>
        </w:rPr>
      </w:pPr>
    </w:p>
    <w:p w14:paraId="70E0850F" w14:textId="726BE7F1" w:rsidR="00666CD5" w:rsidRPr="00F77106" w:rsidRDefault="00666CD5" w:rsidP="00666CD5">
      <w:pPr>
        <w:rPr>
          <w:lang w:val="en-US"/>
        </w:rPr>
      </w:pPr>
      <w:r>
        <w:rPr>
          <w:rFonts w:eastAsiaTheme="minorHAnsi"/>
          <w:b/>
          <w:lang w:val="en-US"/>
        </w:rPr>
        <w:t xml:space="preserve">2.3 </w:t>
      </w:r>
      <w:r w:rsidRPr="00DA6B66">
        <w:rPr>
          <w:rFonts w:eastAsiaTheme="minorHAnsi"/>
          <w:b/>
          <w:lang w:val="en-US"/>
        </w:rPr>
        <w:t>Key performance indicators</w:t>
      </w:r>
    </w:p>
    <w:p w14:paraId="705D95D2" w14:textId="77777777" w:rsidR="00666CD5" w:rsidRPr="00DA6B66" w:rsidRDefault="00666CD5" w:rsidP="00666CD5">
      <w:pPr>
        <w:rPr>
          <w:lang w:val="en-US"/>
        </w:rPr>
      </w:pPr>
      <w:r w:rsidRPr="00DA6B66">
        <w:rPr>
          <w:color w:val="000000"/>
          <w:lang w:val="en-US" w:eastAsia="it-IT"/>
        </w:rPr>
        <w:t xml:space="preserve">The </w:t>
      </w:r>
      <w:r>
        <w:rPr>
          <w:color w:val="000000"/>
          <w:lang w:val="en-US" w:eastAsia="it-IT"/>
        </w:rPr>
        <w:t xml:space="preserve">primary </w:t>
      </w:r>
      <w:r w:rsidRPr="00DA6B66">
        <w:rPr>
          <w:color w:val="000000"/>
          <w:lang w:val="en-US" w:eastAsia="it-IT"/>
        </w:rPr>
        <w:t>indices used for assessing the process performance</w:t>
      </w:r>
      <w:r w:rsidRPr="00DA6B66">
        <w:rPr>
          <w:lang w:val="en-US"/>
        </w:rPr>
        <w:t xml:space="preserve"> are the following:</w:t>
      </w:r>
    </w:p>
    <w:p w14:paraId="51497F6A" w14:textId="2D6A8306" w:rsidR="00666CD5" w:rsidRPr="00DA6B66" w:rsidRDefault="00666CD5" w:rsidP="00666CD5">
      <w:pPr>
        <w:numPr>
          <w:ilvl w:val="0"/>
          <w:numId w:val="24"/>
        </w:numPr>
        <w:rPr>
          <w:lang w:val="en-US"/>
        </w:rPr>
      </w:pPr>
      <w:r w:rsidRPr="00DA6B66">
        <w:rPr>
          <w:lang w:val="en-US"/>
        </w:rPr>
        <w:t>methane conversion</w:t>
      </w:r>
      <w:r w:rsidR="003F3C9F">
        <w:rPr>
          <w:lang w:val="en-US"/>
        </w:rPr>
        <w:t xml:space="preserve"> in the reformer</w:t>
      </w:r>
      <w:r w:rsidRPr="00DA6B66">
        <w:rPr>
          <w:lang w:val="en-US"/>
        </w:rPr>
        <w:t>,</w:t>
      </w:r>
    </w:p>
    <w:p w14:paraId="123D04BA" w14:textId="43E239CB" w:rsidR="00666CD5" w:rsidRDefault="003F3C9F" w:rsidP="00666CD5">
      <w:pPr>
        <w:numPr>
          <w:ilvl w:val="0"/>
          <w:numId w:val="24"/>
        </w:numPr>
        <w:rPr>
          <w:lang w:val="en-US"/>
        </w:rPr>
      </w:pPr>
      <w:r>
        <w:rPr>
          <w:lang w:val="en-US"/>
        </w:rPr>
        <w:t>H</w:t>
      </w:r>
      <w:r w:rsidRPr="003F3C9F">
        <w:rPr>
          <w:vertAlign w:val="subscript"/>
          <w:lang w:val="en-US"/>
        </w:rPr>
        <w:t>2</w:t>
      </w:r>
      <w:r>
        <w:rPr>
          <w:lang w:val="en-US"/>
        </w:rPr>
        <w:t>/CO selectivity in the WGS section</w:t>
      </w:r>
      <w:r w:rsidR="00666CD5">
        <w:rPr>
          <w:lang w:val="en-US"/>
        </w:rPr>
        <w:t>,</w:t>
      </w:r>
    </w:p>
    <w:p w14:paraId="4DD735E6" w14:textId="6A3147E2" w:rsidR="00334BAE" w:rsidRPr="00DA6B66" w:rsidRDefault="003F3C9F" w:rsidP="00666CD5">
      <w:pPr>
        <w:numPr>
          <w:ilvl w:val="0"/>
          <w:numId w:val="24"/>
        </w:numPr>
        <w:rPr>
          <w:lang w:val="en-US"/>
        </w:rPr>
      </w:pPr>
      <w:r w:rsidRPr="00DA6B66">
        <w:rPr>
          <w:lang w:val="en-US"/>
        </w:rPr>
        <w:t>H</w:t>
      </w:r>
      <w:r w:rsidRPr="00DA6B66">
        <w:rPr>
          <w:vertAlign w:val="subscript"/>
          <w:lang w:val="en-US"/>
        </w:rPr>
        <w:t>2</w:t>
      </w:r>
      <w:r w:rsidRPr="00DA6B66">
        <w:rPr>
          <w:lang w:val="en-US"/>
        </w:rPr>
        <w:t xml:space="preserve"> </w:t>
      </w:r>
      <w:r>
        <w:rPr>
          <w:lang w:val="en-US"/>
        </w:rPr>
        <w:t xml:space="preserve">production to </w:t>
      </w:r>
      <w:r w:rsidRPr="00DA6B66">
        <w:rPr>
          <w:lang w:val="en-US"/>
        </w:rPr>
        <w:t>biogas ratio</w:t>
      </w:r>
      <w:r>
        <w:rPr>
          <w:lang w:val="en-US"/>
        </w:rPr>
        <w:t>,</w:t>
      </w:r>
    </w:p>
    <w:p w14:paraId="49EB0E64" w14:textId="2F1A358C" w:rsidR="00666CD5" w:rsidRPr="00DA6B66" w:rsidRDefault="00E44E40" w:rsidP="00666CD5">
      <w:pPr>
        <w:numPr>
          <w:ilvl w:val="0"/>
          <w:numId w:val="24"/>
        </w:numPr>
        <w:rPr>
          <w:lang w:val="en-US"/>
        </w:rPr>
      </w:pPr>
      <w:r>
        <w:rPr>
          <w:lang w:val="en-US"/>
        </w:rPr>
        <w:t xml:space="preserve">specific </w:t>
      </w:r>
      <w:r w:rsidR="003F3C9F">
        <w:rPr>
          <w:lang w:val="en-US"/>
        </w:rPr>
        <w:t>e</w:t>
      </w:r>
      <w:r w:rsidR="005146F5">
        <w:rPr>
          <w:lang w:val="en-US"/>
        </w:rPr>
        <w:t>lectricity consumption</w:t>
      </w:r>
      <w:r w:rsidR="00666CD5" w:rsidRPr="00DA6B66">
        <w:rPr>
          <w:lang w:val="en-US"/>
        </w:rPr>
        <w:t>,</w:t>
      </w:r>
    </w:p>
    <w:p w14:paraId="5993DC5B" w14:textId="0F44A9A8" w:rsidR="00666CD5" w:rsidRPr="00765750" w:rsidRDefault="00666CD5" w:rsidP="00666CD5">
      <w:pPr>
        <w:widowControl w:val="0"/>
        <w:numPr>
          <w:ilvl w:val="0"/>
          <w:numId w:val="24"/>
        </w:numPr>
        <w:tabs>
          <w:tab w:val="clear" w:pos="7100"/>
          <w:tab w:val="left" w:pos="2160"/>
          <w:tab w:val="left" w:pos="2161"/>
        </w:tabs>
        <w:autoSpaceDE w:val="0"/>
        <w:autoSpaceDN w:val="0"/>
        <w:spacing w:before="27" w:line="240" w:lineRule="auto"/>
        <w:jc w:val="left"/>
        <w:rPr>
          <w:lang w:val="en-US"/>
        </w:rPr>
      </w:pPr>
      <w:r w:rsidRPr="00765750">
        <w:rPr>
          <w:lang w:val="en-US"/>
        </w:rPr>
        <w:t>process efficiency</w:t>
      </w:r>
      <w:r w:rsidR="005146F5" w:rsidRPr="00765750">
        <w:rPr>
          <w:lang w:val="en-US"/>
        </w:rPr>
        <w:t xml:space="preserve"> based on LHV of reagent</w:t>
      </w:r>
      <w:r w:rsidR="003F3C9F" w:rsidRPr="00765750">
        <w:rPr>
          <w:lang w:val="en-US"/>
        </w:rPr>
        <w:t xml:space="preserve"> and products</w:t>
      </w:r>
      <w:r w:rsidR="005146F5" w:rsidRPr="00765750">
        <w:rPr>
          <w:lang w:val="en-US"/>
        </w:rPr>
        <w:t xml:space="preserve">, electricity consumptions, </w:t>
      </w:r>
      <w:r w:rsidRPr="00765750">
        <w:rPr>
          <w:lang w:val="en-US"/>
        </w:rPr>
        <w:t>with and without considering the</w:t>
      </w:r>
      <w:r w:rsidR="005146F5" w:rsidRPr="00765750">
        <w:rPr>
          <w:lang w:val="en-US"/>
        </w:rPr>
        <w:t xml:space="preserve"> thermal integration of the process with the </w:t>
      </w:r>
      <w:r w:rsidRPr="00765750">
        <w:rPr>
          <w:lang w:val="en-US"/>
        </w:rPr>
        <w:t>fermenter.</w:t>
      </w:r>
    </w:p>
    <w:p w14:paraId="45F3A8B7" w14:textId="77777777" w:rsidR="00DA6B66" w:rsidRPr="00760F19" w:rsidRDefault="00DA6B66" w:rsidP="00DA6B66">
      <w:pPr>
        <w:keepNext/>
        <w:numPr>
          <w:ilvl w:val="1"/>
          <w:numId w:val="1"/>
        </w:numPr>
        <w:tabs>
          <w:tab w:val="clear" w:pos="7100"/>
          <w:tab w:val="num" w:pos="360"/>
        </w:tabs>
        <w:suppressAutoHyphens/>
        <w:spacing w:before="240" w:after="120" w:line="240" w:lineRule="auto"/>
        <w:jc w:val="left"/>
        <w:rPr>
          <w:b/>
          <w:sz w:val="20"/>
          <w:lang w:val="en-US"/>
        </w:rPr>
      </w:pPr>
      <w:r w:rsidRPr="00760F19">
        <w:rPr>
          <w:b/>
          <w:sz w:val="20"/>
          <w:lang w:val="en-US"/>
        </w:rPr>
        <w:t>Result</w:t>
      </w:r>
    </w:p>
    <w:p w14:paraId="2F9C500B" w14:textId="0E4F6330" w:rsidR="00DA6B66" w:rsidRPr="00760F19" w:rsidRDefault="00DA6B66" w:rsidP="00DA6B66">
      <w:pPr>
        <w:keepNext/>
        <w:numPr>
          <w:ilvl w:val="2"/>
          <w:numId w:val="1"/>
        </w:numPr>
        <w:tabs>
          <w:tab w:val="clear" w:pos="7100"/>
        </w:tabs>
        <w:suppressAutoHyphens/>
        <w:spacing w:before="120" w:after="120" w:line="240" w:lineRule="auto"/>
        <w:jc w:val="left"/>
        <w:rPr>
          <w:rFonts w:eastAsiaTheme="minorHAnsi"/>
          <w:b/>
          <w:lang w:val="en-US"/>
        </w:rPr>
      </w:pPr>
      <w:r w:rsidRPr="00760F19">
        <w:rPr>
          <w:rFonts w:eastAsiaTheme="minorHAnsi"/>
          <w:b/>
          <w:lang w:val="en-US"/>
        </w:rPr>
        <w:t xml:space="preserve">Mass </w:t>
      </w:r>
      <w:r w:rsidR="006C410A">
        <w:rPr>
          <w:rFonts w:eastAsiaTheme="minorHAnsi"/>
          <w:b/>
          <w:lang w:val="en-US"/>
        </w:rPr>
        <w:t>balance and energy requirements</w:t>
      </w:r>
    </w:p>
    <w:p w14:paraId="705E876C" w14:textId="66333767" w:rsidR="001222AB" w:rsidRDefault="009C0467" w:rsidP="00DA6B66">
      <w:pPr>
        <w:rPr>
          <w:lang w:val="en-US" w:eastAsia="it-IT"/>
        </w:rPr>
      </w:pPr>
      <w:r w:rsidRPr="00760F19">
        <w:rPr>
          <w:lang w:val="en-US" w:eastAsia="it-IT"/>
        </w:rPr>
        <w:t>Process m</w:t>
      </w:r>
      <w:r w:rsidR="00DA6B66" w:rsidRPr="00760F19">
        <w:rPr>
          <w:lang w:val="en-US" w:eastAsia="it-IT"/>
        </w:rPr>
        <w:t xml:space="preserve">ass balances </w:t>
      </w:r>
      <w:r w:rsidRPr="00760F19">
        <w:rPr>
          <w:lang w:val="en-US" w:eastAsia="it-IT"/>
        </w:rPr>
        <w:t>refer</w:t>
      </w:r>
      <w:r w:rsidR="00760F19">
        <w:rPr>
          <w:lang w:val="en-US" w:eastAsia="it-IT"/>
        </w:rPr>
        <w:t xml:space="preserve">s to a plant that produce </w:t>
      </w:r>
      <w:r w:rsidR="00B21C4D" w:rsidRPr="00760F19">
        <w:rPr>
          <w:lang w:val="en-US" w:eastAsia="it-IT"/>
        </w:rPr>
        <w:t>50</w:t>
      </w:r>
      <w:r w:rsidRPr="00760F19">
        <w:rPr>
          <w:lang w:val="en-US" w:eastAsia="it-IT"/>
        </w:rPr>
        <w:t xml:space="preserve"> Nm</w:t>
      </w:r>
      <w:r w:rsidRPr="00760F19">
        <w:rPr>
          <w:vertAlign w:val="superscript"/>
          <w:lang w:val="en-US" w:eastAsia="it-IT"/>
        </w:rPr>
        <w:t>3</w:t>
      </w:r>
      <w:r w:rsidR="00862D69" w:rsidRPr="00760F19">
        <w:rPr>
          <w:lang w:val="en-US" w:eastAsia="it-IT"/>
        </w:rPr>
        <w:t xml:space="preserve"> </w:t>
      </w:r>
      <w:r w:rsidRPr="00760F19">
        <w:rPr>
          <w:lang w:val="en-US" w:eastAsia="it-IT"/>
        </w:rPr>
        <w:t>h</w:t>
      </w:r>
      <w:r w:rsidR="00862D69" w:rsidRPr="00760F19">
        <w:rPr>
          <w:vertAlign w:val="superscript"/>
          <w:lang w:val="en-US" w:eastAsia="it-IT"/>
        </w:rPr>
        <w:t>-1</w:t>
      </w:r>
      <w:r w:rsidRPr="00760F19">
        <w:rPr>
          <w:lang w:val="en-US" w:eastAsia="it-IT"/>
        </w:rPr>
        <w:t xml:space="preserve"> </w:t>
      </w:r>
      <w:r w:rsidR="002B7CF5" w:rsidRPr="00760F19">
        <w:rPr>
          <w:lang w:val="en-US" w:eastAsia="it-IT"/>
        </w:rPr>
        <w:t xml:space="preserve">hydrogen </w:t>
      </w:r>
      <w:r w:rsidRPr="00760F19">
        <w:rPr>
          <w:lang w:val="en-US" w:eastAsia="it-IT"/>
        </w:rPr>
        <w:t>(4.</w:t>
      </w:r>
      <w:r w:rsidR="00862D69" w:rsidRPr="00760F19">
        <w:rPr>
          <w:lang w:val="en-US" w:eastAsia="it-IT"/>
        </w:rPr>
        <w:t>5</w:t>
      </w:r>
      <w:r w:rsidRPr="00760F19">
        <w:rPr>
          <w:lang w:val="en-US" w:eastAsia="it-IT"/>
        </w:rPr>
        <w:t xml:space="preserve"> kg</w:t>
      </w:r>
      <w:r w:rsidR="00111ED8">
        <w:rPr>
          <w:lang w:val="en-US" w:eastAsia="it-IT"/>
        </w:rPr>
        <w:t xml:space="preserve"> </w:t>
      </w:r>
      <w:r w:rsidRPr="00760F19">
        <w:rPr>
          <w:lang w:val="en-US" w:eastAsia="it-IT"/>
        </w:rPr>
        <w:t>h</w:t>
      </w:r>
      <w:r w:rsidR="00111ED8" w:rsidRPr="00111ED8">
        <w:rPr>
          <w:vertAlign w:val="superscript"/>
          <w:lang w:val="en-US" w:eastAsia="it-IT"/>
        </w:rPr>
        <w:t>-1</w:t>
      </w:r>
      <w:r w:rsidRPr="00760F19">
        <w:rPr>
          <w:lang w:val="en-US" w:eastAsia="it-IT"/>
        </w:rPr>
        <w:t xml:space="preserve">) </w:t>
      </w:r>
      <w:r w:rsidR="00760F19">
        <w:rPr>
          <w:lang w:val="en-US" w:eastAsia="it-IT"/>
        </w:rPr>
        <w:t>(Table</w:t>
      </w:r>
      <w:r w:rsidR="00C20D28">
        <w:rPr>
          <w:lang w:val="en-US" w:eastAsia="it-IT"/>
        </w:rPr>
        <w:t xml:space="preserve"> </w:t>
      </w:r>
      <w:r w:rsidR="005577DE">
        <w:rPr>
          <w:lang w:val="en-US" w:eastAsia="it-IT"/>
        </w:rPr>
        <w:t>2</w:t>
      </w:r>
      <w:r w:rsidR="00760F19">
        <w:rPr>
          <w:lang w:val="en-US" w:eastAsia="it-IT"/>
        </w:rPr>
        <w:t>)</w:t>
      </w:r>
      <w:r w:rsidR="00C51668" w:rsidRPr="00760F19">
        <w:rPr>
          <w:lang w:val="en-US" w:eastAsia="it-IT"/>
        </w:rPr>
        <w:t>.</w:t>
      </w:r>
      <w:r w:rsidR="00D64F6D" w:rsidRPr="00760F19">
        <w:rPr>
          <w:lang w:val="en-US" w:eastAsia="it-IT"/>
        </w:rPr>
        <w:t xml:space="preserve"> </w:t>
      </w:r>
    </w:p>
    <w:p w14:paraId="733B78C0" w14:textId="3E392790" w:rsidR="00C20D28" w:rsidRPr="001222AB" w:rsidRDefault="001222AB" w:rsidP="001222AB">
      <w:pPr>
        <w:pStyle w:val="CETTabletitle"/>
      </w:pPr>
      <w:r w:rsidRPr="001222AB">
        <w:t xml:space="preserve">Table </w:t>
      </w:r>
      <w:r>
        <w:t>2</w:t>
      </w:r>
      <w:r w:rsidRPr="001222AB">
        <w:t xml:space="preserve">: </w:t>
      </w:r>
      <w:r w:rsidR="00BE2095">
        <w:t>Mass balance of the developed biogas to hydrogen process</w:t>
      </w:r>
      <w:r w:rsidRPr="001222AB">
        <w:t>.</w:t>
      </w:r>
    </w:p>
    <w:tbl>
      <w:tblPr>
        <w:tblW w:w="0" w:type="auto"/>
        <w:tblBorders>
          <w:top w:val="single" w:sz="12" w:space="0" w:color="008000"/>
          <w:bottom w:val="single" w:sz="8" w:space="0" w:color="008000"/>
        </w:tblBorders>
        <w:shd w:val="clear" w:color="auto" w:fill="FFFFFF"/>
        <w:tblCellMar>
          <w:left w:w="0" w:type="dxa"/>
          <w:right w:w="0" w:type="dxa"/>
        </w:tblCellMar>
        <w:tblLook w:val="00A0" w:firstRow="1" w:lastRow="0" w:firstColumn="1" w:lastColumn="0" w:noHBand="0" w:noVBand="0"/>
      </w:tblPr>
      <w:tblGrid>
        <w:gridCol w:w="2519"/>
        <w:gridCol w:w="607"/>
        <w:gridCol w:w="607"/>
        <w:gridCol w:w="607"/>
        <w:gridCol w:w="607"/>
        <w:gridCol w:w="607"/>
        <w:gridCol w:w="607"/>
        <w:gridCol w:w="607"/>
        <w:gridCol w:w="607"/>
        <w:gridCol w:w="607"/>
      </w:tblGrid>
      <w:tr w:rsidR="00C20D28" w:rsidRPr="001222AB" w14:paraId="419E9C99" w14:textId="77777777" w:rsidTr="001222AB">
        <w:tc>
          <w:tcPr>
            <w:tcW w:w="2519" w:type="dxa"/>
            <w:tcBorders>
              <w:top w:val="single" w:sz="12" w:space="0" w:color="008000"/>
            </w:tcBorders>
          </w:tcPr>
          <w:p w14:paraId="0BC84D9F" w14:textId="77777777" w:rsidR="00C20D28" w:rsidRPr="001222AB" w:rsidRDefault="00C20D28" w:rsidP="001222AB">
            <w:pPr>
              <w:pStyle w:val="CETBodytext"/>
            </w:pPr>
            <w:r w:rsidRPr="001222AB">
              <w:t>Stream</w:t>
            </w:r>
          </w:p>
        </w:tc>
        <w:tc>
          <w:tcPr>
            <w:tcW w:w="607" w:type="dxa"/>
            <w:tcBorders>
              <w:top w:val="single" w:sz="12" w:space="0" w:color="008000"/>
            </w:tcBorders>
          </w:tcPr>
          <w:p w14:paraId="1E567F7E" w14:textId="77777777" w:rsidR="00C20D28" w:rsidRPr="001222AB" w:rsidRDefault="00C20D28" w:rsidP="001222AB">
            <w:pPr>
              <w:pStyle w:val="CETBodytext"/>
            </w:pPr>
            <w:r w:rsidRPr="001222AB">
              <w:t>S-4</w:t>
            </w:r>
          </w:p>
        </w:tc>
        <w:tc>
          <w:tcPr>
            <w:tcW w:w="607" w:type="dxa"/>
            <w:tcBorders>
              <w:top w:val="single" w:sz="12" w:space="0" w:color="008000"/>
            </w:tcBorders>
          </w:tcPr>
          <w:p w14:paraId="7765B71F" w14:textId="77777777" w:rsidR="00C20D28" w:rsidRPr="001222AB" w:rsidRDefault="00C20D28" w:rsidP="001222AB">
            <w:pPr>
              <w:pStyle w:val="CETBodytext"/>
            </w:pPr>
            <w:r w:rsidRPr="001222AB">
              <w:t>S-5</w:t>
            </w:r>
          </w:p>
        </w:tc>
        <w:tc>
          <w:tcPr>
            <w:tcW w:w="607" w:type="dxa"/>
            <w:tcBorders>
              <w:top w:val="single" w:sz="12" w:space="0" w:color="008000"/>
            </w:tcBorders>
          </w:tcPr>
          <w:p w14:paraId="142F22DD" w14:textId="77777777" w:rsidR="00C20D28" w:rsidRPr="001222AB" w:rsidRDefault="00C20D28" w:rsidP="001222AB">
            <w:pPr>
              <w:pStyle w:val="CETBodytext"/>
            </w:pPr>
            <w:r w:rsidRPr="001222AB">
              <w:t>S-6</w:t>
            </w:r>
          </w:p>
        </w:tc>
        <w:tc>
          <w:tcPr>
            <w:tcW w:w="607" w:type="dxa"/>
            <w:tcBorders>
              <w:top w:val="single" w:sz="12" w:space="0" w:color="008000"/>
            </w:tcBorders>
          </w:tcPr>
          <w:p w14:paraId="6F5942D6" w14:textId="77777777" w:rsidR="00C20D28" w:rsidRPr="001222AB" w:rsidRDefault="00C20D28" w:rsidP="001222AB">
            <w:pPr>
              <w:pStyle w:val="CETBodytext"/>
            </w:pPr>
            <w:r w:rsidRPr="001222AB">
              <w:t>S-7</w:t>
            </w:r>
          </w:p>
        </w:tc>
        <w:tc>
          <w:tcPr>
            <w:tcW w:w="607" w:type="dxa"/>
            <w:tcBorders>
              <w:top w:val="single" w:sz="12" w:space="0" w:color="008000"/>
            </w:tcBorders>
          </w:tcPr>
          <w:p w14:paraId="4E6601AE" w14:textId="77777777" w:rsidR="00C20D28" w:rsidRPr="001222AB" w:rsidRDefault="00C20D28" w:rsidP="001222AB">
            <w:pPr>
              <w:pStyle w:val="CETBodytext"/>
            </w:pPr>
            <w:r w:rsidRPr="001222AB">
              <w:t>S-9</w:t>
            </w:r>
          </w:p>
        </w:tc>
        <w:tc>
          <w:tcPr>
            <w:tcW w:w="607" w:type="dxa"/>
            <w:tcBorders>
              <w:top w:val="single" w:sz="12" w:space="0" w:color="008000"/>
            </w:tcBorders>
          </w:tcPr>
          <w:p w14:paraId="3A5B4674" w14:textId="77777777" w:rsidR="00C20D28" w:rsidRPr="001222AB" w:rsidRDefault="00C20D28" w:rsidP="001222AB">
            <w:pPr>
              <w:pStyle w:val="CETBodytext"/>
            </w:pPr>
            <w:r w:rsidRPr="001222AB">
              <w:t>S-11</w:t>
            </w:r>
          </w:p>
        </w:tc>
        <w:tc>
          <w:tcPr>
            <w:tcW w:w="607" w:type="dxa"/>
            <w:tcBorders>
              <w:top w:val="single" w:sz="12" w:space="0" w:color="008000"/>
            </w:tcBorders>
          </w:tcPr>
          <w:p w14:paraId="5AAAAC9A" w14:textId="77777777" w:rsidR="00C20D28" w:rsidRPr="001222AB" w:rsidRDefault="00C20D28" w:rsidP="001222AB">
            <w:pPr>
              <w:pStyle w:val="CETBodytext"/>
            </w:pPr>
            <w:r w:rsidRPr="001222AB">
              <w:t>S-12</w:t>
            </w:r>
          </w:p>
        </w:tc>
        <w:tc>
          <w:tcPr>
            <w:tcW w:w="607" w:type="dxa"/>
            <w:tcBorders>
              <w:top w:val="single" w:sz="12" w:space="0" w:color="008000"/>
            </w:tcBorders>
          </w:tcPr>
          <w:p w14:paraId="60AC6F54" w14:textId="77777777" w:rsidR="00C20D28" w:rsidRPr="001222AB" w:rsidRDefault="00C20D28" w:rsidP="001222AB">
            <w:pPr>
              <w:pStyle w:val="CETBodytext"/>
            </w:pPr>
            <w:r w:rsidRPr="001222AB">
              <w:t>S-24</w:t>
            </w:r>
          </w:p>
        </w:tc>
        <w:tc>
          <w:tcPr>
            <w:tcW w:w="607" w:type="dxa"/>
            <w:tcBorders>
              <w:top w:val="single" w:sz="12" w:space="0" w:color="008000"/>
            </w:tcBorders>
          </w:tcPr>
          <w:p w14:paraId="5237CC1F" w14:textId="77777777" w:rsidR="00C20D28" w:rsidRPr="001222AB" w:rsidRDefault="00C20D28" w:rsidP="001222AB">
            <w:pPr>
              <w:pStyle w:val="CETBodytext"/>
            </w:pPr>
            <w:r w:rsidRPr="001222AB">
              <w:t>S-28</w:t>
            </w:r>
          </w:p>
        </w:tc>
      </w:tr>
      <w:tr w:rsidR="00C20D28" w:rsidRPr="001222AB" w14:paraId="64F8CC66" w14:textId="77777777" w:rsidTr="001222AB">
        <w:tc>
          <w:tcPr>
            <w:tcW w:w="2519" w:type="dxa"/>
            <w:tcBorders>
              <w:top w:val="single" w:sz="8" w:space="0" w:color="008000"/>
            </w:tcBorders>
            <w:shd w:val="clear" w:color="000000" w:fill="FFFFFF"/>
            <w:vAlign w:val="bottom"/>
          </w:tcPr>
          <w:p w14:paraId="7CEA8387" w14:textId="77777777" w:rsidR="00C20D28" w:rsidRPr="001222AB" w:rsidRDefault="00C20D28" w:rsidP="001222AB">
            <w:pPr>
              <w:pStyle w:val="CETBodytext"/>
            </w:pPr>
            <w:r w:rsidRPr="001222AB">
              <w:t>Temperature [°C]</w:t>
            </w:r>
          </w:p>
        </w:tc>
        <w:tc>
          <w:tcPr>
            <w:tcW w:w="607" w:type="dxa"/>
            <w:tcBorders>
              <w:top w:val="single" w:sz="8" w:space="0" w:color="008000"/>
            </w:tcBorders>
          </w:tcPr>
          <w:p w14:paraId="4BC4CC1A" w14:textId="77777777" w:rsidR="00C20D28" w:rsidRPr="001222AB" w:rsidRDefault="00C20D28" w:rsidP="001222AB">
            <w:pPr>
              <w:pStyle w:val="CETBodytext"/>
            </w:pPr>
            <w:r w:rsidRPr="001222AB">
              <w:t>650</w:t>
            </w:r>
          </w:p>
        </w:tc>
        <w:tc>
          <w:tcPr>
            <w:tcW w:w="607" w:type="dxa"/>
            <w:tcBorders>
              <w:top w:val="single" w:sz="8" w:space="0" w:color="008000"/>
            </w:tcBorders>
          </w:tcPr>
          <w:p w14:paraId="57D6D73D" w14:textId="77777777" w:rsidR="00C20D28" w:rsidRPr="001222AB" w:rsidRDefault="00C20D28" w:rsidP="001222AB">
            <w:pPr>
              <w:pStyle w:val="CETBodytext"/>
            </w:pPr>
            <w:r w:rsidRPr="001222AB">
              <w:t>950</w:t>
            </w:r>
          </w:p>
        </w:tc>
        <w:tc>
          <w:tcPr>
            <w:tcW w:w="607" w:type="dxa"/>
            <w:tcBorders>
              <w:top w:val="single" w:sz="8" w:space="0" w:color="008000"/>
            </w:tcBorders>
          </w:tcPr>
          <w:p w14:paraId="680C182C" w14:textId="77777777" w:rsidR="00C20D28" w:rsidRPr="001222AB" w:rsidRDefault="00C20D28" w:rsidP="001222AB">
            <w:pPr>
              <w:pStyle w:val="CETBodytext"/>
            </w:pPr>
            <w:r w:rsidRPr="001222AB">
              <w:t>332</w:t>
            </w:r>
          </w:p>
        </w:tc>
        <w:tc>
          <w:tcPr>
            <w:tcW w:w="607" w:type="dxa"/>
            <w:tcBorders>
              <w:top w:val="single" w:sz="8" w:space="0" w:color="008000"/>
            </w:tcBorders>
          </w:tcPr>
          <w:p w14:paraId="33084818" w14:textId="77777777" w:rsidR="00C20D28" w:rsidRPr="001222AB" w:rsidRDefault="00C20D28" w:rsidP="001222AB">
            <w:pPr>
              <w:pStyle w:val="CETBodytext"/>
            </w:pPr>
            <w:r w:rsidRPr="001222AB">
              <w:t>470</w:t>
            </w:r>
          </w:p>
        </w:tc>
        <w:tc>
          <w:tcPr>
            <w:tcW w:w="607" w:type="dxa"/>
            <w:tcBorders>
              <w:top w:val="single" w:sz="8" w:space="0" w:color="008000"/>
            </w:tcBorders>
          </w:tcPr>
          <w:p w14:paraId="5FC2A113" w14:textId="77777777" w:rsidR="00C20D28" w:rsidRPr="001222AB" w:rsidRDefault="00C20D28" w:rsidP="001222AB">
            <w:pPr>
              <w:pStyle w:val="CETBodytext"/>
            </w:pPr>
            <w:r w:rsidRPr="001222AB">
              <w:t>236</w:t>
            </w:r>
          </w:p>
        </w:tc>
        <w:tc>
          <w:tcPr>
            <w:tcW w:w="607" w:type="dxa"/>
            <w:tcBorders>
              <w:top w:val="single" w:sz="8" w:space="0" w:color="008000"/>
            </w:tcBorders>
          </w:tcPr>
          <w:p w14:paraId="48AA465F" w14:textId="77777777" w:rsidR="00C20D28" w:rsidRPr="001222AB" w:rsidRDefault="00C20D28" w:rsidP="001222AB">
            <w:pPr>
              <w:pStyle w:val="CETBodytext"/>
            </w:pPr>
            <w:r w:rsidRPr="001222AB">
              <w:t>50</w:t>
            </w:r>
          </w:p>
        </w:tc>
        <w:tc>
          <w:tcPr>
            <w:tcW w:w="607" w:type="dxa"/>
            <w:tcBorders>
              <w:top w:val="single" w:sz="8" w:space="0" w:color="008000"/>
            </w:tcBorders>
          </w:tcPr>
          <w:p w14:paraId="475A76A4" w14:textId="77777777" w:rsidR="00C20D28" w:rsidRPr="001222AB" w:rsidRDefault="00C20D28" w:rsidP="001222AB">
            <w:pPr>
              <w:pStyle w:val="CETBodytext"/>
            </w:pPr>
            <w:r w:rsidRPr="001222AB">
              <w:t>50</w:t>
            </w:r>
          </w:p>
        </w:tc>
        <w:tc>
          <w:tcPr>
            <w:tcW w:w="607" w:type="dxa"/>
            <w:tcBorders>
              <w:top w:val="single" w:sz="8" w:space="0" w:color="008000"/>
            </w:tcBorders>
          </w:tcPr>
          <w:p w14:paraId="74863A08" w14:textId="77777777" w:rsidR="00C20D28" w:rsidRPr="001222AB" w:rsidRDefault="00C20D28" w:rsidP="001222AB">
            <w:pPr>
              <w:pStyle w:val="CETBodytext"/>
            </w:pPr>
            <w:r w:rsidRPr="001222AB">
              <w:t>1010</w:t>
            </w:r>
          </w:p>
        </w:tc>
        <w:tc>
          <w:tcPr>
            <w:tcW w:w="607" w:type="dxa"/>
            <w:tcBorders>
              <w:top w:val="single" w:sz="8" w:space="0" w:color="008000"/>
            </w:tcBorders>
          </w:tcPr>
          <w:p w14:paraId="5C6D378C" w14:textId="77777777" w:rsidR="00C20D28" w:rsidRPr="001222AB" w:rsidRDefault="00C20D28" w:rsidP="001222AB">
            <w:pPr>
              <w:pStyle w:val="CETBodytext"/>
            </w:pPr>
            <w:r w:rsidRPr="001222AB">
              <w:t>55</w:t>
            </w:r>
          </w:p>
        </w:tc>
      </w:tr>
      <w:tr w:rsidR="00C20D28" w:rsidRPr="001222AB" w14:paraId="4840F743" w14:textId="77777777" w:rsidTr="001222AB">
        <w:tc>
          <w:tcPr>
            <w:tcW w:w="2519" w:type="dxa"/>
            <w:shd w:val="clear" w:color="000000" w:fill="FFFFFF"/>
            <w:vAlign w:val="bottom"/>
          </w:tcPr>
          <w:p w14:paraId="37C65D64" w14:textId="4729F0F4" w:rsidR="00C20D28" w:rsidRPr="001222AB" w:rsidRDefault="00C20D28" w:rsidP="001222AB">
            <w:pPr>
              <w:pStyle w:val="CETBodytext"/>
            </w:pPr>
            <w:r w:rsidRPr="001222AB">
              <w:t>Mol</w:t>
            </w:r>
            <w:r w:rsidR="00046A67">
              <w:t>e</w:t>
            </w:r>
            <w:r w:rsidRPr="001222AB">
              <w:t xml:space="preserve"> Flow [kmol h</w:t>
            </w:r>
            <w:r w:rsidRPr="00111ED8">
              <w:rPr>
                <w:vertAlign w:val="superscript"/>
              </w:rPr>
              <w:t>-1</w:t>
            </w:r>
            <w:r w:rsidRPr="001222AB">
              <w:t>]</w:t>
            </w:r>
          </w:p>
        </w:tc>
        <w:tc>
          <w:tcPr>
            <w:tcW w:w="607" w:type="dxa"/>
          </w:tcPr>
          <w:p w14:paraId="4FF9943A" w14:textId="77777777" w:rsidR="00C20D28" w:rsidRPr="001222AB" w:rsidRDefault="00C20D28" w:rsidP="001222AB">
            <w:pPr>
              <w:pStyle w:val="CETBodytext"/>
            </w:pPr>
            <w:r w:rsidRPr="001222AB">
              <w:t>2.72</w:t>
            </w:r>
          </w:p>
        </w:tc>
        <w:tc>
          <w:tcPr>
            <w:tcW w:w="607" w:type="dxa"/>
            <w:tcBorders>
              <w:top w:val="nil"/>
              <w:left w:val="nil"/>
              <w:bottom w:val="nil"/>
              <w:right w:val="nil"/>
            </w:tcBorders>
            <w:shd w:val="clear" w:color="auto" w:fill="auto"/>
            <w:vAlign w:val="bottom"/>
          </w:tcPr>
          <w:p w14:paraId="34B8592D" w14:textId="77777777" w:rsidR="00C20D28" w:rsidRPr="001222AB" w:rsidRDefault="00C20D28" w:rsidP="001222AB">
            <w:pPr>
              <w:pStyle w:val="CETBodytext"/>
            </w:pPr>
            <w:r w:rsidRPr="001222AB">
              <w:t>4.04</w:t>
            </w:r>
          </w:p>
        </w:tc>
        <w:tc>
          <w:tcPr>
            <w:tcW w:w="607" w:type="dxa"/>
            <w:tcBorders>
              <w:top w:val="nil"/>
              <w:left w:val="nil"/>
              <w:bottom w:val="nil"/>
              <w:right w:val="nil"/>
            </w:tcBorders>
            <w:shd w:val="clear" w:color="auto" w:fill="auto"/>
            <w:vAlign w:val="bottom"/>
          </w:tcPr>
          <w:p w14:paraId="1F41E09A" w14:textId="77777777" w:rsidR="00C20D28" w:rsidRPr="001222AB" w:rsidRDefault="00C20D28" w:rsidP="001222AB">
            <w:pPr>
              <w:pStyle w:val="CETBodytext"/>
            </w:pPr>
            <w:r w:rsidRPr="001222AB">
              <w:t>5.63</w:t>
            </w:r>
          </w:p>
        </w:tc>
        <w:tc>
          <w:tcPr>
            <w:tcW w:w="607" w:type="dxa"/>
          </w:tcPr>
          <w:p w14:paraId="3D5231D6" w14:textId="77777777" w:rsidR="00C20D28" w:rsidRPr="001222AB" w:rsidRDefault="00C20D28" w:rsidP="001222AB">
            <w:pPr>
              <w:pStyle w:val="CETBodytext"/>
            </w:pPr>
            <w:r w:rsidRPr="001222AB">
              <w:t>5.63</w:t>
            </w:r>
          </w:p>
        </w:tc>
        <w:tc>
          <w:tcPr>
            <w:tcW w:w="607" w:type="dxa"/>
          </w:tcPr>
          <w:p w14:paraId="154EB9EF" w14:textId="77777777" w:rsidR="00C20D28" w:rsidRPr="001222AB" w:rsidRDefault="00C20D28" w:rsidP="001222AB">
            <w:pPr>
              <w:pStyle w:val="CETBodytext"/>
            </w:pPr>
            <w:r w:rsidRPr="001222AB">
              <w:t>5.63</w:t>
            </w:r>
          </w:p>
        </w:tc>
        <w:tc>
          <w:tcPr>
            <w:tcW w:w="607" w:type="dxa"/>
            <w:tcBorders>
              <w:top w:val="nil"/>
              <w:left w:val="nil"/>
              <w:bottom w:val="nil"/>
              <w:right w:val="nil"/>
            </w:tcBorders>
            <w:shd w:val="clear" w:color="auto" w:fill="auto"/>
            <w:vAlign w:val="bottom"/>
          </w:tcPr>
          <w:p w14:paraId="083FBB7A" w14:textId="77777777" w:rsidR="00C20D28" w:rsidRPr="001222AB" w:rsidRDefault="00C20D28" w:rsidP="001222AB">
            <w:pPr>
              <w:pStyle w:val="CETBodytext"/>
            </w:pPr>
            <w:r w:rsidRPr="001222AB">
              <w:t>4.02</w:t>
            </w:r>
          </w:p>
        </w:tc>
        <w:tc>
          <w:tcPr>
            <w:tcW w:w="607" w:type="dxa"/>
            <w:tcBorders>
              <w:top w:val="nil"/>
              <w:left w:val="nil"/>
              <w:bottom w:val="nil"/>
              <w:right w:val="nil"/>
            </w:tcBorders>
            <w:shd w:val="clear" w:color="auto" w:fill="auto"/>
            <w:vAlign w:val="bottom"/>
          </w:tcPr>
          <w:p w14:paraId="1007ECE6" w14:textId="77777777" w:rsidR="00C20D28" w:rsidRPr="001222AB" w:rsidRDefault="00C20D28" w:rsidP="001222AB">
            <w:pPr>
              <w:pStyle w:val="CETBodytext"/>
            </w:pPr>
            <w:r w:rsidRPr="001222AB">
              <w:t>2.23</w:t>
            </w:r>
          </w:p>
        </w:tc>
        <w:tc>
          <w:tcPr>
            <w:tcW w:w="607" w:type="dxa"/>
            <w:tcBorders>
              <w:top w:val="nil"/>
              <w:left w:val="nil"/>
              <w:bottom w:val="nil"/>
              <w:right w:val="nil"/>
            </w:tcBorders>
            <w:shd w:val="clear" w:color="auto" w:fill="auto"/>
            <w:vAlign w:val="bottom"/>
          </w:tcPr>
          <w:p w14:paraId="1B17E22A" w14:textId="77777777" w:rsidR="00C20D28" w:rsidRPr="001222AB" w:rsidRDefault="00C20D28" w:rsidP="001222AB">
            <w:pPr>
              <w:pStyle w:val="CETBodytext"/>
            </w:pPr>
            <w:r w:rsidRPr="001222AB">
              <w:t>2.81</w:t>
            </w:r>
          </w:p>
        </w:tc>
        <w:tc>
          <w:tcPr>
            <w:tcW w:w="607" w:type="dxa"/>
          </w:tcPr>
          <w:p w14:paraId="7E4C17FB" w14:textId="77777777" w:rsidR="00C20D28" w:rsidRPr="001222AB" w:rsidRDefault="00C20D28" w:rsidP="001222AB">
            <w:pPr>
              <w:pStyle w:val="CETBodytext"/>
            </w:pPr>
            <w:r w:rsidRPr="001222AB">
              <w:t>68.5</w:t>
            </w:r>
          </w:p>
        </w:tc>
      </w:tr>
      <w:tr w:rsidR="00136F41" w:rsidRPr="001222AB" w14:paraId="273AFFBA" w14:textId="77777777" w:rsidTr="006475AD">
        <w:tc>
          <w:tcPr>
            <w:tcW w:w="2519" w:type="dxa"/>
            <w:tcBorders>
              <w:bottom w:val="single" w:sz="8" w:space="0" w:color="008000"/>
            </w:tcBorders>
          </w:tcPr>
          <w:p w14:paraId="568379ED" w14:textId="673A9ED5" w:rsidR="00136F41" w:rsidRPr="001222AB" w:rsidRDefault="00136F41" w:rsidP="00136F41">
            <w:pPr>
              <w:pStyle w:val="CETBodytext"/>
            </w:pPr>
            <w:r w:rsidRPr="001222AB">
              <w:t>Mass Flow [kg h</w:t>
            </w:r>
            <w:r w:rsidRPr="00111ED8">
              <w:rPr>
                <w:vertAlign w:val="superscript"/>
              </w:rPr>
              <w:t>-1</w:t>
            </w:r>
            <w:r w:rsidRPr="001222AB">
              <w:t>]</w:t>
            </w:r>
          </w:p>
        </w:tc>
        <w:tc>
          <w:tcPr>
            <w:tcW w:w="607" w:type="dxa"/>
            <w:tcBorders>
              <w:bottom w:val="single" w:sz="8" w:space="0" w:color="008000"/>
            </w:tcBorders>
          </w:tcPr>
          <w:p w14:paraId="0CE96F43" w14:textId="4EEC35DB" w:rsidR="00136F41" w:rsidRPr="001222AB" w:rsidRDefault="00136F41" w:rsidP="00136F41">
            <w:pPr>
              <w:pStyle w:val="CETBodytext"/>
            </w:pPr>
            <w:r w:rsidRPr="001222AB">
              <w:t>65.3</w:t>
            </w:r>
          </w:p>
        </w:tc>
        <w:tc>
          <w:tcPr>
            <w:tcW w:w="607" w:type="dxa"/>
            <w:tcBorders>
              <w:bottom w:val="single" w:sz="8" w:space="0" w:color="008000"/>
            </w:tcBorders>
          </w:tcPr>
          <w:p w14:paraId="725E21F9" w14:textId="56DB02A6" w:rsidR="00136F41" w:rsidRPr="001222AB" w:rsidRDefault="00136F41" w:rsidP="00136F41">
            <w:pPr>
              <w:pStyle w:val="CETBodytext"/>
            </w:pPr>
            <w:r w:rsidRPr="001222AB">
              <w:t>65.3</w:t>
            </w:r>
          </w:p>
        </w:tc>
        <w:tc>
          <w:tcPr>
            <w:tcW w:w="607" w:type="dxa"/>
            <w:tcBorders>
              <w:bottom w:val="single" w:sz="8" w:space="0" w:color="008000"/>
            </w:tcBorders>
          </w:tcPr>
          <w:p w14:paraId="204A35FC" w14:textId="2B019051" w:rsidR="00136F41" w:rsidRPr="001222AB" w:rsidRDefault="00136F41" w:rsidP="00136F41">
            <w:pPr>
              <w:pStyle w:val="CETBodytext"/>
            </w:pPr>
            <w:r w:rsidRPr="001222AB">
              <w:t>94.0</w:t>
            </w:r>
          </w:p>
        </w:tc>
        <w:tc>
          <w:tcPr>
            <w:tcW w:w="607" w:type="dxa"/>
            <w:tcBorders>
              <w:bottom w:val="single" w:sz="8" w:space="0" w:color="008000"/>
            </w:tcBorders>
          </w:tcPr>
          <w:p w14:paraId="5A05C702" w14:textId="760A507C" w:rsidR="00136F41" w:rsidRPr="001222AB" w:rsidRDefault="00136F41" w:rsidP="00136F41">
            <w:pPr>
              <w:pStyle w:val="CETBodytext"/>
            </w:pPr>
            <w:r w:rsidRPr="001222AB">
              <w:t>94.0</w:t>
            </w:r>
          </w:p>
        </w:tc>
        <w:tc>
          <w:tcPr>
            <w:tcW w:w="607" w:type="dxa"/>
            <w:tcBorders>
              <w:bottom w:val="single" w:sz="8" w:space="0" w:color="008000"/>
            </w:tcBorders>
          </w:tcPr>
          <w:p w14:paraId="2AB075FD" w14:textId="04BE95D1" w:rsidR="00136F41" w:rsidRPr="001222AB" w:rsidRDefault="00136F41" w:rsidP="00136F41">
            <w:pPr>
              <w:pStyle w:val="CETBodytext"/>
            </w:pPr>
            <w:r w:rsidRPr="001222AB">
              <w:t>94.0</w:t>
            </w:r>
          </w:p>
        </w:tc>
        <w:tc>
          <w:tcPr>
            <w:tcW w:w="607" w:type="dxa"/>
            <w:tcBorders>
              <w:bottom w:val="single" w:sz="8" w:space="0" w:color="008000"/>
            </w:tcBorders>
          </w:tcPr>
          <w:p w14:paraId="4EAB31B8" w14:textId="1E8634A4" w:rsidR="00136F41" w:rsidRPr="001222AB" w:rsidRDefault="00136F41" w:rsidP="00136F41">
            <w:pPr>
              <w:pStyle w:val="CETBodytext"/>
            </w:pPr>
            <w:r w:rsidRPr="001222AB">
              <w:t>64.9</w:t>
            </w:r>
          </w:p>
        </w:tc>
        <w:tc>
          <w:tcPr>
            <w:tcW w:w="607" w:type="dxa"/>
            <w:tcBorders>
              <w:bottom w:val="single" w:sz="8" w:space="0" w:color="008000"/>
            </w:tcBorders>
          </w:tcPr>
          <w:p w14:paraId="189F2C46" w14:textId="1D9E3685" w:rsidR="00136F41" w:rsidRPr="001222AB" w:rsidRDefault="00136F41" w:rsidP="00136F41">
            <w:pPr>
              <w:pStyle w:val="CETBodytext"/>
            </w:pPr>
            <w:r w:rsidRPr="001222AB">
              <w:t>4.50</w:t>
            </w:r>
          </w:p>
        </w:tc>
        <w:tc>
          <w:tcPr>
            <w:tcW w:w="607" w:type="dxa"/>
            <w:tcBorders>
              <w:bottom w:val="single" w:sz="8" w:space="0" w:color="008000"/>
            </w:tcBorders>
          </w:tcPr>
          <w:p w14:paraId="2D723766" w14:textId="599E55F8" w:rsidR="00136F41" w:rsidRPr="001222AB" w:rsidRDefault="00136F41" w:rsidP="00136F41">
            <w:pPr>
              <w:pStyle w:val="CETBodytext"/>
            </w:pPr>
            <w:r w:rsidRPr="001222AB">
              <w:t>96.2</w:t>
            </w:r>
          </w:p>
        </w:tc>
        <w:tc>
          <w:tcPr>
            <w:tcW w:w="607" w:type="dxa"/>
            <w:tcBorders>
              <w:bottom w:val="single" w:sz="8" w:space="0" w:color="008000"/>
            </w:tcBorders>
          </w:tcPr>
          <w:p w14:paraId="11C3FFDA" w14:textId="2A54FA24" w:rsidR="00136F41" w:rsidRPr="001222AB" w:rsidRDefault="00136F41" w:rsidP="00136F41">
            <w:pPr>
              <w:pStyle w:val="CETBodytext"/>
            </w:pPr>
            <w:r w:rsidRPr="001222AB">
              <w:t>1233.6</w:t>
            </w:r>
          </w:p>
        </w:tc>
      </w:tr>
      <w:tr w:rsidR="006475AD" w:rsidRPr="001222AB" w14:paraId="4C808838" w14:textId="77777777" w:rsidTr="001222AB">
        <w:tc>
          <w:tcPr>
            <w:tcW w:w="2519" w:type="dxa"/>
            <w:shd w:val="clear" w:color="000000" w:fill="FFFFFF"/>
            <w:vAlign w:val="bottom"/>
          </w:tcPr>
          <w:p w14:paraId="3668B8CB" w14:textId="3F821D1B" w:rsidR="006475AD" w:rsidRPr="001222AB" w:rsidRDefault="006475AD" w:rsidP="00136F41">
            <w:pPr>
              <w:pStyle w:val="CETBodytext"/>
            </w:pPr>
            <w:r w:rsidRPr="001222AB">
              <w:t>Mole Fraction</w:t>
            </w:r>
          </w:p>
        </w:tc>
        <w:tc>
          <w:tcPr>
            <w:tcW w:w="607" w:type="dxa"/>
          </w:tcPr>
          <w:p w14:paraId="6A860D19" w14:textId="77777777" w:rsidR="006475AD" w:rsidRPr="001222AB" w:rsidRDefault="006475AD" w:rsidP="00136F41">
            <w:pPr>
              <w:pStyle w:val="CETBodytext"/>
            </w:pPr>
          </w:p>
        </w:tc>
        <w:tc>
          <w:tcPr>
            <w:tcW w:w="607" w:type="dxa"/>
            <w:tcBorders>
              <w:top w:val="nil"/>
              <w:left w:val="nil"/>
              <w:bottom w:val="nil"/>
              <w:right w:val="nil"/>
            </w:tcBorders>
            <w:shd w:val="clear" w:color="auto" w:fill="auto"/>
            <w:vAlign w:val="bottom"/>
          </w:tcPr>
          <w:p w14:paraId="33B1719E" w14:textId="77777777" w:rsidR="006475AD" w:rsidRPr="001222AB" w:rsidRDefault="006475AD" w:rsidP="00136F41">
            <w:pPr>
              <w:pStyle w:val="CETBodytext"/>
            </w:pPr>
          </w:p>
        </w:tc>
        <w:tc>
          <w:tcPr>
            <w:tcW w:w="607" w:type="dxa"/>
            <w:tcBorders>
              <w:top w:val="nil"/>
              <w:left w:val="nil"/>
              <w:bottom w:val="nil"/>
              <w:right w:val="nil"/>
            </w:tcBorders>
            <w:shd w:val="clear" w:color="auto" w:fill="auto"/>
            <w:vAlign w:val="bottom"/>
          </w:tcPr>
          <w:p w14:paraId="396085B4" w14:textId="77777777" w:rsidR="006475AD" w:rsidRPr="001222AB" w:rsidRDefault="006475AD" w:rsidP="00136F41">
            <w:pPr>
              <w:pStyle w:val="CETBodytext"/>
            </w:pPr>
          </w:p>
        </w:tc>
        <w:tc>
          <w:tcPr>
            <w:tcW w:w="607" w:type="dxa"/>
          </w:tcPr>
          <w:p w14:paraId="46F612EC" w14:textId="77777777" w:rsidR="006475AD" w:rsidRPr="001222AB" w:rsidRDefault="006475AD" w:rsidP="00136F41">
            <w:pPr>
              <w:pStyle w:val="CETBodytext"/>
            </w:pPr>
          </w:p>
        </w:tc>
        <w:tc>
          <w:tcPr>
            <w:tcW w:w="607" w:type="dxa"/>
          </w:tcPr>
          <w:p w14:paraId="6940BAFA" w14:textId="77777777" w:rsidR="006475AD" w:rsidRPr="001222AB" w:rsidRDefault="006475AD" w:rsidP="00136F41">
            <w:pPr>
              <w:pStyle w:val="CETBodytext"/>
            </w:pPr>
          </w:p>
        </w:tc>
        <w:tc>
          <w:tcPr>
            <w:tcW w:w="607" w:type="dxa"/>
            <w:tcBorders>
              <w:top w:val="nil"/>
              <w:left w:val="nil"/>
              <w:bottom w:val="nil"/>
              <w:right w:val="nil"/>
            </w:tcBorders>
            <w:shd w:val="clear" w:color="auto" w:fill="auto"/>
            <w:vAlign w:val="bottom"/>
          </w:tcPr>
          <w:p w14:paraId="73520174" w14:textId="77777777" w:rsidR="006475AD" w:rsidRPr="001222AB" w:rsidRDefault="006475AD" w:rsidP="00136F41">
            <w:pPr>
              <w:pStyle w:val="CETBodytext"/>
            </w:pPr>
          </w:p>
        </w:tc>
        <w:tc>
          <w:tcPr>
            <w:tcW w:w="607" w:type="dxa"/>
            <w:tcBorders>
              <w:top w:val="nil"/>
              <w:left w:val="nil"/>
              <w:bottom w:val="nil"/>
              <w:right w:val="nil"/>
            </w:tcBorders>
            <w:shd w:val="clear" w:color="auto" w:fill="auto"/>
            <w:vAlign w:val="bottom"/>
          </w:tcPr>
          <w:p w14:paraId="2C0EA9EA" w14:textId="77777777" w:rsidR="006475AD" w:rsidRPr="001222AB" w:rsidRDefault="006475AD" w:rsidP="00136F41">
            <w:pPr>
              <w:pStyle w:val="CETBodytext"/>
            </w:pPr>
          </w:p>
        </w:tc>
        <w:tc>
          <w:tcPr>
            <w:tcW w:w="607" w:type="dxa"/>
            <w:tcBorders>
              <w:top w:val="nil"/>
              <w:left w:val="nil"/>
              <w:bottom w:val="nil"/>
              <w:right w:val="nil"/>
            </w:tcBorders>
            <w:shd w:val="clear" w:color="auto" w:fill="auto"/>
            <w:vAlign w:val="bottom"/>
          </w:tcPr>
          <w:p w14:paraId="499949B4" w14:textId="77777777" w:rsidR="006475AD" w:rsidRPr="001222AB" w:rsidRDefault="006475AD" w:rsidP="00136F41">
            <w:pPr>
              <w:pStyle w:val="CETBodytext"/>
            </w:pPr>
          </w:p>
        </w:tc>
        <w:tc>
          <w:tcPr>
            <w:tcW w:w="607" w:type="dxa"/>
          </w:tcPr>
          <w:p w14:paraId="18AD541C" w14:textId="77777777" w:rsidR="006475AD" w:rsidRPr="001222AB" w:rsidRDefault="006475AD" w:rsidP="00136F41">
            <w:pPr>
              <w:pStyle w:val="CETBodytext"/>
            </w:pPr>
          </w:p>
        </w:tc>
      </w:tr>
      <w:tr w:rsidR="00136F41" w:rsidRPr="001222AB" w14:paraId="54BA131D" w14:textId="77777777" w:rsidTr="001222AB">
        <w:tc>
          <w:tcPr>
            <w:tcW w:w="2519" w:type="dxa"/>
            <w:shd w:val="clear" w:color="000000" w:fill="FFFFFF"/>
            <w:vAlign w:val="bottom"/>
          </w:tcPr>
          <w:p w14:paraId="5CD7221A" w14:textId="77777777" w:rsidR="00136F41" w:rsidRPr="001222AB" w:rsidRDefault="00136F41" w:rsidP="00136F41">
            <w:pPr>
              <w:pStyle w:val="CETBodytext"/>
            </w:pPr>
            <w:r w:rsidRPr="001222AB">
              <w:t>H</w:t>
            </w:r>
            <w:r w:rsidRPr="00111ED8">
              <w:rPr>
                <w:vertAlign w:val="subscript"/>
              </w:rPr>
              <w:t>2</w:t>
            </w:r>
            <w:r w:rsidRPr="001222AB">
              <w:t>O</w:t>
            </w:r>
          </w:p>
        </w:tc>
        <w:tc>
          <w:tcPr>
            <w:tcW w:w="607" w:type="dxa"/>
          </w:tcPr>
          <w:p w14:paraId="444422BA" w14:textId="77777777" w:rsidR="00136F41" w:rsidRPr="001222AB" w:rsidRDefault="00136F41" w:rsidP="00136F41">
            <w:pPr>
              <w:pStyle w:val="CETBodytext"/>
            </w:pPr>
            <w:r w:rsidRPr="001222AB">
              <w:t>0.50</w:t>
            </w:r>
          </w:p>
        </w:tc>
        <w:tc>
          <w:tcPr>
            <w:tcW w:w="607" w:type="dxa"/>
            <w:tcBorders>
              <w:top w:val="nil"/>
              <w:left w:val="nil"/>
              <w:bottom w:val="nil"/>
              <w:right w:val="nil"/>
            </w:tcBorders>
            <w:shd w:val="clear" w:color="auto" w:fill="auto"/>
            <w:vAlign w:val="bottom"/>
          </w:tcPr>
          <w:p w14:paraId="04F506E6" w14:textId="77777777" w:rsidR="00136F41" w:rsidRPr="001222AB" w:rsidRDefault="00136F41" w:rsidP="00136F41">
            <w:pPr>
              <w:pStyle w:val="CETBodytext"/>
            </w:pPr>
            <w:r w:rsidRPr="001222AB">
              <w:t>0.25</w:t>
            </w:r>
          </w:p>
        </w:tc>
        <w:tc>
          <w:tcPr>
            <w:tcW w:w="607" w:type="dxa"/>
            <w:tcBorders>
              <w:top w:val="nil"/>
              <w:left w:val="nil"/>
              <w:bottom w:val="nil"/>
              <w:right w:val="nil"/>
            </w:tcBorders>
            <w:shd w:val="clear" w:color="auto" w:fill="auto"/>
            <w:vAlign w:val="bottom"/>
          </w:tcPr>
          <w:p w14:paraId="47166A6A" w14:textId="77777777" w:rsidR="00136F41" w:rsidRPr="001222AB" w:rsidRDefault="00136F41" w:rsidP="00136F41">
            <w:pPr>
              <w:pStyle w:val="CETBodytext"/>
            </w:pPr>
            <w:r w:rsidRPr="001222AB">
              <w:t>0.46</w:t>
            </w:r>
          </w:p>
        </w:tc>
        <w:tc>
          <w:tcPr>
            <w:tcW w:w="607" w:type="dxa"/>
            <w:tcBorders>
              <w:top w:val="nil"/>
              <w:left w:val="nil"/>
              <w:bottom w:val="nil"/>
              <w:right w:val="nil"/>
            </w:tcBorders>
            <w:shd w:val="clear" w:color="auto" w:fill="auto"/>
            <w:vAlign w:val="bottom"/>
          </w:tcPr>
          <w:p w14:paraId="41FD3B93" w14:textId="77777777" w:rsidR="00136F41" w:rsidRPr="001222AB" w:rsidRDefault="00136F41" w:rsidP="00136F41">
            <w:pPr>
              <w:pStyle w:val="CETBodytext"/>
            </w:pPr>
            <w:r w:rsidRPr="001222AB">
              <w:t>0.33</w:t>
            </w:r>
          </w:p>
        </w:tc>
        <w:tc>
          <w:tcPr>
            <w:tcW w:w="607" w:type="dxa"/>
            <w:tcBorders>
              <w:top w:val="nil"/>
              <w:left w:val="nil"/>
              <w:bottom w:val="nil"/>
              <w:right w:val="nil"/>
            </w:tcBorders>
            <w:shd w:val="clear" w:color="auto" w:fill="auto"/>
            <w:vAlign w:val="bottom"/>
          </w:tcPr>
          <w:p w14:paraId="2AE352CA" w14:textId="77777777" w:rsidR="00136F41" w:rsidRPr="001222AB" w:rsidRDefault="00136F41" w:rsidP="00136F41">
            <w:pPr>
              <w:pStyle w:val="CETBodytext"/>
            </w:pPr>
            <w:r w:rsidRPr="001222AB">
              <w:t>0.29</w:t>
            </w:r>
          </w:p>
        </w:tc>
        <w:tc>
          <w:tcPr>
            <w:tcW w:w="607" w:type="dxa"/>
            <w:tcBorders>
              <w:top w:val="nil"/>
              <w:left w:val="nil"/>
              <w:bottom w:val="nil"/>
              <w:right w:val="nil"/>
            </w:tcBorders>
            <w:shd w:val="clear" w:color="auto" w:fill="auto"/>
            <w:vAlign w:val="bottom"/>
          </w:tcPr>
          <w:p w14:paraId="6DEBE7CC" w14:textId="77777777" w:rsidR="00136F41" w:rsidRPr="001222AB" w:rsidRDefault="00136F41" w:rsidP="00136F41">
            <w:pPr>
              <w:pStyle w:val="CETBodytext"/>
            </w:pPr>
            <w:r w:rsidRPr="001222AB">
              <w:t>0.01</w:t>
            </w:r>
          </w:p>
        </w:tc>
        <w:tc>
          <w:tcPr>
            <w:tcW w:w="607" w:type="dxa"/>
            <w:tcBorders>
              <w:top w:val="nil"/>
              <w:left w:val="nil"/>
              <w:bottom w:val="nil"/>
              <w:right w:val="nil"/>
            </w:tcBorders>
            <w:shd w:val="clear" w:color="auto" w:fill="auto"/>
            <w:vAlign w:val="bottom"/>
          </w:tcPr>
          <w:p w14:paraId="0E2863D7" w14:textId="3D7B3CB4" w:rsidR="00136F41" w:rsidRPr="001222AB" w:rsidRDefault="00136F41" w:rsidP="00136F41">
            <w:pPr>
              <w:pStyle w:val="CETBodytext"/>
            </w:pPr>
            <w:r w:rsidRPr="001222AB">
              <w:t>0.00</w:t>
            </w:r>
          </w:p>
        </w:tc>
        <w:tc>
          <w:tcPr>
            <w:tcW w:w="607" w:type="dxa"/>
            <w:tcBorders>
              <w:top w:val="nil"/>
              <w:left w:val="nil"/>
              <w:bottom w:val="nil"/>
              <w:right w:val="nil"/>
            </w:tcBorders>
            <w:shd w:val="clear" w:color="auto" w:fill="auto"/>
            <w:vAlign w:val="bottom"/>
          </w:tcPr>
          <w:p w14:paraId="3E8AE3C8" w14:textId="77777777" w:rsidR="00136F41" w:rsidRPr="001222AB" w:rsidRDefault="00136F41" w:rsidP="00136F41">
            <w:pPr>
              <w:pStyle w:val="CETBodytext"/>
            </w:pPr>
            <w:r w:rsidRPr="001222AB">
              <w:t>0.17</w:t>
            </w:r>
          </w:p>
        </w:tc>
        <w:tc>
          <w:tcPr>
            <w:tcW w:w="607" w:type="dxa"/>
          </w:tcPr>
          <w:p w14:paraId="71513DBB" w14:textId="77777777" w:rsidR="00136F41" w:rsidRPr="001222AB" w:rsidRDefault="00136F41" w:rsidP="00136F41">
            <w:pPr>
              <w:pStyle w:val="CETBodytext"/>
            </w:pPr>
            <w:r w:rsidRPr="001222AB">
              <w:t>1.00</w:t>
            </w:r>
          </w:p>
        </w:tc>
      </w:tr>
      <w:tr w:rsidR="00136F41" w:rsidRPr="001222AB" w14:paraId="06E169E9" w14:textId="77777777" w:rsidTr="001222AB">
        <w:tc>
          <w:tcPr>
            <w:tcW w:w="2519" w:type="dxa"/>
            <w:shd w:val="clear" w:color="000000" w:fill="FFFFFF"/>
            <w:vAlign w:val="bottom"/>
          </w:tcPr>
          <w:p w14:paraId="017C13D5" w14:textId="77777777" w:rsidR="00136F41" w:rsidRPr="001222AB" w:rsidRDefault="00136F41" w:rsidP="00136F41">
            <w:pPr>
              <w:pStyle w:val="CETBodytext"/>
            </w:pPr>
            <w:r w:rsidRPr="001222AB">
              <w:t>CO</w:t>
            </w:r>
            <w:r w:rsidRPr="00111ED8">
              <w:rPr>
                <w:vertAlign w:val="subscript"/>
              </w:rPr>
              <w:t>2</w:t>
            </w:r>
          </w:p>
        </w:tc>
        <w:tc>
          <w:tcPr>
            <w:tcW w:w="607" w:type="dxa"/>
          </w:tcPr>
          <w:p w14:paraId="1011931F" w14:textId="77777777" w:rsidR="00136F41" w:rsidRPr="001222AB" w:rsidRDefault="00136F41" w:rsidP="00136F41">
            <w:pPr>
              <w:pStyle w:val="CETBodytext"/>
            </w:pPr>
            <w:r w:rsidRPr="001222AB">
              <w:t>0.25</w:t>
            </w:r>
          </w:p>
        </w:tc>
        <w:tc>
          <w:tcPr>
            <w:tcW w:w="607" w:type="dxa"/>
            <w:tcBorders>
              <w:top w:val="nil"/>
              <w:left w:val="nil"/>
              <w:bottom w:val="nil"/>
              <w:right w:val="nil"/>
            </w:tcBorders>
            <w:shd w:val="clear" w:color="auto" w:fill="auto"/>
            <w:vAlign w:val="bottom"/>
          </w:tcPr>
          <w:p w14:paraId="0D45BD58" w14:textId="77777777" w:rsidR="00136F41" w:rsidRPr="001222AB" w:rsidRDefault="00136F41" w:rsidP="00136F41">
            <w:pPr>
              <w:pStyle w:val="CETBodytext"/>
            </w:pPr>
            <w:r w:rsidRPr="001222AB">
              <w:t>0.09</w:t>
            </w:r>
          </w:p>
        </w:tc>
        <w:tc>
          <w:tcPr>
            <w:tcW w:w="607" w:type="dxa"/>
            <w:tcBorders>
              <w:top w:val="nil"/>
              <w:left w:val="nil"/>
              <w:bottom w:val="nil"/>
              <w:right w:val="nil"/>
            </w:tcBorders>
            <w:shd w:val="clear" w:color="auto" w:fill="auto"/>
            <w:vAlign w:val="bottom"/>
          </w:tcPr>
          <w:p w14:paraId="477D96F9" w14:textId="77777777" w:rsidR="00136F41" w:rsidRPr="001222AB" w:rsidRDefault="00136F41" w:rsidP="00136F41">
            <w:pPr>
              <w:pStyle w:val="CETBodytext"/>
            </w:pPr>
            <w:r w:rsidRPr="001222AB">
              <w:t>0.07</w:t>
            </w:r>
          </w:p>
        </w:tc>
        <w:tc>
          <w:tcPr>
            <w:tcW w:w="607" w:type="dxa"/>
            <w:tcBorders>
              <w:top w:val="nil"/>
              <w:left w:val="nil"/>
              <w:bottom w:val="nil"/>
              <w:right w:val="nil"/>
            </w:tcBorders>
            <w:shd w:val="clear" w:color="auto" w:fill="auto"/>
            <w:vAlign w:val="bottom"/>
          </w:tcPr>
          <w:p w14:paraId="3815A0EB" w14:textId="77777777" w:rsidR="00136F41" w:rsidRPr="001222AB" w:rsidRDefault="00136F41" w:rsidP="00136F41">
            <w:pPr>
              <w:pStyle w:val="CETBodytext"/>
            </w:pPr>
            <w:r w:rsidRPr="001222AB">
              <w:t>0.20</w:t>
            </w:r>
          </w:p>
        </w:tc>
        <w:tc>
          <w:tcPr>
            <w:tcW w:w="607" w:type="dxa"/>
            <w:tcBorders>
              <w:top w:val="nil"/>
              <w:left w:val="nil"/>
              <w:bottom w:val="nil"/>
              <w:right w:val="nil"/>
            </w:tcBorders>
            <w:shd w:val="clear" w:color="auto" w:fill="auto"/>
            <w:vAlign w:val="bottom"/>
          </w:tcPr>
          <w:p w14:paraId="30CB1A0F" w14:textId="77777777" w:rsidR="00136F41" w:rsidRPr="001222AB" w:rsidRDefault="00136F41" w:rsidP="00136F41">
            <w:pPr>
              <w:pStyle w:val="CETBodytext"/>
            </w:pPr>
            <w:r w:rsidRPr="001222AB">
              <w:t>0.24</w:t>
            </w:r>
          </w:p>
        </w:tc>
        <w:tc>
          <w:tcPr>
            <w:tcW w:w="607" w:type="dxa"/>
            <w:tcBorders>
              <w:top w:val="nil"/>
              <w:left w:val="nil"/>
              <w:bottom w:val="nil"/>
              <w:right w:val="nil"/>
            </w:tcBorders>
            <w:shd w:val="clear" w:color="auto" w:fill="auto"/>
            <w:vAlign w:val="bottom"/>
          </w:tcPr>
          <w:p w14:paraId="7AB37E3F" w14:textId="77777777" w:rsidR="00136F41" w:rsidRPr="001222AB" w:rsidRDefault="00136F41" w:rsidP="00136F41">
            <w:pPr>
              <w:pStyle w:val="CETBodytext"/>
            </w:pPr>
            <w:r w:rsidRPr="001222AB">
              <w:t>0.33</w:t>
            </w:r>
          </w:p>
        </w:tc>
        <w:tc>
          <w:tcPr>
            <w:tcW w:w="607" w:type="dxa"/>
            <w:tcBorders>
              <w:top w:val="nil"/>
              <w:left w:val="nil"/>
              <w:bottom w:val="nil"/>
              <w:right w:val="nil"/>
            </w:tcBorders>
            <w:shd w:val="clear" w:color="auto" w:fill="auto"/>
            <w:vAlign w:val="bottom"/>
          </w:tcPr>
          <w:p w14:paraId="52FF3E0E" w14:textId="3BD4A3F3" w:rsidR="00136F41" w:rsidRPr="001222AB" w:rsidRDefault="00136F41" w:rsidP="00136F41">
            <w:pPr>
              <w:pStyle w:val="CETBodytext"/>
            </w:pPr>
            <w:r w:rsidRPr="001222AB">
              <w:t>0.00</w:t>
            </w:r>
          </w:p>
        </w:tc>
        <w:tc>
          <w:tcPr>
            <w:tcW w:w="607" w:type="dxa"/>
            <w:tcBorders>
              <w:top w:val="nil"/>
              <w:left w:val="nil"/>
              <w:bottom w:val="nil"/>
              <w:right w:val="nil"/>
            </w:tcBorders>
            <w:shd w:val="clear" w:color="auto" w:fill="auto"/>
            <w:vAlign w:val="bottom"/>
          </w:tcPr>
          <w:p w14:paraId="24FC9301" w14:textId="77777777" w:rsidR="00136F41" w:rsidRPr="001222AB" w:rsidRDefault="00136F41" w:rsidP="00136F41">
            <w:pPr>
              <w:pStyle w:val="CETBodytext"/>
            </w:pPr>
            <w:r w:rsidRPr="001222AB">
              <w:t>0.48</w:t>
            </w:r>
          </w:p>
        </w:tc>
        <w:tc>
          <w:tcPr>
            <w:tcW w:w="607" w:type="dxa"/>
          </w:tcPr>
          <w:p w14:paraId="08A040C5" w14:textId="14FE2A3B" w:rsidR="00136F41" w:rsidRPr="001222AB" w:rsidRDefault="00136F41" w:rsidP="00136F41">
            <w:pPr>
              <w:pStyle w:val="CETBodytext"/>
            </w:pPr>
            <w:r w:rsidRPr="001222AB">
              <w:t>0</w:t>
            </w:r>
            <w:r>
              <w:t>.</w:t>
            </w:r>
            <w:r w:rsidRPr="001222AB">
              <w:t>00</w:t>
            </w:r>
          </w:p>
        </w:tc>
      </w:tr>
      <w:tr w:rsidR="00136F41" w:rsidRPr="001222AB" w14:paraId="674DC8DA" w14:textId="77777777" w:rsidTr="001222AB">
        <w:tc>
          <w:tcPr>
            <w:tcW w:w="2519" w:type="dxa"/>
            <w:shd w:val="clear" w:color="000000" w:fill="FFFFFF"/>
            <w:vAlign w:val="bottom"/>
          </w:tcPr>
          <w:p w14:paraId="10A8C6CC" w14:textId="77777777" w:rsidR="00136F41" w:rsidRPr="001222AB" w:rsidRDefault="00136F41" w:rsidP="00136F41">
            <w:pPr>
              <w:pStyle w:val="CETBodytext"/>
            </w:pPr>
            <w:r w:rsidRPr="001222AB">
              <w:t>CH</w:t>
            </w:r>
            <w:r w:rsidRPr="00111ED8">
              <w:rPr>
                <w:vertAlign w:val="subscript"/>
              </w:rPr>
              <w:t>4</w:t>
            </w:r>
          </w:p>
        </w:tc>
        <w:tc>
          <w:tcPr>
            <w:tcW w:w="607" w:type="dxa"/>
          </w:tcPr>
          <w:p w14:paraId="35DF2799" w14:textId="77777777" w:rsidR="00136F41" w:rsidRPr="001222AB" w:rsidRDefault="00136F41" w:rsidP="00136F41">
            <w:pPr>
              <w:pStyle w:val="CETBodytext"/>
            </w:pPr>
            <w:r w:rsidRPr="001222AB">
              <w:t>0.25</w:t>
            </w:r>
          </w:p>
        </w:tc>
        <w:tc>
          <w:tcPr>
            <w:tcW w:w="607" w:type="dxa"/>
            <w:tcBorders>
              <w:top w:val="nil"/>
              <w:left w:val="nil"/>
              <w:bottom w:val="nil"/>
              <w:right w:val="nil"/>
            </w:tcBorders>
            <w:shd w:val="clear" w:color="auto" w:fill="auto"/>
            <w:vAlign w:val="bottom"/>
          </w:tcPr>
          <w:p w14:paraId="4CFEE7DB" w14:textId="77777777" w:rsidR="00136F41" w:rsidRPr="001222AB" w:rsidRDefault="00136F41" w:rsidP="00136F41">
            <w:pPr>
              <w:pStyle w:val="CETBodytext"/>
            </w:pPr>
            <w:r w:rsidRPr="001222AB">
              <w:t>0.01</w:t>
            </w:r>
          </w:p>
        </w:tc>
        <w:tc>
          <w:tcPr>
            <w:tcW w:w="607" w:type="dxa"/>
            <w:tcBorders>
              <w:top w:val="nil"/>
              <w:left w:val="nil"/>
              <w:bottom w:val="nil"/>
              <w:right w:val="nil"/>
            </w:tcBorders>
            <w:shd w:val="clear" w:color="auto" w:fill="auto"/>
            <w:vAlign w:val="bottom"/>
          </w:tcPr>
          <w:p w14:paraId="6A119D24" w14:textId="77777777" w:rsidR="00136F41" w:rsidRPr="001222AB" w:rsidRDefault="00136F41" w:rsidP="00136F41">
            <w:pPr>
              <w:pStyle w:val="CETBodytext"/>
            </w:pPr>
            <w:r w:rsidRPr="001222AB">
              <w:t>0.00</w:t>
            </w:r>
          </w:p>
        </w:tc>
        <w:tc>
          <w:tcPr>
            <w:tcW w:w="607" w:type="dxa"/>
            <w:tcBorders>
              <w:top w:val="nil"/>
              <w:left w:val="nil"/>
              <w:bottom w:val="nil"/>
              <w:right w:val="nil"/>
            </w:tcBorders>
            <w:shd w:val="clear" w:color="auto" w:fill="auto"/>
            <w:vAlign w:val="bottom"/>
          </w:tcPr>
          <w:p w14:paraId="40C64D16" w14:textId="77777777" w:rsidR="00136F41" w:rsidRPr="001222AB" w:rsidRDefault="00136F41" w:rsidP="00136F41">
            <w:pPr>
              <w:pStyle w:val="CETBodytext"/>
            </w:pPr>
            <w:r w:rsidRPr="001222AB">
              <w:t>0.00</w:t>
            </w:r>
          </w:p>
        </w:tc>
        <w:tc>
          <w:tcPr>
            <w:tcW w:w="607" w:type="dxa"/>
            <w:tcBorders>
              <w:top w:val="nil"/>
              <w:left w:val="nil"/>
              <w:bottom w:val="nil"/>
              <w:right w:val="nil"/>
            </w:tcBorders>
            <w:shd w:val="clear" w:color="auto" w:fill="auto"/>
            <w:vAlign w:val="bottom"/>
          </w:tcPr>
          <w:p w14:paraId="12882B1F" w14:textId="77777777" w:rsidR="00136F41" w:rsidRPr="001222AB" w:rsidRDefault="00136F41" w:rsidP="00136F41">
            <w:pPr>
              <w:pStyle w:val="CETBodytext"/>
            </w:pPr>
            <w:r w:rsidRPr="001222AB">
              <w:t>0.00</w:t>
            </w:r>
          </w:p>
        </w:tc>
        <w:tc>
          <w:tcPr>
            <w:tcW w:w="607" w:type="dxa"/>
            <w:tcBorders>
              <w:top w:val="nil"/>
              <w:left w:val="nil"/>
              <w:bottom w:val="nil"/>
              <w:right w:val="nil"/>
            </w:tcBorders>
            <w:shd w:val="clear" w:color="auto" w:fill="auto"/>
            <w:vAlign w:val="bottom"/>
          </w:tcPr>
          <w:p w14:paraId="0CEB0DD8" w14:textId="77777777" w:rsidR="00136F41" w:rsidRPr="001222AB" w:rsidRDefault="00136F41" w:rsidP="00136F41">
            <w:pPr>
              <w:pStyle w:val="CETBodytext"/>
            </w:pPr>
            <w:r w:rsidRPr="001222AB">
              <w:t>0.00</w:t>
            </w:r>
          </w:p>
        </w:tc>
        <w:tc>
          <w:tcPr>
            <w:tcW w:w="607" w:type="dxa"/>
            <w:tcBorders>
              <w:top w:val="nil"/>
              <w:left w:val="nil"/>
              <w:bottom w:val="nil"/>
              <w:right w:val="nil"/>
            </w:tcBorders>
            <w:shd w:val="clear" w:color="auto" w:fill="auto"/>
            <w:vAlign w:val="bottom"/>
          </w:tcPr>
          <w:p w14:paraId="307ED92F" w14:textId="67A283F5" w:rsidR="00136F41" w:rsidRPr="001222AB" w:rsidRDefault="00136F41" w:rsidP="00136F41">
            <w:pPr>
              <w:pStyle w:val="CETBodytext"/>
            </w:pPr>
            <w:r w:rsidRPr="001222AB">
              <w:t>0.00</w:t>
            </w:r>
          </w:p>
        </w:tc>
        <w:tc>
          <w:tcPr>
            <w:tcW w:w="607" w:type="dxa"/>
            <w:tcBorders>
              <w:top w:val="nil"/>
              <w:left w:val="nil"/>
              <w:bottom w:val="nil"/>
              <w:right w:val="nil"/>
            </w:tcBorders>
            <w:shd w:val="clear" w:color="auto" w:fill="auto"/>
            <w:vAlign w:val="bottom"/>
          </w:tcPr>
          <w:p w14:paraId="0D5E9F04" w14:textId="61890943" w:rsidR="00136F41" w:rsidRPr="001222AB" w:rsidRDefault="00136F41" w:rsidP="00136F41">
            <w:pPr>
              <w:pStyle w:val="CETBodytext"/>
            </w:pPr>
            <w:r w:rsidRPr="001222AB">
              <w:t>0</w:t>
            </w:r>
            <w:r>
              <w:t>.</w:t>
            </w:r>
            <w:r w:rsidRPr="001222AB">
              <w:t>00</w:t>
            </w:r>
          </w:p>
        </w:tc>
        <w:tc>
          <w:tcPr>
            <w:tcW w:w="607" w:type="dxa"/>
          </w:tcPr>
          <w:p w14:paraId="0207261D" w14:textId="1EDB6C9B" w:rsidR="00136F41" w:rsidRPr="001222AB" w:rsidRDefault="00136F41" w:rsidP="00136F41">
            <w:pPr>
              <w:pStyle w:val="CETBodytext"/>
            </w:pPr>
            <w:r w:rsidRPr="001222AB">
              <w:t>0</w:t>
            </w:r>
            <w:r>
              <w:t>.</w:t>
            </w:r>
            <w:r w:rsidRPr="001222AB">
              <w:t>00</w:t>
            </w:r>
          </w:p>
        </w:tc>
      </w:tr>
      <w:tr w:rsidR="00136F41" w:rsidRPr="001222AB" w14:paraId="23E1F0EE" w14:textId="77777777" w:rsidTr="001222AB">
        <w:tc>
          <w:tcPr>
            <w:tcW w:w="2519" w:type="dxa"/>
            <w:tcBorders>
              <w:top w:val="nil"/>
              <w:left w:val="nil"/>
              <w:bottom w:val="nil"/>
              <w:right w:val="nil"/>
            </w:tcBorders>
            <w:shd w:val="clear" w:color="000000" w:fill="FFFFFF"/>
            <w:vAlign w:val="bottom"/>
          </w:tcPr>
          <w:p w14:paraId="2E1F3462" w14:textId="77777777" w:rsidR="00136F41" w:rsidRPr="001222AB" w:rsidRDefault="00136F41" w:rsidP="00136F41">
            <w:pPr>
              <w:pStyle w:val="CETBodytext"/>
            </w:pPr>
            <w:r w:rsidRPr="001222AB">
              <w:t>H</w:t>
            </w:r>
            <w:r w:rsidRPr="00111ED8">
              <w:rPr>
                <w:vertAlign w:val="subscript"/>
              </w:rPr>
              <w:t>2</w:t>
            </w:r>
          </w:p>
        </w:tc>
        <w:tc>
          <w:tcPr>
            <w:tcW w:w="607" w:type="dxa"/>
          </w:tcPr>
          <w:p w14:paraId="7E294E44" w14:textId="77777777" w:rsidR="00136F41" w:rsidRPr="001222AB" w:rsidRDefault="00136F41" w:rsidP="00136F41">
            <w:pPr>
              <w:pStyle w:val="CETBodytext"/>
            </w:pPr>
            <w:r w:rsidRPr="001222AB">
              <w:t>0.00</w:t>
            </w:r>
          </w:p>
        </w:tc>
        <w:tc>
          <w:tcPr>
            <w:tcW w:w="607" w:type="dxa"/>
            <w:tcBorders>
              <w:top w:val="nil"/>
              <w:left w:val="nil"/>
              <w:bottom w:val="nil"/>
              <w:right w:val="nil"/>
            </w:tcBorders>
            <w:shd w:val="clear" w:color="auto" w:fill="auto"/>
            <w:vAlign w:val="bottom"/>
          </w:tcPr>
          <w:p w14:paraId="11AC8F86" w14:textId="77777777" w:rsidR="00136F41" w:rsidRPr="001222AB" w:rsidRDefault="00136F41" w:rsidP="00136F41">
            <w:pPr>
              <w:pStyle w:val="CETBodytext"/>
            </w:pPr>
            <w:r w:rsidRPr="001222AB">
              <w:t>0.42</w:t>
            </w:r>
          </w:p>
        </w:tc>
        <w:tc>
          <w:tcPr>
            <w:tcW w:w="607" w:type="dxa"/>
            <w:tcBorders>
              <w:top w:val="nil"/>
              <w:left w:val="nil"/>
              <w:bottom w:val="nil"/>
              <w:right w:val="nil"/>
            </w:tcBorders>
            <w:shd w:val="clear" w:color="auto" w:fill="auto"/>
            <w:vAlign w:val="bottom"/>
          </w:tcPr>
          <w:p w14:paraId="240AD53C" w14:textId="77777777" w:rsidR="00136F41" w:rsidRPr="001222AB" w:rsidRDefault="00136F41" w:rsidP="00136F41">
            <w:pPr>
              <w:pStyle w:val="CETBodytext"/>
            </w:pPr>
            <w:r w:rsidRPr="001222AB">
              <w:t>0.30</w:t>
            </w:r>
          </w:p>
        </w:tc>
        <w:tc>
          <w:tcPr>
            <w:tcW w:w="607" w:type="dxa"/>
            <w:tcBorders>
              <w:top w:val="nil"/>
              <w:left w:val="nil"/>
              <w:bottom w:val="nil"/>
              <w:right w:val="nil"/>
            </w:tcBorders>
            <w:shd w:val="clear" w:color="auto" w:fill="auto"/>
            <w:vAlign w:val="bottom"/>
          </w:tcPr>
          <w:p w14:paraId="4EA31232" w14:textId="77777777" w:rsidR="00136F41" w:rsidRPr="001222AB" w:rsidRDefault="00136F41" w:rsidP="00136F41">
            <w:pPr>
              <w:pStyle w:val="CETBodytext"/>
            </w:pPr>
            <w:r w:rsidRPr="001222AB">
              <w:t>0.43</w:t>
            </w:r>
          </w:p>
        </w:tc>
        <w:tc>
          <w:tcPr>
            <w:tcW w:w="607" w:type="dxa"/>
            <w:tcBorders>
              <w:top w:val="nil"/>
              <w:left w:val="nil"/>
              <w:bottom w:val="nil"/>
              <w:right w:val="nil"/>
            </w:tcBorders>
            <w:shd w:val="clear" w:color="auto" w:fill="auto"/>
            <w:vAlign w:val="bottom"/>
          </w:tcPr>
          <w:p w14:paraId="60FDF93B" w14:textId="77777777" w:rsidR="00136F41" w:rsidRPr="001222AB" w:rsidRDefault="00136F41" w:rsidP="00136F41">
            <w:pPr>
              <w:pStyle w:val="CETBodytext"/>
            </w:pPr>
            <w:r w:rsidRPr="001222AB">
              <w:t>0.47</w:t>
            </w:r>
          </w:p>
        </w:tc>
        <w:tc>
          <w:tcPr>
            <w:tcW w:w="607" w:type="dxa"/>
            <w:tcBorders>
              <w:top w:val="nil"/>
              <w:left w:val="nil"/>
              <w:bottom w:val="nil"/>
              <w:right w:val="nil"/>
            </w:tcBorders>
            <w:shd w:val="clear" w:color="auto" w:fill="auto"/>
            <w:vAlign w:val="bottom"/>
          </w:tcPr>
          <w:p w14:paraId="0A4F29F3" w14:textId="77777777" w:rsidR="00136F41" w:rsidRPr="001222AB" w:rsidRDefault="00136F41" w:rsidP="00136F41">
            <w:pPr>
              <w:pStyle w:val="CETBodytext"/>
            </w:pPr>
            <w:r w:rsidRPr="001222AB">
              <w:t>0.65</w:t>
            </w:r>
          </w:p>
        </w:tc>
        <w:tc>
          <w:tcPr>
            <w:tcW w:w="607" w:type="dxa"/>
            <w:tcBorders>
              <w:top w:val="nil"/>
              <w:left w:val="nil"/>
              <w:bottom w:val="nil"/>
              <w:right w:val="nil"/>
            </w:tcBorders>
            <w:shd w:val="clear" w:color="auto" w:fill="auto"/>
            <w:vAlign w:val="bottom"/>
          </w:tcPr>
          <w:p w14:paraId="1A08F6C4" w14:textId="60AD304F" w:rsidR="00136F41" w:rsidRPr="001222AB" w:rsidRDefault="00136F41" w:rsidP="00136F41">
            <w:pPr>
              <w:pStyle w:val="CETBodytext"/>
            </w:pPr>
            <w:r w:rsidRPr="001222AB">
              <w:t>1.00</w:t>
            </w:r>
          </w:p>
        </w:tc>
        <w:tc>
          <w:tcPr>
            <w:tcW w:w="607" w:type="dxa"/>
            <w:tcBorders>
              <w:top w:val="nil"/>
              <w:left w:val="nil"/>
              <w:bottom w:val="nil"/>
              <w:right w:val="nil"/>
            </w:tcBorders>
            <w:shd w:val="clear" w:color="auto" w:fill="auto"/>
            <w:vAlign w:val="bottom"/>
          </w:tcPr>
          <w:p w14:paraId="64EF8C7A" w14:textId="51A1828D" w:rsidR="00136F41" w:rsidRPr="001222AB" w:rsidRDefault="00136F41" w:rsidP="00136F41">
            <w:pPr>
              <w:pStyle w:val="CETBodytext"/>
            </w:pPr>
            <w:r w:rsidRPr="001222AB">
              <w:t>0</w:t>
            </w:r>
            <w:r>
              <w:t>.</w:t>
            </w:r>
            <w:r w:rsidRPr="001222AB">
              <w:t>00</w:t>
            </w:r>
          </w:p>
        </w:tc>
        <w:tc>
          <w:tcPr>
            <w:tcW w:w="607" w:type="dxa"/>
          </w:tcPr>
          <w:p w14:paraId="54ED04E7" w14:textId="1D5228B0" w:rsidR="00136F41" w:rsidRPr="001222AB" w:rsidRDefault="00136F41" w:rsidP="00136F41">
            <w:pPr>
              <w:pStyle w:val="CETBodytext"/>
            </w:pPr>
            <w:r w:rsidRPr="001222AB">
              <w:t>0</w:t>
            </w:r>
            <w:r>
              <w:t>.</w:t>
            </w:r>
            <w:r w:rsidRPr="001222AB">
              <w:t>00</w:t>
            </w:r>
          </w:p>
        </w:tc>
      </w:tr>
      <w:tr w:rsidR="00136F41" w:rsidRPr="001222AB" w14:paraId="0A058589" w14:textId="77777777" w:rsidTr="001222AB">
        <w:tc>
          <w:tcPr>
            <w:tcW w:w="2519" w:type="dxa"/>
            <w:tcBorders>
              <w:top w:val="nil"/>
              <w:left w:val="nil"/>
              <w:bottom w:val="nil"/>
              <w:right w:val="nil"/>
            </w:tcBorders>
            <w:shd w:val="clear" w:color="000000" w:fill="FFFFFF"/>
            <w:vAlign w:val="bottom"/>
          </w:tcPr>
          <w:p w14:paraId="2DE49A3A" w14:textId="77777777" w:rsidR="00136F41" w:rsidRPr="001222AB" w:rsidRDefault="00136F41" w:rsidP="00136F41">
            <w:pPr>
              <w:pStyle w:val="CETBodytext"/>
            </w:pPr>
            <w:r w:rsidRPr="001222AB">
              <w:t>CO</w:t>
            </w:r>
          </w:p>
        </w:tc>
        <w:tc>
          <w:tcPr>
            <w:tcW w:w="607" w:type="dxa"/>
          </w:tcPr>
          <w:p w14:paraId="35FD6CA7" w14:textId="77777777" w:rsidR="00136F41" w:rsidRPr="001222AB" w:rsidRDefault="00136F41" w:rsidP="00136F41">
            <w:pPr>
              <w:pStyle w:val="CETBodytext"/>
            </w:pPr>
            <w:r w:rsidRPr="001222AB">
              <w:t>0.00</w:t>
            </w:r>
          </w:p>
        </w:tc>
        <w:tc>
          <w:tcPr>
            <w:tcW w:w="607" w:type="dxa"/>
            <w:tcBorders>
              <w:top w:val="nil"/>
              <w:left w:val="nil"/>
              <w:bottom w:val="nil"/>
              <w:right w:val="nil"/>
            </w:tcBorders>
            <w:shd w:val="clear" w:color="auto" w:fill="auto"/>
            <w:vAlign w:val="bottom"/>
          </w:tcPr>
          <w:p w14:paraId="563E0461" w14:textId="77777777" w:rsidR="00136F41" w:rsidRPr="001222AB" w:rsidRDefault="00136F41" w:rsidP="00136F41">
            <w:pPr>
              <w:pStyle w:val="CETBodytext"/>
            </w:pPr>
            <w:r w:rsidRPr="001222AB">
              <w:t>0.24</w:t>
            </w:r>
          </w:p>
        </w:tc>
        <w:tc>
          <w:tcPr>
            <w:tcW w:w="607" w:type="dxa"/>
            <w:tcBorders>
              <w:top w:val="nil"/>
              <w:left w:val="nil"/>
              <w:bottom w:val="nil"/>
              <w:right w:val="nil"/>
            </w:tcBorders>
            <w:shd w:val="clear" w:color="auto" w:fill="auto"/>
            <w:vAlign w:val="bottom"/>
          </w:tcPr>
          <w:p w14:paraId="243AE28B" w14:textId="77777777" w:rsidR="00136F41" w:rsidRPr="001222AB" w:rsidRDefault="00136F41" w:rsidP="00136F41">
            <w:pPr>
              <w:pStyle w:val="CETBodytext"/>
            </w:pPr>
            <w:r w:rsidRPr="001222AB">
              <w:t>0.17</w:t>
            </w:r>
          </w:p>
        </w:tc>
        <w:tc>
          <w:tcPr>
            <w:tcW w:w="607" w:type="dxa"/>
            <w:tcBorders>
              <w:top w:val="nil"/>
              <w:left w:val="nil"/>
              <w:bottom w:val="nil"/>
              <w:right w:val="nil"/>
            </w:tcBorders>
            <w:shd w:val="clear" w:color="auto" w:fill="auto"/>
            <w:vAlign w:val="bottom"/>
          </w:tcPr>
          <w:p w14:paraId="0211B828" w14:textId="77777777" w:rsidR="00136F41" w:rsidRPr="001222AB" w:rsidRDefault="00136F41" w:rsidP="00136F41">
            <w:pPr>
              <w:pStyle w:val="CETBodytext"/>
            </w:pPr>
            <w:r w:rsidRPr="001222AB">
              <w:t>0.04</w:t>
            </w:r>
          </w:p>
        </w:tc>
        <w:tc>
          <w:tcPr>
            <w:tcW w:w="607" w:type="dxa"/>
            <w:tcBorders>
              <w:top w:val="nil"/>
              <w:left w:val="nil"/>
              <w:bottom w:val="nil"/>
              <w:right w:val="nil"/>
            </w:tcBorders>
            <w:shd w:val="clear" w:color="auto" w:fill="auto"/>
            <w:vAlign w:val="bottom"/>
          </w:tcPr>
          <w:p w14:paraId="7CD278D8" w14:textId="77777777" w:rsidR="00136F41" w:rsidRPr="001222AB" w:rsidRDefault="00136F41" w:rsidP="00136F41">
            <w:pPr>
              <w:pStyle w:val="CETBodytext"/>
            </w:pPr>
            <w:r w:rsidRPr="001222AB">
              <w:t>0.00</w:t>
            </w:r>
          </w:p>
        </w:tc>
        <w:tc>
          <w:tcPr>
            <w:tcW w:w="607" w:type="dxa"/>
            <w:tcBorders>
              <w:top w:val="nil"/>
              <w:left w:val="nil"/>
              <w:bottom w:val="nil"/>
              <w:right w:val="nil"/>
            </w:tcBorders>
            <w:shd w:val="clear" w:color="auto" w:fill="auto"/>
            <w:vAlign w:val="bottom"/>
          </w:tcPr>
          <w:p w14:paraId="3172FE05" w14:textId="77777777" w:rsidR="00136F41" w:rsidRPr="001222AB" w:rsidRDefault="00136F41" w:rsidP="00136F41">
            <w:pPr>
              <w:pStyle w:val="CETBodytext"/>
            </w:pPr>
            <w:r w:rsidRPr="001222AB">
              <w:t>0.01</w:t>
            </w:r>
          </w:p>
        </w:tc>
        <w:tc>
          <w:tcPr>
            <w:tcW w:w="607" w:type="dxa"/>
            <w:tcBorders>
              <w:top w:val="nil"/>
              <w:left w:val="nil"/>
              <w:bottom w:val="nil"/>
              <w:right w:val="nil"/>
            </w:tcBorders>
            <w:shd w:val="clear" w:color="auto" w:fill="auto"/>
            <w:vAlign w:val="bottom"/>
          </w:tcPr>
          <w:p w14:paraId="2387C07D" w14:textId="6F232C86" w:rsidR="00136F41" w:rsidRPr="001222AB" w:rsidRDefault="00136F41" w:rsidP="00136F41">
            <w:pPr>
              <w:pStyle w:val="CETBodytext"/>
            </w:pPr>
            <w:r w:rsidRPr="001222AB">
              <w:t>0.00</w:t>
            </w:r>
          </w:p>
        </w:tc>
        <w:tc>
          <w:tcPr>
            <w:tcW w:w="607" w:type="dxa"/>
            <w:tcBorders>
              <w:top w:val="nil"/>
              <w:left w:val="nil"/>
              <w:bottom w:val="nil"/>
              <w:right w:val="nil"/>
            </w:tcBorders>
            <w:shd w:val="clear" w:color="auto" w:fill="auto"/>
            <w:vAlign w:val="bottom"/>
          </w:tcPr>
          <w:p w14:paraId="29F03781" w14:textId="5689206E" w:rsidR="00136F41" w:rsidRPr="001222AB" w:rsidRDefault="00136F41" w:rsidP="00136F41">
            <w:pPr>
              <w:pStyle w:val="CETBodytext"/>
            </w:pPr>
            <w:r w:rsidRPr="001222AB">
              <w:t>0</w:t>
            </w:r>
            <w:r>
              <w:t>.</w:t>
            </w:r>
            <w:r w:rsidRPr="001222AB">
              <w:t>00</w:t>
            </w:r>
          </w:p>
        </w:tc>
        <w:tc>
          <w:tcPr>
            <w:tcW w:w="607" w:type="dxa"/>
          </w:tcPr>
          <w:p w14:paraId="7F8E1D43" w14:textId="4DA51B17" w:rsidR="00136F41" w:rsidRPr="001222AB" w:rsidRDefault="00136F41" w:rsidP="00136F41">
            <w:pPr>
              <w:pStyle w:val="CETBodytext"/>
            </w:pPr>
            <w:r w:rsidRPr="001222AB">
              <w:t>0</w:t>
            </w:r>
            <w:r>
              <w:t>.</w:t>
            </w:r>
            <w:r w:rsidRPr="001222AB">
              <w:t>00</w:t>
            </w:r>
          </w:p>
        </w:tc>
      </w:tr>
      <w:tr w:rsidR="00136F41" w:rsidRPr="001222AB" w14:paraId="74D7BB62" w14:textId="77777777" w:rsidTr="0021758D">
        <w:tc>
          <w:tcPr>
            <w:tcW w:w="2519" w:type="dxa"/>
            <w:tcBorders>
              <w:top w:val="nil"/>
              <w:left w:val="nil"/>
              <w:bottom w:val="nil"/>
              <w:right w:val="nil"/>
            </w:tcBorders>
            <w:shd w:val="clear" w:color="000000" w:fill="FFFFFF"/>
            <w:vAlign w:val="bottom"/>
          </w:tcPr>
          <w:p w14:paraId="10E0855B" w14:textId="77777777" w:rsidR="00136F41" w:rsidRPr="001222AB" w:rsidRDefault="00136F41" w:rsidP="00136F41">
            <w:pPr>
              <w:pStyle w:val="CETBodytext"/>
            </w:pPr>
            <w:r w:rsidRPr="001222AB">
              <w:t>N</w:t>
            </w:r>
            <w:r w:rsidRPr="00111ED8">
              <w:rPr>
                <w:vertAlign w:val="subscript"/>
              </w:rPr>
              <w:t>2</w:t>
            </w:r>
          </w:p>
        </w:tc>
        <w:tc>
          <w:tcPr>
            <w:tcW w:w="607" w:type="dxa"/>
            <w:tcBorders>
              <w:bottom w:val="nil"/>
            </w:tcBorders>
          </w:tcPr>
          <w:p w14:paraId="1068AA76" w14:textId="77777777" w:rsidR="00136F41" w:rsidRPr="001222AB" w:rsidRDefault="00136F41" w:rsidP="00136F41">
            <w:pPr>
              <w:pStyle w:val="CETBodytext"/>
            </w:pPr>
            <w:r w:rsidRPr="001222AB">
              <w:t>0.00</w:t>
            </w:r>
          </w:p>
        </w:tc>
        <w:tc>
          <w:tcPr>
            <w:tcW w:w="607" w:type="dxa"/>
            <w:tcBorders>
              <w:top w:val="nil"/>
              <w:left w:val="nil"/>
              <w:bottom w:val="nil"/>
              <w:right w:val="nil"/>
            </w:tcBorders>
            <w:shd w:val="clear" w:color="auto" w:fill="auto"/>
            <w:vAlign w:val="bottom"/>
          </w:tcPr>
          <w:p w14:paraId="1A601F66" w14:textId="77777777" w:rsidR="00136F41" w:rsidRPr="001222AB" w:rsidRDefault="00136F41" w:rsidP="00136F41">
            <w:pPr>
              <w:pStyle w:val="CETBodytext"/>
            </w:pPr>
            <w:r w:rsidRPr="001222AB">
              <w:t>0.00</w:t>
            </w:r>
          </w:p>
        </w:tc>
        <w:tc>
          <w:tcPr>
            <w:tcW w:w="607" w:type="dxa"/>
            <w:tcBorders>
              <w:bottom w:val="nil"/>
            </w:tcBorders>
          </w:tcPr>
          <w:p w14:paraId="74A15E2C" w14:textId="77777777" w:rsidR="00136F41" w:rsidRPr="001222AB" w:rsidRDefault="00136F41" w:rsidP="00136F41">
            <w:pPr>
              <w:pStyle w:val="CETBodytext"/>
            </w:pPr>
            <w:r w:rsidRPr="001222AB">
              <w:t>0.00</w:t>
            </w:r>
          </w:p>
        </w:tc>
        <w:tc>
          <w:tcPr>
            <w:tcW w:w="607" w:type="dxa"/>
            <w:tcBorders>
              <w:bottom w:val="nil"/>
            </w:tcBorders>
          </w:tcPr>
          <w:p w14:paraId="6DA6C12E" w14:textId="77777777" w:rsidR="00136F41" w:rsidRPr="001222AB" w:rsidRDefault="00136F41" w:rsidP="00136F41">
            <w:pPr>
              <w:pStyle w:val="CETBodytext"/>
            </w:pPr>
            <w:r w:rsidRPr="001222AB">
              <w:t>0.00</w:t>
            </w:r>
          </w:p>
        </w:tc>
        <w:tc>
          <w:tcPr>
            <w:tcW w:w="607" w:type="dxa"/>
            <w:tcBorders>
              <w:bottom w:val="nil"/>
            </w:tcBorders>
          </w:tcPr>
          <w:p w14:paraId="314E0403" w14:textId="77777777" w:rsidR="00136F41" w:rsidRPr="001222AB" w:rsidRDefault="00136F41" w:rsidP="00136F41">
            <w:pPr>
              <w:pStyle w:val="CETBodytext"/>
            </w:pPr>
            <w:r w:rsidRPr="001222AB">
              <w:t>0.00</w:t>
            </w:r>
          </w:p>
        </w:tc>
        <w:tc>
          <w:tcPr>
            <w:tcW w:w="607" w:type="dxa"/>
            <w:tcBorders>
              <w:bottom w:val="nil"/>
            </w:tcBorders>
          </w:tcPr>
          <w:p w14:paraId="18FCBC23" w14:textId="77777777" w:rsidR="00136F41" w:rsidRPr="001222AB" w:rsidRDefault="00136F41" w:rsidP="00136F41">
            <w:pPr>
              <w:pStyle w:val="CETBodytext"/>
            </w:pPr>
            <w:r w:rsidRPr="001222AB">
              <w:t>0.00</w:t>
            </w:r>
          </w:p>
        </w:tc>
        <w:tc>
          <w:tcPr>
            <w:tcW w:w="607" w:type="dxa"/>
            <w:tcBorders>
              <w:bottom w:val="nil"/>
            </w:tcBorders>
          </w:tcPr>
          <w:p w14:paraId="32CA4469" w14:textId="77777777" w:rsidR="00136F41" w:rsidRPr="001222AB" w:rsidRDefault="00136F41" w:rsidP="00136F41">
            <w:pPr>
              <w:pStyle w:val="CETBodytext"/>
            </w:pPr>
            <w:r w:rsidRPr="001222AB">
              <w:t>0.00</w:t>
            </w:r>
          </w:p>
        </w:tc>
        <w:tc>
          <w:tcPr>
            <w:tcW w:w="607" w:type="dxa"/>
            <w:tcBorders>
              <w:top w:val="nil"/>
              <w:left w:val="nil"/>
              <w:bottom w:val="nil"/>
              <w:right w:val="nil"/>
            </w:tcBorders>
            <w:shd w:val="clear" w:color="auto" w:fill="auto"/>
            <w:vAlign w:val="bottom"/>
          </w:tcPr>
          <w:p w14:paraId="14AF44BE" w14:textId="5DC70AA0" w:rsidR="00136F41" w:rsidRPr="001222AB" w:rsidRDefault="00136F41" w:rsidP="00136F41">
            <w:pPr>
              <w:pStyle w:val="CETBodytext"/>
            </w:pPr>
            <w:r w:rsidRPr="001222AB">
              <w:t>0</w:t>
            </w:r>
            <w:r>
              <w:t>.</w:t>
            </w:r>
            <w:r w:rsidRPr="001222AB">
              <w:t>34</w:t>
            </w:r>
          </w:p>
        </w:tc>
        <w:tc>
          <w:tcPr>
            <w:tcW w:w="607" w:type="dxa"/>
            <w:tcBorders>
              <w:bottom w:val="nil"/>
            </w:tcBorders>
          </w:tcPr>
          <w:p w14:paraId="22ECE346" w14:textId="5A0D3387" w:rsidR="00136F41" w:rsidRPr="001222AB" w:rsidRDefault="00136F41" w:rsidP="00136F41">
            <w:pPr>
              <w:pStyle w:val="CETBodytext"/>
            </w:pPr>
            <w:r w:rsidRPr="001222AB">
              <w:t>0</w:t>
            </w:r>
            <w:r>
              <w:t>.</w:t>
            </w:r>
            <w:r w:rsidRPr="001222AB">
              <w:t>00</w:t>
            </w:r>
          </w:p>
        </w:tc>
      </w:tr>
      <w:tr w:rsidR="00136F41" w:rsidRPr="001222AB" w14:paraId="3B9A26E5" w14:textId="77777777" w:rsidTr="0021758D">
        <w:tc>
          <w:tcPr>
            <w:tcW w:w="2519" w:type="dxa"/>
            <w:tcBorders>
              <w:top w:val="nil"/>
              <w:left w:val="nil"/>
              <w:bottom w:val="single" w:sz="12" w:space="0" w:color="008000"/>
              <w:right w:val="nil"/>
            </w:tcBorders>
            <w:shd w:val="clear" w:color="000000" w:fill="FFFFFF"/>
            <w:vAlign w:val="bottom"/>
          </w:tcPr>
          <w:p w14:paraId="133C9F55" w14:textId="77777777" w:rsidR="00136F41" w:rsidRPr="001222AB" w:rsidRDefault="00136F41" w:rsidP="00136F41">
            <w:pPr>
              <w:pStyle w:val="CETBodytext"/>
            </w:pPr>
            <w:r w:rsidRPr="001222AB">
              <w:t>O</w:t>
            </w:r>
            <w:r w:rsidRPr="00111ED8">
              <w:rPr>
                <w:vertAlign w:val="subscript"/>
              </w:rPr>
              <w:t>2</w:t>
            </w:r>
          </w:p>
        </w:tc>
        <w:tc>
          <w:tcPr>
            <w:tcW w:w="607" w:type="dxa"/>
            <w:tcBorders>
              <w:top w:val="nil"/>
              <w:bottom w:val="single" w:sz="12" w:space="0" w:color="008000"/>
            </w:tcBorders>
          </w:tcPr>
          <w:p w14:paraId="17B935C1" w14:textId="77777777" w:rsidR="00136F41" w:rsidRPr="001222AB" w:rsidRDefault="00136F41" w:rsidP="00136F41">
            <w:pPr>
              <w:pStyle w:val="CETBodytext"/>
            </w:pPr>
            <w:r w:rsidRPr="001222AB">
              <w:t>0.00</w:t>
            </w:r>
          </w:p>
        </w:tc>
        <w:tc>
          <w:tcPr>
            <w:tcW w:w="607" w:type="dxa"/>
            <w:tcBorders>
              <w:top w:val="nil"/>
              <w:left w:val="nil"/>
              <w:bottom w:val="single" w:sz="12" w:space="0" w:color="008000"/>
              <w:right w:val="nil"/>
            </w:tcBorders>
            <w:shd w:val="clear" w:color="auto" w:fill="auto"/>
            <w:vAlign w:val="bottom"/>
          </w:tcPr>
          <w:p w14:paraId="374FF798" w14:textId="77777777" w:rsidR="00136F41" w:rsidRPr="001222AB" w:rsidRDefault="00136F41" w:rsidP="00136F41">
            <w:pPr>
              <w:pStyle w:val="CETBodytext"/>
            </w:pPr>
            <w:r w:rsidRPr="001222AB">
              <w:t>0.00</w:t>
            </w:r>
          </w:p>
        </w:tc>
        <w:tc>
          <w:tcPr>
            <w:tcW w:w="607" w:type="dxa"/>
            <w:tcBorders>
              <w:top w:val="nil"/>
              <w:bottom w:val="single" w:sz="12" w:space="0" w:color="008000"/>
            </w:tcBorders>
          </w:tcPr>
          <w:p w14:paraId="11DA4AD4" w14:textId="77777777" w:rsidR="00136F41" w:rsidRPr="001222AB" w:rsidRDefault="00136F41" w:rsidP="00136F41">
            <w:pPr>
              <w:pStyle w:val="CETBodytext"/>
            </w:pPr>
            <w:r w:rsidRPr="001222AB">
              <w:t>0.00</w:t>
            </w:r>
          </w:p>
        </w:tc>
        <w:tc>
          <w:tcPr>
            <w:tcW w:w="607" w:type="dxa"/>
            <w:tcBorders>
              <w:top w:val="nil"/>
              <w:bottom w:val="single" w:sz="12" w:space="0" w:color="008000"/>
            </w:tcBorders>
          </w:tcPr>
          <w:p w14:paraId="7E755ADD" w14:textId="77777777" w:rsidR="00136F41" w:rsidRPr="001222AB" w:rsidRDefault="00136F41" w:rsidP="00136F41">
            <w:pPr>
              <w:pStyle w:val="CETBodytext"/>
            </w:pPr>
            <w:r w:rsidRPr="001222AB">
              <w:t>0.00</w:t>
            </w:r>
          </w:p>
        </w:tc>
        <w:tc>
          <w:tcPr>
            <w:tcW w:w="607" w:type="dxa"/>
            <w:tcBorders>
              <w:top w:val="nil"/>
              <w:bottom w:val="single" w:sz="12" w:space="0" w:color="008000"/>
            </w:tcBorders>
          </w:tcPr>
          <w:p w14:paraId="772BC4CC" w14:textId="77777777" w:rsidR="00136F41" w:rsidRPr="001222AB" w:rsidRDefault="00136F41" w:rsidP="00136F41">
            <w:pPr>
              <w:pStyle w:val="CETBodytext"/>
            </w:pPr>
            <w:r w:rsidRPr="001222AB">
              <w:t>0.00</w:t>
            </w:r>
          </w:p>
        </w:tc>
        <w:tc>
          <w:tcPr>
            <w:tcW w:w="607" w:type="dxa"/>
            <w:tcBorders>
              <w:top w:val="nil"/>
              <w:bottom w:val="single" w:sz="12" w:space="0" w:color="008000"/>
            </w:tcBorders>
          </w:tcPr>
          <w:p w14:paraId="6529B154" w14:textId="77777777" w:rsidR="00136F41" w:rsidRPr="001222AB" w:rsidRDefault="00136F41" w:rsidP="00136F41">
            <w:pPr>
              <w:pStyle w:val="CETBodytext"/>
            </w:pPr>
            <w:r w:rsidRPr="001222AB">
              <w:t>0.00</w:t>
            </w:r>
          </w:p>
        </w:tc>
        <w:tc>
          <w:tcPr>
            <w:tcW w:w="607" w:type="dxa"/>
            <w:tcBorders>
              <w:top w:val="nil"/>
              <w:bottom w:val="single" w:sz="12" w:space="0" w:color="008000"/>
            </w:tcBorders>
          </w:tcPr>
          <w:p w14:paraId="0B84E106" w14:textId="77777777" w:rsidR="00136F41" w:rsidRPr="001222AB" w:rsidRDefault="00136F41" w:rsidP="00136F41">
            <w:pPr>
              <w:pStyle w:val="CETBodytext"/>
            </w:pPr>
            <w:r w:rsidRPr="001222AB">
              <w:t>0.00</w:t>
            </w:r>
          </w:p>
        </w:tc>
        <w:tc>
          <w:tcPr>
            <w:tcW w:w="607" w:type="dxa"/>
            <w:tcBorders>
              <w:top w:val="nil"/>
              <w:left w:val="nil"/>
              <w:bottom w:val="single" w:sz="12" w:space="0" w:color="008000"/>
              <w:right w:val="nil"/>
            </w:tcBorders>
            <w:shd w:val="clear" w:color="auto" w:fill="auto"/>
            <w:vAlign w:val="bottom"/>
          </w:tcPr>
          <w:p w14:paraId="03B9602D" w14:textId="7BC37169" w:rsidR="00136F41" w:rsidRPr="001222AB" w:rsidRDefault="00136F41" w:rsidP="00136F41">
            <w:pPr>
              <w:pStyle w:val="CETBodytext"/>
            </w:pPr>
            <w:r w:rsidRPr="001222AB">
              <w:t>0</w:t>
            </w:r>
            <w:r>
              <w:t>.</w:t>
            </w:r>
            <w:r w:rsidRPr="001222AB">
              <w:t>01</w:t>
            </w:r>
          </w:p>
        </w:tc>
        <w:tc>
          <w:tcPr>
            <w:tcW w:w="607" w:type="dxa"/>
            <w:tcBorders>
              <w:top w:val="nil"/>
              <w:bottom w:val="single" w:sz="12" w:space="0" w:color="008000"/>
            </w:tcBorders>
          </w:tcPr>
          <w:p w14:paraId="79AB4C47" w14:textId="6031B322" w:rsidR="00136F41" w:rsidRPr="001222AB" w:rsidRDefault="00136F41" w:rsidP="00136F41">
            <w:pPr>
              <w:pStyle w:val="CETBodytext"/>
            </w:pPr>
            <w:r w:rsidRPr="001222AB">
              <w:t>0</w:t>
            </w:r>
            <w:r>
              <w:t>.</w:t>
            </w:r>
            <w:r w:rsidRPr="001222AB">
              <w:t>00</w:t>
            </w:r>
          </w:p>
        </w:tc>
      </w:tr>
    </w:tbl>
    <w:p w14:paraId="1677C4DF" w14:textId="77777777" w:rsidR="00C20D28" w:rsidRPr="00760F19" w:rsidRDefault="00C20D28" w:rsidP="00DA6B66">
      <w:pPr>
        <w:rPr>
          <w:lang w:val="en-US" w:eastAsia="it-IT"/>
        </w:rPr>
      </w:pPr>
    </w:p>
    <w:p w14:paraId="7BFF8997" w14:textId="1ECA2882" w:rsidR="003546CE" w:rsidRPr="00760F19" w:rsidRDefault="00C51668" w:rsidP="00C11684">
      <w:pPr>
        <w:pStyle w:val="CETBodytext"/>
      </w:pPr>
      <w:r w:rsidRPr="00760F19">
        <w:t xml:space="preserve">The process uses </w:t>
      </w:r>
      <w:r w:rsidR="00B21C4D" w:rsidRPr="00760F19">
        <w:t>30</w:t>
      </w:r>
      <w:r w:rsidRPr="00760F19">
        <w:t>.</w:t>
      </w:r>
      <w:r w:rsidR="00B21C4D" w:rsidRPr="00760F19">
        <w:t>9</w:t>
      </w:r>
      <w:r w:rsidRPr="00760F19">
        <w:t xml:space="preserve"> </w:t>
      </w:r>
      <w:r w:rsidRPr="00760F19">
        <w:rPr>
          <w:lang w:eastAsia="it-IT"/>
        </w:rPr>
        <w:t>Nm</w:t>
      </w:r>
      <w:r w:rsidRPr="00760F19">
        <w:rPr>
          <w:vertAlign w:val="superscript"/>
          <w:lang w:eastAsia="it-IT"/>
        </w:rPr>
        <w:t>3</w:t>
      </w:r>
      <w:r w:rsidR="00862D69" w:rsidRPr="00760F19">
        <w:rPr>
          <w:lang w:eastAsia="it-IT"/>
        </w:rPr>
        <w:t xml:space="preserve"> h</w:t>
      </w:r>
      <w:r w:rsidR="00862D69" w:rsidRPr="00760F19">
        <w:rPr>
          <w:vertAlign w:val="superscript"/>
          <w:lang w:eastAsia="it-IT"/>
        </w:rPr>
        <w:t>-1</w:t>
      </w:r>
      <w:r w:rsidRPr="00760F19">
        <w:rPr>
          <w:lang w:eastAsia="it-IT"/>
        </w:rPr>
        <w:t xml:space="preserve"> (</w:t>
      </w:r>
      <w:r w:rsidR="00B21C4D" w:rsidRPr="00760F19">
        <w:rPr>
          <w:lang w:eastAsia="it-IT"/>
        </w:rPr>
        <w:t>40</w:t>
      </w:r>
      <w:r w:rsidRPr="00760F19">
        <w:rPr>
          <w:lang w:eastAsia="it-IT"/>
        </w:rPr>
        <w:t>.</w:t>
      </w:r>
      <w:r w:rsidR="00B21C4D" w:rsidRPr="00760F19">
        <w:rPr>
          <w:lang w:eastAsia="it-IT"/>
        </w:rPr>
        <w:t>8</w:t>
      </w:r>
      <w:r w:rsidRPr="00760F19">
        <w:rPr>
          <w:lang w:eastAsia="it-IT"/>
        </w:rPr>
        <w:t xml:space="preserve"> kg</w:t>
      </w:r>
      <w:r w:rsidR="00B64BDA" w:rsidRPr="00760F19">
        <w:rPr>
          <w:lang w:eastAsia="it-IT"/>
        </w:rPr>
        <w:t xml:space="preserve"> </w:t>
      </w:r>
      <w:r w:rsidRPr="00760F19">
        <w:rPr>
          <w:lang w:eastAsia="it-IT"/>
        </w:rPr>
        <w:t>h</w:t>
      </w:r>
      <w:r w:rsidR="00B64BDA" w:rsidRPr="00760F19">
        <w:rPr>
          <w:vertAlign w:val="superscript"/>
          <w:lang w:eastAsia="it-IT"/>
        </w:rPr>
        <w:t>-1</w:t>
      </w:r>
      <w:r w:rsidRPr="00760F19">
        <w:rPr>
          <w:lang w:eastAsia="it-IT"/>
        </w:rPr>
        <w:t>) of biogas (50% CH</w:t>
      </w:r>
      <w:r w:rsidRPr="00760F19">
        <w:rPr>
          <w:vertAlign w:val="subscript"/>
          <w:lang w:eastAsia="it-IT"/>
        </w:rPr>
        <w:t>4</w:t>
      </w:r>
      <w:r w:rsidRPr="00760F19">
        <w:rPr>
          <w:lang w:eastAsia="it-IT"/>
        </w:rPr>
        <w:t>,</w:t>
      </w:r>
      <w:r w:rsidR="00BE2095">
        <w:rPr>
          <w:lang w:eastAsia="it-IT"/>
        </w:rPr>
        <w:t xml:space="preserve"> </w:t>
      </w:r>
      <w:r w:rsidRPr="00760F19">
        <w:rPr>
          <w:lang w:eastAsia="it-IT"/>
        </w:rPr>
        <w:t>50% CO</w:t>
      </w:r>
      <w:r w:rsidRPr="00760F19">
        <w:rPr>
          <w:vertAlign w:val="subscript"/>
          <w:lang w:eastAsia="it-IT"/>
        </w:rPr>
        <w:t>2</w:t>
      </w:r>
      <w:r w:rsidRPr="00760F19">
        <w:rPr>
          <w:lang w:eastAsia="it-IT"/>
        </w:rPr>
        <w:t xml:space="preserve">) </w:t>
      </w:r>
      <w:r w:rsidRPr="00760F19">
        <w:t xml:space="preserve">and </w:t>
      </w:r>
      <w:r w:rsidR="00B21C4D" w:rsidRPr="00760F19">
        <w:t>53</w:t>
      </w:r>
      <w:r w:rsidR="005E3D69" w:rsidRPr="00760F19">
        <w:t>.</w:t>
      </w:r>
      <w:r w:rsidR="00B21C4D" w:rsidRPr="00760F19">
        <w:t>3</w:t>
      </w:r>
      <w:r w:rsidRPr="00760F19">
        <w:t xml:space="preserve"> kg</w:t>
      </w:r>
      <w:r w:rsidR="005E3D69" w:rsidRPr="00760F19">
        <w:t xml:space="preserve"> h</w:t>
      </w:r>
      <w:r w:rsidR="005E3D69" w:rsidRPr="00760F19">
        <w:rPr>
          <w:vertAlign w:val="superscript"/>
        </w:rPr>
        <w:t>-1</w:t>
      </w:r>
      <w:r w:rsidRPr="00760F19">
        <w:t xml:space="preserve"> of water for hydrogen production</w:t>
      </w:r>
      <w:r w:rsidR="003546CE" w:rsidRPr="00760F19">
        <w:t>.</w:t>
      </w:r>
      <w:r w:rsidR="006B5854" w:rsidRPr="00760F19">
        <w:t xml:space="preserve"> </w:t>
      </w:r>
      <w:r w:rsidR="00090F36" w:rsidRPr="00760F19">
        <w:t xml:space="preserve">The </w:t>
      </w:r>
      <w:r w:rsidR="00F50622">
        <w:t>economic assessment does not consider the additional water used as a medium to integrate the hydrogen-producing plant and the fermenter</w:t>
      </w:r>
      <w:r w:rsidR="00862D69" w:rsidRPr="00760F19">
        <w:t>.</w:t>
      </w:r>
    </w:p>
    <w:p w14:paraId="4980B1C4" w14:textId="1FEE5A46" w:rsidR="00DA6B66" w:rsidRPr="00760F19" w:rsidRDefault="000F72BF" w:rsidP="00C11684">
      <w:pPr>
        <w:pStyle w:val="CETBodytext"/>
      </w:pPr>
      <w:r>
        <w:t xml:space="preserve">Energy requirements </w:t>
      </w:r>
      <w:r w:rsidR="00DA6B66" w:rsidRPr="00760F19">
        <w:t xml:space="preserve">for the different equipment are reported in </w:t>
      </w:r>
      <w:r w:rsidR="00760E1C" w:rsidRPr="00760F19">
        <w:t xml:space="preserve">Table </w:t>
      </w:r>
      <w:r w:rsidR="005577DE">
        <w:t>3</w:t>
      </w:r>
      <w:r w:rsidR="00760E1C" w:rsidRPr="00760F19">
        <w:t>,</w:t>
      </w:r>
      <w:r w:rsidR="00DA6B66" w:rsidRPr="00760F19">
        <w:t xml:space="preserve"> together with an indication of whether the equipment is thermally </w:t>
      </w:r>
      <w:r w:rsidR="00B64BDA" w:rsidRPr="00760F19">
        <w:t xml:space="preserve">integrated or </w:t>
      </w:r>
      <w:r w:rsidR="00DA6B66" w:rsidRPr="00760F19">
        <w:t xml:space="preserve">not. </w:t>
      </w:r>
      <w:r w:rsidR="00183AB0" w:rsidRPr="00760F19">
        <w:t>A</w:t>
      </w:r>
      <w:r w:rsidR="00DA6B66" w:rsidRPr="00760F19">
        <w:t>lmost all the</w:t>
      </w:r>
      <w:r w:rsidR="00DC0317" w:rsidRPr="00760F19">
        <w:t xml:space="preserve"> units</w:t>
      </w:r>
      <w:r w:rsidR="00DA6B66" w:rsidRPr="00760F19">
        <w:t xml:space="preserve"> are integrated </w:t>
      </w:r>
      <w:r w:rsidR="00DA6B66" w:rsidRPr="009C7F99">
        <w:t>except the reformer and the biogas compressor</w:t>
      </w:r>
      <w:r w:rsidR="00090F36" w:rsidRPr="009C7F99">
        <w:t xml:space="preserve"> that use</w:t>
      </w:r>
      <w:r w:rsidR="00E95480">
        <w:t xml:space="preserve"> external</w:t>
      </w:r>
      <w:r w:rsidR="00090F36" w:rsidRPr="009C7F99">
        <w:t xml:space="preserve"> </w:t>
      </w:r>
      <w:r w:rsidR="00DA6B66" w:rsidRPr="009C7F99">
        <w:t xml:space="preserve">electricity. </w:t>
      </w:r>
      <w:r w:rsidR="00090F36" w:rsidRPr="009C7F99">
        <w:t>Th</w:t>
      </w:r>
      <w:r w:rsidR="00102F9C">
        <w:t>is</w:t>
      </w:r>
      <w:r w:rsidR="00090F36" w:rsidRPr="009C7F99">
        <w:t xml:space="preserve"> equipment use</w:t>
      </w:r>
      <w:r w:rsidR="00102F9C">
        <w:t>s</w:t>
      </w:r>
      <w:r w:rsidR="00090F36" w:rsidRPr="009C7F99">
        <w:t xml:space="preserve"> respectively </w:t>
      </w:r>
      <w:r w:rsidR="003B5F66" w:rsidRPr="009C7F99">
        <w:t>5</w:t>
      </w:r>
      <w:r w:rsidR="00090F36" w:rsidRPr="009C7F99">
        <w:t>7</w:t>
      </w:r>
      <w:r w:rsidR="003B5F66" w:rsidRPr="009C7F99">
        <w:t xml:space="preserve"> kW</w:t>
      </w:r>
      <w:r w:rsidR="00090F36" w:rsidRPr="009C7F99">
        <w:t xml:space="preserve"> and</w:t>
      </w:r>
      <w:r w:rsidR="009C7F99" w:rsidRPr="009C7F99">
        <w:t xml:space="preserve"> 6</w:t>
      </w:r>
      <w:r w:rsidR="00090F36" w:rsidRPr="009C7F99">
        <w:t xml:space="preserve"> kW.</w:t>
      </w:r>
      <w:r w:rsidR="00DA6B66" w:rsidRPr="009C7F99">
        <w:t xml:space="preserve"> The </w:t>
      </w:r>
      <w:r w:rsidR="00DA6B66" w:rsidRPr="009C7F99">
        <w:rPr>
          <w:rFonts w:eastAsiaTheme="minorHAnsi"/>
        </w:rPr>
        <w:t>H</w:t>
      </w:r>
      <w:r w:rsidR="00DA6B66" w:rsidRPr="009C7F99">
        <w:rPr>
          <w:rFonts w:eastAsiaTheme="minorHAnsi"/>
          <w:vertAlign w:val="subscript"/>
        </w:rPr>
        <w:t>2</w:t>
      </w:r>
      <w:r w:rsidR="00DA6B66" w:rsidRPr="009C7F99">
        <w:rPr>
          <w:rFonts w:eastAsiaTheme="minorHAnsi"/>
        </w:rPr>
        <w:t>O preheater</w:t>
      </w:r>
      <w:r w:rsidR="003B5F66" w:rsidRPr="009C7F99">
        <w:rPr>
          <w:rFonts w:eastAsiaTheme="minorHAnsi"/>
        </w:rPr>
        <w:t xml:space="preserve"> </w:t>
      </w:r>
      <w:r w:rsidR="00526A55" w:rsidRPr="009C7F99">
        <w:rPr>
          <w:rFonts w:eastAsiaTheme="minorHAnsi"/>
        </w:rPr>
        <w:t>(approximately 30</w:t>
      </w:r>
      <w:r w:rsidR="003B5F66" w:rsidRPr="009C7F99">
        <w:rPr>
          <w:rFonts w:eastAsiaTheme="minorHAnsi"/>
        </w:rPr>
        <w:t xml:space="preserve"> kW)</w:t>
      </w:r>
      <w:r w:rsidR="00DA6B66" w:rsidRPr="009C7F99">
        <w:rPr>
          <w:rFonts w:eastAsiaTheme="minorHAnsi"/>
        </w:rPr>
        <w:t xml:space="preserve"> </w:t>
      </w:r>
      <w:r w:rsidR="00526A55" w:rsidRPr="009C7F99">
        <w:rPr>
          <w:rFonts w:eastAsiaTheme="minorHAnsi"/>
        </w:rPr>
        <w:t>and the water economizer (approximately 7 kW) supply the thermal</w:t>
      </w:r>
      <w:r w:rsidR="00526A55" w:rsidRPr="00760F19">
        <w:rPr>
          <w:rFonts w:eastAsiaTheme="minorHAnsi"/>
        </w:rPr>
        <w:t xml:space="preserve"> energy necessary in the t</w:t>
      </w:r>
      <w:r w:rsidR="00526A55" w:rsidRPr="00760F19">
        <w:rPr>
          <w:rFonts w:cs="Arial"/>
          <w:color w:val="202124"/>
          <w:shd w:val="clear" w:color="auto" w:fill="FFFFFF"/>
        </w:rPr>
        <w:t>hermophilic digester</w:t>
      </w:r>
      <w:r w:rsidR="00526A55" w:rsidRPr="00760F19">
        <w:rPr>
          <w:rFonts w:eastAsiaTheme="minorHAnsi"/>
        </w:rPr>
        <w:t xml:space="preserve"> that produces biogas. Under average year operations, the thermal consumption of the dig</w:t>
      </w:r>
      <w:r w:rsidR="00526A55" w:rsidRPr="009C7F99">
        <w:rPr>
          <w:rFonts w:eastAsiaTheme="minorHAnsi"/>
        </w:rPr>
        <w:t xml:space="preserve">ester </w:t>
      </w:r>
      <w:r w:rsidR="009C7F99" w:rsidRPr="009C7F99">
        <w:rPr>
          <w:rFonts w:eastAsiaTheme="minorHAnsi"/>
        </w:rPr>
        <w:t xml:space="preserve">is 0.73 </w:t>
      </w:r>
      <w:r w:rsidR="00526A55" w:rsidRPr="009C7F99">
        <w:rPr>
          <w:rFonts w:eastAsiaTheme="minorHAnsi"/>
        </w:rPr>
        <w:t>kWh per</w:t>
      </w:r>
      <w:r w:rsidR="00526A55" w:rsidRPr="00760F19">
        <w:rPr>
          <w:rFonts w:eastAsiaTheme="minorHAnsi"/>
        </w:rPr>
        <w:t xml:space="preserve"> 1 Nm</w:t>
      </w:r>
      <w:r w:rsidR="00526A55" w:rsidRPr="00760F19">
        <w:rPr>
          <w:rFonts w:eastAsiaTheme="minorHAnsi"/>
          <w:vertAlign w:val="superscript"/>
        </w:rPr>
        <w:t>3</w:t>
      </w:r>
      <w:r w:rsidR="00526A55" w:rsidRPr="00760F19">
        <w:rPr>
          <w:rFonts w:eastAsiaTheme="minorHAnsi"/>
        </w:rPr>
        <w:t xml:space="preserve"> </w:t>
      </w:r>
      <w:r w:rsidR="009C7F99">
        <w:rPr>
          <w:rFonts w:eastAsiaTheme="minorHAnsi"/>
        </w:rPr>
        <w:t>H</w:t>
      </w:r>
      <w:r w:rsidR="009C7F99" w:rsidRPr="009C7F99">
        <w:rPr>
          <w:rFonts w:eastAsiaTheme="minorHAnsi"/>
          <w:vertAlign w:val="subscript"/>
        </w:rPr>
        <w:t>2</w:t>
      </w:r>
      <w:r w:rsidR="009C7F99">
        <w:rPr>
          <w:rFonts w:eastAsiaTheme="minorHAnsi"/>
        </w:rPr>
        <w:t xml:space="preserve"> </w:t>
      </w:r>
      <w:r w:rsidR="00526A55" w:rsidRPr="00760F19">
        <w:rPr>
          <w:rFonts w:eastAsiaTheme="minorHAnsi"/>
        </w:rPr>
        <w:t>produced.</w:t>
      </w:r>
      <w:r w:rsidR="00526A55" w:rsidRPr="00760F19">
        <w:rPr>
          <w:rStyle w:val="Rimandocommento"/>
          <w:lang w:val="en-GB"/>
        </w:rPr>
        <w:t xml:space="preserve"> </w:t>
      </w:r>
    </w:p>
    <w:p w14:paraId="693091CE" w14:textId="51988702" w:rsidR="00DA6B66" w:rsidRPr="00760F19" w:rsidRDefault="00DA6B66" w:rsidP="000F3ABE">
      <w:pPr>
        <w:pStyle w:val="CETTabletitle"/>
        <w:rPr>
          <w:lang w:val="en-US"/>
        </w:rPr>
      </w:pPr>
      <w:r w:rsidRPr="00760F19">
        <w:t xml:space="preserve">Table </w:t>
      </w:r>
      <w:r w:rsidR="001222AB">
        <w:t>3</w:t>
      </w:r>
      <w:r w:rsidRPr="00760F19">
        <w:t xml:space="preserve">: </w:t>
      </w:r>
      <w:r w:rsidR="000F72BF">
        <w:t>Energy requirements for the different equipment of the biogas to hydrogen process.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2127"/>
      </w:tblGrid>
      <w:tr w:rsidR="00557CD4" w:rsidRPr="00760F19" w14:paraId="2574BF7F" w14:textId="77777777" w:rsidTr="003F2001">
        <w:tc>
          <w:tcPr>
            <w:tcW w:w="1701" w:type="dxa"/>
            <w:tcBorders>
              <w:top w:val="single" w:sz="12" w:space="0" w:color="008000"/>
            </w:tcBorders>
          </w:tcPr>
          <w:p w14:paraId="19FA8FBD" w14:textId="77777777" w:rsidR="00557CD4" w:rsidRPr="00760F19" w:rsidRDefault="00557CD4" w:rsidP="00424984">
            <w:pPr>
              <w:pStyle w:val="CETBodytext"/>
              <w:rPr>
                <w:lang w:val="en-GB"/>
              </w:rPr>
            </w:pPr>
            <w:r w:rsidRPr="00760F19">
              <w:t>Unit</w:t>
            </w:r>
          </w:p>
        </w:tc>
        <w:tc>
          <w:tcPr>
            <w:tcW w:w="2127" w:type="dxa"/>
            <w:tcBorders>
              <w:top w:val="single" w:sz="12" w:space="0" w:color="008000"/>
            </w:tcBorders>
          </w:tcPr>
          <w:p w14:paraId="3C690F17" w14:textId="4C4FD991" w:rsidR="00557CD4" w:rsidRPr="00760F19" w:rsidRDefault="000F72BF" w:rsidP="00424984">
            <w:pPr>
              <w:pStyle w:val="CETBodytext"/>
              <w:rPr>
                <w:lang w:val="en-GB"/>
              </w:rPr>
            </w:pPr>
            <w:r>
              <w:rPr>
                <w:rFonts w:eastAsiaTheme="minorHAnsi"/>
                <w:lang w:val="it-IT"/>
              </w:rPr>
              <w:t>Energy requirements</w:t>
            </w:r>
            <w:r w:rsidR="00DC0317" w:rsidRPr="00760F19">
              <w:rPr>
                <w:rFonts w:eastAsiaTheme="minorHAnsi"/>
                <w:lang w:val="it-IT"/>
              </w:rPr>
              <w:t>, kW</w:t>
            </w:r>
          </w:p>
        </w:tc>
      </w:tr>
      <w:tr w:rsidR="00557CD4" w:rsidRPr="00760F19" w14:paraId="423B4863" w14:textId="77777777" w:rsidTr="003F2001">
        <w:tc>
          <w:tcPr>
            <w:tcW w:w="1701" w:type="dxa"/>
            <w:tcBorders>
              <w:top w:val="single" w:sz="8" w:space="0" w:color="008000"/>
            </w:tcBorders>
          </w:tcPr>
          <w:p w14:paraId="0AE33252" w14:textId="77777777" w:rsidR="00557CD4" w:rsidRPr="00760F19" w:rsidRDefault="00557CD4" w:rsidP="00424984">
            <w:pPr>
              <w:pStyle w:val="CETBodytext"/>
              <w:rPr>
                <w:lang w:val="en-GB"/>
              </w:rPr>
            </w:pPr>
            <w:r w:rsidRPr="00760F19">
              <w:t>Compressor</w:t>
            </w:r>
          </w:p>
        </w:tc>
        <w:tc>
          <w:tcPr>
            <w:tcW w:w="2127" w:type="dxa"/>
            <w:tcBorders>
              <w:top w:val="single" w:sz="8" w:space="0" w:color="008000"/>
            </w:tcBorders>
          </w:tcPr>
          <w:p w14:paraId="490E3CB2" w14:textId="7A17C6A9" w:rsidR="00557CD4" w:rsidRPr="00760F19" w:rsidRDefault="00557CD4" w:rsidP="00424984">
            <w:pPr>
              <w:pStyle w:val="CETBodytext"/>
              <w:rPr>
                <w:lang w:val="en-GB"/>
              </w:rPr>
            </w:pPr>
            <w:r w:rsidRPr="00760F19">
              <w:rPr>
                <w:rFonts w:eastAsiaTheme="minorHAnsi"/>
              </w:rPr>
              <w:t>5.</w:t>
            </w:r>
            <w:r w:rsidR="001F7B0E" w:rsidRPr="00760F19">
              <w:rPr>
                <w:rFonts w:eastAsiaTheme="minorHAnsi"/>
              </w:rPr>
              <w:t>9</w:t>
            </w:r>
            <w:r w:rsidR="00427A94" w:rsidRPr="00760F19">
              <w:rPr>
                <w:rFonts w:eastAsiaTheme="minorHAnsi"/>
              </w:rPr>
              <w:t xml:space="preserve"> </w:t>
            </w:r>
            <w:r w:rsidRPr="00760F19">
              <w:rPr>
                <w:rFonts w:eastAsiaTheme="minorHAnsi"/>
              </w:rPr>
              <w:t xml:space="preserve"> (not integrated)</w:t>
            </w:r>
          </w:p>
        </w:tc>
      </w:tr>
      <w:tr w:rsidR="00557CD4" w:rsidRPr="00760F19" w14:paraId="48DF54E5" w14:textId="77777777" w:rsidTr="003F2001">
        <w:tc>
          <w:tcPr>
            <w:tcW w:w="1701" w:type="dxa"/>
          </w:tcPr>
          <w:p w14:paraId="7754E1FE" w14:textId="77777777" w:rsidR="00557CD4" w:rsidRPr="00760F19" w:rsidRDefault="00557CD4" w:rsidP="00424984">
            <w:pPr>
              <w:pStyle w:val="CETBodytext"/>
              <w:ind w:right="-1"/>
              <w:rPr>
                <w:rFonts w:cs="Arial"/>
                <w:szCs w:val="18"/>
                <w:lang w:val="en-GB"/>
              </w:rPr>
            </w:pPr>
            <w:r w:rsidRPr="00760F19">
              <w:rPr>
                <w:rFonts w:eastAsiaTheme="minorHAnsi"/>
              </w:rPr>
              <w:t>Biogas</w:t>
            </w:r>
            <w:r w:rsidRPr="00760F19">
              <w:rPr>
                <w:rFonts w:eastAsiaTheme="minorHAnsi"/>
                <w:vertAlign w:val="subscript"/>
              </w:rPr>
              <w:t xml:space="preserve"> </w:t>
            </w:r>
            <w:r w:rsidRPr="00760F19">
              <w:rPr>
                <w:rFonts w:eastAsiaTheme="minorHAnsi"/>
              </w:rPr>
              <w:t>preheater</w:t>
            </w:r>
          </w:p>
        </w:tc>
        <w:tc>
          <w:tcPr>
            <w:tcW w:w="2127" w:type="dxa"/>
          </w:tcPr>
          <w:p w14:paraId="0E6EB9EC" w14:textId="4823D7C2" w:rsidR="00557CD4" w:rsidRPr="00760F19" w:rsidRDefault="001F7B0E" w:rsidP="00424984">
            <w:pPr>
              <w:pStyle w:val="CETBodytext"/>
              <w:ind w:right="-1"/>
              <w:rPr>
                <w:rFonts w:cs="Arial"/>
                <w:szCs w:val="18"/>
                <w:lang w:val="en-GB"/>
              </w:rPr>
            </w:pPr>
            <w:r w:rsidRPr="00760F19">
              <w:rPr>
                <w:rFonts w:eastAsiaTheme="minorHAnsi"/>
              </w:rPr>
              <w:t>3.0</w:t>
            </w:r>
            <w:r w:rsidR="00557CD4" w:rsidRPr="00760F19">
              <w:rPr>
                <w:rFonts w:eastAsiaTheme="minorHAnsi"/>
              </w:rPr>
              <w:t xml:space="preserve">  (integrated)</w:t>
            </w:r>
          </w:p>
        </w:tc>
      </w:tr>
      <w:tr w:rsidR="00557CD4" w:rsidRPr="00760F19" w14:paraId="1E533266" w14:textId="77777777" w:rsidTr="003F2001">
        <w:tc>
          <w:tcPr>
            <w:tcW w:w="1701" w:type="dxa"/>
          </w:tcPr>
          <w:p w14:paraId="3AC8BDF1" w14:textId="77777777" w:rsidR="00557CD4" w:rsidRPr="00760F19" w:rsidRDefault="00557CD4" w:rsidP="00424984">
            <w:pPr>
              <w:pStyle w:val="CETBodytext"/>
              <w:ind w:right="-1"/>
              <w:rPr>
                <w:rFonts w:cs="Arial"/>
                <w:szCs w:val="18"/>
                <w:lang w:val="en-GB"/>
              </w:rPr>
            </w:pPr>
            <w:r w:rsidRPr="00760F19">
              <w:rPr>
                <w:rFonts w:eastAsiaTheme="minorHAnsi"/>
              </w:rPr>
              <w:t>Reformer</w:t>
            </w:r>
          </w:p>
        </w:tc>
        <w:tc>
          <w:tcPr>
            <w:tcW w:w="2127" w:type="dxa"/>
          </w:tcPr>
          <w:p w14:paraId="422B9DD8" w14:textId="3F48DE6E" w:rsidR="00557CD4" w:rsidRPr="00760F19" w:rsidRDefault="00557CD4" w:rsidP="00424984">
            <w:pPr>
              <w:pStyle w:val="CETBodytext"/>
              <w:ind w:right="-1"/>
              <w:rPr>
                <w:rFonts w:cs="Arial"/>
                <w:szCs w:val="18"/>
                <w:lang w:val="en-GB"/>
              </w:rPr>
            </w:pPr>
            <w:r w:rsidRPr="00760F19">
              <w:rPr>
                <w:rFonts w:eastAsiaTheme="minorHAnsi"/>
              </w:rPr>
              <w:t>5</w:t>
            </w:r>
            <w:r w:rsidR="001F7B0E" w:rsidRPr="00760F19">
              <w:rPr>
                <w:rFonts w:eastAsiaTheme="minorHAnsi"/>
              </w:rPr>
              <w:t>6</w:t>
            </w:r>
            <w:r w:rsidRPr="00760F19">
              <w:rPr>
                <w:rFonts w:eastAsiaTheme="minorHAnsi"/>
              </w:rPr>
              <w:t>.</w:t>
            </w:r>
            <w:r w:rsidR="001F7B0E" w:rsidRPr="00760F19">
              <w:rPr>
                <w:rFonts w:eastAsiaTheme="minorHAnsi"/>
              </w:rPr>
              <w:t>6</w:t>
            </w:r>
            <w:r w:rsidRPr="00760F19">
              <w:rPr>
                <w:rFonts w:eastAsiaTheme="minorHAnsi"/>
              </w:rPr>
              <w:t xml:space="preserve">  (not integrated)</w:t>
            </w:r>
          </w:p>
        </w:tc>
      </w:tr>
      <w:tr w:rsidR="00557CD4" w:rsidRPr="00760F19" w14:paraId="709DE1F1" w14:textId="77777777" w:rsidTr="003F2001">
        <w:tc>
          <w:tcPr>
            <w:tcW w:w="1701" w:type="dxa"/>
          </w:tcPr>
          <w:p w14:paraId="78C13F1B" w14:textId="77777777" w:rsidR="00557CD4" w:rsidRPr="00760F19" w:rsidRDefault="00557CD4" w:rsidP="00424984">
            <w:pPr>
              <w:pStyle w:val="CETBodytext"/>
              <w:ind w:right="-1"/>
              <w:rPr>
                <w:rFonts w:cs="Arial"/>
                <w:szCs w:val="18"/>
                <w:lang w:val="en-GB"/>
              </w:rPr>
            </w:pPr>
            <w:r w:rsidRPr="00760F19">
              <w:rPr>
                <w:rFonts w:eastAsiaTheme="minorHAnsi"/>
              </w:rPr>
              <w:t>Mixture preheater</w:t>
            </w:r>
          </w:p>
        </w:tc>
        <w:tc>
          <w:tcPr>
            <w:tcW w:w="2127" w:type="dxa"/>
          </w:tcPr>
          <w:p w14:paraId="289ED6A9" w14:textId="47454D18" w:rsidR="00557CD4" w:rsidRPr="00760F19" w:rsidRDefault="00557CD4" w:rsidP="00424984">
            <w:pPr>
              <w:pStyle w:val="CETBodytext"/>
              <w:ind w:right="-1"/>
              <w:rPr>
                <w:rFonts w:cs="Arial"/>
                <w:szCs w:val="18"/>
                <w:lang w:val="en-GB"/>
              </w:rPr>
            </w:pPr>
            <w:r w:rsidRPr="00760F19">
              <w:rPr>
                <w:rFonts w:eastAsiaTheme="minorHAnsi"/>
              </w:rPr>
              <w:t>1</w:t>
            </w:r>
            <w:r w:rsidR="001F7B0E" w:rsidRPr="00760F19">
              <w:rPr>
                <w:rFonts w:eastAsiaTheme="minorHAnsi"/>
              </w:rPr>
              <w:t>4</w:t>
            </w:r>
            <w:r w:rsidRPr="00760F19">
              <w:rPr>
                <w:rFonts w:eastAsiaTheme="minorHAnsi"/>
              </w:rPr>
              <w:t>.</w:t>
            </w:r>
            <w:r w:rsidR="001F7B0E" w:rsidRPr="00760F19">
              <w:rPr>
                <w:rFonts w:eastAsiaTheme="minorHAnsi"/>
              </w:rPr>
              <w:t>8</w:t>
            </w:r>
            <w:r w:rsidRPr="00760F19">
              <w:rPr>
                <w:rFonts w:eastAsiaTheme="minorHAnsi"/>
              </w:rPr>
              <w:t xml:space="preserve">  (integrated)</w:t>
            </w:r>
          </w:p>
        </w:tc>
      </w:tr>
      <w:tr w:rsidR="00557CD4" w:rsidRPr="00760F19" w14:paraId="028C9A73" w14:textId="77777777" w:rsidTr="003F2001">
        <w:tc>
          <w:tcPr>
            <w:tcW w:w="1701" w:type="dxa"/>
          </w:tcPr>
          <w:p w14:paraId="73F1BE81" w14:textId="77777777" w:rsidR="00557CD4" w:rsidRPr="00760F19" w:rsidRDefault="00557CD4" w:rsidP="00424984">
            <w:pPr>
              <w:pStyle w:val="CETBodytext"/>
              <w:ind w:right="-1"/>
              <w:rPr>
                <w:rFonts w:cs="Arial"/>
                <w:szCs w:val="18"/>
                <w:lang w:val="en-GB"/>
              </w:rPr>
            </w:pPr>
            <w:r w:rsidRPr="00760F19">
              <w:rPr>
                <w:rFonts w:eastAsiaTheme="minorHAnsi"/>
              </w:rPr>
              <w:t>Quench</w:t>
            </w:r>
          </w:p>
        </w:tc>
        <w:tc>
          <w:tcPr>
            <w:tcW w:w="2127" w:type="dxa"/>
          </w:tcPr>
          <w:p w14:paraId="1C2640B1" w14:textId="5446420E" w:rsidR="00557CD4" w:rsidRPr="00760F19" w:rsidRDefault="00557CD4" w:rsidP="00424984">
            <w:pPr>
              <w:pStyle w:val="CETBodytext"/>
              <w:ind w:right="-1"/>
              <w:rPr>
                <w:rFonts w:cs="Arial"/>
                <w:szCs w:val="18"/>
                <w:lang w:val="en-GB"/>
              </w:rPr>
            </w:pPr>
            <w:r w:rsidRPr="00760F19">
              <w:rPr>
                <w:rFonts w:eastAsiaTheme="minorHAnsi"/>
              </w:rPr>
              <w:t>2</w:t>
            </w:r>
            <w:r w:rsidR="001F7B0E" w:rsidRPr="00760F19">
              <w:rPr>
                <w:rFonts w:eastAsiaTheme="minorHAnsi"/>
              </w:rPr>
              <w:t>4</w:t>
            </w:r>
            <w:r w:rsidRPr="00760F19">
              <w:rPr>
                <w:rFonts w:eastAsiaTheme="minorHAnsi"/>
              </w:rPr>
              <w:t>.</w:t>
            </w:r>
            <w:r w:rsidR="001F7B0E" w:rsidRPr="00760F19">
              <w:rPr>
                <w:rFonts w:eastAsiaTheme="minorHAnsi"/>
              </w:rPr>
              <w:t>8</w:t>
            </w:r>
            <w:r w:rsidRPr="00760F19">
              <w:rPr>
                <w:rFonts w:eastAsiaTheme="minorHAnsi"/>
              </w:rPr>
              <w:t xml:space="preserve"> (integrated)</w:t>
            </w:r>
          </w:p>
        </w:tc>
      </w:tr>
      <w:tr w:rsidR="00557CD4" w:rsidRPr="00760F19" w14:paraId="730CC3E5" w14:textId="77777777" w:rsidTr="003F2001">
        <w:tc>
          <w:tcPr>
            <w:tcW w:w="1701" w:type="dxa"/>
          </w:tcPr>
          <w:p w14:paraId="670DE094" w14:textId="77777777" w:rsidR="00557CD4" w:rsidRPr="00760F19" w:rsidRDefault="00557CD4" w:rsidP="00424984">
            <w:pPr>
              <w:pStyle w:val="CETBodytext"/>
              <w:ind w:right="-1"/>
              <w:rPr>
                <w:rFonts w:cs="Arial"/>
                <w:szCs w:val="18"/>
                <w:lang w:val="en-GB"/>
              </w:rPr>
            </w:pPr>
            <w:r w:rsidRPr="00760F19">
              <w:rPr>
                <w:rFonts w:eastAsiaTheme="minorHAnsi"/>
              </w:rPr>
              <w:t>Waste heat boiler</w:t>
            </w:r>
          </w:p>
        </w:tc>
        <w:tc>
          <w:tcPr>
            <w:tcW w:w="2127" w:type="dxa"/>
          </w:tcPr>
          <w:p w14:paraId="1A6D6D74" w14:textId="2319AA5F" w:rsidR="00557CD4" w:rsidRPr="00760F19" w:rsidRDefault="00557CD4" w:rsidP="00424984">
            <w:pPr>
              <w:pStyle w:val="CETBodytext"/>
              <w:ind w:right="-1"/>
              <w:rPr>
                <w:rFonts w:cs="Arial"/>
                <w:szCs w:val="18"/>
                <w:lang w:val="en-GB"/>
              </w:rPr>
            </w:pPr>
            <w:r w:rsidRPr="00760F19">
              <w:rPr>
                <w:rFonts w:eastAsiaTheme="minorHAnsi"/>
              </w:rPr>
              <w:t>1</w:t>
            </w:r>
            <w:r w:rsidR="001F7B0E" w:rsidRPr="00760F19">
              <w:rPr>
                <w:rFonts w:eastAsiaTheme="minorHAnsi"/>
              </w:rPr>
              <w:t>5</w:t>
            </w:r>
            <w:r w:rsidRPr="00760F19">
              <w:rPr>
                <w:rFonts w:eastAsiaTheme="minorHAnsi"/>
              </w:rPr>
              <w:t>.</w:t>
            </w:r>
            <w:r w:rsidR="001F7B0E" w:rsidRPr="00760F19">
              <w:rPr>
                <w:rFonts w:eastAsiaTheme="minorHAnsi"/>
              </w:rPr>
              <w:t>4</w:t>
            </w:r>
            <w:r w:rsidRPr="00760F19">
              <w:rPr>
                <w:rFonts w:eastAsiaTheme="minorHAnsi"/>
              </w:rPr>
              <w:t xml:space="preserve">  (integrated)</w:t>
            </w:r>
          </w:p>
        </w:tc>
      </w:tr>
      <w:tr w:rsidR="00557CD4" w:rsidRPr="00760F19" w14:paraId="7AC0CE03" w14:textId="77777777" w:rsidTr="003F2001">
        <w:tc>
          <w:tcPr>
            <w:tcW w:w="1701" w:type="dxa"/>
          </w:tcPr>
          <w:p w14:paraId="4BC41057" w14:textId="77777777" w:rsidR="00557CD4" w:rsidRPr="00760F19" w:rsidRDefault="00557CD4" w:rsidP="00424984">
            <w:pPr>
              <w:pStyle w:val="CETBodytext"/>
              <w:ind w:right="-1"/>
              <w:rPr>
                <w:rFonts w:cs="Arial"/>
                <w:szCs w:val="18"/>
                <w:lang w:val="en-GB"/>
              </w:rPr>
            </w:pPr>
            <w:r w:rsidRPr="00760F19">
              <w:rPr>
                <w:rFonts w:eastAsiaTheme="minorHAnsi"/>
              </w:rPr>
              <w:t>H</w:t>
            </w:r>
            <w:r w:rsidRPr="00760F19">
              <w:rPr>
                <w:rFonts w:eastAsiaTheme="minorHAnsi"/>
                <w:vertAlign w:val="subscript"/>
              </w:rPr>
              <w:t>2</w:t>
            </w:r>
            <w:r w:rsidRPr="00760F19">
              <w:rPr>
                <w:rFonts w:eastAsiaTheme="minorHAnsi"/>
              </w:rPr>
              <w:t>O preheater</w:t>
            </w:r>
          </w:p>
        </w:tc>
        <w:tc>
          <w:tcPr>
            <w:tcW w:w="2127" w:type="dxa"/>
          </w:tcPr>
          <w:p w14:paraId="3BB3C607" w14:textId="21266A85" w:rsidR="00557CD4" w:rsidRPr="00760F19" w:rsidRDefault="00557CD4" w:rsidP="00424984">
            <w:pPr>
              <w:pStyle w:val="CETBodytext"/>
              <w:ind w:right="-1"/>
              <w:rPr>
                <w:rFonts w:cs="Arial"/>
                <w:szCs w:val="18"/>
                <w:lang w:val="en-GB"/>
              </w:rPr>
            </w:pPr>
            <w:r w:rsidRPr="00760F19">
              <w:rPr>
                <w:rFonts w:eastAsiaTheme="minorHAnsi"/>
              </w:rPr>
              <w:t>2</w:t>
            </w:r>
            <w:r w:rsidR="001F7B0E" w:rsidRPr="00760F19">
              <w:rPr>
                <w:rFonts w:eastAsiaTheme="minorHAnsi"/>
              </w:rPr>
              <w:t>9</w:t>
            </w:r>
            <w:r w:rsidRPr="00760F19">
              <w:rPr>
                <w:rFonts w:eastAsiaTheme="minorHAnsi"/>
              </w:rPr>
              <w:t>.</w:t>
            </w:r>
            <w:r w:rsidR="001F7B0E" w:rsidRPr="00760F19">
              <w:rPr>
                <w:rFonts w:eastAsiaTheme="minorHAnsi"/>
              </w:rPr>
              <w:t>7</w:t>
            </w:r>
            <w:r w:rsidRPr="00760F19">
              <w:rPr>
                <w:rFonts w:eastAsiaTheme="minorHAnsi"/>
              </w:rPr>
              <w:t xml:space="preserve">  (integrated)</w:t>
            </w:r>
          </w:p>
        </w:tc>
      </w:tr>
      <w:tr w:rsidR="00557CD4" w:rsidRPr="00760F19" w14:paraId="6E503026" w14:textId="77777777" w:rsidTr="003F2001">
        <w:tc>
          <w:tcPr>
            <w:tcW w:w="1701" w:type="dxa"/>
            <w:tcBorders>
              <w:bottom w:val="single" w:sz="12" w:space="0" w:color="008000"/>
            </w:tcBorders>
          </w:tcPr>
          <w:p w14:paraId="51AC3044" w14:textId="77777777" w:rsidR="00557CD4" w:rsidRPr="00760F19" w:rsidRDefault="00557CD4" w:rsidP="00424984">
            <w:pPr>
              <w:pStyle w:val="CETBodytext"/>
              <w:ind w:right="-1"/>
              <w:rPr>
                <w:rFonts w:cs="Arial"/>
                <w:szCs w:val="18"/>
                <w:lang w:val="en-GB"/>
              </w:rPr>
            </w:pPr>
            <w:r w:rsidRPr="00760F19">
              <w:rPr>
                <w:rFonts w:eastAsiaTheme="minorHAnsi"/>
              </w:rPr>
              <w:t>H</w:t>
            </w:r>
            <w:r w:rsidRPr="00760F19">
              <w:rPr>
                <w:rFonts w:eastAsiaTheme="minorHAnsi"/>
                <w:vertAlign w:val="subscript"/>
              </w:rPr>
              <w:t>2</w:t>
            </w:r>
            <w:r w:rsidRPr="00760F19">
              <w:rPr>
                <w:rFonts w:eastAsiaTheme="minorHAnsi"/>
              </w:rPr>
              <w:t>O economizer</w:t>
            </w:r>
          </w:p>
        </w:tc>
        <w:tc>
          <w:tcPr>
            <w:tcW w:w="2127" w:type="dxa"/>
            <w:tcBorders>
              <w:bottom w:val="single" w:sz="12" w:space="0" w:color="008000"/>
            </w:tcBorders>
          </w:tcPr>
          <w:p w14:paraId="55C47F30" w14:textId="04708F30" w:rsidR="00557CD4" w:rsidRPr="00760F19" w:rsidRDefault="00557CD4" w:rsidP="00424984">
            <w:pPr>
              <w:pStyle w:val="CETBodytext"/>
              <w:ind w:right="-1"/>
              <w:rPr>
                <w:rFonts w:cs="Arial"/>
                <w:szCs w:val="18"/>
                <w:lang w:val="en-GB"/>
              </w:rPr>
            </w:pPr>
            <w:r w:rsidRPr="00760F19">
              <w:rPr>
                <w:rFonts w:eastAsiaTheme="minorHAnsi"/>
              </w:rPr>
              <w:t>11.</w:t>
            </w:r>
            <w:r w:rsidR="00F90D7F" w:rsidRPr="00760F19">
              <w:rPr>
                <w:rFonts w:eastAsiaTheme="minorHAnsi"/>
              </w:rPr>
              <w:t>6</w:t>
            </w:r>
            <w:r w:rsidRPr="00760F19">
              <w:rPr>
                <w:rFonts w:eastAsiaTheme="minorHAnsi"/>
              </w:rPr>
              <w:t xml:space="preserve">  (integrated)</w:t>
            </w:r>
          </w:p>
        </w:tc>
      </w:tr>
    </w:tbl>
    <w:p w14:paraId="75B6A496" w14:textId="77777777" w:rsidR="00DA6B66" w:rsidRPr="00760F19" w:rsidRDefault="00DA6B66" w:rsidP="00DA6B66">
      <w:pPr>
        <w:rPr>
          <w:lang w:val="en-US"/>
        </w:rPr>
      </w:pPr>
    </w:p>
    <w:p w14:paraId="7AD504CD" w14:textId="77777777" w:rsidR="00DA6B66" w:rsidRPr="00195211" w:rsidRDefault="00DA6B66" w:rsidP="00DA6B66">
      <w:pPr>
        <w:keepNext/>
        <w:numPr>
          <w:ilvl w:val="2"/>
          <w:numId w:val="1"/>
        </w:numPr>
        <w:tabs>
          <w:tab w:val="clear" w:pos="7100"/>
        </w:tabs>
        <w:suppressAutoHyphens/>
        <w:spacing w:before="120" w:after="120" w:line="240" w:lineRule="auto"/>
        <w:jc w:val="left"/>
        <w:rPr>
          <w:rFonts w:eastAsiaTheme="minorHAnsi"/>
          <w:b/>
          <w:lang w:val="en-US"/>
        </w:rPr>
      </w:pPr>
      <w:r w:rsidRPr="00195211">
        <w:rPr>
          <w:rFonts w:eastAsiaTheme="minorHAnsi"/>
          <w:b/>
          <w:lang w:val="en-US"/>
        </w:rPr>
        <w:lastRenderedPageBreak/>
        <w:t>Key performance indicators</w:t>
      </w:r>
    </w:p>
    <w:p w14:paraId="30835D41" w14:textId="191E2FBD" w:rsidR="008867AF" w:rsidRDefault="00070C70" w:rsidP="008867AF">
      <w:pPr>
        <w:pStyle w:val="CETBodytext"/>
      </w:pPr>
      <w:r w:rsidRPr="00195211">
        <w:t xml:space="preserve">According to Table </w:t>
      </w:r>
      <w:r w:rsidR="005577DE">
        <w:t>4</w:t>
      </w:r>
      <w:r w:rsidRPr="00195211">
        <w:t xml:space="preserve">, the </w:t>
      </w:r>
      <w:r w:rsidRPr="00353EF7">
        <w:t xml:space="preserve">methane conversion is </w:t>
      </w:r>
      <w:r w:rsidR="005530A4" w:rsidRPr="00353EF7">
        <w:t>equal to</w:t>
      </w:r>
      <w:r w:rsidRPr="00353EF7">
        <w:t xml:space="preserve"> 97 %</w:t>
      </w:r>
      <w:r w:rsidR="00A1308B" w:rsidRPr="00353EF7">
        <w:t>;</w:t>
      </w:r>
      <w:r w:rsidR="00760F19" w:rsidRPr="00195211">
        <w:t xml:space="preserve"> thus</w:t>
      </w:r>
      <w:r w:rsidR="00814A96">
        <w:t>,</w:t>
      </w:r>
      <w:r w:rsidR="00760F19" w:rsidRPr="00195211">
        <w:t xml:space="preserve"> a </w:t>
      </w:r>
      <w:r w:rsidR="00A1308B">
        <w:t>minimal</w:t>
      </w:r>
      <w:r w:rsidR="00760F19" w:rsidRPr="00195211">
        <w:t xml:space="preserve"> amount of methane remains unreacted and </w:t>
      </w:r>
      <w:r w:rsidR="00814A96">
        <w:t>leaves the PSA in</w:t>
      </w:r>
      <w:r w:rsidR="00760F19" w:rsidRPr="00195211">
        <w:t xml:space="preserve"> the off</w:t>
      </w:r>
      <w:r w:rsidR="00814A96">
        <w:t>-</w:t>
      </w:r>
      <w:r w:rsidR="00760F19" w:rsidRPr="00195211">
        <w:t xml:space="preserve">gases </w:t>
      </w:r>
      <w:r w:rsidR="00814A96">
        <w:t>stream</w:t>
      </w:r>
      <w:r w:rsidR="00297B14" w:rsidRPr="00195211">
        <w:t xml:space="preserve">. The process </w:t>
      </w:r>
      <w:r w:rsidR="00CE31D9" w:rsidRPr="00195211">
        <w:t>lead</w:t>
      </w:r>
      <w:r w:rsidR="00814A96">
        <w:t>s</w:t>
      </w:r>
      <w:r w:rsidR="00CE31D9" w:rsidRPr="00195211">
        <w:t xml:space="preserve"> to syngas </w:t>
      </w:r>
      <w:r w:rsidR="00EA5C10" w:rsidRPr="00195211">
        <w:t>with a</w:t>
      </w:r>
      <w:r w:rsidR="00B272F5" w:rsidRPr="00195211">
        <w:t>n</w:t>
      </w:r>
      <w:r w:rsidR="00EA5C10" w:rsidRPr="00195211">
        <w:t xml:space="preserve"> H</w:t>
      </w:r>
      <w:r w:rsidR="00EA5C10" w:rsidRPr="00195211">
        <w:rPr>
          <w:vertAlign w:val="subscript"/>
        </w:rPr>
        <w:t>2</w:t>
      </w:r>
      <w:r w:rsidR="00EA5C10" w:rsidRPr="00195211">
        <w:t>/CO ratio of a</w:t>
      </w:r>
      <w:r w:rsidR="00760F19" w:rsidRPr="00195211">
        <w:t>pproximately 1.7. This ratio is unusual for a traditional H</w:t>
      </w:r>
      <w:r w:rsidR="00760F19" w:rsidRPr="00814A96">
        <w:rPr>
          <w:vertAlign w:val="subscript"/>
        </w:rPr>
        <w:t>2</w:t>
      </w:r>
      <w:r w:rsidR="00760F19" w:rsidRPr="00195211">
        <w:t xml:space="preserve"> production plant</w:t>
      </w:r>
      <w:r w:rsidR="00CE31D9" w:rsidRPr="00195211">
        <w:t xml:space="preserve"> based on SMR</w:t>
      </w:r>
      <w:r w:rsidR="00814A96">
        <w:t>,</w:t>
      </w:r>
      <w:r w:rsidR="00760F19" w:rsidRPr="00195211">
        <w:t xml:space="preserve"> but it is related to the</w:t>
      </w:r>
      <w:r w:rsidR="00CE31D9" w:rsidRPr="00195211">
        <w:t xml:space="preserve"> high concentration of CO</w:t>
      </w:r>
      <w:r w:rsidR="00CE31D9" w:rsidRPr="00195211">
        <w:rPr>
          <w:vertAlign w:val="subscript"/>
        </w:rPr>
        <w:t>2</w:t>
      </w:r>
      <w:r w:rsidR="00CE31D9" w:rsidRPr="00195211">
        <w:t xml:space="preserve"> present in the biogas feed. In particular, not only SMR but also DR take within the </w:t>
      </w:r>
      <w:r w:rsidR="000D30CC" w:rsidRPr="00195211">
        <w:t>e-SMR</w:t>
      </w:r>
      <w:r w:rsidR="00CE31D9" w:rsidRPr="00195211">
        <w:t>.</w:t>
      </w:r>
      <w:r w:rsidR="003B12E7" w:rsidRPr="00195211">
        <w:t xml:space="preserve"> </w:t>
      </w:r>
      <w:r w:rsidR="00CE31D9" w:rsidRPr="00195211">
        <w:t>For this reason</w:t>
      </w:r>
      <w:r w:rsidR="000D30CC" w:rsidRPr="00195211">
        <w:t>,</w:t>
      </w:r>
      <w:r w:rsidR="00CE31D9" w:rsidRPr="00195211">
        <w:t xml:space="preserve"> in the herein </w:t>
      </w:r>
      <w:r w:rsidR="000D30CC" w:rsidRPr="00195211">
        <w:t>described process</w:t>
      </w:r>
      <w:r w:rsidR="00814A96">
        <w:t>,</w:t>
      </w:r>
      <w:r w:rsidR="000D30CC" w:rsidRPr="00195211">
        <w:t xml:space="preserve"> it is </w:t>
      </w:r>
      <w:r w:rsidR="00814A96">
        <w:t>crucial</w:t>
      </w:r>
      <w:r w:rsidR="000D30CC" w:rsidRPr="00195211">
        <w:t xml:space="preserve"> to push the WGS reaction using both high and low</w:t>
      </w:r>
      <w:r w:rsidR="00814A96">
        <w:t>-</w:t>
      </w:r>
      <w:r w:rsidR="000D30CC" w:rsidRPr="00195211">
        <w:t>temperature step</w:t>
      </w:r>
      <w:r w:rsidR="00814A96">
        <w:t>s</w:t>
      </w:r>
      <w:r w:rsidR="000D30CC" w:rsidRPr="00195211">
        <w:t>. The reached CO conversion is higher than 98%. Assuming that the PSA has an H</w:t>
      </w:r>
      <w:r w:rsidR="000D30CC" w:rsidRPr="00195211">
        <w:rPr>
          <w:vertAlign w:val="subscript"/>
        </w:rPr>
        <w:t>2</w:t>
      </w:r>
      <w:r w:rsidR="000D30CC" w:rsidRPr="00195211">
        <w:t xml:space="preserve"> recovery efficiency of 85%, the process produces approximately 1.</w:t>
      </w:r>
      <w:r w:rsidR="00DE4806" w:rsidRPr="00195211">
        <w:t>6 Nm</w:t>
      </w:r>
      <w:r w:rsidR="00DE4806" w:rsidRPr="00195211">
        <w:rPr>
          <w:vertAlign w:val="superscript"/>
        </w:rPr>
        <w:t>3</w:t>
      </w:r>
      <w:r w:rsidR="00DE4806" w:rsidRPr="00195211">
        <w:t xml:space="preserve"> of H</w:t>
      </w:r>
      <w:r w:rsidR="00DE4806" w:rsidRPr="00195211">
        <w:rPr>
          <w:vertAlign w:val="subscript"/>
        </w:rPr>
        <w:t>2</w:t>
      </w:r>
      <w:r w:rsidR="00DE4806" w:rsidRPr="00195211">
        <w:t xml:space="preserve"> per 1 Nm</w:t>
      </w:r>
      <w:r w:rsidR="00DE4806" w:rsidRPr="00195211">
        <w:rPr>
          <w:vertAlign w:val="superscript"/>
        </w:rPr>
        <w:t>3</w:t>
      </w:r>
      <w:r w:rsidR="00DE4806" w:rsidRPr="00195211">
        <w:t xml:space="preserve"> of fed biogas.</w:t>
      </w:r>
      <w:r w:rsidR="00195211" w:rsidRPr="00195211">
        <w:t xml:space="preserve"> Compared to a biogas reforming configuration</w:t>
      </w:r>
      <w:r w:rsidR="00814A96">
        <w:t>,</w:t>
      </w:r>
      <w:r w:rsidR="00195211" w:rsidRPr="00195211">
        <w:t xml:space="preserve"> the H</w:t>
      </w:r>
      <w:r w:rsidR="00195211" w:rsidRPr="00195211">
        <w:rPr>
          <w:vertAlign w:val="subscript"/>
        </w:rPr>
        <w:t>2</w:t>
      </w:r>
      <w:r w:rsidR="00195211" w:rsidRPr="00195211">
        <w:t xml:space="preserve"> productivity is increased by </w:t>
      </w:r>
      <w:r w:rsidR="00216FE4">
        <w:t xml:space="preserve">approximately </w:t>
      </w:r>
      <w:r w:rsidR="0062324F">
        <w:t>60</w:t>
      </w:r>
      <w:r w:rsidR="00E95480">
        <w:t xml:space="preserve"> </w:t>
      </w:r>
      <w:r w:rsidR="0062324F">
        <w:t xml:space="preserve">% </w:t>
      </w:r>
      <w:r w:rsidR="00195211" w:rsidRPr="00195211">
        <w:t>(1.6 Nm</w:t>
      </w:r>
      <w:r w:rsidR="00195211" w:rsidRPr="00195211">
        <w:rPr>
          <w:vertAlign w:val="superscript"/>
        </w:rPr>
        <w:t>3</w:t>
      </w:r>
      <w:r w:rsidR="00195211" w:rsidRPr="00195211">
        <w:t xml:space="preserve"> vs </w:t>
      </w:r>
      <w:r w:rsidR="0062324F">
        <w:t>1.0 Nm</w:t>
      </w:r>
      <w:r w:rsidR="0062324F" w:rsidRPr="0062324F">
        <w:rPr>
          <w:vertAlign w:val="superscript"/>
        </w:rPr>
        <w:t>3</w:t>
      </w:r>
      <w:r w:rsidR="0062324F" w:rsidRPr="0062324F">
        <w:t>)</w:t>
      </w:r>
      <w:r w:rsidR="00195211" w:rsidRPr="00195211">
        <w:t>. This is possible because no biogas is fed to the burners</w:t>
      </w:r>
      <w:r w:rsidR="0062324F">
        <w:t xml:space="preserve"> and because the water gas shift is pushed. At the same time</w:t>
      </w:r>
      <w:r w:rsidR="00A1308B">
        <w:t>,</w:t>
      </w:r>
      <w:r w:rsidR="0062324F">
        <w:t xml:space="preserve"> </w:t>
      </w:r>
      <w:r w:rsidR="00216FE4">
        <w:t xml:space="preserve">approximately </w:t>
      </w:r>
      <w:r w:rsidR="00195211" w:rsidRPr="00195211">
        <w:t xml:space="preserve">1.25 kWh of electricity </w:t>
      </w:r>
      <w:r w:rsidR="00102F9C">
        <w:t>is</w:t>
      </w:r>
      <w:r w:rsidR="00195211" w:rsidRPr="00195211">
        <w:t xml:space="preserve"> used in the e-SMR to compensate for the reaction endothermicity.</w:t>
      </w:r>
    </w:p>
    <w:p w14:paraId="20AFE194" w14:textId="3836FC8C" w:rsidR="002144F2" w:rsidRPr="007222F7" w:rsidRDefault="00DA6B66" w:rsidP="008867AF">
      <w:pPr>
        <w:pStyle w:val="CETBodytext"/>
        <w:spacing w:before="240"/>
      </w:pPr>
      <w:r w:rsidRPr="007222F7">
        <w:t xml:space="preserve">Table </w:t>
      </w:r>
      <w:r w:rsidR="001222AB">
        <w:t>4</w:t>
      </w:r>
      <w:r w:rsidRPr="007222F7">
        <w:t xml:space="preserve">: Key performance indicators of </w:t>
      </w:r>
      <w:r w:rsidR="00BE2095">
        <w:t xml:space="preserve">the developed </w:t>
      </w:r>
      <w:r w:rsidRPr="007222F7">
        <w:t xml:space="preserve">biogas to hydrogen </w:t>
      </w:r>
      <w:r w:rsidR="000A7593" w:rsidRPr="007222F7">
        <w:t>process</w:t>
      </w:r>
      <w:r w:rsidR="00BE2095">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395"/>
        <w:gridCol w:w="567"/>
      </w:tblGrid>
      <w:tr w:rsidR="002144F2" w:rsidRPr="007222F7" w14:paraId="6C3D7479" w14:textId="77777777" w:rsidTr="00895FB8">
        <w:tc>
          <w:tcPr>
            <w:tcW w:w="4395" w:type="dxa"/>
          </w:tcPr>
          <w:p w14:paraId="72AD986E" w14:textId="77777777" w:rsidR="002144F2" w:rsidRPr="007222F7" w:rsidRDefault="002144F2" w:rsidP="00424984">
            <w:pPr>
              <w:pStyle w:val="CETBodytext"/>
              <w:rPr>
                <w:lang w:val="en-GB"/>
              </w:rPr>
            </w:pPr>
            <w:r w:rsidRPr="007222F7">
              <w:rPr>
                <w:rFonts w:eastAsiaTheme="minorHAnsi"/>
              </w:rPr>
              <w:t>Parameter</w:t>
            </w:r>
          </w:p>
        </w:tc>
        <w:tc>
          <w:tcPr>
            <w:tcW w:w="567" w:type="dxa"/>
          </w:tcPr>
          <w:p w14:paraId="08BD9658" w14:textId="77777777" w:rsidR="002144F2" w:rsidRPr="007222F7" w:rsidRDefault="002144F2" w:rsidP="00424984">
            <w:pPr>
              <w:pStyle w:val="CETBodytext"/>
              <w:rPr>
                <w:lang w:val="en-GB"/>
              </w:rPr>
            </w:pPr>
            <w:r w:rsidRPr="007222F7">
              <w:rPr>
                <w:rFonts w:eastAsiaTheme="minorHAnsi"/>
              </w:rPr>
              <w:t>Value</w:t>
            </w:r>
          </w:p>
        </w:tc>
      </w:tr>
      <w:tr w:rsidR="002144F2" w:rsidRPr="007222F7" w14:paraId="562EC654" w14:textId="77777777" w:rsidTr="00895FB8">
        <w:tc>
          <w:tcPr>
            <w:tcW w:w="4395" w:type="dxa"/>
            <w:tcBorders>
              <w:top w:val="single" w:sz="8" w:space="0" w:color="008000"/>
            </w:tcBorders>
          </w:tcPr>
          <w:p w14:paraId="0CAA433E" w14:textId="77777777" w:rsidR="002144F2" w:rsidRPr="007222F7" w:rsidRDefault="002144F2" w:rsidP="00424984">
            <w:pPr>
              <w:pStyle w:val="CETBodytext"/>
              <w:rPr>
                <w:lang w:val="en-GB"/>
              </w:rPr>
            </w:pPr>
            <w:r w:rsidRPr="007222F7">
              <w:t>CH</w:t>
            </w:r>
            <w:r w:rsidRPr="007222F7">
              <w:rPr>
                <w:vertAlign w:val="subscript"/>
              </w:rPr>
              <w:t>4</w:t>
            </w:r>
            <w:r w:rsidRPr="007222F7">
              <w:t xml:space="preserve"> conversion [%]</w:t>
            </w:r>
          </w:p>
        </w:tc>
        <w:tc>
          <w:tcPr>
            <w:tcW w:w="567" w:type="dxa"/>
            <w:tcBorders>
              <w:top w:val="single" w:sz="8" w:space="0" w:color="008000"/>
            </w:tcBorders>
          </w:tcPr>
          <w:p w14:paraId="7AE2499B" w14:textId="77777777" w:rsidR="002144F2" w:rsidRPr="007222F7" w:rsidRDefault="002144F2" w:rsidP="00424984">
            <w:pPr>
              <w:pStyle w:val="CETBodytext"/>
              <w:rPr>
                <w:lang w:val="en-GB"/>
              </w:rPr>
            </w:pPr>
            <w:r w:rsidRPr="007222F7">
              <w:t>97.3</w:t>
            </w:r>
          </w:p>
        </w:tc>
      </w:tr>
      <w:tr w:rsidR="002144F2" w:rsidRPr="007222F7" w14:paraId="32ECEC82" w14:textId="77777777" w:rsidTr="00895FB8">
        <w:tc>
          <w:tcPr>
            <w:tcW w:w="4395" w:type="dxa"/>
          </w:tcPr>
          <w:p w14:paraId="5B7B6AA4" w14:textId="77777777" w:rsidR="002144F2" w:rsidRPr="007222F7" w:rsidRDefault="002144F2" w:rsidP="00424984">
            <w:pPr>
              <w:rPr>
                <w:lang w:val="en-US"/>
              </w:rPr>
            </w:pPr>
            <w:r w:rsidRPr="007222F7">
              <w:rPr>
                <w:lang w:val="en-US"/>
              </w:rPr>
              <w:t>H</w:t>
            </w:r>
            <w:r w:rsidRPr="007222F7">
              <w:rPr>
                <w:vertAlign w:val="subscript"/>
                <w:lang w:val="en-US"/>
              </w:rPr>
              <w:t>2</w:t>
            </w:r>
            <w:r w:rsidRPr="007222F7">
              <w:rPr>
                <w:lang w:val="en-US"/>
              </w:rPr>
              <w:t>/CO selectivity [%]</w:t>
            </w:r>
          </w:p>
          <w:p w14:paraId="28B70586" w14:textId="0F00A58B" w:rsidR="002144F2" w:rsidRPr="007222F7" w:rsidRDefault="002144F2" w:rsidP="00424984">
            <w:pPr>
              <w:pStyle w:val="CETBodytext"/>
              <w:ind w:right="-1"/>
              <w:rPr>
                <w:rFonts w:cs="Arial"/>
                <w:szCs w:val="18"/>
                <w:lang w:val="en-GB"/>
              </w:rPr>
            </w:pPr>
            <w:r w:rsidRPr="007222F7">
              <w:t>H</w:t>
            </w:r>
            <w:r w:rsidRPr="007222F7">
              <w:rPr>
                <w:vertAlign w:val="subscript"/>
              </w:rPr>
              <w:t>2</w:t>
            </w:r>
            <w:r w:rsidRPr="007222F7">
              <w:t>/biogas ratio</w:t>
            </w:r>
            <w:r w:rsidR="00B272F5" w:rsidRPr="007222F7">
              <w:t xml:space="preserve"> [-]</w:t>
            </w:r>
          </w:p>
        </w:tc>
        <w:tc>
          <w:tcPr>
            <w:tcW w:w="567" w:type="dxa"/>
          </w:tcPr>
          <w:p w14:paraId="105BA765" w14:textId="77777777" w:rsidR="002144F2" w:rsidRPr="007222F7" w:rsidRDefault="002144F2" w:rsidP="00424984">
            <w:pPr>
              <w:rPr>
                <w:lang w:val="en-US"/>
              </w:rPr>
            </w:pPr>
            <w:r w:rsidRPr="007222F7">
              <w:rPr>
                <w:lang w:val="en-US"/>
              </w:rPr>
              <w:t>98.0</w:t>
            </w:r>
          </w:p>
          <w:p w14:paraId="27318CA2" w14:textId="2DE9EA06" w:rsidR="002144F2" w:rsidRPr="007222F7" w:rsidRDefault="002144F2" w:rsidP="00424984">
            <w:pPr>
              <w:pStyle w:val="CETBodytext"/>
              <w:ind w:right="-1"/>
              <w:rPr>
                <w:rFonts w:cs="Arial"/>
                <w:szCs w:val="18"/>
                <w:lang w:val="en-GB"/>
              </w:rPr>
            </w:pPr>
            <w:r w:rsidRPr="007222F7">
              <w:t>1.6</w:t>
            </w:r>
            <w:r w:rsidR="00F90D7F" w:rsidRPr="007222F7">
              <w:t>5</w:t>
            </w:r>
          </w:p>
        </w:tc>
      </w:tr>
      <w:tr w:rsidR="002144F2" w:rsidRPr="007222F7" w14:paraId="43B7C742" w14:textId="77777777" w:rsidTr="00895FB8">
        <w:tc>
          <w:tcPr>
            <w:tcW w:w="4395" w:type="dxa"/>
          </w:tcPr>
          <w:p w14:paraId="4639FFE8" w14:textId="37E4478A" w:rsidR="002144F2" w:rsidRPr="007222F7" w:rsidRDefault="00D52B6A" w:rsidP="00424984">
            <w:pPr>
              <w:pStyle w:val="CETBodytext"/>
              <w:ind w:right="-1"/>
              <w:rPr>
                <w:rFonts w:cs="Arial"/>
                <w:szCs w:val="18"/>
                <w:lang w:val="en-GB"/>
              </w:rPr>
            </w:pPr>
            <w:r w:rsidRPr="007222F7">
              <w:t>Specific</w:t>
            </w:r>
            <w:r w:rsidR="002144F2" w:rsidRPr="007222F7">
              <w:t xml:space="preserve"> power in the reagents [</w:t>
            </w:r>
            <w:r w:rsidR="00B272F5" w:rsidRPr="007222F7">
              <w:t>kW</w:t>
            </w:r>
            <w:r w:rsidRPr="007222F7">
              <w:t>h</w:t>
            </w:r>
            <w:r w:rsidR="00404356" w:rsidRPr="007222F7">
              <w:t xml:space="preserve"> </w:t>
            </w:r>
            <w:r w:rsidRPr="007222F7">
              <w:t>Nm</w:t>
            </w:r>
            <w:r w:rsidR="00404356" w:rsidRPr="007222F7">
              <w:rPr>
                <w:vertAlign w:val="superscript"/>
              </w:rPr>
              <w:t>-</w:t>
            </w:r>
            <w:r w:rsidRPr="007222F7">
              <w:rPr>
                <w:vertAlign w:val="superscript"/>
              </w:rPr>
              <w:t>3</w:t>
            </w:r>
            <w:r w:rsidRPr="007222F7">
              <w:t xml:space="preserve"> </w:t>
            </w:r>
            <w:r w:rsidR="00895FB8" w:rsidRPr="007222F7">
              <w:t>biogas</w:t>
            </w:r>
            <w:r w:rsidR="002144F2" w:rsidRPr="007222F7">
              <w:t>]</w:t>
            </w:r>
          </w:p>
        </w:tc>
        <w:tc>
          <w:tcPr>
            <w:tcW w:w="567" w:type="dxa"/>
          </w:tcPr>
          <w:p w14:paraId="3A1B4877" w14:textId="6FB27A54" w:rsidR="002144F2" w:rsidRPr="007222F7" w:rsidRDefault="00895FB8" w:rsidP="00424984">
            <w:pPr>
              <w:pStyle w:val="CETBodytext"/>
              <w:ind w:right="-1"/>
              <w:rPr>
                <w:rFonts w:cs="Arial"/>
                <w:szCs w:val="18"/>
                <w:lang w:val="en-GB"/>
              </w:rPr>
            </w:pPr>
            <w:r w:rsidRPr="007222F7">
              <w:t>4.91</w:t>
            </w:r>
          </w:p>
        </w:tc>
      </w:tr>
      <w:tr w:rsidR="00816E9D" w:rsidRPr="007222F7" w14:paraId="2DD4013B" w14:textId="77777777" w:rsidTr="00895FB8">
        <w:tc>
          <w:tcPr>
            <w:tcW w:w="4395" w:type="dxa"/>
          </w:tcPr>
          <w:p w14:paraId="425CD792" w14:textId="7CD37394" w:rsidR="00816E9D" w:rsidRPr="007222F7" w:rsidRDefault="00E0470B" w:rsidP="00424984">
            <w:pPr>
              <w:rPr>
                <w:lang w:val="en-US"/>
              </w:rPr>
            </w:pPr>
            <w:r w:rsidRPr="007222F7">
              <w:rPr>
                <w:lang w:val="en-US"/>
              </w:rPr>
              <w:t>Specific external energy demand [</w:t>
            </w:r>
            <w:r w:rsidRPr="007222F7">
              <w:t>kWh</w:t>
            </w:r>
            <w:r w:rsidR="00404356" w:rsidRPr="007222F7">
              <w:t xml:space="preserve"> </w:t>
            </w:r>
            <w:r w:rsidRPr="007222F7">
              <w:t>Nm</w:t>
            </w:r>
            <w:r w:rsidR="00404356" w:rsidRPr="007222F7">
              <w:rPr>
                <w:vertAlign w:val="superscript"/>
              </w:rPr>
              <w:t>-</w:t>
            </w:r>
            <w:r w:rsidRPr="007222F7">
              <w:rPr>
                <w:vertAlign w:val="superscript"/>
              </w:rPr>
              <w:t>3</w:t>
            </w:r>
            <w:r w:rsidRPr="007222F7">
              <w:t xml:space="preserve"> biogas</w:t>
            </w:r>
            <w:r w:rsidRPr="007222F7">
              <w:rPr>
                <w:lang w:val="en-US"/>
              </w:rPr>
              <w:t>]</w:t>
            </w:r>
          </w:p>
        </w:tc>
        <w:tc>
          <w:tcPr>
            <w:tcW w:w="567" w:type="dxa"/>
          </w:tcPr>
          <w:p w14:paraId="7EC6DB32" w14:textId="72BD493C" w:rsidR="00816E9D" w:rsidRPr="007222F7" w:rsidRDefault="00E0470B" w:rsidP="00424984">
            <w:pPr>
              <w:rPr>
                <w:lang w:val="en-US"/>
              </w:rPr>
            </w:pPr>
            <w:r w:rsidRPr="007222F7">
              <w:rPr>
                <w:lang w:val="en-US"/>
              </w:rPr>
              <w:t>2.03</w:t>
            </w:r>
          </w:p>
        </w:tc>
      </w:tr>
      <w:tr w:rsidR="002144F2" w:rsidRPr="007222F7" w14:paraId="5D92CCAD" w14:textId="77777777" w:rsidTr="00895FB8">
        <w:tc>
          <w:tcPr>
            <w:tcW w:w="4395" w:type="dxa"/>
          </w:tcPr>
          <w:p w14:paraId="7C641A7F" w14:textId="0EA95B71" w:rsidR="002144F2" w:rsidRPr="007222F7" w:rsidRDefault="00816E9D" w:rsidP="00424984">
            <w:pPr>
              <w:rPr>
                <w:lang w:val="en-US"/>
              </w:rPr>
            </w:pPr>
            <w:r w:rsidRPr="007222F7">
              <w:rPr>
                <w:lang w:val="en-US"/>
              </w:rPr>
              <w:t>Specific e</w:t>
            </w:r>
            <w:r w:rsidR="002144F2" w:rsidRPr="007222F7">
              <w:rPr>
                <w:lang w:val="en-US"/>
              </w:rPr>
              <w:t>xternal energy demand [</w:t>
            </w:r>
            <w:r w:rsidR="00D52B6A" w:rsidRPr="007222F7">
              <w:t>kWh</w:t>
            </w:r>
            <w:r w:rsidR="00404356" w:rsidRPr="007222F7">
              <w:t xml:space="preserve"> </w:t>
            </w:r>
            <w:r w:rsidR="00D52B6A" w:rsidRPr="007222F7">
              <w:t>Nm</w:t>
            </w:r>
            <w:r w:rsidR="00404356" w:rsidRPr="007222F7">
              <w:rPr>
                <w:vertAlign w:val="superscript"/>
              </w:rPr>
              <w:t>-</w:t>
            </w:r>
            <w:r w:rsidR="00D52B6A" w:rsidRPr="007222F7">
              <w:rPr>
                <w:vertAlign w:val="superscript"/>
              </w:rPr>
              <w:t>3</w:t>
            </w:r>
            <w:r w:rsidRPr="007222F7">
              <w:t xml:space="preserve"> H</w:t>
            </w:r>
            <w:r w:rsidRPr="007222F7">
              <w:rPr>
                <w:vertAlign w:val="subscript"/>
              </w:rPr>
              <w:t>2</w:t>
            </w:r>
            <w:r w:rsidR="002144F2" w:rsidRPr="007222F7">
              <w:rPr>
                <w:lang w:val="en-US"/>
              </w:rPr>
              <w:t>]</w:t>
            </w:r>
          </w:p>
          <w:p w14:paraId="27596D14" w14:textId="68E775AC" w:rsidR="002144F2" w:rsidRPr="007222F7" w:rsidRDefault="00816E9D" w:rsidP="00424984">
            <w:pPr>
              <w:rPr>
                <w:lang w:val="en-US"/>
              </w:rPr>
            </w:pPr>
            <w:r w:rsidRPr="007222F7">
              <w:rPr>
                <w:lang w:val="en-US"/>
              </w:rPr>
              <w:t>Specific e</w:t>
            </w:r>
            <w:r w:rsidR="002144F2" w:rsidRPr="007222F7">
              <w:rPr>
                <w:lang w:val="en-US"/>
              </w:rPr>
              <w:t>nergy in the products [</w:t>
            </w:r>
            <w:r w:rsidR="00D52B6A" w:rsidRPr="007222F7">
              <w:t>kWh</w:t>
            </w:r>
            <w:r w:rsidR="00404356" w:rsidRPr="007222F7">
              <w:t xml:space="preserve"> </w:t>
            </w:r>
            <w:r w:rsidR="00D52B6A" w:rsidRPr="007222F7">
              <w:t>Nm</w:t>
            </w:r>
            <w:r w:rsidR="00404356" w:rsidRPr="007222F7">
              <w:rPr>
                <w:vertAlign w:val="superscript"/>
              </w:rPr>
              <w:t>-</w:t>
            </w:r>
            <w:r w:rsidR="00D52B6A" w:rsidRPr="007222F7">
              <w:rPr>
                <w:vertAlign w:val="superscript"/>
              </w:rPr>
              <w:t>3</w:t>
            </w:r>
            <w:r w:rsidR="00D52B6A" w:rsidRPr="007222F7">
              <w:t xml:space="preserve"> </w:t>
            </w:r>
            <w:r w:rsidRPr="007222F7">
              <w:t>biogas</w:t>
            </w:r>
            <w:r w:rsidR="002144F2" w:rsidRPr="007222F7">
              <w:rPr>
                <w:lang w:val="en-US"/>
              </w:rPr>
              <w:t>]</w:t>
            </w:r>
          </w:p>
          <w:p w14:paraId="2CBA6452" w14:textId="24AD7F14" w:rsidR="002144F2" w:rsidRPr="007222F7" w:rsidRDefault="00816E9D" w:rsidP="00424984">
            <w:pPr>
              <w:rPr>
                <w:lang w:val="en-US"/>
              </w:rPr>
            </w:pPr>
            <w:r w:rsidRPr="007222F7">
              <w:rPr>
                <w:lang w:val="en-US"/>
              </w:rPr>
              <w:t>Specific e</w:t>
            </w:r>
            <w:r w:rsidR="002144F2" w:rsidRPr="007222F7">
              <w:rPr>
                <w:lang w:val="en-US"/>
              </w:rPr>
              <w:t>nergy to fermenter [</w:t>
            </w:r>
            <w:r w:rsidR="00D52B6A" w:rsidRPr="007222F7">
              <w:t>kWh</w:t>
            </w:r>
            <w:r w:rsidR="00404356" w:rsidRPr="007222F7">
              <w:t xml:space="preserve"> </w:t>
            </w:r>
            <w:r w:rsidR="00D52B6A" w:rsidRPr="007222F7">
              <w:t>Nm</w:t>
            </w:r>
            <w:r w:rsidR="00404356" w:rsidRPr="007222F7">
              <w:rPr>
                <w:vertAlign w:val="superscript"/>
              </w:rPr>
              <w:t>-</w:t>
            </w:r>
            <w:r w:rsidR="00D52B6A" w:rsidRPr="007222F7">
              <w:rPr>
                <w:vertAlign w:val="superscript"/>
              </w:rPr>
              <w:t>3</w:t>
            </w:r>
            <w:r w:rsidR="00D52B6A" w:rsidRPr="007222F7">
              <w:t xml:space="preserve"> </w:t>
            </w:r>
            <w:r w:rsidRPr="007222F7">
              <w:t>biogas</w:t>
            </w:r>
            <w:r w:rsidR="002144F2" w:rsidRPr="007222F7">
              <w:rPr>
                <w:lang w:val="en-US"/>
              </w:rPr>
              <w:t>]</w:t>
            </w:r>
          </w:p>
          <w:p w14:paraId="05A75F48" w14:textId="77777777" w:rsidR="002144F2" w:rsidRPr="007222F7" w:rsidRDefault="002144F2" w:rsidP="00424984">
            <w:pPr>
              <w:pStyle w:val="CETBodytext"/>
              <w:ind w:right="-1"/>
              <w:rPr>
                <w:rFonts w:cs="Arial"/>
                <w:szCs w:val="18"/>
                <w:lang w:val="en-GB"/>
              </w:rPr>
            </w:pPr>
            <w:r w:rsidRPr="007222F7">
              <w:t>Thermal efficiency without fermenter [%]</w:t>
            </w:r>
          </w:p>
        </w:tc>
        <w:tc>
          <w:tcPr>
            <w:tcW w:w="567" w:type="dxa"/>
          </w:tcPr>
          <w:p w14:paraId="00FEF732" w14:textId="2C86B8AA" w:rsidR="002144F2" w:rsidRPr="007222F7" w:rsidRDefault="00816E9D" w:rsidP="00424984">
            <w:pPr>
              <w:rPr>
                <w:lang w:val="en-US"/>
              </w:rPr>
            </w:pPr>
            <w:r w:rsidRPr="007222F7">
              <w:rPr>
                <w:lang w:val="en-US"/>
              </w:rPr>
              <w:t>1.25</w:t>
            </w:r>
          </w:p>
          <w:p w14:paraId="505DE8D1" w14:textId="31B89DF4" w:rsidR="002144F2" w:rsidRPr="007222F7" w:rsidRDefault="00895FB8" w:rsidP="00424984">
            <w:pPr>
              <w:rPr>
                <w:lang w:val="en-US"/>
              </w:rPr>
            </w:pPr>
            <w:r w:rsidRPr="007222F7">
              <w:rPr>
                <w:lang w:val="en-US"/>
              </w:rPr>
              <w:t>4.86</w:t>
            </w:r>
          </w:p>
          <w:p w14:paraId="3DB987D9" w14:textId="7EF1895E" w:rsidR="002144F2" w:rsidRPr="007222F7" w:rsidRDefault="00816E9D" w:rsidP="00424984">
            <w:pPr>
              <w:rPr>
                <w:lang w:val="en-US"/>
              </w:rPr>
            </w:pPr>
            <w:r w:rsidRPr="007222F7">
              <w:rPr>
                <w:lang w:val="en-US"/>
              </w:rPr>
              <w:t>1.20</w:t>
            </w:r>
          </w:p>
          <w:p w14:paraId="119D60AF" w14:textId="77777777" w:rsidR="002144F2" w:rsidRPr="007222F7" w:rsidRDefault="002144F2" w:rsidP="00424984">
            <w:pPr>
              <w:pStyle w:val="CETBodytext"/>
              <w:ind w:right="-1"/>
              <w:rPr>
                <w:rFonts w:cs="Arial"/>
                <w:szCs w:val="18"/>
                <w:lang w:val="en-GB"/>
              </w:rPr>
            </w:pPr>
            <w:r w:rsidRPr="007222F7">
              <w:t>70.0</w:t>
            </w:r>
          </w:p>
        </w:tc>
      </w:tr>
      <w:tr w:rsidR="002144F2" w:rsidRPr="007222F7" w14:paraId="6776D3D7" w14:textId="77777777" w:rsidTr="00895FB8">
        <w:tc>
          <w:tcPr>
            <w:tcW w:w="4395" w:type="dxa"/>
          </w:tcPr>
          <w:p w14:paraId="63C2DE0A" w14:textId="77777777" w:rsidR="002144F2" w:rsidRPr="007222F7" w:rsidRDefault="002144F2" w:rsidP="00424984">
            <w:pPr>
              <w:pStyle w:val="CETBodytext"/>
              <w:ind w:right="-1"/>
              <w:rPr>
                <w:rFonts w:cs="Arial"/>
                <w:szCs w:val="18"/>
                <w:lang w:val="en-GB"/>
              </w:rPr>
            </w:pPr>
            <w:r w:rsidRPr="007222F7">
              <w:t>Thermal efficiency with fermenter [%]</w:t>
            </w:r>
          </w:p>
        </w:tc>
        <w:tc>
          <w:tcPr>
            <w:tcW w:w="567" w:type="dxa"/>
          </w:tcPr>
          <w:p w14:paraId="45CD13A1" w14:textId="03C77165" w:rsidR="002144F2" w:rsidRPr="007222F7" w:rsidRDefault="002144F2" w:rsidP="00424984">
            <w:pPr>
              <w:pStyle w:val="CETBodytext"/>
              <w:ind w:right="-1"/>
              <w:rPr>
                <w:rFonts w:cs="Arial"/>
                <w:szCs w:val="18"/>
                <w:lang w:val="en-GB"/>
              </w:rPr>
            </w:pPr>
            <w:r w:rsidRPr="007222F7">
              <w:t>87.</w:t>
            </w:r>
            <w:r w:rsidR="00F90D7F" w:rsidRPr="007222F7">
              <w:t>3</w:t>
            </w:r>
          </w:p>
        </w:tc>
      </w:tr>
    </w:tbl>
    <w:p w14:paraId="2C790BF7" w14:textId="77777777" w:rsidR="00216FE4" w:rsidRPr="007222F7" w:rsidRDefault="00216FE4" w:rsidP="00216FE4">
      <w:pPr>
        <w:pStyle w:val="CETBodytext"/>
      </w:pPr>
    </w:p>
    <w:p w14:paraId="204A47A6" w14:textId="150C4C95" w:rsidR="0025315A" w:rsidRPr="0025315A" w:rsidRDefault="00216FE4" w:rsidP="00216FE4">
      <w:pPr>
        <w:pStyle w:val="CETBodytext"/>
      </w:pPr>
      <w:r w:rsidRPr="0025315A">
        <w:t>The thermal efficiency of the process is approximately 70% without considering</w:t>
      </w:r>
      <w:r w:rsidR="0025315A" w:rsidRPr="0025315A">
        <w:t xml:space="preserve"> the integration of the thermal energy between </w:t>
      </w:r>
      <w:r w:rsidR="001932C1">
        <w:t xml:space="preserve">the </w:t>
      </w:r>
      <w:r w:rsidR="0025315A" w:rsidRPr="0025315A">
        <w:t>hydrogen</w:t>
      </w:r>
      <w:r w:rsidR="001932C1">
        <w:t>-</w:t>
      </w:r>
      <w:r w:rsidR="0025315A" w:rsidRPr="0025315A">
        <w:t>producing plant and biogas digester. I</w:t>
      </w:r>
      <w:r w:rsidR="001932C1">
        <w:t>f</w:t>
      </w:r>
      <w:r w:rsidR="0025315A" w:rsidRPr="0025315A">
        <w:t xml:space="preserve"> this integration is completed, the </w:t>
      </w:r>
      <w:r w:rsidR="00A12256" w:rsidRPr="0025315A">
        <w:t>efficiency</w:t>
      </w:r>
      <w:r w:rsidR="0025315A" w:rsidRPr="0025315A">
        <w:t xml:space="preserve"> </w:t>
      </w:r>
      <w:r w:rsidR="009D464A" w:rsidRPr="0025315A">
        <w:t>increases</w:t>
      </w:r>
      <w:r w:rsidR="0025315A" w:rsidRPr="0025315A">
        <w:t xml:space="preserve"> to 87%</w:t>
      </w:r>
      <w:r w:rsidR="001932C1">
        <w:t>,</w:t>
      </w:r>
      <w:r w:rsidR="0025315A" w:rsidRPr="0025315A">
        <w:t xml:space="preserve"> comparable to a large-scale centralized SMR </w:t>
      </w:r>
      <w:r w:rsidR="0025315A" w:rsidRPr="0025315A">
        <w:rPr>
          <w:rFonts w:eastAsiaTheme="minorHAnsi"/>
          <w:noProof/>
          <w:color w:val="000000" w:themeColor="text1"/>
          <w:lang w:val="en-CA"/>
        </w:rPr>
        <w:t>(Rostrup-Nielsen and Christiansen, 2011)</w:t>
      </w:r>
      <w:r w:rsidR="0025315A" w:rsidRPr="0025315A">
        <w:t>.</w:t>
      </w:r>
    </w:p>
    <w:p w14:paraId="3C5A747E" w14:textId="54CFA791" w:rsidR="00A12256" w:rsidRDefault="0025315A" w:rsidP="00C96816">
      <w:pPr>
        <w:pStyle w:val="CETBodytext"/>
        <w:spacing w:after="200"/>
      </w:pPr>
      <w:r w:rsidRPr="00A12256">
        <w:t>Considering that the efficiency of traditionally biogas plant</w:t>
      </w:r>
      <w:r w:rsidR="001932C1">
        <w:t>s</w:t>
      </w:r>
      <w:r w:rsidRPr="00A12256">
        <w:t xml:space="preserve"> that produce electricity</w:t>
      </w:r>
      <w:r w:rsidR="00A12256">
        <w:t xml:space="preserve"> (2 </w:t>
      </w:r>
      <w:proofErr w:type="spellStart"/>
      <w:r w:rsidR="00A12256">
        <w:t>kW</w:t>
      </w:r>
      <w:r w:rsidR="00A12256" w:rsidRPr="00A12256">
        <w:rPr>
          <w:vertAlign w:val="subscript"/>
        </w:rPr>
        <w:t>el</w:t>
      </w:r>
      <w:proofErr w:type="spellEnd"/>
      <w:r w:rsidR="00A12256">
        <w:t xml:space="preserve"> per 1 Nm</w:t>
      </w:r>
      <w:r w:rsidR="00A12256" w:rsidRPr="00A12256">
        <w:rPr>
          <w:vertAlign w:val="superscript"/>
        </w:rPr>
        <w:t>3</w:t>
      </w:r>
      <w:r w:rsidR="00A12256">
        <w:t xml:space="preserve"> of biogas)</w:t>
      </w:r>
      <w:r w:rsidRPr="00A12256">
        <w:t xml:space="preserve"> using an internal combustion engine and a</w:t>
      </w:r>
      <w:r w:rsidR="001932C1">
        <w:t>n</w:t>
      </w:r>
      <w:r w:rsidRPr="00A12256">
        <w:t xml:space="preserve"> alternator is </w:t>
      </w:r>
      <w:r w:rsidR="00A12256" w:rsidRPr="00A12256">
        <w:t>approximately</w:t>
      </w:r>
      <w:r w:rsidRPr="00A12256">
        <w:t xml:space="preserve"> 35%, the </w:t>
      </w:r>
      <w:r w:rsidR="00A12256" w:rsidRPr="00A12256">
        <w:t>described</w:t>
      </w:r>
      <w:r w:rsidRPr="00A12256">
        <w:t xml:space="preserve"> H</w:t>
      </w:r>
      <w:r w:rsidRPr="001932C1">
        <w:rPr>
          <w:vertAlign w:val="subscript"/>
        </w:rPr>
        <w:t>2</w:t>
      </w:r>
      <w:r w:rsidRPr="00A12256">
        <w:t xml:space="preserve"> production route is twice higher</w:t>
      </w:r>
      <w:r w:rsidR="00A12256" w:rsidRPr="00A12256">
        <w:t xml:space="preserve"> </w:t>
      </w:r>
      <w:r w:rsidR="00A12256" w:rsidRPr="00A12256">
        <w:rPr>
          <w:rFonts w:eastAsiaTheme="minorHAnsi"/>
          <w:noProof/>
          <w:lang w:val="en-CA"/>
        </w:rPr>
        <w:t>(Benato and Macor, 2019)</w:t>
      </w:r>
      <w:r w:rsidRPr="00A12256">
        <w:t>.</w:t>
      </w:r>
      <w:r w:rsidR="00A12256">
        <w:t xml:space="preserve"> Therefore, considering the renewable energy market relate</w:t>
      </w:r>
      <w:r w:rsidR="001932C1">
        <w:t>d</w:t>
      </w:r>
      <w:r w:rsidR="00A12256">
        <w:t xml:space="preserve"> to the biogas section within Italy, it will be possible to increase the </w:t>
      </w:r>
      <w:r w:rsidR="00A12256" w:rsidRPr="009D464A">
        <w:t>energy production from</w:t>
      </w:r>
      <w:r w:rsidR="00FD40F3" w:rsidRPr="009D464A">
        <w:t xml:space="preserve"> 8.3</w:t>
      </w:r>
      <w:r w:rsidR="009D464A" w:rsidRPr="009D464A">
        <w:t xml:space="preserve"> </w:t>
      </w:r>
      <w:proofErr w:type="spellStart"/>
      <w:r w:rsidR="00FD40F3" w:rsidRPr="009D464A">
        <w:t>TWh</w:t>
      </w:r>
      <w:proofErr w:type="spellEnd"/>
      <w:r w:rsidR="00FD40F3" w:rsidRPr="009D464A">
        <w:t xml:space="preserve"> </w:t>
      </w:r>
      <w:r w:rsidR="001932C1">
        <w:t>t</w:t>
      </w:r>
      <w:r w:rsidR="00A12256" w:rsidRPr="009D464A">
        <w:t xml:space="preserve">o </w:t>
      </w:r>
      <w:r w:rsidR="009D464A" w:rsidRPr="009D464A">
        <w:t xml:space="preserve">16.6 </w:t>
      </w:r>
      <w:proofErr w:type="spellStart"/>
      <w:r w:rsidR="009D464A" w:rsidRPr="009D464A">
        <w:t>TWh</w:t>
      </w:r>
      <w:proofErr w:type="spellEnd"/>
      <w:r w:rsidR="009D464A" w:rsidRPr="009D464A">
        <w:t>.</w:t>
      </w:r>
    </w:p>
    <w:p w14:paraId="5637E919" w14:textId="77777777" w:rsidR="00DA6B66" w:rsidRPr="00D86567" w:rsidRDefault="00DA6B66" w:rsidP="00DA6B66">
      <w:pPr>
        <w:keepNext/>
        <w:numPr>
          <w:ilvl w:val="2"/>
          <w:numId w:val="1"/>
        </w:numPr>
        <w:tabs>
          <w:tab w:val="clear" w:pos="7100"/>
        </w:tabs>
        <w:suppressAutoHyphens/>
        <w:spacing w:before="120" w:after="120" w:line="240" w:lineRule="auto"/>
        <w:jc w:val="left"/>
        <w:rPr>
          <w:rFonts w:eastAsiaTheme="minorHAnsi"/>
          <w:b/>
          <w:lang w:val="en-US"/>
        </w:rPr>
      </w:pPr>
      <w:r w:rsidRPr="00D86567">
        <w:rPr>
          <w:rFonts w:eastAsiaTheme="minorHAnsi"/>
          <w:b/>
          <w:lang w:val="en-US"/>
        </w:rPr>
        <w:t>Economic analysis</w:t>
      </w:r>
    </w:p>
    <w:p w14:paraId="39F64377" w14:textId="2E2AE4BD" w:rsidR="00DA6B66" w:rsidRPr="00D86567" w:rsidRDefault="00226A91" w:rsidP="00C11684">
      <w:pPr>
        <w:pStyle w:val="CETBodytext"/>
      </w:pPr>
      <w:r w:rsidRPr="00D86567">
        <w:t>The e</w:t>
      </w:r>
      <w:r w:rsidR="00DA6B66" w:rsidRPr="00D86567">
        <w:t>conomic index</w:t>
      </w:r>
      <w:r w:rsidRPr="00D86567">
        <w:t>es</w:t>
      </w:r>
      <w:r w:rsidR="00DA6B66" w:rsidRPr="00D86567">
        <w:t xml:space="preserve"> (</w:t>
      </w:r>
      <w:r w:rsidR="00E44B62" w:rsidRPr="00D86567">
        <w:t xml:space="preserve">Table </w:t>
      </w:r>
      <w:r w:rsidR="005577DE">
        <w:t>5</w:t>
      </w:r>
      <w:r w:rsidR="00DA6B66" w:rsidRPr="00D86567">
        <w:t xml:space="preserve">) </w:t>
      </w:r>
      <w:r w:rsidR="005530A4" w:rsidRPr="00D86567">
        <w:t>show</w:t>
      </w:r>
      <w:r w:rsidR="00DA6B66" w:rsidRPr="00D86567">
        <w:t xml:space="preserve"> the economic feasibility of the process </w:t>
      </w:r>
      <w:r w:rsidRPr="00D86567">
        <w:t>based on</w:t>
      </w:r>
      <w:r w:rsidR="005661A9" w:rsidRPr="00D86567">
        <w:t xml:space="preserve"> the</w:t>
      </w:r>
      <w:r w:rsidR="00DA6B66" w:rsidRPr="00D86567">
        <w:t xml:space="preserve"> selling price of the green hydrogen</w:t>
      </w:r>
      <w:r w:rsidR="005530A4" w:rsidRPr="00D86567">
        <w:t xml:space="preserve"> of about 7</w:t>
      </w:r>
      <w:r w:rsidR="00353EF7">
        <w:t xml:space="preserve"> </w:t>
      </w:r>
      <w:r w:rsidR="005530A4" w:rsidRPr="00D86567">
        <w:rPr>
          <w:rFonts w:cs="Arial"/>
        </w:rPr>
        <w:t>€</w:t>
      </w:r>
      <w:r w:rsidR="00404356" w:rsidRPr="00D86567">
        <w:t xml:space="preserve"> K</w:t>
      </w:r>
      <w:r w:rsidR="005530A4" w:rsidRPr="00D86567">
        <w:t>g</w:t>
      </w:r>
      <w:r w:rsidR="00404356" w:rsidRPr="00D86567">
        <w:rPr>
          <w:vertAlign w:val="superscript"/>
        </w:rPr>
        <w:t>-1</w:t>
      </w:r>
      <w:r w:rsidR="00DA6B66" w:rsidRPr="00D86567">
        <w:t xml:space="preserve">. The operating costs </w:t>
      </w:r>
      <w:r w:rsidR="00A12256" w:rsidRPr="00D86567">
        <w:t xml:space="preserve">account for approximately </w:t>
      </w:r>
      <w:r w:rsidR="00DA6B66" w:rsidRPr="00D86567">
        <w:t>75 % of the</w:t>
      </w:r>
      <w:r w:rsidR="00A12256" w:rsidRPr="00D86567">
        <w:t xml:space="preserve"> hydrogen production </w:t>
      </w:r>
      <w:r w:rsidR="009D464A" w:rsidRPr="00D86567">
        <w:t>costs.</w:t>
      </w:r>
      <w:r w:rsidR="00DA6B66" w:rsidRPr="00D86567">
        <w:t xml:space="preserve"> </w:t>
      </w:r>
      <w:r w:rsidR="00421544">
        <w:t>It is evident how the recovery of the PSA is a crucial parameter and strongly influence</w:t>
      </w:r>
      <w:r w:rsidR="001D5001">
        <w:t>s</w:t>
      </w:r>
      <w:r w:rsidR="00421544">
        <w:t xml:space="preserve"> the profit of the process</w:t>
      </w:r>
      <w:r w:rsidR="00D15004">
        <w:t>. O</w:t>
      </w:r>
      <w:r w:rsidR="00421544">
        <w:t>n the other hand</w:t>
      </w:r>
      <w:r w:rsidR="00D15004">
        <w:t>,</w:t>
      </w:r>
      <w:r w:rsidR="00421544">
        <w:t xml:space="preserve"> for all possible value</w:t>
      </w:r>
      <w:r w:rsidR="00D15004">
        <w:t>s</w:t>
      </w:r>
      <w:r w:rsidR="00421544">
        <w:t xml:space="preserve"> of this parameter</w:t>
      </w:r>
      <w:r w:rsidR="00D15004">
        <w:t>,</w:t>
      </w:r>
      <w:r w:rsidR="00421544">
        <w:t xml:space="preserve"> the process stays profitable. </w:t>
      </w:r>
    </w:p>
    <w:p w14:paraId="37870ED6" w14:textId="2BD1C6AD" w:rsidR="00DA6B66" w:rsidRPr="00D86567" w:rsidRDefault="00DA6B66" w:rsidP="00C72AC0">
      <w:pPr>
        <w:pStyle w:val="CETTabletitle"/>
      </w:pPr>
      <w:r w:rsidRPr="00D86567">
        <w:t xml:space="preserve">Table </w:t>
      </w:r>
      <w:r w:rsidR="001222AB">
        <w:t>5</w:t>
      </w:r>
      <w:r w:rsidRPr="00D86567">
        <w:t>:</w:t>
      </w:r>
      <w:r w:rsidRPr="00D86567">
        <w:rPr>
          <w:rFonts w:eastAsiaTheme="minorHAnsi"/>
        </w:rPr>
        <w:t xml:space="preserve"> Economic parameters for the biogas-to-hydrogen process</w:t>
      </w:r>
      <w:r w:rsidR="00EE61BF">
        <w:rPr>
          <w:rFonts w:eastAsiaTheme="minorHAnsi"/>
        </w:rPr>
        <w:t xml:space="preserve"> for the investigated PSA recovery range</w:t>
      </w:r>
      <w:r w:rsidRPr="00D86567">
        <w:rPr>
          <w:rFonts w:eastAsiaTheme="minorHAnsi"/>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52"/>
        <w:gridCol w:w="1843"/>
        <w:gridCol w:w="2409"/>
        <w:gridCol w:w="1418"/>
      </w:tblGrid>
      <w:tr w:rsidR="00EE61BF" w:rsidRPr="00D86567" w14:paraId="72A1E20E" w14:textId="7EF1D801" w:rsidTr="00E66B97">
        <w:tc>
          <w:tcPr>
            <w:tcW w:w="2552" w:type="dxa"/>
            <w:tcBorders>
              <w:top w:val="single" w:sz="12" w:space="0" w:color="008000"/>
              <w:bottom w:val="single" w:sz="8" w:space="0" w:color="008000"/>
            </w:tcBorders>
          </w:tcPr>
          <w:p w14:paraId="6C4DC3E6" w14:textId="1C8F4447" w:rsidR="00EE61BF" w:rsidRPr="00D86567" w:rsidRDefault="00EE61BF" w:rsidP="001D5001">
            <w:pPr>
              <w:pStyle w:val="CETBodytext"/>
              <w:jc w:val="left"/>
              <w:rPr>
                <w:lang w:val="en-GB"/>
              </w:rPr>
            </w:pPr>
            <w:bookmarkStart w:id="2" w:name="_Hlk98227061"/>
            <w:r w:rsidRPr="00D86567">
              <w:t>Economic indexes</w:t>
            </w:r>
          </w:p>
        </w:tc>
        <w:tc>
          <w:tcPr>
            <w:tcW w:w="1843" w:type="dxa"/>
            <w:tcBorders>
              <w:top w:val="single" w:sz="12" w:space="0" w:color="008000"/>
              <w:bottom w:val="single" w:sz="8" w:space="0" w:color="008000"/>
            </w:tcBorders>
          </w:tcPr>
          <w:p w14:paraId="7E6137AD" w14:textId="720106E5" w:rsidR="00EE61BF" w:rsidRPr="00D86567" w:rsidRDefault="000833BF" w:rsidP="001D5001">
            <w:pPr>
              <w:pStyle w:val="CETBodytext"/>
              <w:jc w:val="left"/>
              <w:rPr>
                <w:lang w:val="en-GB"/>
              </w:rPr>
            </w:pPr>
            <w:r>
              <w:t>8</w:t>
            </w:r>
            <w:r w:rsidR="00EE61BF">
              <w:t>5 % recovery</w:t>
            </w:r>
          </w:p>
        </w:tc>
        <w:tc>
          <w:tcPr>
            <w:tcW w:w="2409" w:type="dxa"/>
            <w:tcBorders>
              <w:top w:val="single" w:sz="12" w:space="0" w:color="008000"/>
              <w:bottom w:val="single" w:sz="8" w:space="0" w:color="008000"/>
            </w:tcBorders>
          </w:tcPr>
          <w:p w14:paraId="3DE6E740" w14:textId="717DCFE5" w:rsidR="00EE61BF" w:rsidRPr="00D86567" w:rsidDel="00EE61BF" w:rsidRDefault="00EE61BF" w:rsidP="001D5001">
            <w:pPr>
              <w:pStyle w:val="CETBodytext"/>
              <w:jc w:val="left"/>
            </w:pPr>
            <w:r>
              <w:t>80 % recovery</w:t>
            </w:r>
          </w:p>
        </w:tc>
        <w:tc>
          <w:tcPr>
            <w:tcW w:w="1418" w:type="dxa"/>
            <w:tcBorders>
              <w:top w:val="single" w:sz="12" w:space="0" w:color="008000"/>
              <w:bottom w:val="single" w:sz="8" w:space="0" w:color="008000"/>
            </w:tcBorders>
          </w:tcPr>
          <w:p w14:paraId="1EF88DEF" w14:textId="210BCCFE" w:rsidR="00EE61BF" w:rsidRPr="00D86567" w:rsidDel="00EE61BF" w:rsidRDefault="000833BF" w:rsidP="001D5001">
            <w:pPr>
              <w:pStyle w:val="CETBodytext"/>
              <w:jc w:val="left"/>
            </w:pPr>
            <w:r>
              <w:t>7</w:t>
            </w:r>
            <w:r w:rsidR="00EE61BF">
              <w:t>5</w:t>
            </w:r>
            <w:r w:rsidR="00421544">
              <w:t xml:space="preserve"> </w:t>
            </w:r>
            <w:r w:rsidR="00EE61BF">
              <w:t>% recovery</w:t>
            </w:r>
          </w:p>
        </w:tc>
      </w:tr>
      <w:tr w:rsidR="00562612" w:rsidRPr="00D86567" w14:paraId="21185329" w14:textId="77777777" w:rsidTr="00E66B97">
        <w:tc>
          <w:tcPr>
            <w:tcW w:w="2552" w:type="dxa"/>
            <w:tcBorders>
              <w:top w:val="single" w:sz="8" w:space="0" w:color="008000"/>
              <w:bottom w:val="nil"/>
            </w:tcBorders>
          </w:tcPr>
          <w:p w14:paraId="4AB32E6D" w14:textId="0FCD08A8" w:rsidR="00562612" w:rsidRPr="00D32042" w:rsidRDefault="00562612" w:rsidP="009F670B">
            <w:pPr>
              <w:pStyle w:val="CETBodytext"/>
              <w:jc w:val="left"/>
            </w:pPr>
            <w:r>
              <w:t>H</w:t>
            </w:r>
            <w:r w:rsidRPr="009F670B">
              <w:rPr>
                <w:vertAlign w:val="subscript"/>
              </w:rPr>
              <w:t>2</w:t>
            </w:r>
            <w:r w:rsidR="00D32042">
              <w:rPr>
                <w:vertAlign w:val="subscript"/>
              </w:rPr>
              <w:t xml:space="preserve"> </w:t>
            </w:r>
            <w:r w:rsidR="00D32042">
              <w:t>productivity [Nm</w:t>
            </w:r>
            <w:r w:rsidR="00D32042" w:rsidRPr="009F670B">
              <w:rPr>
                <w:vertAlign w:val="superscript"/>
              </w:rPr>
              <w:t>3</w:t>
            </w:r>
            <w:r w:rsidR="00D32042">
              <w:rPr>
                <w:vertAlign w:val="superscript"/>
              </w:rPr>
              <w:t xml:space="preserve"> </w:t>
            </w:r>
            <w:r w:rsidR="00D32042">
              <w:t>h</w:t>
            </w:r>
            <w:r w:rsidR="00D32042" w:rsidRPr="009F670B">
              <w:rPr>
                <w:vertAlign w:val="superscript"/>
              </w:rPr>
              <w:t>-1</w:t>
            </w:r>
            <w:r w:rsidR="00D32042">
              <w:rPr>
                <w:vertAlign w:val="superscript"/>
              </w:rPr>
              <w:t xml:space="preserve"> </w:t>
            </w:r>
            <w:r w:rsidR="00D32042">
              <w:t>]</w:t>
            </w:r>
          </w:p>
        </w:tc>
        <w:tc>
          <w:tcPr>
            <w:tcW w:w="1843" w:type="dxa"/>
            <w:tcBorders>
              <w:top w:val="single" w:sz="8" w:space="0" w:color="008000"/>
              <w:bottom w:val="nil"/>
            </w:tcBorders>
          </w:tcPr>
          <w:p w14:paraId="5708EA02" w14:textId="24A154AB" w:rsidR="00562612" w:rsidRPr="00D86567" w:rsidRDefault="000833BF" w:rsidP="009F670B">
            <w:pPr>
              <w:pStyle w:val="CETBodytext"/>
              <w:jc w:val="left"/>
            </w:pPr>
            <w:r>
              <w:t>50</w:t>
            </w:r>
          </w:p>
        </w:tc>
        <w:tc>
          <w:tcPr>
            <w:tcW w:w="2409" w:type="dxa"/>
            <w:tcBorders>
              <w:top w:val="single" w:sz="8" w:space="0" w:color="008000"/>
              <w:bottom w:val="nil"/>
            </w:tcBorders>
          </w:tcPr>
          <w:p w14:paraId="0C062379" w14:textId="1F146F15" w:rsidR="00562612" w:rsidRPr="00D86567" w:rsidRDefault="000833BF" w:rsidP="009F670B">
            <w:pPr>
              <w:pStyle w:val="CETBodytext"/>
              <w:jc w:val="left"/>
            </w:pPr>
            <w:r>
              <w:t>47.1</w:t>
            </w:r>
          </w:p>
        </w:tc>
        <w:tc>
          <w:tcPr>
            <w:tcW w:w="1418" w:type="dxa"/>
            <w:tcBorders>
              <w:top w:val="single" w:sz="8" w:space="0" w:color="008000"/>
              <w:bottom w:val="nil"/>
            </w:tcBorders>
          </w:tcPr>
          <w:p w14:paraId="628B9D24" w14:textId="38D24503" w:rsidR="00562612" w:rsidRPr="00D86567" w:rsidRDefault="000833BF" w:rsidP="009F670B">
            <w:pPr>
              <w:pStyle w:val="CETBodytext"/>
              <w:jc w:val="left"/>
            </w:pPr>
            <w:r>
              <w:t>44.1</w:t>
            </w:r>
          </w:p>
        </w:tc>
      </w:tr>
      <w:tr w:rsidR="00EE61BF" w:rsidRPr="00D86567" w14:paraId="55C82565" w14:textId="4069CF22" w:rsidTr="00E66B97">
        <w:tc>
          <w:tcPr>
            <w:tcW w:w="2552" w:type="dxa"/>
            <w:tcBorders>
              <w:top w:val="nil"/>
            </w:tcBorders>
          </w:tcPr>
          <w:p w14:paraId="476A16D1" w14:textId="70F49578" w:rsidR="00EE61BF" w:rsidRPr="00D86567" w:rsidRDefault="00EE61BF" w:rsidP="009F670B">
            <w:pPr>
              <w:pStyle w:val="CETBodytext"/>
              <w:jc w:val="left"/>
              <w:rPr>
                <w:lang w:val="en-GB"/>
              </w:rPr>
            </w:pPr>
            <w:r w:rsidRPr="00D86567">
              <w:t>OPEX [</w:t>
            </w:r>
            <w:r w:rsidRPr="00D86567">
              <w:rPr>
                <w:rFonts w:cs="Arial"/>
              </w:rPr>
              <w:t>€ y</w:t>
            </w:r>
            <w:r w:rsidRPr="00D86567">
              <w:rPr>
                <w:rFonts w:cs="Arial"/>
                <w:vertAlign w:val="superscript"/>
              </w:rPr>
              <w:t>-1</w:t>
            </w:r>
            <w:r w:rsidRPr="00D86567">
              <w:t>]</w:t>
            </w:r>
          </w:p>
        </w:tc>
        <w:tc>
          <w:tcPr>
            <w:tcW w:w="1843" w:type="dxa"/>
            <w:tcBorders>
              <w:top w:val="nil"/>
            </w:tcBorders>
          </w:tcPr>
          <w:p w14:paraId="4BFA20C6" w14:textId="2A1D3CCB" w:rsidR="00EE61BF" w:rsidRPr="00D86567" w:rsidRDefault="00EE61BF" w:rsidP="009F670B">
            <w:pPr>
              <w:pStyle w:val="CETBodytext"/>
              <w:jc w:val="left"/>
              <w:rPr>
                <w:lang w:val="en-GB"/>
              </w:rPr>
            </w:pPr>
            <w:r w:rsidRPr="00D86567">
              <w:t>137000</w:t>
            </w:r>
          </w:p>
        </w:tc>
        <w:tc>
          <w:tcPr>
            <w:tcW w:w="2409" w:type="dxa"/>
            <w:tcBorders>
              <w:top w:val="nil"/>
            </w:tcBorders>
          </w:tcPr>
          <w:p w14:paraId="3340EB1D" w14:textId="060B909B" w:rsidR="00EE61BF" w:rsidRPr="00D46F0C" w:rsidRDefault="00D46F0C" w:rsidP="009F670B">
            <w:pPr>
              <w:pStyle w:val="CETBodytext"/>
              <w:jc w:val="left"/>
            </w:pPr>
            <w:r w:rsidRPr="00D46F0C">
              <w:t>137000</w:t>
            </w:r>
          </w:p>
        </w:tc>
        <w:tc>
          <w:tcPr>
            <w:tcW w:w="1418" w:type="dxa"/>
            <w:tcBorders>
              <w:top w:val="nil"/>
            </w:tcBorders>
          </w:tcPr>
          <w:p w14:paraId="363C25DE" w14:textId="3451E04F" w:rsidR="00EE61BF" w:rsidRPr="00D46F0C" w:rsidRDefault="00D46F0C" w:rsidP="009F670B">
            <w:pPr>
              <w:pStyle w:val="CETBodytext"/>
              <w:jc w:val="left"/>
            </w:pPr>
            <w:r w:rsidRPr="00D46F0C">
              <w:t>137000</w:t>
            </w:r>
          </w:p>
        </w:tc>
      </w:tr>
      <w:tr w:rsidR="00EE61BF" w:rsidRPr="00D86567" w14:paraId="2D794F6F" w14:textId="3C85794F" w:rsidTr="009F670B">
        <w:tc>
          <w:tcPr>
            <w:tcW w:w="2552" w:type="dxa"/>
          </w:tcPr>
          <w:p w14:paraId="7A4F68E2" w14:textId="77777777" w:rsidR="00EE61BF" w:rsidRPr="00D86567" w:rsidRDefault="00EE61BF" w:rsidP="009F670B">
            <w:pPr>
              <w:pStyle w:val="CETBodytext"/>
              <w:ind w:right="-1"/>
              <w:jc w:val="left"/>
              <w:rPr>
                <w:rFonts w:cs="Arial"/>
                <w:szCs w:val="18"/>
                <w:lang w:val="en-GB"/>
              </w:rPr>
            </w:pPr>
            <w:r w:rsidRPr="00D86567">
              <w:t>% OPEX</w:t>
            </w:r>
          </w:p>
        </w:tc>
        <w:tc>
          <w:tcPr>
            <w:tcW w:w="1843" w:type="dxa"/>
          </w:tcPr>
          <w:p w14:paraId="53779418" w14:textId="6CE64FA5" w:rsidR="00EE61BF" w:rsidRPr="00D86567" w:rsidRDefault="00EE61BF" w:rsidP="009F670B">
            <w:pPr>
              <w:pStyle w:val="CETBodytext"/>
              <w:ind w:right="-1"/>
              <w:jc w:val="left"/>
              <w:rPr>
                <w:rFonts w:cs="Arial"/>
                <w:szCs w:val="18"/>
                <w:lang w:val="en-GB"/>
              </w:rPr>
            </w:pPr>
            <w:r w:rsidRPr="00D86567">
              <w:t>78</w:t>
            </w:r>
          </w:p>
        </w:tc>
        <w:tc>
          <w:tcPr>
            <w:tcW w:w="2409" w:type="dxa"/>
          </w:tcPr>
          <w:p w14:paraId="7DB3E7C0" w14:textId="32F48427" w:rsidR="00EE61BF" w:rsidRPr="00D86567" w:rsidRDefault="00E32265" w:rsidP="009F670B">
            <w:pPr>
              <w:pStyle w:val="CETBodytext"/>
              <w:ind w:right="-1"/>
              <w:jc w:val="left"/>
            </w:pPr>
            <w:r w:rsidRPr="00D86567">
              <w:t>78</w:t>
            </w:r>
          </w:p>
        </w:tc>
        <w:tc>
          <w:tcPr>
            <w:tcW w:w="1418" w:type="dxa"/>
          </w:tcPr>
          <w:p w14:paraId="678BA65C" w14:textId="1EC26F84" w:rsidR="00EE61BF" w:rsidRPr="00D86567" w:rsidRDefault="00E32265" w:rsidP="009F670B">
            <w:pPr>
              <w:pStyle w:val="CETBodytext"/>
              <w:ind w:right="-1"/>
              <w:jc w:val="left"/>
            </w:pPr>
            <w:r w:rsidRPr="00D86567">
              <w:t>78</w:t>
            </w:r>
          </w:p>
        </w:tc>
      </w:tr>
      <w:tr w:rsidR="00EE61BF" w:rsidRPr="00D86567" w14:paraId="5F0007B6" w14:textId="737A0F61" w:rsidTr="009F670B">
        <w:tc>
          <w:tcPr>
            <w:tcW w:w="2552" w:type="dxa"/>
          </w:tcPr>
          <w:p w14:paraId="21E932B0" w14:textId="7D25EE1E" w:rsidR="00EE61BF" w:rsidRPr="00D86567" w:rsidRDefault="00EE61BF" w:rsidP="009F670B">
            <w:pPr>
              <w:pStyle w:val="CETBodytext"/>
              <w:ind w:right="-1"/>
              <w:jc w:val="left"/>
              <w:rPr>
                <w:rFonts w:cs="Arial"/>
                <w:szCs w:val="18"/>
                <w:lang w:val="en-GB"/>
              </w:rPr>
            </w:pPr>
            <w:r w:rsidRPr="00D86567">
              <w:t>H</w:t>
            </w:r>
            <w:r w:rsidRPr="00D86567">
              <w:rPr>
                <w:vertAlign w:val="subscript"/>
              </w:rPr>
              <w:t>2</w:t>
            </w:r>
            <w:r w:rsidRPr="00D86567">
              <w:t xml:space="preserve"> production cost [</w:t>
            </w:r>
            <w:r w:rsidRPr="00D86567">
              <w:rPr>
                <w:rFonts w:cs="Arial"/>
              </w:rPr>
              <w:t>€</w:t>
            </w:r>
            <w:r w:rsidRPr="00D86567">
              <w:t xml:space="preserve"> kg</w:t>
            </w:r>
            <w:r w:rsidRPr="00D86567">
              <w:rPr>
                <w:vertAlign w:val="superscript"/>
              </w:rPr>
              <w:t>-1</w:t>
            </w:r>
            <w:r w:rsidRPr="00D86567">
              <w:t>]</w:t>
            </w:r>
          </w:p>
        </w:tc>
        <w:tc>
          <w:tcPr>
            <w:tcW w:w="1843" w:type="dxa"/>
          </w:tcPr>
          <w:p w14:paraId="0A4A49DB" w14:textId="727FDAE8" w:rsidR="00EE61BF" w:rsidRPr="00D86567" w:rsidRDefault="00EE61BF" w:rsidP="009F670B">
            <w:pPr>
              <w:pStyle w:val="CETBodytext"/>
              <w:ind w:right="-1"/>
              <w:jc w:val="left"/>
              <w:rPr>
                <w:rFonts w:cs="Arial"/>
                <w:szCs w:val="18"/>
                <w:lang w:val="en-GB"/>
              </w:rPr>
            </w:pPr>
            <w:r w:rsidRPr="00D86567">
              <w:t>4.9</w:t>
            </w:r>
          </w:p>
        </w:tc>
        <w:tc>
          <w:tcPr>
            <w:tcW w:w="2409" w:type="dxa"/>
          </w:tcPr>
          <w:p w14:paraId="0A3C08D2" w14:textId="3B69C841" w:rsidR="00EE61BF" w:rsidRPr="00D86567" w:rsidRDefault="00E32265" w:rsidP="009F670B">
            <w:pPr>
              <w:pStyle w:val="CETBodytext"/>
              <w:ind w:right="-1"/>
              <w:jc w:val="left"/>
            </w:pPr>
            <w:r>
              <w:t>5</w:t>
            </w:r>
            <w:r w:rsidR="009F670B">
              <w:t>.</w:t>
            </w:r>
            <w:r>
              <w:t>19</w:t>
            </w:r>
          </w:p>
        </w:tc>
        <w:tc>
          <w:tcPr>
            <w:tcW w:w="1418" w:type="dxa"/>
          </w:tcPr>
          <w:p w14:paraId="2CACF506" w14:textId="4953A2DA" w:rsidR="00EE61BF" w:rsidRPr="00D86567" w:rsidRDefault="00E32265" w:rsidP="009F670B">
            <w:pPr>
              <w:pStyle w:val="CETBodytext"/>
              <w:ind w:right="-1"/>
              <w:jc w:val="left"/>
            </w:pPr>
            <w:r>
              <w:t>5</w:t>
            </w:r>
            <w:r w:rsidR="009F670B">
              <w:t>.</w:t>
            </w:r>
            <w:r>
              <w:t>54</w:t>
            </w:r>
          </w:p>
        </w:tc>
      </w:tr>
      <w:tr w:rsidR="00EE61BF" w:rsidRPr="005146F5" w14:paraId="0431BF7E" w14:textId="0240B988" w:rsidTr="009F670B">
        <w:tc>
          <w:tcPr>
            <w:tcW w:w="2552" w:type="dxa"/>
            <w:tcBorders>
              <w:bottom w:val="single" w:sz="8" w:space="0" w:color="008000"/>
            </w:tcBorders>
          </w:tcPr>
          <w:p w14:paraId="1F34B0F4" w14:textId="351359B7" w:rsidR="00EE61BF" w:rsidRPr="00D86567" w:rsidRDefault="00EE61BF" w:rsidP="009F670B">
            <w:pPr>
              <w:pStyle w:val="CETBodytext"/>
              <w:ind w:right="-1"/>
              <w:jc w:val="left"/>
              <w:rPr>
                <w:rFonts w:cs="Arial"/>
                <w:szCs w:val="18"/>
                <w:lang w:val="en-GB"/>
              </w:rPr>
            </w:pPr>
            <w:r w:rsidRPr="00D86567">
              <w:t>Profit [</w:t>
            </w:r>
            <w:r w:rsidRPr="00D86567">
              <w:rPr>
                <w:rFonts w:cs="Arial"/>
              </w:rPr>
              <w:t>€</w:t>
            </w:r>
            <w:r w:rsidRPr="00D86567">
              <w:t xml:space="preserve"> y</w:t>
            </w:r>
            <w:r w:rsidRPr="00D86567">
              <w:rPr>
                <w:vertAlign w:val="superscript"/>
              </w:rPr>
              <w:t>-1</w:t>
            </w:r>
            <w:r w:rsidRPr="00D86567">
              <w:t>]</w:t>
            </w:r>
          </w:p>
        </w:tc>
        <w:tc>
          <w:tcPr>
            <w:tcW w:w="1843" w:type="dxa"/>
            <w:tcBorders>
              <w:bottom w:val="single" w:sz="8" w:space="0" w:color="008000"/>
            </w:tcBorders>
          </w:tcPr>
          <w:p w14:paraId="43754054" w14:textId="3EB1F291" w:rsidR="00EE61BF" w:rsidRPr="00D86567" w:rsidRDefault="00EE61BF" w:rsidP="009F670B">
            <w:pPr>
              <w:pStyle w:val="CETBodytext"/>
              <w:ind w:right="-1"/>
              <w:jc w:val="left"/>
              <w:rPr>
                <w:rFonts w:cs="Arial"/>
                <w:szCs w:val="18"/>
                <w:lang w:val="en-GB"/>
              </w:rPr>
            </w:pPr>
            <w:r w:rsidRPr="00D86567">
              <w:t>76000</w:t>
            </w:r>
          </w:p>
        </w:tc>
        <w:tc>
          <w:tcPr>
            <w:tcW w:w="2409" w:type="dxa"/>
            <w:tcBorders>
              <w:bottom w:val="single" w:sz="8" w:space="0" w:color="008000"/>
            </w:tcBorders>
          </w:tcPr>
          <w:p w14:paraId="5CE9C921" w14:textId="0B44B0C8" w:rsidR="00EE61BF" w:rsidRPr="00D86567" w:rsidRDefault="00E32265" w:rsidP="009F670B">
            <w:pPr>
              <w:pStyle w:val="CETBodytext"/>
              <w:ind w:right="-1"/>
              <w:jc w:val="left"/>
            </w:pPr>
            <w:r>
              <w:t>61000</w:t>
            </w:r>
          </w:p>
        </w:tc>
        <w:tc>
          <w:tcPr>
            <w:tcW w:w="1418" w:type="dxa"/>
            <w:tcBorders>
              <w:bottom w:val="single" w:sz="8" w:space="0" w:color="008000"/>
            </w:tcBorders>
          </w:tcPr>
          <w:p w14:paraId="081A3B6D" w14:textId="66B6CF08" w:rsidR="00EE61BF" w:rsidRPr="00D86567" w:rsidRDefault="00E32265" w:rsidP="009F670B">
            <w:pPr>
              <w:pStyle w:val="CETBodytext"/>
              <w:ind w:right="-1"/>
              <w:jc w:val="left"/>
            </w:pPr>
            <w:r>
              <w:t>46000</w:t>
            </w:r>
          </w:p>
        </w:tc>
      </w:tr>
      <w:bookmarkEnd w:id="2"/>
    </w:tbl>
    <w:p w14:paraId="21B74C6F" w14:textId="77777777" w:rsidR="00DA6B66" w:rsidRPr="005146F5" w:rsidRDefault="00DA6B66" w:rsidP="00DA6B66">
      <w:pPr>
        <w:rPr>
          <w:highlight w:val="yellow"/>
          <w:lang w:val="en-US"/>
        </w:rPr>
      </w:pPr>
    </w:p>
    <w:p w14:paraId="04B4F47E" w14:textId="05E4B7F6" w:rsidR="00794A02" w:rsidRDefault="00473D10" w:rsidP="006A222F">
      <w:pPr>
        <w:pStyle w:val="CETBodytext"/>
        <w:rPr>
          <w:rFonts w:eastAsia="Arial MT"/>
        </w:rPr>
      </w:pPr>
      <w:r>
        <w:rPr>
          <w:rStyle w:val="CETBodytextCarattere"/>
          <w:rFonts w:eastAsiaTheme="minorHAnsi"/>
        </w:rPr>
        <w:t>F</w:t>
      </w:r>
      <w:r w:rsidR="001B2653" w:rsidRPr="006A222F">
        <w:rPr>
          <w:rStyle w:val="CETBodytextCarattere"/>
          <w:rFonts w:eastAsiaTheme="minorHAnsi"/>
        </w:rPr>
        <w:t xml:space="preserve">igure </w:t>
      </w:r>
      <w:r w:rsidR="005577DE">
        <w:rPr>
          <w:rStyle w:val="CETBodytextCarattere"/>
          <w:rFonts w:eastAsiaTheme="minorHAnsi"/>
        </w:rPr>
        <w:t>2</w:t>
      </w:r>
      <w:r w:rsidR="001B2653" w:rsidRPr="006A222F">
        <w:rPr>
          <w:rStyle w:val="CETBodytextCarattere"/>
          <w:rFonts w:eastAsiaTheme="minorHAnsi"/>
        </w:rPr>
        <w:t xml:space="preserve"> </w:t>
      </w:r>
      <w:r>
        <w:rPr>
          <w:rStyle w:val="CETBodytextCarattere"/>
          <w:rFonts w:eastAsiaTheme="minorHAnsi"/>
        </w:rPr>
        <w:t>shows t</w:t>
      </w:r>
      <w:r w:rsidR="001B2653" w:rsidRPr="006A222F">
        <w:rPr>
          <w:rStyle w:val="CETBodytextCarattere"/>
          <w:rFonts w:eastAsiaTheme="minorHAnsi"/>
        </w:rPr>
        <w:t>he influence of the electricity price on the H</w:t>
      </w:r>
      <w:r w:rsidR="001B2653" w:rsidRPr="006A222F">
        <w:rPr>
          <w:rStyle w:val="CETBodytextCarattere"/>
          <w:rFonts w:eastAsiaTheme="minorHAnsi"/>
          <w:vertAlign w:val="subscript"/>
        </w:rPr>
        <w:t>2</w:t>
      </w:r>
      <w:r w:rsidR="001B2653" w:rsidRPr="006A222F">
        <w:rPr>
          <w:rStyle w:val="CETBodytextCarattere"/>
          <w:rFonts w:eastAsiaTheme="minorHAnsi"/>
        </w:rPr>
        <w:t xml:space="preserve"> production cost (left) and the </w:t>
      </w:r>
      <w:r>
        <w:rPr>
          <w:rStyle w:val="CETBodytextCarattere"/>
          <w:rFonts w:eastAsiaTheme="minorHAnsi"/>
        </w:rPr>
        <w:t xml:space="preserve">related </w:t>
      </w:r>
      <w:r w:rsidR="001B2653" w:rsidRPr="006A222F">
        <w:rPr>
          <w:rStyle w:val="CETBodytextCarattere"/>
          <w:rFonts w:eastAsiaTheme="minorHAnsi"/>
        </w:rPr>
        <w:t>annual profit</w:t>
      </w:r>
      <w:r w:rsidR="00DC7FE4">
        <w:rPr>
          <w:rStyle w:val="CETBodytextCarattere"/>
          <w:rFonts w:eastAsiaTheme="minorHAnsi"/>
        </w:rPr>
        <w:t xml:space="preserve"> </w:t>
      </w:r>
      <w:r w:rsidR="00DC7FE4" w:rsidRPr="006A222F">
        <w:rPr>
          <w:rStyle w:val="CETBodytextCarattere"/>
          <w:rFonts w:eastAsiaTheme="minorHAnsi"/>
        </w:rPr>
        <w:t>(right)</w:t>
      </w:r>
      <w:r>
        <w:rPr>
          <w:rStyle w:val="CETBodytextCarattere"/>
          <w:rFonts w:eastAsiaTheme="minorHAnsi"/>
        </w:rPr>
        <w:t xml:space="preserve"> </w:t>
      </w:r>
      <w:r w:rsidR="00DC7FE4">
        <w:rPr>
          <w:rStyle w:val="CETBodytextCarattere"/>
          <w:rFonts w:eastAsiaTheme="minorHAnsi"/>
        </w:rPr>
        <w:t xml:space="preserve">at different </w:t>
      </w:r>
      <w:r>
        <w:rPr>
          <w:rStyle w:val="CETBodytextCarattere"/>
          <w:rFonts w:eastAsiaTheme="minorHAnsi"/>
        </w:rPr>
        <w:t xml:space="preserve">biogas </w:t>
      </w:r>
      <w:r w:rsidR="00DC7FE4">
        <w:rPr>
          <w:rStyle w:val="CETBodytextCarattere"/>
          <w:rFonts w:eastAsiaTheme="minorHAnsi"/>
        </w:rPr>
        <w:t>price</w:t>
      </w:r>
      <w:r w:rsidR="000A5808">
        <w:rPr>
          <w:rStyle w:val="CETBodytextCarattere"/>
          <w:rFonts w:eastAsiaTheme="minorHAnsi"/>
        </w:rPr>
        <w:t>s</w:t>
      </w:r>
      <w:r w:rsidR="001B2653" w:rsidRPr="006A222F">
        <w:rPr>
          <w:rStyle w:val="CETBodytextCarattere"/>
          <w:rFonts w:eastAsiaTheme="minorHAnsi"/>
        </w:rPr>
        <w:t xml:space="preserve">. </w:t>
      </w:r>
      <w:r>
        <w:rPr>
          <w:rStyle w:val="CETBodytextCarattere"/>
          <w:rFonts w:eastAsiaTheme="minorHAnsi"/>
        </w:rPr>
        <w:t xml:space="preserve">Within </w:t>
      </w:r>
      <w:r w:rsidR="001B2653" w:rsidRPr="006A222F">
        <w:rPr>
          <w:rStyle w:val="CETBodytextCarattere"/>
          <w:rFonts w:eastAsiaTheme="minorHAnsi"/>
        </w:rPr>
        <w:t xml:space="preserve">the </w:t>
      </w:r>
      <w:r>
        <w:rPr>
          <w:rStyle w:val="CETBodytextCarattere"/>
          <w:rFonts w:eastAsiaTheme="minorHAnsi"/>
        </w:rPr>
        <w:t xml:space="preserve">considered </w:t>
      </w:r>
      <w:r w:rsidR="001B2653" w:rsidRPr="006A222F">
        <w:rPr>
          <w:rStyle w:val="CETBodytextCarattere"/>
          <w:rFonts w:eastAsiaTheme="minorHAnsi"/>
        </w:rPr>
        <w:t>range for electricity price (5</w:t>
      </w:r>
      <w:r>
        <w:rPr>
          <w:rStyle w:val="CETBodytextCarattere"/>
          <w:rFonts w:eastAsiaTheme="minorHAnsi"/>
        </w:rPr>
        <w:t>0 € MWh</w:t>
      </w:r>
      <w:r w:rsidRPr="00473D10">
        <w:rPr>
          <w:rStyle w:val="CETBodytextCarattere"/>
          <w:rFonts w:eastAsiaTheme="minorHAnsi"/>
          <w:vertAlign w:val="superscript"/>
        </w:rPr>
        <w:t>-1</w:t>
      </w:r>
      <w:r w:rsidR="001B2653" w:rsidRPr="006A222F">
        <w:rPr>
          <w:rStyle w:val="CETBodytextCarattere"/>
          <w:rFonts w:eastAsiaTheme="minorHAnsi"/>
        </w:rPr>
        <w:t xml:space="preserve"> to </w:t>
      </w:r>
      <w:r w:rsidR="00D86567">
        <w:rPr>
          <w:rStyle w:val="CETBodytextCarattere"/>
          <w:rFonts w:eastAsiaTheme="minorHAnsi"/>
        </w:rPr>
        <w:t>200</w:t>
      </w:r>
      <w:r w:rsidR="001B2653" w:rsidRPr="006A222F">
        <w:rPr>
          <w:rStyle w:val="CETBodytextCarattere"/>
          <w:rFonts w:eastAsiaTheme="minorHAnsi"/>
        </w:rPr>
        <w:t xml:space="preserve"> </w:t>
      </w:r>
      <w:r w:rsidR="001B2653" w:rsidRPr="006A222F">
        <w:t xml:space="preserve">€ </w:t>
      </w:r>
      <w:r>
        <w:t>M</w:t>
      </w:r>
      <w:r w:rsidR="001B2653" w:rsidRPr="006A222F">
        <w:t>Wh</w:t>
      </w:r>
      <w:r w:rsidR="001B2653" w:rsidRPr="00404356">
        <w:rPr>
          <w:vertAlign w:val="superscript"/>
        </w:rPr>
        <w:t>-1</w:t>
      </w:r>
      <w:r w:rsidR="001B2653" w:rsidRPr="006A222F">
        <w:t>)</w:t>
      </w:r>
      <w:r w:rsidR="00D63A4F">
        <w:t>,</w:t>
      </w:r>
      <w:r w:rsidR="001B2653" w:rsidRPr="006A222F">
        <w:t xml:space="preserve"> the hydrogen </w:t>
      </w:r>
      <w:r w:rsidR="001A1F62" w:rsidRPr="006A222F">
        <w:t xml:space="preserve">production cost doubles from 4 </w:t>
      </w:r>
      <w:r w:rsidR="00DC7FE4" w:rsidRPr="006A222F">
        <w:t>€ kg</w:t>
      </w:r>
      <w:r w:rsidR="00DC7FE4" w:rsidRPr="00DC7FE4">
        <w:rPr>
          <w:vertAlign w:val="superscript"/>
        </w:rPr>
        <w:noBreakHyphen/>
        <w:t>1</w:t>
      </w:r>
      <w:r w:rsidR="00DC7FE4">
        <w:t xml:space="preserve"> </w:t>
      </w:r>
      <w:r w:rsidR="001A1F62" w:rsidRPr="00DC7FE4">
        <w:t>to</w:t>
      </w:r>
      <w:r w:rsidR="001A1F62" w:rsidRPr="006A222F">
        <w:t xml:space="preserve"> </w:t>
      </w:r>
      <w:r w:rsidR="00136F41">
        <w:t>6</w:t>
      </w:r>
      <w:r w:rsidR="001A1F62" w:rsidRPr="006A222F">
        <w:t xml:space="preserve"> € kg</w:t>
      </w:r>
      <w:r w:rsidR="001A1F62" w:rsidRPr="00404356">
        <w:rPr>
          <w:vertAlign w:val="superscript"/>
        </w:rPr>
        <w:t>-1</w:t>
      </w:r>
      <w:r w:rsidR="001A1F62" w:rsidRPr="006A222F">
        <w:t xml:space="preserve">. </w:t>
      </w:r>
    </w:p>
    <w:p w14:paraId="03D67B20" w14:textId="77777777" w:rsidR="00C96816" w:rsidRDefault="00894553" w:rsidP="00C96816">
      <w:pPr>
        <w:pStyle w:val="CETBodytext"/>
        <w:rPr>
          <w:rFonts w:eastAsia="Arial MT"/>
        </w:rPr>
      </w:pPr>
      <w:r w:rsidRPr="006A222F">
        <w:t>The</w:t>
      </w:r>
      <w:r>
        <w:t xml:space="preserve"> reported </w:t>
      </w:r>
      <w:r w:rsidRPr="006A222F">
        <w:t>biogas to hydrogen process bec</w:t>
      </w:r>
      <w:r>
        <w:t>omes</w:t>
      </w:r>
      <w:r w:rsidRPr="006A222F">
        <w:t xml:space="preserve"> </w:t>
      </w:r>
      <w:r>
        <w:t xml:space="preserve">economically unattractive </w:t>
      </w:r>
      <w:r w:rsidRPr="006A222F">
        <w:t>when electricity</w:t>
      </w:r>
      <w:r>
        <w:t xml:space="preserve"> costs more than 200 € MWh</w:t>
      </w:r>
      <w:r w:rsidRPr="00473D10">
        <w:rPr>
          <w:vertAlign w:val="superscript"/>
        </w:rPr>
        <w:t>-1</w:t>
      </w:r>
      <w:r w:rsidRPr="00473D10">
        <w:t>.</w:t>
      </w:r>
      <w:r>
        <w:t xml:space="preserve"> Indeed, even at the lower biogas price, the </w:t>
      </w:r>
      <w:r w:rsidRPr="006A222F">
        <w:rPr>
          <w:rFonts w:eastAsia="Arial MT"/>
        </w:rPr>
        <w:t>H</w:t>
      </w:r>
      <w:r w:rsidRPr="006A222F">
        <w:rPr>
          <w:rFonts w:eastAsia="Arial MT"/>
          <w:vertAlign w:val="subscript"/>
        </w:rPr>
        <w:t>2</w:t>
      </w:r>
      <w:r w:rsidRPr="006A222F">
        <w:rPr>
          <w:rFonts w:eastAsia="Arial MT"/>
        </w:rPr>
        <w:t xml:space="preserve"> production cost </w:t>
      </w:r>
      <w:r>
        <w:rPr>
          <w:rFonts w:eastAsia="Arial MT"/>
        </w:rPr>
        <w:t xml:space="preserve">is higher than the selling price. At the same time, such a high electricity </w:t>
      </w:r>
      <w:r w:rsidRPr="009D464A">
        <w:rPr>
          <w:rFonts w:eastAsia="Arial MT"/>
        </w:rPr>
        <w:t>price is unrealistic for renewable electricity already produced at prices well below 100 € MWh</w:t>
      </w:r>
      <w:r w:rsidRPr="000A5808">
        <w:rPr>
          <w:rFonts w:eastAsia="Arial MT"/>
          <w:vertAlign w:val="superscript"/>
        </w:rPr>
        <w:t>-1</w:t>
      </w:r>
      <w:r w:rsidRPr="009D464A">
        <w:rPr>
          <w:rFonts w:eastAsia="Arial MT"/>
        </w:rPr>
        <w:t xml:space="preserve"> (</w:t>
      </w:r>
      <w:r w:rsidRPr="009D464A">
        <w:rPr>
          <w:rFonts w:eastAsiaTheme="minorHAnsi"/>
        </w:rPr>
        <w:t>IRENA, 2021)</w:t>
      </w:r>
      <w:r w:rsidRPr="009D464A">
        <w:rPr>
          <w:rFonts w:eastAsia="Arial MT"/>
        </w:rPr>
        <w:t>.</w:t>
      </w:r>
    </w:p>
    <w:p w14:paraId="575E1290" w14:textId="3E95F689" w:rsidR="00C96816" w:rsidRPr="001876F6" w:rsidRDefault="00C96816" w:rsidP="00C96816">
      <w:pPr>
        <w:pStyle w:val="CETBodytext"/>
      </w:pPr>
      <w:r>
        <w:rPr>
          <w:rStyle w:val="CETBodytextCarattere"/>
          <w:rFonts w:eastAsiaTheme="minorHAnsi"/>
        </w:rPr>
        <w:t>The H</w:t>
      </w:r>
      <w:r w:rsidRPr="00925332">
        <w:rPr>
          <w:rStyle w:val="CETBodytextCarattere"/>
          <w:rFonts w:eastAsiaTheme="minorHAnsi"/>
          <w:vertAlign w:val="subscript"/>
        </w:rPr>
        <w:t>2</w:t>
      </w:r>
      <w:r>
        <w:rPr>
          <w:rStyle w:val="CETBodytextCarattere"/>
          <w:rFonts w:eastAsiaTheme="minorHAnsi"/>
        </w:rPr>
        <w:t xml:space="preserve"> production cost</w:t>
      </w:r>
      <w:r w:rsidRPr="006A222F">
        <w:rPr>
          <w:rStyle w:val="CETBodytextCarattere"/>
          <w:rFonts w:eastAsiaTheme="minorHAnsi"/>
        </w:rPr>
        <w:t xml:space="preserve"> </w:t>
      </w:r>
      <w:r>
        <w:rPr>
          <w:rStyle w:val="CETBodytextCarattere"/>
          <w:rFonts w:eastAsiaTheme="minorHAnsi"/>
        </w:rPr>
        <w:t xml:space="preserve">strongly depends on </w:t>
      </w:r>
      <w:r w:rsidRPr="001E06BD">
        <w:rPr>
          <w:rStyle w:val="CETBodytextCarattere"/>
          <w:rFonts w:eastAsiaTheme="minorHAnsi"/>
        </w:rPr>
        <w:t>electricity (4</w:t>
      </w:r>
      <w:r>
        <w:rPr>
          <w:rStyle w:val="CETBodytextCarattere"/>
          <w:rFonts w:eastAsiaTheme="minorHAnsi"/>
        </w:rPr>
        <w:t xml:space="preserve">3 </w:t>
      </w:r>
      <w:r w:rsidRPr="001E06BD">
        <w:rPr>
          <w:rStyle w:val="CETBodytextCarattere"/>
          <w:rFonts w:eastAsiaTheme="minorHAnsi"/>
        </w:rPr>
        <w:t xml:space="preserve">% of the total cost using </w:t>
      </w:r>
      <w:r w:rsidR="00D15004">
        <w:rPr>
          <w:rStyle w:val="CETBodytextCarattere"/>
          <w:rFonts w:eastAsiaTheme="minorHAnsi"/>
        </w:rPr>
        <w:t xml:space="preserve">the </w:t>
      </w:r>
      <w:r w:rsidRPr="001E06BD">
        <w:rPr>
          <w:rStyle w:val="CETBodytextCarattere"/>
          <w:rFonts w:eastAsiaTheme="minorHAnsi"/>
        </w:rPr>
        <w:t xml:space="preserve">price reported in </w:t>
      </w:r>
      <w:r>
        <w:rPr>
          <w:rStyle w:val="CETBodytextCarattere"/>
          <w:rFonts w:eastAsiaTheme="minorHAnsi"/>
        </w:rPr>
        <w:t>T</w:t>
      </w:r>
      <w:r w:rsidRPr="001E06BD">
        <w:rPr>
          <w:rStyle w:val="CETBodytextCarattere"/>
          <w:rFonts w:eastAsiaTheme="minorHAnsi"/>
        </w:rPr>
        <w:t>able 1)</w:t>
      </w:r>
      <w:r>
        <w:rPr>
          <w:rStyle w:val="CETBodytextCarattere"/>
          <w:rFonts w:eastAsiaTheme="minorHAnsi"/>
        </w:rPr>
        <w:t>,</w:t>
      </w:r>
      <w:r w:rsidRPr="006A222F">
        <w:rPr>
          <w:rStyle w:val="CETBodytextCarattere"/>
          <w:rFonts w:eastAsiaTheme="minorHAnsi"/>
        </w:rPr>
        <w:t xml:space="preserve"> </w:t>
      </w:r>
      <w:r>
        <w:rPr>
          <w:rStyle w:val="CETBodytextCarattere"/>
          <w:rFonts w:eastAsiaTheme="minorHAnsi"/>
        </w:rPr>
        <w:t xml:space="preserve">while </w:t>
      </w:r>
      <w:r w:rsidRPr="006A222F">
        <w:rPr>
          <w:rStyle w:val="CETBodytextCarattere"/>
          <w:rFonts w:eastAsiaTheme="minorHAnsi"/>
        </w:rPr>
        <w:t xml:space="preserve">biogas </w:t>
      </w:r>
      <w:r>
        <w:rPr>
          <w:rStyle w:val="CETBodytextCarattere"/>
          <w:rFonts w:eastAsiaTheme="minorHAnsi"/>
        </w:rPr>
        <w:t>has a much smaller influence. Moreover, it is also clear that for prices above 100 € MWh</w:t>
      </w:r>
      <w:r w:rsidRPr="00794A02">
        <w:rPr>
          <w:rStyle w:val="CETBodytextCarattere"/>
          <w:rFonts w:eastAsiaTheme="minorHAnsi"/>
          <w:vertAlign w:val="superscript"/>
        </w:rPr>
        <w:t>-1</w:t>
      </w:r>
      <w:r w:rsidRPr="000A5808">
        <w:rPr>
          <w:rStyle w:val="CETBodytextCarattere"/>
          <w:rFonts w:eastAsiaTheme="minorHAnsi"/>
        </w:rPr>
        <w:t>,</w:t>
      </w:r>
      <w:r>
        <w:rPr>
          <w:rStyle w:val="CETBodytextCarattere"/>
          <w:rFonts w:eastAsiaTheme="minorHAnsi"/>
        </w:rPr>
        <w:t xml:space="preserve"> the electrification of high-temperature thermochemical processes, such as SMR, is not convenient</w:t>
      </w:r>
      <w:r w:rsidRPr="008024C5">
        <w:rPr>
          <w:rStyle w:val="CETBodytextCarattere"/>
          <w:rFonts w:eastAsiaTheme="minorHAnsi"/>
          <w:noProof/>
          <w:lang w:val="en-CA"/>
        </w:rPr>
        <w:t xml:space="preserve"> </w:t>
      </w:r>
      <w:r w:rsidRPr="008024C5">
        <w:rPr>
          <w:rFonts w:eastAsiaTheme="minorHAnsi"/>
          <w:noProof/>
          <w:lang w:val="en-CA"/>
        </w:rPr>
        <w:t>(Mion et al., 2022)</w:t>
      </w:r>
      <w:r>
        <w:rPr>
          <w:rStyle w:val="CETBodytextCarattere"/>
          <w:rFonts w:eastAsiaTheme="minorHAnsi"/>
        </w:rPr>
        <w:t xml:space="preserve">. Under these renewable energy prices, traditional fired configurations are economically favored </w:t>
      </w:r>
      <w:r w:rsidRPr="008024C5">
        <w:rPr>
          <w:rFonts w:eastAsiaTheme="minorHAnsi"/>
          <w:noProof/>
          <w:lang w:val="en-CA"/>
        </w:rPr>
        <w:t>(Roelofse et al.,</w:t>
      </w:r>
      <w:r>
        <w:rPr>
          <w:rFonts w:eastAsiaTheme="minorHAnsi"/>
          <w:noProof/>
          <w:lang w:val="en-CA"/>
        </w:rPr>
        <w:t xml:space="preserve"> </w:t>
      </w:r>
      <w:r w:rsidRPr="008024C5">
        <w:rPr>
          <w:rFonts w:eastAsiaTheme="minorHAnsi"/>
          <w:noProof/>
          <w:lang w:val="en-CA"/>
        </w:rPr>
        <w:t>2020)</w:t>
      </w:r>
      <w:r>
        <w:rPr>
          <w:rStyle w:val="CETBodytextCarattere"/>
          <w:rFonts w:eastAsiaTheme="minorHAnsi"/>
        </w:rPr>
        <w:t>.</w:t>
      </w:r>
    </w:p>
    <w:p w14:paraId="42B9010C" w14:textId="5123EE91" w:rsidR="00E43258" w:rsidRPr="001A1F62" w:rsidRDefault="00E43258" w:rsidP="00DA6B66">
      <w:pPr>
        <w:tabs>
          <w:tab w:val="clear" w:pos="7100"/>
        </w:tabs>
        <w:autoSpaceDE w:val="0"/>
        <w:autoSpaceDN w:val="0"/>
        <w:adjustRightInd w:val="0"/>
        <w:spacing w:line="240" w:lineRule="auto"/>
        <w:rPr>
          <w:highlight w:val="yellow"/>
          <w:lang w:val="en-US"/>
        </w:rPr>
      </w:pPr>
    </w:p>
    <w:p w14:paraId="542F60D4" w14:textId="629598A7" w:rsidR="00DA6B66" w:rsidRPr="005146F5" w:rsidRDefault="008024C5" w:rsidP="00BC7B24">
      <w:pPr>
        <w:jc w:val="left"/>
        <w:rPr>
          <w:highlight w:val="yellow"/>
          <w:lang w:val="en-US"/>
        </w:rPr>
      </w:pPr>
      <w:r>
        <w:rPr>
          <w:noProof/>
        </w:rPr>
        <w:drawing>
          <wp:inline distT="0" distB="0" distL="0" distR="0" wp14:anchorId="6039BF54" wp14:editId="6B6ECC86">
            <wp:extent cx="2743200" cy="1691640"/>
            <wp:effectExtent l="0" t="0" r="0" b="381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rotWithShape="1">
                    <a:blip r:embed="rId12"/>
                    <a:srcRect l="17308" t="24311" r="23611" b="10921"/>
                    <a:stretch/>
                  </pic:blipFill>
                  <pic:spPr bwMode="auto">
                    <a:xfrm>
                      <a:off x="0" y="0"/>
                      <a:ext cx="2743200" cy="169164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0A60B25" wp14:editId="14A915E9">
            <wp:extent cx="2743200" cy="1636776"/>
            <wp:effectExtent l="0" t="0" r="0" b="1905"/>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rotWithShape="1">
                    <a:blip r:embed="rId13"/>
                    <a:srcRect l="16088" t="25696" r="24010" b="10880"/>
                    <a:stretch/>
                  </pic:blipFill>
                  <pic:spPr bwMode="auto">
                    <a:xfrm>
                      <a:off x="0" y="0"/>
                      <a:ext cx="2743200" cy="1636776"/>
                    </a:xfrm>
                    <a:prstGeom prst="rect">
                      <a:avLst/>
                    </a:prstGeom>
                    <a:ln>
                      <a:noFill/>
                    </a:ln>
                    <a:extLst>
                      <a:ext uri="{53640926-AAD7-44D8-BBD7-CCE9431645EC}">
                        <a14:shadowObscured xmlns:a14="http://schemas.microsoft.com/office/drawing/2010/main"/>
                      </a:ext>
                    </a:extLst>
                  </pic:spPr>
                </pic:pic>
              </a:graphicData>
            </a:graphic>
          </wp:inline>
        </w:drawing>
      </w:r>
    </w:p>
    <w:p w14:paraId="38A279E9" w14:textId="0C7D3082" w:rsidR="00DA6B66" w:rsidRDefault="00DA6B66" w:rsidP="008867AF">
      <w:pPr>
        <w:pStyle w:val="CETCaption"/>
        <w:spacing w:after="0"/>
        <w:rPr>
          <w:iCs/>
        </w:rPr>
      </w:pPr>
      <w:r w:rsidRPr="00D86567">
        <w:t xml:space="preserve">Figure </w:t>
      </w:r>
      <w:r w:rsidR="005577DE">
        <w:t>2</w:t>
      </w:r>
      <w:r w:rsidRPr="00D86567">
        <w:t xml:space="preserve">: </w:t>
      </w:r>
      <w:r w:rsidR="00C45A0A" w:rsidRPr="00D86567">
        <w:t>Effect of the electricity price on the H</w:t>
      </w:r>
      <w:r w:rsidR="00C45A0A" w:rsidRPr="00D86567">
        <w:rPr>
          <w:vertAlign w:val="subscript"/>
        </w:rPr>
        <w:t xml:space="preserve">2 </w:t>
      </w:r>
      <w:r w:rsidR="00C45A0A" w:rsidRPr="00D86567">
        <w:rPr>
          <w:iCs/>
        </w:rPr>
        <w:t xml:space="preserve">production cost (left) and the annual profit (right) </w:t>
      </w:r>
      <w:r w:rsidR="00D121B9" w:rsidRPr="00D86567">
        <w:rPr>
          <w:iCs/>
        </w:rPr>
        <w:t>at</w:t>
      </w:r>
      <w:r w:rsidR="001876F6">
        <w:rPr>
          <w:iCs/>
        </w:rPr>
        <w:t xml:space="preserve"> different</w:t>
      </w:r>
      <w:r w:rsidR="00D121B9" w:rsidRPr="00D86567">
        <w:rPr>
          <w:iCs/>
        </w:rPr>
        <w:t xml:space="preserve"> biogas price</w:t>
      </w:r>
      <w:r w:rsidR="000A5808">
        <w:rPr>
          <w:iCs/>
        </w:rPr>
        <w:t>s</w:t>
      </w:r>
      <w:r w:rsidR="00D121B9" w:rsidRPr="00D86567">
        <w:rPr>
          <w:iCs/>
        </w:rPr>
        <w:t>.</w:t>
      </w:r>
    </w:p>
    <w:p w14:paraId="4C2BB1C4" w14:textId="77777777" w:rsidR="00DA6B66" w:rsidRPr="00C20D28" w:rsidRDefault="00DA6B66" w:rsidP="00DA6B66">
      <w:pPr>
        <w:keepNext/>
        <w:numPr>
          <w:ilvl w:val="1"/>
          <w:numId w:val="1"/>
        </w:numPr>
        <w:tabs>
          <w:tab w:val="clear" w:pos="7100"/>
          <w:tab w:val="num" w:pos="360"/>
        </w:tabs>
        <w:suppressAutoHyphens/>
        <w:spacing w:before="240" w:after="120" w:line="240" w:lineRule="auto"/>
        <w:jc w:val="left"/>
        <w:rPr>
          <w:rFonts w:eastAsiaTheme="minorHAnsi"/>
          <w:b/>
          <w:sz w:val="20"/>
          <w:lang w:val="en-US"/>
        </w:rPr>
      </w:pPr>
      <w:r w:rsidRPr="00C20D28">
        <w:rPr>
          <w:b/>
          <w:sz w:val="20"/>
          <w:lang w:val="en-US"/>
        </w:rPr>
        <w:t>Conclusions</w:t>
      </w:r>
    </w:p>
    <w:p w14:paraId="7C187458" w14:textId="1A1FB160" w:rsidR="00924050" w:rsidRPr="00F11C35" w:rsidRDefault="00B87A68" w:rsidP="00C11684">
      <w:pPr>
        <w:pStyle w:val="CETBodytext"/>
        <w:rPr>
          <w:rFonts w:eastAsiaTheme="minorHAnsi"/>
          <w:szCs w:val="18"/>
        </w:rPr>
      </w:pPr>
      <w:r w:rsidRPr="00F11C35">
        <w:rPr>
          <w:szCs w:val="18"/>
        </w:rPr>
        <w:t xml:space="preserve">The present work </w:t>
      </w:r>
      <w:r w:rsidR="00D63A4F" w:rsidRPr="00F11C35">
        <w:rPr>
          <w:szCs w:val="18"/>
        </w:rPr>
        <w:t>proposes</w:t>
      </w:r>
      <w:r w:rsidRPr="00F11C35">
        <w:rPr>
          <w:szCs w:val="18"/>
        </w:rPr>
        <w:t xml:space="preserve"> the </w:t>
      </w:r>
      <w:r w:rsidR="00CD1592" w:rsidRPr="00F11C35">
        <w:rPr>
          <w:szCs w:val="18"/>
        </w:rPr>
        <w:t>design of</w:t>
      </w:r>
      <w:r w:rsidR="00DA6B66" w:rsidRPr="00F11C35">
        <w:rPr>
          <w:szCs w:val="18"/>
        </w:rPr>
        <w:t xml:space="preserve"> a decentralized biogas-to-hydrogen </w:t>
      </w:r>
      <w:r w:rsidR="00F93F6D" w:rsidRPr="00F11C35">
        <w:rPr>
          <w:szCs w:val="18"/>
        </w:rPr>
        <w:t>process</w:t>
      </w:r>
      <w:r w:rsidR="00D63A4F" w:rsidRPr="00F11C35">
        <w:rPr>
          <w:szCs w:val="18"/>
        </w:rPr>
        <w:t xml:space="preserve"> </w:t>
      </w:r>
      <w:r w:rsidR="00D63A4F" w:rsidRPr="00F11C35">
        <w:rPr>
          <w:rStyle w:val="CETBodytextCarattere"/>
          <w:szCs w:val="18"/>
        </w:rPr>
        <w:t>(50 Nm</w:t>
      </w:r>
      <w:r w:rsidR="00D63A4F" w:rsidRPr="00F11C35">
        <w:rPr>
          <w:rStyle w:val="CETBodytextCarattere"/>
          <w:szCs w:val="18"/>
          <w:vertAlign w:val="superscript"/>
        </w:rPr>
        <w:t xml:space="preserve">3 </w:t>
      </w:r>
      <w:r w:rsidR="00D63A4F" w:rsidRPr="00F11C35">
        <w:rPr>
          <w:rStyle w:val="CETBodytextCarattere"/>
          <w:szCs w:val="18"/>
        </w:rPr>
        <w:t>h</w:t>
      </w:r>
      <w:r w:rsidR="00D63A4F" w:rsidRPr="00F11C35">
        <w:rPr>
          <w:rStyle w:val="CETBodytextCarattere"/>
          <w:szCs w:val="18"/>
          <w:vertAlign w:val="superscript"/>
        </w:rPr>
        <w:t>-1</w:t>
      </w:r>
      <w:r w:rsidR="00D63A4F" w:rsidRPr="00F11C35">
        <w:rPr>
          <w:rStyle w:val="CETBodytextCarattere"/>
          <w:szCs w:val="18"/>
        </w:rPr>
        <w:t xml:space="preserve">) </w:t>
      </w:r>
      <w:r w:rsidR="00D63A4F" w:rsidRPr="00F11C35">
        <w:rPr>
          <w:szCs w:val="18"/>
        </w:rPr>
        <w:t>based on an electrically heated reformer</w:t>
      </w:r>
      <w:r w:rsidR="00F93F6D" w:rsidRPr="00F11C35" w:rsidDel="00F15B19">
        <w:rPr>
          <w:rFonts w:eastAsiaTheme="minorHAnsi"/>
          <w:szCs w:val="18"/>
        </w:rPr>
        <w:t>.</w:t>
      </w:r>
      <w:r w:rsidR="00F93F6D" w:rsidRPr="00F11C35">
        <w:rPr>
          <w:szCs w:val="18"/>
        </w:rPr>
        <w:t xml:space="preserve"> The</w:t>
      </w:r>
      <w:r w:rsidR="00CD1592" w:rsidRPr="00F11C35">
        <w:rPr>
          <w:szCs w:val="18"/>
        </w:rPr>
        <w:t xml:space="preserve"> reforming section runs at</w:t>
      </w:r>
      <w:r w:rsidR="00DA6B66" w:rsidRPr="00F11C35">
        <w:rPr>
          <w:szCs w:val="18"/>
        </w:rPr>
        <w:t xml:space="preserve"> </w:t>
      </w:r>
      <w:r w:rsidR="00DA6B66" w:rsidRPr="00F11C35">
        <w:rPr>
          <w:rFonts w:eastAsiaTheme="minorHAnsi"/>
          <w:szCs w:val="18"/>
        </w:rPr>
        <w:t xml:space="preserve">15 bar, 950 </w:t>
      </w:r>
      <w:r w:rsidR="00DA6B66" w:rsidRPr="00F11C35">
        <w:rPr>
          <w:rFonts w:ascii="SFRM1200" w:eastAsiaTheme="minorHAnsi" w:hAnsi="SFRM1200" w:cs="SFRM1200"/>
          <w:szCs w:val="18"/>
        </w:rPr>
        <w:t>°</w:t>
      </w:r>
      <w:r w:rsidR="00DA6B66" w:rsidRPr="00F11C35">
        <w:rPr>
          <w:rFonts w:eastAsiaTheme="minorHAnsi"/>
          <w:szCs w:val="18"/>
        </w:rPr>
        <w:t xml:space="preserve">C and </w:t>
      </w:r>
      <w:r w:rsidR="00D63A4F" w:rsidRPr="00F11C35">
        <w:rPr>
          <w:rFonts w:eastAsiaTheme="minorHAnsi"/>
          <w:szCs w:val="18"/>
        </w:rPr>
        <w:t>a steam-to-carbon</w:t>
      </w:r>
      <w:r w:rsidR="00DA6B66" w:rsidRPr="00F11C35">
        <w:rPr>
          <w:rFonts w:eastAsiaTheme="minorHAnsi"/>
          <w:szCs w:val="18"/>
        </w:rPr>
        <w:t xml:space="preserve"> ratio of 2</w:t>
      </w:r>
      <w:r w:rsidR="00D63A4F" w:rsidRPr="00F11C35">
        <w:rPr>
          <w:rFonts w:eastAsiaTheme="minorHAnsi"/>
          <w:szCs w:val="18"/>
        </w:rPr>
        <w:t xml:space="preserve">, and it </w:t>
      </w:r>
      <w:r w:rsidR="00CD1592" w:rsidRPr="00F11C35">
        <w:rPr>
          <w:rFonts w:eastAsiaTheme="minorHAnsi"/>
          <w:szCs w:val="18"/>
        </w:rPr>
        <w:t xml:space="preserve">is followed by </w:t>
      </w:r>
      <w:r w:rsidR="00D63A4F" w:rsidRPr="00F11C35">
        <w:rPr>
          <w:rFonts w:eastAsiaTheme="minorHAnsi"/>
          <w:szCs w:val="18"/>
        </w:rPr>
        <w:t xml:space="preserve">a two-steps water gas shift </w:t>
      </w:r>
      <w:r w:rsidR="00DA6B66" w:rsidRPr="00F11C35">
        <w:rPr>
          <w:rFonts w:eastAsiaTheme="minorHAnsi"/>
          <w:szCs w:val="18"/>
        </w:rPr>
        <w:t>at</w:t>
      </w:r>
      <w:r w:rsidR="00F93F6D" w:rsidRPr="00F11C35">
        <w:rPr>
          <w:rFonts w:eastAsiaTheme="minorHAnsi"/>
          <w:szCs w:val="18"/>
        </w:rPr>
        <w:t xml:space="preserve"> </w:t>
      </w:r>
      <w:r w:rsidR="00D63A4F" w:rsidRPr="00F11C35">
        <w:rPr>
          <w:rFonts w:eastAsiaTheme="minorHAnsi"/>
          <w:szCs w:val="18"/>
        </w:rPr>
        <w:t xml:space="preserve">an inlet temperature of </w:t>
      </w:r>
      <w:r w:rsidR="00DA6B66" w:rsidRPr="00F11C35">
        <w:rPr>
          <w:rFonts w:eastAsiaTheme="minorHAnsi"/>
          <w:szCs w:val="18"/>
        </w:rPr>
        <w:t xml:space="preserve">330 </w:t>
      </w:r>
      <w:r w:rsidR="00DA6B66" w:rsidRPr="00F11C35">
        <w:rPr>
          <w:rFonts w:ascii="SFRM1200" w:eastAsiaTheme="minorHAnsi" w:hAnsi="SFRM1200" w:cs="SFRM1200"/>
          <w:szCs w:val="18"/>
        </w:rPr>
        <w:t>°</w:t>
      </w:r>
      <w:r w:rsidR="00DA6B66" w:rsidRPr="00F11C35">
        <w:rPr>
          <w:rFonts w:eastAsiaTheme="minorHAnsi"/>
          <w:szCs w:val="18"/>
        </w:rPr>
        <w:t xml:space="preserve">C and 194 </w:t>
      </w:r>
      <w:r w:rsidR="00DA6B66" w:rsidRPr="00F11C35">
        <w:rPr>
          <w:rFonts w:ascii="SFRM1200" w:eastAsiaTheme="minorHAnsi" w:hAnsi="SFRM1200" w:cs="SFRM1200"/>
          <w:szCs w:val="18"/>
        </w:rPr>
        <w:t>°</w:t>
      </w:r>
      <w:r w:rsidR="00DA6B66" w:rsidRPr="00F11C35">
        <w:rPr>
          <w:rFonts w:eastAsiaTheme="minorHAnsi"/>
          <w:szCs w:val="18"/>
        </w:rPr>
        <w:t>C</w:t>
      </w:r>
      <w:r w:rsidR="00D63A4F" w:rsidRPr="00F11C35">
        <w:rPr>
          <w:rFonts w:eastAsiaTheme="minorHAnsi"/>
          <w:szCs w:val="18"/>
        </w:rPr>
        <w:t xml:space="preserve"> respectively</w:t>
      </w:r>
      <w:r w:rsidR="00DA6B66" w:rsidRPr="00F11C35">
        <w:rPr>
          <w:rFonts w:eastAsiaTheme="minorHAnsi"/>
          <w:szCs w:val="18"/>
        </w:rPr>
        <w:t>.</w:t>
      </w:r>
      <w:r w:rsidR="00F11C35">
        <w:rPr>
          <w:rFonts w:eastAsiaTheme="minorHAnsi"/>
          <w:szCs w:val="18"/>
        </w:rPr>
        <w:t xml:space="preserve"> Under these conditions, the process achieves a methane and carbon monoxide conversion of 97% and 98%,</w:t>
      </w:r>
      <w:r w:rsidR="00F11C35" w:rsidRPr="00F11C35">
        <w:rPr>
          <w:rFonts w:eastAsiaTheme="minorHAnsi"/>
          <w:szCs w:val="18"/>
        </w:rPr>
        <w:t xml:space="preserve"> </w:t>
      </w:r>
      <w:r w:rsidR="00F11C35">
        <w:rPr>
          <w:rFonts w:eastAsiaTheme="minorHAnsi"/>
          <w:szCs w:val="18"/>
        </w:rPr>
        <w:t>respectively, ensuring an H</w:t>
      </w:r>
      <w:r w:rsidR="00F11C35" w:rsidRPr="00F11C35">
        <w:rPr>
          <w:rFonts w:eastAsiaTheme="minorHAnsi"/>
          <w:szCs w:val="18"/>
          <w:vertAlign w:val="subscript"/>
        </w:rPr>
        <w:t>2</w:t>
      </w:r>
      <w:r w:rsidR="00F11C35">
        <w:rPr>
          <w:rFonts w:eastAsiaTheme="minorHAnsi"/>
          <w:szCs w:val="18"/>
        </w:rPr>
        <w:t xml:space="preserve">/CO ratio for the syngas of approximately 1.7. </w:t>
      </w:r>
    </w:p>
    <w:p w14:paraId="18FE209F" w14:textId="0B78D7FC" w:rsidR="00D63A4F" w:rsidRPr="00F11C35" w:rsidRDefault="00D63A4F" w:rsidP="00C11684">
      <w:pPr>
        <w:pStyle w:val="CETBodytext"/>
        <w:rPr>
          <w:rFonts w:eastAsiaTheme="minorHAnsi"/>
          <w:szCs w:val="18"/>
        </w:rPr>
      </w:pPr>
      <w:r w:rsidRPr="00F11C35">
        <w:rPr>
          <w:rFonts w:eastAsiaTheme="minorHAnsi"/>
          <w:szCs w:val="18"/>
        </w:rPr>
        <w:t xml:space="preserve">This innovative route </w:t>
      </w:r>
      <w:r w:rsidRPr="00F11C35">
        <w:rPr>
          <w:rStyle w:val="CETBodytextCarattere"/>
          <w:szCs w:val="18"/>
        </w:rPr>
        <w:t>requires approximately 0.6 Nm</w:t>
      </w:r>
      <w:r w:rsidRPr="00F11C35">
        <w:rPr>
          <w:rStyle w:val="CETBodytextCarattere"/>
          <w:szCs w:val="18"/>
          <w:vertAlign w:val="superscript"/>
        </w:rPr>
        <w:t>3</w:t>
      </w:r>
      <w:r w:rsidRPr="00F11C35">
        <w:rPr>
          <w:rStyle w:val="CETBodytextCarattere"/>
          <w:szCs w:val="18"/>
        </w:rPr>
        <w:t xml:space="preserve"> of biogas and 1.25 kWh of renewable electricity to produce 1 Nm</w:t>
      </w:r>
      <w:r w:rsidRPr="00F11C35">
        <w:rPr>
          <w:rStyle w:val="CETBodytextCarattere"/>
          <w:szCs w:val="18"/>
          <w:vertAlign w:val="superscript"/>
        </w:rPr>
        <w:t>3</w:t>
      </w:r>
      <w:r w:rsidRPr="00F11C35">
        <w:rPr>
          <w:rStyle w:val="CETBodytextCarattere"/>
          <w:szCs w:val="18"/>
        </w:rPr>
        <w:t xml:space="preserve"> of hydrogen. Its</w:t>
      </w:r>
      <w:r w:rsidRPr="00F11C35">
        <w:rPr>
          <w:rFonts w:eastAsiaTheme="minorHAnsi"/>
          <w:szCs w:val="18"/>
        </w:rPr>
        <w:t xml:space="preserve"> thermal efficiency is about 70%, </w:t>
      </w:r>
      <w:r w:rsidR="002A45BD">
        <w:rPr>
          <w:rFonts w:eastAsiaTheme="minorHAnsi"/>
          <w:szCs w:val="18"/>
        </w:rPr>
        <w:t>which</w:t>
      </w:r>
      <w:r w:rsidRPr="00F11C35">
        <w:rPr>
          <w:rFonts w:eastAsiaTheme="minorHAnsi"/>
          <w:szCs w:val="18"/>
        </w:rPr>
        <w:t xml:space="preserve"> is higher than that of a conventional plant burning biogas in a thermal engine. The thermal efficiency is increased to 87% if the hydrogen-producing plant and biogas digester are fully integrated, making it </w:t>
      </w:r>
      <w:r w:rsidRPr="00F11C35">
        <w:rPr>
          <w:szCs w:val="18"/>
        </w:rPr>
        <w:t>comparable to a large-scale centralized SMR</w:t>
      </w:r>
      <w:r w:rsidRPr="00F11C35">
        <w:rPr>
          <w:rFonts w:eastAsiaTheme="minorHAnsi"/>
          <w:szCs w:val="18"/>
        </w:rPr>
        <w:t xml:space="preserve">. </w:t>
      </w:r>
    </w:p>
    <w:p w14:paraId="0030CA6B" w14:textId="1699668A" w:rsidR="00D63A4F" w:rsidRPr="00F11C35" w:rsidRDefault="00D63A4F" w:rsidP="00C11684">
      <w:pPr>
        <w:pStyle w:val="CETBodytext"/>
        <w:rPr>
          <w:rFonts w:eastAsiaTheme="minorHAnsi"/>
          <w:szCs w:val="18"/>
        </w:rPr>
      </w:pPr>
      <w:r w:rsidRPr="00F11C35">
        <w:rPr>
          <w:rFonts w:eastAsiaTheme="minorHAnsi"/>
          <w:szCs w:val="18"/>
        </w:rPr>
        <w:t xml:space="preserve">According to the economic analysis, the suggested decentralized biogas-to-hydrogen route is viable and provides hydrogen at a price below </w:t>
      </w:r>
      <w:r w:rsidRPr="00F11C35">
        <w:rPr>
          <w:rStyle w:val="CETBodytextCarattere"/>
          <w:szCs w:val="18"/>
        </w:rPr>
        <w:t>6 € kg</w:t>
      </w:r>
      <w:r w:rsidRPr="00F11C35">
        <w:rPr>
          <w:rStyle w:val="CETBodytextCarattere"/>
          <w:szCs w:val="18"/>
          <w:vertAlign w:val="superscript"/>
        </w:rPr>
        <w:t>-1</w:t>
      </w:r>
      <w:r w:rsidRPr="00F11C35">
        <w:rPr>
          <w:rStyle w:val="CETBodytextCarattere"/>
          <w:szCs w:val="18"/>
        </w:rPr>
        <w:t>.</w:t>
      </w:r>
    </w:p>
    <w:p w14:paraId="59707623" w14:textId="743B0CD6" w:rsidR="00DA6B66" w:rsidRPr="00883E01" w:rsidRDefault="00DA6B66" w:rsidP="00DA6B66">
      <w:pPr>
        <w:tabs>
          <w:tab w:val="clear" w:pos="7100"/>
        </w:tabs>
        <w:spacing w:before="200" w:after="120" w:line="240" w:lineRule="auto"/>
        <w:jc w:val="left"/>
        <w:rPr>
          <w:b/>
          <w:lang w:val="en-CA"/>
        </w:rPr>
      </w:pPr>
      <w:r w:rsidRPr="00883E01">
        <w:rPr>
          <w:b/>
          <w:lang w:val="en-CA"/>
        </w:rPr>
        <w:t>Reference</w:t>
      </w:r>
      <w:r w:rsidR="008867AF">
        <w:rPr>
          <w:b/>
          <w:lang w:val="en-CA"/>
        </w:rPr>
        <w:t>s</w:t>
      </w:r>
    </w:p>
    <w:sdt>
      <w:sdtPr>
        <w:id w:val="-1791891124"/>
        <w:bibliography/>
      </w:sdtPr>
      <w:sdtEndPr/>
      <w:sdtContent>
        <w:p w14:paraId="4A70F9ED" w14:textId="117A86D0" w:rsidR="00DA6B66" w:rsidRPr="00046A67" w:rsidRDefault="00DA6B66" w:rsidP="009D2D64">
          <w:pPr>
            <w:pStyle w:val="CETReferencetext"/>
            <w:rPr>
              <w:noProof/>
            </w:rPr>
          </w:pPr>
          <w:r w:rsidRPr="00046A67">
            <w:fldChar w:fldCharType="begin"/>
          </w:r>
          <w:r w:rsidRPr="00046A67">
            <w:instrText>BIBLIOGRAPHY</w:instrText>
          </w:r>
          <w:r w:rsidRPr="00046A67">
            <w:fldChar w:fldCharType="separate"/>
          </w:r>
          <w:r w:rsidRPr="00046A67">
            <w:rPr>
              <w:noProof/>
            </w:rPr>
            <w:t>Benato</w:t>
          </w:r>
          <w:r w:rsidR="00353EF7" w:rsidRPr="00046A67">
            <w:rPr>
              <w:noProof/>
            </w:rPr>
            <w:t xml:space="preserve">, A., </w:t>
          </w:r>
          <w:r w:rsidRPr="00046A67">
            <w:rPr>
              <w:noProof/>
            </w:rPr>
            <w:t>Macor</w:t>
          </w:r>
          <w:r w:rsidR="005E6E43" w:rsidRPr="00046A67">
            <w:rPr>
              <w:noProof/>
            </w:rPr>
            <w:t xml:space="preserve">, </w:t>
          </w:r>
          <w:r w:rsidR="00353EF7" w:rsidRPr="00046A67">
            <w:rPr>
              <w:noProof/>
            </w:rPr>
            <w:t xml:space="preserve">A., </w:t>
          </w:r>
          <w:r w:rsidRPr="00046A67">
            <w:rPr>
              <w:noProof/>
            </w:rPr>
            <w:t>2019</w:t>
          </w:r>
          <w:r w:rsidR="005E6E43" w:rsidRPr="00046A67">
            <w:rPr>
              <w:noProof/>
            </w:rPr>
            <w:t xml:space="preserve">, </w:t>
          </w:r>
          <w:r w:rsidRPr="00046A67">
            <w:rPr>
              <w:noProof/>
            </w:rPr>
            <w:t>Italian Biogas Plants: Trend, Subsidies, Cost, Biogas Composition and Engine Emissions. Energies 2019, 12</w:t>
          </w:r>
          <w:r w:rsidR="0029619C" w:rsidRPr="00046A67">
            <w:rPr>
              <w:noProof/>
            </w:rPr>
            <w:t xml:space="preserve"> </w:t>
          </w:r>
          <w:r w:rsidRPr="00046A67">
            <w:rPr>
              <w:noProof/>
            </w:rPr>
            <w:t>(979).</w:t>
          </w:r>
        </w:p>
        <w:p w14:paraId="6B30D170" w14:textId="5BB7DB7D" w:rsidR="00DA6B66" w:rsidRPr="00046A67" w:rsidRDefault="00DA6B66" w:rsidP="009D2D64">
          <w:pPr>
            <w:pStyle w:val="CETReferencetext"/>
            <w:rPr>
              <w:noProof/>
            </w:rPr>
          </w:pPr>
          <w:r w:rsidRPr="00046A67">
            <w:rPr>
              <w:noProof/>
            </w:rPr>
            <w:t>European Commission</w:t>
          </w:r>
          <w:r w:rsidR="005E6E43" w:rsidRPr="00046A67">
            <w:rPr>
              <w:noProof/>
            </w:rPr>
            <w:t xml:space="preserve">, </w:t>
          </w:r>
          <w:r w:rsidRPr="00046A67">
            <w:rPr>
              <w:noProof/>
            </w:rPr>
            <w:t>2020</w:t>
          </w:r>
          <w:r w:rsidR="00353EF7" w:rsidRPr="00046A67">
            <w:rPr>
              <w:noProof/>
            </w:rPr>
            <w:t>.</w:t>
          </w:r>
          <w:r w:rsidR="005E6E43" w:rsidRPr="00046A67">
            <w:rPr>
              <w:noProof/>
            </w:rPr>
            <w:t xml:space="preserve"> </w:t>
          </w:r>
          <w:r w:rsidRPr="00046A67">
            <w:rPr>
              <w:noProof/>
            </w:rPr>
            <w:t xml:space="preserve"> A hydrogen strategy for a climate-neutral Europe.</w:t>
          </w:r>
        </w:p>
        <w:p w14:paraId="4A6FA028" w14:textId="620FF3CB" w:rsidR="00C6637A" w:rsidRDefault="00C6637A" w:rsidP="003C14A5">
          <w:pPr>
            <w:pStyle w:val="Bibliografia"/>
            <w:ind w:left="284" w:hanging="284"/>
            <w:rPr>
              <w:noProof/>
            </w:rPr>
          </w:pPr>
          <w:r w:rsidRPr="00046A67">
            <w:rPr>
              <w:noProof/>
            </w:rPr>
            <w:t>French, S., 2020. The Role of Zero and Low Carbon Hydrogen in Enabling the Energy Transition and the Path to Net Zero Greenhouse Gas Emissions, Johnson Matthey Technol. Rev., 64(3), 357-370.</w:t>
          </w:r>
        </w:p>
        <w:p w14:paraId="1908AE28" w14:textId="506E779D" w:rsidR="00501114" w:rsidRPr="00046A67" w:rsidRDefault="00501114" w:rsidP="006B4D26">
          <w:pPr>
            <w:pStyle w:val="Bibliografia"/>
            <w:ind w:left="0" w:firstLine="0"/>
            <w:rPr>
              <w:noProof/>
            </w:rPr>
          </w:pPr>
          <w:r>
            <w:rPr>
              <w:noProof/>
            </w:rPr>
            <w:t>Hygear,</w:t>
          </w:r>
          <w:r w:rsidR="006B4D26">
            <w:rPr>
              <w:noProof/>
            </w:rPr>
            <w:t xml:space="preserve"> </w:t>
          </w:r>
          <w:r>
            <w:rPr>
              <w:noProof/>
            </w:rPr>
            <w:t>2020</w:t>
          </w:r>
          <w:r w:rsidR="006B4D26">
            <w:rPr>
              <w:noProof/>
            </w:rPr>
            <w:t xml:space="preserve"> </w:t>
          </w:r>
          <w:r>
            <w:rPr>
              <w:noProof/>
            </w:rPr>
            <w:t>(</w:t>
          </w:r>
          <w:r w:rsidRPr="00501114">
            <w:rPr>
              <w:noProof/>
            </w:rPr>
            <w:t>https://hygear.com/technologies/hy-pure/</w:t>
          </w:r>
          <w:r>
            <w:rPr>
              <w:noProof/>
            </w:rPr>
            <w:t>,</w:t>
          </w:r>
          <w:r w:rsidR="006B4D26">
            <w:rPr>
              <w:noProof/>
            </w:rPr>
            <w:t xml:space="preserve"> </w:t>
          </w:r>
          <w:r>
            <w:rPr>
              <w:noProof/>
            </w:rPr>
            <w:t>a</w:t>
          </w:r>
          <w:r w:rsidR="006B4D26">
            <w:rPr>
              <w:noProof/>
            </w:rPr>
            <w:t>c</w:t>
          </w:r>
          <w:r>
            <w:rPr>
              <w:noProof/>
            </w:rPr>
            <w:t>cessed 01.07.2022)</w:t>
          </w:r>
        </w:p>
        <w:p w14:paraId="7E7515A5" w14:textId="3E68DB8A" w:rsidR="00DA6B66" w:rsidRPr="00046A67" w:rsidRDefault="00DA6B66" w:rsidP="009D2D64">
          <w:pPr>
            <w:pStyle w:val="CETReferencetext"/>
            <w:rPr>
              <w:noProof/>
            </w:rPr>
          </w:pPr>
          <w:r w:rsidRPr="00046A67">
            <w:rPr>
              <w:noProof/>
            </w:rPr>
            <w:t>IEA, 2019</w:t>
          </w:r>
          <w:r w:rsidR="00353EF7" w:rsidRPr="00046A67">
            <w:rPr>
              <w:noProof/>
            </w:rPr>
            <w:t>.</w:t>
          </w:r>
          <w:r w:rsidRPr="00046A67">
            <w:rPr>
              <w:noProof/>
            </w:rPr>
            <w:t xml:space="preserve"> The Future of Hydrogen, Paris.</w:t>
          </w:r>
        </w:p>
        <w:p w14:paraId="09398306" w14:textId="4BB7F0E6" w:rsidR="009D464A" w:rsidRDefault="009D464A" w:rsidP="009D464A">
          <w:pPr>
            <w:pStyle w:val="CETReferencetext"/>
            <w:ind w:left="0" w:firstLine="0"/>
            <w:rPr>
              <w:rFonts w:eastAsiaTheme="minorHAnsi"/>
              <w:lang w:val="en-CA"/>
            </w:rPr>
          </w:pPr>
          <w:r w:rsidRPr="00046A67">
            <w:rPr>
              <w:rFonts w:eastAsiaTheme="minorHAnsi"/>
              <w:lang w:val="en-CA"/>
            </w:rPr>
            <w:t>IRENA, Power Generation Costs, 2021</w:t>
          </w:r>
          <w:r w:rsidR="00353EF7" w:rsidRPr="00046A67">
            <w:rPr>
              <w:rFonts w:eastAsiaTheme="minorHAnsi"/>
              <w:lang w:val="en-CA"/>
            </w:rPr>
            <w:t xml:space="preserve"> (</w:t>
          </w:r>
          <w:r w:rsidRPr="00046A67">
            <w:rPr>
              <w:rFonts w:eastAsiaTheme="minorHAnsi"/>
              <w:lang w:val="en-CA"/>
            </w:rPr>
            <w:t>www.irena.org/costs/Power-Generation-Costs,</w:t>
          </w:r>
          <w:r w:rsidR="00E775A3" w:rsidRPr="00046A67">
            <w:rPr>
              <w:rFonts w:eastAsiaTheme="minorHAnsi"/>
              <w:lang w:val="en-CA"/>
            </w:rPr>
            <w:t xml:space="preserve"> </w:t>
          </w:r>
          <w:r w:rsidRPr="00046A67">
            <w:rPr>
              <w:rFonts w:eastAsiaTheme="minorHAnsi"/>
              <w:lang w:val="en-CA"/>
            </w:rPr>
            <w:t>accessed 15.03.2022</w:t>
          </w:r>
          <w:r w:rsidR="00353EF7" w:rsidRPr="00046A67">
            <w:rPr>
              <w:rFonts w:eastAsiaTheme="minorHAnsi"/>
              <w:lang w:val="en-CA"/>
            </w:rPr>
            <w:t>)</w:t>
          </w:r>
          <w:r w:rsidRPr="00046A67">
            <w:rPr>
              <w:rFonts w:eastAsiaTheme="minorHAnsi"/>
              <w:lang w:val="en-CA"/>
            </w:rPr>
            <w:t>.</w:t>
          </w:r>
        </w:p>
        <w:p w14:paraId="6AA18789" w14:textId="4549AC48" w:rsidR="00826B23" w:rsidRPr="00046A67" w:rsidRDefault="00826B23" w:rsidP="009D464A">
          <w:pPr>
            <w:pStyle w:val="CETReferencetext"/>
            <w:ind w:left="0" w:firstLine="0"/>
            <w:rPr>
              <w:rFonts w:eastAsiaTheme="minorHAnsi"/>
              <w:lang w:val="en-CA"/>
            </w:rPr>
          </w:pPr>
          <w:r>
            <w:rPr>
              <w:rFonts w:eastAsiaTheme="minorHAnsi"/>
              <w:lang w:val="en-CA"/>
            </w:rPr>
            <w:t>ICIS,</w:t>
          </w:r>
          <w:r w:rsidR="006B4D26">
            <w:rPr>
              <w:rFonts w:eastAsiaTheme="minorHAnsi"/>
              <w:lang w:val="en-CA"/>
            </w:rPr>
            <w:t xml:space="preserve"> </w:t>
          </w:r>
          <w:r w:rsidR="00501114">
            <w:rPr>
              <w:rFonts w:eastAsiaTheme="minorHAnsi"/>
              <w:lang w:val="en-CA"/>
            </w:rPr>
            <w:t>2022</w:t>
          </w:r>
          <w:r w:rsidR="006B4D26">
            <w:rPr>
              <w:rFonts w:eastAsiaTheme="minorHAnsi"/>
              <w:lang w:val="en-CA"/>
            </w:rPr>
            <w:t>.</w:t>
          </w:r>
          <w:r>
            <w:rPr>
              <w:rFonts w:eastAsiaTheme="minorHAnsi"/>
              <w:lang w:val="en-CA"/>
            </w:rPr>
            <w:t xml:space="preserve"> Independent commodity Intelligence services (</w:t>
          </w:r>
          <w:r w:rsidRPr="00826B23">
            <w:rPr>
              <w:rFonts w:eastAsiaTheme="minorHAnsi"/>
              <w:lang w:val="en-CA"/>
            </w:rPr>
            <w:t>https://www.icis.com/explore/</w:t>
          </w:r>
          <w:r>
            <w:rPr>
              <w:rFonts w:eastAsiaTheme="minorHAnsi"/>
              <w:lang w:val="en-CA"/>
            </w:rPr>
            <w:t>,</w:t>
          </w:r>
          <w:r w:rsidR="006B4D26">
            <w:rPr>
              <w:rFonts w:eastAsiaTheme="minorHAnsi"/>
              <w:lang w:val="en-CA"/>
            </w:rPr>
            <w:t xml:space="preserve"> </w:t>
          </w:r>
          <w:r>
            <w:rPr>
              <w:rFonts w:eastAsiaTheme="minorHAnsi"/>
              <w:lang w:val="en-CA"/>
            </w:rPr>
            <w:t>accessed 01.07.2022)</w:t>
          </w:r>
        </w:p>
        <w:p w14:paraId="559D07B7" w14:textId="4DAE45D2" w:rsidR="00C6637A" w:rsidRPr="00046A67" w:rsidRDefault="00C6637A" w:rsidP="00C6637A">
          <w:pPr>
            <w:pStyle w:val="CETReferencetext"/>
            <w:rPr>
              <w:rFonts w:eastAsiaTheme="minorHAnsi"/>
              <w:lang w:val="en-CA"/>
            </w:rPr>
          </w:pPr>
          <w:r w:rsidRPr="00046A67">
            <w:rPr>
              <w:rFonts w:eastAsiaTheme="minorHAnsi"/>
              <w:lang w:val="en-CA"/>
            </w:rPr>
            <w:t xml:space="preserve">Johnson Matthey PLC, </w:t>
          </w:r>
          <w:r w:rsidR="00E775A3" w:rsidRPr="00046A67">
            <w:rPr>
              <w:rFonts w:eastAsiaTheme="minorHAnsi"/>
              <w:lang w:val="en-CA"/>
            </w:rPr>
            <w:t>(</w:t>
          </w:r>
          <w:r w:rsidRPr="00046A67">
            <w:rPr>
              <w:rFonts w:eastAsiaTheme="minorHAnsi"/>
              <w:lang w:val="en-CA"/>
            </w:rPr>
            <w:t>www.alfa.com/media/HiFUEL_Base_Metal_Water_Gas_Shift_Catalysts.pdf</w:t>
          </w:r>
          <w:r w:rsidR="00B20BA4">
            <w:rPr>
              <w:rFonts w:eastAsiaTheme="minorHAnsi"/>
              <w:lang w:val="en-CA"/>
            </w:rPr>
            <w:t>,</w:t>
          </w:r>
          <w:r w:rsidRPr="00046A67">
            <w:rPr>
              <w:rFonts w:eastAsiaTheme="minorHAnsi"/>
              <w:lang w:val="en-CA"/>
            </w:rPr>
            <w:t xml:space="preserve"> accessed 15.03.2022</w:t>
          </w:r>
          <w:r w:rsidR="00E775A3" w:rsidRPr="00046A67">
            <w:rPr>
              <w:rFonts w:eastAsiaTheme="minorHAnsi"/>
              <w:lang w:val="en-CA"/>
            </w:rPr>
            <w:t>)</w:t>
          </w:r>
          <w:r w:rsidRPr="00046A67">
            <w:rPr>
              <w:rFonts w:eastAsiaTheme="minorHAnsi"/>
              <w:lang w:val="en-CA"/>
            </w:rPr>
            <w:t>.</w:t>
          </w:r>
        </w:p>
        <w:p w14:paraId="68D707A3" w14:textId="69FC2C3C" w:rsidR="00E775A3" w:rsidRPr="00046A67" w:rsidRDefault="00DA6B66" w:rsidP="00E775A3">
          <w:pPr>
            <w:pStyle w:val="CETReferencetext"/>
            <w:rPr>
              <w:noProof/>
            </w:rPr>
          </w:pPr>
          <w:r w:rsidRPr="00046A67">
            <w:rPr>
              <w:noProof/>
            </w:rPr>
            <w:t xml:space="preserve">Lavoie, </w:t>
          </w:r>
          <w:r w:rsidR="00353EF7" w:rsidRPr="00046A67">
            <w:rPr>
              <w:noProof/>
            </w:rPr>
            <w:t xml:space="preserve">J.M., </w:t>
          </w:r>
          <w:r w:rsidRPr="00046A67">
            <w:rPr>
              <w:noProof/>
            </w:rPr>
            <w:t>2014</w:t>
          </w:r>
          <w:r w:rsidR="00353EF7" w:rsidRPr="00046A67">
            <w:rPr>
              <w:noProof/>
            </w:rPr>
            <w:t xml:space="preserve">. </w:t>
          </w:r>
          <w:r w:rsidRPr="00046A67">
            <w:rPr>
              <w:noProof/>
            </w:rPr>
            <w:t>Review on dry reforming of methane, a potentially more environmentally friendly approach to the increasing natural gas exploitation. Fr</w:t>
          </w:r>
          <w:r w:rsidR="00353EF7" w:rsidRPr="00046A67">
            <w:rPr>
              <w:noProof/>
            </w:rPr>
            <w:t xml:space="preserve">ontiers in Chemistry, </w:t>
          </w:r>
          <w:r w:rsidR="00E775A3" w:rsidRPr="00046A67">
            <w:rPr>
              <w:noProof/>
            </w:rPr>
            <w:t xml:space="preserve">Front Chem. 2014 Nov 11;2:81. </w:t>
          </w:r>
        </w:p>
        <w:p w14:paraId="448C510C" w14:textId="695ED791" w:rsidR="00E775A3" w:rsidRPr="00046A67" w:rsidRDefault="00E775A3" w:rsidP="00E775A3">
          <w:pPr>
            <w:pStyle w:val="CETReferencetext"/>
            <w:rPr>
              <w:noProof/>
            </w:rPr>
          </w:pPr>
          <w:r w:rsidRPr="00046A67">
            <w:rPr>
              <w:noProof/>
            </w:rPr>
            <w:t>Mion, A., Galli F., Mocellin P., Guffanti S., Pauletto, G., 2022, Electrified methane reforming decarbonises methanol synthesis, Journal of CO2 Utilization, 58, 101911.</w:t>
          </w:r>
        </w:p>
        <w:p w14:paraId="689BFBBE" w14:textId="75340CAC" w:rsidR="00C6637A" w:rsidRPr="00046A67" w:rsidRDefault="00C6637A" w:rsidP="00E775A3">
          <w:pPr>
            <w:pStyle w:val="CETReferencetext"/>
            <w:rPr>
              <w:noProof/>
            </w:rPr>
          </w:pPr>
          <w:r w:rsidRPr="006B4D26">
            <w:rPr>
              <w:noProof/>
              <w:lang w:val="nl-NL"/>
            </w:rPr>
            <w:t xml:space="preserve">Roelofse, O., Somers, K., Speelman, E., Witteveen, M., 2020. </w:t>
          </w:r>
          <w:r w:rsidRPr="00046A67">
            <w:rPr>
              <w:noProof/>
            </w:rPr>
            <w:t>Plugging in: What electrification can do for industry. McKinsey &amp; Company.</w:t>
          </w:r>
        </w:p>
        <w:p w14:paraId="2238A34A" w14:textId="0769C023" w:rsidR="00DA6B66" w:rsidRPr="00046A67" w:rsidRDefault="00DA6B66" w:rsidP="009D2D64">
          <w:pPr>
            <w:pStyle w:val="CETReferencetext"/>
            <w:rPr>
              <w:noProof/>
            </w:rPr>
          </w:pPr>
          <w:r w:rsidRPr="00046A67">
            <w:rPr>
              <w:noProof/>
            </w:rPr>
            <w:lastRenderedPageBreak/>
            <w:t>Rostrup-Nielsen,</w:t>
          </w:r>
          <w:r w:rsidR="00353EF7" w:rsidRPr="00046A67">
            <w:rPr>
              <w:noProof/>
            </w:rPr>
            <w:t xml:space="preserve"> J., </w:t>
          </w:r>
          <w:r w:rsidRPr="00046A67">
            <w:rPr>
              <w:noProof/>
            </w:rPr>
            <w:t>Christiansen</w:t>
          </w:r>
          <w:r w:rsidR="00353EF7" w:rsidRPr="00046A67">
            <w:rPr>
              <w:noProof/>
            </w:rPr>
            <w:t xml:space="preserve">, J.L., </w:t>
          </w:r>
          <w:r w:rsidRPr="00046A67">
            <w:rPr>
              <w:noProof/>
            </w:rPr>
            <w:t>2011</w:t>
          </w:r>
          <w:r w:rsidR="00353EF7" w:rsidRPr="00046A67">
            <w:rPr>
              <w:noProof/>
            </w:rPr>
            <w:t xml:space="preserve">. </w:t>
          </w:r>
          <w:r w:rsidRPr="00046A67">
            <w:rPr>
              <w:noProof/>
            </w:rPr>
            <w:t>Concept in syngas man</w:t>
          </w:r>
          <w:r w:rsidR="00353EF7" w:rsidRPr="00046A67">
            <w:rPr>
              <w:noProof/>
            </w:rPr>
            <w:t>u</w:t>
          </w:r>
          <w:r w:rsidRPr="00046A67">
            <w:rPr>
              <w:noProof/>
            </w:rPr>
            <w:t>facture,</w:t>
          </w:r>
          <w:r w:rsidR="00353EF7" w:rsidRPr="00046A67">
            <w:rPr>
              <w:noProof/>
            </w:rPr>
            <w:t xml:space="preserve"> Imperial College Press, </w:t>
          </w:r>
          <w:r w:rsidR="0029619C" w:rsidRPr="00046A67">
            <w:rPr>
              <w:noProof/>
            </w:rPr>
            <w:t>London,</w:t>
          </w:r>
          <w:r w:rsidR="00353EF7" w:rsidRPr="00046A67">
            <w:rPr>
              <w:noProof/>
            </w:rPr>
            <w:t xml:space="preserve"> </w:t>
          </w:r>
          <w:r w:rsidR="0029619C" w:rsidRPr="00046A67">
            <w:rPr>
              <w:noProof/>
            </w:rPr>
            <w:t>UK</w:t>
          </w:r>
          <w:r w:rsidRPr="00046A67">
            <w:rPr>
              <w:noProof/>
            </w:rPr>
            <w:t>.</w:t>
          </w:r>
        </w:p>
        <w:p w14:paraId="7EFCBEC6" w14:textId="2DEE953A" w:rsidR="00C6637A" w:rsidRDefault="00C6637A" w:rsidP="009D2D64">
          <w:pPr>
            <w:pStyle w:val="CETReferencetext"/>
            <w:rPr>
              <w:noProof/>
            </w:rPr>
          </w:pPr>
          <w:r w:rsidRPr="00046A67">
            <w:rPr>
              <w:noProof/>
            </w:rPr>
            <w:t>Seo,</w:t>
          </w:r>
          <w:r w:rsidR="009D72C6">
            <w:rPr>
              <w:noProof/>
            </w:rPr>
            <w:t xml:space="preserve"> </w:t>
          </w:r>
          <w:r w:rsidRPr="00046A67">
            <w:rPr>
              <w:noProof/>
            </w:rPr>
            <w:t>Y.S., Shirley, A., Kolaczkewski, S.T., 2002. Evaluation of thermodynamically favourable operating condition for production of hydrogen in three different reforming technologies, Journal of Power Sources</w:t>
          </w:r>
          <w:r w:rsidR="009D72C6">
            <w:rPr>
              <w:noProof/>
            </w:rPr>
            <w:t xml:space="preserve">, </w:t>
          </w:r>
          <w:r w:rsidRPr="00046A67">
            <w:rPr>
              <w:noProof/>
            </w:rPr>
            <w:t>108, 213-225</w:t>
          </w:r>
          <w:r w:rsidR="00414876">
            <w:rPr>
              <w:noProof/>
            </w:rPr>
            <w:t>.</w:t>
          </w:r>
        </w:p>
        <w:p w14:paraId="3A306717" w14:textId="1D1C6345" w:rsidR="00A213BB" w:rsidRPr="006B4D26" w:rsidRDefault="00EC159A" w:rsidP="006B4D26">
          <w:pPr>
            <w:pStyle w:val="CETReferencetext"/>
            <w:rPr>
              <w:noProof/>
            </w:rPr>
          </w:pPr>
          <w:r>
            <w:rPr>
              <w:noProof/>
            </w:rPr>
            <w:t>Towler G.,Sinnot R.,2008,</w:t>
          </w:r>
          <w:r w:rsidR="00DE7654" w:rsidRPr="00DE7654">
            <w:t xml:space="preserve"> </w:t>
          </w:r>
          <w:r w:rsidR="00DE7654" w:rsidRPr="00DE7654">
            <w:rPr>
              <w:noProof/>
            </w:rPr>
            <w:t>Chemical Engineering Design Principles Practice and Economics of Plant and Process Design</w:t>
          </w:r>
          <w:r w:rsidR="00DE7654">
            <w:rPr>
              <w:noProof/>
            </w:rPr>
            <w:t>,</w:t>
          </w:r>
          <w:r w:rsidR="00DE7654" w:rsidRPr="00DE7654">
            <w:t xml:space="preserve"> </w:t>
          </w:r>
          <w:r w:rsidR="00DE7654" w:rsidRPr="00DE7654">
            <w:rPr>
              <w:noProof/>
            </w:rPr>
            <w:t>Butterworth-Heinemann</w:t>
          </w:r>
          <w:r w:rsidR="00DE7654">
            <w:rPr>
              <w:noProof/>
            </w:rPr>
            <w:t xml:space="preserve"> (Elsevier),San Diego,USA.</w:t>
          </w:r>
        </w:p>
        <w:p w14:paraId="19C4FC68" w14:textId="157C78E6" w:rsidR="004628D2" w:rsidRDefault="00C6637A" w:rsidP="00F11C35">
          <w:pPr>
            <w:pStyle w:val="CETReferencetext"/>
          </w:pPr>
          <w:r w:rsidRPr="006B4D26">
            <w:rPr>
              <w:noProof/>
              <w:lang w:val="fr-FR"/>
            </w:rPr>
            <w:t xml:space="preserve">Xu, J., Froment, G.F., 1989. </w:t>
          </w:r>
          <w:r w:rsidRPr="00046A67">
            <w:rPr>
              <w:noProof/>
            </w:rPr>
            <w:t>Methane steam reforming, Methanation and Water-Gas Shift: 1. Intrisic Kinetics, AIChe Journal, 35(1).</w:t>
          </w:r>
          <w:r w:rsidR="00DA6B66" w:rsidRPr="00046A67">
            <w:rPr>
              <w:b/>
              <w:bCs/>
            </w:rPr>
            <w:fldChar w:fldCharType="end"/>
          </w:r>
        </w:p>
      </w:sdtContent>
    </w:sdt>
    <w:bookmarkEnd w:id="0" w:displacedByCustomXml="prev"/>
    <w:p w14:paraId="6336DF20" w14:textId="1573F436" w:rsidR="00EE61BF" w:rsidRDefault="00EE61BF" w:rsidP="00F11C35">
      <w:pPr>
        <w:pStyle w:val="CETReferencetext"/>
      </w:pPr>
    </w:p>
    <w:p w14:paraId="1C6C82F4" w14:textId="068CA37D" w:rsidR="00EE61BF" w:rsidRPr="006B4D26" w:rsidRDefault="00EE61BF" w:rsidP="00F11C35">
      <w:pPr>
        <w:pStyle w:val="CETReferencetext"/>
        <w:rPr>
          <w:lang w:val="it-IT"/>
        </w:rPr>
      </w:pPr>
    </w:p>
    <w:sectPr w:rsidR="00EE61BF" w:rsidRPr="006B4D26" w:rsidSect="00424984">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7E4B5" w14:textId="77777777" w:rsidR="00AA1EC0" w:rsidRDefault="00AA1EC0" w:rsidP="004F5E36">
      <w:r>
        <w:separator/>
      </w:r>
    </w:p>
  </w:endnote>
  <w:endnote w:type="continuationSeparator" w:id="0">
    <w:p w14:paraId="68FAB6AC" w14:textId="77777777" w:rsidR="00AA1EC0" w:rsidRDefault="00AA1EC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SFRM1200">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2120B" w14:textId="77777777" w:rsidR="00AA1EC0" w:rsidRDefault="00AA1EC0" w:rsidP="004F5E36">
      <w:r>
        <w:separator/>
      </w:r>
    </w:p>
  </w:footnote>
  <w:footnote w:type="continuationSeparator" w:id="0">
    <w:p w14:paraId="78D8233D" w14:textId="77777777" w:rsidR="00AA1EC0" w:rsidRDefault="00AA1EC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413C1B"/>
    <w:multiLevelType w:val="hybridMultilevel"/>
    <w:tmpl w:val="A16647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116136"/>
    <w:multiLevelType w:val="hybridMultilevel"/>
    <w:tmpl w:val="6A68B3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5874413"/>
    <w:multiLevelType w:val="hybridMultilevel"/>
    <w:tmpl w:val="547EE74E"/>
    <w:lvl w:ilvl="0" w:tplc="8E0834C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CC644B3"/>
    <w:multiLevelType w:val="hybridMultilevel"/>
    <w:tmpl w:val="9F085E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760225">
    <w:abstractNumId w:val="10"/>
  </w:num>
  <w:num w:numId="2" w16cid:durableId="1174733082">
    <w:abstractNumId w:val="8"/>
  </w:num>
  <w:num w:numId="3" w16cid:durableId="1109012412">
    <w:abstractNumId w:val="3"/>
  </w:num>
  <w:num w:numId="4" w16cid:durableId="1539313900">
    <w:abstractNumId w:val="2"/>
  </w:num>
  <w:num w:numId="5" w16cid:durableId="2140879121">
    <w:abstractNumId w:val="1"/>
  </w:num>
  <w:num w:numId="6" w16cid:durableId="413943023">
    <w:abstractNumId w:val="0"/>
  </w:num>
  <w:num w:numId="7" w16cid:durableId="1094789188">
    <w:abstractNumId w:val="9"/>
  </w:num>
  <w:num w:numId="8" w16cid:durableId="255015096">
    <w:abstractNumId w:val="7"/>
  </w:num>
  <w:num w:numId="9" w16cid:durableId="18094849">
    <w:abstractNumId w:val="6"/>
  </w:num>
  <w:num w:numId="10" w16cid:durableId="619993489">
    <w:abstractNumId w:val="5"/>
  </w:num>
  <w:num w:numId="11" w16cid:durableId="173879289">
    <w:abstractNumId w:val="4"/>
  </w:num>
  <w:num w:numId="12" w16cid:durableId="1627009587">
    <w:abstractNumId w:val="19"/>
  </w:num>
  <w:num w:numId="13" w16cid:durableId="794057961">
    <w:abstractNumId w:val="12"/>
  </w:num>
  <w:num w:numId="14" w16cid:durableId="512915251">
    <w:abstractNumId w:val="20"/>
  </w:num>
  <w:num w:numId="15" w16cid:durableId="1638417363">
    <w:abstractNumId w:val="23"/>
  </w:num>
  <w:num w:numId="16" w16cid:durableId="941111356">
    <w:abstractNumId w:val="22"/>
  </w:num>
  <w:num w:numId="17" w16cid:durableId="900361799">
    <w:abstractNumId w:val="11"/>
  </w:num>
  <w:num w:numId="18" w16cid:durableId="888952624">
    <w:abstractNumId w:val="12"/>
    <w:lvlOverride w:ilvl="0">
      <w:startOverride w:val="1"/>
    </w:lvlOverride>
  </w:num>
  <w:num w:numId="19" w16cid:durableId="76487790">
    <w:abstractNumId w:val="17"/>
  </w:num>
  <w:num w:numId="20" w16cid:durableId="1948804253">
    <w:abstractNumId w:val="16"/>
  </w:num>
  <w:num w:numId="21" w16cid:durableId="2106801899">
    <w:abstractNumId w:val="15"/>
  </w:num>
  <w:num w:numId="22" w16cid:durableId="136533326">
    <w:abstractNumId w:val="14"/>
  </w:num>
  <w:num w:numId="23" w16cid:durableId="1474248519">
    <w:abstractNumId w:val="13"/>
  </w:num>
  <w:num w:numId="24" w16cid:durableId="260185365">
    <w:abstractNumId w:val="24"/>
  </w:num>
  <w:num w:numId="25" w16cid:durableId="327758575">
    <w:abstractNumId w:val="18"/>
  </w:num>
  <w:num w:numId="26" w16cid:durableId="9357900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NKsFAOzIv8otAAAA"/>
  </w:docVars>
  <w:rsids>
    <w:rsidRoot w:val="000E414A"/>
    <w:rsid w:val="000027C0"/>
    <w:rsid w:val="00004F0D"/>
    <w:rsid w:val="000052FB"/>
    <w:rsid w:val="000117CB"/>
    <w:rsid w:val="000231E3"/>
    <w:rsid w:val="000257B0"/>
    <w:rsid w:val="0003148D"/>
    <w:rsid w:val="00031EEC"/>
    <w:rsid w:val="00046A67"/>
    <w:rsid w:val="00051566"/>
    <w:rsid w:val="00056175"/>
    <w:rsid w:val="00062A9A"/>
    <w:rsid w:val="00065058"/>
    <w:rsid w:val="000652FF"/>
    <w:rsid w:val="000671C8"/>
    <w:rsid w:val="00070309"/>
    <w:rsid w:val="0007045A"/>
    <w:rsid w:val="00070C70"/>
    <w:rsid w:val="00071EC0"/>
    <w:rsid w:val="000729F4"/>
    <w:rsid w:val="00072E1B"/>
    <w:rsid w:val="00077BC7"/>
    <w:rsid w:val="00080CD2"/>
    <w:rsid w:val="00083351"/>
    <w:rsid w:val="000833BF"/>
    <w:rsid w:val="00086C39"/>
    <w:rsid w:val="00090F36"/>
    <w:rsid w:val="000920D1"/>
    <w:rsid w:val="000A03B2"/>
    <w:rsid w:val="000A3251"/>
    <w:rsid w:val="000A5808"/>
    <w:rsid w:val="000A7593"/>
    <w:rsid w:val="000B7855"/>
    <w:rsid w:val="000C0D0F"/>
    <w:rsid w:val="000C20E2"/>
    <w:rsid w:val="000D0268"/>
    <w:rsid w:val="000D30CC"/>
    <w:rsid w:val="000D3427"/>
    <w:rsid w:val="000D34BE"/>
    <w:rsid w:val="000E095C"/>
    <w:rsid w:val="000E102F"/>
    <w:rsid w:val="000E36F1"/>
    <w:rsid w:val="000E3A73"/>
    <w:rsid w:val="000E414A"/>
    <w:rsid w:val="000E7099"/>
    <w:rsid w:val="000F093C"/>
    <w:rsid w:val="000F3ABE"/>
    <w:rsid w:val="000F72BF"/>
    <w:rsid w:val="000F787B"/>
    <w:rsid w:val="001019FB"/>
    <w:rsid w:val="00102F9C"/>
    <w:rsid w:val="00103937"/>
    <w:rsid w:val="00111ED8"/>
    <w:rsid w:val="001162D3"/>
    <w:rsid w:val="0012091F"/>
    <w:rsid w:val="0012207A"/>
    <w:rsid w:val="001222AB"/>
    <w:rsid w:val="00126BC2"/>
    <w:rsid w:val="00127BF9"/>
    <w:rsid w:val="00127C02"/>
    <w:rsid w:val="001308B6"/>
    <w:rsid w:val="0013121F"/>
    <w:rsid w:val="00131FE6"/>
    <w:rsid w:val="0013263F"/>
    <w:rsid w:val="001331DF"/>
    <w:rsid w:val="001339ED"/>
    <w:rsid w:val="00134DE4"/>
    <w:rsid w:val="00136F41"/>
    <w:rsid w:val="0014034D"/>
    <w:rsid w:val="00144D16"/>
    <w:rsid w:val="00150E59"/>
    <w:rsid w:val="00152DE3"/>
    <w:rsid w:val="00161C82"/>
    <w:rsid w:val="00164CF9"/>
    <w:rsid w:val="001667A6"/>
    <w:rsid w:val="00183AB0"/>
    <w:rsid w:val="00184AD6"/>
    <w:rsid w:val="001876F6"/>
    <w:rsid w:val="001932C1"/>
    <w:rsid w:val="00195211"/>
    <w:rsid w:val="001A1F62"/>
    <w:rsid w:val="001A4AF7"/>
    <w:rsid w:val="001B0349"/>
    <w:rsid w:val="001B1E93"/>
    <w:rsid w:val="001B2653"/>
    <w:rsid w:val="001B65C1"/>
    <w:rsid w:val="001C684B"/>
    <w:rsid w:val="001D0CFB"/>
    <w:rsid w:val="001D21AF"/>
    <w:rsid w:val="001D5001"/>
    <w:rsid w:val="001D53FC"/>
    <w:rsid w:val="001E06BD"/>
    <w:rsid w:val="001E107F"/>
    <w:rsid w:val="001F2EC0"/>
    <w:rsid w:val="001F3673"/>
    <w:rsid w:val="001F42A5"/>
    <w:rsid w:val="001F4AA4"/>
    <w:rsid w:val="001F7B0E"/>
    <w:rsid w:val="001F7B9D"/>
    <w:rsid w:val="002004F6"/>
    <w:rsid w:val="00201C93"/>
    <w:rsid w:val="00207A59"/>
    <w:rsid w:val="002144F2"/>
    <w:rsid w:val="00216FE4"/>
    <w:rsid w:val="0021758D"/>
    <w:rsid w:val="002224B4"/>
    <w:rsid w:val="00224BD0"/>
    <w:rsid w:val="00226A91"/>
    <w:rsid w:val="00231D17"/>
    <w:rsid w:val="00233295"/>
    <w:rsid w:val="00233847"/>
    <w:rsid w:val="00236ACD"/>
    <w:rsid w:val="002447EF"/>
    <w:rsid w:val="00245938"/>
    <w:rsid w:val="00247D4C"/>
    <w:rsid w:val="00251550"/>
    <w:rsid w:val="0025315A"/>
    <w:rsid w:val="00261BEC"/>
    <w:rsid w:val="00263B05"/>
    <w:rsid w:val="00266379"/>
    <w:rsid w:val="00267CF8"/>
    <w:rsid w:val="0027221A"/>
    <w:rsid w:val="00275B61"/>
    <w:rsid w:val="00280FAF"/>
    <w:rsid w:val="00282656"/>
    <w:rsid w:val="00293A1C"/>
    <w:rsid w:val="0029619C"/>
    <w:rsid w:val="00296B83"/>
    <w:rsid w:val="00297B14"/>
    <w:rsid w:val="002A45BD"/>
    <w:rsid w:val="002A5E23"/>
    <w:rsid w:val="002B4015"/>
    <w:rsid w:val="002B69F7"/>
    <w:rsid w:val="002B78CE"/>
    <w:rsid w:val="002B7CF5"/>
    <w:rsid w:val="002C2182"/>
    <w:rsid w:val="002C2FB6"/>
    <w:rsid w:val="002D4473"/>
    <w:rsid w:val="002D5788"/>
    <w:rsid w:val="002E1E4D"/>
    <w:rsid w:val="002E58F4"/>
    <w:rsid w:val="002E5FA7"/>
    <w:rsid w:val="002F3309"/>
    <w:rsid w:val="002F365C"/>
    <w:rsid w:val="003008CE"/>
    <w:rsid w:val="003009B7"/>
    <w:rsid w:val="00300E56"/>
    <w:rsid w:val="0030469C"/>
    <w:rsid w:val="00310B33"/>
    <w:rsid w:val="003112E9"/>
    <w:rsid w:val="00321CA6"/>
    <w:rsid w:val="00323763"/>
    <w:rsid w:val="00324EE7"/>
    <w:rsid w:val="00327B0E"/>
    <w:rsid w:val="00330ABE"/>
    <w:rsid w:val="00331F11"/>
    <w:rsid w:val="00333B77"/>
    <w:rsid w:val="00334BAE"/>
    <w:rsid w:val="00334C09"/>
    <w:rsid w:val="00347878"/>
    <w:rsid w:val="003507DD"/>
    <w:rsid w:val="00353EF7"/>
    <w:rsid w:val="003546CE"/>
    <w:rsid w:val="0035648E"/>
    <w:rsid w:val="0036267B"/>
    <w:rsid w:val="003723D4"/>
    <w:rsid w:val="00373FCA"/>
    <w:rsid w:val="00381905"/>
    <w:rsid w:val="00383CC1"/>
    <w:rsid w:val="00384CC8"/>
    <w:rsid w:val="00385877"/>
    <w:rsid w:val="00385A95"/>
    <w:rsid w:val="003871FD"/>
    <w:rsid w:val="00393C6F"/>
    <w:rsid w:val="003A1D67"/>
    <w:rsid w:val="003A1E30"/>
    <w:rsid w:val="003A2829"/>
    <w:rsid w:val="003A5CCA"/>
    <w:rsid w:val="003A7CC7"/>
    <w:rsid w:val="003A7D1C"/>
    <w:rsid w:val="003B12E7"/>
    <w:rsid w:val="003B304B"/>
    <w:rsid w:val="003B3146"/>
    <w:rsid w:val="003B5F66"/>
    <w:rsid w:val="003B7AD3"/>
    <w:rsid w:val="003C14A5"/>
    <w:rsid w:val="003C36CD"/>
    <w:rsid w:val="003C63DD"/>
    <w:rsid w:val="003E434D"/>
    <w:rsid w:val="003F015E"/>
    <w:rsid w:val="003F2001"/>
    <w:rsid w:val="003F3C9F"/>
    <w:rsid w:val="00400414"/>
    <w:rsid w:val="00404356"/>
    <w:rsid w:val="00412AEC"/>
    <w:rsid w:val="0041446B"/>
    <w:rsid w:val="00414876"/>
    <w:rsid w:val="00420084"/>
    <w:rsid w:val="00421544"/>
    <w:rsid w:val="00421949"/>
    <w:rsid w:val="00424984"/>
    <w:rsid w:val="00427A94"/>
    <w:rsid w:val="00431245"/>
    <w:rsid w:val="0044071E"/>
    <w:rsid w:val="0044329C"/>
    <w:rsid w:val="00447711"/>
    <w:rsid w:val="00453E24"/>
    <w:rsid w:val="00457456"/>
    <w:rsid w:val="004577FE"/>
    <w:rsid w:val="00457B9C"/>
    <w:rsid w:val="0046164A"/>
    <w:rsid w:val="00461D4C"/>
    <w:rsid w:val="004628D2"/>
    <w:rsid w:val="00462DCD"/>
    <w:rsid w:val="004648AD"/>
    <w:rsid w:val="00467372"/>
    <w:rsid w:val="004703A9"/>
    <w:rsid w:val="00473D10"/>
    <w:rsid w:val="004760DE"/>
    <w:rsid w:val="004763D7"/>
    <w:rsid w:val="0048005F"/>
    <w:rsid w:val="00496C59"/>
    <w:rsid w:val="004A004E"/>
    <w:rsid w:val="004A12CA"/>
    <w:rsid w:val="004A24CF"/>
    <w:rsid w:val="004A7A65"/>
    <w:rsid w:val="004B6007"/>
    <w:rsid w:val="004B7021"/>
    <w:rsid w:val="004C1CB5"/>
    <w:rsid w:val="004C3D1D"/>
    <w:rsid w:val="004C3D84"/>
    <w:rsid w:val="004C7913"/>
    <w:rsid w:val="004D3AA9"/>
    <w:rsid w:val="004D5183"/>
    <w:rsid w:val="004D5704"/>
    <w:rsid w:val="004E4DD6"/>
    <w:rsid w:val="004F08EC"/>
    <w:rsid w:val="004F4216"/>
    <w:rsid w:val="004F5E36"/>
    <w:rsid w:val="00501114"/>
    <w:rsid w:val="00507B47"/>
    <w:rsid w:val="00507BEF"/>
    <w:rsid w:val="00507CC9"/>
    <w:rsid w:val="005119A5"/>
    <w:rsid w:val="005146F5"/>
    <w:rsid w:val="00526A55"/>
    <w:rsid w:val="005278B7"/>
    <w:rsid w:val="00532016"/>
    <w:rsid w:val="005346C8"/>
    <w:rsid w:val="00536EF1"/>
    <w:rsid w:val="00543E7D"/>
    <w:rsid w:val="00547A68"/>
    <w:rsid w:val="00551D06"/>
    <w:rsid w:val="005530A4"/>
    <w:rsid w:val="005531C9"/>
    <w:rsid w:val="0055392D"/>
    <w:rsid w:val="005577DE"/>
    <w:rsid w:val="00557CD4"/>
    <w:rsid w:val="00562612"/>
    <w:rsid w:val="00563BE3"/>
    <w:rsid w:val="00563D52"/>
    <w:rsid w:val="005661A9"/>
    <w:rsid w:val="00570C43"/>
    <w:rsid w:val="00571500"/>
    <w:rsid w:val="00573F20"/>
    <w:rsid w:val="005827D0"/>
    <w:rsid w:val="00585538"/>
    <w:rsid w:val="00592F48"/>
    <w:rsid w:val="005A53A7"/>
    <w:rsid w:val="005A6228"/>
    <w:rsid w:val="005B2110"/>
    <w:rsid w:val="005B5DBD"/>
    <w:rsid w:val="005B61E6"/>
    <w:rsid w:val="005B7E59"/>
    <w:rsid w:val="005C3D87"/>
    <w:rsid w:val="005C4A65"/>
    <w:rsid w:val="005C77E1"/>
    <w:rsid w:val="005D0388"/>
    <w:rsid w:val="005D4359"/>
    <w:rsid w:val="005D668A"/>
    <w:rsid w:val="005D6A2F"/>
    <w:rsid w:val="005D7AE1"/>
    <w:rsid w:val="005E1A82"/>
    <w:rsid w:val="005E3D69"/>
    <w:rsid w:val="005E6E43"/>
    <w:rsid w:val="005E7902"/>
    <w:rsid w:val="005E794C"/>
    <w:rsid w:val="005F0A28"/>
    <w:rsid w:val="005F0E5E"/>
    <w:rsid w:val="005F4CAE"/>
    <w:rsid w:val="005F7E3C"/>
    <w:rsid w:val="00600535"/>
    <w:rsid w:val="00602350"/>
    <w:rsid w:val="0060564A"/>
    <w:rsid w:val="006062D4"/>
    <w:rsid w:val="006100D0"/>
    <w:rsid w:val="00610CD6"/>
    <w:rsid w:val="006137DD"/>
    <w:rsid w:val="00614694"/>
    <w:rsid w:val="00616599"/>
    <w:rsid w:val="00620DEE"/>
    <w:rsid w:val="00621033"/>
    <w:rsid w:val="00621F92"/>
    <w:rsid w:val="0062280A"/>
    <w:rsid w:val="0062324F"/>
    <w:rsid w:val="00625639"/>
    <w:rsid w:val="00631B33"/>
    <w:rsid w:val="0064184D"/>
    <w:rsid w:val="006422CC"/>
    <w:rsid w:val="006475AD"/>
    <w:rsid w:val="00654B92"/>
    <w:rsid w:val="00656A6D"/>
    <w:rsid w:val="00660E3E"/>
    <w:rsid w:val="00662E74"/>
    <w:rsid w:val="00666CD5"/>
    <w:rsid w:val="00675D45"/>
    <w:rsid w:val="00677793"/>
    <w:rsid w:val="00680C23"/>
    <w:rsid w:val="00693766"/>
    <w:rsid w:val="0069602F"/>
    <w:rsid w:val="006A185B"/>
    <w:rsid w:val="006A222F"/>
    <w:rsid w:val="006A3281"/>
    <w:rsid w:val="006A6F7F"/>
    <w:rsid w:val="006B1B06"/>
    <w:rsid w:val="006B4888"/>
    <w:rsid w:val="006B4D26"/>
    <w:rsid w:val="006B5854"/>
    <w:rsid w:val="006B6C46"/>
    <w:rsid w:val="006C179B"/>
    <w:rsid w:val="006C2E45"/>
    <w:rsid w:val="006C359C"/>
    <w:rsid w:val="006C410A"/>
    <w:rsid w:val="006C45DE"/>
    <w:rsid w:val="006C5579"/>
    <w:rsid w:val="006C55A5"/>
    <w:rsid w:val="006C7B50"/>
    <w:rsid w:val="006D4E4B"/>
    <w:rsid w:val="006D6E8B"/>
    <w:rsid w:val="006D73BB"/>
    <w:rsid w:val="006E2401"/>
    <w:rsid w:val="006E626B"/>
    <w:rsid w:val="006E6980"/>
    <w:rsid w:val="006E737D"/>
    <w:rsid w:val="006F2BCE"/>
    <w:rsid w:val="006F38BD"/>
    <w:rsid w:val="00700399"/>
    <w:rsid w:val="00707FF7"/>
    <w:rsid w:val="0071249A"/>
    <w:rsid w:val="00713973"/>
    <w:rsid w:val="00720A24"/>
    <w:rsid w:val="007222F7"/>
    <w:rsid w:val="0072461F"/>
    <w:rsid w:val="0073048E"/>
    <w:rsid w:val="00730AE1"/>
    <w:rsid w:val="00732386"/>
    <w:rsid w:val="0073514D"/>
    <w:rsid w:val="00742F49"/>
    <w:rsid w:val="007447F3"/>
    <w:rsid w:val="00745DEE"/>
    <w:rsid w:val="00750687"/>
    <w:rsid w:val="0075499F"/>
    <w:rsid w:val="00757553"/>
    <w:rsid w:val="00757826"/>
    <w:rsid w:val="00760E1C"/>
    <w:rsid w:val="00760F19"/>
    <w:rsid w:val="00765750"/>
    <w:rsid w:val="007661C8"/>
    <w:rsid w:val="007708A6"/>
    <w:rsid w:val="0077098D"/>
    <w:rsid w:val="00770DB2"/>
    <w:rsid w:val="00782880"/>
    <w:rsid w:val="0078617E"/>
    <w:rsid w:val="007923B5"/>
    <w:rsid w:val="007931FA"/>
    <w:rsid w:val="00794A02"/>
    <w:rsid w:val="00796DE6"/>
    <w:rsid w:val="007A4861"/>
    <w:rsid w:val="007A7BBA"/>
    <w:rsid w:val="007B0B7D"/>
    <w:rsid w:val="007B0C50"/>
    <w:rsid w:val="007B48F9"/>
    <w:rsid w:val="007C1A43"/>
    <w:rsid w:val="007D678E"/>
    <w:rsid w:val="007E031E"/>
    <w:rsid w:val="007E1C41"/>
    <w:rsid w:val="007E3BDB"/>
    <w:rsid w:val="007E5EF2"/>
    <w:rsid w:val="00800082"/>
    <w:rsid w:val="0080013E"/>
    <w:rsid w:val="008024C5"/>
    <w:rsid w:val="00811C22"/>
    <w:rsid w:val="00813288"/>
    <w:rsid w:val="00814A96"/>
    <w:rsid w:val="008168FC"/>
    <w:rsid w:val="00816E9D"/>
    <w:rsid w:val="00826B23"/>
    <w:rsid w:val="00830996"/>
    <w:rsid w:val="008345F1"/>
    <w:rsid w:val="008403D2"/>
    <w:rsid w:val="00841CFF"/>
    <w:rsid w:val="00841FAD"/>
    <w:rsid w:val="008448B2"/>
    <w:rsid w:val="00844CE5"/>
    <w:rsid w:val="008552D7"/>
    <w:rsid w:val="00862D69"/>
    <w:rsid w:val="008636DD"/>
    <w:rsid w:val="00863730"/>
    <w:rsid w:val="00865B07"/>
    <w:rsid w:val="008667EA"/>
    <w:rsid w:val="00866A91"/>
    <w:rsid w:val="0087637F"/>
    <w:rsid w:val="00883E01"/>
    <w:rsid w:val="008867AF"/>
    <w:rsid w:val="008914FC"/>
    <w:rsid w:val="00892AD5"/>
    <w:rsid w:val="00893D5D"/>
    <w:rsid w:val="00894553"/>
    <w:rsid w:val="00895FB8"/>
    <w:rsid w:val="008A0514"/>
    <w:rsid w:val="008A1512"/>
    <w:rsid w:val="008A1BB7"/>
    <w:rsid w:val="008B1CDB"/>
    <w:rsid w:val="008C06B7"/>
    <w:rsid w:val="008C5A42"/>
    <w:rsid w:val="008D32B9"/>
    <w:rsid w:val="008D433B"/>
    <w:rsid w:val="008D4A16"/>
    <w:rsid w:val="008E566E"/>
    <w:rsid w:val="0090161A"/>
    <w:rsid w:val="00901EB6"/>
    <w:rsid w:val="009023B5"/>
    <w:rsid w:val="00904C62"/>
    <w:rsid w:val="0091776A"/>
    <w:rsid w:val="00917D6E"/>
    <w:rsid w:val="00921DD6"/>
    <w:rsid w:val="00922BA8"/>
    <w:rsid w:val="00924050"/>
    <w:rsid w:val="00924DAC"/>
    <w:rsid w:val="00925332"/>
    <w:rsid w:val="00927058"/>
    <w:rsid w:val="009325B1"/>
    <w:rsid w:val="00940540"/>
    <w:rsid w:val="00942750"/>
    <w:rsid w:val="009450CE"/>
    <w:rsid w:val="0094532B"/>
    <w:rsid w:val="00947179"/>
    <w:rsid w:val="0095164B"/>
    <w:rsid w:val="00954090"/>
    <w:rsid w:val="009573E7"/>
    <w:rsid w:val="00963E05"/>
    <w:rsid w:val="00964A45"/>
    <w:rsid w:val="009666F2"/>
    <w:rsid w:val="00967843"/>
    <w:rsid w:val="00967D54"/>
    <w:rsid w:val="00971028"/>
    <w:rsid w:val="009726C0"/>
    <w:rsid w:val="0098499F"/>
    <w:rsid w:val="00984B1D"/>
    <w:rsid w:val="00987F55"/>
    <w:rsid w:val="00992CC5"/>
    <w:rsid w:val="00993B84"/>
    <w:rsid w:val="009943CB"/>
    <w:rsid w:val="00995F35"/>
    <w:rsid w:val="00996483"/>
    <w:rsid w:val="00996CF2"/>
    <w:rsid w:val="00996F5A"/>
    <w:rsid w:val="009A02A1"/>
    <w:rsid w:val="009B041A"/>
    <w:rsid w:val="009B0A89"/>
    <w:rsid w:val="009B152E"/>
    <w:rsid w:val="009B70F5"/>
    <w:rsid w:val="009C0467"/>
    <w:rsid w:val="009C3694"/>
    <w:rsid w:val="009C37C3"/>
    <w:rsid w:val="009C393F"/>
    <w:rsid w:val="009C3D83"/>
    <w:rsid w:val="009C7C86"/>
    <w:rsid w:val="009C7F99"/>
    <w:rsid w:val="009D2D64"/>
    <w:rsid w:val="009D2FF7"/>
    <w:rsid w:val="009D464A"/>
    <w:rsid w:val="009D700C"/>
    <w:rsid w:val="009D72C6"/>
    <w:rsid w:val="009E0B09"/>
    <w:rsid w:val="009E4C43"/>
    <w:rsid w:val="009E7884"/>
    <w:rsid w:val="009E788A"/>
    <w:rsid w:val="009F0C34"/>
    <w:rsid w:val="009F0E08"/>
    <w:rsid w:val="009F670B"/>
    <w:rsid w:val="00A0323B"/>
    <w:rsid w:val="00A05E0B"/>
    <w:rsid w:val="00A114CD"/>
    <w:rsid w:val="00A12256"/>
    <w:rsid w:val="00A1308B"/>
    <w:rsid w:val="00A1763D"/>
    <w:rsid w:val="00A17CEC"/>
    <w:rsid w:val="00A213BB"/>
    <w:rsid w:val="00A23580"/>
    <w:rsid w:val="00A27EF0"/>
    <w:rsid w:val="00A362EA"/>
    <w:rsid w:val="00A42361"/>
    <w:rsid w:val="00A450D8"/>
    <w:rsid w:val="00A473D4"/>
    <w:rsid w:val="00A50B20"/>
    <w:rsid w:val="00A50CD4"/>
    <w:rsid w:val="00A51132"/>
    <w:rsid w:val="00A51390"/>
    <w:rsid w:val="00A60D13"/>
    <w:rsid w:val="00A63333"/>
    <w:rsid w:val="00A63771"/>
    <w:rsid w:val="00A66164"/>
    <w:rsid w:val="00A72745"/>
    <w:rsid w:val="00A76EFC"/>
    <w:rsid w:val="00A843D9"/>
    <w:rsid w:val="00A91010"/>
    <w:rsid w:val="00A97F29"/>
    <w:rsid w:val="00AA1EC0"/>
    <w:rsid w:val="00AA38EB"/>
    <w:rsid w:val="00AA702E"/>
    <w:rsid w:val="00AA70B1"/>
    <w:rsid w:val="00AA7B52"/>
    <w:rsid w:val="00AB0964"/>
    <w:rsid w:val="00AB2A69"/>
    <w:rsid w:val="00AB5011"/>
    <w:rsid w:val="00AC165C"/>
    <w:rsid w:val="00AC7368"/>
    <w:rsid w:val="00AD16B9"/>
    <w:rsid w:val="00AD27AA"/>
    <w:rsid w:val="00AE377D"/>
    <w:rsid w:val="00AE7729"/>
    <w:rsid w:val="00AF0EBA"/>
    <w:rsid w:val="00AF4455"/>
    <w:rsid w:val="00AF5022"/>
    <w:rsid w:val="00AF72D4"/>
    <w:rsid w:val="00B02C8A"/>
    <w:rsid w:val="00B153A3"/>
    <w:rsid w:val="00B1575E"/>
    <w:rsid w:val="00B17FBD"/>
    <w:rsid w:val="00B20BA4"/>
    <w:rsid w:val="00B21C4D"/>
    <w:rsid w:val="00B27187"/>
    <w:rsid w:val="00B272F5"/>
    <w:rsid w:val="00B27ECC"/>
    <w:rsid w:val="00B315A6"/>
    <w:rsid w:val="00B31813"/>
    <w:rsid w:val="00B32A9D"/>
    <w:rsid w:val="00B33365"/>
    <w:rsid w:val="00B36542"/>
    <w:rsid w:val="00B42634"/>
    <w:rsid w:val="00B47020"/>
    <w:rsid w:val="00B57B36"/>
    <w:rsid w:val="00B57E6F"/>
    <w:rsid w:val="00B64BDA"/>
    <w:rsid w:val="00B652D3"/>
    <w:rsid w:val="00B70253"/>
    <w:rsid w:val="00B80B2E"/>
    <w:rsid w:val="00B8686D"/>
    <w:rsid w:val="00B87A68"/>
    <w:rsid w:val="00B93F69"/>
    <w:rsid w:val="00B95472"/>
    <w:rsid w:val="00BA3B35"/>
    <w:rsid w:val="00BA6D2A"/>
    <w:rsid w:val="00BB1DDC"/>
    <w:rsid w:val="00BB7AC8"/>
    <w:rsid w:val="00BC30C9"/>
    <w:rsid w:val="00BC7B24"/>
    <w:rsid w:val="00BD077D"/>
    <w:rsid w:val="00BD263F"/>
    <w:rsid w:val="00BD7F01"/>
    <w:rsid w:val="00BE2095"/>
    <w:rsid w:val="00BE2329"/>
    <w:rsid w:val="00BE3E58"/>
    <w:rsid w:val="00BE5E2C"/>
    <w:rsid w:val="00BF54BA"/>
    <w:rsid w:val="00C01616"/>
    <w:rsid w:val="00C0162B"/>
    <w:rsid w:val="00C03A31"/>
    <w:rsid w:val="00C068ED"/>
    <w:rsid w:val="00C11684"/>
    <w:rsid w:val="00C20D28"/>
    <w:rsid w:val="00C21B91"/>
    <w:rsid w:val="00C22E0C"/>
    <w:rsid w:val="00C23C20"/>
    <w:rsid w:val="00C24498"/>
    <w:rsid w:val="00C345B1"/>
    <w:rsid w:val="00C37FEF"/>
    <w:rsid w:val="00C40142"/>
    <w:rsid w:val="00C44593"/>
    <w:rsid w:val="00C45A0A"/>
    <w:rsid w:val="00C51668"/>
    <w:rsid w:val="00C51CD8"/>
    <w:rsid w:val="00C52C3C"/>
    <w:rsid w:val="00C5705C"/>
    <w:rsid w:val="00C57182"/>
    <w:rsid w:val="00C57863"/>
    <w:rsid w:val="00C60764"/>
    <w:rsid w:val="00C640AF"/>
    <w:rsid w:val="00C64245"/>
    <w:rsid w:val="00C655FD"/>
    <w:rsid w:val="00C6637A"/>
    <w:rsid w:val="00C70789"/>
    <w:rsid w:val="00C72AC0"/>
    <w:rsid w:val="00C75407"/>
    <w:rsid w:val="00C832DA"/>
    <w:rsid w:val="00C870A8"/>
    <w:rsid w:val="00C94434"/>
    <w:rsid w:val="00C96816"/>
    <w:rsid w:val="00C97F4A"/>
    <w:rsid w:val="00CA0D75"/>
    <w:rsid w:val="00CA1C95"/>
    <w:rsid w:val="00CA552F"/>
    <w:rsid w:val="00CA5A9C"/>
    <w:rsid w:val="00CB224E"/>
    <w:rsid w:val="00CB4296"/>
    <w:rsid w:val="00CC4C20"/>
    <w:rsid w:val="00CC7DD6"/>
    <w:rsid w:val="00CD1592"/>
    <w:rsid w:val="00CD2A5B"/>
    <w:rsid w:val="00CD3517"/>
    <w:rsid w:val="00CD5FE2"/>
    <w:rsid w:val="00CE31D9"/>
    <w:rsid w:val="00CE7C68"/>
    <w:rsid w:val="00CF6EEA"/>
    <w:rsid w:val="00D02B4C"/>
    <w:rsid w:val="00D03BFC"/>
    <w:rsid w:val="00D040C4"/>
    <w:rsid w:val="00D0760B"/>
    <w:rsid w:val="00D121B9"/>
    <w:rsid w:val="00D15004"/>
    <w:rsid w:val="00D20AD1"/>
    <w:rsid w:val="00D26624"/>
    <w:rsid w:val="00D27C4E"/>
    <w:rsid w:val="00D32042"/>
    <w:rsid w:val="00D32D08"/>
    <w:rsid w:val="00D33AFC"/>
    <w:rsid w:val="00D344C6"/>
    <w:rsid w:val="00D40BBF"/>
    <w:rsid w:val="00D43651"/>
    <w:rsid w:val="00D43EC9"/>
    <w:rsid w:val="00D46B7E"/>
    <w:rsid w:val="00D46F0C"/>
    <w:rsid w:val="00D52B6A"/>
    <w:rsid w:val="00D55FE9"/>
    <w:rsid w:val="00D5675E"/>
    <w:rsid w:val="00D57C84"/>
    <w:rsid w:val="00D6057D"/>
    <w:rsid w:val="00D63A4F"/>
    <w:rsid w:val="00D64F6D"/>
    <w:rsid w:val="00D70165"/>
    <w:rsid w:val="00D71640"/>
    <w:rsid w:val="00D720E8"/>
    <w:rsid w:val="00D72F8B"/>
    <w:rsid w:val="00D731DE"/>
    <w:rsid w:val="00D8100D"/>
    <w:rsid w:val="00D836C5"/>
    <w:rsid w:val="00D84576"/>
    <w:rsid w:val="00D85F93"/>
    <w:rsid w:val="00D86567"/>
    <w:rsid w:val="00D94EBC"/>
    <w:rsid w:val="00D95BED"/>
    <w:rsid w:val="00DA1399"/>
    <w:rsid w:val="00DA24C6"/>
    <w:rsid w:val="00DA4D7B"/>
    <w:rsid w:val="00DA68D7"/>
    <w:rsid w:val="00DA6B66"/>
    <w:rsid w:val="00DC0317"/>
    <w:rsid w:val="00DC0658"/>
    <w:rsid w:val="00DC7FE4"/>
    <w:rsid w:val="00DE264A"/>
    <w:rsid w:val="00DE4806"/>
    <w:rsid w:val="00DE56CA"/>
    <w:rsid w:val="00DE7654"/>
    <w:rsid w:val="00DF5072"/>
    <w:rsid w:val="00E004F8"/>
    <w:rsid w:val="00E0177B"/>
    <w:rsid w:val="00E02D18"/>
    <w:rsid w:val="00E041E7"/>
    <w:rsid w:val="00E0470B"/>
    <w:rsid w:val="00E06D04"/>
    <w:rsid w:val="00E20B7A"/>
    <w:rsid w:val="00E23CA1"/>
    <w:rsid w:val="00E32265"/>
    <w:rsid w:val="00E409A8"/>
    <w:rsid w:val="00E43258"/>
    <w:rsid w:val="00E43D7E"/>
    <w:rsid w:val="00E44B62"/>
    <w:rsid w:val="00E44E40"/>
    <w:rsid w:val="00E50C12"/>
    <w:rsid w:val="00E65B91"/>
    <w:rsid w:val="00E66B97"/>
    <w:rsid w:val="00E7099F"/>
    <w:rsid w:val="00E71E24"/>
    <w:rsid w:val="00E7209D"/>
    <w:rsid w:val="00E72EAD"/>
    <w:rsid w:val="00E77223"/>
    <w:rsid w:val="00E775A3"/>
    <w:rsid w:val="00E8528B"/>
    <w:rsid w:val="00E85B94"/>
    <w:rsid w:val="00E95480"/>
    <w:rsid w:val="00E978D0"/>
    <w:rsid w:val="00EA4613"/>
    <w:rsid w:val="00EA5C10"/>
    <w:rsid w:val="00EA7F91"/>
    <w:rsid w:val="00EB0431"/>
    <w:rsid w:val="00EB123E"/>
    <w:rsid w:val="00EB1523"/>
    <w:rsid w:val="00EB4CC7"/>
    <w:rsid w:val="00EB53FF"/>
    <w:rsid w:val="00EC0E49"/>
    <w:rsid w:val="00EC101F"/>
    <w:rsid w:val="00EC159A"/>
    <w:rsid w:val="00EC1D9F"/>
    <w:rsid w:val="00EC3F25"/>
    <w:rsid w:val="00ED29A2"/>
    <w:rsid w:val="00EE0131"/>
    <w:rsid w:val="00EE0976"/>
    <w:rsid w:val="00EE17B0"/>
    <w:rsid w:val="00EE1841"/>
    <w:rsid w:val="00EE25FF"/>
    <w:rsid w:val="00EE2F45"/>
    <w:rsid w:val="00EE3DF6"/>
    <w:rsid w:val="00EE4E03"/>
    <w:rsid w:val="00EE61BF"/>
    <w:rsid w:val="00EF06D9"/>
    <w:rsid w:val="00F11C35"/>
    <w:rsid w:val="00F15B19"/>
    <w:rsid w:val="00F22072"/>
    <w:rsid w:val="00F30C64"/>
    <w:rsid w:val="00F324B0"/>
    <w:rsid w:val="00F32BA2"/>
    <w:rsid w:val="00F32CDB"/>
    <w:rsid w:val="00F3467D"/>
    <w:rsid w:val="00F407A0"/>
    <w:rsid w:val="00F429A3"/>
    <w:rsid w:val="00F47CB1"/>
    <w:rsid w:val="00F50622"/>
    <w:rsid w:val="00F565FE"/>
    <w:rsid w:val="00F60122"/>
    <w:rsid w:val="00F63A70"/>
    <w:rsid w:val="00F7534E"/>
    <w:rsid w:val="00F77106"/>
    <w:rsid w:val="00F80640"/>
    <w:rsid w:val="00F82075"/>
    <w:rsid w:val="00F90D7F"/>
    <w:rsid w:val="00F93F6D"/>
    <w:rsid w:val="00F97E24"/>
    <w:rsid w:val="00FA1802"/>
    <w:rsid w:val="00FA21D0"/>
    <w:rsid w:val="00FA5F5F"/>
    <w:rsid w:val="00FB730C"/>
    <w:rsid w:val="00FC2695"/>
    <w:rsid w:val="00FC3E03"/>
    <w:rsid w:val="00FC3FC1"/>
    <w:rsid w:val="00FC5CAD"/>
    <w:rsid w:val="00FD3082"/>
    <w:rsid w:val="00FD31D7"/>
    <w:rsid w:val="00FD40F3"/>
    <w:rsid w:val="00FD513E"/>
    <w:rsid w:val="00FD5ECF"/>
    <w:rsid w:val="00FD5FA7"/>
    <w:rsid w:val="00FE332A"/>
    <w:rsid w:val="00FF3D87"/>
    <w:rsid w:val="00FF60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97E86F7C-234A-4EEB-8234-63871C74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qFormat/>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table" w:customStyle="1" w:styleId="Grigliatabella1">
    <w:name w:val="Griglia tabella1"/>
    <w:basedOn w:val="Tabellanormale"/>
    <w:next w:val="Grigliatabella"/>
    <w:uiPriority w:val="59"/>
    <w:rsid w:val="00DA6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A6B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Revisione">
    <w:name w:val="Revision"/>
    <w:hidden/>
    <w:uiPriority w:val="99"/>
    <w:semiHidden/>
    <w:rsid w:val="00883E01"/>
    <w:pPr>
      <w:spacing w:after="0" w:line="240" w:lineRule="auto"/>
    </w:pPr>
    <w:rPr>
      <w:rFonts w:ascii="Arial" w:eastAsia="Times New Roman" w:hAnsi="Arial" w:cs="Times New Roman"/>
      <w:sz w:val="18"/>
      <w:szCs w:val="20"/>
      <w:lang w:val="en-GB"/>
    </w:rPr>
  </w:style>
  <w:style w:type="character" w:styleId="Menzionenonrisolta">
    <w:name w:val="Unresolved Mention"/>
    <w:basedOn w:val="Carpredefinitoparagrafo"/>
    <w:uiPriority w:val="99"/>
    <w:semiHidden/>
    <w:unhideWhenUsed/>
    <w:rsid w:val="002D5788"/>
    <w:rPr>
      <w:color w:val="605E5C"/>
      <w:shd w:val="clear" w:color="auto" w:fill="E1DFDD"/>
    </w:rPr>
  </w:style>
  <w:style w:type="character" w:styleId="Testosegnaposto">
    <w:name w:val="Placeholder Text"/>
    <w:basedOn w:val="Carpredefinitoparagrafo"/>
    <w:uiPriority w:val="99"/>
    <w:semiHidden/>
    <w:rsid w:val="005C4A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29607">
      <w:bodyDiv w:val="1"/>
      <w:marLeft w:val="0"/>
      <w:marRight w:val="0"/>
      <w:marTop w:val="0"/>
      <w:marBottom w:val="0"/>
      <w:divBdr>
        <w:top w:val="none" w:sz="0" w:space="0" w:color="auto"/>
        <w:left w:val="none" w:sz="0" w:space="0" w:color="auto"/>
        <w:bottom w:val="none" w:sz="0" w:space="0" w:color="auto"/>
        <w:right w:val="none" w:sz="0" w:space="0" w:color="auto"/>
      </w:divBdr>
    </w:div>
    <w:div w:id="47777062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2863">
      <w:bodyDiv w:val="1"/>
      <w:marLeft w:val="0"/>
      <w:marRight w:val="0"/>
      <w:marTop w:val="0"/>
      <w:marBottom w:val="0"/>
      <w:divBdr>
        <w:top w:val="none" w:sz="0" w:space="0" w:color="auto"/>
        <w:left w:val="none" w:sz="0" w:space="0" w:color="auto"/>
        <w:bottom w:val="none" w:sz="0" w:space="0" w:color="auto"/>
        <w:right w:val="none" w:sz="0" w:space="0" w:color="auto"/>
      </w:divBdr>
    </w:div>
    <w:div w:id="1239170602">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3355270">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6324">
      <w:bodyDiv w:val="1"/>
      <w:marLeft w:val="0"/>
      <w:marRight w:val="0"/>
      <w:marTop w:val="0"/>
      <w:marBottom w:val="0"/>
      <w:divBdr>
        <w:top w:val="none" w:sz="0" w:space="0" w:color="auto"/>
        <w:left w:val="none" w:sz="0" w:space="0" w:color="auto"/>
        <w:bottom w:val="none" w:sz="0" w:space="0" w:color="auto"/>
        <w:right w:val="none" w:sz="0" w:space="0" w:color="auto"/>
      </w:divBdr>
    </w:div>
    <w:div w:id="1797723617">
      <w:bodyDiv w:val="1"/>
      <w:marLeft w:val="0"/>
      <w:marRight w:val="0"/>
      <w:marTop w:val="0"/>
      <w:marBottom w:val="0"/>
      <w:divBdr>
        <w:top w:val="none" w:sz="0" w:space="0" w:color="auto"/>
        <w:left w:val="none" w:sz="0" w:space="0" w:color="auto"/>
        <w:bottom w:val="none" w:sz="0" w:space="0" w:color="auto"/>
        <w:right w:val="none" w:sz="0" w:space="0" w:color="auto"/>
      </w:divBdr>
    </w:div>
    <w:div w:id="1981694339">
      <w:bodyDiv w:val="1"/>
      <w:marLeft w:val="0"/>
      <w:marRight w:val="0"/>
      <w:marTop w:val="0"/>
      <w:marBottom w:val="0"/>
      <w:divBdr>
        <w:top w:val="none" w:sz="0" w:space="0" w:color="auto"/>
        <w:left w:val="none" w:sz="0" w:space="0" w:color="auto"/>
        <w:bottom w:val="none" w:sz="0" w:space="0" w:color="auto"/>
        <w:right w:val="none" w:sz="0" w:space="0" w:color="auto"/>
      </w:divBdr>
    </w:div>
    <w:div w:id="1996566612">
      <w:bodyDiv w:val="1"/>
      <w:marLeft w:val="0"/>
      <w:marRight w:val="0"/>
      <w:marTop w:val="0"/>
      <w:marBottom w:val="0"/>
      <w:divBdr>
        <w:top w:val="none" w:sz="0" w:space="0" w:color="auto"/>
        <w:left w:val="none" w:sz="0" w:space="0" w:color="auto"/>
        <w:bottom w:val="none" w:sz="0" w:space="0" w:color="auto"/>
        <w:right w:val="none" w:sz="0" w:space="0" w:color="auto"/>
      </w:divBdr>
    </w:div>
    <w:div w:id="2046786941">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olo.mocellin@unipd.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IEA19</b:Tag>
    <b:SourceType>ConferenceProceedings</b:SourceType>
    <b:Guid>{56E193A4-CE0D-4B3B-A1C8-0B940E7454F0}</b:Guid>
    <b:Title>The Future of Hydrogen</b:Title>
    <b:Year>2019</b:Year>
    <b:City>Paris</b:City>
    <b:Author>
      <b:Author>
        <b:NameList>
          <b:Person>
            <b:Last>IEA</b:Last>
          </b:Person>
        </b:NameList>
      </b:Author>
    </b:Author>
    <b:LCID>en-GB</b:LCID>
    <b:RefOrder>1</b:RefOrder>
  </b:Source>
  <b:Source>
    <b:Tag>XuJ89</b:Tag>
    <b:SourceType>JournalArticle</b:SourceType>
    <b:Guid>{44DA3700-72FE-4156-9B51-80E1BE83E549}</b:Guid>
    <b:Author>
      <b:Author>
        <b:NameList>
          <b:Person>
            <b:Last>J.Xu</b:Last>
          </b:Person>
          <b:Person>
            <b:Last>G.F.Froment</b:Last>
          </b:Person>
        </b:NameList>
      </b:Author>
    </b:Author>
    <b:Title>Methane steam reforming,Methanation and Water-Gas Shift:1.Intrisic Kinetics</b:Title>
    <b:JournalName>AIChe Journal</b:JournalName>
    <b:Year>1989</b:Year>
    <b:Volume>35</b:Volume>
    <b:Issue>1</b:Issue>
    <b:RefOrder>2</b:RefOrder>
  </b:Source>
  <b:Source>
    <b:Tag>Ros11</b:Tag>
    <b:SourceType>Book</b:SourceType>
    <b:Guid>{CBC02AB1-41D4-42AF-8A81-B0A8DB31D4D7}</b:Guid>
    <b:Author>
      <b:Author>
        <b:NameList>
          <b:Person>
            <b:Last>J.Rostrup-Nielsen</b:Last>
          </b:Person>
          <b:Person>
            <b:Last>J.Christiansen</b:Last>
            <b:First>L.</b:First>
          </b:Person>
        </b:NameList>
      </b:Author>
    </b:Author>
    <b:Title>Concept in syngas manifacture</b:Title>
    <b:Year>2011</b:Year>
    <b:BookTitle>Concepts in Syngas Manufacture</b:BookTitle>
    <b:Publisher>IMPERIAL COLLEGE PRESS</b:Publisher>
    <b:RefOrder>3</b:RefOrder>
  </b:Source>
  <b:Source>
    <b:Tag>JRR02</b:Tag>
    <b:SourceType>JournalArticle</b:SourceType>
    <b:Guid>{1FFDDA59-8758-4867-9228-838699986878}</b:Guid>
    <b:Title>Hydrogen and Synthesis Gas by Steam- and CO2 Reforming</b:Title>
    <b:Year>2002</b:Year>
    <b:Pages>65 ~139</b:Pages>
    <b:Author>
      <b:Author>
        <b:NameList>
          <b:Person>
            <b:Last>J.R.Rostrup-Nielsen</b:Last>
          </b:Person>
          <b:Person>
            <b:Last>J.Sehested</b:Last>
          </b:Person>
        </b:NameList>
      </b:Author>
    </b:Author>
    <b:JournalName>Adv. Catal.</b:JournalName>
    <b:Volume>47</b:Volume>
    <b:RefOrder>4</b:RefOrder>
  </b:Source>
  <b:Source>
    <b:Tag>PLC</b:Tag>
    <b:SourceType>InternetSite</b:SourceType>
    <b:Guid>{74A532E0-1344-4713-9325-D2F5BF73057E}</b:Guid>
    <b:Author>
      <b:Author>
        <b:NameList>
          <b:Person>
            <b:Last>Matthey</b:Last>
            <b:First>Johnson</b:First>
          </b:Person>
        </b:NameList>
      </b:Author>
    </b:Author>
    <b:Title>HiFUEL® Base Metal Water Gas Shift Catalysts</b:Title>
    <b:URL>https://www.alfa.com/media/HiFUEL_Base_Metal_Water_Gas_Shift_Catalysts.pdf</b:URL>
    <b:RefOrder>5</b:RefOrder>
  </b:Source>
  <b:Source>
    <b:Tag>ABe19</b:Tag>
    <b:SourceType>JournalArticle</b:SourceType>
    <b:Guid>{31B3EDAF-E6A0-4791-A306-ABE0BE24BC3F}</b:Guid>
    <b:Author>
      <b:Author>
        <b:NameList>
          <b:Person>
            <b:Last>A.Benato</b:Last>
          </b:Person>
          <b:Person>
            <b:Last>A.Macor</b:Last>
          </b:Person>
        </b:NameList>
      </b:Author>
    </b:Author>
    <b:Title>Italian Biogas Plants: Trend, Subsidies, Cost, Biogas Composition and Engine Emissions.</b:Title>
    <b:JournalName>Energies 2019</b:JournalName>
    <b:Year>2019</b:Year>
    <b:Volume>12</b:Volume>
    <b:Issue>979</b:Issue>
    <b:RefOrder>6</b:RefOrder>
  </b:Source>
  <b:Source>
    <b:Tag>Glo21</b:Tag>
    <b:SourceType>InternetSite</b:SourceType>
    <b:Guid>{6A94A9A8-701A-43F2-AD3A-072FDEBF4E40}</b:Guid>
    <b:Title>Globalpetrolprices</b:Title>
    <b:Year>2021</b:Year>
    <b:URL>https://it.globalpetrolprices.com</b:URL>
    <b:RefOrder>7</b:RefOrder>
  </b:Source>
  <b:Source>
    <b:Tag>JML</b:Tag>
    <b:SourceType>JournalArticle</b:SourceType>
    <b:Guid>{E66C692D-4CF6-421A-94B1-48737FCA7606}</b:Guid>
    <b:Author>
      <b:Author>
        <b:NameList>
          <b:Person>
            <b:Last>J.-M.Lavoie</b:Last>
          </b:Person>
        </b:NameList>
      </b:Author>
    </b:Author>
    <b:Title>Review on dry reforming of methane, a potentially more environmentally friendly approach to the increasing natural gas exploitation</b:Title>
    <b:JournalName>Front. Chem.</b:JournalName>
    <b:Year>2014</b:Year>
    <b:URL>https://doi.org/10.3389/fchem.2014.00081</b:URL>
    <b:RefOrder>8</b:RefOrder>
  </b:Source>
  <b:Source xmlns:b="http://schemas.openxmlformats.org/officeDocument/2006/bibliography">
    <b:Tag>RTu01</b:Tag>
    <b:SourceType>BookSection</b:SourceType>
    <b:Guid>{600A1D7E-41A4-43DC-AF35-09BFC9DEC9AB}</b:Guid>
    <b:Author>
      <b:Author>
        <b:NameList>
          <b:Person>
            <b:Last>R.Turton</b:Last>
          </b:Person>
          <b:Person>
            <b:Last>J.A.Shaeiwitz</b:Last>
          </b:Person>
          <b:Person>
            <b:Last>D.Bhattacharyya</b:Last>
          </b:Person>
          <b:Person>
            <b:Last>W.B.Whiting</b:Last>
          </b:Person>
        </b:NameList>
      </b:Author>
    </b:Author>
    <b:Title>Chem. Process Equip.</b:Title>
    <b:Year>2001</b:Year>
    <b:BookTitle>Analysis, Synthesis, and Design of Chemical Processes</b:BookTitle>
    <b:RefOrder>9</b:RefOrder>
  </b:Source>
  <b:Source>
    <b:Tag>EUc20</b:Tag>
    <b:SourceType>ConferenceProceedings</b:SourceType>
    <b:Guid>{7D12AB32-3C8B-40A3-B798-F0DF88FF5798}</b:Guid>
    <b:Title>A hydrogen strategy for a climate-neutral Europe</b:Title>
    <b:Year>2020</b:Year>
    <b:Author>
      <b:Author>
        <b:NameList>
          <b:Person>
            <b:Last>European</b:Last>
          </b:Person>
        </b:NameList>
      </b:Author>
    </b:Author>
    <b:RefOrder>10</b:RefOrder>
  </b:Source>
  <b:Source>
    <b:Tag>YSS02</b:Tag>
    <b:SourceType>JournalArticle</b:SourceType>
    <b:Guid>{DA59A3D6-E7A4-4683-BB54-3A9B4625039C}</b:Guid>
    <b:Title>Evaluation of thermodynamically favourable operating condition for  production of hydrogen in three different reforming technologies</b:Title>
    <b:Year>2002</b:Year>
    <b:Author>
      <b:Author>
        <b:NameList>
          <b:Person>
            <b:Last>Y.-S.Seo</b:Last>
          </b:Person>
          <b:Person>
            <b:Last>A.Shirley</b:Last>
          </b:Person>
          <b:Person>
            <b:Last>S.T.Kolaczkewski</b:Last>
          </b:Person>
        </b:NameList>
      </b:Author>
    </b:Author>
    <b:JournalName>Journal of Power Sources</b:JournalName>
    <b:Pages>213-225</b:Pages>
    <b:Volume>108</b:Volume>
    <b:RefOrder>11</b:RefOrder>
  </b:Source>
  <b:Source>
    <b:Tag>SFr20</b:Tag>
    <b:SourceType>JournalArticle</b:SourceType>
    <b:Guid>{1DF01970-048B-4F16-ADC3-849FFE02F717}</b:Guid>
    <b:Author>
      <b:Author>
        <b:NameList>
          <b:Person>
            <b:Last>S.French</b:Last>
          </b:Person>
        </b:NameList>
      </b:Author>
    </b:Author>
    <b:Title>The Role of Zero and Low Carbon Hydrogen in Enabling the Energy Transition and the Path to Net Zero Greenhouse Gas Emissions</b:Title>
    <b:JournalName>Johnson Matthey Technol. Rev.</b:JournalName>
    <b:Year>2020</b:Year>
    <b:Pages>357-370</b:Pages>
    <b:Volume>64</b:Volume>
    <b:Issue>3</b:Issue>
    <b:RefOrder>12</b:RefOrder>
  </b:Source>
  <b:Source>
    <b:Tag>AMi22</b:Tag>
    <b:SourceType>JournalArticle</b:SourceType>
    <b:Guid>{B9407981-B9D0-44E9-8C8D-A51C26BADFA4}</b:Guid>
    <b:Title>Electrified methane reforming decarbonises methanol synthesi</b:Title>
    <b:Year>2022</b:Year>
    <b:JournalName>Journal of CO2 Utilization</b:JournalName>
    <b:Volume>58</b:Volume>
    <b:Author>
      <b:Author>
        <b:NameList>
          <b:Person>
            <b:Last>A.Mion</b:Last>
          </b:Person>
          <b:Person>
            <b:Last>Galli</b:Last>
            <b:First>F.</b:First>
          </b:Person>
          <b:Person>
            <b:Last>Mocellin</b:Last>
            <b:First>P.</b:First>
          </b:Person>
          <b:Person>
            <b:Last>S.Guffanti</b:Last>
          </b:Person>
          <b:Person>
            <b:Last>Pauletto</b:Last>
            <b:First>G.</b:First>
          </b:Person>
        </b:NameList>
      </b:Author>
    </b:Author>
    <b:RefOrder>13</b:RefOrder>
  </b:Source>
  <b:Source>
    <b:Tag>ORo20</b:Tag>
    <b:SourceType>JournalArticle</b:SourceType>
    <b:Guid>{BC2C6082-C0F4-4AA9-BDBB-E68C7DD2956E}</b:Guid>
    <b:Author>
      <b:Author>
        <b:NameList>
          <b:Person>
            <b:Last>Roelofse</b:Last>
            <b:First>O.</b:First>
          </b:Person>
          <b:Person>
            <b:Last>Somers</b:Last>
            <b:First>K.</b:First>
          </b:Person>
          <b:Person>
            <b:Last>Speelman</b:Last>
            <b:First>E.</b:First>
          </b:Person>
          <b:Person>
            <b:Last>Witteveen</b:Last>
            <b:First>M.</b:First>
          </b:Person>
        </b:NameList>
      </b:Author>
    </b:Author>
    <b:Title>Plugging in: What electrification can do for industry</b:Title>
    <b:JournalName>McKinsey &amp; Company</b:JournalName>
    <b:Year>2020</b:Year>
    <b:RefOrder>14</b:RefOrder>
  </b:Source>
</b:Sources>
</file>

<file path=customXml/itemProps1.xml><?xml version="1.0" encoding="utf-8"?>
<ds:datastoreItem xmlns:ds="http://schemas.openxmlformats.org/officeDocument/2006/customXml" ds:itemID="{1652B4C4-751A-4795-BE3B-2F641D205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3063</Words>
  <Characters>17463</Characters>
  <Application>Microsoft Office Word</Application>
  <DocSecurity>0</DocSecurity>
  <Lines>145</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Mocellin Paolo</cp:lastModifiedBy>
  <cp:revision>2</cp:revision>
  <cp:lastPrinted>2022-03-14T15:49:00Z</cp:lastPrinted>
  <dcterms:created xsi:type="dcterms:W3CDTF">2022-07-03T06:47:00Z</dcterms:created>
  <dcterms:modified xsi:type="dcterms:W3CDTF">2022-07-03T06:47:00Z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