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D3741">
        <w:trPr>
          <w:trHeight w:val="852"/>
          <w:jc w:val="center"/>
        </w:trPr>
        <w:tc>
          <w:tcPr>
            <w:tcW w:w="6940" w:type="dxa"/>
            <w:vMerge w:val="restart"/>
            <w:tcBorders>
              <w:right w:val="single" w:sz="4" w:space="0" w:color="auto"/>
            </w:tcBorders>
          </w:tcPr>
          <w:p w14:paraId="38C3D2BA" w14:textId="77777777" w:rsidR="000A03B2" w:rsidRPr="00B57B36" w:rsidRDefault="000A03B2" w:rsidP="00A66223">
            <w:pPr>
              <w:tabs>
                <w:tab w:val="left" w:pos="-108"/>
              </w:tabs>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D374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D3741">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13EE0D12" w:rsidR="00E978D0" w:rsidRPr="007D6B20" w:rsidRDefault="002D3741" w:rsidP="00E978D0">
      <w:pPr>
        <w:pStyle w:val="CETTitle"/>
      </w:pPr>
      <w:r w:rsidRPr="007D6B20">
        <w:t>Effect of microplastics in hydrothermal liquefaction (HTL) of real municipal sludge (RMS)</w:t>
      </w:r>
    </w:p>
    <w:p w14:paraId="0488FED2" w14:textId="4E632D99" w:rsidR="00B57E6F" w:rsidRPr="007D6B20" w:rsidRDefault="002D3741" w:rsidP="00B57E6F">
      <w:pPr>
        <w:pStyle w:val="CETAuthors"/>
        <w:rPr>
          <w:lang w:val="it-IT"/>
        </w:rPr>
      </w:pPr>
      <w:r w:rsidRPr="007D6B20">
        <w:rPr>
          <w:lang w:val="it-IT"/>
        </w:rPr>
        <w:t>Claudia Prestigiacomo</w:t>
      </w:r>
      <w:r w:rsidR="00B57E6F" w:rsidRPr="007D6B20">
        <w:rPr>
          <w:vertAlign w:val="superscript"/>
          <w:lang w:val="it-IT"/>
        </w:rPr>
        <w:t>a</w:t>
      </w:r>
      <w:r w:rsidR="006A6C21" w:rsidRPr="007D6B20">
        <w:rPr>
          <w:vertAlign w:val="superscript"/>
          <w:lang w:val="it-IT"/>
        </w:rPr>
        <w:t>,</w:t>
      </w:r>
      <w:r w:rsidR="006A6C21" w:rsidRPr="007D6B20">
        <w:rPr>
          <w:lang w:val="it-IT"/>
        </w:rPr>
        <w:t>*</w:t>
      </w:r>
      <w:r w:rsidR="00B57E6F" w:rsidRPr="007D6B20">
        <w:rPr>
          <w:lang w:val="it-IT"/>
        </w:rPr>
        <w:t xml:space="preserve">, </w:t>
      </w:r>
      <w:r w:rsidRPr="007D6B20">
        <w:rPr>
          <w:lang w:val="it-IT"/>
        </w:rPr>
        <w:t>Angelo Siragusa</w:t>
      </w:r>
      <w:r w:rsidR="00B57E6F" w:rsidRPr="007D6B20">
        <w:rPr>
          <w:vertAlign w:val="superscript"/>
          <w:lang w:val="it-IT"/>
        </w:rPr>
        <w:t>b</w:t>
      </w:r>
      <w:r w:rsidR="00B57E6F" w:rsidRPr="007D6B20">
        <w:rPr>
          <w:lang w:val="it-IT"/>
        </w:rPr>
        <w:t xml:space="preserve">, </w:t>
      </w:r>
      <w:r w:rsidR="00BE3CD8" w:rsidRPr="007D6B20">
        <w:rPr>
          <w:lang w:val="it-IT"/>
        </w:rPr>
        <w:t>Vito Armando</w:t>
      </w:r>
      <w:r w:rsidR="00B57E6F" w:rsidRPr="007D6B20">
        <w:rPr>
          <w:lang w:val="it-IT"/>
        </w:rPr>
        <w:t xml:space="preserve"> </w:t>
      </w:r>
      <w:r w:rsidR="00BE3CD8" w:rsidRPr="007D6B20">
        <w:rPr>
          <w:lang w:val="it-IT"/>
        </w:rPr>
        <w:t>Laudicina</w:t>
      </w:r>
      <w:r w:rsidR="00BE3CD8" w:rsidRPr="007D6B20">
        <w:rPr>
          <w:vertAlign w:val="superscript"/>
          <w:lang w:val="it-IT"/>
        </w:rPr>
        <w:t>c</w:t>
      </w:r>
      <w:r w:rsidR="00BE3CD8" w:rsidRPr="007D6B20">
        <w:rPr>
          <w:lang w:val="it-IT"/>
        </w:rPr>
        <w:t>, Onofrio Scialdone</w:t>
      </w:r>
      <w:r w:rsidR="00AA5F2E" w:rsidRPr="007D6B20">
        <w:rPr>
          <w:lang w:val="it-IT"/>
        </w:rPr>
        <w:t>, Alessandro Galia</w:t>
      </w:r>
      <w:r w:rsidR="00AA5F2E" w:rsidRPr="007D6B20">
        <w:rPr>
          <w:vertAlign w:val="superscript"/>
          <w:lang w:val="it-IT"/>
        </w:rPr>
        <w:t>a</w:t>
      </w:r>
    </w:p>
    <w:p w14:paraId="6B2D21B3" w14:textId="7461BCD8" w:rsidR="00B57E6F" w:rsidRPr="007D6B20" w:rsidRDefault="00B57E6F" w:rsidP="00B57E6F">
      <w:pPr>
        <w:pStyle w:val="CETAddress"/>
        <w:rPr>
          <w:lang w:val="it-IT"/>
        </w:rPr>
      </w:pPr>
      <w:r w:rsidRPr="007D6B20">
        <w:rPr>
          <w:vertAlign w:val="superscript"/>
          <w:lang w:val="it-IT"/>
        </w:rPr>
        <w:t>a</w:t>
      </w:r>
      <w:r w:rsidR="006A6C21" w:rsidRPr="007D6B20">
        <w:rPr>
          <w:lang w:val="it-IT"/>
        </w:rPr>
        <w:t xml:space="preserve"> Dipartimento di Ingegneria, Sezione Chimica Ambientale Biomedica Idraulica e dei Materiali, Università degli Studi di Palermo, Viale delle Scienze, 90128 Palermo, Italy </w:t>
      </w:r>
    </w:p>
    <w:p w14:paraId="3D72B0B0" w14:textId="09700769" w:rsidR="00B57E6F" w:rsidRPr="007D6B20" w:rsidRDefault="00B57E6F" w:rsidP="00B57E6F">
      <w:pPr>
        <w:pStyle w:val="CETAddress"/>
        <w:rPr>
          <w:lang w:val="it-IT"/>
        </w:rPr>
      </w:pPr>
      <w:r w:rsidRPr="007D6B20">
        <w:rPr>
          <w:vertAlign w:val="superscript"/>
          <w:lang w:val="it-IT"/>
        </w:rPr>
        <w:t>b</w:t>
      </w:r>
      <w:r w:rsidR="006A6C21" w:rsidRPr="007D6B20">
        <w:rPr>
          <w:lang w:val="it-IT"/>
        </w:rPr>
        <w:t xml:space="preserve"> AMAP s.p.a., Via Volturno, 2 90138 Palermo, Italy</w:t>
      </w:r>
    </w:p>
    <w:p w14:paraId="29D8F321" w14:textId="3DC2ADDB" w:rsidR="006A6C21" w:rsidRPr="007D6B20" w:rsidRDefault="006A6C21" w:rsidP="00B57E6F">
      <w:pPr>
        <w:pStyle w:val="CETAddress"/>
        <w:rPr>
          <w:lang w:val="it-IT"/>
        </w:rPr>
      </w:pPr>
      <w:r w:rsidRPr="007D6B20">
        <w:rPr>
          <w:vertAlign w:val="superscript"/>
          <w:lang w:val="it-IT"/>
        </w:rPr>
        <w:t>c</w:t>
      </w:r>
      <w:r w:rsidRPr="007D6B20">
        <w:rPr>
          <w:lang w:val="it-IT"/>
        </w:rPr>
        <w:t xml:space="preserve"> Dipartimento di Scienze Agrarie, Alimentari e Forestali, Università degli Studi di Palermo, Viale delle Scienze, 90128 Palermo, Italy</w:t>
      </w:r>
    </w:p>
    <w:p w14:paraId="73F1267A" w14:textId="129FFE05" w:rsidR="00B57E6F" w:rsidRPr="007D6B20" w:rsidRDefault="00B57E6F" w:rsidP="00B57E6F">
      <w:pPr>
        <w:pStyle w:val="CETemail"/>
      </w:pPr>
      <w:r w:rsidRPr="007D6B20">
        <w:rPr>
          <w:lang w:val="it-IT"/>
        </w:rPr>
        <w:t xml:space="preserve"> </w:t>
      </w:r>
      <w:r w:rsidR="006A6C21" w:rsidRPr="007D6B20">
        <w:t>claudia.prestigiacomo01</w:t>
      </w:r>
      <w:r w:rsidRPr="007D6B20">
        <w:t>@</w:t>
      </w:r>
      <w:r w:rsidR="006A6C21" w:rsidRPr="007D6B20">
        <w:t>unipa.it</w:t>
      </w:r>
    </w:p>
    <w:p w14:paraId="279BD2DF" w14:textId="02660A9F" w:rsidR="006A6C21" w:rsidRPr="007D6B20" w:rsidRDefault="006A6C21" w:rsidP="00600535">
      <w:pPr>
        <w:pStyle w:val="CETBodytext"/>
        <w:rPr>
          <w:lang w:val="en-GB"/>
        </w:rPr>
      </w:pPr>
      <w:bookmarkStart w:id="0" w:name="_Hlk495475023"/>
      <w:r w:rsidRPr="007D6B20">
        <w:rPr>
          <w:lang w:val="en-GB"/>
        </w:rPr>
        <w:t xml:space="preserve">The work herein was focused to study the effect of the microplastics on the yield and quality of biocrude (BC) </w:t>
      </w:r>
      <w:r w:rsidR="00B563A5" w:rsidRPr="007D6B20">
        <w:rPr>
          <w:lang w:val="en-GB"/>
        </w:rPr>
        <w:t xml:space="preserve">produced </w:t>
      </w:r>
      <w:r w:rsidRPr="007D6B20">
        <w:rPr>
          <w:lang w:val="en-GB"/>
        </w:rPr>
        <w:t xml:space="preserve">by </w:t>
      </w:r>
      <w:r w:rsidR="00B563A5" w:rsidRPr="007D6B20">
        <w:rPr>
          <w:lang w:val="en-GB"/>
        </w:rPr>
        <w:t>hydrothermal liquefaction (</w:t>
      </w:r>
      <w:r w:rsidRPr="007D6B20">
        <w:rPr>
          <w:lang w:val="en-GB"/>
        </w:rPr>
        <w:t>HTL</w:t>
      </w:r>
      <w:r w:rsidR="00B563A5" w:rsidRPr="007D6B20">
        <w:rPr>
          <w:lang w:val="en-GB"/>
        </w:rPr>
        <w:t>)</w:t>
      </w:r>
      <w:r w:rsidRPr="007D6B20">
        <w:rPr>
          <w:lang w:val="en-GB"/>
        </w:rPr>
        <w:t xml:space="preserve"> of </w:t>
      </w:r>
      <w:r w:rsidR="00B563A5" w:rsidRPr="007D6B20">
        <w:rPr>
          <w:lang w:val="en-GB"/>
        </w:rPr>
        <w:t>real municipal sludge (</w:t>
      </w:r>
      <w:r w:rsidRPr="007D6B20">
        <w:rPr>
          <w:lang w:val="en-GB"/>
        </w:rPr>
        <w:t>RMS</w:t>
      </w:r>
      <w:r w:rsidR="00B563A5" w:rsidRPr="007D6B20">
        <w:rPr>
          <w:lang w:val="en-GB"/>
        </w:rPr>
        <w:t>)</w:t>
      </w:r>
      <w:r w:rsidRPr="007D6B20">
        <w:rPr>
          <w:lang w:val="en-GB"/>
        </w:rPr>
        <w:t>.</w:t>
      </w:r>
      <w:r w:rsidR="00B563A5" w:rsidRPr="007D6B20">
        <w:rPr>
          <w:lang w:val="en-GB"/>
        </w:rPr>
        <w:t xml:space="preserve"> </w:t>
      </w:r>
      <w:r w:rsidRPr="007D6B20">
        <w:rPr>
          <w:lang w:val="en-GB"/>
        </w:rPr>
        <w:t>HTL experiments with RMS containing 3</w:t>
      </w:r>
      <w:r w:rsidR="009517CC">
        <w:rPr>
          <w:lang w:val="en-GB"/>
        </w:rPr>
        <w:t xml:space="preserve"> </w:t>
      </w:r>
      <w:r w:rsidRPr="007D6B20">
        <w:rPr>
          <w:lang w:val="en-GB"/>
        </w:rPr>
        <w:t>% w/w microplastics were conducted at 325</w:t>
      </w:r>
      <w:r w:rsidR="009517CC">
        <w:rPr>
          <w:lang w:val="en-GB"/>
        </w:rPr>
        <w:t xml:space="preserve"> </w:t>
      </w:r>
      <w:r w:rsidRPr="007D6B20">
        <w:rPr>
          <w:lang w:val="en-GB"/>
        </w:rPr>
        <w:t>°C and 30 min both in the absence and in the presence of CoMo/Al</w:t>
      </w:r>
      <w:r w:rsidRPr="007D6B20">
        <w:rPr>
          <w:vertAlign w:val="subscript"/>
          <w:lang w:val="en-GB"/>
        </w:rPr>
        <w:t>2</w:t>
      </w:r>
      <w:r w:rsidRPr="007D6B20">
        <w:rPr>
          <w:lang w:val="en-GB"/>
        </w:rPr>
        <w:t>O</w:t>
      </w:r>
      <w:r w:rsidRPr="007D6B20">
        <w:rPr>
          <w:vertAlign w:val="subscript"/>
          <w:lang w:val="en-GB"/>
        </w:rPr>
        <w:t>3</w:t>
      </w:r>
      <w:r w:rsidRPr="007D6B20">
        <w:rPr>
          <w:lang w:val="en-GB"/>
        </w:rPr>
        <w:t>, NiMo/Al</w:t>
      </w:r>
      <w:r w:rsidRPr="007D6B20">
        <w:rPr>
          <w:vertAlign w:val="subscript"/>
          <w:lang w:val="en-GB"/>
        </w:rPr>
        <w:t>2</w:t>
      </w:r>
      <w:r w:rsidRPr="007D6B20">
        <w:rPr>
          <w:lang w:val="en-GB"/>
        </w:rPr>
        <w:t>O</w:t>
      </w:r>
      <w:r w:rsidRPr="007D6B20">
        <w:rPr>
          <w:vertAlign w:val="subscript"/>
          <w:lang w:val="en-GB"/>
        </w:rPr>
        <w:t>3</w:t>
      </w:r>
      <w:r w:rsidRPr="007D6B20">
        <w:rPr>
          <w:lang w:val="en-GB"/>
        </w:rPr>
        <w:t xml:space="preserve"> and activated carbon felt (ACF) as heterogeneous catalysts. </w:t>
      </w:r>
      <w:r w:rsidR="00BA0614" w:rsidRPr="007D6B20">
        <w:rPr>
          <w:lang w:val="en-GB"/>
        </w:rPr>
        <w:t>A</w:t>
      </w:r>
      <w:r w:rsidRPr="007D6B20">
        <w:rPr>
          <w:lang w:val="en-GB"/>
        </w:rPr>
        <w:t xml:space="preserve"> white wax was isolated from BC with </w:t>
      </w:r>
      <w:r w:rsidR="008D2490" w:rsidRPr="007D6B20">
        <w:rPr>
          <w:lang w:val="en-GB"/>
        </w:rPr>
        <w:t xml:space="preserve">a </w:t>
      </w:r>
      <w:r w:rsidRPr="007D6B20">
        <w:rPr>
          <w:lang w:val="en-GB"/>
        </w:rPr>
        <w:t xml:space="preserve">yield of 5, 8 and 6 % w/w daf </w:t>
      </w:r>
      <w:r w:rsidR="00BA0614" w:rsidRPr="007D6B20">
        <w:rPr>
          <w:lang w:val="en-GB"/>
        </w:rPr>
        <w:t>when</w:t>
      </w:r>
      <w:r w:rsidRPr="007D6B20">
        <w:rPr>
          <w:lang w:val="en-GB"/>
        </w:rPr>
        <w:t xml:space="preserve"> </w:t>
      </w:r>
      <w:r w:rsidR="00B563A5" w:rsidRPr="007D6B20">
        <w:rPr>
          <w:lang w:val="en-GB"/>
        </w:rPr>
        <w:t>CoMo/Al</w:t>
      </w:r>
      <w:r w:rsidR="00B563A5" w:rsidRPr="007D6B20">
        <w:rPr>
          <w:vertAlign w:val="subscript"/>
          <w:lang w:val="en-GB"/>
        </w:rPr>
        <w:t>2</w:t>
      </w:r>
      <w:r w:rsidR="00B563A5" w:rsidRPr="007D6B20">
        <w:rPr>
          <w:lang w:val="en-GB"/>
        </w:rPr>
        <w:t>O</w:t>
      </w:r>
      <w:r w:rsidR="00B563A5" w:rsidRPr="007D6B20">
        <w:rPr>
          <w:vertAlign w:val="subscript"/>
          <w:lang w:val="en-GB"/>
        </w:rPr>
        <w:t>3</w:t>
      </w:r>
      <w:r w:rsidR="00B563A5" w:rsidRPr="007D6B20">
        <w:rPr>
          <w:lang w:val="en-GB"/>
        </w:rPr>
        <w:t>, NiMo/Al</w:t>
      </w:r>
      <w:r w:rsidR="00B563A5" w:rsidRPr="007D6B20">
        <w:rPr>
          <w:vertAlign w:val="subscript"/>
          <w:lang w:val="en-GB"/>
        </w:rPr>
        <w:t>2</w:t>
      </w:r>
      <w:r w:rsidR="00B563A5" w:rsidRPr="007D6B20">
        <w:rPr>
          <w:lang w:val="en-GB"/>
        </w:rPr>
        <w:t>O</w:t>
      </w:r>
      <w:r w:rsidR="00B563A5" w:rsidRPr="007D6B20">
        <w:rPr>
          <w:vertAlign w:val="subscript"/>
          <w:lang w:val="en-GB"/>
        </w:rPr>
        <w:t>3</w:t>
      </w:r>
      <w:r w:rsidR="00B563A5" w:rsidRPr="007D6B20">
        <w:rPr>
          <w:lang w:val="en-GB"/>
        </w:rPr>
        <w:t xml:space="preserve"> and</w:t>
      </w:r>
      <w:r w:rsidRPr="007D6B20">
        <w:rPr>
          <w:lang w:val="en-GB"/>
        </w:rPr>
        <w:t xml:space="preserve"> ACF </w:t>
      </w:r>
      <w:r w:rsidR="00BA0614" w:rsidRPr="007D6B20">
        <w:rPr>
          <w:lang w:val="en-GB"/>
        </w:rPr>
        <w:t xml:space="preserve">were used </w:t>
      </w:r>
      <w:r w:rsidRPr="007D6B20">
        <w:rPr>
          <w:lang w:val="en-GB"/>
        </w:rPr>
        <w:t>respectively. GC-MS analyses demonstrated that oleamide was present in the wax while FT-IR analyses showed the presence of chlorinated organic compounds</w:t>
      </w:r>
      <w:r w:rsidR="00CD5C95" w:rsidRPr="007D6B20">
        <w:rPr>
          <w:lang w:val="en-GB"/>
        </w:rPr>
        <w:t xml:space="preserve">, affecting negatively </w:t>
      </w:r>
      <w:r w:rsidR="00BA0614" w:rsidRPr="007D6B20">
        <w:rPr>
          <w:lang w:val="en-GB"/>
        </w:rPr>
        <w:t xml:space="preserve">the </w:t>
      </w:r>
      <w:r w:rsidR="00CD5C95" w:rsidRPr="007D6B20">
        <w:rPr>
          <w:lang w:val="en-GB"/>
        </w:rPr>
        <w:t>BC quality</w:t>
      </w:r>
      <w:r w:rsidRPr="007D6B20">
        <w:rPr>
          <w:lang w:val="en-GB"/>
        </w:rPr>
        <w:t>. HTL experiments with mixture of microalgae and controlled amounts of polyvinylchloride, polyethylene and nylon 6,6 at 325</w:t>
      </w:r>
      <w:r w:rsidR="009517CC">
        <w:rPr>
          <w:lang w:val="en-GB"/>
        </w:rPr>
        <w:t xml:space="preserve"> </w:t>
      </w:r>
      <w:r w:rsidRPr="007D6B20">
        <w:rPr>
          <w:lang w:val="en-GB"/>
        </w:rPr>
        <w:t xml:space="preserve">°C for 30 min confirmed that wax is originated from hydrothermal conversion of </w:t>
      </w:r>
      <w:r w:rsidR="00B563A5" w:rsidRPr="007D6B20">
        <w:rPr>
          <w:lang w:val="en-GB"/>
        </w:rPr>
        <w:t xml:space="preserve">synthetic </w:t>
      </w:r>
      <w:r w:rsidRPr="007D6B20">
        <w:rPr>
          <w:lang w:val="en-GB"/>
        </w:rPr>
        <w:t>polymers</w:t>
      </w:r>
      <w:r w:rsidR="00CD5C95" w:rsidRPr="007D6B20">
        <w:rPr>
          <w:lang w:val="en-GB"/>
        </w:rPr>
        <w:t xml:space="preserve">. </w:t>
      </w:r>
    </w:p>
    <w:bookmarkEnd w:id="0"/>
    <w:p w14:paraId="476B2F2E" w14:textId="77777777" w:rsidR="00600535" w:rsidRPr="007D6B20" w:rsidRDefault="00600535" w:rsidP="00600535">
      <w:pPr>
        <w:pStyle w:val="CETHeading1"/>
        <w:rPr>
          <w:lang w:val="en-GB"/>
        </w:rPr>
      </w:pPr>
      <w:r w:rsidRPr="007D6B20">
        <w:rPr>
          <w:lang w:val="en-GB"/>
        </w:rPr>
        <w:t>Introduction</w:t>
      </w:r>
    </w:p>
    <w:p w14:paraId="3B7CFCC6" w14:textId="2C517E9A" w:rsidR="004069CA" w:rsidRPr="007D6B20" w:rsidRDefault="0075751B" w:rsidP="0075751B">
      <w:pPr>
        <w:pStyle w:val="CETListbullets"/>
        <w:ind w:left="113" w:firstLine="0"/>
      </w:pPr>
      <w:r w:rsidRPr="007D6B20">
        <w:t xml:space="preserve">The applicative potentiality of a biorefinery process for waste management and valorization </w:t>
      </w:r>
      <w:r w:rsidR="00BA0614" w:rsidRPr="007D6B20">
        <w:t xml:space="preserve">gained </w:t>
      </w:r>
      <w:r w:rsidRPr="007D6B20">
        <w:t xml:space="preserve">a lot of interest in recent years. Hydrothermal liquefaction </w:t>
      </w:r>
      <w:r w:rsidR="00735DBD" w:rsidRPr="007D6B20">
        <w:t xml:space="preserve">(HTL) </w:t>
      </w:r>
      <w:r w:rsidRPr="007D6B20">
        <w:t>process is considered a promising route to be integrated in the biorefinery concept to allow the conversion of a wet organic matrix into a fuel precursor that is called biocrude</w:t>
      </w:r>
      <w:r w:rsidR="00735DBD" w:rsidRPr="007D6B20">
        <w:t xml:space="preserve"> (BC)</w:t>
      </w:r>
      <w:r w:rsidR="00AA083F" w:rsidRPr="007D6B20">
        <w:t xml:space="preserve"> (Dimitriadis</w:t>
      </w:r>
      <w:r w:rsidR="00285560" w:rsidRPr="007D6B20">
        <w:t xml:space="preserve"> et al.,</w:t>
      </w:r>
      <w:r w:rsidR="00AA083F" w:rsidRPr="007D6B20">
        <w:t xml:space="preserve"> 2016). </w:t>
      </w:r>
      <w:r w:rsidRPr="007D6B20">
        <w:t xml:space="preserve">The HTL conversion route takes place using the water, contained in the raw </w:t>
      </w:r>
      <w:r w:rsidR="00D6122A" w:rsidRPr="007D6B20">
        <w:t>feedstock</w:t>
      </w:r>
      <w:r w:rsidRPr="007D6B20">
        <w:t xml:space="preserve">, as solvent in sub or supercritical </w:t>
      </w:r>
      <w:r w:rsidR="008D2490" w:rsidRPr="007D6B20">
        <w:t>conditions</w:t>
      </w:r>
      <w:r w:rsidR="00121570" w:rsidRPr="007D6B20">
        <w:t xml:space="preserve"> at 300-400 °C and 10-40 MPa (</w:t>
      </w:r>
      <w:r w:rsidR="00AA083F" w:rsidRPr="007D6B20">
        <w:t>Peterson</w:t>
      </w:r>
      <w:r w:rsidR="00D2224B" w:rsidRPr="007D6B20">
        <w:t xml:space="preserve"> et al.,</w:t>
      </w:r>
      <w:r w:rsidR="00AA083F" w:rsidRPr="007D6B20">
        <w:t xml:space="preserve"> 2008)</w:t>
      </w:r>
      <w:r w:rsidRPr="007D6B20">
        <w:t xml:space="preserve">. </w:t>
      </w:r>
      <w:r w:rsidR="00724031" w:rsidRPr="007D6B20">
        <w:t xml:space="preserve">It is </w:t>
      </w:r>
      <w:r w:rsidR="00BA0614" w:rsidRPr="007D6B20">
        <w:t>generally accepted</w:t>
      </w:r>
      <w:r w:rsidR="00724031" w:rsidRPr="007D6B20">
        <w:t xml:space="preserve"> that </w:t>
      </w:r>
      <w:r w:rsidR="00365127" w:rsidRPr="007D6B20">
        <w:t xml:space="preserve">HTL </w:t>
      </w:r>
      <w:r w:rsidR="00724031" w:rsidRPr="007D6B20">
        <w:t>could constitute</w:t>
      </w:r>
      <w:r w:rsidR="00365127" w:rsidRPr="007D6B20">
        <w:t xml:space="preserve"> a promising route to obtain, with high </w:t>
      </w:r>
      <w:r w:rsidR="00BA0614" w:rsidRPr="007D6B20">
        <w:t xml:space="preserve">conversion </w:t>
      </w:r>
      <w:r w:rsidR="00365127" w:rsidRPr="007D6B20">
        <w:t xml:space="preserve">efficiency, value-added compounds from a wide range of </w:t>
      </w:r>
      <w:r w:rsidR="00724031" w:rsidRPr="007D6B20">
        <w:t>organic matrices</w:t>
      </w:r>
      <w:r w:rsidR="00365127" w:rsidRPr="007D6B20">
        <w:t xml:space="preserve">. </w:t>
      </w:r>
      <w:r w:rsidRPr="007D6B20">
        <w:t xml:space="preserve">The most investigated bio-feedstock for HTL was represented by microalgae, however in the last years was demonstrated that their cost significantly </w:t>
      </w:r>
      <w:r w:rsidR="002A2F4C" w:rsidRPr="007D6B20">
        <w:t xml:space="preserve">decreases </w:t>
      </w:r>
      <w:r w:rsidRPr="007D6B20">
        <w:t xml:space="preserve">the economic sustainability </w:t>
      </w:r>
      <w:r w:rsidR="00D6122A" w:rsidRPr="007D6B20">
        <w:t>of the process</w:t>
      </w:r>
      <w:r w:rsidR="00684040" w:rsidRPr="007D6B20">
        <w:t xml:space="preserve"> </w:t>
      </w:r>
      <w:r w:rsidR="00AA083F" w:rsidRPr="007D6B20">
        <w:t>(Giaconia</w:t>
      </w:r>
      <w:r w:rsidR="0011628C" w:rsidRPr="007D6B20">
        <w:t xml:space="preserve"> et al., </w:t>
      </w:r>
      <w:r w:rsidR="00AA083F" w:rsidRPr="007D6B20">
        <w:t>2017</w:t>
      </w:r>
      <w:r w:rsidR="0011628C" w:rsidRPr="007D6B20">
        <w:t>)</w:t>
      </w:r>
      <w:r w:rsidR="00D6122A" w:rsidRPr="007D6B20">
        <w:t xml:space="preserve"> In recent years </w:t>
      </w:r>
      <w:r w:rsidR="002A2F4C" w:rsidRPr="007D6B20">
        <w:t>increasing research</w:t>
      </w:r>
      <w:r w:rsidR="00D6122A" w:rsidRPr="007D6B20">
        <w:t xml:space="preserve"> interest was devoted to the utilization of </w:t>
      </w:r>
      <w:r w:rsidR="009A313B" w:rsidRPr="007D6B20">
        <w:t>RMS</w:t>
      </w:r>
      <w:r w:rsidR="00724031" w:rsidRPr="007D6B20">
        <w:t xml:space="preserve">, </w:t>
      </w:r>
      <w:r w:rsidR="00D6122A" w:rsidRPr="007D6B20">
        <w:t xml:space="preserve">as real waste bio-feedstock for HTL process, because the volume of production per year is </w:t>
      </w:r>
      <w:r w:rsidR="002A2F4C" w:rsidRPr="007D6B20">
        <w:t>significant</w:t>
      </w:r>
      <w:r w:rsidR="00D6122A" w:rsidRPr="007D6B20">
        <w:t xml:space="preserve">, the disposal cost ranges between € 80 and € 600 per ton and they are characterized by an organic content between 40 and 90 %w/w. </w:t>
      </w:r>
      <w:r w:rsidRPr="007D6B20">
        <w:t>In this framework</w:t>
      </w:r>
      <w:r w:rsidR="00735DBD" w:rsidRPr="007D6B20">
        <w:t>,</w:t>
      </w:r>
      <w:r w:rsidRPr="007D6B20">
        <w:t xml:space="preserve"> HTL of </w:t>
      </w:r>
      <w:r w:rsidR="004C412C" w:rsidRPr="007D6B20">
        <w:t>RMS</w:t>
      </w:r>
      <w:r w:rsidRPr="007D6B20">
        <w:t xml:space="preserve"> could be a solution providing an alternative route for the</w:t>
      </w:r>
      <w:r w:rsidR="002A2F4C" w:rsidRPr="007D6B20">
        <w:t>ir</w:t>
      </w:r>
      <w:r w:rsidRPr="007D6B20">
        <w:t xml:space="preserve"> efficient disposal. </w:t>
      </w:r>
      <w:r w:rsidR="00735DBD" w:rsidRPr="007D6B20">
        <w:t>Several studies were conducted</w:t>
      </w:r>
      <w:r w:rsidR="00365127" w:rsidRPr="007D6B20">
        <w:t xml:space="preserve"> </w:t>
      </w:r>
      <w:r w:rsidR="00735DBD" w:rsidRPr="007D6B20">
        <w:t xml:space="preserve">to find the best operative parameters to </w:t>
      </w:r>
      <w:r w:rsidR="002A2F4C" w:rsidRPr="007D6B20">
        <w:t>improve</w:t>
      </w:r>
      <w:r w:rsidR="00365127" w:rsidRPr="007D6B20">
        <w:t xml:space="preserve"> </w:t>
      </w:r>
      <w:r w:rsidR="002A2F4C" w:rsidRPr="007D6B20">
        <w:t xml:space="preserve">the </w:t>
      </w:r>
      <w:r w:rsidR="00365127" w:rsidRPr="007D6B20">
        <w:t xml:space="preserve">BC yield </w:t>
      </w:r>
      <w:r w:rsidR="00735DBD" w:rsidRPr="007D6B20">
        <w:t xml:space="preserve">and </w:t>
      </w:r>
      <w:r w:rsidR="00365127" w:rsidRPr="007D6B20">
        <w:t xml:space="preserve">quality </w:t>
      </w:r>
      <w:r w:rsidR="002A2F4C" w:rsidRPr="007D6B20">
        <w:t>approaching</w:t>
      </w:r>
      <w:r w:rsidR="00365127" w:rsidRPr="007D6B20">
        <w:t xml:space="preserve"> </w:t>
      </w:r>
      <w:r w:rsidR="00735DBD" w:rsidRPr="007D6B20">
        <w:t xml:space="preserve">as much as possible </w:t>
      </w:r>
      <w:r w:rsidR="002A2F4C" w:rsidRPr="007D6B20">
        <w:t xml:space="preserve">that of </w:t>
      </w:r>
      <w:r w:rsidR="00735DBD" w:rsidRPr="007D6B20">
        <w:t>commercialized fuels</w:t>
      </w:r>
      <w:r w:rsidR="00B01C2B" w:rsidRPr="007D6B20">
        <w:t xml:space="preserve"> </w:t>
      </w:r>
      <w:r w:rsidR="00AA083F" w:rsidRPr="007D6B20">
        <w:t>(Madsen</w:t>
      </w:r>
      <w:r w:rsidR="0011628C" w:rsidRPr="007D6B20">
        <w:t xml:space="preserve"> et al.,</w:t>
      </w:r>
      <w:r w:rsidR="00AA083F" w:rsidRPr="007D6B20">
        <w:t xml:space="preserve"> 2019; Qian</w:t>
      </w:r>
      <w:r w:rsidR="0011628C" w:rsidRPr="007D6B20">
        <w:t xml:space="preserve"> et al.,</w:t>
      </w:r>
      <w:r w:rsidR="00AA083F" w:rsidRPr="007D6B20">
        <w:t xml:space="preserve"> 2017</w:t>
      </w:r>
      <w:r w:rsidR="009552BA" w:rsidRPr="007D6B20">
        <w:t>; Shah</w:t>
      </w:r>
      <w:r w:rsidR="0011628C" w:rsidRPr="007D6B20">
        <w:t xml:space="preserve"> et al., </w:t>
      </w:r>
      <w:r w:rsidR="009552BA" w:rsidRPr="007D6B20">
        <w:t>2020; Conti</w:t>
      </w:r>
      <w:r w:rsidR="0011628C" w:rsidRPr="007D6B20">
        <w:t xml:space="preserve"> et al.,</w:t>
      </w:r>
      <w:r w:rsidR="009552BA" w:rsidRPr="007D6B20">
        <w:t xml:space="preserve"> 2020; Prestigiacomo</w:t>
      </w:r>
      <w:r w:rsidR="0011628C" w:rsidRPr="007D6B20">
        <w:t xml:space="preserve"> et al., </w:t>
      </w:r>
      <w:r w:rsidR="009552BA" w:rsidRPr="007D6B20">
        <w:t>2021)</w:t>
      </w:r>
      <w:r w:rsidR="00735DBD" w:rsidRPr="007D6B20">
        <w:t xml:space="preserve">. </w:t>
      </w:r>
      <w:r w:rsidRPr="007D6B20">
        <w:t>One of the main challenge</w:t>
      </w:r>
      <w:r w:rsidR="008D2490" w:rsidRPr="007D6B20">
        <w:t>s</w:t>
      </w:r>
      <w:r w:rsidRPr="007D6B20">
        <w:t xml:space="preserve"> </w:t>
      </w:r>
      <w:r w:rsidR="002A2F4C" w:rsidRPr="007D6B20">
        <w:t>for</w:t>
      </w:r>
      <w:r w:rsidRPr="007D6B20">
        <w:t xml:space="preserve"> the development of this strategy is the heterogeneous </w:t>
      </w:r>
      <w:r w:rsidR="002A2F4C" w:rsidRPr="007D6B20">
        <w:t>nature</w:t>
      </w:r>
      <w:r w:rsidR="001C6819" w:rsidRPr="007D6B20">
        <w:t xml:space="preserve"> and wide composition variability</w:t>
      </w:r>
      <w:r w:rsidR="002A2F4C" w:rsidRPr="007D6B20">
        <w:t xml:space="preserve"> </w:t>
      </w:r>
      <w:r w:rsidRPr="007D6B20">
        <w:t>of waste bio</w:t>
      </w:r>
      <w:r w:rsidR="009A313B" w:rsidRPr="007D6B20">
        <w:t>-feedstock</w:t>
      </w:r>
      <w:r w:rsidRPr="007D6B20">
        <w:t xml:space="preserve">. </w:t>
      </w:r>
      <w:r w:rsidR="00A6435A" w:rsidRPr="007D6B20">
        <w:t>In fact,</w:t>
      </w:r>
      <w:r w:rsidR="00365127" w:rsidRPr="007D6B20">
        <w:t xml:space="preserve"> </w:t>
      </w:r>
      <w:r w:rsidR="00735DBD" w:rsidRPr="007D6B20">
        <w:t xml:space="preserve">when HTL of </w:t>
      </w:r>
      <w:r w:rsidR="009A313B" w:rsidRPr="007D6B20">
        <w:t>RMS</w:t>
      </w:r>
      <w:r w:rsidR="00735DBD" w:rsidRPr="007D6B20">
        <w:t xml:space="preserve"> was </w:t>
      </w:r>
      <w:r w:rsidR="00A6435A" w:rsidRPr="007D6B20">
        <w:t>pioneered</w:t>
      </w:r>
      <w:r w:rsidR="000E47C6" w:rsidRPr="007D6B20">
        <w:t xml:space="preserve">, </w:t>
      </w:r>
      <w:r w:rsidR="00A54929" w:rsidRPr="007D6B20">
        <w:t>as an enlargement of the</w:t>
      </w:r>
      <w:r w:rsidR="00A6435A" w:rsidRPr="007D6B20">
        <w:t xml:space="preserve"> application</w:t>
      </w:r>
      <w:r w:rsidR="00D70FE2" w:rsidRPr="007D6B20">
        <w:t xml:space="preserve"> of HTL </w:t>
      </w:r>
      <w:r w:rsidR="00A54929" w:rsidRPr="007D6B20">
        <w:t xml:space="preserve">to </w:t>
      </w:r>
      <w:r w:rsidR="00452F2F" w:rsidRPr="007D6B20">
        <w:t>residual biomass</w:t>
      </w:r>
      <w:r w:rsidR="00C90E61" w:rsidRPr="007D6B20">
        <w:t xml:space="preserve">, </w:t>
      </w:r>
      <w:r w:rsidR="00A54929" w:rsidRPr="007D6B20">
        <w:t xml:space="preserve">it was neglected </w:t>
      </w:r>
      <w:r w:rsidR="00E127D8" w:rsidRPr="007D6B20">
        <w:t xml:space="preserve">that </w:t>
      </w:r>
      <w:r w:rsidR="00735DBD" w:rsidRPr="007D6B20">
        <w:t xml:space="preserve">the </w:t>
      </w:r>
      <w:r w:rsidR="00A54929" w:rsidRPr="007D6B20">
        <w:t>hydrothermal conversion</w:t>
      </w:r>
      <w:r w:rsidR="00735DBD" w:rsidRPr="007D6B20">
        <w:t xml:space="preserve"> of </w:t>
      </w:r>
      <w:r w:rsidR="00452F2F" w:rsidRPr="007D6B20">
        <w:t xml:space="preserve">its </w:t>
      </w:r>
      <w:r w:rsidR="00735DBD" w:rsidRPr="007D6B20">
        <w:t xml:space="preserve">biogenic organic </w:t>
      </w:r>
      <w:r w:rsidR="00452F2F" w:rsidRPr="007D6B20">
        <w:t xml:space="preserve">components </w:t>
      </w:r>
      <w:r w:rsidR="00735DBD" w:rsidRPr="007D6B20">
        <w:t>(bacterial cells</w:t>
      </w:r>
      <w:r w:rsidR="00A54929" w:rsidRPr="007D6B20">
        <w:t>,</w:t>
      </w:r>
      <w:r w:rsidR="009F4EB1">
        <w:t xml:space="preserve"> </w:t>
      </w:r>
      <w:r w:rsidR="00E127D8" w:rsidRPr="007D6B20">
        <w:t>polysaccharide fibres</w:t>
      </w:r>
      <w:r w:rsidR="00A54929" w:rsidRPr="007D6B20">
        <w:t>, proteins</w:t>
      </w:r>
      <w:r w:rsidR="00735DBD" w:rsidRPr="007D6B20">
        <w:t xml:space="preserve"> and </w:t>
      </w:r>
      <w:r w:rsidR="008924DA" w:rsidRPr="007D6B20">
        <w:t>triglycerides</w:t>
      </w:r>
      <w:r w:rsidR="00735DBD" w:rsidRPr="007D6B20">
        <w:t>)</w:t>
      </w:r>
      <w:r w:rsidR="00E127D8" w:rsidRPr="007D6B20">
        <w:t xml:space="preserve"> can be</w:t>
      </w:r>
      <w:r w:rsidR="00735DBD" w:rsidRPr="007D6B20">
        <w:t xml:space="preserve"> </w:t>
      </w:r>
      <w:r w:rsidR="00E127D8" w:rsidRPr="007D6B20">
        <w:t>different from</w:t>
      </w:r>
      <w:r w:rsidR="00735DBD" w:rsidRPr="007D6B20">
        <w:t xml:space="preserve"> </w:t>
      </w:r>
      <w:r w:rsidR="00A54929" w:rsidRPr="007D6B20">
        <w:t xml:space="preserve">that </w:t>
      </w:r>
      <w:r w:rsidR="00735DBD" w:rsidRPr="007D6B20">
        <w:t xml:space="preserve">of not biogenic </w:t>
      </w:r>
      <w:r w:rsidR="00452F2F" w:rsidRPr="007D6B20">
        <w:t>constituent</w:t>
      </w:r>
      <w:r w:rsidR="00A54929" w:rsidRPr="007D6B20">
        <w:t xml:space="preserve"> such as </w:t>
      </w:r>
      <w:r w:rsidR="00735DBD" w:rsidRPr="007D6B20">
        <w:t>plastics.</w:t>
      </w:r>
      <w:r w:rsidR="009847F3" w:rsidRPr="007D6B20">
        <w:t xml:space="preserve"> </w:t>
      </w:r>
      <w:r w:rsidRPr="007D6B20">
        <w:t xml:space="preserve">It is reported by many studies that </w:t>
      </w:r>
      <w:r w:rsidR="00B01C2B" w:rsidRPr="007D6B20">
        <w:t>RMS</w:t>
      </w:r>
      <w:r w:rsidRPr="007D6B20">
        <w:t xml:space="preserve"> are one of the main vectors of microplastics in the soil</w:t>
      </w:r>
      <w:r w:rsidR="00C90E61" w:rsidRPr="007D6B20">
        <w:t xml:space="preserve"> (Tagg</w:t>
      </w:r>
      <w:r w:rsidR="0011628C" w:rsidRPr="007D6B20">
        <w:t xml:space="preserve"> et al.,</w:t>
      </w:r>
      <w:r w:rsidR="00C90E61" w:rsidRPr="007D6B20">
        <w:t xml:space="preserve"> 2015)</w:t>
      </w:r>
      <w:r w:rsidRPr="007D6B20">
        <w:t xml:space="preserve">. </w:t>
      </w:r>
      <w:r w:rsidR="008B2872" w:rsidRPr="007D6B20">
        <w:t>These macromolecular components</w:t>
      </w:r>
      <w:r w:rsidRPr="007D6B20">
        <w:t xml:space="preserve"> come from the drain of the washing machines, toothpaste, </w:t>
      </w:r>
      <w:r w:rsidR="008D2490" w:rsidRPr="007D6B20">
        <w:t xml:space="preserve">and </w:t>
      </w:r>
      <w:r w:rsidRPr="007D6B20">
        <w:t xml:space="preserve">the degradation </w:t>
      </w:r>
      <w:r w:rsidRPr="007D6B20">
        <w:lastRenderedPageBreak/>
        <w:t xml:space="preserve">of car tires </w:t>
      </w:r>
      <w:r w:rsidR="008D2490" w:rsidRPr="007D6B20">
        <w:t>on</w:t>
      </w:r>
      <w:r w:rsidRPr="007D6B20">
        <w:t xml:space="preserve"> the roads and they effectively can constitute a pollutant source for the soil</w:t>
      </w:r>
      <w:r w:rsidR="00E127D8" w:rsidRPr="007D6B20">
        <w:t xml:space="preserve"> </w:t>
      </w:r>
      <w:r w:rsidR="009552BA" w:rsidRPr="007D6B20">
        <w:t>(Tagg</w:t>
      </w:r>
      <w:r w:rsidR="0011628C" w:rsidRPr="007D6B20">
        <w:t xml:space="preserve"> et al., </w:t>
      </w:r>
      <w:r w:rsidR="009552BA" w:rsidRPr="007D6B20">
        <w:t>2015)</w:t>
      </w:r>
      <w:r w:rsidRPr="007D6B20">
        <w:t xml:space="preserve">. </w:t>
      </w:r>
      <w:r w:rsidR="008B2872" w:rsidRPr="007D6B20">
        <w:t xml:space="preserve">International </w:t>
      </w:r>
      <w:r w:rsidR="008D2490" w:rsidRPr="007D6B20">
        <w:t>legislation</w:t>
      </w:r>
      <w:r w:rsidR="008B2872" w:rsidRPr="007D6B20">
        <w:t xml:space="preserve"> regulate</w:t>
      </w:r>
      <w:r w:rsidR="007E7BE8" w:rsidRPr="007D6B20">
        <w:t>s</w:t>
      </w:r>
      <w:r w:rsidR="008B2872" w:rsidRPr="007D6B20">
        <w:t xml:space="preserve"> </w:t>
      </w:r>
      <w:r w:rsidR="007E7BE8" w:rsidRPr="007D6B20">
        <w:t>the maximum level of</w:t>
      </w:r>
      <w:r w:rsidR="008B2872" w:rsidRPr="007D6B20">
        <w:t xml:space="preserve"> </w:t>
      </w:r>
      <w:r w:rsidR="007E7BE8" w:rsidRPr="007D6B20">
        <w:t>heavy metal in RMS</w:t>
      </w:r>
      <w:r w:rsidR="008B2872" w:rsidRPr="007D6B20">
        <w:t xml:space="preserve"> but, so far </w:t>
      </w:r>
      <w:r w:rsidR="007E7BE8" w:rsidRPr="007D6B20">
        <w:t xml:space="preserve">no limit on </w:t>
      </w:r>
      <w:r w:rsidR="008B2872" w:rsidRPr="007D6B20">
        <w:t xml:space="preserve">the plastic content has been </w:t>
      </w:r>
      <w:r w:rsidR="008D2490" w:rsidRPr="007D6B20">
        <w:t>proposed t</w:t>
      </w:r>
      <w:r w:rsidRPr="007D6B20">
        <w:t xml:space="preserve">here are many studies in the literature on HTL of </w:t>
      </w:r>
      <w:r w:rsidR="00663013" w:rsidRPr="007D6B20">
        <w:t xml:space="preserve">single </w:t>
      </w:r>
      <w:r w:rsidR="0095028B" w:rsidRPr="007D6B20">
        <w:t xml:space="preserve">plastics (Seshasayee and Savage, 2021; </w:t>
      </w:r>
      <w:r w:rsidR="00D229A6" w:rsidRPr="007D6B20">
        <w:t>Dos Passos</w:t>
      </w:r>
      <w:r w:rsidR="0011628C" w:rsidRPr="007D6B20">
        <w:t xml:space="preserve"> et al.,</w:t>
      </w:r>
      <w:r w:rsidR="00D229A6" w:rsidRPr="007D6B20">
        <w:t xml:space="preserve"> 2020</w:t>
      </w:r>
      <w:r w:rsidR="0095028B" w:rsidRPr="007D6B20">
        <w:t>)</w:t>
      </w:r>
      <w:r w:rsidR="00D229A6" w:rsidRPr="007D6B20">
        <w:t xml:space="preserve"> </w:t>
      </w:r>
      <w:r w:rsidR="007E7BE8" w:rsidRPr="007D6B20">
        <w:t xml:space="preserve">that </w:t>
      </w:r>
      <w:r w:rsidRPr="007D6B20">
        <w:t xml:space="preserve">investigated the effects of different operative parameters like temperature, time, concentration, </w:t>
      </w:r>
      <w:r w:rsidR="00663013" w:rsidRPr="007D6B20">
        <w:t xml:space="preserve">on the product distribution </w:t>
      </w:r>
      <w:r w:rsidRPr="007D6B20">
        <w:t xml:space="preserve">but as far as we know any study was conducted </w:t>
      </w:r>
      <w:r w:rsidR="00663013" w:rsidRPr="007D6B20">
        <w:t>on</w:t>
      </w:r>
      <w:r w:rsidRPr="007D6B20">
        <w:t xml:space="preserve"> the </w:t>
      </w:r>
      <w:r w:rsidR="0095028B" w:rsidRPr="007D6B20">
        <w:t>evolution</w:t>
      </w:r>
      <w:r w:rsidRPr="007D6B20">
        <w:t xml:space="preserve"> of microplastics </w:t>
      </w:r>
      <w:r w:rsidR="00663013" w:rsidRPr="007D6B20">
        <w:t xml:space="preserve">incorporated in RMS </w:t>
      </w:r>
      <w:r w:rsidRPr="007D6B20">
        <w:t xml:space="preserve">during HTL. </w:t>
      </w:r>
    </w:p>
    <w:p w14:paraId="4823E8C4" w14:textId="57003FE6" w:rsidR="004069CA" w:rsidRPr="007D6B20" w:rsidRDefault="004069CA" w:rsidP="0075751B">
      <w:pPr>
        <w:pStyle w:val="CETListbullets"/>
        <w:ind w:left="113" w:firstLine="0"/>
      </w:pPr>
      <w:r w:rsidRPr="007D6B20">
        <w:t xml:space="preserve">The work herein was focused to </w:t>
      </w:r>
      <w:r w:rsidR="00E127D8" w:rsidRPr="007D6B20">
        <w:t xml:space="preserve">investigate the </w:t>
      </w:r>
      <w:r w:rsidR="00530FD5" w:rsidRPr="007D6B20">
        <w:t xml:space="preserve">effect </w:t>
      </w:r>
      <w:r w:rsidRPr="007D6B20">
        <w:t>of the microplastics on the yield and quality of BC produced by HT</w:t>
      </w:r>
      <w:r w:rsidR="00E127D8" w:rsidRPr="007D6B20">
        <w:t>L</w:t>
      </w:r>
      <w:r w:rsidRPr="007D6B20">
        <w:t xml:space="preserve"> of RMS.</w:t>
      </w:r>
    </w:p>
    <w:p w14:paraId="63934AB8" w14:textId="156D59D4" w:rsidR="00882A5E" w:rsidRPr="007D6B20" w:rsidRDefault="00882A5E" w:rsidP="00882A5E">
      <w:pPr>
        <w:pStyle w:val="CETHeading1"/>
      </w:pPr>
      <w:r w:rsidRPr="007D6B20">
        <w:t>Materials and methods</w:t>
      </w:r>
    </w:p>
    <w:p w14:paraId="61A9B77A" w14:textId="2DA48EC8" w:rsidR="00600535" w:rsidRPr="007D6B20" w:rsidRDefault="00882A5E" w:rsidP="00FA5F5F">
      <w:pPr>
        <w:pStyle w:val="CETheadingx"/>
      </w:pPr>
      <w:r w:rsidRPr="007D6B20">
        <w:t>Materials</w:t>
      </w:r>
    </w:p>
    <w:p w14:paraId="240121CC" w14:textId="430128BC" w:rsidR="00882A5E" w:rsidRPr="007D6B20" w:rsidRDefault="002A7F99" w:rsidP="00131573">
      <w:pPr>
        <w:pStyle w:val="CETBodytext"/>
      </w:pPr>
      <w:r w:rsidRPr="007D6B20">
        <w:t>RMS</w:t>
      </w:r>
      <w:r w:rsidR="00882A5E" w:rsidRPr="007D6B20">
        <w:t xml:space="preserve"> adopted in the work herein were provided by the WWTP in Palermo (A.M.A.P. s.p.a.) with an initial moisture content of 76</w:t>
      </w:r>
      <w:r w:rsidR="009517CC">
        <w:t xml:space="preserve"> </w:t>
      </w:r>
      <w:r w:rsidR="00882A5E" w:rsidRPr="007D6B20">
        <w:t>% w/w (dry mass)</w:t>
      </w:r>
      <w:r w:rsidR="00532756" w:rsidRPr="007D6B20">
        <w:t xml:space="preserve"> and organic content of 80 % w/w</w:t>
      </w:r>
      <w:r w:rsidR="00882A5E" w:rsidRPr="007D6B20">
        <w:t>.</w:t>
      </w:r>
      <w:r w:rsidR="003740D6" w:rsidRPr="007D6B20">
        <w:t xml:space="preserve"> A method reported in </w:t>
      </w:r>
      <w:r w:rsidR="008D2490" w:rsidRPr="007D6B20">
        <w:t xml:space="preserve">the </w:t>
      </w:r>
      <w:r w:rsidR="003740D6" w:rsidRPr="007D6B20">
        <w:t xml:space="preserve">literature by </w:t>
      </w:r>
      <w:r w:rsidR="005D0E83" w:rsidRPr="007D6B20">
        <w:t>Tagg</w:t>
      </w:r>
      <w:r w:rsidR="0011628C" w:rsidRPr="007D6B20">
        <w:t xml:space="preserve"> et al.,</w:t>
      </w:r>
      <w:r w:rsidR="00D229A6" w:rsidRPr="007D6B20">
        <w:t xml:space="preserve"> 2015</w:t>
      </w:r>
      <w:r w:rsidR="003740D6" w:rsidRPr="007D6B20">
        <w:t xml:space="preserve"> was used to </w:t>
      </w:r>
      <w:r w:rsidR="00FC7302" w:rsidRPr="007D6B20">
        <w:t>isolate and determine the</w:t>
      </w:r>
      <w:r w:rsidR="003740D6" w:rsidRPr="007D6B20">
        <w:t xml:space="preserve"> </w:t>
      </w:r>
      <w:r w:rsidR="007B6AA9" w:rsidRPr="007D6B20">
        <w:t>microplastic fraction</w:t>
      </w:r>
      <w:r w:rsidR="00FC7302" w:rsidRPr="007D6B20">
        <w:t xml:space="preserve"> (MF)</w:t>
      </w:r>
      <w:r w:rsidR="007B6AA9" w:rsidRPr="007D6B20">
        <w:t xml:space="preserve"> </w:t>
      </w:r>
      <w:r w:rsidR="007D4A37" w:rsidRPr="007D6B20">
        <w:t>in the RMS</w:t>
      </w:r>
      <w:r w:rsidR="003740D6" w:rsidRPr="007D6B20">
        <w:t>, that was 3</w:t>
      </w:r>
      <w:r w:rsidR="003740D6" w:rsidRPr="007D6B20">
        <w:rPr>
          <w:rFonts w:ascii="+-" w:hAnsi="+-"/>
        </w:rPr>
        <w:t>±</w:t>
      </w:r>
      <w:r w:rsidR="003740D6" w:rsidRPr="007D6B20">
        <w:t>1</w:t>
      </w:r>
      <w:r w:rsidR="009517CC">
        <w:t xml:space="preserve"> </w:t>
      </w:r>
      <w:r w:rsidR="003740D6" w:rsidRPr="007D6B20">
        <w:t>%w/w.</w:t>
      </w:r>
      <w:r w:rsidR="00882A5E" w:rsidRPr="007D6B20">
        <w:t xml:space="preserve"> NiMo/Al</w:t>
      </w:r>
      <w:r w:rsidR="00882A5E" w:rsidRPr="007D6B20">
        <w:rPr>
          <w:vertAlign w:val="subscript"/>
        </w:rPr>
        <w:t>2</w:t>
      </w:r>
      <w:r w:rsidR="00882A5E" w:rsidRPr="007D6B20">
        <w:t>O</w:t>
      </w:r>
      <w:r w:rsidR="00882A5E" w:rsidRPr="007D6B20">
        <w:rPr>
          <w:vertAlign w:val="subscript"/>
        </w:rPr>
        <w:t>3</w:t>
      </w:r>
      <w:r w:rsidR="00882A5E" w:rsidRPr="007D6B20">
        <w:t xml:space="preserve"> (KF 851, quadralobe units, Albemarle), CoMo/</w:t>
      </w:r>
      <w:r w:rsidR="004B4C44" w:rsidRPr="007D6B20">
        <w:t>Al</w:t>
      </w:r>
      <w:r w:rsidR="004B4C44" w:rsidRPr="007D6B20">
        <w:rPr>
          <w:vertAlign w:val="subscript"/>
        </w:rPr>
        <w:t>2</w:t>
      </w:r>
      <w:r w:rsidR="004B4C44" w:rsidRPr="007D6B20">
        <w:t>O</w:t>
      </w:r>
      <w:r w:rsidR="004B4C44" w:rsidRPr="007D6B20">
        <w:rPr>
          <w:vertAlign w:val="subscript"/>
        </w:rPr>
        <w:t>3</w:t>
      </w:r>
      <w:r w:rsidR="00882A5E" w:rsidRPr="007D6B20">
        <w:t xml:space="preserve"> (KF 1022, cylindrical units, Albemarle) and activated carbon felt 1600 supplied by Ceramaterials were used as catalysts. </w:t>
      </w:r>
      <w:r w:rsidR="00882A5E" w:rsidRPr="007D6B20">
        <w:rPr>
          <w:i/>
          <w:iCs/>
        </w:rPr>
        <w:t>Chlorella v.</w:t>
      </w:r>
      <w:r w:rsidR="00882A5E" w:rsidRPr="007D6B20">
        <w:t xml:space="preserve"> provided by algae4future (a4f), Lisbon, Portugal is used as </w:t>
      </w:r>
      <w:r w:rsidR="008D2490" w:rsidRPr="007D6B20">
        <w:t xml:space="preserve">a </w:t>
      </w:r>
      <w:r w:rsidR="00882A5E" w:rsidRPr="007D6B20">
        <w:t>model of biogenic matter to perform selected experiments.</w:t>
      </w:r>
      <w:r w:rsidR="009231BA" w:rsidRPr="007D6B20">
        <w:t xml:space="preserve"> </w:t>
      </w:r>
      <w:r w:rsidR="00882A5E" w:rsidRPr="007D6B20">
        <w:t>Hydrogen peroxide (30 vol</w:t>
      </w:r>
      <w:r w:rsidR="009517CC">
        <w:t xml:space="preserve"> </w:t>
      </w:r>
      <w:r w:rsidR="00882A5E" w:rsidRPr="007D6B20">
        <w:t xml:space="preserve">%, Sigma Aldrich) was used to identify microplastic content in </w:t>
      </w:r>
      <w:r w:rsidR="004C412C" w:rsidRPr="007D6B20">
        <w:t>RMS</w:t>
      </w:r>
      <w:r w:rsidR="00882A5E" w:rsidRPr="007D6B20">
        <w:t>. Poly(vinyl chloride) (high molecular weight, M</w:t>
      </w:r>
      <w:r w:rsidR="00882A5E" w:rsidRPr="007D6B20">
        <w:rPr>
          <w:vertAlign w:val="subscript"/>
        </w:rPr>
        <w:t>n</w:t>
      </w:r>
      <w:r w:rsidR="00882A5E" w:rsidRPr="007D6B20">
        <w:t xml:space="preserve"> 565 kg/mol, Sigma Aldrich), extruded films of polyethylene and nylon 6,6 were </w:t>
      </w:r>
      <w:r w:rsidR="009058FB" w:rsidRPr="007D6B20">
        <w:t>cut</w:t>
      </w:r>
      <w:r w:rsidR="00882A5E" w:rsidRPr="007D6B20">
        <w:t xml:space="preserve"> to obtain particle size distribution between 0.5-1.0 mm and used as microplastic models. Deionized water, available as </w:t>
      </w:r>
      <w:r w:rsidR="008D2490" w:rsidRPr="007D6B20">
        <w:t xml:space="preserve">a </w:t>
      </w:r>
      <w:r w:rsidR="00882A5E" w:rsidRPr="007D6B20">
        <w:t xml:space="preserve">laboratory utility, was employed as a solvent for microplastic identification in </w:t>
      </w:r>
      <w:r w:rsidR="00215B1C" w:rsidRPr="007D6B20">
        <w:t xml:space="preserve">RMS </w:t>
      </w:r>
      <w:r w:rsidR="00882A5E" w:rsidRPr="007D6B20">
        <w:t>and for HTL experiments. Trichloromethane ( ≥99.8</w:t>
      </w:r>
      <w:r w:rsidR="009517CC">
        <w:t xml:space="preserve"> </w:t>
      </w:r>
      <w:r w:rsidR="00882A5E" w:rsidRPr="007D6B20">
        <w:t>%, J.T. Baker®, Avantor) was used as a solvent to recover the BC. Acetone (HPLC grade, Sigma Aldrich) was used to clean the reactor</w:t>
      </w:r>
      <w:r w:rsidR="007D4A37" w:rsidRPr="007D6B20">
        <w:t xml:space="preserve"> and collect</w:t>
      </w:r>
      <w:r w:rsidR="00253C6D" w:rsidRPr="007D6B20">
        <w:t xml:space="preserve"> the additional phase (ADP)</w:t>
      </w:r>
      <w:r w:rsidR="00882A5E" w:rsidRPr="007D6B20">
        <w:t xml:space="preserve">. KBr </w:t>
      </w:r>
      <w:r w:rsidR="007B6AA9" w:rsidRPr="007D6B20">
        <w:t xml:space="preserve">was used </w:t>
      </w:r>
      <w:r w:rsidR="00035216" w:rsidRPr="007D6B20">
        <w:t xml:space="preserve">as </w:t>
      </w:r>
      <w:r w:rsidR="007B6AA9" w:rsidRPr="007D6B20">
        <w:t xml:space="preserve">a sample carrier </w:t>
      </w:r>
      <w:r w:rsidR="00882A5E" w:rsidRPr="007D6B20">
        <w:t>for FT</w:t>
      </w:r>
      <w:r w:rsidR="004C412C" w:rsidRPr="007D6B20">
        <w:t>-</w:t>
      </w:r>
      <w:r w:rsidR="00882A5E" w:rsidRPr="007D6B20">
        <w:t>IR analyses (99+</w:t>
      </w:r>
      <w:r w:rsidR="009517CC">
        <w:t xml:space="preserve"> </w:t>
      </w:r>
      <w:r w:rsidR="00882A5E" w:rsidRPr="007D6B20">
        <w:t>%, FT</w:t>
      </w:r>
      <w:r w:rsidR="009517CC">
        <w:t>-</w:t>
      </w:r>
      <w:r w:rsidR="00882A5E" w:rsidRPr="007D6B20">
        <w:t>IR grade, Sigma Aldrich).</w:t>
      </w:r>
    </w:p>
    <w:p w14:paraId="6B4C63E5" w14:textId="6DEEBC87" w:rsidR="00600535" w:rsidRPr="007D6B20" w:rsidRDefault="004A22E7" w:rsidP="00FA5F5F">
      <w:pPr>
        <w:pStyle w:val="CETheadingx"/>
      </w:pPr>
      <w:r w:rsidRPr="007D6B20">
        <w:t>Experimental methods</w:t>
      </w:r>
    </w:p>
    <w:p w14:paraId="1DD3AD7B" w14:textId="3632A826" w:rsidR="004A22E7" w:rsidRPr="007D6B20" w:rsidRDefault="004A22E7" w:rsidP="004A22E7">
      <w:pPr>
        <w:pStyle w:val="CETBodytext"/>
      </w:pPr>
      <w:r w:rsidRPr="007D6B20">
        <w:t xml:space="preserve">HTL </w:t>
      </w:r>
      <w:r w:rsidR="002B588F" w:rsidRPr="007D6B20">
        <w:t>o</w:t>
      </w:r>
      <w:r w:rsidR="009F478F" w:rsidRPr="007D6B20">
        <w:t>f</w:t>
      </w:r>
      <w:r w:rsidR="002B588F" w:rsidRPr="007D6B20">
        <w:t xml:space="preserve"> RMS was </w:t>
      </w:r>
      <w:r w:rsidRPr="007D6B20">
        <w:t xml:space="preserve">carried out using the experimental system elsewhere </w:t>
      </w:r>
      <w:r w:rsidR="002B588F" w:rsidRPr="007D6B20">
        <w:t xml:space="preserve">described </w:t>
      </w:r>
      <w:r w:rsidR="007E45AC" w:rsidRPr="007D6B20">
        <w:t>(</w:t>
      </w:r>
      <w:r w:rsidR="00D229A6" w:rsidRPr="007D6B20">
        <w:t>Prestigiacomo</w:t>
      </w:r>
      <w:r w:rsidR="0011628C" w:rsidRPr="007D6B20">
        <w:t xml:space="preserve"> et al.,</w:t>
      </w:r>
      <w:r w:rsidR="00D229A6" w:rsidRPr="007D6B20">
        <w:t xml:space="preserve"> 20</w:t>
      </w:r>
      <w:r w:rsidR="00F555AF">
        <w:t>20</w:t>
      </w:r>
      <w:r w:rsidR="007E45AC" w:rsidRPr="007D6B20">
        <w:t>)</w:t>
      </w:r>
      <w:r w:rsidRPr="007D6B20">
        <w:t>. The AISI 316 assembled reactor</w:t>
      </w:r>
      <w:r w:rsidR="009F478F" w:rsidRPr="007D6B20">
        <w:t>,</w:t>
      </w:r>
      <w:r w:rsidR="00035216" w:rsidRPr="007D6B20">
        <w:t xml:space="preserve"> </w:t>
      </w:r>
      <w:r w:rsidR="009058FB" w:rsidRPr="007D6B20">
        <w:t>internal volume of 16 mL</w:t>
      </w:r>
      <w:r w:rsidRPr="007D6B20">
        <w:t>, was loaded with 5</w:t>
      </w:r>
      <w:r w:rsidR="009517CC">
        <w:t xml:space="preserve"> </w:t>
      </w:r>
      <w:r w:rsidRPr="007D6B20">
        <w:t xml:space="preserve">g of aqueous slurry characterized by a </w:t>
      </w:r>
      <w:r w:rsidR="00215B1C" w:rsidRPr="007D6B20">
        <w:t>RMS</w:t>
      </w:r>
      <w:r w:rsidRPr="007D6B20">
        <w:t xml:space="preserve"> concentration of 10</w:t>
      </w:r>
      <w:r w:rsidR="009517CC">
        <w:t xml:space="preserve"> </w:t>
      </w:r>
      <w:r w:rsidRPr="007D6B20">
        <w:t>% w/w. When catalyst was used, it was added with a concentration of 10</w:t>
      </w:r>
      <w:r w:rsidR="009517CC">
        <w:t xml:space="preserve"> </w:t>
      </w:r>
      <w:r w:rsidRPr="007D6B20">
        <w:t xml:space="preserve">% w/w with respect to the initial dry mass of </w:t>
      </w:r>
      <w:r w:rsidR="004C412C" w:rsidRPr="007D6B20">
        <w:t>RMS</w:t>
      </w:r>
      <w:r w:rsidRPr="007D6B20">
        <w:t>. The reactor was then sealed and purged with argon (Air Liquide 99.999 % purity)</w:t>
      </w:r>
      <w:r w:rsidR="001954A3" w:rsidRPr="007D6B20">
        <w:t xml:space="preserve">, a </w:t>
      </w:r>
      <w:r w:rsidRPr="007D6B20">
        <w:t xml:space="preserve">residual pressure of 2 bar of argon has been left in the reactor. The </w:t>
      </w:r>
      <w:r w:rsidR="009F478F" w:rsidRPr="007D6B20">
        <w:t>reactor heating system</w:t>
      </w:r>
      <w:r w:rsidRPr="007D6B20">
        <w:t xml:space="preserve"> was described in detail in </w:t>
      </w:r>
      <w:r w:rsidR="009F478F" w:rsidRPr="007D6B20">
        <w:t xml:space="preserve">a </w:t>
      </w:r>
      <w:r w:rsidRPr="007D6B20">
        <w:t xml:space="preserve">previous work </w:t>
      </w:r>
      <w:r w:rsidR="009F478F" w:rsidRPr="007D6B20">
        <w:t>(</w:t>
      </w:r>
      <w:r w:rsidR="00035216" w:rsidRPr="007D6B20">
        <w:t>Prestigiacomo et al., 20</w:t>
      </w:r>
      <w:r w:rsidR="00BF4548">
        <w:t>20</w:t>
      </w:r>
      <w:r w:rsidR="009F478F" w:rsidRPr="007D6B20">
        <w:t xml:space="preserve">) </w:t>
      </w:r>
      <w:r w:rsidRPr="007D6B20">
        <w:t>and it included an assembled ceramic heater controlled by Lab</w:t>
      </w:r>
      <w:r w:rsidR="00663013" w:rsidRPr="007D6B20">
        <w:t>VIEW</w:t>
      </w:r>
      <w:r w:rsidR="009231BA" w:rsidRPr="007D6B20">
        <w:t xml:space="preserve"> </w:t>
      </w:r>
      <w:r w:rsidRPr="007D6B20">
        <w:t>Software, National Instruments</w:t>
      </w:r>
      <w:r w:rsidR="009F478F" w:rsidRPr="007D6B20">
        <w:t>.</w:t>
      </w:r>
      <w:r w:rsidRPr="007D6B20">
        <w:t xml:space="preserve"> </w:t>
      </w:r>
      <w:r w:rsidR="009F478F" w:rsidRPr="007D6B20">
        <w:t xml:space="preserve">It </w:t>
      </w:r>
      <w:r w:rsidRPr="007D6B20">
        <w:t xml:space="preserve">allowed </w:t>
      </w:r>
      <w:r w:rsidR="00035216" w:rsidRPr="007D6B20">
        <w:t>heating</w:t>
      </w:r>
      <w:r w:rsidRPr="007D6B20">
        <w:t xml:space="preserve"> the reactor </w:t>
      </w:r>
      <w:r w:rsidR="00035216" w:rsidRPr="007D6B20">
        <w:t>to</w:t>
      </w:r>
      <w:r w:rsidRPr="007D6B20">
        <w:t xml:space="preserve"> 325</w:t>
      </w:r>
      <w:r w:rsidR="009517CC">
        <w:t xml:space="preserve"> </w:t>
      </w:r>
      <w:r w:rsidRPr="007D6B20">
        <w:t>°C for 30 min with a heating rate of 13</w:t>
      </w:r>
      <w:r w:rsidR="009517CC">
        <w:t xml:space="preserve"> </w:t>
      </w:r>
      <w:r w:rsidRPr="007D6B20">
        <w:t>°C/min. A water bath was used to quench the reactor at the end of the reaction. After 1</w:t>
      </w:r>
      <w:r w:rsidR="009517CC">
        <w:t xml:space="preserve"> </w:t>
      </w:r>
      <w:r w:rsidRPr="007D6B20">
        <w:t>h</w:t>
      </w:r>
      <w:r w:rsidR="00A409E3" w:rsidRPr="007D6B20">
        <w:t xml:space="preserve"> from the quench </w:t>
      </w:r>
      <w:r w:rsidRPr="007D6B20">
        <w:t xml:space="preserve">the reactor was connected to </w:t>
      </w:r>
      <w:r w:rsidR="00A409E3" w:rsidRPr="007D6B20">
        <w:t xml:space="preserve">a </w:t>
      </w:r>
      <w:r w:rsidRPr="007D6B20">
        <w:t xml:space="preserve">gas expansion system already described </w:t>
      </w:r>
      <w:r w:rsidR="007E45AC" w:rsidRPr="007D6B20">
        <w:t>(Prestigiacomo</w:t>
      </w:r>
      <w:r w:rsidR="0011628C" w:rsidRPr="007D6B20">
        <w:t xml:space="preserve"> et al.,</w:t>
      </w:r>
      <w:r w:rsidR="007E45AC" w:rsidRPr="007D6B20">
        <w:t xml:space="preserve"> 202</w:t>
      </w:r>
      <w:r w:rsidR="00BF4548">
        <w:t>0a, 2021b</w:t>
      </w:r>
      <w:r w:rsidR="007E45AC" w:rsidRPr="007D6B20">
        <w:t>)</w:t>
      </w:r>
      <w:r w:rsidRPr="007D6B20">
        <w:t xml:space="preserve"> and </w:t>
      </w:r>
      <w:r w:rsidR="00A409E3" w:rsidRPr="007D6B20">
        <w:t xml:space="preserve">three samples of gaseous phases </w:t>
      </w:r>
      <w:r w:rsidRPr="007D6B20">
        <w:t xml:space="preserve">were </w:t>
      </w:r>
      <w:r w:rsidR="004E5812" w:rsidRPr="007D6B20">
        <w:t>collect</w:t>
      </w:r>
      <w:r w:rsidRPr="007D6B20">
        <w:t>ed and analyzed. Later on</w:t>
      </w:r>
      <w:r w:rsidR="004E5812" w:rsidRPr="007D6B20">
        <w:t>,</w:t>
      </w:r>
      <w:r w:rsidRPr="007D6B20">
        <w:t xml:space="preserve"> the reactor was opened and the content was poured </w:t>
      </w:r>
      <w:r w:rsidR="00035216" w:rsidRPr="007D6B20">
        <w:t>into</w:t>
      </w:r>
      <w:r w:rsidRPr="007D6B20">
        <w:t xml:space="preserve"> a glass centrifuge tube. Then the tube was centrifuged at 3220 rpm for 20 min, the aqueous phase was recovered and stored in a glass vial. In the work herein 5 mL of trichloromethane was used as solvent to recover BC from the bottom part of the reactor and </w:t>
      </w:r>
      <w:r w:rsidR="004E5812" w:rsidRPr="007D6B20">
        <w:t xml:space="preserve">added in the same centrifuge tube used to collect the products. </w:t>
      </w:r>
      <w:r w:rsidRPr="007D6B20">
        <w:t xml:space="preserve">6 mL of acetone was used to clean the </w:t>
      </w:r>
      <w:r w:rsidR="00D80127" w:rsidRPr="007D6B20">
        <w:t xml:space="preserve">upper </w:t>
      </w:r>
      <w:r w:rsidRPr="007D6B20">
        <w:t>part of the reactor</w:t>
      </w:r>
      <w:r w:rsidR="004E5812" w:rsidRPr="007D6B20">
        <w:t>, in which a white wax</w:t>
      </w:r>
      <w:r w:rsidR="00F02AC0" w:rsidRPr="007D6B20">
        <w:t xml:space="preserve">, called “additional phase” </w:t>
      </w:r>
      <w:r w:rsidR="00A951BE" w:rsidRPr="007D6B20">
        <w:t>(</w:t>
      </w:r>
      <w:r w:rsidR="00F02AC0" w:rsidRPr="007D6B20">
        <w:t>ADP</w:t>
      </w:r>
      <w:r w:rsidR="00A951BE" w:rsidRPr="007D6B20">
        <w:t>)</w:t>
      </w:r>
      <w:r w:rsidR="00D80127" w:rsidRPr="007D6B20">
        <w:t>,</w:t>
      </w:r>
      <w:r w:rsidR="004E5812" w:rsidRPr="007D6B20">
        <w:t xml:space="preserve"> was </w:t>
      </w:r>
      <w:r w:rsidR="00D80127" w:rsidRPr="007D6B20">
        <w:t>detected</w:t>
      </w:r>
      <w:r w:rsidRPr="007D6B20">
        <w:t xml:space="preserve">. The recovered </w:t>
      </w:r>
      <w:r w:rsidR="00A951BE" w:rsidRPr="007D6B20">
        <w:t>solid residues (</w:t>
      </w:r>
      <w:r w:rsidRPr="007D6B20">
        <w:t>SR</w:t>
      </w:r>
      <w:r w:rsidR="00A951BE" w:rsidRPr="007D6B20">
        <w:t>)</w:t>
      </w:r>
      <w:r w:rsidRPr="007D6B20">
        <w:t xml:space="preserve">, BC and trichloromethane suspension were stored in the aforementioned glass centrifuge tube to collect the SR and the BC entrained in the tube after the aqueous phase withdrawal. At this point a supernatant wax phase, if present was collected with a spatula and stored separately. Vacuum filtration </w:t>
      </w:r>
      <w:r w:rsidR="00F02AC0" w:rsidRPr="007D6B20">
        <w:t xml:space="preserve">apparatus </w:t>
      </w:r>
      <w:r w:rsidRPr="007D6B20">
        <w:t xml:space="preserve">assembled with a pre weighted polytetrafluoroethylene filter (47 mm, 0.2 hole diameter) was used to separate SR from the liquid phase composed </w:t>
      </w:r>
      <w:r w:rsidR="00035216" w:rsidRPr="007D6B20">
        <w:t>of</w:t>
      </w:r>
      <w:r w:rsidRPr="007D6B20">
        <w:t xml:space="preserve"> BC and trichloromethane. </w:t>
      </w:r>
      <w:r w:rsidR="00A86D12" w:rsidRPr="007D6B20">
        <w:t>The</w:t>
      </w:r>
      <w:r w:rsidRPr="007D6B20">
        <w:t xml:space="preserve"> ADP, the filter with SR cake and three samples of liquid trichloromethane </w:t>
      </w:r>
      <w:r w:rsidR="00A86D12" w:rsidRPr="007D6B20">
        <w:t>solution</w:t>
      </w:r>
      <w:r w:rsidRPr="007D6B20">
        <w:t xml:space="preserve"> were left for 24</w:t>
      </w:r>
      <w:r w:rsidR="009517CC">
        <w:t xml:space="preserve"> </w:t>
      </w:r>
      <w:r w:rsidRPr="007D6B20">
        <w:t xml:space="preserve">h inside a vacuum desiccator </w:t>
      </w:r>
      <w:r w:rsidR="00035216" w:rsidRPr="007D6B20">
        <w:t>to</w:t>
      </w:r>
      <w:r w:rsidRPr="007D6B20">
        <w:t xml:space="preserve"> determine their dry mass. A sample of aqueous phase was dried at 60</w:t>
      </w:r>
      <w:r w:rsidR="009517CC">
        <w:t xml:space="preserve"> </w:t>
      </w:r>
      <w:r w:rsidRPr="007D6B20">
        <w:t xml:space="preserve">°C over night to determine the dry mass of </w:t>
      </w:r>
      <w:r w:rsidR="001E2675" w:rsidRPr="007D6B20">
        <w:t>water soluble products (</w:t>
      </w:r>
      <w:r w:rsidRPr="007D6B20">
        <w:t>WSP</w:t>
      </w:r>
      <w:r w:rsidR="001E2675" w:rsidRPr="007D6B20">
        <w:t>)</w:t>
      </w:r>
      <w:r w:rsidRPr="007D6B20">
        <w:t>. Then samples of WSP and SR were calcinated at 550</w:t>
      </w:r>
      <w:r w:rsidR="009517CC">
        <w:t xml:space="preserve"> </w:t>
      </w:r>
      <w:r w:rsidRPr="007D6B20">
        <w:t>°C for 6</w:t>
      </w:r>
      <w:r w:rsidR="009517CC">
        <w:t xml:space="preserve"> </w:t>
      </w:r>
      <w:r w:rsidRPr="007D6B20">
        <w:t xml:space="preserve">h in order to estimate the mass of products in the dry ash free form. Through preliminary calcinations, </w:t>
      </w:r>
      <w:r w:rsidR="00626183" w:rsidRPr="007D6B20">
        <w:t>no</w:t>
      </w:r>
      <w:r w:rsidRPr="007D6B20">
        <w:t xml:space="preserve"> detectable (ND) amount of ashes in the ADP</w:t>
      </w:r>
      <w:r w:rsidR="00253C6D" w:rsidRPr="007D6B20">
        <w:t xml:space="preserve"> </w:t>
      </w:r>
      <w:r w:rsidRPr="007D6B20">
        <w:t>and in the BC</w:t>
      </w:r>
      <w:r w:rsidR="00626183" w:rsidRPr="007D6B20">
        <w:t xml:space="preserve"> were found</w:t>
      </w:r>
      <w:r w:rsidRPr="007D6B20">
        <w:t>.</w:t>
      </w:r>
    </w:p>
    <w:p w14:paraId="16101DAC" w14:textId="60C3F952" w:rsidR="004A22E7" w:rsidRPr="007D6B20" w:rsidRDefault="004A22E7" w:rsidP="004A22E7">
      <w:pPr>
        <w:pStyle w:val="CETheadingx"/>
      </w:pPr>
      <w:r w:rsidRPr="007D6B20">
        <w:t>Analytical methods</w:t>
      </w:r>
    </w:p>
    <w:p w14:paraId="745C1AB2" w14:textId="7BF74735" w:rsidR="004A22E7" w:rsidRPr="007D6B20" w:rsidRDefault="004A22E7" w:rsidP="00131573">
      <w:pPr>
        <w:pStyle w:val="CETBodytext"/>
      </w:pPr>
      <w:r w:rsidRPr="007D6B20">
        <w:t>The yields of the products (Y</w:t>
      </w:r>
      <w:r w:rsidRPr="007D6B20">
        <w:rPr>
          <w:vertAlign w:val="subscript"/>
        </w:rPr>
        <w:t>p</w:t>
      </w:r>
      <w:r w:rsidRPr="007D6B20">
        <w:t>) dry ash free (daf) percentage were determined following the eq. (1):</w:t>
      </w:r>
    </w:p>
    <w:tbl>
      <w:tblPr>
        <w:tblW w:w="5000" w:type="pct"/>
        <w:tblLook w:val="04A0" w:firstRow="1" w:lastRow="0" w:firstColumn="1" w:lastColumn="0" w:noHBand="0" w:noVBand="1"/>
      </w:tblPr>
      <w:tblGrid>
        <w:gridCol w:w="7988"/>
        <w:gridCol w:w="799"/>
      </w:tblGrid>
      <w:tr w:rsidR="008B569B" w:rsidRPr="007D6B20" w14:paraId="438CFBAB" w14:textId="77777777">
        <w:tc>
          <w:tcPr>
            <w:tcW w:w="7988" w:type="dxa"/>
            <w:shd w:val="clear" w:color="auto" w:fill="auto"/>
            <w:vAlign w:val="center"/>
          </w:tcPr>
          <w:p w14:paraId="6DB5ABF8" w14:textId="4E72FB6B" w:rsidR="008B569B" w:rsidRPr="007D6B20" w:rsidRDefault="00000000">
            <w:pPr>
              <w:pStyle w:val="CETEquation"/>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w</m:t>
                        </m:r>
                      </m:num>
                      <m:den>
                        <m:r>
                          <w:rPr>
                            <w:rFonts w:ascii="Cambria Math" w:hAnsi="Cambria Math"/>
                          </w:rPr>
                          <m:t>w</m:t>
                        </m:r>
                      </m:den>
                    </m:f>
                  </m:e>
                  <m:sub>
                    <m:r>
                      <w:rPr>
                        <w:rFonts w:ascii="Cambria Math" w:hAnsi="Cambria Math"/>
                      </w:rPr>
                      <m:t>(daf)</m:t>
                    </m:r>
                  </m:sub>
                </m:sSub>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P</m:t>
                        </m:r>
                      </m:sup>
                    </m:sSubSup>
                  </m:num>
                  <m:den>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RMS</m:t>
                        </m:r>
                      </m:sup>
                    </m:sSubSup>
                    <m:r>
                      <w:rPr>
                        <w:rFonts w:ascii="Cambria Math" w:hAnsi="Cambria Math"/>
                      </w:rPr>
                      <m:t>×100</m:t>
                    </m:r>
                  </m:den>
                </m:f>
              </m:oMath>
            </m:oMathPara>
          </w:p>
        </w:tc>
        <w:tc>
          <w:tcPr>
            <w:tcW w:w="799" w:type="dxa"/>
            <w:shd w:val="clear" w:color="auto" w:fill="auto"/>
            <w:vAlign w:val="center"/>
          </w:tcPr>
          <w:p w14:paraId="6D933609" w14:textId="77777777" w:rsidR="008B569B" w:rsidRPr="007D6B20" w:rsidRDefault="008B569B">
            <w:pPr>
              <w:pStyle w:val="CETEquation"/>
              <w:jc w:val="right"/>
            </w:pPr>
            <w:r w:rsidRPr="007D6B20">
              <w:t>(1)</w:t>
            </w:r>
          </w:p>
        </w:tc>
      </w:tr>
    </w:tbl>
    <w:p w14:paraId="08374C51" w14:textId="33FF5886" w:rsidR="004A22E7" w:rsidRPr="007D6B20" w:rsidRDefault="004A22E7" w:rsidP="00F16019">
      <w:pPr>
        <w:pStyle w:val="CETBodytext"/>
      </w:pPr>
      <w:r w:rsidRPr="007D6B20">
        <w:lastRenderedPageBreak/>
        <w:t xml:space="preserve">Where </w:t>
      </w:r>
      <m:oMath>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P</m:t>
            </m:r>
          </m:sup>
        </m:sSubSup>
      </m:oMath>
      <w:r w:rsidRPr="007D6B20">
        <w:t xml:space="preserve">and </w:t>
      </w:r>
      <m:oMath>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RMS</m:t>
            </m:r>
          </m:sup>
        </m:sSubSup>
        <m:r>
          <w:rPr>
            <w:rFonts w:ascii="Cambria Math" w:hAnsi="Cambria Math"/>
          </w:rPr>
          <m:t xml:space="preserve"> </m:t>
        </m:r>
      </m:oMath>
      <w:r w:rsidR="00AF7424" w:rsidRPr="007D6B20">
        <w:t xml:space="preserve">are </w:t>
      </w:r>
      <w:r w:rsidRPr="007D6B20">
        <w:t xml:space="preserve">the mass of the product and the </w:t>
      </w:r>
      <w:r w:rsidR="00A951BE" w:rsidRPr="007D6B20">
        <w:t>RMS</w:t>
      </w:r>
      <w:r w:rsidRPr="007D6B20">
        <w:t xml:space="preserve"> loaded in the reactor in the dry ash free form</w:t>
      </w:r>
      <w:r w:rsidR="00825622" w:rsidRPr="007D6B20">
        <w:t xml:space="preserve"> respectively</w:t>
      </w:r>
      <w:r w:rsidRPr="007D6B20">
        <w:t xml:space="preserve">. </w:t>
      </w:r>
    </w:p>
    <w:p w14:paraId="4C777274" w14:textId="3E12ED70" w:rsidR="004A22E7" w:rsidRPr="007D6B20" w:rsidRDefault="004A22E7" w:rsidP="00131573">
      <w:pPr>
        <w:pStyle w:val="CETBodytext"/>
      </w:pPr>
      <w:r w:rsidRPr="007D6B20">
        <w:t xml:space="preserve">The total mass of isolated ADP </w:t>
      </w:r>
      <w:r w:rsidR="00E41BB4" w:rsidRPr="007D6B20">
        <w:t>(</w:t>
      </w: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tot</m:t>
            </m:r>
          </m:sup>
        </m:sSubSup>
      </m:oMath>
      <w:r w:rsidR="00E41BB4" w:rsidRPr="007D6B20">
        <w:t>)</w:t>
      </w:r>
      <w:r w:rsidR="00825622" w:rsidRPr="007D6B20">
        <w:t xml:space="preserve"> </w:t>
      </w:r>
      <w:r w:rsidRPr="007D6B20">
        <w:t>was calculated as in the eq. (</w:t>
      </w:r>
      <w:r w:rsidR="00822FD3" w:rsidRPr="007D6B20">
        <w:t>2</w:t>
      </w:r>
      <w:r w:rsidRPr="007D6B20">
        <w:t>)</w:t>
      </w:r>
      <w:r w:rsidR="00E41BB4" w:rsidRPr="007D6B20">
        <w:t>, as sum of the mass in the acetone phase (</w:t>
      </w: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acetone</m:t>
            </m:r>
          </m:sup>
        </m:sSubSup>
      </m:oMath>
      <w:r w:rsidR="00E41BB4" w:rsidRPr="007D6B20">
        <w:t>) and mass recovered as wax from trichloro</w:t>
      </w:r>
      <w:r w:rsidR="00A86D12" w:rsidRPr="007D6B20">
        <w:t>m</w:t>
      </w:r>
      <w:r w:rsidR="00E41BB4" w:rsidRPr="007D6B20">
        <w:t xml:space="preserve">ethane </w:t>
      </w:r>
      <w:r w:rsidR="00822FD3" w:rsidRPr="007D6B20">
        <w:t xml:space="preserve">solution </w:t>
      </w:r>
      <w:r w:rsidR="00E41BB4" w:rsidRPr="007D6B20">
        <w:t>(</w:t>
      </w: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wax</m:t>
            </m:r>
          </m:sup>
        </m:sSubSup>
      </m:oMath>
      <w:r w:rsidR="00E41BB4" w:rsidRPr="007D6B20">
        <w:t>)</w:t>
      </w:r>
      <w:r w:rsidRPr="007D6B20">
        <w:t>:</w:t>
      </w:r>
    </w:p>
    <w:tbl>
      <w:tblPr>
        <w:tblW w:w="5000" w:type="pct"/>
        <w:tblLook w:val="04A0" w:firstRow="1" w:lastRow="0" w:firstColumn="1" w:lastColumn="0" w:noHBand="0" w:noVBand="1"/>
      </w:tblPr>
      <w:tblGrid>
        <w:gridCol w:w="7988"/>
        <w:gridCol w:w="799"/>
      </w:tblGrid>
      <w:tr w:rsidR="006D03B2" w:rsidRPr="007D6B20" w14:paraId="72243C51" w14:textId="77777777">
        <w:tc>
          <w:tcPr>
            <w:tcW w:w="7988" w:type="dxa"/>
            <w:shd w:val="clear" w:color="auto" w:fill="auto"/>
            <w:vAlign w:val="center"/>
          </w:tcPr>
          <w:p w14:paraId="6ED06205" w14:textId="1009256B" w:rsidR="006D03B2" w:rsidRPr="007D6B20" w:rsidRDefault="00000000">
            <w:pPr>
              <w:pStyle w:val="CETEquation"/>
            </w:pPr>
            <m:oMathPara>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tot</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acetone</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wax</m:t>
                    </m:r>
                  </m:sup>
                </m:sSubSup>
              </m:oMath>
            </m:oMathPara>
          </w:p>
        </w:tc>
        <w:tc>
          <w:tcPr>
            <w:tcW w:w="799" w:type="dxa"/>
            <w:shd w:val="clear" w:color="auto" w:fill="auto"/>
            <w:vAlign w:val="center"/>
          </w:tcPr>
          <w:p w14:paraId="4B4D5E37" w14:textId="686D4270" w:rsidR="006D03B2" w:rsidRPr="007D6B20" w:rsidRDefault="006D03B2">
            <w:pPr>
              <w:pStyle w:val="CETEquation"/>
              <w:jc w:val="right"/>
            </w:pPr>
            <w:r w:rsidRPr="007D6B20">
              <w:t>(</w:t>
            </w:r>
            <w:r w:rsidR="00F16019" w:rsidRPr="007D6B20">
              <w:t>2</w:t>
            </w:r>
            <w:r w:rsidRPr="007D6B20">
              <w:t>)</w:t>
            </w:r>
          </w:p>
        </w:tc>
      </w:tr>
    </w:tbl>
    <w:p w14:paraId="5BCC0729" w14:textId="50699764" w:rsidR="009F6F47" w:rsidRPr="007D6B20" w:rsidRDefault="009F6F47" w:rsidP="00131573">
      <w:pPr>
        <w:pStyle w:val="CETBodytext"/>
      </w:pPr>
      <w:r w:rsidRPr="007D6B20">
        <w:t>The characterization of the gas phase was obtained through gas chromatographic analysis performed using an Agilent 7809 GC equipped with a Supelco Carboxen 60/80 column and a thermal conductivity detector using Helium (99.999</w:t>
      </w:r>
      <w:r w:rsidR="009517CC">
        <w:t xml:space="preserve"> </w:t>
      </w:r>
      <w:r w:rsidRPr="007D6B20">
        <w:t>%, Air Liquide, Italy) as the carrier gas. The equation of state for ideal gases was used to determine the moles of produced gases.</w:t>
      </w:r>
    </w:p>
    <w:p w14:paraId="3724D3E7" w14:textId="65F3CCD1" w:rsidR="004A22E7" w:rsidRPr="007D6B20" w:rsidRDefault="004A22E7" w:rsidP="00131573">
      <w:pPr>
        <w:pStyle w:val="CETBodytext"/>
      </w:pPr>
      <w:r w:rsidRPr="007D6B20">
        <w:t xml:space="preserve">Elemental analyses (CHNS) of the ADP, of the wax and the BC </w:t>
      </w:r>
      <w:r w:rsidR="00822FD3" w:rsidRPr="007D6B20">
        <w:t xml:space="preserve">were performed </w:t>
      </w:r>
      <w:r w:rsidRPr="007D6B20">
        <w:t xml:space="preserve">by a Perkin Elmer Elemental Analyzer 2400 Series II. </w:t>
      </w:r>
      <w:r w:rsidR="00B8701D" w:rsidRPr="007D6B20">
        <w:t xml:space="preserve">The % w/w of other </w:t>
      </w:r>
      <w:r w:rsidR="004D4643" w:rsidRPr="007D6B20">
        <w:t>atoms</w:t>
      </w:r>
      <w:r w:rsidR="00C13ED5" w:rsidRPr="007D6B20">
        <w:t xml:space="preserve"> </w:t>
      </w:r>
      <w:r w:rsidR="004D4643" w:rsidRPr="007D6B20">
        <w:t>incorporated in analyzed</w:t>
      </w:r>
      <w:r w:rsidR="00B8701D" w:rsidRPr="007D6B20">
        <w:t xml:space="preserve"> compounds could be estimated as in </w:t>
      </w:r>
      <w:r w:rsidRPr="007D6B20">
        <w:t>eq. (</w:t>
      </w:r>
      <w:r w:rsidR="00F16019" w:rsidRPr="007D6B20">
        <w:t>3</w:t>
      </w:r>
      <w:r w:rsidRPr="007D6B20">
        <w:t xml:space="preserve">): </w:t>
      </w:r>
    </w:p>
    <w:tbl>
      <w:tblPr>
        <w:tblW w:w="5000" w:type="pct"/>
        <w:tblLook w:val="04A0" w:firstRow="1" w:lastRow="0" w:firstColumn="1" w:lastColumn="0" w:noHBand="0" w:noVBand="1"/>
      </w:tblPr>
      <w:tblGrid>
        <w:gridCol w:w="7988"/>
        <w:gridCol w:w="799"/>
      </w:tblGrid>
      <w:tr w:rsidR="006D03B2" w:rsidRPr="007D6B20" w14:paraId="234B3847" w14:textId="77777777">
        <w:tc>
          <w:tcPr>
            <w:tcW w:w="7988" w:type="dxa"/>
            <w:shd w:val="clear" w:color="auto" w:fill="auto"/>
            <w:vAlign w:val="center"/>
          </w:tcPr>
          <w:p w14:paraId="0C90D2AC" w14:textId="35823966" w:rsidR="006D03B2" w:rsidRPr="007D6B20" w:rsidRDefault="00000000">
            <w:pPr>
              <w:pStyle w:val="CETEquation"/>
            </w:pPr>
            <m:oMathPara>
              <m:oMath>
                <m:sSub>
                  <m:sSubPr>
                    <m:ctrlPr>
                      <w:rPr>
                        <w:rFonts w:ascii="Cambria Math" w:hAnsi="Cambria Math"/>
                        <w:i/>
                      </w:rPr>
                    </m:ctrlPr>
                  </m:sSubPr>
                  <m:e>
                    <m:r>
                      <w:rPr>
                        <w:rFonts w:ascii="Cambria Math" w:hAnsi="Cambria Math"/>
                      </w:rPr>
                      <m:t>others</m:t>
                    </m:r>
                  </m:e>
                  <m:sub>
                    <m:r>
                      <w:rPr>
                        <w:rFonts w:ascii="Cambria Math" w:hAnsi="Cambria Math"/>
                      </w:rPr>
                      <m:t>%</m:t>
                    </m:r>
                  </m:sub>
                </m:sSub>
                <m:r>
                  <w:rPr>
                    <w:rFonts w:ascii="Cambria Math" w:hAnsi="Cambria Math"/>
                  </w:rPr>
                  <m:t>=100-</m:t>
                </m:r>
                <m:sSub>
                  <m:sSubPr>
                    <m:ctrlPr>
                      <w:rPr>
                        <w:rFonts w:ascii="Cambria Math" w:hAnsi="Cambria Math"/>
                        <w:i/>
                      </w:rPr>
                    </m:ctrlPr>
                  </m:sSubPr>
                  <m:e>
                    <m:r>
                      <w:rPr>
                        <w:rFonts w:ascii="Cambria Math" w:hAnsi="Cambria Math"/>
                      </w:rPr>
                      <m:t>C</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ashes</m:t>
                    </m:r>
                  </m:e>
                  <m:sub>
                    <m:r>
                      <w:rPr>
                        <w:rFonts w:ascii="Cambria Math" w:hAnsi="Cambria Math"/>
                      </w:rPr>
                      <m:t>%</m:t>
                    </m:r>
                  </m:sub>
                </m:sSub>
              </m:oMath>
            </m:oMathPara>
          </w:p>
        </w:tc>
        <w:tc>
          <w:tcPr>
            <w:tcW w:w="799" w:type="dxa"/>
            <w:shd w:val="clear" w:color="auto" w:fill="auto"/>
            <w:vAlign w:val="center"/>
          </w:tcPr>
          <w:p w14:paraId="2AEEB966" w14:textId="519B91B8" w:rsidR="006D03B2" w:rsidRPr="007D6B20" w:rsidRDefault="006D03B2">
            <w:pPr>
              <w:pStyle w:val="CETEquation"/>
              <w:jc w:val="right"/>
            </w:pPr>
            <w:r w:rsidRPr="007D6B20">
              <w:t>(</w:t>
            </w:r>
            <w:r w:rsidR="00F16019" w:rsidRPr="007D6B20">
              <w:t>3</w:t>
            </w:r>
            <w:r w:rsidRPr="007D6B20">
              <w:t>)</w:t>
            </w:r>
          </w:p>
        </w:tc>
      </w:tr>
    </w:tbl>
    <w:p w14:paraId="5B3FEFB5" w14:textId="1879B95E" w:rsidR="004A22E7" w:rsidRPr="007D6B20" w:rsidRDefault="004A22E7" w:rsidP="009F6F47">
      <w:pPr>
        <w:pStyle w:val="CETBodytext"/>
      </w:pPr>
      <w:r w:rsidRPr="007D6B20">
        <w:t>Fourier- Tra</w:t>
      </w:r>
      <w:r w:rsidR="000D689A" w:rsidRPr="007D6B20">
        <w:t>n</w:t>
      </w:r>
      <w:r w:rsidRPr="007D6B20">
        <w:t xml:space="preserve">sform Infra-Red (FT-IR) analyses of the wax, of the ADP and of the SR were performed using a Perkin-Elmer Spectrum One spectrometer. </w:t>
      </w:r>
      <w:r w:rsidR="000D689A" w:rsidRPr="007D6B20">
        <w:t xml:space="preserve">Spectra </w:t>
      </w:r>
      <w:r w:rsidRPr="007D6B20">
        <w:t xml:space="preserve">were </w:t>
      </w:r>
      <w:r w:rsidR="000D689A" w:rsidRPr="007D6B20">
        <w:t xml:space="preserve">recorded </w:t>
      </w:r>
      <w:r w:rsidRPr="007D6B20">
        <w:t>with 8 scans at a resolution of 4 cm</w:t>
      </w:r>
      <w:r w:rsidRPr="00057CBA">
        <w:rPr>
          <w:vertAlign w:val="superscript"/>
        </w:rPr>
        <w:t>-1</w:t>
      </w:r>
      <w:r w:rsidRPr="007D6B20">
        <w:t>. Weighted amount</w:t>
      </w:r>
      <w:r w:rsidR="00035216" w:rsidRPr="007D6B20">
        <w:t xml:space="preserve">s </w:t>
      </w:r>
      <w:r w:rsidRPr="007D6B20">
        <w:t xml:space="preserve"> of samples were mixed with KBr and 13 mm pellets were prepared used an evacuable KBr die and a Specac hydraulic press using 10 metric ton of pressure.</w:t>
      </w:r>
      <w:r w:rsidR="00D422D7" w:rsidRPr="007D6B20">
        <w:t xml:space="preserve"> All the </w:t>
      </w:r>
      <w:r w:rsidR="000D689A" w:rsidRPr="007D6B20">
        <w:t xml:space="preserve">analyses </w:t>
      </w:r>
      <w:r w:rsidR="00D422D7" w:rsidRPr="007D6B20">
        <w:t xml:space="preserve">were repeated at least twice </w:t>
      </w:r>
      <w:r w:rsidR="009660C6" w:rsidRPr="007D6B20">
        <w:t>for reproducibility.</w:t>
      </w:r>
      <w:r w:rsidR="009F6F47" w:rsidRPr="007D6B20">
        <w:t xml:space="preserve"> GC-MS analyses of samples of the ADP diluted in acetone were conducted using a TRACE GC 2000 with a TRACE MS plus spectrometry detector equipped with a MEGA-5 (30 m*0.32 mm*0.25 mm) capillary column. The following temperature profile was adopted to perform GC-MS runs: oven holding at 40 °C for 10 min followed by a</w:t>
      </w:r>
      <w:r w:rsidR="00035216" w:rsidRPr="007D6B20">
        <w:t xml:space="preserve"> </w:t>
      </w:r>
      <w:r w:rsidR="009F6F47" w:rsidRPr="007D6B20">
        <w:t xml:space="preserve">heating ramp at 5 °C/min up to 250 °C with a holding time of 10 min, then a heating ramp at 10 °C/min up to 310 °C with a holding time of 10 min. Source temperature 230 °C. Transfer line at 250 °C. </w:t>
      </w:r>
      <w:r w:rsidR="00035216" w:rsidRPr="007D6B20">
        <w:t>The a</w:t>
      </w:r>
      <w:r w:rsidR="009F6F47" w:rsidRPr="007D6B20">
        <w:t>dopted injection volume was 1 mL, He flow-rate in the column was set to 1 mL/min. The compounds were identified using a NIST/EPA/NIH mass spectral library version 2.0 d, considering molecules with a match quality above 80</w:t>
      </w:r>
      <w:r w:rsidR="00340342">
        <w:t xml:space="preserve"> </w:t>
      </w:r>
      <w:r w:rsidR="009F6F47" w:rsidRPr="007D6B20">
        <w:t>%.</w:t>
      </w:r>
    </w:p>
    <w:p w14:paraId="5741900F" w14:textId="60F98670" w:rsidR="00453E24" w:rsidRPr="007D6B20" w:rsidRDefault="00131573" w:rsidP="00453E24">
      <w:pPr>
        <w:pStyle w:val="CETHeading1"/>
      </w:pPr>
      <w:r w:rsidRPr="007D6B20">
        <w:t>Results and discussions</w:t>
      </w:r>
    </w:p>
    <w:p w14:paraId="7E4899FB" w14:textId="1B1CDA3B" w:rsidR="008E45EC" w:rsidRPr="007D6B20" w:rsidRDefault="001E2675" w:rsidP="00C22827">
      <w:pPr>
        <w:pStyle w:val="CETBodytext"/>
      </w:pPr>
      <w:r w:rsidRPr="007D6B20">
        <w:t>Experiments of HTL of RMS were performed at 325</w:t>
      </w:r>
      <w:r w:rsidR="00340342">
        <w:t xml:space="preserve"> </w:t>
      </w:r>
      <w:r w:rsidRPr="007D6B20">
        <w:t xml:space="preserve">°C and 30 min in the absence and in the presence of </w:t>
      </w:r>
      <w:r w:rsidRPr="007D6B20">
        <w:rPr>
          <w:lang w:val="en-GB"/>
        </w:rPr>
        <w:t>CoMo/Al</w:t>
      </w:r>
      <w:r w:rsidRPr="007D6B20">
        <w:rPr>
          <w:vertAlign w:val="subscript"/>
          <w:lang w:val="en-GB"/>
        </w:rPr>
        <w:t>2</w:t>
      </w:r>
      <w:r w:rsidRPr="007D6B20">
        <w:rPr>
          <w:lang w:val="en-GB"/>
        </w:rPr>
        <w:t>O</w:t>
      </w:r>
      <w:r w:rsidRPr="007D6B20">
        <w:rPr>
          <w:vertAlign w:val="subscript"/>
          <w:lang w:val="en-GB"/>
        </w:rPr>
        <w:t>3</w:t>
      </w:r>
      <w:r w:rsidRPr="007D6B20">
        <w:rPr>
          <w:lang w:val="en-GB"/>
        </w:rPr>
        <w:t>, NiMo/Al</w:t>
      </w:r>
      <w:r w:rsidRPr="007D6B20">
        <w:rPr>
          <w:vertAlign w:val="subscript"/>
          <w:lang w:val="en-GB"/>
        </w:rPr>
        <w:t>2</w:t>
      </w:r>
      <w:r w:rsidRPr="007D6B20">
        <w:rPr>
          <w:lang w:val="en-GB"/>
        </w:rPr>
        <w:t>O</w:t>
      </w:r>
      <w:r w:rsidRPr="007D6B20">
        <w:rPr>
          <w:vertAlign w:val="subscript"/>
          <w:lang w:val="en-GB"/>
        </w:rPr>
        <w:t>3</w:t>
      </w:r>
      <w:r w:rsidRPr="007D6B20">
        <w:rPr>
          <w:lang w:val="en-GB"/>
        </w:rPr>
        <w:t xml:space="preserve"> and activated carbon felt (ACF)</w:t>
      </w:r>
      <w:r w:rsidR="000D7240" w:rsidRPr="007D6B20">
        <w:rPr>
          <w:lang w:val="en-GB"/>
        </w:rPr>
        <w:t xml:space="preserve">. </w:t>
      </w:r>
      <w:r w:rsidR="00AE5770" w:rsidRPr="007D6B20">
        <w:rPr>
          <w:lang w:val="en-GB"/>
        </w:rPr>
        <w:t>P</w:t>
      </w:r>
      <w:r w:rsidR="000D7240" w:rsidRPr="007D6B20">
        <w:rPr>
          <w:lang w:val="en-GB"/>
        </w:rPr>
        <w:t>roduct yields suggested that ADP was produced only in the presence of the heterogeneous catalysts</w:t>
      </w:r>
      <w:r w:rsidR="00417C4D" w:rsidRPr="007D6B20">
        <w:rPr>
          <w:lang w:val="en-GB"/>
        </w:rPr>
        <w:t xml:space="preserve"> and</w:t>
      </w:r>
      <w:r w:rsidR="0083377D" w:rsidRPr="007D6B20">
        <w:rPr>
          <w:lang w:val="en-GB"/>
        </w:rPr>
        <w:t xml:space="preserve"> its yield was always </w:t>
      </w:r>
      <w:r w:rsidR="00AE5770" w:rsidRPr="007D6B20">
        <w:rPr>
          <w:lang w:val="en-GB"/>
        </w:rPr>
        <w:t xml:space="preserve">lower than </w:t>
      </w:r>
      <w:r w:rsidR="0083377D" w:rsidRPr="007D6B20">
        <w:rPr>
          <w:lang w:val="en-GB"/>
        </w:rPr>
        <w:t>10 %</w:t>
      </w:r>
      <w:r w:rsidR="00AE5770" w:rsidRPr="007D6B20">
        <w:rPr>
          <w:lang w:val="en-GB"/>
        </w:rPr>
        <w:t xml:space="preserve"> (Figure </w:t>
      </w:r>
      <w:r w:rsidR="007D6B20" w:rsidRPr="007D6B20">
        <w:rPr>
          <w:lang w:val="en-GB"/>
        </w:rPr>
        <w:t>1</w:t>
      </w:r>
      <w:r w:rsidR="00AE5770" w:rsidRPr="007D6B20">
        <w:rPr>
          <w:lang w:val="en-GB"/>
        </w:rPr>
        <w:t>)</w:t>
      </w:r>
      <w:r w:rsidR="000D7240" w:rsidRPr="007D6B20">
        <w:rPr>
          <w:lang w:val="en-GB"/>
        </w:rPr>
        <w:t xml:space="preserve">. </w:t>
      </w:r>
      <w:r w:rsidR="00533A00" w:rsidRPr="007D6B20">
        <w:rPr>
          <w:lang w:val="en-GB"/>
        </w:rPr>
        <w:t>Furthermore</w:t>
      </w:r>
      <w:r w:rsidR="00035216" w:rsidRPr="007D6B20">
        <w:rPr>
          <w:lang w:val="en-GB"/>
        </w:rPr>
        <w:t>,</w:t>
      </w:r>
      <w:r w:rsidR="00121570" w:rsidRPr="007D6B20">
        <w:rPr>
          <w:lang w:val="en-GB"/>
        </w:rPr>
        <w:t xml:space="preserve"> it was noticed that the ADP </w:t>
      </w:r>
      <w:r w:rsidR="00AE5770" w:rsidRPr="007D6B20">
        <w:rPr>
          <w:lang w:val="en-GB"/>
        </w:rPr>
        <w:t xml:space="preserve">is </w:t>
      </w:r>
      <w:r w:rsidR="00121570" w:rsidRPr="007D6B20">
        <w:rPr>
          <w:lang w:val="en-GB"/>
        </w:rPr>
        <w:t xml:space="preserve">different from the BC because </w:t>
      </w:r>
      <w:r w:rsidR="00AE5770" w:rsidRPr="007D6B20">
        <w:rPr>
          <w:lang w:val="en-GB"/>
        </w:rPr>
        <w:t>it was not soluble</w:t>
      </w:r>
      <w:r w:rsidR="00121570" w:rsidRPr="007D6B20">
        <w:rPr>
          <w:lang w:val="en-GB"/>
        </w:rPr>
        <w:t xml:space="preserve"> in the solvents commonly used to recover the BC. </w:t>
      </w:r>
      <w:r w:rsidR="00035216" w:rsidRPr="007D6B20">
        <w:rPr>
          <w:lang w:val="en-GB"/>
        </w:rPr>
        <w:t>The</w:t>
      </w:r>
      <w:r w:rsidR="00AC0CD9" w:rsidRPr="007D6B20">
        <w:rPr>
          <w:lang w:val="en-GB"/>
        </w:rPr>
        <w:t xml:space="preserve"> produced ADP (the white fraction in Figure </w:t>
      </w:r>
      <w:r w:rsidR="007D6B20" w:rsidRPr="007D6B20">
        <w:rPr>
          <w:lang w:val="en-GB"/>
        </w:rPr>
        <w:t>2</w:t>
      </w:r>
      <w:r w:rsidR="00AC0CD9" w:rsidRPr="007D6B20">
        <w:rPr>
          <w:lang w:val="en-GB"/>
        </w:rPr>
        <w:t xml:space="preserve">) </w:t>
      </w:r>
      <w:r w:rsidR="0085745B" w:rsidRPr="007D6B20">
        <w:rPr>
          <w:lang w:val="en-GB"/>
        </w:rPr>
        <w:t xml:space="preserve">was </w:t>
      </w:r>
      <w:r w:rsidR="007B0992" w:rsidRPr="007D6B20">
        <w:rPr>
          <w:lang w:val="en-GB"/>
        </w:rPr>
        <w:t>quite</w:t>
      </w:r>
      <w:r w:rsidR="00035216" w:rsidRPr="007D6B20">
        <w:rPr>
          <w:lang w:val="en-GB"/>
        </w:rPr>
        <w:t xml:space="preserve"> </w:t>
      </w:r>
      <w:r w:rsidR="0085745B" w:rsidRPr="007D6B20">
        <w:rPr>
          <w:lang w:val="en-GB"/>
        </w:rPr>
        <w:t xml:space="preserve">soluble in acetone </w:t>
      </w:r>
      <w:r w:rsidR="007B0992" w:rsidRPr="007D6B20">
        <w:rPr>
          <w:lang w:val="en-GB"/>
        </w:rPr>
        <w:t xml:space="preserve">but </w:t>
      </w:r>
      <w:r w:rsidR="009F4EB1" w:rsidRPr="007D6B20">
        <w:rPr>
          <w:lang w:val="en-GB"/>
        </w:rPr>
        <w:t>insoluble</w:t>
      </w:r>
      <w:r w:rsidR="007B0992" w:rsidRPr="007D6B20">
        <w:t xml:space="preserve"> </w:t>
      </w:r>
      <w:r w:rsidRPr="007D6B20">
        <w:t xml:space="preserve">in </w:t>
      </w:r>
      <w:r w:rsidR="0085745B" w:rsidRPr="007D6B20">
        <w:t xml:space="preserve">water or </w:t>
      </w:r>
      <w:r w:rsidRPr="007D6B20">
        <w:t xml:space="preserve">trichloromethane. Hence, </w:t>
      </w:r>
      <w:r w:rsidR="00AC0CD9" w:rsidRPr="007D6B20">
        <w:t xml:space="preserve">trichloromethane was used to separate BC from ADP </w:t>
      </w:r>
      <w:r w:rsidR="0033052E" w:rsidRPr="007D6B20">
        <w:t>after HTL experiment</w:t>
      </w:r>
      <w:r w:rsidR="00AC0CD9" w:rsidRPr="007D6B20">
        <w:t>. ADP was then collected</w:t>
      </w:r>
      <w:r w:rsidR="0033052E" w:rsidRPr="007D6B20">
        <w:t>,</w:t>
      </w:r>
      <w:r w:rsidR="00035216" w:rsidRPr="007D6B20">
        <w:t xml:space="preserve"> </w:t>
      </w:r>
      <w:r w:rsidRPr="007D6B20">
        <w:t>quantif</w:t>
      </w:r>
      <w:r w:rsidR="00AC0CD9" w:rsidRPr="007D6B20">
        <w:t>ied</w:t>
      </w:r>
      <w:r w:rsidRPr="007D6B20">
        <w:t xml:space="preserve"> </w:t>
      </w:r>
      <w:r w:rsidR="0033052E" w:rsidRPr="007D6B20">
        <w:t>and analyzed</w:t>
      </w:r>
      <w:r w:rsidRPr="007D6B20">
        <w:t>.</w:t>
      </w:r>
      <w:r w:rsidR="0083377D" w:rsidRPr="007D6B20">
        <w:t xml:space="preserve"> Calcination trials at 550</w:t>
      </w:r>
      <w:r w:rsidR="00340342">
        <w:t xml:space="preserve"> </w:t>
      </w:r>
      <w:r w:rsidR="0083377D" w:rsidRPr="007D6B20">
        <w:t>°C for 6</w:t>
      </w:r>
      <w:r w:rsidR="00340342">
        <w:t xml:space="preserve"> </w:t>
      </w:r>
      <w:r w:rsidR="0083377D" w:rsidRPr="007D6B20">
        <w:t xml:space="preserve">h </w:t>
      </w:r>
      <w:r w:rsidR="0033052E" w:rsidRPr="007D6B20">
        <w:t>of</w:t>
      </w:r>
      <w:r w:rsidR="0083377D" w:rsidRPr="007D6B20">
        <w:t xml:space="preserve"> ADP samples </w:t>
      </w:r>
      <w:r w:rsidR="0033052E" w:rsidRPr="007D6B20">
        <w:t>gave undetectable ash content thus indicating</w:t>
      </w:r>
      <w:r w:rsidR="00533A00" w:rsidRPr="007D6B20">
        <w:t xml:space="preserve"> </w:t>
      </w:r>
      <w:r w:rsidR="0033052E" w:rsidRPr="007D6B20">
        <w:t xml:space="preserve">that is an </w:t>
      </w:r>
      <w:r w:rsidR="00533A00" w:rsidRPr="007D6B20">
        <w:t xml:space="preserve">organic </w:t>
      </w:r>
      <w:r w:rsidR="0033052E" w:rsidRPr="007D6B20">
        <w:t>matrix</w:t>
      </w:r>
      <w:r w:rsidR="0083377D" w:rsidRPr="007D6B20">
        <w:t>.</w:t>
      </w:r>
      <w:r w:rsidRPr="007D6B20">
        <w:t xml:space="preserve"> </w:t>
      </w:r>
      <w:r w:rsidR="00C90E61" w:rsidRPr="007D6B20">
        <w:t xml:space="preserve">Interesting </w:t>
      </w:r>
      <w:r w:rsidR="00035216" w:rsidRPr="007D6B20">
        <w:t>evidence</w:t>
      </w:r>
      <w:r w:rsidR="00C90E61" w:rsidRPr="007D6B20">
        <w:t xml:space="preserve"> were collected from the comparison of the elemental analyses of the BC, the collected ADP and the SR. In the literature on the HTL of biofeedstocks, the main </w:t>
      </w:r>
      <w:r w:rsidR="00E62BCB" w:rsidRPr="007D6B20">
        <w:t xml:space="preserve">elements </w:t>
      </w:r>
      <w:r w:rsidR="00C90E61" w:rsidRPr="007D6B20">
        <w:t>in the BC are C, H, N, S</w:t>
      </w:r>
      <w:r w:rsidR="00613601" w:rsidRPr="007D6B20">
        <w:t xml:space="preserve"> and </w:t>
      </w:r>
      <w:r w:rsidR="00C90E61" w:rsidRPr="007D6B20">
        <w:t xml:space="preserve">O </w:t>
      </w:r>
      <w:r w:rsidR="00613601" w:rsidRPr="007D6B20">
        <w:t xml:space="preserve">whose </w:t>
      </w:r>
      <w:r w:rsidR="00C90E61" w:rsidRPr="007D6B20">
        <w:t xml:space="preserve">percentage </w:t>
      </w:r>
      <w:r w:rsidR="00613601" w:rsidRPr="007D6B20">
        <w:t>is generally</w:t>
      </w:r>
      <w:r w:rsidR="00C90E61" w:rsidRPr="007D6B20">
        <w:t xml:space="preserve"> estimated by difference to 100</w:t>
      </w:r>
      <w:r w:rsidR="00340342">
        <w:t xml:space="preserve"> </w:t>
      </w:r>
      <w:r w:rsidR="00C90E61" w:rsidRPr="007D6B20">
        <w:t xml:space="preserve">%. In the study conducted herein, </w:t>
      </w:r>
      <w:r w:rsidR="00613601" w:rsidRPr="007D6B20">
        <w:t xml:space="preserve">the latter </w:t>
      </w:r>
      <w:r w:rsidR="00C90E61" w:rsidRPr="007D6B20">
        <w:t xml:space="preserve">assumption is not possible, since, </w:t>
      </w:r>
      <w:r w:rsidR="005B2699" w:rsidRPr="007D6B20">
        <w:t>cannot be neglected the presence of other heteroatoms such as Cl</w:t>
      </w:r>
      <w:r w:rsidR="00C90E61" w:rsidRPr="007D6B20">
        <w:t xml:space="preserve">. In fact, in Table 1, it is possible to observe that the produced ADP (Table </w:t>
      </w:r>
      <w:r w:rsidR="00340342">
        <w:t>1 b</w:t>
      </w:r>
      <w:r w:rsidR="00C90E61" w:rsidRPr="007D6B20">
        <w:t xml:space="preserve">) were different with respect </w:t>
      </w:r>
      <w:r w:rsidR="007A2626" w:rsidRPr="007D6B20">
        <w:t xml:space="preserve">to </w:t>
      </w:r>
      <w:r w:rsidR="00C90E61" w:rsidRPr="007D6B20">
        <w:t>the BC (Table 1</w:t>
      </w:r>
      <w:r w:rsidR="00340342">
        <w:t xml:space="preserve"> a</w:t>
      </w:r>
      <w:r w:rsidR="00C90E61" w:rsidRPr="007D6B20">
        <w:t xml:space="preserve">) and the SR (Table </w:t>
      </w:r>
      <w:r w:rsidR="00340342">
        <w:t>1 c</w:t>
      </w:r>
      <w:r w:rsidR="00C90E61" w:rsidRPr="007D6B20">
        <w:t xml:space="preserve">) even if the H/C ratio </w:t>
      </w:r>
      <w:r w:rsidR="007A2626" w:rsidRPr="007D6B20">
        <w:t>is</w:t>
      </w:r>
      <w:r w:rsidR="00C90E61" w:rsidRPr="007D6B20">
        <w:t xml:space="preserve"> always in the same range. Quite interestingly, the amount of “other elemental compounds” not detected by the CHNS elemental analyzer for ADP </w:t>
      </w:r>
      <w:r w:rsidR="007A2626" w:rsidRPr="007D6B20">
        <w:t>was</w:t>
      </w:r>
      <w:r w:rsidR="00C90E61" w:rsidRPr="007D6B20">
        <w:t xml:space="preserve"> always double compared to those of the BC. </w:t>
      </w:r>
      <w:r w:rsidR="00C22827" w:rsidRPr="007D6B20">
        <w:t>Given the above evidence, GC-MS and FT-IR analyses of ADP samples were performed. GC-MS analyses clearly indicated the presence of oleamide (C</w:t>
      </w:r>
      <w:r w:rsidR="00C22827" w:rsidRPr="007D6B20">
        <w:rPr>
          <w:vertAlign w:val="subscript"/>
        </w:rPr>
        <w:t>18</w:t>
      </w:r>
      <w:r w:rsidR="00C22827" w:rsidRPr="007D6B20">
        <w:t>H</w:t>
      </w:r>
      <w:r w:rsidR="00C22827" w:rsidRPr="007D6B20">
        <w:rPr>
          <w:vertAlign w:val="subscript"/>
        </w:rPr>
        <w:t>35</w:t>
      </w:r>
      <w:r w:rsidR="00C22827" w:rsidRPr="007D6B20">
        <w:t xml:space="preserve">NO) which can be already present in the RMS because it is used as industrial slip agent and lubricant for plastics or it can be generated during HTL from the decomposition of Nylon 6,6 microplastics. Furthermore, FT-IR spectra of dried ADP (Figure </w:t>
      </w:r>
      <w:r w:rsidR="001F5E3E">
        <w:t>3</w:t>
      </w:r>
      <w:r w:rsidR="00C22827" w:rsidRPr="007D6B20">
        <w:t>) was characterized by the presence of resonance bands between 600 and 700 cm</w:t>
      </w:r>
      <w:r w:rsidR="00C22827" w:rsidRPr="007D6B20">
        <w:rPr>
          <w:vertAlign w:val="superscript"/>
        </w:rPr>
        <w:t>-1</w:t>
      </w:r>
      <w:r w:rsidR="00C22827" w:rsidRPr="007D6B20">
        <w:t xml:space="preserve"> attributable to the stretching vibrations of C-Cl bond (Lu et al., 2002) suggesting the presence of poly(</w:t>
      </w:r>
      <w:r w:rsidR="001A627F" w:rsidRPr="007D6B20">
        <w:t>vinyl chloride</w:t>
      </w:r>
      <w:r w:rsidR="00C22827" w:rsidRPr="007D6B20">
        <w:t>) (PVC) in this product. These bands were also detected in FT-IR spectra of the raw RMS, of the isolated MF and of the SR.</w:t>
      </w:r>
      <w:r w:rsidR="008E45EC" w:rsidRPr="007D6B20">
        <w:t xml:space="preserve"> </w:t>
      </w:r>
      <w:r w:rsidR="00C22827" w:rsidRPr="007D6B20">
        <w:t>To validate this hypothesis we studied the degradation of PVC in water at 325</w:t>
      </w:r>
      <w:r w:rsidR="00340342">
        <w:t xml:space="preserve"> </w:t>
      </w:r>
      <w:r w:rsidR="00C22827" w:rsidRPr="007D6B20">
        <w:t xml:space="preserve">°C and 30 min, with and without </w:t>
      </w:r>
      <w:r w:rsidR="00C22827" w:rsidRPr="007D6B20">
        <w:rPr>
          <w:rFonts w:cs="Arial"/>
          <w:color w:val="000000"/>
          <w:szCs w:val="18"/>
        </w:rPr>
        <w:t>CoMo/Al</w:t>
      </w:r>
      <w:r w:rsidR="00C22827" w:rsidRPr="007D6B20">
        <w:rPr>
          <w:rFonts w:cs="Arial"/>
          <w:color w:val="000000"/>
          <w:szCs w:val="18"/>
          <w:vertAlign w:val="subscript"/>
        </w:rPr>
        <w:t>2</w:t>
      </w:r>
      <w:r w:rsidR="00C22827" w:rsidRPr="007D6B20">
        <w:rPr>
          <w:rFonts w:cs="Arial"/>
          <w:color w:val="000000"/>
          <w:szCs w:val="18"/>
        </w:rPr>
        <w:t>O</w:t>
      </w:r>
      <w:r w:rsidR="00C22827" w:rsidRPr="007D6B20">
        <w:rPr>
          <w:rFonts w:cs="Arial"/>
          <w:color w:val="000000"/>
          <w:szCs w:val="18"/>
          <w:vertAlign w:val="subscript"/>
        </w:rPr>
        <w:t>3</w:t>
      </w:r>
      <w:r w:rsidR="00C22827" w:rsidRPr="007D6B20">
        <w:t>. After the hydrothermal treatment, we obtained a solid residue, whose mass was only 50</w:t>
      </w:r>
      <w:r w:rsidR="00340342">
        <w:t xml:space="preserve"> </w:t>
      </w:r>
      <w:r w:rsidR="00C22827" w:rsidRPr="007D6B20">
        <w:t>% of the initial mass of PVC, and an acid aqueous solution (pH</w:t>
      </w:r>
      <w:r w:rsidR="00340342">
        <w:t xml:space="preserve"> </w:t>
      </w:r>
      <w:r w:rsidR="00C22827" w:rsidRPr="007D6B20">
        <w:t>=</w:t>
      </w:r>
      <w:r w:rsidR="00340342">
        <w:t xml:space="preserve"> </w:t>
      </w:r>
      <w:r w:rsidR="00C22827" w:rsidRPr="007D6B20">
        <w:t xml:space="preserve">2.6). </w:t>
      </w:r>
    </w:p>
    <w:p w14:paraId="1521F50B" w14:textId="3CECCB85" w:rsidR="00C22827" w:rsidRPr="007D6B20" w:rsidRDefault="00CC5849" w:rsidP="00C22827">
      <w:pPr>
        <w:pStyle w:val="CETBodytext"/>
      </w:pPr>
      <w:r w:rsidRPr="007D6B20">
        <w:t xml:space="preserve">To </w:t>
      </w:r>
      <w:r w:rsidR="004631EE" w:rsidRPr="007D6B20">
        <w:t>validate</w:t>
      </w:r>
      <w:r w:rsidRPr="007D6B20">
        <w:t xml:space="preserve"> the hypothesis of </w:t>
      </w:r>
      <w:r w:rsidR="004631EE" w:rsidRPr="007D6B20">
        <w:t>a</w:t>
      </w:r>
      <w:r w:rsidRPr="007D6B20">
        <w:t xml:space="preserve"> possible correlation between the ADP and the presence of MF in the initial </w:t>
      </w:r>
      <w:r w:rsidR="004631EE" w:rsidRPr="007D6B20">
        <w:t>matrix</w:t>
      </w:r>
      <w:r w:rsidRPr="007D6B20">
        <w:t xml:space="preserve">, </w:t>
      </w:r>
      <w:r w:rsidR="008E45EC" w:rsidRPr="007D6B20">
        <w:t xml:space="preserve">HTL of RMS was then compared to HTL of the microalga </w:t>
      </w:r>
      <w:r w:rsidR="00C22827" w:rsidRPr="007D6B20">
        <w:rPr>
          <w:i/>
          <w:iCs/>
        </w:rPr>
        <w:t>C. vulgaris</w:t>
      </w:r>
      <w:r w:rsidR="008E45EC" w:rsidRPr="007D6B20">
        <w:t xml:space="preserve">, </w:t>
      </w:r>
      <w:r w:rsidR="00C22827" w:rsidRPr="007D6B20">
        <w:t>used as model plastic free biofeedstock</w:t>
      </w:r>
      <w:r w:rsidR="008E45EC" w:rsidRPr="007D6B20">
        <w:t xml:space="preserve">. The collected outcomes suggested that, when </w:t>
      </w:r>
      <w:r w:rsidR="000352D8" w:rsidRPr="007D6B20">
        <w:t xml:space="preserve">catalytic </w:t>
      </w:r>
      <w:r w:rsidR="008E45EC" w:rsidRPr="007D6B20">
        <w:t>HTL of C</w:t>
      </w:r>
      <w:r w:rsidR="008E45EC" w:rsidRPr="007D6B20">
        <w:rPr>
          <w:i/>
          <w:iCs/>
        </w:rPr>
        <w:t>. vulgaris</w:t>
      </w:r>
      <w:r w:rsidR="008E45EC" w:rsidRPr="007D6B20">
        <w:t xml:space="preserve"> </w:t>
      </w:r>
      <w:r w:rsidR="000352D8" w:rsidRPr="007D6B20">
        <w:t xml:space="preserve">was </w:t>
      </w:r>
      <w:r w:rsidR="008E45EC" w:rsidRPr="007D6B20">
        <w:t xml:space="preserve">conducted </w:t>
      </w:r>
      <w:r w:rsidR="000352D8" w:rsidRPr="007D6B20">
        <w:t xml:space="preserve">without plastic </w:t>
      </w:r>
      <w:r w:rsidR="000352D8" w:rsidRPr="007D6B20">
        <w:lastRenderedPageBreak/>
        <w:t>addition</w:t>
      </w:r>
      <w:r w:rsidR="004631EE" w:rsidRPr="007D6B20">
        <w:t>,</w:t>
      </w:r>
      <w:r w:rsidRPr="007D6B20">
        <w:t xml:space="preserve"> </w:t>
      </w:r>
      <w:r w:rsidR="008E45EC" w:rsidRPr="007D6B20">
        <w:t>ADP production does not occur</w:t>
      </w:r>
      <w:r w:rsidR="000352D8" w:rsidRPr="007D6B20">
        <w:t xml:space="preserve">. While, </w:t>
      </w:r>
      <w:r w:rsidR="00C22827" w:rsidRPr="007D6B20">
        <w:t>when 3</w:t>
      </w:r>
      <w:r w:rsidR="00340342">
        <w:t xml:space="preserve"> </w:t>
      </w:r>
      <w:r w:rsidR="00C22827" w:rsidRPr="007D6B20">
        <w:t>% of PVC, 3</w:t>
      </w:r>
      <w:r w:rsidR="00340342">
        <w:t xml:space="preserve"> </w:t>
      </w:r>
      <w:r w:rsidR="00C22827" w:rsidRPr="007D6B20">
        <w:t>% of PET and 3</w:t>
      </w:r>
      <w:r w:rsidR="00340342">
        <w:t xml:space="preserve"> </w:t>
      </w:r>
      <w:r w:rsidR="00C22827" w:rsidRPr="007D6B20">
        <w:t>% of Nylon 6,6</w:t>
      </w:r>
      <w:r w:rsidR="000352D8" w:rsidRPr="007D6B20">
        <w:t xml:space="preserve"> (dry biomass basis)</w:t>
      </w:r>
      <w:r w:rsidR="00C22827" w:rsidRPr="007D6B20">
        <w:t xml:space="preserve">, were added as models of plastic </w:t>
      </w:r>
      <w:r w:rsidR="004631EE" w:rsidRPr="007D6B20">
        <w:t xml:space="preserve">4 % of </w:t>
      </w:r>
      <w:r w:rsidR="00C22827" w:rsidRPr="007D6B20">
        <w:t xml:space="preserve">ADP </w:t>
      </w:r>
      <w:r w:rsidR="004631EE" w:rsidRPr="007D6B20">
        <w:t xml:space="preserve">yield </w:t>
      </w:r>
      <w:r w:rsidR="00C22827" w:rsidRPr="007D6B20">
        <w:t xml:space="preserve">was </w:t>
      </w:r>
      <w:r w:rsidR="004631EE" w:rsidRPr="007D6B20">
        <w:t>obtained</w:t>
      </w:r>
      <w:r w:rsidRPr="007D6B20">
        <w:t>.</w:t>
      </w:r>
      <w:r w:rsidR="00C22827" w:rsidRPr="007D6B20">
        <w:t xml:space="preserve"> </w:t>
      </w:r>
    </w:p>
    <w:p w14:paraId="5FA76EB9" w14:textId="52C270BA" w:rsidR="001E2675" w:rsidRPr="007D6B20" w:rsidRDefault="001E2675" w:rsidP="00121570">
      <w:pPr>
        <w:pStyle w:val="CETBodytext"/>
      </w:pPr>
    </w:p>
    <w:p w14:paraId="10C3D1F5" w14:textId="0EC54F98" w:rsidR="00F16019" w:rsidRPr="007D6B20" w:rsidRDefault="007B4BA3" w:rsidP="00643EDE">
      <w:pPr>
        <w:spacing w:line="480" w:lineRule="auto"/>
        <w:jc w:val="left"/>
        <w:rPr>
          <w:b/>
        </w:rPr>
      </w:pPr>
      <w:r w:rsidRPr="007D6B20">
        <w:rPr>
          <w:noProof/>
        </w:rPr>
        <w:drawing>
          <wp:inline distT="0" distB="0" distL="0" distR="0" wp14:anchorId="230CDA25" wp14:editId="20FF2EB7">
            <wp:extent cx="5768571" cy="341757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7076" cy="3452231"/>
                    </a:xfrm>
                    <a:prstGeom prst="rect">
                      <a:avLst/>
                    </a:prstGeom>
                  </pic:spPr>
                </pic:pic>
              </a:graphicData>
            </a:graphic>
          </wp:inline>
        </w:drawing>
      </w:r>
    </w:p>
    <w:p w14:paraId="51D73C6B" w14:textId="74CE8F2B" w:rsidR="00C13ED5" w:rsidRPr="007D6B20" w:rsidRDefault="00F16019" w:rsidP="00643EDE">
      <w:pPr>
        <w:pStyle w:val="CETCaption"/>
        <w:jc w:val="left"/>
        <w:rPr>
          <w:lang w:val="en-US"/>
        </w:rPr>
      </w:pPr>
      <w:r w:rsidRPr="007D6B20">
        <w:rPr>
          <w:lang w:val="en-US"/>
        </w:rPr>
        <w:t xml:space="preserve">Figure </w:t>
      </w:r>
      <w:r w:rsidR="007D6B20" w:rsidRPr="007D6B20">
        <w:rPr>
          <w:lang w:val="en-US"/>
        </w:rPr>
        <w:t>1</w:t>
      </w:r>
      <w:r w:rsidRPr="007D6B20">
        <w:rPr>
          <w:lang w:val="en-US"/>
        </w:rPr>
        <w:t>: Product yields of HTL experiments performed at 325</w:t>
      </w:r>
      <w:r w:rsidR="00340342">
        <w:rPr>
          <w:lang w:val="en-US"/>
        </w:rPr>
        <w:t xml:space="preserve"> </w:t>
      </w:r>
      <w:r w:rsidRPr="007D6B20">
        <w:rPr>
          <w:lang w:val="en-US"/>
        </w:rPr>
        <w:t>°C and 30 min as reaction temperature and time and 10</w:t>
      </w:r>
      <w:r w:rsidR="00340342">
        <w:rPr>
          <w:lang w:val="en-US"/>
        </w:rPr>
        <w:t xml:space="preserve"> </w:t>
      </w:r>
      <w:r w:rsidRPr="007D6B20">
        <w:rPr>
          <w:lang w:val="en-US"/>
        </w:rPr>
        <w:t xml:space="preserve">% w/w of </w:t>
      </w:r>
      <w:r w:rsidR="00BD4B53" w:rsidRPr="007D6B20">
        <w:rPr>
          <w:lang w:val="en-US"/>
        </w:rPr>
        <w:t>RMS</w:t>
      </w:r>
      <w:r w:rsidRPr="007D6B20">
        <w:rPr>
          <w:lang w:val="en-US"/>
        </w:rPr>
        <w:t xml:space="preserve"> concentration.</w:t>
      </w:r>
    </w:p>
    <w:p w14:paraId="74D5043C" w14:textId="73B3BFEF" w:rsidR="00C13ED5" w:rsidRPr="007D6B20" w:rsidRDefault="00C13ED5" w:rsidP="00643EDE">
      <w:pPr>
        <w:spacing w:line="480" w:lineRule="auto"/>
        <w:jc w:val="left"/>
        <w:rPr>
          <w:lang w:val="en-US"/>
        </w:rPr>
      </w:pPr>
      <w:r w:rsidRPr="007D6B20">
        <w:rPr>
          <w:noProof/>
          <w:lang w:val="en-US"/>
        </w:rPr>
        <w:t xml:space="preserve"> </w:t>
      </w:r>
      <w:r w:rsidRPr="007D6B20">
        <w:rPr>
          <w:noProof/>
          <w:lang w:val="en-US"/>
        </w:rPr>
        <w:drawing>
          <wp:inline distT="0" distB="0" distL="0" distR="0" wp14:anchorId="3900394C" wp14:editId="0749671F">
            <wp:extent cx="3077698" cy="2937510"/>
            <wp:effectExtent l="0" t="0" r="0" b="0"/>
            <wp:docPr id="4" name="Immagine 4" descr="Immagine che contiene interni, ciotola, metallo, pad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interni, ciotola, metallo, padella&#10;&#10;Descrizione generata automaticamente"/>
                    <pic:cNvPicPr/>
                  </pic:nvPicPr>
                  <pic:blipFill>
                    <a:blip r:embed="rId11"/>
                    <a:stretch>
                      <a:fillRect/>
                    </a:stretch>
                  </pic:blipFill>
                  <pic:spPr>
                    <a:xfrm>
                      <a:off x="0" y="0"/>
                      <a:ext cx="3252655" cy="3104498"/>
                    </a:xfrm>
                    <a:prstGeom prst="rect">
                      <a:avLst/>
                    </a:prstGeom>
                  </pic:spPr>
                </pic:pic>
              </a:graphicData>
            </a:graphic>
          </wp:inline>
        </w:drawing>
      </w:r>
    </w:p>
    <w:p w14:paraId="326D872E" w14:textId="3969F624" w:rsidR="007D6B20" w:rsidRPr="007D6B20" w:rsidRDefault="00C13ED5" w:rsidP="00643EDE">
      <w:pPr>
        <w:pStyle w:val="CETCaption"/>
        <w:jc w:val="left"/>
        <w:rPr>
          <w:bCs/>
          <w:lang w:val="en-US"/>
        </w:rPr>
      </w:pPr>
      <w:r w:rsidRPr="007D6B20">
        <w:rPr>
          <w:bCs/>
          <w:lang w:val="en-US"/>
        </w:rPr>
        <w:t xml:space="preserve">Figure </w:t>
      </w:r>
      <w:r w:rsidR="007D6B20" w:rsidRPr="007D6B20">
        <w:rPr>
          <w:bCs/>
          <w:lang w:val="en-US"/>
        </w:rPr>
        <w:t>2</w:t>
      </w:r>
      <w:r w:rsidRPr="007D6B20">
        <w:rPr>
          <w:bCs/>
          <w:lang w:val="en-US"/>
        </w:rPr>
        <w:t>: Picture of the typical product behavior after HTL of RMS in the presence of CoMo/Al</w:t>
      </w:r>
      <w:r w:rsidRPr="007D6B20">
        <w:rPr>
          <w:bCs/>
          <w:vertAlign w:val="subscript"/>
          <w:lang w:val="en-US"/>
        </w:rPr>
        <w:t>2</w:t>
      </w:r>
      <w:r w:rsidRPr="007D6B20">
        <w:rPr>
          <w:bCs/>
          <w:lang w:val="en-US"/>
        </w:rPr>
        <w:t>O</w:t>
      </w:r>
      <w:r w:rsidRPr="007D6B20">
        <w:rPr>
          <w:bCs/>
          <w:vertAlign w:val="subscript"/>
          <w:lang w:val="en-US"/>
        </w:rPr>
        <w:t xml:space="preserve">3 </w:t>
      </w:r>
      <w:r w:rsidRPr="007D6B20">
        <w:rPr>
          <w:bCs/>
          <w:lang w:val="en-US"/>
        </w:rPr>
        <w:t xml:space="preserve">once the reactor was opened. </w:t>
      </w:r>
    </w:p>
    <w:p w14:paraId="7A548EC9" w14:textId="63488F19" w:rsidR="00F00C3A" w:rsidRPr="007D6B20" w:rsidRDefault="00FE006F" w:rsidP="00FE006F">
      <w:pPr>
        <w:pStyle w:val="CETTabletitle"/>
        <w:rPr>
          <w:color w:val="000000"/>
          <w:szCs w:val="18"/>
        </w:rPr>
      </w:pPr>
      <w:r w:rsidRPr="007D6B20">
        <w:rPr>
          <w:szCs w:val="18"/>
        </w:rPr>
        <w:lastRenderedPageBreak/>
        <w:t xml:space="preserve">Table 1: Elemental analyses of the </w:t>
      </w:r>
      <w:r w:rsidR="00D435B7" w:rsidRPr="007D6B20">
        <w:rPr>
          <w:szCs w:val="18"/>
        </w:rPr>
        <w:t xml:space="preserve">a) </w:t>
      </w:r>
      <w:r w:rsidRPr="007D6B20">
        <w:rPr>
          <w:szCs w:val="18"/>
        </w:rPr>
        <w:t>biocrude (BC)</w:t>
      </w:r>
      <w:r w:rsidR="00D435B7" w:rsidRPr="007D6B20">
        <w:rPr>
          <w:szCs w:val="18"/>
        </w:rPr>
        <w:t xml:space="preserve">; of the </w:t>
      </w:r>
      <w:r w:rsidR="009231BA" w:rsidRPr="007D6B20">
        <w:rPr>
          <w:szCs w:val="18"/>
        </w:rPr>
        <w:t xml:space="preserve">b) additional phase (ADP) and c) solid residues (SR) </w:t>
      </w:r>
      <w:r w:rsidRPr="007D6B20">
        <w:rPr>
          <w:szCs w:val="18"/>
        </w:rPr>
        <w:t>obtained from experiment of HTL of RMS at 325</w:t>
      </w:r>
      <w:r w:rsidR="00340342">
        <w:rPr>
          <w:szCs w:val="18"/>
        </w:rPr>
        <w:t xml:space="preserve"> </w:t>
      </w:r>
      <w:r w:rsidRPr="007D6B20">
        <w:rPr>
          <w:szCs w:val="18"/>
        </w:rPr>
        <w:t>°C, 30 min</w:t>
      </w:r>
      <w:r w:rsidR="00617C03" w:rsidRPr="007D6B20">
        <w:rPr>
          <w:szCs w:val="18"/>
        </w:rPr>
        <w:t xml:space="preserve">, without catalyst addition and in the presence of </w:t>
      </w:r>
      <w:r w:rsidR="00617C03" w:rsidRPr="007D6B20">
        <w:rPr>
          <w:color w:val="000000"/>
          <w:szCs w:val="18"/>
        </w:rPr>
        <w:t>CoMo/Al</w:t>
      </w:r>
      <w:r w:rsidR="00617C03" w:rsidRPr="007D6B20">
        <w:rPr>
          <w:color w:val="000000"/>
          <w:szCs w:val="18"/>
          <w:vertAlign w:val="subscript"/>
        </w:rPr>
        <w:t>2</w:t>
      </w:r>
      <w:r w:rsidR="00617C03" w:rsidRPr="007D6B20">
        <w:rPr>
          <w:color w:val="000000"/>
          <w:szCs w:val="18"/>
        </w:rPr>
        <w:t>O</w:t>
      </w:r>
      <w:r w:rsidR="00617C03" w:rsidRPr="007D6B20">
        <w:rPr>
          <w:color w:val="000000"/>
          <w:szCs w:val="18"/>
          <w:vertAlign w:val="subscript"/>
        </w:rPr>
        <w:t>3</w:t>
      </w:r>
      <w:r w:rsidR="00617C03" w:rsidRPr="007D6B20">
        <w:rPr>
          <w:color w:val="000000"/>
          <w:szCs w:val="18"/>
        </w:rPr>
        <w:t>, NiMo/Al</w:t>
      </w:r>
      <w:r w:rsidR="00617C03" w:rsidRPr="007D6B20">
        <w:rPr>
          <w:color w:val="000000"/>
          <w:szCs w:val="18"/>
          <w:vertAlign w:val="subscript"/>
        </w:rPr>
        <w:t>2</w:t>
      </w:r>
      <w:r w:rsidR="00617C03" w:rsidRPr="007D6B20">
        <w:rPr>
          <w:color w:val="000000"/>
          <w:szCs w:val="18"/>
        </w:rPr>
        <w:t>O</w:t>
      </w:r>
      <w:r w:rsidR="00617C03" w:rsidRPr="007D6B20">
        <w:rPr>
          <w:color w:val="000000"/>
          <w:szCs w:val="18"/>
          <w:vertAlign w:val="subscript"/>
        </w:rPr>
        <w:t xml:space="preserve">3 </w:t>
      </w:r>
      <w:r w:rsidR="00617C03" w:rsidRPr="007D6B20">
        <w:rPr>
          <w:color w:val="000000"/>
          <w:szCs w:val="18"/>
        </w:rPr>
        <w:t xml:space="preserve"> and ACF. C, H, N, S are mass </w:t>
      </w:r>
      <w:r w:rsidR="007A2626" w:rsidRPr="007D6B20">
        <w:rPr>
          <w:color w:val="000000"/>
          <w:szCs w:val="18"/>
        </w:rPr>
        <w:t>fractions</w:t>
      </w:r>
      <w:r w:rsidR="00617C03" w:rsidRPr="007D6B20">
        <w:rPr>
          <w:color w:val="000000"/>
          <w:szCs w:val="18"/>
        </w:rPr>
        <w:t xml:space="preserve">. </w:t>
      </w:r>
      <w:r w:rsidR="00B8701D" w:rsidRPr="007D6B20">
        <w:rPr>
          <w:color w:val="000000"/>
          <w:szCs w:val="18"/>
        </w:rPr>
        <w:t>“Others”</w:t>
      </w:r>
      <w:r w:rsidR="00617C03" w:rsidRPr="007D6B20">
        <w:rPr>
          <w:color w:val="000000"/>
          <w:szCs w:val="18"/>
        </w:rPr>
        <w:t xml:space="preserve"> </w:t>
      </w:r>
      <w:r w:rsidR="00883E76" w:rsidRPr="007D6B20">
        <w:rPr>
          <w:color w:val="000000"/>
          <w:szCs w:val="18"/>
        </w:rPr>
        <w:t xml:space="preserve">percentage </w:t>
      </w:r>
      <w:r w:rsidR="00617C03" w:rsidRPr="007D6B20">
        <w:rPr>
          <w:color w:val="000000"/>
          <w:szCs w:val="18"/>
        </w:rPr>
        <w:t>w</w:t>
      </w:r>
      <w:r w:rsidR="00883E76" w:rsidRPr="007D6B20">
        <w:rPr>
          <w:color w:val="000000"/>
          <w:szCs w:val="18"/>
        </w:rPr>
        <w:t>as</w:t>
      </w:r>
      <w:r w:rsidR="00617C03" w:rsidRPr="007D6B20">
        <w:rPr>
          <w:color w:val="000000"/>
          <w:szCs w:val="18"/>
        </w:rPr>
        <w:t xml:space="preserve"> determined</w:t>
      </w:r>
      <w:r w:rsidR="00B8701D" w:rsidRPr="007D6B20">
        <w:rPr>
          <w:color w:val="000000"/>
          <w:szCs w:val="18"/>
        </w:rPr>
        <w:t xml:space="preserve"> by the difference from 100</w:t>
      </w:r>
      <w:r w:rsidR="00340342">
        <w:rPr>
          <w:color w:val="000000"/>
          <w:szCs w:val="18"/>
        </w:rPr>
        <w:t xml:space="preserve"> </w:t>
      </w:r>
      <w:r w:rsidR="00B8701D" w:rsidRPr="007D6B20">
        <w:rPr>
          <w:color w:val="000000"/>
          <w:szCs w:val="18"/>
        </w:rPr>
        <w:t>% and the sum of C, H, N, S %</w:t>
      </w:r>
      <w:r w:rsidR="00617C03" w:rsidRPr="007D6B20">
        <w:rPr>
          <w:color w:val="000000"/>
          <w:szCs w:val="18"/>
        </w:rPr>
        <w:t xml:space="preserve"> as in equation (</w:t>
      </w:r>
      <w:r w:rsidR="00F16019" w:rsidRPr="007D6B20">
        <w:rPr>
          <w:color w:val="000000"/>
          <w:szCs w:val="18"/>
        </w:rPr>
        <w:t>3</w:t>
      </w:r>
      <w:r w:rsidR="00617C03" w:rsidRPr="007D6B20">
        <w:rPr>
          <w:color w:val="000000"/>
          <w:szCs w:val="18"/>
        </w:rPr>
        <w:t>)</w:t>
      </w:r>
    </w:p>
    <w:tbl>
      <w:tblPr>
        <w:tblpPr w:leftFromText="141" w:rightFromText="141" w:vertAnchor="text" w:horzAnchor="margin" w:tblpX="-142" w:tblpY="-69"/>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05"/>
        <w:gridCol w:w="1034"/>
        <w:gridCol w:w="919"/>
        <w:gridCol w:w="916"/>
        <w:gridCol w:w="916"/>
        <w:gridCol w:w="943"/>
        <w:gridCol w:w="1032"/>
        <w:gridCol w:w="916"/>
        <w:gridCol w:w="906"/>
      </w:tblGrid>
      <w:tr w:rsidR="00CD1968" w:rsidRPr="007D6B20" w14:paraId="129FEDF1" w14:textId="21EAA55A" w:rsidTr="00CD1968">
        <w:tc>
          <w:tcPr>
            <w:tcW w:w="8787" w:type="dxa"/>
            <w:gridSpan w:val="9"/>
            <w:tcBorders>
              <w:top w:val="single" w:sz="12" w:space="0" w:color="008000"/>
              <w:bottom w:val="single" w:sz="6" w:space="0" w:color="008000"/>
            </w:tcBorders>
            <w:shd w:val="clear" w:color="auto" w:fill="FFFFFF"/>
            <w:vAlign w:val="center"/>
          </w:tcPr>
          <w:p w14:paraId="41D6388D" w14:textId="077488A0" w:rsidR="00CD1968" w:rsidRPr="00F555AF" w:rsidRDefault="00CD1968" w:rsidP="00D435B7">
            <w:pPr>
              <w:pStyle w:val="CETBodytext"/>
              <w:numPr>
                <w:ilvl w:val="0"/>
                <w:numId w:val="23"/>
              </w:numPr>
              <w:ind w:right="-1"/>
              <w:jc w:val="left"/>
              <w:rPr>
                <w:rFonts w:cs="Arial"/>
                <w:szCs w:val="18"/>
                <w:lang w:val="en-GB"/>
              </w:rPr>
            </w:pPr>
            <w:r w:rsidRPr="00F555AF">
              <w:rPr>
                <w:rFonts w:cs="Arial"/>
                <w:szCs w:val="18"/>
                <w:lang w:val="en-GB"/>
              </w:rPr>
              <w:t>BC</w:t>
            </w:r>
          </w:p>
        </w:tc>
      </w:tr>
      <w:tr w:rsidR="000E20AB" w:rsidRPr="007D6B20" w14:paraId="6722E348" w14:textId="52443E4E" w:rsidTr="000E20AB">
        <w:tc>
          <w:tcPr>
            <w:tcW w:w="1205" w:type="dxa"/>
            <w:tcBorders>
              <w:top w:val="single" w:sz="12" w:space="0" w:color="008000"/>
              <w:bottom w:val="single" w:sz="6" w:space="0" w:color="008000"/>
            </w:tcBorders>
            <w:shd w:val="clear" w:color="auto" w:fill="FFFFFF"/>
          </w:tcPr>
          <w:p w14:paraId="1C780142" w14:textId="77777777" w:rsidR="000E20AB" w:rsidRPr="00F555AF" w:rsidRDefault="000E20AB" w:rsidP="000E20AB">
            <w:pPr>
              <w:pStyle w:val="CETBodytext"/>
              <w:rPr>
                <w:rFonts w:cs="Arial"/>
                <w:szCs w:val="18"/>
                <w:lang w:val="en-GB"/>
              </w:rPr>
            </w:pPr>
            <w:r w:rsidRPr="00F555AF">
              <w:rPr>
                <w:rFonts w:cs="Arial"/>
                <w:szCs w:val="18"/>
                <w:lang w:val="en-GB"/>
              </w:rPr>
              <w:t>Catalyst</w:t>
            </w:r>
          </w:p>
        </w:tc>
        <w:tc>
          <w:tcPr>
            <w:tcW w:w="1034" w:type="dxa"/>
            <w:tcBorders>
              <w:top w:val="single" w:sz="12" w:space="0" w:color="008000"/>
              <w:bottom w:val="single" w:sz="6" w:space="0" w:color="008000"/>
            </w:tcBorders>
            <w:shd w:val="clear" w:color="auto" w:fill="FFFFFF"/>
            <w:vAlign w:val="center"/>
          </w:tcPr>
          <w:p w14:paraId="42D4F820" w14:textId="2D6F4CBC" w:rsidR="000E20AB" w:rsidRPr="007D6B20" w:rsidRDefault="000E20AB" w:rsidP="000E20AB">
            <w:pPr>
              <w:pStyle w:val="CETBodytext"/>
              <w:rPr>
                <w:rFonts w:cs="Arial"/>
                <w:szCs w:val="18"/>
                <w:lang w:val="en-GB"/>
              </w:rPr>
            </w:pPr>
            <w:r w:rsidRPr="007D6B20">
              <w:rPr>
                <w:rFonts w:cs="Arial"/>
                <w:color w:val="000000"/>
                <w:szCs w:val="18"/>
              </w:rPr>
              <w:t>C</w:t>
            </w:r>
          </w:p>
        </w:tc>
        <w:tc>
          <w:tcPr>
            <w:tcW w:w="919" w:type="dxa"/>
            <w:tcBorders>
              <w:top w:val="single" w:sz="12" w:space="0" w:color="008000"/>
              <w:bottom w:val="single" w:sz="6" w:space="0" w:color="008000"/>
            </w:tcBorders>
            <w:shd w:val="clear" w:color="auto" w:fill="FFFFFF"/>
            <w:vAlign w:val="center"/>
          </w:tcPr>
          <w:p w14:paraId="7F3FB179" w14:textId="21DF8763" w:rsidR="000E20AB" w:rsidRPr="007D6B20" w:rsidRDefault="000E20AB" w:rsidP="000E20AB">
            <w:pPr>
              <w:pStyle w:val="CETBodytext"/>
              <w:rPr>
                <w:rFonts w:cs="Arial"/>
                <w:szCs w:val="18"/>
                <w:lang w:val="en-GB"/>
              </w:rPr>
            </w:pPr>
            <w:r w:rsidRPr="007D6B20">
              <w:rPr>
                <w:rFonts w:cs="Arial"/>
                <w:color w:val="000000"/>
                <w:szCs w:val="18"/>
              </w:rPr>
              <w:t>H</w:t>
            </w:r>
          </w:p>
        </w:tc>
        <w:tc>
          <w:tcPr>
            <w:tcW w:w="916" w:type="dxa"/>
            <w:tcBorders>
              <w:top w:val="single" w:sz="12" w:space="0" w:color="008000"/>
              <w:bottom w:val="single" w:sz="6" w:space="0" w:color="008000"/>
            </w:tcBorders>
            <w:shd w:val="clear" w:color="auto" w:fill="FFFFFF"/>
            <w:vAlign w:val="center"/>
          </w:tcPr>
          <w:p w14:paraId="49886498" w14:textId="1759B88F" w:rsidR="000E20AB" w:rsidRPr="007D6B20" w:rsidRDefault="000E20AB" w:rsidP="000E20AB">
            <w:pPr>
              <w:pStyle w:val="CETBodytext"/>
              <w:rPr>
                <w:rFonts w:cs="Arial"/>
                <w:szCs w:val="18"/>
                <w:lang w:val="en-GB"/>
              </w:rPr>
            </w:pPr>
            <w:r w:rsidRPr="007D6B20">
              <w:rPr>
                <w:rFonts w:cs="Arial"/>
                <w:color w:val="000000"/>
                <w:szCs w:val="18"/>
              </w:rPr>
              <w:t>N</w:t>
            </w:r>
          </w:p>
        </w:tc>
        <w:tc>
          <w:tcPr>
            <w:tcW w:w="916" w:type="dxa"/>
            <w:tcBorders>
              <w:top w:val="single" w:sz="12" w:space="0" w:color="008000"/>
              <w:bottom w:val="single" w:sz="6" w:space="0" w:color="008000"/>
            </w:tcBorders>
            <w:shd w:val="clear" w:color="auto" w:fill="FFFFFF"/>
            <w:vAlign w:val="center"/>
          </w:tcPr>
          <w:p w14:paraId="1087FBF4" w14:textId="680A0663" w:rsidR="000E20AB" w:rsidRPr="007D6B20" w:rsidRDefault="000E20AB" w:rsidP="000E20AB">
            <w:pPr>
              <w:pStyle w:val="CETBodytext"/>
              <w:rPr>
                <w:rFonts w:cs="Arial"/>
                <w:szCs w:val="18"/>
                <w:lang w:val="en-GB"/>
              </w:rPr>
            </w:pPr>
            <w:r w:rsidRPr="007D6B20">
              <w:rPr>
                <w:rFonts w:cs="Arial"/>
                <w:color w:val="000000"/>
                <w:szCs w:val="18"/>
              </w:rPr>
              <w:t>S</w:t>
            </w:r>
          </w:p>
        </w:tc>
        <w:tc>
          <w:tcPr>
            <w:tcW w:w="943" w:type="dxa"/>
            <w:tcBorders>
              <w:top w:val="single" w:sz="12" w:space="0" w:color="008000"/>
              <w:bottom w:val="single" w:sz="6" w:space="0" w:color="008000"/>
            </w:tcBorders>
            <w:shd w:val="clear" w:color="auto" w:fill="FFFFFF"/>
            <w:vAlign w:val="center"/>
          </w:tcPr>
          <w:p w14:paraId="4BD98639" w14:textId="795F2CAB" w:rsidR="000E20AB" w:rsidRPr="007D6B20" w:rsidRDefault="000E20AB" w:rsidP="000E20AB">
            <w:pPr>
              <w:pStyle w:val="CETBodytext"/>
              <w:rPr>
                <w:rFonts w:cs="Arial"/>
                <w:szCs w:val="18"/>
                <w:lang w:val="en-GB"/>
              </w:rPr>
            </w:pPr>
            <w:r w:rsidRPr="007D6B20">
              <w:rPr>
                <w:rFonts w:cs="Arial"/>
                <w:szCs w:val="18"/>
              </w:rPr>
              <w:t>others</w:t>
            </w:r>
          </w:p>
        </w:tc>
        <w:tc>
          <w:tcPr>
            <w:tcW w:w="1032" w:type="dxa"/>
            <w:tcBorders>
              <w:top w:val="single" w:sz="12" w:space="0" w:color="008000"/>
              <w:bottom w:val="single" w:sz="6" w:space="0" w:color="008000"/>
            </w:tcBorders>
            <w:shd w:val="clear" w:color="auto" w:fill="FFFFFF"/>
            <w:vAlign w:val="center"/>
          </w:tcPr>
          <w:p w14:paraId="72FF1697" w14:textId="77777777" w:rsidR="000E20AB" w:rsidRPr="007D6B20" w:rsidRDefault="000E20AB" w:rsidP="000E20AB">
            <w:pPr>
              <w:pStyle w:val="CETBodytext"/>
              <w:rPr>
                <w:rFonts w:cs="Arial"/>
                <w:szCs w:val="18"/>
                <w:lang w:val="en-GB"/>
              </w:rPr>
            </w:pPr>
            <w:r w:rsidRPr="007D6B20">
              <w:rPr>
                <w:rFonts w:cs="Arial"/>
                <w:color w:val="000000"/>
                <w:szCs w:val="18"/>
              </w:rPr>
              <w:t>H/C</w:t>
            </w:r>
          </w:p>
        </w:tc>
        <w:tc>
          <w:tcPr>
            <w:tcW w:w="916" w:type="dxa"/>
            <w:tcBorders>
              <w:top w:val="single" w:sz="12" w:space="0" w:color="008000"/>
              <w:bottom w:val="single" w:sz="6" w:space="0" w:color="008000"/>
            </w:tcBorders>
            <w:shd w:val="clear" w:color="auto" w:fill="FFFFFF"/>
            <w:vAlign w:val="center"/>
          </w:tcPr>
          <w:p w14:paraId="4619CEE4" w14:textId="77777777" w:rsidR="000E20AB" w:rsidRPr="007D6B20" w:rsidRDefault="000E20AB" w:rsidP="000E20AB">
            <w:pPr>
              <w:pStyle w:val="CETBodytext"/>
              <w:ind w:right="-1"/>
              <w:rPr>
                <w:rFonts w:cs="Arial"/>
                <w:szCs w:val="18"/>
                <w:lang w:val="en-GB"/>
              </w:rPr>
            </w:pPr>
            <w:r w:rsidRPr="007D6B20">
              <w:rPr>
                <w:rFonts w:cs="Arial"/>
                <w:color w:val="000000"/>
                <w:szCs w:val="18"/>
              </w:rPr>
              <w:t>N/C</w:t>
            </w:r>
          </w:p>
        </w:tc>
        <w:tc>
          <w:tcPr>
            <w:tcW w:w="906" w:type="dxa"/>
            <w:tcBorders>
              <w:top w:val="single" w:sz="12" w:space="0" w:color="008000"/>
              <w:bottom w:val="single" w:sz="6" w:space="0" w:color="008000"/>
            </w:tcBorders>
            <w:shd w:val="clear" w:color="auto" w:fill="FFFFFF"/>
          </w:tcPr>
          <w:p w14:paraId="1F17224F" w14:textId="014BCF91" w:rsidR="000E20AB" w:rsidRPr="007D6B20" w:rsidRDefault="000E20AB" w:rsidP="000E20AB">
            <w:pPr>
              <w:pStyle w:val="CETBodytext"/>
              <w:ind w:right="-1"/>
              <w:rPr>
                <w:rFonts w:cs="Arial"/>
                <w:color w:val="000000"/>
                <w:szCs w:val="18"/>
              </w:rPr>
            </w:pPr>
            <w:r w:rsidRPr="007D6B20">
              <w:rPr>
                <w:rFonts w:cs="Arial"/>
                <w:color w:val="000000"/>
                <w:szCs w:val="18"/>
              </w:rPr>
              <w:t>S/C</w:t>
            </w:r>
          </w:p>
        </w:tc>
      </w:tr>
      <w:tr w:rsidR="00EA3267" w:rsidRPr="007D6B20" w14:paraId="2C895B1E" w14:textId="558C00B9" w:rsidTr="000E20AB">
        <w:tc>
          <w:tcPr>
            <w:tcW w:w="1205" w:type="dxa"/>
            <w:shd w:val="clear" w:color="auto" w:fill="FFFFFF"/>
            <w:vAlign w:val="center"/>
          </w:tcPr>
          <w:p w14:paraId="407634EC" w14:textId="77777777" w:rsidR="00EA3267" w:rsidRPr="00F555AF" w:rsidRDefault="00EA3267" w:rsidP="00EA3267">
            <w:pPr>
              <w:pStyle w:val="CETBodytext"/>
              <w:rPr>
                <w:rFonts w:cs="Arial"/>
                <w:szCs w:val="18"/>
                <w:lang w:val="en-GB"/>
              </w:rPr>
            </w:pPr>
            <w:r w:rsidRPr="00F555AF">
              <w:rPr>
                <w:rFonts w:cs="Arial"/>
                <w:color w:val="000000"/>
                <w:szCs w:val="18"/>
              </w:rPr>
              <w:t>_</w:t>
            </w:r>
          </w:p>
        </w:tc>
        <w:tc>
          <w:tcPr>
            <w:tcW w:w="1034" w:type="dxa"/>
            <w:shd w:val="clear" w:color="auto" w:fill="FFFFFF"/>
            <w:vAlign w:val="center"/>
          </w:tcPr>
          <w:p w14:paraId="11D90D91" w14:textId="77777777" w:rsidR="00EA3267" w:rsidRPr="007D6B20" w:rsidRDefault="00EA3267" w:rsidP="00EA3267">
            <w:pPr>
              <w:pStyle w:val="CETBodytext"/>
              <w:rPr>
                <w:rFonts w:cs="Arial"/>
                <w:szCs w:val="18"/>
                <w:lang w:val="en-GB"/>
              </w:rPr>
            </w:pPr>
            <w:r w:rsidRPr="007D6B20">
              <w:rPr>
                <w:rFonts w:cs="Arial"/>
                <w:color w:val="000000"/>
                <w:szCs w:val="18"/>
              </w:rPr>
              <w:t>73.28</w:t>
            </w:r>
          </w:p>
        </w:tc>
        <w:tc>
          <w:tcPr>
            <w:tcW w:w="919" w:type="dxa"/>
            <w:shd w:val="clear" w:color="auto" w:fill="FFFFFF"/>
            <w:vAlign w:val="center"/>
          </w:tcPr>
          <w:p w14:paraId="4EEA2042" w14:textId="77777777" w:rsidR="00EA3267" w:rsidRPr="007D6B20" w:rsidRDefault="00EA3267" w:rsidP="00EA3267">
            <w:pPr>
              <w:pStyle w:val="CETBodytext"/>
              <w:rPr>
                <w:rFonts w:cs="Arial"/>
                <w:szCs w:val="18"/>
                <w:lang w:val="en-GB"/>
              </w:rPr>
            </w:pPr>
            <w:r w:rsidRPr="007D6B20">
              <w:rPr>
                <w:rFonts w:cs="Arial"/>
                <w:color w:val="000000"/>
                <w:szCs w:val="18"/>
              </w:rPr>
              <w:t>10.81</w:t>
            </w:r>
          </w:p>
        </w:tc>
        <w:tc>
          <w:tcPr>
            <w:tcW w:w="916" w:type="dxa"/>
            <w:shd w:val="clear" w:color="auto" w:fill="FFFFFF"/>
            <w:vAlign w:val="center"/>
          </w:tcPr>
          <w:p w14:paraId="06E460BE" w14:textId="77777777" w:rsidR="00EA3267" w:rsidRPr="007D6B20" w:rsidRDefault="00EA3267" w:rsidP="00EA3267">
            <w:pPr>
              <w:pStyle w:val="CETBodytext"/>
              <w:rPr>
                <w:rFonts w:cs="Arial"/>
                <w:szCs w:val="18"/>
                <w:lang w:val="en-GB"/>
              </w:rPr>
            </w:pPr>
            <w:r w:rsidRPr="007D6B20">
              <w:rPr>
                <w:rFonts w:cs="Arial"/>
                <w:color w:val="000000"/>
                <w:szCs w:val="18"/>
              </w:rPr>
              <w:t>5.73</w:t>
            </w:r>
          </w:p>
        </w:tc>
        <w:tc>
          <w:tcPr>
            <w:tcW w:w="916" w:type="dxa"/>
            <w:shd w:val="clear" w:color="auto" w:fill="FFFFFF"/>
            <w:vAlign w:val="center"/>
          </w:tcPr>
          <w:p w14:paraId="0260078F" w14:textId="77777777" w:rsidR="00EA3267" w:rsidRPr="007D6B20" w:rsidRDefault="00EA3267" w:rsidP="00EA3267">
            <w:pPr>
              <w:pStyle w:val="CETBodytext"/>
              <w:rPr>
                <w:rFonts w:cs="Arial"/>
                <w:szCs w:val="18"/>
                <w:lang w:val="en-GB"/>
              </w:rPr>
            </w:pPr>
            <w:r w:rsidRPr="007D6B20">
              <w:rPr>
                <w:rFonts w:cs="Arial"/>
                <w:color w:val="000000"/>
                <w:szCs w:val="18"/>
              </w:rPr>
              <w:t>1.96</w:t>
            </w:r>
          </w:p>
        </w:tc>
        <w:tc>
          <w:tcPr>
            <w:tcW w:w="943" w:type="dxa"/>
            <w:shd w:val="clear" w:color="auto" w:fill="FFFFFF"/>
            <w:vAlign w:val="center"/>
          </w:tcPr>
          <w:p w14:paraId="390EA4B5" w14:textId="77777777" w:rsidR="00EA3267" w:rsidRPr="007D6B20" w:rsidRDefault="00EA3267" w:rsidP="00EA3267">
            <w:pPr>
              <w:pStyle w:val="CETBodytext"/>
              <w:rPr>
                <w:rFonts w:cs="Arial"/>
                <w:szCs w:val="18"/>
                <w:lang w:val="en-GB"/>
              </w:rPr>
            </w:pPr>
            <w:r w:rsidRPr="007D6B20">
              <w:rPr>
                <w:rFonts w:cs="Arial"/>
                <w:color w:val="000000"/>
                <w:szCs w:val="18"/>
              </w:rPr>
              <w:t>8.22</w:t>
            </w:r>
          </w:p>
        </w:tc>
        <w:tc>
          <w:tcPr>
            <w:tcW w:w="1032" w:type="dxa"/>
            <w:shd w:val="clear" w:color="auto" w:fill="FFFFFF"/>
            <w:vAlign w:val="center"/>
          </w:tcPr>
          <w:p w14:paraId="01D19099" w14:textId="77777777" w:rsidR="00EA3267" w:rsidRPr="007D6B20" w:rsidRDefault="00EA3267" w:rsidP="00EA3267">
            <w:pPr>
              <w:pStyle w:val="CETBodytext"/>
              <w:rPr>
                <w:rFonts w:cs="Arial"/>
                <w:szCs w:val="18"/>
                <w:lang w:val="en-GB"/>
              </w:rPr>
            </w:pPr>
            <w:r w:rsidRPr="007D6B20">
              <w:rPr>
                <w:rFonts w:cs="Arial"/>
                <w:color w:val="000000"/>
                <w:szCs w:val="18"/>
              </w:rPr>
              <w:t>1.76</w:t>
            </w:r>
          </w:p>
        </w:tc>
        <w:tc>
          <w:tcPr>
            <w:tcW w:w="916" w:type="dxa"/>
            <w:shd w:val="clear" w:color="auto" w:fill="FFFFFF"/>
            <w:vAlign w:val="center"/>
          </w:tcPr>
          <w:p w14:paraId="53C0F524" w14:textId="77777777" w:rsidR="00EA3267" w:rsidRPr="007D6B20" w:rsidRDefault="00EA3267" w:rsidP="00EA3267">
            <w:pPr>
              <w:pStyle w:val="CETBodytext"/>
              <w:ind w:right="-1"/>
              <w:rPr>
                <w:rFonts w:cs="Arial"/>
                <w:szCs w:val="18"/>
                <w:lang w:val="en-GB"/>
              </w:rPr>
            </w:pPr>
            <w:r w:rsidRPr="007D6B20">
              <w:rPr>
                <w:rFonts w:cs="Arial"/>
                <w:color w:val="000000"/>
                <w:szCs w:val="18"/>
              </w:rPr>
              <w:t>0.07</w:t>
            </w:r>
          </w:p>
        </w:tc>
        <w:tc>
          <w:tcPr>
            <w:tcW w:w="906" w:type="dxa"/>
            <w:shd w:val="clear" w:color="auto" w:fill="FFFFFF"/>
          </w:tcPr>
          <w:p w14:paraId="770492BE" w14:textId="1256B825" w:rsidR="00EA3267" w:rsidRPr="007D6B20" w:rsidRDefault="00EA3267" w:rsidP="00EA3267">
            <w:pPr>
              <w:pStyle w:val="CETBodytext"/>
              <w:ind w:right="-1"/>
              <w:rPr>
                <w:rFonts w:cs="Arial"/>
                <w:color w:val="000000"/>
                <w:szCs w:val="18"/>
              </w:rPr>
            </w:pPr>
            <w:r w:rsidRPr="007D6B20">
              <w:t>0.010</w:t>
            </w:r>
          </w:p>
        </w:tc>
      </w:tr>
      <w:tr w:rsidR="00EA3267" w:rsidRPr="007D6B20" w14:paraId="6EF1C886" w14:textId="057E858D" w:rsidTr="000E20AB">
        <w:trPr>
          <w:trHeight w:val="94"/>
        </w:trPr>
        <w:tc>
          <w:tcPr>
            <w:tcW w:w="1205" w:type="dxa"/>
            <w:shd w:val="clear" w:color="auto" w:fill="FFFFFF"/>
            <w:vAlign w:val="center"/>
          </w:tcPr>
          <w:p w14:paraId="2C795D19" w14:textId="77777777" w:rsidR="00EA3267" w:rsidRPr="00F555AF" w:rsidRDefault="00EA3267" w:rsidP="00EA3267">
            <w:pPr>
              <w:pStyle w:val="CETBodytext"/>
              <w:rPr>
                <w:rFonts w:cs="Arial"/>
                <w:szCs w:val="18"/>
                <w:lang w:val="en-GB"/>
              </w:rPr>
            </w:pPr>
            <w:r w:rsidRPr="00F555AF">
              <w:rPr>
                <w:rFonts w:cs="Arial"/>
                <w:color w:val="000000"/>
                <w:szCs w:val="18"/>
              </w:rPr>
              <w:t>CoMo/Al</w:t>
            </w:r>
            <w:r w:rsidRPr="00F555AF">
              <w:rPr>
                <w:rFonts w:cs="Arial"/>
                <w:color w:val="000000"/>
                <w:szCs w:val="18"/>
                <w:vertAlign w:val="subscript"/>
              </w:rPr>
              <w:t>2</w:t>
            </w:r>
            <w:r w:rsidRPr="00F555AF">
              <w:rPr>
                <w:rFonts w:cs="Arial"/>
                <w:color w:val="000000"/>
                <w:szCs w:val="18"/>
              </w:rPr>
              <w:t>O</w:t>
            </w:r>
            <w:r w:rsidRPr="00F555AF">
              <w:rPr>
                <w:rFonts w:cs="Arial"/>
                <w:color w:val="000000"/>
                <w:szCs w:val="18"/>
                <w:vertAlign w:val="subscript"/>
              </w:rPr>
              <w:t>3</w:t>
            </w:r>
          </w:p>
        </w:tc>
        <w:tc>
          <w:tcPr>
            <w:tcW w:w="1034" w:type="dxa"/>
            <w:shd w:val="clear" w:color="auto" w:fill="FFFFFF"/>
            <w:vAlign w:val="center"/>
          </w:tcPr>
          <w:p w14:paraId="46F561B2" w14:textId="77777777" w:rsidR="00EA3267" w:rsidRPr="007D6B20" w:rsidRDefault="00EA3267" w:rsidP="00EA3267">
            <w:pPr>
              <w:pStyle w:val="CETBodytext"/>
              <w:rPr>
                <w:rFonts w:cs="Arial"/>
                <w:szCs w:val="18"/>
                <w:lang w:val="en-GB"/>
              </w:rPr>
            </w:pPr>
            <w:r w:rsidRPr="007D6B20">
              <w:rPr>
                <w:rFonts w:cs="Arial"/>
                <w:color w:val="000000"/>
                <w:szCs w:val="18"/>
              </w:rPr>
              <w:t>76.74</w:t>
            </w:r>
          </w:p>
        </w:tc>
        <w:tc>
          <w:tcPr>
            <w:tcW w:w="919" w:type="dxa"/>
            <w:shd w:val="clear" w:color="auto" w:fill="FFFFFF"/>
            <w:vAlign w:val="center"/>
          </w:tcPr>
          <w:p w14:paraId="4EB1CCCB" w14:textId="77777777" w:rsidR="00EA3267" w:rsidRPr="007D6B20" w:rsidRDefault="00EA3267" w:rsidP="00EA3267">
            <w:pPr>
              <w:pStyle w:val="CETBodytext"/>
              <w:rPr>
                <w:rFonts w:cs="Arial"/>
                <w:szCs w:val="18"/>
                <w:lang w:val="en-GB"/>
              </w:rPr>
            </w:pPr>
            <w:r w:rsidRPr="007D6B20">
              <w:rPr>
                <w:rFonts w:cs="Arial"/>
                <w:color w:val="000000"/>
                <w:szCs w:val="18"/>
              </w:rPr>
              <w:t>11.35</w:t>
            </w:r>
          </w:p>
        </w:tc>
        <w:tc>
          <w:tcPr>
            <w:tcW w:w="916" w:type="dxa"/>
            <w:shd w:val="clear" w:color="auto" w:fill="FFFFFF"/>
            <w:vAlign w:val="center"/>
          </w:tcPr>
          <w:p w14:paraId="160A6D80" w14:textId="77777777" w:rsidR="00EA3267" w:rsidRPr="007D6B20" w:rsidRDefault="00EA3267" w:rsidP="00EA3267">
            <w:pPr>
              <w:pStyle w:val="CETBodytext"/>
              <w:rPr>
                <w:rFonts w:cs="Arial"/>
                <w:szCs w:val="18"/>
                <w:lang w:val="en-GB"/>
              </w:rPr>
            </w:pPr>
            <w:r w:rsidRPr="007D6B20">
              <w:rPr>
                <w:rFonts w:cs="Arial"/>
                <w:color w:val="000000"/>
                <w:szCs w:val="18"/>
              </w:rPr>
              <w:t>3.92</w:t>
            </w:r>
          </w:p>
        </w:tc>
        <w:tc>
          <w:tcPr>
            <w:tcW w:w="916" w:type="dxa"/>
            <w:shd w:val="clear" w:color="auto" w:fill="FFFFFF"/>
            <w:vAlign w:val="center"/>
          </w:tcPr>
          <w:p w14:paraId="2917949A" w14:textId="77777777" w:rsidR="00EA3267" w:rsidRPr="007D6B20" w:rsidRDefault="00EA3267" w:rsidP="00EA3267">
            <w:pPr>
              <w:pStyle w:val="CETBodytext"/>
              <w:rPr>
                <w:rFonts w:cs="Arial"/>
                <w:szCs w:val="18"/>
                <w:lang w:val="en-GB"/>
              </w:rPr>
            </w:pPr>
            <w:r w:rsidRPr="007D6B20">
              <w:rPr>
                <w:rFonts w:cs="Arial"/>
                <w:color w:val="000000"/>
                <w:szCs w:val="18"/>
              </w:rPr>
              <w:t>1.77</w:t>
            </w:r>
          </w:p>
        </w:tc>
        <w:tc>
          <w:tcPr>
            <w:tcW w:w="943" w:type="dxa"/>
            <w:shd w:val="clear" w:color="auto" w:fill="FFFFFF"/>
            <w:vAlign w:val="center"/>
          </w:tcPr>
          <w:p w14:paraId="08ACAE44" w14:textId="77777777" w:rsidR="00EA3267" w:rsidRPr="007D6B20" w:rsidRDefault="00EA3267" w:rsidP="00EA3267">
            <w:pPr>
              <w:pStyle w:val="CETBodytext"/>
              <w:rPr>
                <w:rFonts w:cs="Arial"/>
                <w:szCs w:val="18"/>
                <w:lang w:val="en-GB"/>
              </w:rPr>
            </w:pPr>
            <w:r w:rsidRPr="007D6B20">
              <w:rPr>
                <w:rFonts w:cs="Arial"/>
                <w:color w:val="000000"/>
                <w:szCs w:val="18"/>
              </w:rPr>
              <w:t>6.24</w:t>
            </w:r>
          </w:p>
        </w:tc>
        <w:tc>
          <w:tcPr>
            <w:tcW w:w="1032" w:type="dxa"/>
            <w:shd w:val="clear" w:color="auto" w:fill="FFFFFF"/>
            <w:vAlign w:val="center"/>
          </w:tcPr>
          <w:p w14:paraId="63A623C5" w14:textId="77777777" w:rsidR="00EA3267" w:rsidRPr="007D6B20" w:rsidRDefault="00EA3267" w:rsidP="00EA3267">
            <w:pPr>
              <w:pStyle w:val="CETBodytext"/>
              <w:rPr>
                <w:rFonts w:cs="Arial"/>
                <w:szCs w:val="18"/>
                <w:lang w:val="en-GB"/>
              </w:rPr>
            </w:pPr>
            <w:r w:rsidRPr="007D6B20">
              <w:rPr>
                <w:rFonts w:cs="Arial"/>
                <w:color w:val="000000"/>
                <w:szCs w:val="18"/>
              </w:rPr>
              <w:t>1.76</w:t>
            </w:r>
          </w:p>
        </w:tc>
        <w:tc>
          <w:tcPr>
            <w:tcW w:w="916" w:type="dxa"/>
            <w:shd w:val="clear" w:color="auto" w:fill="FFFFFF"/>
            <w:vAlign w:val="center"/>
          </w:tcPr>
          <w:p w14:paraId="461A02FF" w14:textId="77777777" w:rsidR="00EA3267" w:rsidRPr="007D6B20" w:rsidRDefault="00EA3267" w:rsidP="00EA3267">
            <w:pPr>
              <w:pStyle w:val="CETBodytext"/>
              <w:ind w:right="-1"/>
              <w:rPr>
                <w:rFonts w:cs="Arial"/>
                <w:szCs w:val="18"/>
                <w:lang w:val="en-GB"/>
              </w:rPr>
            </w:pPr>
            <w:r w:rsidRPr="007D6B20">
              <w:rPr>
                <w:rFonts w:cs="Arial"/>
                <w:color w:val="000000"/>
                <w:szCs w:val="18"/>
              </w:rPr>
              <w:t>0.04</w:t>
            </w:r>
          </w:p>
        </w:tc>
        <w:tc>
          <w:tcPr>
            <w:tcW w:w="906" w:type="dxa"/>
            <w:shd w:val="clear" w:color="auto" w:fill="FFFFFF"/>
          </w:tcPr>
          <w:p w14:paraId="61D635E2" w14:textId="23E30DDA" w:rsidR="00EA3267" w:rsidRPr="007D6B20" w:rsidRDefault="00EA3267" w:rsidP="00EA3267">
            <w:pPr>
              <w:pStyle w:val="CETBodytext"/>
              <w:ind w:right="-1"/>
              <w:rPr>
                <w:rFonts w:cs="Arial"/>
                <w:color w:val="000000"/>
                <w:szCs w:val="18"/>
              </w:rPr>
            </w:pPr>
            <w:r w:rsidRPr="007D6B20">
              <w:t>0.00</w:t>
            </w:r>
            <w:r w:rsidR="0057048B" w:rsidRPr="007D6B20">
              <w:t>9</w:t>
            </w:r>
          </w:p>
        </w:tc>
      </w:tr>
      <w:tr w:rsidR="00EA3267" w:rsidRPr="007D6B20" w14:paraId="543A1AB7" w14:textId="71DDF9C3" w:rsidTr="000E20AB">
        <w:tc>
          <w:tcPr>
            <w:tcW w:w="1205" w:type="dxa"/>
            <w:shd w:val="clear" w:color="auto" w:fill="FFFFFF"/>
            <w:vAlign w:val="center"/>
          </w:tcPr>
          <w:p w14:paraId="4CA6BF5B" w14:textId="77777777" w:rsidR="00EA3267" w:rsidRPr="00F555AF" w:rsidRDefault="00EA3267" w:rsidP="00EA3267">
            <w:pPr>
              <w:pStyle w:val="CETBodytext"/>
              <w:rPr>
                <w:rFonts w:cs="Arial"/>
                <w:szCs w:val="18"/>
                <w:lang w:val="en-GB"/>
              </w:rPr>
            </w:pPr>
            <w:r w:rsidRPr="00F555AF">
              <w:rPr>
                <w:rFonts w:cs="Arial"/>
                <w:color w:val="000000"/>
                <w:szCs w:val="18"/>
              </w:rPr>
              <w:t>NiMo/Al</w:t>
            </w:r>
            <w:r w:rsidRPr="00F555AF">
              <w:rPr>
                <w:rFonts w:cs="Arial"/>
                <w:color w:val="000000"/>
                <w:szCs w:val="18"/>
                <w:vertAlign w:val="subscript"/>
              </w:rPr>
              <w:t>2</w:t>
            </w:r>
            <w:r w:rsidRPr="00F555AF">
              <w:rPr>
                <w:rFonts w:cs="Arial"/>
                <w:color w:val="000000"/>
                <w:szCs w:val="18"/>
              </w:rPr>
              <w:t>O</w:t>
            </w:r>
            <w:r w:rsidRPr="00F555AF">
              <w:rPr>
                <w:rFonts w:cs="Arial"/>
                <w:color w:val="000000"/>
                <w:szCs w:val="18"/>
                <w:vertAlign w:val="subscript"/>
              </w:rPr>
              <w:t>3</w:t>
            </w:r>
          </w:p>
        </w:tc>
        <w:tc>
          <w:tcPr>
            <w:tcW w:w="1034" w:type="dxa"/>
            <w:shd w:val="clear" w:color="auto" w:fill="FFFFFF"/>
            <w:vAlign w:val="center"/>
          </w:tcPr>
          <w:p w14:paraId="3407D782" w14:textId="77777777" w:rsidR="00EA3267" w:rsidRPr="007D6B20" w:rsidRDefault="00EA3267" w:rsidP="00EA3267">
            <w:pPr>
              <w:pStyle w:val="CETBodytext"/>
              <w:rPr>
                <w:rFonts w:cs="Arial"/>
                <w:szCs w:val="18"/>
                <w:lang w:val="en-GB"/>
              </w:rPr>
            </w:pPr>
            <w:r w:rsidRPr="007D6B20">
              <w:rPr>
                <w:rFonts w:cs="Arial"/>
                <w:color w:val="000000"/>
                <w:szCs w:val="18"/>
              </w:rPr>
              <w:t>71.70</w:t>
            </w:r>
          </w:p>
        </w:tc>
        <w:tc>
          <w:tcPr>
            <w:tcW w:w="919" w:type="dxa"/>
            <w:shd w:val="clear" w:color="auto" w:fill="FFFFFF"/>
            <w:vAlign w:val="center"/>
          </w:tcPr>
          <w:p w14:paraId="2BE35AB6" w14:textId="77777777" w:rsidR="00EA3267" w:rsidRPr="007D6B20" w:rsidRDefault="00EA3267" w:rsidP="00EA3267">
            <w:pPr>
              <w:pStyle w:val="CETBodytext"/>
              <w:rPr>
                <w:rFonts w:cs="Arial"/>
                <w:szCs w:val="18"/>
                <w:lang w:val="en-GB"/>
              </w:rPr>
            </w:pPr>
            <w:r w:rsidRPr="007D6B20">
              <w:rPr>
                <w:rFonts w:cs="Arial"/>
                <w:color w:val="000000"/>
                <w:szCs w:val="18"/>
              </w:rPr>
              <w:t>10.95</w:t>
            </w:r>
          </w:p>
        </w:tc>
        <w:tc>
          <w:tcPr>
            <w:tcW w:w="916" w:type="dxa"/>
            <w:shd w:val="clear" w:color="auto" w:fill="FFFFFF"/>
            <w:vAlign w:val="center"/>
          </w:tcPr>
          <w:p w14:paraId="4C1BD2B5" w14:textId="77777777" w:rsidR="00EA3267" w:rsidRPr="007D6B20" w:rsidRDefault="00EA3267" w:rsidP="00EA3267">
            <w:pPr>
              <w:pStyle w:val="CETBodytext"/>
              <w:rPr>
                <w:rFonts w:cs="Arial"/>
                <w:szCs w:val="18"/>
                <w:lang w:val="en-GB"/>
              </w:rPr>
            </w:pPr>
            <w:r w:rsidRPr="007D6B20">
              <w:rPr>
                <w:rFonts w:cs="Arial"/>
                <w:color w:val="000000"/>
                <w:szCs w:val="18"/>
              </w:rPr>
              <w:t>4.37</w:t>
            </w:r>
          </w:p>
        </w:tc>
        <w:tc>
          <w:tcPr>
            <w:tcW w:w="916" w:type="dxa"/>
            <w:shd w:val="clear" w:color="auto" w:fill="FFFFFF"/>
            <w:vAlign w:val="center"/>
          </w:tcPr>
          <w:p w14:paraId="626F3461" w14:textId="77777777" w:rsidR="00EA3267" w:rsidRPr="007D6B20" w:rsidRDefault="00EA3267" w:rsidP="00EA3267">
            <w:pPr>
              <w:pStyle w:val="CETBodytext"/>
              <w:rPr>
                <w:rFonts w:cs="Arial"/>
                <w:szCs w:val="18"/>
                <w:lang w:val="en-GB"/>
              </w:rPr>
            </w:pPr>
            <w:r w:rsidRPr="007D6B20">
              <w:rPr>
                <w:rFonts w:cs="Arial"/>
                <w:color w:val="000000"/>
                <w:szCs w:val="18"/>
              </w:rPr>
              <w:t>1.58</w:t>
            </w:r>
          </w:p>
        </w:tc>
        <w:tc>
          <w:tcPr>
            <w:tcW w:w="943" w:type="dxa"/>
            <w:shd w:val="clear" w:color="auto" w:fill="FFFFFF"/>
            <w:vAlign w:val="center"/>
          </w:tcPr>
          <w:p w14:paraId="5F396A24" w14:textId="77777777" w:rsidR="00EA3267" w:rsidRPr="007D6B20" w:rsidRDefault="00EA3267" w:rsidP="00EA3267">
            <w:pPr>
              <w:pStyle w:val="CETBodytext"/>
              <w:rPr>
                <w:rFonts w:cs="Arial"/>
                <w:szCs w:val="18"/>
                <w:lang w:val="en-GB"/>
              </w:rPr>
            </w:pPr>
            <w:r w:rsidRPr="007D6B20">
              <w:rPr>
                <w:rFonts w:cs="Arial"/>
                <w:color w:val="000000"/>
                <w:szCs w:val="18"/>
              </w:rPr>
              <w:t>11.41</w:t>
            </w:r>
          </w:p>
        </w:tc>
        <w:tc>
          <w:tcPr>
            <w:tcW w:w="1032" w:type="dxa"/>
            <w:shd w:val="clear" w:color="auto" w:fill="FFFFFF"/>
            <w:vAlign w:val="center"/>
          </w:tcPr>
          <w:p w14:paraId="38A9DF6A" w14:textId="77777777" w:rsidR="00EA3267" w:rsidRPr="007D6B20" w:rsidRDefault="00EA3267" w:rsidP="00EA3267">
            <w:pPr>
              <w:pStyle w:val="CETBodytext"/>
              <w:rPr>
                <w:rFonts w:cs="Arial"/>
                <w:szCs w:val="18"/>
                <w:lang w:val="en-GB"/>
              </w:rPr>
            </w:pPr>
            <w:r w:rsidRPr="007D6B20">
              <w:rPr>
                <w:rFonts w:cs="Arial"/>
                <w:color w:val="000000"/>
                <w:szCs w:val="18"/>
              </w:rPr>
              <w:t>1.82</w:t>
            </w:r>
          </w:p>
        </w:tc>
        <w:tc>
          <w:tcPr>
            <w:tcW w:w="916" w:type="dxa"/>
            <w:shd w:val="clear" w:color="auto" w:fill="FFFFFF"/>
            <w:vAlign w:val="center"/>
          </w:tcPr>
          <w:p w14:paraId="7ED1DDE2" w14:textId="77777777" w:rsidR="00EA3267" w:rsidRPr="007D6B20" w:rsidRDefault="00EA3267" w:rsidP="00EA3267">
            <w:pPr>
              <w:pStyle w:val="CETBodytext"/>
              <w:ind w:right="-1"/>
              <w:rPr>
                <w:rFonts w:cs="Arial"/>
                <w:szCs w:val="18"/>
                <w:lang w:val="en-GB"/>
              </w:rPr>
            </w:pPr>
            <w:r w:rsidRPr="007D6B20">
              <w:rPr>
                <w:rFonts w:cs="Arial"/>
                <w:color w:val="000000"/>
                <w:szCs w:val="18"/>
              </w:rPr>
              <w:t>0.05</w:t>
            </w:r>
          </w:p>
        </w:tc>
        <w:tc>
          <w:tcPr>
            <w:tcW w:w="906" w:type="dxa"/>
            <w:shd w:val="clear" w:color="auto" w:fill="FFFFFF"/>
          </w:tcPr>
          <w:p w14:paraId="6BC3A5CC" w14:textId="589736B1" w:rsidR="00EA3267" w:rsidRPr="007D6B20" w:rsidRDefault="00EA3267" w:rsidP="00EA3267">
            <w:pPr>
              <w:pStyle w:val="CETBodytext"/>
              <w:ind w:right="-1"/>
              <w:rPr>
                <w:rFonts w:cs="Arial"/>
                <w:color w:val="000000"/>
                <w:szCs w:val="18"/>
              </w:rPr>
            </w:pPr>
            <w:r w:rsidRPr="007D6B20">
              <w:t>0.008</w:t>
            </w:r>
          </w:p>
        </w:tc>
      </w:tr>
      <w:tr w:rsidR="00EA3267" w:rsidRPr="007D6B20" w14:paraId="1E45D746" w14:textId="4BBC7BF8" w:rsidTr="00DF0BB9">
        <w:tc>
          <w:tcPr>
            <w:tcW w:w="1205" w:type="dxa"/>
            <w:tcBorders>
              <w:bottom w:val="single" w:sz="12" w:space="0" w:color="008001"/>
            </w:tcBorders>
            <w:shd w:val="clear" w:color="auto" w:fill="FFFFFF"/>
            <w:vAlign w:val="center"/>
          </w:tcPr>
          <w:p w14:paraId="541FC2CF" w14:textId="77777777" w:rsidR="00EA3267" w:rsidRPr="00F555AF" w:rsidRDefault="00EA3267" w:rsidP="00EA3267">
            <w:pPr>
              <w:pStyle w:val="CETBodytext"/>
              <w:ind w:right="-1"/>
              <w:rPr>
                <w:rFonts w:cs="Arial"/>
                <w:szCs w:val="18"/>
                <w:lang w:val="en-GB"/>
              </w:rPr>
            </w:pPr>
            <w:r w:rsidRPr="00F555AF">
              <w:rPr>
                <w:rFonts w:cs="Arial"/>
                <w:color w:val="000000"/>
                <w:szCs w:val="18"/>
              </w:rPr>
              <w:t>ACF</w:t>
            </w:r>
          </w:p>
        </w:tc>
        <w:tc>
          <w:tcPr>
            <w:tcW w:w="1034" w:type="dxa"/>
            <w:tcBorders>
              <w:bottom w:val="single" w:sz="12" w:space="0" w:color="008001"/>
            </w:tcBorders>
            <w:shd w:val="clear" w:color="auto" w:fill="FFFFFF"/>
            <w:vAlign w:val="center"/>
          </w:tcPr>
          <w:p w14:paraId="6181615B" w14:textId="77777777" w:rsidR="00EA3267" w:rsidRPr="007D6B20" w:rsidRDefault="00EA3267" w:rsidP="00EA3267">
            <w:pPr>
              <w:pStyle w:val="CETBodytext"/>
              <w:ind w:right="-1"/>
              <w:rPr>
                <w:rFonts w:cs="Arial"/>
                <w:szCs w:val="18"/>
                <w:lang w:val="en-GB"/>
              </w:rPr>
            </w:pPr>
            <w:r w:rsidRPr="007D6B20">
              <w:rPr>
                <w:rFonts w:cs="Arial"/>
                <w:color w:val="000000"/>
                <w:szCs w:val="18"/>
              </w:rPr>
              <w:t>71.64</w:t>
            </w:r>
          </w:p>
        </w:tc>
        <w:tc>
          <w:tcPr>
            <w:tcW w:w="919" w:type="dxa"/>
            <w:tcBorders>
              <w:bottom w:val="single" w:sz="12" w:space="0" w:color="008001"/>
            </w:tcBorders>
            <w:shd w:val="clear" w:color="auto" w:fill="FFFFFF"/>
            <w:vAlign w:val="center"/>
          </w:tcPr>
          <w:p w14:paraId="3B80B7F3" w14:textId="77777777" w:rsidR="00EA3267" w:rsidRPr="007D6B20" w:rsidRDefault="00EA3267" w:rsidP="00EA3267">
            <w:pPr>
              <w:pStyle w:val="CETBodytext"/>
              <w:ind w:right="-1"/>
              <w:rPr>
                <w:rFonts w:cs="Arial"/>
                <w:szCs w:val="18"/>
                <w:lang w:val="en-GB"/>
              </w:rPr>
            </w:pPr>
            <w:r w:rsidRPr="007D6B20">
              <w:rPr>
                <w:rFonts w:cs="Arial"/>
                <w:color w:val="000000"/>
                <w:szCs w:val="18"/>
              </w:rPr>
              <w:t>10.40</w:t>
            </w:r>
          </w:p>
        </w:tc>
        <w:tc>
          <w:tcPr>
            <w:tcW w:w="916" w:type="dxa"/>
            <w:tcBorders>
              <w:bottom w:val="single" w:sz="12" w:space="0" w:color="008001"/>
            </w:tcBorders>
            <w:shd w:val="clear" w:color="auto" w:fill="FFFFFF"/>
            <w:vAlign w:val="center"/>
          </w:tcPr>
          <w:p w14:paraId="541DC197" w14:textId="77777777" w:rsidR="00EA3267" w:rsidRPr="007D6B20" w:rsidRDefault="00EA3267" w:rsidP="00EA3267">
            <w:pPr>
              <w:pStyle w:val="CETBodytext"/>
              <w:ind w:right="-1"/>
              <w:rPr>
                <w:rFonts w:cs="Arial"/>
                <w:szCs w:val="18"/>
                <w:lang w:val="en-GB"/>
              </w:rPr>
            </w:pPr>
            <w:r w:rsidRPr="007D6B20">
              <w:rPr>
                <w:rFonts w:cs="Arial"/>
                <w:color w:val="000000"/>
                <w:szCs w:val="18"/>
              </w:rPr>
              <w:t>4.16</w:t>
            </w:r>
          </w:p>
        </w:tc>
        <w:tc>
          <w:tcPr>
            <w:tcW w:w="916" w:type="dxa"/>
            <w:tcBorders>
              <w:bottom w:val="single" w:sz="12" w:space="0" w:color="008001"/>
            </w:tcBorders>
            <w:shd w:val="clear" w:color="auto" w:fill="FFFFFF"/>
            <w:vAlign w:val="center"/>
          </w:tcPr>
          <w:p w14:paraId="14988F4E" w14:textId="77777777" w:rsidR="00EA3267" w:rsidRPr="007D6B20" w:rsidRDefault="00EA3267" w:rsidP="00EA3267">
            <w:pPr>
              <w:pStyle w:val="CETBodytext"/>
              <w:ind w:right="-1"/>
              <w:rPr>
                <w:rFonts w:cs="Arial"/>
                <w:szCs w:val="18"/>
                <w:lang w:val="en-GB"/>
              </w:rPr>
            </w:pPr>
            <w:r w:rsidRPr="007D6B20">
              <w:rPr>
                <w:rFonts w:cs="Arial"/>
                <w:color w:val="000000"/>
                <w:szCs w:val="18"/>
              </w:rPr>
              <w:t>2.19</w:t>
            </w:r>
          </w:p>
        </w:tc>
        <w:tc>
          <w:tcPr>
            <w:tcW w:w="943" w:type="dxa"/>
            <w:tcBorders>
              <w:bottom w:val="single" w:sz="12" w:space="0" w:color="008001"/>
            </w:tcBorders>
            <w:shd w:val="clear" w:color="auto" w:fill="FFFFFF"/>
            <w:vAlign w:val="center"/>
          </w:tcPr>
          <w:p w14:paraId="3BBE67D2" w14:textId="77777777" w:rsidR="00EA3267" w:rsidRPr="007D6B20" w:rsidRDefault="00EA3267" w:rsidP="00EA3267">
            <w:pPr>
              <w:pStyle w:val="CETBodytext"/>
              <w:ind w:right="-1"/>
              <w:rPr>
                <w:rFonts w:cs="Arial"/>
                <w:szCs w:val="18"/>
                <w:lang w:val="en-GB"/>
              </w:rPr>
            </w:pPr>
            <w:r w:rsidRPr="007D6B20">
              <w:rPr>
                <w:rFonts w:cs="Arial"/>
                <w:color w:val="000000"/>
                <w:szCs w:val="18"/>
              </w:rPr>
              <w:t>11.62</w:t>
            </w:r>
          </w:p>
        </w:tc>
        <w:tc>
          <w:tcPr>
            <w:tcW w:w="1032" w:type="dxa"/>
            <w:tcBorders>
              <w:bottom w:val="single" w:sz="12" w:space="0" w:color="008001"/>
            </w:tcBorders>
            <w:shd w:val="clear" w:color="auto" w:fill="FFFFFF"/>
            <w:vAlign w:val="center"/>
          </w:tcPr>
          <w:p w14:paraId="12A1BDE1" w14:textId="77777777" w:rsidR="00EA3267" w:rsidRPr="007D6B20" w:rsidRDefault="00EA3267" w:rsidP="00EA3267">
            <w:pPr>
              <w:pStyle w:val="CETBodytext"/>
              <w:ind w:right="-1"/>
              <w:rPr>
                <w:rFonts w:cs="Arial"/>
                <w:szCs w:val="18"/>
                <w:lang w:val="en-GB"/>
              </w:rPr>
            </w:pPr>
            <w:r w:rsidRPr="007D6B20">
              <w:rPr>
                <w:rFonts w:cs="Arial"/>
                <w:color w:val="000000"/>
                <w:szCs w:val="18"/>
              </w:rPr>
              <w:t>1.73</w:t>
            </w:r>
          </w:p>
        </w:tc>
        <w:tc>
          <w:tcPr>
            <w:tcW w:w="916" w:type="dxa"/>
            <w:tcBorders>
              <w:bottom w:val="single" w:sz="12" w:space="0" w:color="008001"/>
            </w:tcBorders>
            <w:shd w:val="clear" w:color="auto" w:fill="FFFFFF"/>
            <w:vAlign w:val="center"/>
          </w:tcPr>
          <w:p w14:paraId="6ED28BB0" w14:textId="77777777" w:rsidR="00EA3267" w:rsidRPr="007D6B20" w:rsidRDefault="00EA3267" w:rsidP="00EA3267">
            <w:pPr>
              <w:pStyle w:val="CETBodytext"/>
              <w:ind w:right="-1"/>
              <w:rPr>
                <w:rFonts w:cs="Arial"/>
                <w:szCs w:val="18"/>
                <w:lang w:val="en-GB"/>
              </w:rPr>
            </w:pPr>
            <w:r w:rsidRPr="007D6B20">
              <w:rPr>
                <w:rFonts w:cs="Arial"/>
                <w:color w:val="000000"/>
                <w:szCs w:val="18"/>
              </w:rPr>
              <w:t>0.05</w:t>
            </w:r>
          </w:p>
        </w:tc>
        <w:tc>
          <w:tcPr>
            <w:tcW w:w="906" w:type="dxa"/>
            <w:tcBorders>
              <w:bottom w:val="single" w:sz="12" w:space="0" w:color="008001"/>
            </w:tcBorders>
            <w:shd w:val="clear" w:color="auto" w:fill="FFFFFF"/>
          </w:tcPr>
          <w:p w14:paraId="18ECB27C" w14:textId="3C19FD9E" w:rsidR="00EA3267" w:rsidRPr="007D6B20" w:rsidRDefault="00EA3267" w:rsidP="00EA3267">
            <w:pPr>
              <w:pStyle w:val="CETBodytext"/>
              <w:ind w:right="-1"/>
              <w:rPr>
                <w:rFonts w:cs="Arial"/>
                <w:color w:val="000000"/>
                <w:szCs w:val="18"/>
              </w:rPr>
            </w:pPr>
            <w:r w:rsidRPr="007D6B20">
              <w:t>0.01</w:t>
            </w:r>
            <w:r w:rsidR="0057048B" w:rsidRPr="007D6B20">
              <w:t>2</w:t>
            </w:r>
          </w:p>
        </w:tc>
      </w:tr>
      <w:tr w:rsidR="00CD1968" w:rsidRPr="007D6B20" w14:paraId="08D6896D" w14:textId="4B880D46" w:rsidTr="00DF0BB9">
        <w:tc>
          <w:tcPr>
            <w:tcW w:w="8787" w:type="dxa"/>
            <w:gridSpan w:val="9"/>
            <w:tcBorders>
              <w:top w:val="single" w:sz="12" w:space="0" w:color="008001"/>
              <w:bottom w:val="single" w:sz="12" w:space="0" w:color="008001"/>
            </w:tcBorders>
            <w:shd w:val="clear" w:color="auto" w:fill="FFFFFF"/>
            <w:vAlign w:val="center"/>
          </w:tcPr>
          <w:p w14:paraId="3D72022F" w14:textId="320CAC1C" w:rsidR="00CD1968" w:rsidRPr="00F555AF" w:rsidRDefault="00CD1968" w:rsidP="00D435B7">
            <w:pPr>
              <w:pStyle w:val="CETBodytext"/>
              <w:numPr>
                <w:ilvl w:val="0"/>
                <w:numId w:val="23"/>
              </w:numPr>
              <w:ind w:right="-1"/>
              <w:jc w:val="left"/>
              <w:rPr>
                <w:rFonts w:cs="Arial"/>
                <w:szCs w:val="18"/>
                <w:lang w:val="en-GB"/>
              </w:rPr>
            </w:pPr>
            <w:r w:rsidRPr="00F555AF">
              <w:rPr>
                <w:rFonts w:cs="Arial"/>
                <w:szCs w:val="18"/>
                <w:lang w:val="en-GB"/>
              </w:rPr>
              <w:t>ADP</w:t>
            </w:r>
          </w:p>
        </w:tc>
      </w:tr>
      <w:tr w:rsidR="000E20AB" w:rsidRPr="007D6B20" w14:paraId="45E4600C" w14:textId="59CA910D" w:rsidTr="00DF0BB9">
        <w:tc>
          <w:tcPr>
            <w:tcW w:w="1205" w:type="dxa"/>
            <w:tcBorders>
              <w:top w:val="single" w:sz="12" w:space="0" w:color="008001"/>
              <w:bottom w:val="single" w:sz="2" w:space="0" w:color="008001"/>
            </w:tcBorders>
            <w:shd w:val="clear" w:color="auto" w:fill="FFFFFF"/>
          </w:tcPr>
          <w:p w14:paraId="5128DF9F" w14:textId="29B65C99" w:rsidR="000E20AB" w:rsidRPr="00F555AF" w:rsidRDefault="000E20AB" w:rsidP="000E20AB">
            <w:pPr>
              <w:pStyle w:val="CETBodytext"/>
              <w:ind w:right="-1"/>
              <w:rPr>
                <w:rFonts w:cs="Arial"/>
                <w:color w:val="000000"/>
                <w:szCs w:val="18"/>
              </w:rPr>
            </w:pPr>
            <w:r w:rsidRPr="00F555AF">
              <w:rPr>
                <w:rFonts w:cs="Arial"/>
                <w:szCs w:val="18"/>
                <w:lang w:val="en-GB"/>
              </w:rPr>
              <w:t>Catalyst</w:t>
            </w:r>
          </w:p>
        </w:tc>
        <w:tc>
          <w:tcPr>
            <w:tcW w:w="1034" w:type="dxa"/>
            <w:tcBorders>
              <w:top w:val="single" w:sz="12" w:space="0" w:color="008001"/>
              <w:bottom w:val="single" w:sz="2" w:space="0" w:color="008001"/>
            </w:tcBorders>
            <w:shd w:val="clear" w:color="auto" w:fill="FFFFFF"/>
            <w:vAlign w:val="center"/>
          </w:tcPr>
          <w:p w14:paraId="2817C608" w14:textId="540B1B85" w:rsidR="000E20AB" w:rsidRPr="007D6B20" w:rsidRDefault="000E20AB" w:rsidP="000E20AB">
            <w:pPr>
              <w:pStyle w:val="CETBodytext"/>
              <w:ind w:right="-1"/>
              <w:rPr>
                <w:rFonts w:cs="Arial"/>
                <w:color w:val="000000"/>
                <w:szCs w:val="18"/>
              </w:rPr>
            </w:pPr>
            <w:r w:rsidRPr="007D6B20">
              <w:rPr>
                <w:rFonts w:cs="Arial"/>
                <w:color w:val="000000"/>
                <w:szCs w:val="18"/>
              </w:rPr>
              <w:t>C</w:t>
            </w:r>
          </w:p>
        </w:tc>
        <w:tc>
          <w:tcPr>
            <w:tcW w:w="919" w:type="dxa"/>
            <w:tcBorders>
              <w:top w:val="single" w:sz="12" w:space="0" w:color="008001"/>
              <w:bottom w:val="single" w:sz="2" w:space="0" w:color="008001"/>
            </w:tcBorders>
            <w:shd w:val="clear" w:color="auto" w:fill="FFFFFF"/>
            <w:vAlign w:val="center"/>
          </w:tcPr>
          <w:p w14:paraId="3314F0A2" w14:textId="492B9129" w:rsidR="000E20AB" w:rsidRPr="007D6B20" w:rsidRDefault="000E20AB" w:rsidP="000E20AB">
            <w:pPr>
              <w:pStyle w:val="CETBodytext"/>
              <w:ind w:right="-1"/>
              <w:rPr>
                <w:rFonts w:cs="Arial"/>
                <w:color w:val="000000"/>
                <w:szCs w:val="18"/>
              </w:rPr>
            </w:pPr>
            <w:r w:rsidRPr="007D6B20">
              <w:rPr>
                <w:rFonts w:cs="Arial"/>
                <w:color w:val="000000"/>
                <w:szCs w:val="18"/>
              </w:rPr>
              <w:t>H</w:t>
            </w:r>
          </w:p>
        </w:tc>
        <w:tc>
          <w:tcPr>
            <w:tcW w:w="916" w:type="dxa"/>
            <w:tcBorders>
              <w:top w:val="single" w:sz="12" w:space="0" w:color="008001"/>
              <w:bottom w:val="single" w:sz="2" w:space="0" w:color="008001"/>
            </w:tcBorders>
            <w:shd w:val="clear" w:color="auto" w:fill="FFFFFF"/>
            <w:vAlign w:val="center"/>
          </w:tcPr>
          <w:p w14:paraId="45603484" w14:textId="276CB58D" w:rsidR="000E20AB" w:rsidRPr="007D6B20" w:rsidRDefault="000E20AB" w:rsidP="000E20AB">
            <w:pPr>
              <w:pStyle w:val="CETBodytext"/>
              <w:ind w:right="-1"/>
              <w:rPr>
                <w:rFonts w:cs="Arial"/>
                <w:color w:val="000000"/>
                <w:szCs w:val="18"/>
              </w:rPr>
            </w:pPr>
            <w:r w:rsidRPr="007D6B20">
              <w:rPr>
                <w:rFonts w:cs="Arial"/>
                <w:color w:val="000000"/>
                <w:szCs w:val="18"/>
              </w:rPr>
              <w:t>N</w:t>
            </w:r>
          </w:p>
        </w:tc>
        <w:tc>
          <w:tcPr>
            <w:tcW w:w="916" w:type="dxa"/>
            <w:tcBorders>
              <w:top w:val="single" w:sz="12" w:space="0" w:color="008001"/>
              <w:bottom w:val="single" w:sz="2" w:space="0" w:color="008001"/>
            </w:tcBorders>
            <w:shd w:val="clear" w:color="auto" w:fill="FFFFFF"/>
            <w:vAlign w:val="center"/>
          </w:tcPr>
          <w:p w14:paraId="16CB989A" w14:textId="107DAC08" w:rsidR="000E20AB" w:rsidRPr="007D6B20" w:rsidRDefault="000E20AB" w:rsidP="000E20AB">
            <w:pPr>
              <w:pStyle w:val="CETBodytext"/>
              <w:ind w:right="-1"/>
              <w:rPr>
                <w:rFonts w:cs="Arial"/>
                <w:color w:val="000000"/>
                <w:szCs w:val="18"/>
              </w:rPr>
            </w:pPr>
            <w:r w:rsidRPr="007D6B20">
              <w:rPr>
                <w:rFonts w:cs="Arial"/>
                <w:color w:val="000000"/>
                <w:szCs w:val="18"/>
              </w:rPr>
              <w:t>S</w:t>
            </w:r>
          </w:p>
        </w:tc>
        <w:tc>
          <w:tcPr>
            <w:tcW w:w="943" w:type="dxa"/>
            <w:tcBorders>
              <w:top w:val="single" w:sz="12" w:space="0" w:color="008001"/>
              <w:bottom w:val="single" w:sz="2" w:space="0" w:color="008001"/>
            </w:tcBorders>
            <w:shd w:val="clear" w:color="auto" w:fill="FFFFFF"/>
            <w:vAlign w:val="center"/>
          </w:tcPr>
          <w:p w14:paraId="1BAA0DF6" w14:textId="403D5F29" w:rsidR="000E20AB" w:rsidRPr="007D6B20" w:rsidRDefault="000E20AB" w:rsidP="000E20AB">
            <w:pPr>
              <w:pStyle w:val="CETBodytext"/>
              <w:ind w:right="-1"/>
              <w:rPr>
                <w:rFonts w:cs="Arial"/>
                <w:color w:val="000000"/>
                <w:szCs w:val="18"/>
              </w:rPr>
            </w:pPr>
            <w:r w:rsidRPr="007D6B20">
              <w:rPr>
                <w:rFonts w:cs="Arial"/>
                <w:szCs w:val="18"/>
              </w:rPr>
              <w:t>others</w:t>
            </w:r>
          </w:p>
        </w:tc>
        <w:tc>
          <w:tcPr>
            <w:tcW w:w="1032" w:type="dxa"/>
            <w:tcBorders>
              <w:top w:val="single" w:sz="12" w:space="0" w:color="008001"/>
              <w:bottom w:val="single" w:sz="2" w:space="0" w:color="008001"/>
            </w:tcBorders>
            <w:shd w:val="clear" w:color="auto" w:fill="FFFFFF"/>
            <w:vAlign w:val="center"/>
          </w:tcPr>
          <w:p w14:paraId="65E64AD1" w14:textId="0D7880D6" w:rsidR="000E20AB" w:rsidRPr="007D6B20" w:rsidRDefault="000E20AB" w:rsidP="000E20AB">
            <w:pPr>
              <w:pStyle w:val="CETBodytext"/>
              <w:ind w:right="-1"/>
              <w:rPr>
                <w:rFonts w:cs="Arial"/>
                <w:color w:val="000000"/>
                <w:szCs w:val="18"/>
              </w:rPr>
            </w:pPr>
            <w:r w:rsidRPr="007D6B20">
              <w:rPr>
                <w:rFonts w:cs="Arial"/>
                <w:color w:val="000000"/>
                <w:szCs w:val="18"/>
              </w:rPr>
              <w:t>H/C</w:t>
            </w:r>
          </w:p>
        </w:tc>
        <w:tc>
          <w:tcPr>
            <w:tcW w:w="916" w:type="dxa"/>
            <w:tcBorders>
              <w:top w:val="single" w:sz="12" w:space="0" w:color="008001"/>
              <w:bottom w:val="single" w:sz="2" w:space="0" w:color="008001"/>
            </w:tcBorders>
            <w:shd w:val="clear" w:color="auto" w:fill="FFFFFF"/>
            <w:vAlign w:val="center"/>
          </w:tcPr>
          <w:p w14:paraId="4ED11375" w14:textId="62F35C85" w:rsidR="000E20AB" w:rsidRPr="007D6B20" w:rsidRDefault="000E20AB" w:rsidP="000E20AB">
            <w:pPr>
              <w:pStyle w:val="CETBodytext"/>
              <w:ind w:right="-1"/>
              <w:rPr>
                <w:rFonts w:cs="Arial"/>
                <w:color w:val="000000"/>
                <w:szCs w:val="18"/>
              </w:rPr>
            </w:pPr>
            <w:r w:rsidRPr="007D6B20">
              <w:rPr>
                <w:rFonts w:cs="Arial"/>
                <w:color w:val="000000"/>
                <w:szCs w:val="18"/>
              </w:rPr>
              <w:t>N/C</w:t>
            </w:r>
          </w:p>
        </w:tc>
        <w:tc>
          <w:tcPr>
            <w:tcW w:w="906" w:type="dxa"/>
            <w:tcBorders>
              <w:top w:val="single" w:sz="12" w:space="0" w:color="008001"/>
              <w:bottom w:val="single" w:sz="2" w:space="0" w:color="008001"/>
            </w:tcBorders>
            <w:shd w:val="clear" w:color="auto" w:fill="FFFFFF"/>
          </w:tcPr>
          <w:p w14:paraId="4B2B809B" w14:textId="4148AB64" w:rsidR="000E20AB" w:rsidRPr="007D6B20" w:rsidRDefault="000E20AB" w:rsidP="000E20AB">
            <w:pPr>
              <w:pStyle w:val="CETBodytext"/>
              <w:ind w:right="-1"/>
              <w:rPr>
                <w:rFonts w:cs="Arial"/>
                <w:color w:val="000000"/>
                <w:szCs w:val="18"/>
              </w:rPr>
            </w:pPr>
            <w:r w:rsidRPr="007D6B20">
              <w:rPr>
                <w:rFonts w:cs="Arial"/>
                <w:color w:val="000000"/>
                <w:szCs w:val="18"/>
              </w:rPr>
              <w:t>S/C</w:t>
            </w:r>
          </w:p>
        </w:tc>
      </w:tr>
      <w:tr w:rsidR="00CD1968" w:rsidRPr="007D6B20" w14:paraId="57F1251E" w14:textId="5EF18ED3" w:rsidTr="00DF0BB9">
        <w:tc>
          <w:tcPr>
            <w:tcW w:w="1205" w:type="dxa"/>
            <w:tcBorders>
              <w:top w:val="single" w:sz="2" w:space="0" w:color="008001"/>
            </w:tcBorders>
            <w:shd w:val="clear" w:color="auto" w:fill="FFFFFF"/>
            <w:vAlign w:val="center"/>
          </w:tcPr>
          <w:p w14:paraId="0F5DB8E6" w14:textId="0546D1FF" w:rsidR="00CD1968" w:rsidRPr="00F555AF" w:rsidRDefault="00CD1968" w:rsidP="00CD1968">
            <w:pPr>
              <w:pStyle w:val="CETBodytext"/>
              <w:ind w:right="-1"/>
              <w:rPr>
                <w:rFonts w:cs="Arial"/>
                <w:color w:val="000000"/>
                <w:szCs w:val="18"/>
              </w:rPr>
            </w:pPr>
            <w:r w:rsidRPr="00F555AF">
              <w:rPr>
                <w:rFonts w:cs="Arial"/>
                <w:color w:val="000000"/>
                <w:szCs w:val="18"/>
              </w:rPr>
              <w:t>_</w:t>
            </w:r>
          </w:p>
        </w:tc>
        <w:tc>
          <w:tcPr>
            <w:tcW w:w="1034" w:type="dxa"/>
            <w:tcBorders>
              <w:top w:val="single" w:sz="2" w:space="0" w:color="008001"/>
            </w:tcBorders>
            <w:shd w:val="clear" w:color="auto" w:fill="FFFFFF"/>
            <w:vAlign w:val="center"/>
          </w:tcPr>
          <w:p w14:paraId="198B1850" w14:textId="3D362E0F" w:rsidR="00CD1968" w:rsidRPr="007D6B20" w:rsidRDefault="00CD1968" w:rsidP="00CD1968">
            <w:pPr>
              <w:pStyle w:val="CETBodytext"/>
              <w:ind w:right="-1"/>
              <w:rPr>
                <w:rFonts w:cs="Arial"/>
                <w:color w:val="000000"/>
                <w:szCs w:val="18"/>
              </w:rPr>
            </w:pPr>
            <w:r w:rsidRPr="007D6B20">
              <w:rPr>
                <w:color w:val="000000"/>
                <w:szCs w:val="18"/>
              </w:rPr>
              <w:t>_</w:t>
            </w:r>
          </w:p>
        </w:tc>
        <w:tc>
          <w:tcPr>
            <w:tcW w:w="919" w:type="dxa"/>
            <w:tcBorders>
              <w:top w:val="single" w:sz="2" w:space="0" w:color="008001"/>
            </w:tcBorders>
            <w:shd w:val="clear" w:color="auto" w:fill="FFFFFF"/>
            <w:vAlign w:val="center"/>
          </w:tcPr>
          <w:p w14:paraId="083076DA" w14:textId="6291CCF7" w:rsidR="00CD1968" w:rsidRPr="007D6B20" w:rsidRDefault="00CD1968" w:rsidP="00CD1968">
            <w:pPr>
              <w:pStyle w:val="CETBodytext"/>
              <w:ind w:right="-1"/>
              <w:rPr>
                <w:rFonts w:cs="Arial"/>
                <w:color w:val="000000"/>
                <w:szCs w:val="18"/>
              </w:rPr>
            </w:pPr>
            <w:r w:rsidRPr="007D6B20">
              <w:rPr>
                <w:color w:val="000000"/>
                <w:szCs w:val="18"/>
              </w:rPr>
              <w:t>_</w:t>
            </w:r>
          </w:p>
        </w:tc>
        <w:tc>
          <w:tcPr>
            <w:tcW w:w="916" w:type="dxa"/>
            <w:tcBorders>
              <w:top w:val="single" w:sz="2" w:space="0" w:color="008001"/>
            </w:tcBorders>
            <w:shd w:val="clear" w:color="auto" w:fill="FFFFFF"/>
            <w:vAlign w:val="center"/>
          </w:tcPr>
          <w:p w14:paraId="464C4F1A" w14:textId="0E70FF91" w:rsidR="00CD1968" w:rsidRPr="007D6B20" w:rsidRDefault="00CD1968" w:rsidP="00CD1968">
            <w:pPr>
              <w:pStyle w:val="CETBodytext"/>
              <w:ind w:right="-1"/>
              <w:rPr>
                <w:rFonts w:cs="Arial"/>
                <w:color w:val="000000"/>
                <w:szCs w:val="18"/>
              </w:rPr>
            </w:pPr>
            <w:r w:rsidRPr="007D6B20">
              <w:rPr>
                <w:color w:val="000000"/>
                <w:szCs w:val="18"/>
              </w:rPr>
              <w:t>_</w:t>
            </w:r>
          </w:p>
        </w:tc>
        <w:tc>
          <w:tcPr>
            <w:tcW w:w="916" w:type="dxa"/>
            <w:tcBorders>
              <w:top w:val="single" w:sz="2" w:space="0" w:color="008001"/>
            </w:tcBorders>
            <w:shd w:val="clear" w:color="auto" w:fill="FFFFFF"/>
            <w:vAlign w:val="center"/>
          </w:tcPr>
          <w:p w14:paraId="78838457" w14:textId="20091D5E" w:rsidR="00CD1968" w:rsidRPr="007D6B20" w:rsidRDefault="00CD1968" w:rsidP="00CD1968">
            <w:pPr>
              <w:pStyle w:val="CETBodytext"/>
              <w:ind w:right="-1"/>
              <w:rPr>
                <w:rFonts w:cs="Arial"/>
                <w:color w:val="000000"/>
                <w:szCs w:val="18"/>
              </w:rPr>
            </w:pPr>
            <w:r w:rsidRPr="007D6B20">
              <w:rPr>
                <w:color w:val="000000"/>
                <w:szCs w:val="18"/>
              </w:rPr>
              <w:t>_</w:t>
            </w:r>
          </w:p>
        </w:tc>
        <w:tc>
          <w:tcPr>
            <w:tcW w:w="943" w:type="dxa"/>
            <w:tcBorders>
              <w:top w:val="single" w:sz="2" w:space="0" w:color="008001"/>
            </w:tcBorders>
            <w:shd w:val="clear" w:color="auto" w:fill="FFFFFF"/>
            <w:vAlign w:val="center"/>
          </w:tcPr>
          <w:p w14:paraId="6878ED06" w14:textId="18B861C3" w:rsidR="00CD1968" w:rsidRPr="007D6B20" w:rsidRDefault="00CD1968" w:rsidP="00CD1968">
            <w:pPr>
              <w:pStyle w:val="CETBodytext"/>
              <w:ind w:right="-1"/>
              <w:rPr>
                <w:rFonts w:cs="Arial"/>
                <w:color w:val="000000"/>
                <w:szCs w:val="18"/>
              </w:rPr>
            </w:pPr>
            <w:r w:rsidRPr="007D6B20">
              <w:rPr>
                <w:color w:val="000000"/>
                <w:szCs w:val="18"/>
              </w:rPr>
              <w:t>_</w:t>
            </w:r>
          </w:p>
        </w:tc>
        <w:tc>
          <w:tcPr>
            <w:tcW w:w="1032" w:type="dxa"/>
            <w:tcBorders>
              <w:top w:val="single" w:sz="2" w:space="0" w:color="008001"/>
            </w:tcBorders>
            <w:shd w:val="clear" w:color="auto" w:fill="FFFFFF"/>
            <w:vAlign w:val="center"/>
          </w:tcPr>
          <w:p w14:paraId="0229DCEB" w14:textId="748B3BAC" w:rsidR="00CD1968" w:rsidRPr="007D6B20" w:rsidRDefault="00CD1968" w:rsidP="00CD1968">
            <w:pPr>
              <w:pStyle w:val="CETBodytext"/>
              <w:ind w:right="-1"/>
              <w:rPr>
                <w:rFonts w:cs="Arial"/>
                <w:color w:val="000000"/>
                <w:szCs w:val="18"/>
              </w:rPr>
            </w:pPr>
            <w:r w:rsidRPr="007D6B20">
              <w:rPr>
                <w:color w:val="000000"/>
                <w:szCs w:val="18"/>
              </w:rPr>
              <w:t>_</w:t>
            </w:r>
          </w:p>
        </w:tc>
        <w:tc>
          <w:tcPr>
            <w:tcW w:w="916" w:type="dxa"/>
            <w:tcBorders>
              <w:top w:val="single" w:sz="2" w:space="0" w:color="008001"/>
            </w:tcBorders>
            <w:shd w:val="clear" w:color="auto" w:fill="FFFFFF"/>
            <w:vAlign w:val="center"/>
          </w:tcPr>
          <w:p w14:paraId="1B0CDFC4" w14:textId="1C7D1A6A" w:rsidR="00CD1968" w:rsidRPr="007D6B20" w:rsidRDefault="00CD1968" w:rsidP="00CD1968">
            <w:pPr>
              <w:pStyle w:val="CETBodytext"/>
              <w:ind w:right="-1"/>
              <w:rPr>
                <w:rFonts w:cs="Arial"/>
                <w:color w:val="000000"/>
                <w:szCs w:val="18"/>
              </w:rPr>
            </w:pPr>
            <w:r w:rsidRPr="007D6B20">
              <w:rPr>
                <w:color w:val="000000"/>
                <w:szCs w:val="18"/>
              </w:rPr>
              <w:t>_</w:t>
            </w:r>
          </w:p>
        </w:tc>
        <w:tc>
          <w:tcPr>
            <w:tcW w:w="906" w:type="dxa"/>
            <w:tcBorders>
              <w:top w:val="single" w:sz="2" w:space="0" w:color="008001"/>
            </w:tcBorders>
            <w:shd w:val="clear" w:color="auto" w:fill="FFFFFF"/>
          </w:tcPr>
          <w:p w14:paraId="740130A8" w14:textId="619C25BE" w:rsidR="00CD1968" w:rsidRPr="007D6B20" w:rsidRDefault="00C22ED4" w:rsidP="00CD1968">
            <w:pPr>
              <w:pStyle w:val="CETBodytext"/>
              <w:ind w:right="-1"/>
              <w:rPr>
                <w:rFonts w:cs="Arial"/>
                <w:color w:val="000000"/>
                <w:szCs w:val="18"/>
              </w:rPr>
            </w:pPr>
            <w:r w:rsidRPr="007D6B20">
              <w:rPr>
                <w:rFonts w:cs="Arial"/>
                <w:color w:val="000000"/>
                <w:szCs w:val="18"/>
              </w:rPr>
              <w:t>_</w:t>
            </w:r>
          </w:p>
        </w:tc>
      </w:tr>
      <w:tr w:rsidR="00EA3267" w:rsidRPr="007D6B20" w14:paraId="4E1AF7D0" w14:textId="6CB48E78" w:rsidTr="000E20AB">
        <w:tc>
          <w:tcPr>
            <w:tcW w:w="1205" w:type="dxa"/>
            <w:shd w:val="clear" w:color="auto" w:fill="FFFFFF"/>
            <w:vAlign w:val="center"/>
          </w:tcPr>
          <w:p w14:paraId="21850C29" w14:textId="08F2D4B8" w:rsidR="00EA3267" w:rsidRPr="00F555AF" w:rsidRDefault="00EA3267" w:rsidP="00EA3267">
            <w:pPr>
              <w:pStyle w:val="CETBodytext"/>
              <w:ind w:right="-1"/>
              <w:rPr>
                <w:rFonts w:cs="Arial"/>
                <w:color w:val="000000"/>
                <w:szCs w:val="18"/>
              </w:rPr>
            </w:pPr>
            <w:r w:rsidRPr="00F555AF">
              <w:rPr>
                <w:rFonts w:cs="Arial"/>
                <w:color w:val="000000"/>
                <w:szCs w:val="18"/>
              </w:rPr>
              <w:t>CoMo/Al</w:t>
            </w:r>
            <w:r w:rsidRPr="00F555AF">
              <w:rPr>
                <w:rFonts w:cs="Arial"/>
                <w:color w:val="000000"/>
                <w:szCs w:val="18"/>
                <w:vertAlign w:val="subscript"/>
              </w:rPr>
              <w:t>2</w:t>
            </w:r>
            <w:r w:rsidRPr="00F555AF">
              <w:rPr>
                <w:rFonts w:cs="Arial"/>
                <w:color w:val="000000"/>
                <w:szCs w:val="18"/>
              </w:rPr>
              <w:t>O</w:t>
            </w:r>
            <w:r w:rsidRPr="00F555AF">
              <w:rPr>
                <w:rFonts w:cs="Arial"/>
                <w:color w:val="000000"/>
                <w:szCs w:val="18"/>
                <w:vertAlign w:val="subscript"/>
              </w:rPr>
              <w:t>3</w:t>
            </w:r>
          </w:p>
        </w:tc>
        <w:tc>
          <w:tcPr>
            <w:tcW w:w="1034" w:type="dxa"/>
            <w:shd w:val="clear" w:color="auto" w:fill="FFFFFF"/>
            <w:vAlign w:val="center"/>
          </w:tcPr>
          <w:p w14:paraId="083038B8" w14:textId="066B21C3" w:rsidR="00EA3267" w:rsidRPr="007D6B20" w:rsidRDefault="00EA3267" w:rsidP="00EA3267">
            <w:pPr>
              <w:pStyle w:val="CETBodytext"/>
              <w:ind w:right="-1"/>
              <w:rPr>
                <w:rFonts w:cs="Arial"/>
                <w:color w:val="000000"/>
                <w:szCs w:val="18"/>
              </w:rPr>
            </w:pPr>
            <w:r w:rsidRPr="007D6B20">
              <w:rPr>
                <w:color w:val="000000"/>
                <w:szCs w:val="18"/>
              </w:rPr>
              <w:t>47.68</w:t>
            </w:r>
          </w:p>
        </w:tc>
        <w:tc>
          <w:tcPr>
            <w:tcW w:w="919" w:type="dxa"/>
            <w:shd w:val="clear" w:color="auto" w:fill="FFFFFF"/>
            <w:vAlign w:val="center"/>
          </w:tcPr>
          <w:p w14:paraId="3CFCAAAF" w14:textId="56FAF3BB" w:rsidR="00EA3267" w:rsidRPr="007D6B20" w:rsidRDefault="00EA3267" w:rsidP="00EA3267">
            <w:pPr>
              <w:pStyle w:val="CETBodytext"/>
              <w:ind w:right="-1"/>
              <w:rPr>
                <w:rFonts w:cs="Arial"/>
                <w:color w:val="000000"/>
                <w:szCs w:val="18"/>
              </w:rPr>
            </w:pPr>
            <w:r w:rsidRPr="007D6B20">
              <w:rPr>
                <w:color w:val="000000"/>
                <w:szCs w:val="18"/>
              </w:rPr>
              <w:t>7.48</w:t>
            </w:r>
          </w:p>
        </w:tc>
        <w:tc>
          <w:tcPr>
            <w:tcW w:w="916" w:type="dxa"/>
            <w:shd w:val="clear" w:color="auto" w:fill="FFFFFF"/>
            <w:vAlign w:val="center"/>
          </w:tcPr>
          <w:p w14:paraId="442CCC1F" w14:textId="7465281E" w:rsidR="00EA3267" w:rsidRPr="007D6B20" w:rsidRDefault="00EA3267" w:rsidP="00EA3267">
            <w:pPr>
              <w:pStyle w:val="CETBodytext"/>
              <w:ind w:right="-1"/>
              <w:rPr>
                <w:rFonts w:cs="Arial"/>
                <w:color w:val="000000"/>
                <w:szCs w:val="18"/>
              </w:rPr>
            </w:pPr>
            <w:r w:rsidRPr="007D6B20">
              <w:rPr>
                <w:color w:val="000000"/>
                <w:szCs w:val="18"/>
              </w:rPr>
              <w:t>4.31</w:t>
            </w:r>
          </w:p>
        </w:tc>
        <w:tc>
          <w:tcPr>
            <w:tcW w:w="916" w:type="dxa"/>
            <w:shd w:val="clear" w:color="auto" w:fill="FFFFFF"/>
            <w:vAlign w:val="center"/>
          </w:tcPr>
          <w:p w14:paraId="059FA538" w14:textId="67C10946" w:rsidR="00EA3267" w:rsidRPr="007D6B20" w:rsidRDefault="00EA3267" w:rsidP="00EA3267">
            <w:pPr>
              <w:pStyle w:val="CETBodytext"/>
              <w:ind w:right="-1"/>
              <w:rPr>
                <w:rFonts w:cs="Arial"/>
                <w:color w:val="000000"/>
                <w:szCs w:val="18"/>
              </w:rPr>
            </w:pPr>
            <w:r w:rsidRPr="007D6B20">
              <w:rPr>
                <w:color w:val="000000"/>
                <w:szCs w:val="18"/>
              </w:rPr>
              <w:t>1.45</w:t>
            </w:r>
          </w:p>
        </w:tc>
        <w:tc>
          <w:tcPr>
            <w:tcW w:w="943" w:type="dxa"/>
            <w:shd w:val="clear" w:color="auto" w:fill="FFFFFF"/>
            <w:vAlign w:val="center"/>
          </w:tcPr>
          <w:p w14:paraId="589214A8" w14:textId="738D9E5D" w:rsidR="00EA3267" w:rsidRPr="007D6B20" w:rsidRDefault="00EA3267" w:rsidP="00EA3267">
            <w:pPr>
              <w:pStyle w:val="CETBodytext"/>
              <w:ind w:right="-1"/>
              <w:rPr>
                <w:rFonts w:cs="Arial"/>
                <w:color w:val="000000"/>
                <w:szCs w:val="18"/>
              </w:rPr>
            </w:pPr>
            <w:r w:rsidRPr="007D6B20">
              <w:rPr>
                <w:color w:val="000000"/>
                <w:szCs w:val="18"/>
              </w:rPr>
              <w:t>39.08</w:t>
            </w:r>
          </w:p>
        </w:tc>
        <w:tc>
          <w:tcPr>
            <w:tcW w:w="1032" w:type="dxa"/>
            <w:shd w:val="clear" w:color="auto" w:fill="FFFFFF"/>
            <w:vAlign w:val="center"/>
          </w:tcPr>
          <w:p w14:paraId="772F5D86" w14:textId="1B01511F" w:rsidR="00EA3267" w:rsidRPr="007D6B20" w:rsidRDefault="00EA3267" w:rsidP="00EA3267">
            <w:pPr>
              <w:pStyle w:val="CETBodytext"/>
              <w:ind w:right="-1"/>
              <w:rPr>
                <w:rFonts w:cs="Arial"/>
                <w:color w:val="000000"/>
                <w:szCs w:val="18"/>
              </w:rPr>
            </w:pPr>
            <w:r w:rsidRPr="007D6B20">
              <w:rPr>
                <w:color w:val="000000"/>
                <w:szCs w:val="18"/>
              </w:rPr>
              <w:t>1.87</w:t>
            </w:r>
          </w:p>
        </w:tc>
        <w:tc>
          <w:tcPr>
            <w:tcW w:w="916" w:type="dxa"/>
            <w:shd w:val="clear" w:color="auto" w:fill="FFFFFF"/>
            <w:vAlign w:val="center"/>
          </w:tcPr>
          <w:p w14:paraId="6F23DE7B" w14:textId="1C91C524" w:rsidR="00EA3267" w:rsidRPr="007D6B20" w:rsidRDefault="00EA3267" w:rsidP="00EA3267">
            <w:pPr>
              <w:pStyle w:val="CETBodytext"/>
              <w:ind w:right="-1"/>
              <w:rPr>
                <w:rFonts w:cs="Arial"/>
                <w:color w:val="000000"/>
                <w:szCs w:val="18"/>
              </w:rPr>
            </w:pPr>
            <w:r w:rsidRPr="007D6B20">
              <w:rPr>
                <w:color w:val="000000"/>
                <w:szCs w:val="18"/>
              </w:rPr>
              <w:t>0.08</w:t>
            </w:r>
          </w:p>
        </w:tc>
        <w:tc>
          <w:tcPr>
            <w:tcW w:w="906" w:type="dxa"/>
            <w:shd w:val="clear" w:color="auto" w:fill="FFFFFF"/>
          </w:tcPr>
          <w:p w14:paraId="65CA9218" w14:textId="194DC71B" w:rsidR="00EA3267" w:rsidRPr="007D6B20" w:rsidRDefault="00EA3267" w:rsidP="00EA3267">
            <w:pPr>
              <w:pStyle w:val="CETBodytext"/>
              <w:ind w:right="-1"/>
              <w:rPr>
                <w:rFonts w:cs="Arial"/>
                <w:color w:val="000000"/>
                <w:szCs w:val="18"/>
              </w:rPr>
            </w:pPr>
            <w:r w:rsidRPr="007D6B20">
              <w:t>0.011</w:t>
            </w:r>
          </w:p>
        </w:tc>
      </w:tr>
      <w:tr w:rsidR="00EA3267" w:rsidRPr="007D6B20" w14:paraId="7E68C6E9" w14:textId="27539057" w:rsidTr="000E20AB">
        <w:tc>
          <w:tcPr>
            <w:tcW w:w="1205" w:type="dxa"/>
            <w:shd w:val="clear" w:color="auto" w:fill="FFFFFF"/>
            <w:vAlign w:val="center"/>
          </w:tcPr>
          <w:p w14:paraId="3623CD2A" w14:textId="66D74958" w:rsidR="00EA3267" w:rsidRPr="00F555AF" w:rsidRDefault="00EA3267" w:rsidP="00EA3267">
            <w:pPr>
              <w:pStyle w:val="CETBodytext"/>
              <w:ind w:right="-1"/>
              <w:rPr>
                <w:rFonts w:cs="Arial"/>
                <w:color w:val="000000"/>
                <w:szCs w:val="18"/>
              </w:rPr>
            </w:pPr>
            <w:r w:rsidRPr="00F555AF">
              <w:rPr>
                <w:rFonts w:cs="Arial"/>
                <w:color w:val="000000"/>
                <w:szCs w:val="18"/>
              </w:rPr>
              <w:t>NiMo/Al</w:t>
            </w:r>
            <w:r w:rsidRPr="00F555AF">
              <w:rPr>
                <w:rFonts w:cs="Arial"/>
                <w:color w:val="000000"/>
                <w:szCs w:val="18"/>
                <w:vertAlign w:val="subscript"/>
              </w:rPr>
              <w:t>2</w:t>
            </w:r>
            <w:r w:rsidRPr="00F555AF">
              <w:rPr>
                <w:rFonts w:cs="Arial"/>
                <w:color w:val="000000"/>
                <w:szCs w:val="18"/>
              </w:rPr>
              <w:t>O</w:t>
            </w:r>
            <w:r w:rsidRPr="00F555AF">
              <w:rPr>
                <w:rFonts w:cs="Arial"/>
                <w:color w:val="000000"/>
                <w:szCs w:val="18"/>
                <w:vertAlign w:val="subscript"/>
              </w:rPr>
              <w:t>3</w:t>
            </w:r>
          </w:p>
        </w:tc>
        <w:tc>
          <w:tcPr>
            <w:tcW w:w="1034" w:type="dxa"/>
            <w:shd w:val="clear" w:color="auto" w:fill="FFFFFF"/>
            <w:vAlign w:val="center"/>
          </w:tcPr>
          <w:p w14:paraId="168294E2" w14:textId="1F44B65E" w:rsidR="00EA3267" w:rsidRPr="007D6B20" w:rsidRDefault="00EA3267" w:rsidP="00EA3267">
            <w:pPr>
              <w:pStyle w:val="CETBodytext"/>
              <w:ind w:right="-1"/>
              <w:rPr>
                <w:rFonts w:cs="Arial"/>
                <w:color w:val="000000"/>
                <w:szCs w:val="18"/>
              </w:rPr>
            </w:pPr>
            <w:r w:rsidRPr="007D6B20">
              <w:rPr>
                <w:color w:val="000000"/>
                <w:szCs w:val="18"/>
              </w:rPr>
              <w:t>49.44</w:t>
            </w:r>
          </w:p>
        </w:tc>
        <w:tc>
          <w:tcPr>
            <w:tcW w:w="919" w:type="dxa"/>
            <w:shd w:val="clear" w:color="auto" w:fill="FFFFFF"/>
            <w:vAlign w:val="center"/>
          </w:tcPr>
          <w:p w14:paraId="2A9666AA" w14:textId="2A150825" w:rsidR="00EA3267" w:rsidRPr="007D6B20" w:rsidRDefault="00EA3267" w:rsidP="00EA3267">
            <w:pPr>
              <w:pStyle w:val="CETBodytext"/>
              <w:ind w:right="-1"/>
              <w:rPr>
                <w:rFonts w:cs="Arial"/>
                <w:color w:val="000000"/>
                <w:szCs w:val="18"/>
              </w:rPr>
            </w:pPr>
            <w:r w:rsidRPr="007D6B20">
              <w:rPr>
                <w:color w:val="000000"/>
                <w:szCs w:val="18"/>
              </w:rPr>
              <w:t>5.96</w:t>
            </w:r>
          </w:p>
        </w:tc>
        <w:tc>
          <w:tcPr>
            <w:tcW w:w="916" w:type="dxa"/>
            <w:shd w:val="clear" w:color="auto" w:fill="FFFFFF"/>
            <w:vAlign w:val="center"/>
          </w:tcPr>
          <w:p w14:paraId="66ED42F3" w14:textId="03E63EAC" w:rsidR="00EA3267" w:rsidRPr="007D6B20" w:rsidRDefault="00EA3267" w:rsidP="00EA3267">
            <w:pPr>
              <w:pStyle w:val="CETBodytext"/>
              <w:ind w:right="-1"/>
              <w:rPr>
                <w:rFonts w:cs="Arial"/>
                <w:color w:val="000000"/>
                <w:szCs w:val="18"/>
              </w:rPr>
            </w:pPr>
            <w:r w:rsidRPr="007D6B20">
              <w:rPr>
                <w:color w:val="000000"/>
                <w:szCs w:val="18"/>
              </w:rPr>
              <w:t>2.53</w:t>
            </w:r>
          </w:p>
        </w:tc>
        <w:tc>
          <w:tcPr>
            <w:tcW w:w="916" w:type="dxa"/>
            <w:shd w:val="clear" w:color="auto" w:fill="FFFFFF"/>
            <w:vAlign w:val="center"/>
          </w:tcPr>
          <w:p w14:paraId="372E5126" w14:textId="32FF0E0C" w:rsidR="00EA3267" w:rsidRPr="007D6B20" w:rsidRDefault="00EA3267" w:rsidP="00EA3267">
            <w:pPr>
              <w:pStyle w:val="CETBodytext"/>
              <w:ind w:right="-1"/>
              <w:rPr>
                <w:rFonts w:cs="Arial"/>
                <w:color w:val="000000"/>
                <w:szCs w:val="18"/>
              </w:rPr>
            </w:pPr>
            <w:r w:rsidRPr="007D6B20">
              <w:rPr>
                <w:color w:val="000000"/>
                <w:szCs w:val="18"/>
              </w:rPr>
              <w:t>1.26</w:t>
            </w:r>
          </w:p>
        </w:tc>
        <w:tc>
          <w:tcPr>
            <w:tcW w:w="943" w:type="dxa"/>
            <w:shd w:val="clear" w:color="auto" w:fill="FFFFFF"/>
            <w:vAlign w:val="center"/>
          </w:tcPr>
          <w:p w14:paraId="06EBF5BA" w14:textId="7DCAB9B9" w:rsidR="00EA3267" w:rsidRPr="007D6B20" w:rsidRDefault="00EA3267" w:rsidP="00EA3267">
            <w:pPr>
              <w:pStyle w:val="CETBodytext"/>
              <w:ind w:right="-1"/>
              <w:rPr>
                <w:rFonts w:cs="Arial"/>
                <w:color w:val="000000"/>
                <w:szCs w:val="18"/>
              </w:rPr>
            </w:pPr>
            <w:r w:rsidRPr="007D6B20">
              <w:rPr>
                <w:color w:val="000000"/>
                <w:szCs w:val="18"/>
              </w:rPr>
              <w:t>40.82</w:t>
            </w:r>
          </w:p>
        </w:tc>
        <w:tc>
          <w:tcPr>
            <w:tcW w:w="1032" w:type="dxa"/>
            <w:shd w:val="clear" w:color="auto" w:fill="FFFFFF"/>
            <w:vAlign w:val="center"/>
          </w:tcPr>
          <w:p w14:paraId="253E88A9" w14:textId="6543E677" w:rsidR="00EA3267" w:rsidRPr="007D6B20" w:rsidRDefault="00EA3267" w:rsidP="00EA3267">
            <w:pPr>
              <w:pStyle w:val="CETBodytext"/>
              <w:ind w:right="-1"/>
              <w:rPr>
                <w:rFonts w:cs="Arial"/>
                <w:color w:val="000000"/>
                <w:szCs w:val="18"/>
              </w:rPr>
            </w:pPr>
            <w:r w:rsidRPr="007D6B20">
              <w:rPr>
                <w:color w:val="000000"/>
                <w:szCs w:val="18"/>
              </w:rPr>
              <w:t>1.44</w:t>
            </w:r>
          </w:p>
        </w:tc>
        <w:tc>
          <w:tcPr>
            <w:tcW w:w="916" w:type="dxa"/>
            <w:shd w:val="clear" w:color="auto" w:fill="FFFFFF"/>
            <w:vAlign w:val="center"/>
          </w:tcPr>
          <w:p w14:paraId="6B0D75B0" w14:textId="78ED5199" w:rsidR="00EA3267" w:rsidRPr="007D6B20" w:rsidRDefault="00EA3267" w:rsidP="00EA3267">
            <w:pPr>
              <w:pStyle w:val="CETBodytext"/>
              <w:ind w:right="-1"/>
              <w:rPr>
                <w:rFonts w:cs="Arial"/>
                <w:color w:val="000000"/>
                <w:szCs w:val="18"/>
              </w:rPr>
            </w:pPr>
            <w:r w:rsidRPr="007D6B20">
              <w:rPr>
                <w:color w:val="000000"/>
                <w:szCs w:val="18"/>
              </w:rPr>
              <w:t>0.04</w:t>
            </w:r>
          </w:p>
        </w:tc>
        <w:tc>
          <w:tcPr>
            <w:tcW w:w="906" w:type="dxa"/>
            <w:shd w:val="clear" w:color="auto" w:fill="FFFFFF"/>
          </w:tcPr>
          <w:p w14:paraId="4BD5297B" w14:textId="57DC0DE1" w:rsidR="00EA3267" w:rsidRPr="007D6B20" w:rsidRDefault="00EA3267" w:rsidP="00EA3267">
            <w:pPr>
              <w:pStyle w:val="CETBodytext"/>
              <w:ind w:right="-1"/>
              <w:rPr>
                <w:rFonts w:cs="Arial"/>
                <w:color w:val="000000"/>
                <w:szCs w:val="18"/>
              </w:rPr>
            </w:pPr>
            <w:r w:rsidRPr="007D6B20">
              <w:t>0.0</w:t>
            </w:r>
            <w:r w:rsidR="0057048B" w:rsidRPr="007D6B20">
              <w:t>10</w:t>
            </w:r>
          </w:p>
        </w:tc>
      </w:tr>
      <w:tr w:rsidR="00EA3267" w:rsidRPr="007D6B20" w14:paraId="4081EFCB" w14:textId="4BA51F49" w:rsidTr="00DF0BB9">
        <w:tc>
          <w:tcPr>
            <w:tcW w:w="1205" w:type="dxa"/>
            <w:tcBorders>
              <w:bottom w:val="single" w:sz="12" w:space="0" w:color="008001"/>
            </w:tcBorders>
            <w:shd w:val="clear" w:color="auto" w:fill="FFFFFF"/>
            <w:vAlign w:val="center"/>
          </w:tcPr>
          <w:p w14:paraId="1C1707BB" w14:textId="6C259F24" w:rsidR="00EA3267" w:rsidRPr="00F555AF" w:rsidRDefault="00EA3267" w:rsidP="00EA3267">
            <w:pPr>
              <w:pStyle w:val="CETBodytext"/>
              <w:ind w:right="-1"/>
              <w:rPr>
                <w:rFonts w:cs="Arial"/>
                <w:color w:val="000000"/>
                <w:szCs w:val="18"/>
              </w:rPr>
            </w:pPr>
            <w:r w:rsidRPr="00F555AF">
              <w:rPr>
                <w:rFonts w:cs="Arial"/>
                <w:color w:val="000000"/>
                <w:szCs w:val="18"/>
              </w:rPr>
              <w:t>ACF</w:t>
            </w:r>
          </w:p>
        </w:tc>
        <w:tc>
          <w:tcPr>
            <w:tcW w:w="1034" w:type="dxa"/>
            <w:tcBorders>
              <w:bottom w:val="single" w:sz="12" w:space="0" w:color="008001"/>
            </w:tcBorders>
            <w:shd w:val="clear" w:color="auto" w:fill="FFFFFF"/>
            <w:vAlign w:val="center"/>
          </w:tcPr>
          <w:p w14:paraId="3A90533F" w14:textId="436049C7" w:rsidR="00EA3267" w:rsidRPr="007D6B20" w:rsidRDefault="00EA3267" w:rsidP="00EA3267">
            <w:pPr>
              <w:pStyle w:val="CETBodytext"/>
              <w:ind w:right="-1"/>
              <w:rPr>
                <w:rFonts w:cs="Arial"/>
                <w:color w:val="000000"/>
                <w:szCs w:val="18"/>
              </w:rPr>
            </w:pPr>
            <w:r w:rsidRPr="007D6B20">
              <w:rPr>
                <w:color w:val="000000"/>
                <w:szCs w:val="18"/>
              </w:rPr>
              <w:t>39.33</w:t>
            </w:r>
          </w:p>
        </w:tc>
        <w:tc>
          <w:tcPr>
            <w:tcW w:w="919" w:type="dxa"/>
            <w:tcBorders>
              <w:bottom w:val="single" w:sz="12" w:space="0" w:color="008001"/>
            </w:tcBorders>
            <w:shd w:val="clear" w:color="auto" w:fill="FFFFFF"/>
            <w:vAlign w:val="center"/>
          </w:tcPr>
          <w:p w14:paraId="4DD66836" w14:textId="5FFB200C" w:rsidR="00EA3267" w:rsidRPr="007D6B20" w:rsidRDefault="00EA3267" w:rsidP="00EA3267">
            <w:pPr>
              <w:pStyle w:val="CETBodytext"/>
              <w:ind w:right="-1"/>
              <w:rPr>
                <w:rFonts w:cs="Arial"/>
                <w:color w:val="000000"/>
                <w:szCs w:val="18"/>
              </w:rPr>
            </w:pPr>
            <w:r w:rsidRPr="007D6B20">
              <w:rPr>
                <w:color w:val="000000"/>
                <w:szCs w:val="18"/>
              </w:rPr>
              <w:t>5.80</w:t>
            </w:r>
          </w:p>
        </w:tc>
        <w:tc>
          <w:tcPr>
            <w:tcW w:w="916" w:type="dxa"/>
            <w:tcBorders>
              <w:bottom w:val="single" w:sz="12" w:space="0" w:color="008001"/>
            </w:tcBorders>
            <w:shd w:val="clear" w:color="auto" w:fill="FFFFFF"/>
            <w:vAlign w:val="center"/>
          </w:tcPr>
          <w:p w14:paraId="3568AEAB" w14:textId="40095483" w:rsidR="00EA3267" w:rsidRPr="007D6B20" w:rsidRDefault="00EA3267" w:rsidP="00EA3267">
            <w:pPr>
              <w:pStyle w:val="CETBodytext"/>
              <w:ind w:right="-1"/>
              <w:rPr>
                <w:rFonts w:cs="Arial"/>
                <w:color w:val="000000"/>
                <w:szCs w:val="18"/>
              </w:rPr>
            </w:pPr>
            <w:r w:rsidRPr="007D6B20">
              <w:rPr>
                <w:color w:val="000000"/>
                <w:szCs w:val="18"/>
              </w:rPr>
              <w:t>7.90</w:t>
            </w:r>
          </w:p>
        </w:tc>
        <w:tc>
          <w:tcPr>
            <w:tcW w:w="916" w:type="dxa"/>
            <w:tcBorders>
              <w:bottom w:val="single" w:sz="12" w:space="0" w:color="008001"/>
            </w:tcBorders>
            <w:shd w:val="clear" w:color="auto" w:fill="FFFFFF"/>
            <w:vAlign w:val="center"/>
          </w:tcPr>
          <w:p w14:paraId="0C01A1CD" w14:textId="40FBEB80" w:rsidR="00EA3267" w:rsidRPr="007D6B20" w:rsidRDefault="00EA3267" w:rsidP="00EA3267">
            <w:pPr>
              <w:pStyle w:val="CETBodytext"/>
              <w:ind w:right="-1"/>
              <w:rPr>
                <w:rFonts w:cs="Arial"/>
                <w:color w:val="000000"/>
                <w:szCs w:val="18"/>
              </w:rPr>
            </w:pPr>
            <w:r w:rsidRPr="007D6B20">
              <w:rPr>
                <w:color w:val="000000"/>
                <w:szCs w:val="18"/>
              </w:rPr>
              <w:t>1.66</w:t>
            </w:r>
          </w:p>
        </w:tc>
        <w:tc>
          <w:tcPr>
            <w:tcW w:w="943" w:type="dxa"/>
            <w:tcBorders>
              <w:bottom w:val="single" w:sz="12" w:space="0" w:color="008001"/>
            </w:tcBorders>
            <w:shd w:val="clear" w:color="auto" w:fill="FFFFFF"/>
            <w:vAlign w:val="center"/>
          </w:tcPr>
          <w:p w14:paraId="35A8FA7C" w14:textId="1B865309" w:rsidR="00EA3267" w:rsidRPr="007D6B20" w:rsidRDefault="00EA3267" w:rsidP="00EA3267">
            <w:pPr>
              <w:pStyle w:val="CETBodytext"/>
              <w:ind w:right="-1"/>
              <w:rPr>
                <w:rFonts w:cs="Arial"/>
                <w:color w:val="000000"/>
                <w:szCs w:val="18"/>
              </w:rPr>
            </w:pPr>
            <w:r w:rsidRPr="007D6B20">
              <w:rPr>
                <w:color w:val="000000"/>
                <w:szCs w:val="18"/>
              </w:rPr>
              <w:t>45.31</w:t>
            </w:r>
          </w:p>
        </w:tc>
        <w:tc>
          <w:tcPr>
            <w:tcW w:w="1032" w:type="dxa"/>
            <w:tcBorders>
              <w:bottom w:val="single" w:sz="12" w:space="0" w:color="008001"/>
            </w:tcBorders>
            <w:shd w:val="clear" w:color="auto" w:fill="FFFFFF"/>
            <w:vAlign w:val="center"/>
          </w:tcPr>
          <w:p w14:paraId="2E9E25B0" w14:textId="0B2C4954" w:rsidR="00EA3267" w:rsidRPr="007D6B20" w:rsidRDefault="00EA3267" w:rsidP="00EA3267">
            <w:pPr>
              <w:pStyle w:val="CETBodytext"/>
              <w:ind w:right="-1"/>
              <w:rPr>
                <w:rFonts w:cs="Arial"/>
                <w:color w:val="000000"/>
                <w:szCs w:val="18"/>
              </w:rPr>
            </w:pPr>
            <w:r w:rsidRPr="007D6B20">
              <w:rPr>
                <w:color w:val="000000"/>
                <w:szCs w:val="18"/>
              </w:rPr>
              <w:t>1.76</w:t>
            </w:r>
          </w:p>
        </w:tc>
        <w:tc>
          <w:tcPr>
            <w:tcW w:w="916" w:type="dxa"/>
            <w:tcBorders>
              <w:bottom w:val="single" w:sz="12" w:space="0" w:color="008001"/>
            </w:tcBorders>
            <w:shd w:val="clear" w:color="auto" w:fill="FFFFFF"/>
            <w:vAlign w:val="center"/>
          </w:tcPr>
          <w:p w14:paraId="0418A516" w14:textId="3D05D2D0" w:rsidR="00EA3267" w:rsidRPr="007D6B20" w:rsidRDefault="00EA3267" w:rsidP="00EA3267">
            <w:pPr>
              <w:pStyle w:val="CETBodytext"/>
              <w:ind w:right="-1"/>
              <w:rPr>
                <w:rFonts w:cs="Arial"/>
                <w:color w:val="000000"/>
                <w:szCs w:val="18"/>
              </w:rPr>
            </w:pPr>
            <w:r w:rsidRPr="007D6B20">
              <w:rPr>
                <w:color w:val="000000"/>
                <w:szCs w:val="18"/>
              </w:rPr>
              <w:t>0.17</w:t>
            </w:r>
          </w:p>
        </w:tc>
        <w:tc>
          <w:tcPr>
            <w:tcW w:w="906" w:type="dxa"/>
            <w:tcBorders>
              <w:bottom w:val="single" w:sz="12" w:space="0" w:color="008001"/>
            </w:tcBorders>
            <w:shd w:val="clear" w:color="auto" w:fill="FFFFFF"/>
          </w:tcPr>
          <w:p w14:paraId="18AE17ED" w14:textId="300D5DFC" w:rsidR="00EA3267" w:rsidRPr="007D6B20" w:rsidRDefault="00EA3267" w:rsidP="00EA3267">
            <w:pPr>
              <w:pStyle w:val="CETBodytext"/>
              <w:ind w:right="-1"/>
              <w:rPr>
                <w:rFonts w:cs="Arial"/>
                <w:color w:val="000000"/>
                <w:szCs w:val="18"/>
              </w:rPr>
            </w:pPr>
            <w:r w:rsidRPr="007D6B20">
              <w:t>0.01</w:t>
            </w:r>
            <w:r w:rsidR="0057048B" w:rsidRPr="007D6B20">
              <w:t>6</w:t>
            </w:r>
          </w:p>
        </w:tc>
      </w:tr>
      <w:tr w:rsidR="00CD1968" w:rsidRPr="007D6B20" w14:paraId="1DA546F9" w14:textId="69D8A1DB" w:rsidTr="00DF0BB9">
        <w:tc>
          <w:tcPr>
            <w:tcW w:w="8787" w:type="dxa"/>
            <w:gridSpan w:val="9"/>
            <w:tcBorders>
              <w:top w:val="single" w:sz="12" w:space="0" w:color="008001"/>
              <w:bottom w:val="single" w:sz="12" w:space="0" w:color="008001"/>
            </w:tcBorders>
            <w:shd w:val="clear" w:color="auto" w:fill="FFFFFF"/>
            <w:vAlign w:val="center"/>
          </w:tcPr>
          <w:p w14:paraId="36C648B1" w14:textId="40333D52" w:rsidR="00CD1968" w:rsidRPr="00F555AF" w:rsidRDefault="00CD1968" w:rsidP="00D435B7">
            <w:pPr>
              <w:pStyle w:val="CETBodytext"/>
              <w:numPr>
                <w:ilvl w:val="0"/>
                <w:numId w:val="23"/>
              </w:numPr>
              <w:ind w:right="-1"/>
              <w:jc w:val="left"/>
              <w:rPr>
                <w:rFonts w:cs="Arial"/>
                <w:szCs w:val="18"/>
                <w:lang w:val="en-GB"/>
              </w:rPr>
            </w:pPr>
            <w:r w:rsidRPr="00F555AF">
              <w:rPr>
                <w:rFonts w:cs="Arial"/>
                <w:szCs w:val="18"/>
                <w:lang w:val="en-GB"/>
              </w:rPr>
              <w:t>SR</w:t>
            </w:r>
          </w:p>
        </w:tc>
      </w:tr>
      <w:tr w:rsidR="00CD1968" w:rsidRPr="007D6B20" w14:paraId="20306F14" w14:textId="6FDF8AFC" w:rsidTr="00DF0BB9">
        <w:tc>
          <w:tcPr>
            <w:tcW w:w="1205" w:type="dxa"/>
            <w:tcBorders>
              <w:top w:val="single" w:sz="12" w:space="0" w:color="008001"/>
              <w:bottom w:val="single" w:sz="2" w:space="0" w:color="008001"/>
            </w:tcBorders>
            <w:shd w:val="clear" w:color="auto" w:fill="FFFFFF"/>
          </w:tcPr>
          <w:p w14:paraId="68A07E25" w14:textId="77777777" w:rsidR="00CD1968" w:rsidRPr="00F555AF" w:rsidRDefault="00CD1968" w:rsidP="00CD1968">
            <w:pPr>
              <w:pStyle w:val="CETBodytext"/>
              <w:ind w:right="-1"/>
              <w:rPr>
                <w:rFonts w:cs="Arial"/>
                <w:color w:val="000000"/>
                <w:szCs w:val="18"/>
              </w:rPr>
            </w:pPr>
            <w:r w:rsidRPr="00F555AF">
              <w:rPr>
                <w:rFonts w:cs="Arial"/>
                <w:szCs w:val="18"/>
                <w:lang w:val="en-GB"/>
              </w:rPr>
              <w:t>Catalyst</w:t>
            </w:r>
          </w:p>
        </w:tc>
        <w:tc>
          <w:tcPr>
            <w:tcW w:w="1034" w:type="dxa"/>
            <w:tcBorders>
              <w:top w:val="single" w:sz="12" w:space="0" w:color="008001"/>
              <w:bottom w:val="single" w:sz="2" w:space="0" w:color="008001"/>
            </w:tcBorders>
            <w:shd w:val="clear" w:color="auto" w:fill="FFFFFF"/>
            <w:vAlign w:val="center"/>
          </w:tcPr>
          <w:p w14:paraId="70143A6A" w14:textId="77777777" w:rsidR="00CD1968" w:rsidRPr="007D6B20" w:rsidRDefault="00CD1968" w:rsidP="00CD1968">
            <w:pPr>
              <w:pStyle w:val="CETBodytext"/>
              <w:ind w:right="-1"/>
              <w:rPr>
                <w:rFonts w:cs="Arial"/>
                <w:color w:val="000000"/>
                <w:szCs w:val="18"/>
              </w:rPr>
            </w:pPr>
            <w:r w:rsidRPr="007D6B20">
              <w:rPr>
                <w:rFonts w:cs="Arial"/>
                <w:color w:val="000000"/>
                <w:szCs w:val="18"/>
              </w:rPr>
              <w:t>C</w:t>
            </w:r>
          </w:p>
        </w:tc>
        <w:tc>
          <w:tcPr>
            <w:tcW w:w="919" w:type="dxa"/>
            <w:tcBorders>
              <w:top w:val="single" w:sz="12" w:space="0" w:color="008001"/>
              <w:bottom w:val="single" w:sz="2" w:space="0" w:color="008001"/>
            </w:tcBorders>
            <w:shd w:val="clear" w:color="auto" w:fill="FFFFFF"/>
            <w:vAlign w:val="center"/>
          </w:tcPr>
          <w:p w14:paraId="5311E0B4" w14:textId="77777777" w:rsidR="00CD1968" w:rsidRPr="007D6B20" w:rsidRDefault="00CD1968" w:rsidP="00CD1968">
            <w:pPr>
              <w:pStyle w:val="CETBodytext"/>
              <w:ind w:right="-1"/>
              <w:rPr>
                <w:rFonts w:cs="Arial"/>
                <w:color w:val="000000"/>
                <w:szCs w:val="18"/>
              </w:rPr>
            </w:pPr>
            <w:r w:rsidRPr="007D6B20">
              <w:rPr>
                <w:rFonts w:cs="Arial"/>
                <w:color w:val="000000"/>
                <w:szCs w:val="18"/>
              </w:rPr>
              <w:t>H</w:t>
            </w:r>
          </w:p>
        </w:tc>
        <w:tc>
          <w:tcPr>
            <w:tcW w:w="916" w:type="dxa"/>
            <w:tcBorders>
              <w:top w:val="single" w:sz="12" w:space="0" w:color="008001"/>
              <w:bottom w:val="single" w:sz="2" w:space="0" w:color="008001"/>
            </w:tcBorders>
            <w:shd w:val="clear" w:color="auto" w:fill="FFFFFF"/>
            <w:vAlign w:val="center"/>
          </w:tcPr>
          <w:p w14:paraId="6FE63E51" w14:textId="77777777" w:rsidR="00CD1968" w:rsidRPr="007D6B20" w:rsidRDefault="00CD1968" w:rsidP="00CD1968">
            <w:pPr>
              <w:pStyle w:val="CETBodytext"/>
              <w:ind w:right="-1"/>
              <w:rPr>
                <w:rFonts w:cs="Arial"/>
                <w:color w:val="000000"/>
                <w:szCs w:val="18"/>
              </w:rPr>
            </w:pPr>
            <w:r w:rsidRPr="007D6B20">
              <w:rPr>
                <w:rFonts w:cs="Arial"/>
                <w:color w:val="000000"/>
                <w:szCs w:val="18"/>
              </w:rPr>
              <w:t>N</w:t>
            </w:r>
          </w:p>
        </w:tc>
        <w:tc>
          <w:tcPr>
            <w:tcW w:w="916" w:type="dxa"/>
            <w:tcBorders>
              <w:top w:val="single" w:sz="12" w:space="0" w:color="008001"/>
              <w:bottom w:val="single" w:sz="2" w:space="0" w:color="008001"/>
            </w:tcBorders>
            <w:shd w:val="clear" w:color="auto" w:fill="FFFFFF"/>
            <w:vAlign w:val="center"/>
          </w:tcPr>
          <w:p w14:paraId="6EF19CF6" w14:textId="77777777" w:rsidR="00CD1968" w:rsidRPr="007D6B20" w:rsidRDefault="00CD1968" w:rsidP="00CD1968">
            <w:pPr>
              <w:pStyle w:val="CETBodytext"/>
              <w:ind w:right="-1"/>
              <w:rPr>
                <w:rFonts w:cs="Arial"/>
                <w:color w:val="000000"/>
                <w:szCs w:val="18"/>
              </w:rPr>
            </w:pPr>
            <w:r w:rsidRPr="007D6B20">
              <w:rPr>
                <w:rFonts w:cs="Arial"/>
                <w:color w:val="000000"/>
                <w:szCs w:val="18"/>
              </w:rPr>
              <w:t>S</w:t>
            </w:r>
          </w:p>
        </w:tc>
        <w:tc>
          <w:tcPr>
            <w:tcW w:w="943" w:type="dxa"/>
            <w:tcBorders>
              <w:top w:val="single" w:sz="12" w:space="0" w:color="008001"/>
              <w:bottom w:val="single" w:sz="2" w:space="0" w:color="008001"/>
            </w:tcBorders>
            <w:shd w:val="clear" w:color="auto" w:fill="FFFFFF"/>
            <w:vAlign w:val="center"/>
          </w:tcPr>
          <w:p w14:paraId="461F8D2A" w14:textId="77777777" w:rsidR="00CD1968" w:rsidRPr="007D6B20" w:rsidRDefault="00CD1968" w:rsidP="00CD1968">
            <w:pPr>
              <w:pStyle w:val="CETBodytext"/>
              <w:ind w:right="-1"/>
              <w:rPr>
                <w:rFonts w:cs="Arial"/>
                <w:color w:val="000000"/>
                <w:szCs w:val="18"/>
              </w:rPr>
            </w:pPr>
            <w:r w:rsidRPr="007D6B20">
              <w:rPr>
                <w:rFonts w:cs="Arial"/>
                <w:szCs w:val="18"/>
              </w:rPr>
              <w:t>others</w:t>
            </w:r>
          </w:p>
        </w:tc>
        <w:tc>
          <w:tcPr>
            <w:tcW w:w="1032" w:type="dxa"/>
            <w:tcBorders>
              <w:top w:val="single" w:sz="12" w:space="0" w:color="008001"/>
              <w:bottom w:val="single" w:sz="2" w:space="0" w:color="008001"/>
            </w:tcBorders>
            <w:shd w:val="clear" w:color="auto" w:fill="FFFFFF"/>
            <w:vAlign w:val="center"/>
          </w:tcPr>
          <w:p w14:paraId="43777194" w14:textId="77777777" w:rsidR="00CD1968" w:rsidRPr="007D6B20" w:rsidRDefault="00CD1968" w:rsidP="00CD1968">
            <w:pPr>
              <w:pStyle w:val="CETBodytext"/>
              <w:ind w:right="-1"/>
              <w:rPr>
                <w:rFonts w:cs="Arial"/>
                <w:color w:val="000000"/>
                <w:szCs w:val="18"/>
              </w:rPr>
            </w:pPr>
            <w:r w:rsidRPr="007D6B20">
              <w:rPr>
                <w:rFonts w:cs="Arial"/>
                <w:color w:val="000000"/>
                <w:szCs w:val="18"/>
              </w:rPr>
              <w:t>H/C</w:t>
            </w:r>
          </w:p>
        </w:tc>
        <w:tc>
          <w:tcPr>
            <w:tcW w:w="916" w:type="dxa"/>
            <w:tcBorders>
              <w:top w:val="single" w:sz="12" w:space="0" w:color="008001"/>
              <w:bottom w:val="single" w:sz="2" w:space="0" w:color="008001"/>
            </w:tcBorders>
            <w:shd w:val="clear" w:color="auto" w:fill="FFFFFF"/>
            <w:vAlign w:val="center"/>
          </w:tcPr>
          <w:p w14:paraId="584D1521" w14:textId="77777777" w:rsidR="00CD1968" w:rsidRPr="007D6B20" w:rsidRDefault="00CD1968" w:rsidP="00CD1968">
            <w:pPr>
              <w:pStyle w:val="CETBodytext"/>
              <w:ind w:right="-1"/>
              <w:rPr>
                <w:rFonts w:cs="Arial"/>
                <w:color w:val="000000"/>
                <w:szCs w:val="18"/>
              </w:rPr>
            </w:pPr>
            <w:r w:rsidRPr="007D6B20">
              <w:rPr>
                <w:rFonts w:cs="Arial"/>
                <w:color w:val="000000"/>
                <w:szCs w:val="18"/>
              </w:rPr>
              <w:t>N/C</w:t>
            </w:r>
          </w:p>
        </w:tc>
        <w:tc>
          <w:tcPr>
            <w:tcW w:w="906" w:type="dxa"/>
            <w:tcBorders>
              <w:top w:val="single" w:sz="12" w:space="0" w:color="008001"/>
              <w:bottom w:val="single" w:sz="2" w:space="0" w:color="008001"/>
            </w:tcBorders>
            <w:shd w:val="clear" w:color="auto" w:fill="FFFFFF"/>
          </w:tcPr>
          <w:p w14:paraId="6DE3D9D5" w14:textId="60D96188" w:rsidR="00CD1968" w:rsidRPr="007D6B20" w:rsidRDefault="00CD1968" w:rsidP="00CD1968">
            <w:pPr>
              <w:pStyle w:val="CETBodytext"/>
              <w:ind w:right="-1"/>
              <w:rPr>
                <w:rFonts w:cs="Arial"/>
                <w:color w:val="000000"/>
                <w:szCs w:val="18"/>
              </w:rPr>
            </w:pPr>
            <w:r w:rsidRPr="007D6B20">
              <w:rPr>
                <w:rFonts w:cs="Arial"/>
                <w:color w:val="000000"/>
                <w:szCs w:val="18"/>
              </w:rPr>
              <w:t>S/C</w:t>
            </w:r>
          </w:p>
        </w:tc>
      </w:tr>
      <w:tr w:rsidR="00EA3267" w:rsidRPr="007D6B20" w14:paraId="275BAD65" w14:textId="5928BCFC" w:rsidTr="00DF0BB9">
        <w:tc>
          <w:tcPr>
            <w:tcW w:w="1205" w:type="dxa"/>
            <w:tcBorders>
              <w:top w:val="single" w:sz="2" w:space="0" w:color="008001"/>
            </w:tcBorders>
            <w:shd w:val="clear" w:color="auto" w:fill="FFFFFF"/>
            <w:vAlign w:val="center"/>
          </w:tcPr>
          <w:p w14:paraId="78C5CEFD" w14:textId="7FA961F0" w:rsidR="00EA3267" w:rsidRPr="007D6B20" w:rsidRDefault="00EA3267" w:rsidP="00EA3267">
            <w:pPr>
              <w:pStyle w:val="CETBodytext"/>
              <w:ind w:right="-1"/>
              <w:rPr>
                <w:rFonts w:cs="Arial"/>
                <w:color w:val="000000"/>
                <w:szCs w:val="18"/>
              </w:rPr>
            </w:pPr>
            <w:r w:rsidRPr="007D6B20">
              <w:rPr>
                <w:rFonts w:cs="Arial"/>
                <w:color w:val="000000"/>
                <w:szCs w:val="18"/>
              </w:rPr>
              <w:t>_</w:t>
            </w:r>
          </w:p>
        </w:tc>
        <w:tc>
          <w:tcPr>
            <w:tcW w:w="1034" w:type="dxa"/>
            <w:tcBorders>
              <w:top w:val="single" w:sz="2" w:space="0" w:color="008001"/>
            </w:tcBorders>
            <w:shd w:val="clear" w:color="auto" w:fill="FFFFFF"/>
            <w:vAlign w:val="center"/>
          </w:tcPr>
          <w:p w14:paraId="57A2B300" w14:textId="4BA50825" w:rsidR="00EA3267" w:rsidRPr="007D6B20" w:rsidRDefault="00EA3267" w:rsidP="00EA3267">
            <w:pPr>
              <w:pStyle w:val="CETBodytext"/>
              <w:ind w:right="-1"/>
              <w:rPr>
                <w:rFonts w:cs="Arial"/>
                <w:color w:val="000000"/>
                <w:szCs w:val="18"/>
              </w:rPr>
            </w:pPr>
            <w:r w:rsidRPr="007D6B20">
              <w:rPr>
                <w:rFonts w:cs="Arial"/>
                <w:color w:val="000000"/>
                <w:szCs w:val="18"/>
              </w:rPr>
              <w:t>24.85</w:t>
            </w:r>
          </w:p>
        </w:tc>
        <w:tc>
          <w:tcPr>
            <w:tcW w:w="919" w:type="dxa"/>
            <w:tcBorders>
              <w:top w:val="single" w:sz="2" w:space="0" w:color="008001"/>
            </w:tcBorders>
            <w:shd w:val="clear" w:color="auto" w:fill="FFFFFF"/>
            <w:vAlign w:val="center"/>
          </w:tcPr>
          <w:p w14:paraId="17B9E0D8" w14:textId="153644E4" w:rsidR="00EA3267" w:rsidRPr="007D6B20" w:rsidRDefault="00EA3267" w:rsidP="00EA3267">
            <w:pPr>
              <w:pStyle w:val="CETBodytext"/>
              <w:ind w:right="-1"/>
              <w:rPr>
                <w:rFonts w:cs="Arial"/>
                <w:color w:val="000000"/>
                <w:szCs w:val="18"/>
              </w:rPr>
            </w:pPr>
            <w:r w:rsidRPr="007D6B20">
              <w:rPr>
                <w:rFonts w:cs="Arial"/>
                <w:color w:val="000000"/>
                <w:szCs w:val="18"/>
              </w:rPr>
              <w:t>3.55</w:t>
            </w:r>
          </w:p>
        </w:tc>
        <w:tc>
          <w:tcPr>
            <w:tcW w:w="916" w:type="dxa"/>
            <w:tcBorders>
              <w:top w:val="single" w:sz="2" w:space="0" w:color="008001"/>
            </w:tcBorders>
            <w:shd w:val="clear" w:color="auto" w:fill="FFFFFF"/>
            <w:vAlign w:val="center"/>
          </w:tcPr>
          <w:p w14:paraId="50F369C7" w14:textId="5DFDA350" w:rsidR="00EA3267" w:rsidRPr="007D6B20" w:rsidRDefault="00EA3267" w:rsidP="00EA3267">
            <w:pPr>
              <w:pStyle w:val="CETBodytext"/>
              <w:ind w:right="-1"/>
              <w:rPr>
                <w:rFonts w:cs="Arial"/>
                <w:color w:val="000000"/>
                <w:szCs w:val="18"/>
              </w:rPr>
            </w:pPr>
            <w:r w:rsidRPr="007D6B20">
              <w:rPr>
                <w:rFonts w:cs="Arial"/>
                <w:color w:val="000000"/>
                <w:szCs w:val="18"/>
              </w:rPr>
              <w:t>1.45</w:t>
            </w:r>
          </w:p>
        </w:tc>
        <w:tc>
          <w:tcPr>
            <w:tcW w:w="916" w:type="dxa"/>
            <w:tcBorders>
              <w:top w:val="single" w:sz="2" w:space="0" w:color="008001"/>
            </w:tcBorders>
            <w:shd w:val="clear" w:color="auto" w:fill="FFFFFF"/>
            <w:vAlign w:val="center"/>
          </w:tcPr>
          <w:p w14:paraId="252DD0AF" w14:textId="666F0EA6" w:rsidR="00EA3267" w:rsidRPr="007D6B20" w:rsidRDefault="00EA3267" w:rsidP="00EA3267">
            <w:pPr>
              <w:pStyle w:val="CETBodytext"/>
              <w:ind w:right="-1"/>
              <w:rPr>
                <w:rFonts w:cs="Arial"/>
                <w:color w:val="000000"/>
                <w:szCs w:val="18"/>
              </w:rPr>
            </w:pPr>
            <w:r w:rsidRPr="007D6B20">
              <w:rPr>
                <w:rFonts w:cs="Arial"/>
                <w:color w:val="000000"/>
                <w:szCs w:val="18"/>
              </w:rPr>
              <w:t>1.08</w:t>
            </w:r>
          </w:p>
        </w:tc>
        <w:tc>
          <w:tcPr>
            <w:tcW w:w="943" w:type="dxa"/>
            <w:tcBorders>
              <w:top w:val="single" w:sz="2" w:space="0" w:color="008001"/>
            </w:tcBorders>
            <w:shd w:val="clear" w:color="auto" w:fill="FFFFFF"/>
            <w:vAlign w:val="center"/>
          </w:tcPr>
          <w:p w14:paraId="69AB97CC" w14:textId="4D91E74C" w:rsidR="00EA3267" w:rsidRPr="007D6B20" w:rsidRDefault="00EA3267" w:rsidP="00EA3267">
            <w:pPr>
              <w:pStyle w:val="CETBodytext"/>
              <w:ind w:right="-1"/>
              <w:rPr>
                <w:rFonts w:cs="Arial"/>
                <w:color w:val="000000"/>
                <w:szCs w:val="18"/>
              </w:rPr>
            </w:pPr>
            <w:r w:rsidRPr="007D6B20">
              <w:rPr>
                <w:rFonts w:cs="Arial"/>
                <w:color w:val="000000"/>
                <w:szCs w:val="18"/>
              </w:rPr>
              <w:t>11.07</w:t>
            </w:r>
          </w:p>
        </w:tc>
        <w:tc>
          <w:tcPr>
            <w:tcW w:w="1032" w:type="dxa"/>
            <w:tcBorders>
              <w:top w:val="single" w:sz="2" w:space="0" w:color="008001"/>
            </w:tcBorders>
            <w:shd w:val="clear" w:color="auto" w:fill="FFFFFF"/>
            <w:vAlign w:val="center"/>
          </w:tcPr>
          <w:p w14:paraId="76EB5F39" w14:textId="71632526" w:rsidR="00EA3267" w:rsidRPr="007D6B20" w:rsidRDefault="00EA3267" w:rsidP="00EA3267">
            <w:pPr>
              <w:pStyle w:val="CETBodytext"/>
              <w:ind w:right="-1"/>
              <w:rPr>
                <w:rFonts w:cs="Arial"/>
                <w:color w:val="000000"/>
                <w:szCs w:val="18"/>
              </w:rPr>
            </w:pPr>
            <w:r w:rsidRPr="007D6B20">
              <w:rPr>
                <w:rFonts w:cs="Arial"/>
                <w:color w:val="000000"/>
                <w:szCs w:val="18"/>
              </w:rPr>
              <w:t>1.70</w:t>
            </w:r>
          </w:p>
        </w:tc>
        <w:tc>
          <w:tcPr>
            <w:tcW w:w="916" w:type="dxa"/>
            <w:tcBorders>
              <w:top w:val="single" w:sz="2" w:space="0" w:color="008001"/>
            </w:tcBorders>
            <w:shd w:val="clear" w:color="auto" w:fill="FFFFFF"/>
            <w:vAlign w:val="center"/>
          </w:tcPr>
          <w:p w14:paraId="3EB1000C" w14:textId="03951B25" w:rsidR="00EA3267" w:rsidRPr="007D6B20" w:rsidRDefault="00EA3267" w:rsidP="00EA3267">
            <w:pPr>
              <w:pStyle w:val="CETBodytext"/>
              <w:ind w:right="-1"/>
              <w:rPr>
                <w:rFonts w:cs="Arial"/>
                <w:color w:val="000000"/>
                <w:szCs w:val="18"/>
              </w:rPr>
            </w:pPr>
            <w:r w:rsidRPr="007D6B20">
              <w:rPr>
                <w:rFonts w:cs="Arial"/>
                <w:color w:val="000000"/>
                <w:szCs w:val="18"/>
              </w:rPr>
              <w:t>0.05</w:t>
            </w:r>
          </w:p>
        </w:tc>
        <w:tc>
          <w:tcPr>
            <w:tcW w:w="906" w:type="dxa"/>
            <w:tcBorders>
              <w:top w:val="single" w:sz="2" w:space="0" w:color="008001"/>
            </w:tcBorders>
            <w:shd w:val="clear" w:color="auto" w:fill="FFFFFF"/>
          </w:tcPr>
          <w:p w14:paraId="0AE6EC16" w14:textId="79FC80C1" w:rsidR="00EA3267" w:rsidRPr="007D6B20" w:rsidRDefault="00EA3267" w:rsidP="00EA3267">
            <w:pPr>
              <w:pStyle w:val="CETBodytext"/>
              <w:ind w:right="-1"/>
              <w:rPr>
                <w:rFonts w:cs="Arial"/>
                <w:color w:val="000000"/>
                <w:szCs w:val="18"/>
              </w:rPr>
            </w:pPr>
            <w:r w:rsidRPr="007D6B20">
              <w:t>0.016</w:t>
            </w:r>
          </w:p>
        </w:tc>
      </w:tr>
      <w:tr w:rsidR="00EA3267" w:rsidRPr="007D6B20" w14:paraId="6F46A9B8" w14:textId="57FBC7FB" w:rsidTr="000E20AB">
        <w:tc>
          <w:tcPr>
            <w:tcW w:w="1205" w:type="dxa"/>
            <w:shd w:val="clear" w:color="auto" w:fill="FFFFFF"/>
            <w:vAlign w:val="center"/>
          </w:tcPr>
          <w:p w14:paraId="3B0CAD7F" w14:textId="201F3631" w:rsidR="00EA3267" w:rsidRPr="007D6B20" w:rsidRDefault="00EA3267" w:rsidP="00EA3267">
            <w:pPr>
              <w:pStyle w:val="CETBodytext"/>
              <w:ind w:right="-1"/>
              <w:rPr>
                <w:rFonts w:cs="Arial"/>
                <w:color w:val="000000"/>
                <w:szCs w:val="18"/>
              </w:rPr>
            </w:pPr>
            <w:r w:rsidRPr="007D6B20">
              <w:rPr>
                <w:rFonts w:cs="Arial"/>
                <w:color w:val="000000"/>
                <w:szCs w:val="18"/>
              </w:rPr>
              <w:t>CoMo/Al</w:t>
            </w:r>
            <w:r w:rsidRPr="007D6B20">
              <w:rPr>
                <w:rFonts w:cs="Arial"/>
                <w:color w:val="000000"/>
                <w:szCs w:val="18"/>
                <w:vertAlign w:val="subscript"/>
              </w:rPr>
              <w:t>2</w:t>
            </w:r>
            <w:r w:rsidRPr="007D6B20">
              <w:rPr>
                <w:rFonts w:cs="Arial"/>
                <w:color w:val="000000"/>
                <w:szCs w:val="18"/>
              </w:rPr>
              <w:t>O</w:t>
            </w:r>
            <w:r w:rsidRPr="007D6B20">
              <w:rPr>
                <w:rFonts w:cs="Arial"/>
                <w:color w:val="000000"/>
                <w:szCs w:val="18"/>
                <w:vertAlign w:val="subscript"/>
              </w:rPr>
              <w:t>3</w:t>
            </w:r>
          </w:p>
        </w:tc>
        <w:tc>
          <w:tcPr>
            <w:tcW w:w="1034" w:type="dxa"/>
            <w:shd w:val="clear" w:color="auto" w:fill="FFFFFF"/>
            <w:vAlign w:val="center"/>
          </w:tcPr>
          <w:p w14:paraId="7068AEC3" w14:textId="0A3F0322" w:rsidR="00EA3267" w:rsidRPr="007D6B20" w:rsidRDefault="00EA3267" w:rsidP="00EA3267">
            <w:pPr>
              <w:pStyle w:val="CETBodytext"/>
              <w:ind w:right="-1"/>
              <w:rPr>
                <w:rFonts w:cs="Arial"/>
                <w:color w:val="000000"/>
                <w:szCs w:val="18"/>
              </w:rPr>
            </w:pPr>
            <w:r w:rsidRPr="007D6B20">
              <w:rPr>
                <w:rFonts w:cs="Arial"/>
                <w:color w:val="000000"/>
                <w:szCs w:val="18"/>
              </w:rPr>
              <w:t>28.43</w:t>
            </w:r>
          </w:p>
        </w:tc>
        <w:tc>
          <w:tcPr>
            <w:tcW w:w="919" w:type="dxa"/>
            <w:shd w:val="clear" w:color="auto" w:fill="FFFFFF"/>
            <w:vAlign w:val="center"/>
          </w:tcPr>
          <w:p w14:paraId="7B054F92" w14:textId="2E67D4AB" w:rsidR="00EA3267" w:rsidRPr="007D6B20" w:rsidRDefault="00EA3267" w:rsidP="00EA3267">
            <w:pPr>
              <w:pStyle w:val="CETBodytext"/>
              <w:ind w:right="-1"/>
              <w:rPr>
                <w:rFonts w:cs="Arial"/>
                <w:color w:val="000000"/>
                <w:szCs w:val="18"/>
              </w:rPr>
            </w:pPr>
            <w:r w:rsidRPr="007D6B20">
              <w:rPr>
                <w:rFonts w:cs="Arial"/>
                <w:color w:val="000000"/>
                <w:szCs w:val="18"/>
              </w:rPr>
              <w:t>3.80</w:t>
            </w:r>
          </w:p>
        </w:tc>
        <w:tc>
          <w:tcPr>
            <w:tcW w:w="916" w:type="dxa"/>
            <w:shd w:val="clear" w:color="auto" w:fill="FFFFFF"/>
            <w:vAlign w:val="center"/>
          </w:tcPr>
          <w:p w14:paraId="15CA8110" w14:textId="60566921" w:rsidR="00EA3267" w:rsidRPr="007D6B20" w:rsidRDefault="00EA3267" w:rsidP="00EA3267">
            <w:pPr>
              <w:pStyle w:val="CETBodytext"/>
              <w:ind w:right="-1"/>
              <w:rPr>
                <w:rFonts w:cs="Arial"/>
                <w:color w:val="000000"/>
                <w:szCs w:val="18"/>
              </w:rPr>
            </w:pPr>
            <w:r w:rsidRPr="007D6B20">
              <w:rPr>
                <w:rFonts w:cs="Arial"/>
                <w:color w:val="000000"/>
                <w:szCs w:val="18"/>
              </w:rPr>
              <w:t>1.37</w:t>
            </w:r>
          </w:p>
        </w:tc>
        <w:tc>
          <w:tcPr>
            <w:tcW w:w="916" w:type="dxa"/>
            <w:shd w:val="clear" w:color="auto" w:fill="FFFFFF"/>
            <w:vAlign w:val="center"/>
          </w:tcPr>
          <w:p w14:paraId="14C60161" w14:textId="6E0BFBFD" w:rsidR="00EA3267" w:rsidRPr="007D6B20" w:rsidRDefault="00EA3267" w:rsidP="00EA3267">
            <w:pPr>
              <w:pStyle w:val="CETBodytext"/>
              <w:ind w:right="-1"/>
              <w:rPr>
                <w:rFonts w:cs="Arial"/>
                <w:color w:val="000000"/>
                <w:szCs w:val="18"/>
              </w:rPr>
            </w:pPr>
            <w:r w:rsidRPr="007D6B20">
              <w:rPr>
                <w:rFonts w:cs="Arial"/>
                <w:color w:val="000000"/>
                <w:szCs w:val="18"/>
              </w:rPr>
              <w:t>1.14</w:t>
            </w:r>
          </w:p>
        </w:tc>
        <w:tc>
          <w:tcPr>
            <w:tcW w:w="943" w:type="dxa"/>
            <w:shd w:val="clear" w:color="auto" w:fill="FFFFFF"/>
            <w:vAlign w:val="center"/>
          </w:tcPr>
          <w:p w14:paraId="0B2FB36B" w14:textId="5CCF136B" w:rsidR="00EA3267" w:rsidRPr="007D6B20" w:rsidRDefault="00EA3267" w:rsidP="00EA3267">
            <w:pPr>
              <w:pStyle w:val="CETBodytext"/>
              <w:ind w:right="-1"/>
              <w:rPr>
                <w:rFonts w:cs="Arial"/>
                <w:color w:val="000000"/>
                <w:szCs w:val="18"/>
              </w:rPr>
            </w:pPr>
            <w:r w:rsidRPr="007D6B20">
              <w:rPr>
                <w:rFonts w:cs="Arial"/>
                <w:color w:val="000000"/>
                <w:szCs w:val="18"/>
              </w:rPr>
              <w:t>11.27</w:t>
            </w:r>
          </w:p>
        </w:tc>
        <w:tc>
          <w:tcPr>
            <w:tcW w:w="1032" w:type="dxa"/>
            <w:shd w:val="clear" w:color="auto" w:fill="FFFFFF"/>
            <w:vAlign w:val="center"/>
          </w:tcPr>
          <w:p w14:paraId="4002C6CB" w14:textId="0F28C91D" w:rsidR="00EA3267" w:rsidRPr="007D6B20" w:rsidRDefault="00EA3267" w:rsidP="00EA3267">
            <w:pPr>
              <w:pStyle w:val="CETBodytext"/>
              <w:ind w:right="-1"/>
              <w:rPr>
                <w:rFonts w:cs="Arial"/>
                <w:color w:val="000000"/>
                <w:szCs w:val="18"/>
              </w:rPr>
            </w:pPr>
            <w:r w:rsidRPr="007D6B20">
              <w:rPr>
                <w:rFonts w:cs="Arial"/>
                <w:color w:val="000000"/>
                <w:szCs w:val="18"/>
              </w:rPr>
              <w:t>1.59</w:t>
            </w:r>
          </w:p>
        </w:tc>
        <w:tc>
          <w:tcPr>
            <w:tcW w:w="916" w:type="dxa"/>
            <w:shd w:val="clear" w:color="auto" w:fill="FFFFFF"/>
            <w:vAlign w:val="center"/>
          </w:tcPr>
          <w:p w14:paraId="4591390E" w14:textId="2AB81DD3" w:rsidR="00EA3267" w:rsidRPr="007D6B20" w:rsidRDefault="00EA3267" w:rsidP="00EA3267">
            <w:pPr>
              <w:pStyle w:val="CETBodytext"/>
              <w:ind w:right="-1"/>
              <w:rPr>
                <w:rFonts w:cs="Arial"/>
                <w:color w:val="000000"/>
                <w:szCs w:val="18"/>
              </w:rPr>
            </w:pPr>
            <w:r w:rsidRPr="007D6B20">
              <w:rPr>
                <w:rFonts w:cs="Arial"/>
                <w:color w:val="000000"/>
                <w:szCs w:val="18"/>
              </w:rPr>
              <w:t>0.04</w:t>
            </w:r>
          </w:p>
        </w:tc>
        <w:tc>
          <w:tcPr>
            <w:tcW w:w="906" w:type="dxa"/>
            <w:shd w:val="clear" w:color="auto" w:fill="FFFFFF"/>
          </w:tcPr>
          <w:p w14:paraId="7133C6AA" w14:textId="66E47501" w:rsidR="00EA3267" w:rsidRPr="007D6B20" w:rsidRDefault="00EA3267" w:rsidP="00EA3267">
            <w:pPr>
              <w:pStyle w:val="CETBodytext"/>
              <w:ind w:right="-1"/>
              <w:rPr>
                <w:rFonts w:cs="Arial"/>
                <w:color w:val="000000"/>
                <w:szCs w:val="18"/>
              </w:rPr>
            </w:pPr>
            <w:r w:rsidRPr="007D6B20">
              <w:t>0.015</w:t>
            </w:r>
          </w:p>
        </w:tc>
      </w:tr>
      <w:tr w:rsidR="00EA3267" w:rsidRPr="007D6B20" w14:paraId="1C0E1C3C" w14:textId="6A5969D5" w:rsidTr="000E20AB">
        <w:tc>
          <w:tcPr>
            <w:tcW w:w="1205" w:type="dxa"/>
            <w:shd w:val="clear" w:color="auto" w:fill="FFFFFF"/>
            <w:vAlign w:val="center"/>
          </w:tcPr>
          <w:p w14:paraId="57FC90A7" w14:textId="686EAEF8" w:rsidR="00EA3267" w:rsidRPr="007D6B20" w:rsidRDefault="00EA3267" w:rsidP="00EA3267">
            <w:pPr>
              <w:pStyle w:val="CETBodytext"/>
              <w:ind w:right="-1"/>
              <w:rPr>
                <w:rFonts w:cs="Arial"/>
                <w:color w:val="000000"/>
                <w:szCs w:val="18"/>
              </w:rPr>
            </w:pPr>
            <w:r w:rsidRPr="007D6B20">
              <w:rPr>
                <w:rFonts w:cs="Arial"/>
                <w:color w:val="000000"/>
                <w:szCs w:val="18"/>
              </w:rPr>
              <w:t>NiMo/Al</w:t>
            </w:r>
            <w:r w:rsidRPr="007D6B20">
              <w:rPr>
                <w:rFonts w:cs="Arial"/>
                <w:color w:val="000000"/>
                <w:szCs w:val="18"/>
                <w:vertAlign w:val="subscript"/>
              </w:rPr>
              <w:t>2</w:t>
            </w:r>
            <w:r w:rsidRPr="007D6B20">
              <w:rPr>
                <w:rFonts w:cs="Arial"/>
                <w:color w:val="000000"/>
                <w:szCs w:val="18"/>
              </w:rPr>
              <w:t>O</w:t>
            </w:r>
            <w:r w:rsidRPr="007D6B20">
              <w:rPr>
                <w:rFonts w:cs="Arial"/>
                <w:color w:val="000000"/>
                <w:szCs w:val="18"/>
                <w:vertAlign w:val="subscript"/>
              </w:rPr>
              <w:t>3</w:t>
            </w:r>
          </w:p>
        </w:tc>
        <w:tc>
          <w:tcPr>
            <w:tcW w:w="1034" w:type="dxa"/>
            <w:shd w:val="clear" w:color="auto" w:fill="FFFFFF"/>
            <w:vAlign w:val="center"/>
          </w:tcPr>
          <w:p w14:paraId="0F4645CA" w14:textId="745CFBA5" w:rsidR="00EA3267" w:rsidRPr="007D6B20" w:rsidRDefault="00EA3267" w:rsidP="00EA3267">
            <w:pPr>
              <w:pStyle w:val="CETBodytext"/>
              <w:ind w:right="-1"/>
              <w:rPr>
                <w:rFonts w:cs="Arial"/>
                <w:color w:val="000000"/>
                <w:szCs w:val="18"/>
              </w:rPr>
            </w:pPr>
            <w:r w:rsidRPr="007D6B20">
              <w:rPr>
                <w:rFonts w:cs="Arial"/>
                <w:color w:val="000000"/>
                <w:szCs w:val="18"/>
              </w:rPr>
              <w:t>26.45</w:t>
            </w:r>
          </w:p>
        </w:tc>
        <w:tc>
          <w:tcPr>
            <w:tcW w:w="919" w:type="dxa"/>
            <w:shd w:val="clear" w:color="auto" w:fill="FFFFFF"/>
            <w:vAlign w:val="center"/>
          </w:tcPr>
          <w:p w14:paraId="15F0182C" w14:textId="2E2EDA89" w:rsidR="00EA3267" w:rsidRPr="007D6B20" w:rsidRDefault="00EA3267" w:rsidP="00EA3267">
            <w:pPr>
              <w:pStyle w:val="CETBodytext"/>
              <w:ind w:right="-1"/>
              <w:rPr>
                <w:rFonts w:cs="Arial"/>
                <w:color w:val="000000"/>
                <w:szCs w:val="18"/>
              </w:rPr>
            </w:pPr>
            <w:r w:rsidRPr="007D6B20">
              <w:rPr>
                <w:rFonts w:cs="Arial"/>
                <w:color w:val="000000"/>
                <w:szCs w:val="18"/>
              </w:rPr>
              <w:t>3.95</w:t>
            </w:r>
          </w:p>
        </w:tc>
        <w:tc>
          <w:tcPr>
            <w:tcW w:w="916" w:type="dxa"/>
            <w:shd w:val="clear" w:color="auto" w:fill="FFFFFF"/>
            <w:vAlign w:val="center"/>
          </w:tcPr>
          <w:p w14:paraId="36DC15E5" w14:textId="56827B55" w:rsidR="00EA3267" w:rsidRPr="007D6B20" w:rsidRDefault="00EA3267" w:rsidP="00EA3267">
            <w:pPr>
              <w:pStyle w:val="CETBodytext"/>
              <w:ind w:right="-1"/>
              <w:rPr>
                <w:rFonts w:cs="Arial"/>
                <w:color w:val="000000"/>
                <w:szCs w:val="18"/>
              </w:rPr>
            </w:pPr>
            <w:r w:rsidRPr="007D6B20">
              <w:rPr>
                <w:rFonts w:cs="Arial"/>
                <w:color w:val="000000"/>
                <w:szCs w:val="18"/>
              </w:rPr>
              <w:t>1.45</w:t>
            </w:r>
          </w:p>
        </w:tc>
        <w:tc>
          <w:tcPr>
            <w:tcW w:w="916" w:type="dxa"/>
            <w:shd w:val="clear" w:color="auto" w:fill="FFFFFF"/>
            <w:vAlign w:val="center"/>
          </w:tcPr>
          <w:p w14:paraId="3440B7BA" w14:textId="66C2433E" w:rsidR="00EA3267" w:rsidRPr="007D6B20" w:rsidRDefault="00EA3267" w:rsidP="00EA3267">
            <w:pPr>
              <w:pStyle w:val="CETBodytext"/>
              <w:ind w:right="-1"/>
              <w:rPr>
                <w:rFonts w:cs="Arial"/>
                <w:color w:val="000000"/>
                <w:szCs w:val="18"/>
              </w:rPr>
            </w:pPr>
            <w:r w:rsidRPr="007D6B20">
              <w:rPr>
                <w:rFonts w:cs="Arial"/>
                <w:color w:val="000000"/>
                <w:szCs w:val="18"/>
              </w:rPr>
              <w:t>1.35</w:t>
            </w:r>
          </w:p>
        </w:tc>
        <w:tc>
          <w:tcPr>
            <w:tcW w:w="943" w:type="dxa"/>
            <w:shd w:val="clear" w:color="auto" w:fill="FFFFFF"/>
            <w:vAlign w:val="center"/>
          </w:tcPr>
          <w:p w14:paraId="31D523A0" w14:textId="459A99C9" w:rsidR="00EA3267" w:rsidRPr="007D6B20" w:rsidRDefault="00EA3267" w:rsidP="00EA3267">
            <w:pPr>
              <w:pStyle w:val="CETBodytext"/>
              <w:ind w:right="-1"/>
              <w:rPr>
                <w:rFonts w:cs="Arial"/>
                <w:color w:val="000000"/>
                <w:szCs w:val="18"/>
              </w:rPr>
            </w:pPr>
            <w:r w:rsidRPr="007D6B20">
              <w:rPr>
                <w:rFonts w:cs="Arial"/>
                <w:color w:val="000000"/>
                <w:szCs w:val="18"/>
              </w:rPr>
              <w:t>10.80</w:t>
            </w:r>
          </w:p>
        </w:tc>
        <w:tc>
          <w:tcPr>
            <w:tcW w:w="1032" w:type="dxa"/>
            <w:shd w:val="clear" w:color="auto" w:fill="FFFFFF"/>
            <w:vAlign w:val="center"/>
          </w:tcPr>
          <w:p w14:paraId="58C48EC9" w14:textId="570A7BF3" w:rsidR="00EA3267" w:rsidRPr="007D6B20" w:rsidRDefault="00EA3267" w:rsidP="00EA3267">
            <w:pPr>
              <w:pStyle w:val="CETBodytext"/>
              <w:ind w:right="-1"/>
              <w:rPr>
                <w:rFonts w:cs="Arial"/>
                <w:color w:val="000000"/>
                <w:szCs w:val="18"/>
              </w:rPr>
            </w:pPr>
            <w:r w:rsidRPr="007D6B20">
              <w:rPr>
                <w:rFonts w:cs="Arial"/>
                <w:color w:val="000000"/>
                <w:szCs w:val="18"/>
              </w:rPr>
              <w:t>1.78</w:t>
            </w:r>
          </w:p>
        </w:tc>
        <w:tc>
          <w:tcPr>
            <w:tcW w:w="916" w:type="dxa"/>
            <w:shd w:val="clear" w:color="auto" w:fill="FFFFFF"/>
            <w:vAlign w:val="center"/>
          </w:tcPr>
          <w:p w14:paraId="07A690CF" w14:textId="48420181" w:rsidR="00EA3267" w:rsidRPr="007D6B20" w:rsidRDefault="00EA3267" w:rsidP="00EA3267">
            <w:pPr>
              <w:pStyle w:val="CETBodytext"/>
              <w:ind w:right="-1"/>
              <w:rPr>
                <w:rFonts w:cs="Arial"/>
                <w:color w:val="000000"/>
                <w:szCs w:val="18"/>
              </w:rPr>
            </w:pPr>
            <w:r w:rsidRPr="007D6B20">
              <w:rPr>
                <w:rFonts w:cs="Arial"/>
                <w:color w:val="000000"/>
                <w:szCs w:val="18"/>
              </w:rPr>
              <w:t>0.05</w:t>
            </w:r>
          </w:p>
        </w:tc>
        <w:tc>
          <w:tcPr>
            <w:tcW w:w="906" w:type="dxa"/>
            <w:shd w:val="clear" w:color="auto" w:fill="FFFFFF"/>
          </w:tcPr>
          <w:p w14:paraId="033DF6CF" w14:textId="6569A22B" w:rsidR="00EA3267" w:rsidRPr="007D6B20" w:rsidRDefault="00EA3267" w:rsidP="00EA3267">
            <w:pPr>
              <w:pStyle w:val="CETBodytext"/>
              <w:ind w:right="-1"/>
              <w:rPr>
                <w:rFonts w:cs="Arial"/>
                <w:color w:val="000000"/>
                <w:szCs w:val="18"/>
              </w:rPr>
            </w:pPr>
            <w:r w:rsidRPr="007D6B20">
              <w:t>0.019</w:t>
            </w:r>
          </w:p>
        </w:tc>
      </w:tr>
      <w:tr w:rsidR="00EA3267" w:rsidRPr="007D6B20" w14:paraId="0BB64E78" w14:textId="7B322249" w:rsidTr="000E20AB">
        <w:tc>
          <w:tcPr>
            <w:tcW w:w="1205" w:type="dxa"/>
            <w:shd w:val="clear" w:color="auto" w:fill="FFFFFF"/>
            <w:vAlign w:val="center"/>
          </w:tcPr>
          <w:p w14:paraId="2827500F" w14:textId="793B50A2" w:rsidR="00EA3267" w:rsidRPr="007D6B20" w:rsidRDefault="00EA3267" w:rsidP="00EA3267">
            <w:pPr>
              <w:pStyle w:val="CETBodytext"/>
              <w:ind w:right="-1"/>
              <w:rPr>
                <w:rFonts w:cs="Arial"/>
                <w:color w:val="000000"/>
                <w:szCs w:val="18"/>
              </w:rPr>
            </w:pPr>
            <w:r w:rsidRPr="007D6B20">
              <w:rPr>
                <w:rFonts w:cs="Arial"/>
                <w:color w:val="000000"/>
                <w:szCs w:val="18"/>
              </w:rPr>
              <w:t>ACF</w:t>
            </w:r>
          </w:p>
        </w:tc>
        <w:tc>
          <w:tcPr>
            <w:tcW w:w="1034" w:type="dxa"/>
            <w:shd w:val="clear" w:color="auto" w:fill="FFFFFF"/>
            <w:vAlign w:val="center"/>
          </w:tcPr>
          <w:p w14:paraId="07370EFE" w14:textId="27407EBE" w:rsidR="00EA3267" w:rsidRPr="007D6B20" w:rsidRDefault="00EA3267" w:rsidP="00EA3267">
            <w:pPr>
              <w:pStyle w:val="CETBodytext"/>
              <w:ind w:right="-1"/>
              <w:rPr>
                <w:rFonts w:cs="Arial"/>
                <w:color w:val="000000"/>
                <w:szCs w:val="18"/>
              </w:rPr>
            </w:pPr>
            <w:r w:rsidRPr="007D6B20">
              <w:rPr>
                <w:rFonts w:cs="Arial"/>
                <w:color w:val="000000"/>
                <w:szCs w:val="18"/>
              </w:rPr>
              <w:t>27.71</w:t>
            </w:r>
          </w:p>
        </w:tc>
        <w:tc>
          <w:tcPr>
            <w:tcW w:w="919" w:type="dxa"/>
            <w:shd w:val="clear" w:color="auto" w:fill="FFFFFF"/>
            <w:vAlign w:val="center"/>
          </w:tcPr>
          <w:p w14:paraId="6646DAF2" w14:textId="704B006F" w:rsidR="00EA3267" w:rsidRPr="007D6B20" w:rsidRDefault="00EA3267" w:rsidP="00EA3267">
            <w:pPr>
              <w:pStyle w:val="CETBodytext"/>
              <w:ind w:right="-1"/>
              <w:rPr>
                <w:rFonts w:cs="Arial"/>
                <w:color w:val="000000"/>
                <w:szCs w:val="18"/>
              </w:rPr>
            </w:pPr>
            <w:r w:rsidRPr="007D6B20">
              <w:rPr>
                <w:rFonts w:cs="Arial"/>
                <w:color w:val="000000"/>
                <w:szCs w:val="18"/>
              </w:rPr>
              <w:t>3.89</w:t>
            </w:r>
          </w:p>
        </w:tc>
        <w:tc>
          <w:tcPr>
            <w:tcW w:w="916" w:type="dxa"/>
            <w:shd w:val="clear" w:color="auto" w:fill="FFFFFF"/>
            <w:vAlign w:val="center"/>
          </w:tcPr>
          <w:p w14:paraId="474A6A5A" w14:textId="085C921F" w:rsidR="00EA3267" w:rsidRPr="007D6B20" w:rsidRDefault="00EA3267" w:rsidP="00EA3267">
            <w:pPr>
              <w:pStyle w:val="CETBodytext"/>
              <w:ind w:right="-1"/>
              <w:rPr>
                <w:rFonts w:cs="Arial"/>
                <w:color w:val="000000"/>
                <w:szCs w:val="18"/>
              </w:rPr>
            </w:pPr>
            <w:r w:rsidRPr="007D6B20">
              <w:rPr>
                <w:rFonts w:cs="Arial"/>
                <w:color w:val="000000"/>
                <w:szCs w:val="18"/>
              </w:rPr>
              <w:t>1.29</w:t>
            </w:r>
          </w:p>
        </w:tc>
        <w:tc>
          <w:tcPr>
            <w:tcW w:w="916" w:type="dxa"/>
            <w:shd w:val="clear" w:color="auto" w:fill="FFFFFF"/>
            <w:vAlign w:val="center"/>
          </w:tcPr>
          <w:p w14:paraId="0CDEE2E1" w14:textId="625E6309" w:rsidR="00EA3267" w:rsidRPr="007D6B20" w:rsidRDefault="00EA3267" w:rsidP="00EA3267">
            <w:pPr>
              <w:pStyle w:val="CETBodytext"/>
              <w:ind w:right="-1"/>
              <w:rPr>
                <w:rFonts w:cs="Arial"/>
                <w:color w:val="000000"/>
                <w:szCs w:val="18"/>
              </w:rPr>
            </w:pPr>
            <w:r w:rsidRPr="007D6B20">
              <w:rPr>
                <w:rFonts w:cs="Arial"/>
                <w:color w:val="000000"/>
                <w:szCs w:val="18"/>
              </w:rPr>
              <w:t>1.17</w:t>
            </w:r>
          </w:p>
        </w:tc>
        <w:tc>
          <w:tcPr>
            <w:tcW w:w="943" w:type="dxa"/>
            <w:shd w:val="clear" w:color="auto" w:fill="FFFFFF"/>
            <w:vAlign w:val="center"/>
          </w:tcPr>
          <w:p w14:paraId="5DB27F98" w14:textId="5A0A3DD0" w:rsidR="00EA3267" w:rsidRPr="007D6B20" w:rsidRDefault="00EA3267" w:rsidP="00EA3267">
            <w:pPr>
              <w:pStyle w:val="CETBodytext"/>
              <w:ind w:right="-1"/>
              <w:rPr>
                <w:rFonts w:cs="Arial"/>
                <w:color w:val="000000"/>
                <w:szCs w:val="18"/>
              </w:rPr>
            </w:pPr>
            <w:r w:rsidRPr="007D6B20">
              <w:rPr>
                <w:rFonts w:cs="Arial"/>
                <w:color w:val="000000"/>
                <w:szCs w:val="18"/>
              </w:rPr>
              <w:t>15.94</w:t>
            </w:r>
          </w:p>
        </w:tc>
        <w:tc>
          <w:tcPr>
            <w:tcW w:w="1032" w:type="dxa"/>
            <w:shd w:val="clear" w:color="auto" w:fill="FFFFFF"/>
            <w:vAlign w:val="center"/>
          </w:tcPr>
          <w:p w14:paraId="23D5CA5B" w14:textId="55F243D4" w:rsidR="00EA3267" w:rsidRPr="007D6B20" w:rsidRDefault="00EA3267" w:rsidP="00EA3267">
            <w:pPr>
              <w:pStyle w:val="CETBodytext"/>
              <w:ind w:right="-1"/>
              <w:rPr>
                <w:rFonts w:cs="Arial"/>
                <w:color w:val="000000"/>
                <w:szCs w:val="18"/>
              </w:rPr>
            </w:pPr>
            <w:r w:rsidRPr="007D6B20">
              <w:rPr>
                <w:rFonts w:cs="Arial"/>
                <w:color w:val="000000"/>
                <w:szCs w:val="18"/>
              </w:rPr>
              <w:t>1.67</w:t>
            </w:r>
          </w:p>
        </w:tc>
        <w:tc>
          <w:tcPr>
            <w:tcW w:w="916" w:type="dxa"/>
            <w:shd w:val="clear" w:color="auto" w:fill="FFFFFF"/>
            <w:vAlign w:val="center"/>
          </w:tcPr>
          <w:p w14:paraId="5BC0BA42" w14:textId="4A21121A" w:rsidR="00EA3267" w:rsidRPr="007D6B20" w:rsidRDefault="00EA3267" w:rsidP="00EA3267">
            <w:pPr>
              <w:pStyle w:val="CETBodytext"/>
              <w:ind w:right="-1"/>
              <w:rPr>
                <w:rFonts w:cs="Arial"/>
                <w:color w:val="000000"/>
                <w:szCs w:val="18"/>
              </w:rPr>
            </w:pPr>
            <w:r w:rsidRPr="007D6B20">
              <w:rPr>
                <w:rFonts w:cs="Arial"/>
                <w:color w:val="000000"/>
                <w:szCs w:val="18"/>
              </w:rPr>
              <w:t>0.04</w:t>
            </w:r>
          </w:p>
        </w:tc>
        <w:tc>
          <w:tcPr>
            <w:tcW w:w="906" w:type="dxa"/>
            <w:shd w:val="clear" w:color="auto" w:fill="FFFFFF"/>
          </w:tcPr>
          <w:p w14:paraId="4D5A487A" w14:textId="207F40A9" w:rsidR="00EA3267" w:rsidRPr="007D6B20" w:rsidRDefault="00EA3267" w:rsidP="00EA3267">
            <w:pPr>
              <w:pStyle w:val="CETBodytext"/>
              <w:ind w:right="-1"/>
              <w:rPr>
                <w:rFonts w:cs="Arial"/>
                <w:color w:val="000000"/>
                <w:szCs w:val="18"/>
              </w:rPr>
            </w:pPr>
            <w:r w:rsidRPr="007D6B20">
              <w:t>0.01</w:t>
            </w:r>
            <w:r w:rsidR="0057048B" w:rsidRPr="007D6B20">
              <w:t>6</w:t>
            </w:r>
          </w:p>
        </w:tc>
      </w:tr>
    </w:tbl>
    <w:p w14:paraId="32ECE0CA" w14:textId="13AB7516" w:rsidR="003E4135" w:rsidRPr="007D6B20" w:rsidRDefault="00E92E2C" w:rsidP="00643EDE">
      <w:pPr>
        <w:pStyle w:val="CETBodytext"/>
        <w:jc w:val="left"/>
        <w:rPr>
          <w:b/>
        </w:rPr>
      </w:pPr>
      <w:r w:rsidRPr="007D6B20">
        <w:rPr>
          <w:b/>
          <w:noProof/>
          <w:lang w:val="en-GB"/>
        </w:rPr>
        <w:drawing>
          <wp:inline distT="0" distB="0" distL="0" distR="0" wp14:anchorId="33B77C20" wp14:editId="09E78294">
            <wp:extent cx="5502775" cy="29508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7123" cy="2979989"/>
                    </a:xfrm>
                    <a:prstGeom prst="rect">
                      <a:avLst/>
                    </a:prstGeom>
                  </pic:spPr>
                </pic:pic>
              </a:graphicData>
            </a:graphic>
          </wp:inline>
        </w:drawing>
      </w:r>
    </w:p>
    <w:p w14:paraId="1F96CA21" w14:textId="71A68D7E" w:rsidR="00600535" w:rsidRPr="007D6B20" w:rsidRDefault="00577725" w:rsidP="00643EDE">
      <w:pPr>
        <w:pStyle w:val="CETCaption"/>
        <w:jc w:val="left"/>
        <w:rPr>
          <w:lang w:val="en-US"/>
        </w:rPr>
      </w:pPr>
      <w:r w:rsidRPr="007D6B20">
        <w:rPr>
          <w:bCs/>
          <w:lang w:val="en-US"/>
        </w:rPr>
        <w:t xml:space="preserve">Figure </w:t>
      </w:r>
      <w:r w:rsidR="001F5E3E">
        <w:rPr>
          <w:bCs/>
          <w:lang w:val="en-US"/>
        </w:rPr>
        <w:t>3</w:t>
      </w:r>
      <w:r w:rsidRPr="007D6B20">
        <w:rPr>
          <w:bCs/>
          <w:lang w:val="en-US"/>
        </w:rPr>
        <w:t>:</w:t>
      </w:r>
      <w:r w:rsidRPr="007D6B20">
        <w:rPr>
          <w:b/>
          <w:lang w:val="en-US"/>
        </w:rPr>
        <w:t xml:space="preserve"> </w:t>
      </w:r>
      <w:r w:rsidR="005C597C" w:rsidRPr="007D6B20">
        <w:rPr>
          <w:lang w:val="en-US"/>
        </w:rPr>
        <w:t>FT-IR analyses</w:t>
      </w:r>
      <w:r w:rsidR="00F00C3A" w:rsidRPr="007D6B20">
        <w:rPr>
          <w:lang w:val="en-US"/>
        </w:rPr>
        <w:t xml:space="preserve"> performed on samples of </w:t>
      </w:r>
      <w:r w:rsidR="00E92E2C" w:rsidRPr="007D6B20">
        <w:rPr>
          <w:lang w:val="en-US"/>
        </w:rPr>
        <w:t>RM</w:t>
      </w:r>
      <w:r w:rsidR="00F00C3A" w:rsidRPr="007D6B20">
        <w:rPr>
          <w:lang w:val="en-US"/>
        </w:rPr>
        <w:t xml:space="preserve">S, of the isolated not biogenic organic matter </w:t>
      </w:r>
      <w:r w:rsidR="00E92E2C" w:rsidRPr="007D6B20">
        <w:rPr>
          <w:lang w:val="en-US"/>
        </w:rPr>
        <w:t>(i.e. isolated micro</w:t>
      </w:r>
      <w:r w:rsidR="00F00C3A" w:rsidRPr="007D6B20">
        <w:rPr>
          <w:lang w:val="en-US"/>
        </w:rPr>
        <w:t>plastic</w:t>
      </w:r>
      <w:r w:rsidR="00E92E2C" w:rsidRPr="007D6B20">
        <w:rPr>
          <w:lang w:val="en-US"/>
        </w:rPr>
        <w:t>s of</w:t>
      </w:r>
      <w:r w:rsidR="00F00C3A" w:rsidRPr="007D6B20">
        <w:rPr>
          <w:lang w:val="en-US"/>
        </w:rPr>
        <w:t xml:space="preserve"> </w:t>
      </w:r>
      <w:r w:rsidR="00E92E2C" w:rsidRPr="007D6B20">
        <w:rPr>
          <w:lang w:val="en-US"/>
        </w:rPr>
        <w:t>RM</w:t>
      </w:r>
      <w:r w:rsidR="00F00C3A" w:rsidRPr="007D6B20">
        <w:rPr>
          <w:lang w:val="en-US"/>
        </w:rPr>
        <w:t>S</w:t>
      </w:r>
      <w:r w:rsidR="00E92E2C" w:rsidRPr="007D6B20">
        <w:rPr>
          <w:lang w:val="en-US"/>
        </w:rPr>
        <w:t>)</w:t>
      </w:r>
      <w:r w:rsidR="00F00C3A" w:rsidRPr="007D6B20">
        <w:rPr>
          <w:lang w:val="en-US"/>
        </w:rPr>
        <w:t>, of the SR and the ADP.</w:t>
      </w:r>
    </w:p>
    <w:p w14:paraId="36EF5630" w14:textId="77777777" w:rsidR="00A66223" w:rsidRPr="007D6B20" w:rsidRDefault="00A66223" w:rsidP="00A66223">
      <w:pPr>
        <w:pStyle w:val="CETHeading1"/>
        <w:rPr>
          <w:lang w:val="en-GB"/>
        </w:rPr>
      </w:pPr>
      <w:r w:rsidRPr="007D6B20">
        <w:rPr>
          <w:lang w:val="en-GB"/>
        </w:rPr>
        <w:t>Conclusions</w:t>
      </w:r>
    </w:p>
    <w:p w14:paraId="01D3D718" w14:textId="1D8F0BB1" w:rsidR="00A66223" w:rsidRPr="007D6B20" w:rsidRDefault="00A66223" w:rsidP="00A66223">
      <w:r w:rsidRPr="007D6B20">
        <w:t>It was observed that the complexity of the feedstock affects the phase behaviour of the product obtained from the HTL of RMS. In particular, the production of anew additional phase (ADP) was observed in the presence catalyst. Even if the ADP yield was quite limited, never exceeding 10 %</w:t>
      </w:r>
      <w:r w:rsidR="00574E7A">
        <w:t xml:space="preserve"> </w:t>
      </w:r>
      <w:r w:rsidRPr="007D6B20">
        <w:t>w/w,</w:t>
      </w:r>
      <w:r w:rsidR="007D6B20" w:rsidRPr="007D6B20">
        <w:t xml:space="preserve"> i</w:t>
      </w:r>
      <w:r w:rsidRPr="007D6B20">
        <w:t>ts formation must be carefully considered because N and Cl were detected in its composition and their presence can adversely affect the quality of BC and the economic sustainability of the upgrading steps.</w:t>
      </w:r>
    </w:p>
    <w:p w14:paraId="07A6D20F" w14:textId="0ECF229E" w:rsidR="00280FAF" w:rsidRPr="007D6B20" w:rsidRDefault="00280FAF" w:rsidP="00280FAF">
      <w:pPr>
        <w:pStyle w:val="CETHeadingxx"/>
        <w:rPr>
          <w:lang w:val="en-GB"/>
        </w:rPr>
        <w:sectPr w:rsidR="00280FAF" w:rsidRPr="007D6B20" w:rsidSect="00B57E6F">
          <w:type w:val="continuous"/>
          <w:pgSz w:w="11906" w:h="16838" w:code="9"/>
          <w:pgMar w:top="1701" w:right="1418" w:bottom="1701" w:left="1701" w:header="1701" w:footer="0" w:gutter="0"/>
          <w:cols w:space="708"/>
          <w:formProt w:val="0"/>
          <w:titlePg/>
          <w:docGrid w:linePitch="360"/>
        </w:sectPr>
      </w:pPr>
      <w:r w:rsidRPr="007D6B20">
        <w:t>Nomenclature</w:t>
      </w:r>
    </w:p>
    <w:p w14:paraId="36AEDE7E" w14:textId="462BDEB6" w:rsidR="00A951BE" w:rsidRPr="007D6B20" w:rsidRDefault="00A951BE" w:rsidP="00280FAF">
      <w:pPr>
        <w:pStyle w:val="CETBodytext"/>
        <w:jc w:val="left"/>
        <w:rPr>
          <w:rFonts w:eastAsia="SimSun"/>
        </w:rPr>
      </w:pPr>
      <w:r w:rsidRPr="007D6B20">
        <w:rPr>
          <w:rFonts w:eastAsia="SimSun"/>
        </w:rPr>
        <w:t>ADP – additional phase</w:t>
      </w:r>
    </w:p>
    <w:p w14:paraId="734625F7" w14:textId="5B71C567" w:rsidR="004C412C" w:rsidRPr="007D6B20" w:rsidRDefault="004C412C" w:rsidP="00280FAF">
      <w:pPr>
        <w:pStyle w:val="CETBodytext"/>
        <w:jc w:val="left"/>
        <w:rPr>
          <w:rFonts w:eastAsia="SimSun"/>
        </w:rPr>
      </w:pPr>
      <w:r w:rsidRPr="007D6B20">
        <w:rPr>
          <w:rFonts w:eastAsia="SimSun"/>
        </w:rPr>
        <w:t>ACF – activated carbon felt</w:t>
      </w:r>
    </w:p>
    <w:p w14:paraId="56924503" w14:textId="4811F08D" w:rsidR="004C412C" w:rsidRPr="007D6B20" w:rsidRDefault="004C412C" w:rsidP="00280FAF">
      <w:pPr>
        <w:pStyle w:val="CETBodytext"/>
        <w:jc w:val="left"/>
        <w:rPr>
          <w:rFonts w:eastAsia="SimSun"/>
        </w:rPr>
      </w:pPr>
      <w:r w:rsidRPr="007D6B20">
        <w:rPr>
          <w:rFonts w:eastAsia="SimSun"/>
        </w:rPr>
        <w:t>BC - biocrude</w:t>
      </w:r>
    </w:p>
    <w:p w14:paraId="436C44BA" w14:textId="04EA3524" w:rsidR="00A951BE" w:rsidRPr="007D6B20" w:rsidRDefault="00BD4B53" w:rsidP="00280FAF">
      <w:pPr>
        <w:pStyle w:val="CETBodytext"/>
        <w:jc w:val="left"/>
        <w:rPr>
          <w:rFonts w:eastAsia="SimSun"/>
        </w:rPr>
      </w:pPr>
      <w:r w:rsidRPr="007D6B20">
        <w:rPr>
          <w:rFonts w:eastAsia="SimSun"/>
        </w:rPr>
        <w:t>d</w:t>
      </w:r>
      <w:r w:rsidR="00A951BE" w:rsidRPr="007D6B20">
        <w:rPr>
          <w:rFonts w:eastAsia="SimSun"/>
        </w:rPr>
        <w:t>af – dry ash free</w:t>
      </w:r>
    </w:p>
    <w:p w14:paraId="63AB7028" w14:textId="647CB7FD" w:rsidR="00280FAF" w:rsidRPr="007D6B20" w:rsidRDefault="004C412C" w:rsidP="00280FAF">
      <w:pPr>
        <w:pStyle w:val="CETBodytext"/>
        <w:jc w:val="left"/>
        <w:rPr>
          <w:rFonts w:eastAsia="SimSun"/>
        </w:rPr>
      </w:pPr>
      <w:r w:rsidRPr="007D6B20">
        <w:rPr>
          <w:rFonts w:eastAsia="SimSun"/>
        </w:rPr>
        <w:lastRenderedPageBreak/>
        <w:t>HTL – hydrothermal liquefaction</w:t>
      </w:r>
    </w:p>
    <w:p w14:paraId="1FAB4891" w14:textId="630CC861" w:rsidR="00A951BE" w:rsidRPr="007D6B20" w:rsidRDefault="00000000" w:rsidP="00280FAF">
      <w:pPr>
        <w:pStyle w:val="CETBodytext"/>
        <w:jc w:val="left"/>
        <w:rPr>
          <w:rFonts w:eastAsia="SimSun"/>
        </w:rPr>
      </w:pPr>
      <m:oMath>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P</m:t>
            </m:r>
          </m:sup>
        </m:sSubSup>
      </m:oMath>
      <w:r w:rsidR="00A951BE" w:rsidRPr="007D6B20">
        <w:rPr>
          <w:rFonts w:eastAsia="SimSun"/>
        </w:rPr>
        <w:t xml:space="preserve"> – mass of product</w:t>
      </w:r>
    </w:p>
    <w:p w14:paraId="7C701BEF" w14:textId="5B40FBC8" w:rsidR="00A951BE" w:rsidRPr="007D6B20" w:rsidRDefault="00000000" w:rsidP="00280FAF">
      <w:pPr>
        <w:pStyle w:val="CETBodytext"/>
        <w:jc w:val="left"/>
        <w:rPr>
          <w:rFonts w:eastAsia="SimSun"/>
        </w:rPr>
      </w:pPr>
      <m:oMath>
        <m:sSubSup>
          <m:sSubSupPr>
            <m:ctrlPr>
              <w:rPr>
                <w:rFonts w:ascii="Cambria Math" w:hAnsi="Cambria Math"/>
                <w:i/>
              </w:rPr>
            </m:ctrlPr>
          </m:sSubSupPr>
          <m:e>
            <m:r>
              <w:rPr>
                <w:rFonts w:ascii="Cambria Math" w:hAnsi="Cambria Math"/>
              </w:rPr>
              <m:t>m</m:t>
            </m:r>
          </m:e>
          <m:sub>
            <m:r>
              <w:rPr>
                <w:rFonts w:ascii="Cambria Math" w:hAnsi="Cambria Math"/>
              </w:rPr>
              <m:t>(daf)</m:t>
            </m:r>
          </m:sub>
          <m:sup>
            <m:r>
              <w:rPr>
                <w:rFonts w:ascii="Cambria Math" w:hAnsi="Cambria Math"/>
              </w:rPr>
              <m:t>RMS</m:t>
            </m:r>
          </m:sup>
        </m:sSubSup>
      </m:oMath>
      <w:r w:rsidR="00A951BE" w:rsidRPr="007D6B20">
        <w:rPr>
          <w:rFonts w:eastAsia="SimSun"/>
        </w:rPr>
        <w:t xml:space="preserve"> – initial mass of RMS</w:t>
      </w:r>
    </w:p>
    <w:p w14:paraId="67080EAE" w14:textId="5D9E0FC0" w:rsidR="00E41BB4" w:rsidRPr="007D6B20" w:rsidRDefault="00000000" w:rsidP="00280FAF">
      <w:pPr>
        <w:pStyle w:val="CETBodytext"/>
        <w:jc w:val="left"/>
        <w:rPr>
          <w:rFonts w:eastAsia="SimSun"/>
        </w:rPr>
      </w:pP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tot</m:t>
            </m:r>
          </m:sup>
        </m:sSubSup>
      </m:oMath>
      <w:r w:rsidR="00E41BB4" w:rsidRPr="007D6B20">
        <w:t xml:space="preserve"> - total mass of isolated ADP</w:t>
      </w:r>
    </w:p>
    <w:p w14:paraId="0D624959" w14:textId="515E8FA6" w:rsidR="00E41BB4" w:rsidRPr="007D6B20" w:rsidRDefault="00000000" w:rsidP="00280FAF">
      <w:pPr>
        <w:pStyle w:val="CETBodytext"/>
        <w:jc w:val="left"/>
        <w:rPr>
          <w:rFonts w:eastAsia="SimSun"/>
        </w:rPr>
      </w:pP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acetone</m:t>
            </m:r>
          </m:sup>
        </m:sSubSup>
        <m:r>
          <w:rPr>
            <w:rFonts w:ascii="Cambria Math" w:hAnsi="Cambria Math"/>
          </w:rPr>
          <m:t xml:space="preserve">- </m:t>
        </m:r>
      </m:oMath>
      <w:r w:rsidR="00E41BB4" w:rsidRPr="007D6B20">
        <w:t>mass of ADP in the acetone phase</w:t>
      </w:r>
    </w:p>
    <w:p w14:paraId="5C6BB153" w14:textId="11F206E2" w:rsidR="00E41BB4" w:rsidRPr="007D6B20" w:rsidRDefault="00000000" w:rsidP="00280FAF">
      <w:pPr>
        <w:pStyle w:val="CETBodytext"/>
        <w:jc w:val="left"/>
        <w:rPr>
          <w:rFonts w:eastAsia="SimSun"/>
        </w:rPr>
      </w:pPr>
      <m:oMath>
        <m:sSubSup>
          <m:sSubSupPr>
            <m:ctrlPr>
              <w:rPr>
                <w:rFonts w:ascii="Cambria Math" w:hAnsi="Cambria Math"/>
                <w:i/>
              </w:rPr>
            </m:ctrlPr>
          </m:sSubSupPr>
          <m:e>
            <m:r>
              <w:rPr>
                <w:rFonts w:ascii="Cambria Math" w:hAnsi="Cambria Math"/>
              </w:rPr>
              <m:t>m</m:t>
            </m:r>
          </m:e>
          <m:sub>
            <m:r>
              <w:rPr>
                <w:rFonts w:ascii="Cambria Math" w:hAnsi="Cambria Math"/>
              </w:rPr>
              <m:t>ADP</m:t>
            </m:r>
          </m:sub>
          <m:sup>
            <m:r>
              <w:rPr>
                <w:rFonts w:ascii="Cambria Math" w:hAnsi="Cambria Math"/>
              </w:rPr>
              <m:t>wax</m:t>
            </m:r>
          </m:sup>
        </m:sSubSup>
        <m:r>
          <w:rPr>
            <w:rFonts w:ascii="Cambria Math" w:hAnsi="Cambria Math"/>
          </w:rPr>
          <m:t xml:space="preserve">- </m:t>
        </m:r>
      </m:oMath>
      <w:r w:rsidR="00E41BB4" w:rsidRPr="007D6B20">
        <w:t>mass of ADP recovered as wax from tri-chloroethane phase</w:t>
      </w:r>
    </w:p>
    <w:p w14:paraId="7EA5F677" w14:textId="30C58E83" w:rsidR="00591E5C" w:rsidRPr="007D6B20" w:rsidRDefault="00591E5C" w:rsidP="00280FAF">
      <w:pPr>
        <w:pStyle w:val="CETBodytext"/>
        <w:jc w:val="left"/>
        <w:rPr>
          <w:rFonts w:eastAsia="SimSun"/>
        </w:rPr>
      </w:pPr>
      <w:r w:rsidRPr="007D6B20">
        <w:rPr>
          <w:rFonts w:eastAsia="SimSun"/>
        </w:rPr>
        <w:t>MF – Microplastic fraction</w:t>
      </w:r>
    </w:p>
    <w:p w14:paraId="6B979CCC" w14:textId="7D77F95A" w:rsidR="00A951BE" w:rsidRPr="007D6B20" w:rsidRDefault="00A951BE" w:rsidP="00280FAF">
      <w:pPr>
        <w:pStyle w:val="CETBodytext"/>
        <w:jc w:val="left"/>
        <w:rPr>
          <w:rFonts w:eastAsia="SimSun"/>
        </w:rPr>
      </w:pPr>
      <w:r w:rsidRPr="007D6B20">
        <w:rPr>
          <w:rFonts w:eastAsia="SimSun"/>
        </w:rPr>
        <w:t>ND – not detectable</w:t>
      </w:r>
    </w:p>
    <w:p w14:paraId="42FAA691" w14:textId="62016BF6" w:rsidR="00280FAF" w:rsidRPr="007D6B20" w:rsidRDefault="004C412C" w:rsidP="00280FAF">
      <w:pPr>
        <w:pStyle w:val="CETBodytext"/>
        <w:jc w:val="left"/>
        <w:rPr>
          <w:rFonts w:eastAsia="SimSun"/>
        </w:rPr>
      </w:pPr>
      <w:r w:rsidRPr="007D6B20">
        <w:rPr>
          <w:rFonts w:eastAsia="SimSun"/>
        </w:rPr>
        <w:t>RMS – real municipal sludge</w:t>
      </w:r>
    </w:p>
    <w:p w14:paraId="37469E1C" w14:textId="13BA0293" w:rsidR="00A951BE" w:rsidRPr="007D6B20" w:rsidRDefault="00A951BE" w:rsidP="00280FAF">
      <w:pPr>
        <w:pStyle w:val="CETBodytext"/>
        <w:jc w:val="left"/>
        <w:rPr>
          <w:rFonts w:eastAsia="SimSun"/>
        </w:rPr>
      </w:pPr>
      <w:r w:rsidRPr="007D6B20">
        <w:rPr>
          <w:rFonts w:eastAsia="SimSun"/>
        </w:rPr>
        <w:t>SR – solid residues</w:t>
      </w:r>
    </w:p>
    <w:p w14:paraId="24D4E211" w14:textId="714E4988" w:rsidR="00280FAF" w:rsidRPr="007D6B20" w:rsidRDefault="004C412C" w:rsidP="00280FAF">
      <w:pPr>
        <w:pStyle w:val="CETBodytext"/>
        <w:jc w:val="left"/>
        <w:rPr>
          <w:rFonts w:eastAsia="SimSun"/>
        </w:rPr>
      </w:pPr>
      <w:r w:rsidRPr="007D6B20">
        <w:rPr>
          <w:rFonts w:eastAsia="SimSun"/>
        </w:rPr>
        <w:t>WWTP – wastewater treatment plant</w:t>
      </w:r>
    </w:p>
    <w:p w14:paraId="6367D633" w14:textId="6AB567EE" w:rsidR="00A951BE" w:rsidRPr="007D6B20" w:rsidRDefault="00A951BE" w:rsidP="00280FAF">
      <w:pPr>
        <w:pStyle w:val="CETBodytext"/>
        <w:jc w:val="left"/>
        <w:rPr>
          <w:rFonts w:eastAsia="SimSun"/>
        </w:rPr>
      </w:pPr>
      <w:r w:rsidRPr="007D6B20">
        <w:rPr>
          <w:rFonts w:eastAsia="SimSun"/>
        </w:rPr>
        <w:t>Y</w:t>
      </w:r>
      <w:r w:rsidRPr="001A627F">
        <w:rPr>
          <w:rFonts w:eastAsia="SimSun"/>
          <w:vertAlign w:val="subscript"/>
        </w:rPr>
        <w:t>p</w:t>
      </w:r>
      <w:r w:rsidRPr="007D6B20">
        <w:rPr>
          <w:rFonts w:eastAsia="SimSun"/>
        </w:rPr>
        <w:t xml:space="preserve"> – product yield</w:t>
      </w:r>
    </w:p>
    <w:p w14:paraId="38BFE636" w14:textId="0AD22D9A" w:rsidR="00280FAF" w:rsidRPr="007D6B20" w:rsidRDefault="00280FAF" w:rsidP="00280FAF">
      <w:pPr>
        <w:pStyle w:val="CETBodytext"/>
        <w:jc w:val="left"/>
        <w:rPr>
          <w:rFonts w:eastAsia="SimSun"/>
        </w:rPr>
        <w:sectPr w:rsidR="00280FAF" w:rsidRPr="007D6B20" w:rsidSect="0085693B">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7D6B20" w:rsidRDefault="00600535" w:rsidP="00600535">
      <w:pPr>
        <w:pStyle w:val="CETAcknowledgementstitle"/>
      </w:pPr>
      <w:r w:rsidRPr="007D6B20">
        <w:t>Acknowledgments</w:t>
      </w:r>
    </w:p>
    <w:p w14:paraId="15DEDB99" w14:textId="77777777" w:rsidR="006D03B2" w:rsidRPr="007D6B20" w:rsidRDefault="006D03B2" w:rsidP="00600535">
      <w:pPr>
        <w:pStyle w:val="CETReference"/>
        <w:rPr>
          <w:b w:val="0"/>
        </w:rPr>
      </w:pPr>
      <w:r w:rsidRPr="007D6B20">
        <w:rPr>
          <w:b w:val="0"/>
        </w:rPr>
        <w:t>The financial support of project PON BIOFEEDSTOCK ARS01_00985 is gratefully acknowledged.</w:t>
      </w:r>
    </w:p>
    <w:p w14:paraId="1D93BD8C" w14:textId="66C2F01D" w:rsidR="00AA083F" w:rsidRPr="007D6B20" w:rsidRDefault="00600535" w:rsidP="00AC320D">
      <w:pPr>
        <w:pStyle w:val="CETReference"/>
      </w:pPr>
      <w:r w:rsidRPr="007D6B20">
        <w:t>References</w:t>
      </w:r>
    </w:p>
    <w:p w14:paraId="1CB50AA2" w14:textId="5D649BBA" w:rsidR="00494999" w:rsidRPr="007D6B20" w:rsidRDefault="00494999" w:rsidP="00494999">
      <w:pPr>
        <w:pStyle w:val="CETReferencetext"/>
        <w:rPr>
          <w:lang w:val="en-US"/>
        </w:rPr>
      </w:pPr>
      <w:r w:rsidRPr="007D6B20">
        <w:t xml:space="preserve">Conti F., Toor S.S., Pedersen T.H., Seehar T.H., Nielsen A.H., Rosendahl L.A., </w:t>
      </w:r>
      <w:r w:rsidR="002D13D2" w:rsidRPr="007D6B20">
        <w:t xml:space="preserve">2020, </w:t>
      </w:r>
      <w:r w:rsidRPr="007D6B20">
        <w:t>Valorization of animal and human wastes through hydrothermal liquefaction for biocrude production and simultaneous recovery of nutrients. Energy Convers</w:t>
      </w:r>
      <w:r w:rsidR="002324F1">
        <w:t xml:space="preserve">ion and </w:t>
      </w:r>
      <w:r w:rsidRPr="007D6B20">
        <w:t>Manag</w:t>
      </w:r>
      <w:r w:rsidR="002324F1">
        <w:t>ement</w:t>
      </w:r>
      <w:r w:rsidR="002D13D2" w:rsidRPr="007D6B20">
        <w:t>,</w:t>
      </w:r>
      <w:r w:rsidR="00DC62A8">
        <w:t xml:space="preserve"> </w:t>
      </w:r>
      <w:r w:rsidRPr="007D6B20">
        <w:t>216</w:t>
      </w:r>
      <w:r w:rsidR="002D13D2" w:rsidRPr="007D6B20">
        <w:t>,</w:t>
      </w:r>
      <w:r w:rsidR="00DC62A8">
        <w:t xml:space="preserve"> </w:t>
      </w:r>
      <w:r w:rsidRPr="007D6B20">
        <w:t>112925</w:t>
      </w:r>
      <w:r w:rsidR="00DC62A8">
        <w:t>.</w:t>
      </w:r>
    </w:p>
    <w:p w14:paraId="2F9CDA8D" w14:textId="4BC5F98F" w:rsidR="00121570" w:rsidRPr="007D6B20" w:rsidRDefault="00121570" w:rsidP="00AA083F">
      <w:pPr>
        <w:pStyle w:val="CETReferencetext"/>
      </w:pPr>
      <w:r w:rsidRPr="007D6B20">
        <w:t>Dimitriadis A, Bezergianni S.</w:t>
      </w:r>
      <w:r w:rsidR="001B3F62">
        <w:t>,</w:t>
      </w:r>
      <w:r w:rsidRPr="007D6B20">
        <w:t xml:space="preserve"> </w:t>
      </w:r>
      <w:r w:rsidR="001B3F62" w:rsidRPr="007D6B20">
        <w:t>2017,</w:t>
      </w:r>
      <w:r w:rsidRPr="007D6B20">
        <w:t>Hydrothermal liquefaction of various biomass and waste feedstocks for biocrude production: a state of the art review</w:t>
      </w:r>
      <w:r w:rsidR="002D13D2" w:rsidRPr="007D6B20">
        <w:t xml:space="preserve">, </w:t>
      </w:r>
      <w:r w:rsidR="00E15EF5" w:rsidRPr="00E15EF5">
        <w:t xml:space="preserve">Renewable </w:t>
      </w:r>
      <w:r w:rsidR="00441515">
        <w:t>and</w:t>
      </w:r>
      <w:r w:rsidR="00E15EF5" w:rsidRPr="00E15EF5">
        <w:t xml:space="preserve"> Sustainable Energy Reviews</w:t>
      </w:r>
      <w:r w:rsidR="00E15EF5">
        <w:t xml:space="preserve"> 68</w:t>
      </w:r>
      <w:r w:rsidR="002D13D2" w:rsidRPr="007D6B20">
        <w:t xml:space="preserve">, </w:t>
      </w:r>
      <w:r w:rsidRPr="007D6B20">
        <w:t>113</w:t>
      </w:r>
      <w:r w:rsidR="00DC62A8">
        <w:t xml:space="preserve"> -125.</w:t>
      </w:r>
    </w:p>
    <w:p w14:paraId="1641CD87" w14:textId="1DC1C179" w:rsidR="00494999" w:rsidRPr="007D6B20" w:rsidRDefault="00494999" w:rsidP="00494999">
      <w:pPr>
        <w:pStyle w:val="CETReferencetext"/>
      </w:pPr>
      <w:r w:rsidRPr="007D6B20">
        <w:t xml:space="preserve">Dos Passos J.S., Glasius M., Biller P., </w:t>
      </w:r>
      <w:r w:rsidR="002D13D2" w:rsidRPr="007D6B20">
        <w:t xml:space="preserve">2020, </w:t>
      </w:r>
      <w:r w:rsidRPr="007D6B20">
        <w:t>Screening of common synthetic polymers for depolymerization by subcritical hydrothermal liquefaction, Process Safety and Environmental Protection</w:t>
      </w:r>
      <w:r w:rsidR="002D13D2" w:rsidRPr="007D6B20">
        <w:t>,</w:t>
      </w:r>
      <w:r w:rsidRPr="007D6B20">
        <w:t xml:space="preserve"> 139</w:t>
      </w:r>
      <w:r w:rsidR="002D13D2" w:rsidRPr="007D6B20">
        <w:t>,</w:t>
      </w:r>
      <w:r w:rsidRPr="007D6B20">
        <w:t xml:space="preserve"> 371–379</w:t>
      </w:r>
      <w:r w:rsidR="00DC62A8">
        <w:t>.</w:t>
      </w:r>
    </w:p>
    <w:p w14:paraId="1C1534ED" w14:textId="0433E282" w:rsidR="00494999" w:rsidRPr="007D6B20" w:rsidRDefault="00AA083F" w:rsidP="002209FE">
      <w:pPr>
        <w:pStyle w:val="CETReferencetext"/>
      </w:pPr>
      <w:r w:rsidRPr="007D6B20">
        <w:rPr>
          <w:lang w:val="en-US"/>
        </w:rPr>
        <w:t>Giaconia A</w:t>
      </w:r>
      <w:r w:rsidR="002D13D2" w:rsidRPr="007D6B20">
        <w:rPr>
          <w:lang w:val="en-US"/>
        </w:rPr>
        <w:t>.</w:t>
      </w:r>
      <w:r w:rsidRPr="007D6B20">
        <w:rPr>
          <w:lang w:val="en-US"/>
        </w:rPr>
        <w:t>, Caputo G</w:t>
      </w:r>
      <w:r w:rsidR="002D13D2" w:rsidRPr="007D6B20">
        <w:rPr>
          <w:lang w:val="en-US"/>
        </w:rPr>
        <w:t>.</w:t>
      </w:r>
      <w:r w:rsidRPr="007D6B20">
        <w:rPr>
          <w:lang w:val="en-US"/>
        </w:rPr>
        <w:t>, Ienna A</w:t>
      </w:r>
      <w:r w:rsidR="002D13D2" w:rsidRPr="007D6B20">
        <w:rPr>
          <w:lang w:val="en-US"/>
        </w:rPr>
        <w:t>.</w:t>
      </w:r>
      <w:r w:rsidRPr="007D6B20">
        <w:rPr>
          <w:lang w:val="en-US"/>
        </w:rPr>
        <w:t>, Mazzei D</w:t>
      </w:r>
      <w:r w:rsidR="002D13D2" w:rsidRPr="007D6B20">
        <w:rPr>
          <w:lang w:val="en-US"/>
        </w:rPr>
        <w:t>.</w:t>
      </w:r>
      <w:r w:rsidRPr="007D6B20">
        <w:rPr>
          <w:lang w:val="en-US"/>
        </w:rPr>
        <w:t>, Schiavo B</w:t>
      </w:r>
      <w:r w:rsidR="002D13D2" w:rsidRPr="007D6B20">
        <w:rPr>
          <w:lang w:val="en-US"/>
        </w:rPr>
        <w:t>.</w:t>
      </w:r>
      <w:r w:rsidRPr="007D6B20">
        <w:rPr>
          <w:lang w:val="en-US"/>
        </w:rPr>
        <w:t>, Scialdone O</w:t>
      </w:r>
      <w:r w:rsidR="002D13D2" w:rsidRPr="007D6B20">
        <w:rPr>
          <w:lang w:val="en-US"/>
        </w:rPr>
        <w:t>.</w:t>
      </w:r>
      <w:r w:rsidRPr="007D6B20">
        <w:rPr>
          <w:lang w:val="en-US"/>
        </w:rPr>
        <w:t>,</w:t>
      </w:r>
      <w:r w:rsidR="00285560" w:rsidRPr="007D6B20">
        <w:rPr>
          <w:lang w:val="en-US"/>
        </w:rPr>
        <w:t xml:space="preserve"> Galia A.,</w:t>
      </w:r>
      <w:r w:rsidRPr="007D6B20">
        <w:rPr>
          <w:lang w:val="en-US"/>
        </w:rPr>
        <w:t xml:space="preserve"> </w:t>
      </w:r>
      <w:r w:rsidR="002D13D2" w:rsidRPr="007D6B20">
        <w:t xml:space="preserve">2017, </w:t>
      </w:r>
      <w:r w:rsidRPr="007D6B20">
        <w:t>Biorefinery process for hydrothermal liquefaction of microalgae powered by a concentrating solar plant: a conceptual study</w:t>
      </w:r>
      <w:r w:rsidR="002D13D2" w:rsidRPr="007D6B20">
        <w:t>,</w:t>
      </w:r>
      <w:r w:rsidRPr="007D6B20">
        <w:t xml:space="preserve"> Appl</w:t>
      </w:r>
      <w:r w:rsidR="00E15EF5">
        <w:t>ied</w:t>
      </w:r>
      <w:r w:rsidRPr="007D6B20">
        <w:t>Energy</w:t>
      </w:r>
      <w:r w:rsidR="002D13D2" w:rsidRPr="007D6B20">
        <w:t>,</w:t>
      </w:r>
      <w:r w:rsidR="00DC62A8">
        <w:t xml:space="preserve"> </w:t>
      </w:r>
      <w:r w:rsidRPr="007D6B20">
        <w:t>208</w:t>
      </w:r>
      <w:r w:rsidR="002D13D2" w:rsidRPr="007D6B20">
        <w:t>,</w:t>
      </w:r>
      <w:r w:rsidRPr="007D6B20">
        <w:t xml:space="preserve"> 1139</w:t>
      </w:r>
      <w:r w:rsidR="00DC62A8">
        <w:t>-11</w:t>
      </w:r>
      <w:r w:rsidRPr="007D6B20">
        <w:t xml:space="preserve">49. </w:t>
      </w:r>
    </w:p>
    <w:p w14:paraId="2F1DADD6" w14:textId="76B2E281" w:rsidR="00494999" w:rsidRPr="007D6B20" w:rsidRDefault="00494999" w:rsidP="00494999">
      <w:pPr>
        <w:pStyle w:val="CETReferencetext"/>
      </w:pPr>
      <w:r w:rsidRPr="007D6B20">
        <w:t xml:space="preserve">Lu J., Ma S., and Gao J., </w:t>
      </w:r>
      <w:r w:rsidR="002D13D2" w:rsidRPr="007D6B20">
        <w:t xml:space="preserve">2002, </w:t>
      </w:r>
      <w:r w:rsidRPr="007D6B20">
        <w:t xml:space="preserve">Study on the Pressurized Hydrolysis Dechlorination of PVC, Energy </w:t>
      </w:r>
      <w:r w:rsidR="00DC62A8">
        <w:t>and</w:t>
      </w:r>
      <w:r w:rsidRPr="007D6B20">
        <w:t xml:space="preserve"> Fuels</w:t>
      </w:r>
      <w:r w:rsidR="002D13D2" w:rsidRPr="007D6B20">
        <w:t>,</w:t>
      </w:r>
      <w:r w:rsidRPr="007D6B20">
        <w:t xml:space="preserve"> 16. 1251–1255</w:t>
      </w:r>
      <w:r w:rsidR="00DC62A8">
        <w:t>.</w:t>
      </w:r>
      <w:r w:rsidRPr="007D6B20">
        <w:t xml:space="preserve"> </w:t>
      </w:r>
    </w:p>
    <w:p w14:paraId="43378761" w14:textId="3353A4C1" w:rsidR="00494999" w:rsidRPr="007D6B20" w:rsidRDefault="00494999" w:rsidP="00494999">
      <w:pPr>
        <w:pStyle w:val="CETReferencetext"/>
      </w:pPr>
      <w:r w:rsidRPr="007D6B20">
        <w:t xml:space="preserve">Madsen R, Glasius M., </w:t>
      </w:r>
      <w:r w:rsidR="002D13D2" w:rsidRPr="007D6B20">
        <w:t xml:space="preserve">2019, </w:t>
      </w:r>
      <w:r w:rsidRPr="007D6B20">
        <w:t>How do hydrothermal liquefaction conditions and feedstock type influence product distribution and elemental composition?</w:t>
      </w:r>
      <w:r w:rsidR="002D13D2" w:rsidRPr="007D6B20">
        <w:t>,</w:t>
      </w:r>
      <w:r w:rsidRPr="007D6B20">
        <w:t xml:space="preserve"> </w:t>
      </w:r>
      <w:r w:rsidR="00E15EF5" w:rsidRPr="00E15EF5">
        <w:t xml:space="preserve">Industrial </w:t>
      </w:r>
      <w:r w:rsidR="00441515">
        <w:t>and</w:t>
      </w:r>
      <w:r w:rsidR="00E15EF5" w:rsidRPr="00E15EF5">
        <w:t xml:space="preserve"> Engineering Chemistry Research</w:t>
      </w:r>
      <w:r w:rsidRPr="007D6B20">
        <w:t xml:space="preserve"> 58</w:t>
      </w:r>
      <w:r w:rsidR="002D13D2" w:rsidRPr="007D6B20">
        <w:t>,</w:t>
      </w:r>
      <w:r w:rsidR="00DC62A8">
        <w:t xml:space="preserve"> </w:t>
      </w:r>
      <w:r w:rsidRPr="007D6B20">
        <w:t>17583</w:t>
      </w:r>
      <w:r w:rsidR="00DC62A8">
        <w:t>17-</w:t>
      </w:r>
      <w:r w:rsidRPr="007D6B20">
        <w:t xml:space="preserve">600. </w:t>
      </w:r>
    </w:p>
    <w:p w14:paraId="5F9DF491" w14:textId="3BC5FDB3" w:rsidR="00494999" w:rsidRPr="007D6B20" w:rsidRDefault="00494999" w:rsidP="00494999">
      <w:pPr>
        <w:pStyle w:val="CETReferencetext"/>
        <w:rPr>
          <w:lang w:val="en-US"/>
        </w:rPr>
      </w:pPr>
      <w:r w:rsidRPr="007D6B20">
        <w:t>Peterson A.A., Vogel F., Lachance R.P., Froling M., Antal M.J., Tester J.W.</w:t>
      </w:r>
      <w:r w:rsidR="002D13D2" w:rsidRPr="007D6B20">
        <w:t>,</w:t>
      </w:r>
      <w:r w:rsidRPr="007D6B20">
        <w:t xml:space="preserve"> </w:t>
      </w:r>
      <w:r w:rsidR="002D13D2" w:rsidRPr="007D6B20">
        <w:rPr>
          <w:lang w:val="en-US"/>
        </w:rPr>
        <w:t xml:space="preserve">2008, </w:t>
      </w:r>
      <w:r w:rsidRPr="007D6B20">
        <w:t xml:space="preserve">Thermo- chemical biofuel production in hydrothermal media: a review of sub- and supercritical water technologies. </w:t>
      </w:r>
      <w:r w:rsidR="00E15EF5" w:rsidRPr="00E15EF5">
        <w:rPr>
          <w:lang w:val="en-US"/>
        </w:rPr>
        <w:t>Energy and Environmental Science</w:t>
      </w:r>
      <w:r w:rsidR="00E15EF5">
        <w:rPr>
          <w:lang w:val="en-US"/>
        </w:rPr>
        <w:t xml:space="preserve">, </w:t>
      </w:r>
      <w:r w:rsidRPr="007D6B20">
        <w:rPr>
          <w:lang w:val="en-US"/>
        </w:rPr>
        <w:t>1</w:t>
      </w:r>
      <w:r w:rsidR="002D13D2" w:rsidRPr="007D6B20">
        <w:rPr>
          <w:lang w:val="en-US"/>
        </w:rPr>
        <w:t xml:space="preserve">, </w:t>
      </w:r>
      <w:r w:rsidRPr="007D6B20">
        <w:rPr>
          <w:lang w:val="en-US"/>
        </w:rPr>
        <w:t>32</w:t>
      </w:r>
      <w:r w:rsidR="002D13D2" w:rsidRPr="007D6B20">
        <w:rPr>
          <w:lang w:val="en-US"/>
        </w:rPr>
        <w:t xml:space="preserve"> -</w:t>
      </w:r>
      <w:r w:rsidRPr="007D6B20">
        <w:rPr>
          <w:lang w:val="en-US"/>
        </w:rPr>
        <w:t>65</w:t>
      </w:r>
      <w:r w:rsidR="00DC62A8">
        <w:rPr>
          <w:lang w:val="en-US"/>
        </w:rPr>
        <w:t>.</w:t>
      </w:r>
    </w:p>
    <w:p w14:paraId="3FC7109E" w14:textId="3714B193" w:rsidR="00494999" w:rsidRPr="007D6B20" w:rsidRDefault="00494999" w:rsidP="00494999">
      <w:pPr>
        <w:pStyle w:val="CETReferencetext"/>
        <w:rPr>
          <w:lang w:val="en-US"/>
        </w:rPr>
      </w:pPr>
      <w:r w:rsidRPr="007D6B20">
        <w:rPr>
          <w:lang w:val="en-US"/>
        </w:rPr>
        <w:t xml:space="preserve">Prestigiacomo C., Proietto F., Laudicina V.A., Siragusa A., Scialdone O., Galia A., </w:t>
      </w:r>
      <w:r w:rsidR="00CE500F" w:rsidRPr="007D6B20">
        <w:rPr>
          <w:lang w:val="en-US"/>
        </w:rPr>
        <w:t xml:space="preserve">2021, </w:t>
      </w:r>
      <w:r w:rsidRPr="007D6B20">
        <w:rPr>
          <w:lang w:val="en-US"/>
        </w:rPr>
        <w:t>Catalytic hydrothermal liquefaction of municipal sludge assisted by formic acid for the production of next-generation fuels, Energy</w:t>
      </w:r>
      <w:r w:rsidR="0067330A">
        <w:rPr>
          <w:lang w:val="en-US"/>
        </w:rPr>
        <w:t>,</w:t>
      </w:r>
      <w:r w:rsidRPr="007D6B20">
        <w:rPr>
          <w:lang w:val="en-US"/>
        </w:rPr>
        <w:t xml:space="preserve"> 232</w:t>
      </w:r>
      <w:r w:rsidR="00CE500F" w:rsidRPr="007D6B20">
        <w:rPr>
          <w:lang w:val="en-US"/>
        </w:rPr>
        <w:t xml:space="preserve">, </w:t>
      </w:r>
      <w:r w:rsidRPr="007D6B20">
        <w:rPr>
          <w:lang w:val="en-US"/>
        </w:rPr>
        <w:t>121086</w:t>
      </w:r>
      <w:r w:rsidR="00DC62A8">
        <w:rPr>
          <w:lang w:val="en-US"/>
        </w:rPr>
        <w:t>.</w:t>
      </w:r>
      <w:r w:rsidRPr="007D6B20">
        <w:rPr>
          <w:lang w:val="en-US"/>
        </w:rPr>
        <w:t xml:space="preserve"> </w:t>
      </w:r>
    </w:p>
    <w:p w14:paraId="59125397" w14:textId="37E5FFC6" w:rsidR="00494999" w:rsidRPr="00F555AF" w:rsidRDefault="00F555AF" w:rsidP="00494999">
      <w:pPr>
        <w:pStyle w:val="CETReferencetext"/>
        <w:rPr>
          <w:lang w:val="en-US"/>
        </w:rPr>
      </w:pPr>
      <w:r w:rsidRPr="00F555AF">
        <w:rPr>
          <w:lang w:val="en-US"/>
        </w:rPr>
        <w:t xml:space="preserve">Prestigiacomo C., Laudicina V.A., Siragusa A., Scialdone O., Galia A., </w:t>
      </w:r>
      <w:r w:rsidR="00CE500F" w:rsidRPr="00F555AF">
        <w:rPr>
          <w:lang w:val="en-US"/>
        </w:rPr>
        <w:t>20</w:t>
      </w:r>
      <w:r w:rsidRPr="00F555AF">
        <w:rPr>
          <w:lang w:val="en-US"/>
        </w:rPr>
        <w:t>20</w:t>
      </w:r>
      <w:r w:rsidR="00CE500F" w:rsidRPr="00F555AF">
        <w:rPr>
          <w:lang w:val="en-US"/>
        </w:rPr>
        <w:t xml:space="preserve">, </w:t>
      </w:r>
      <w:r w:rsidR="00BF4548" w:rsidRPr="00BF4548">
        <w:t>Hydrothermal liquefaction of waste biomass in stirred reactors: One step forward to the integral valorization of municipal sludge</w:t>
      </w:r>
      <w:r w:rsidR="00CE500F" w:rsidRPr="00F555AF">
        <w:rPr>
          <w:lang w:val="en-US"/>
        </w:rPr>
        <w:t>,</w:t>
      </w:r>
      <w:r w:rsidR="00494999" w:rsidRPr="00F555AF">
        <w:rPr>
          <w:lang w:val="en-US"/>
        </w:rPr>
        <w:t xml:space="preserve"> </w:t>
      </w:r>
      <w:r w:rsidRPr="00F555AF">
        <w:rPr>
          <w:lang w:val="en-US"/>
        </w:rPr>
        <w:t>Energy, 201</w:t>
      </w:r>
      <w:r>
        <w:rPr>
          <w:lang w:val="en-US"/>
        </w:rPr>
        <w:t xml:space="preserve">, </w:t>
      </w:r>
      <w:r w:rsidRPr="00F555AF">
        <w:rPr>
          <w:lang w:val="en-US"/>
        </w:rPr>
        <w:t>117606</w:t>
      </w:r>
      <w:r w:rsidR="00DC62A8">
        <w:rPr>
          <w:lang w:val="en-US"/>
        </w:rPr>
        <w:t>.</w:t>
      </w:r>
      <w:r w:rsidR="00BF4548">
        <w:rPr>
          <w:lang w:val="en-US"/>
        </w:rPr>
        <w:t xml:space="preserve"> </w:t>
      </w:r>
    </w:p>
    <w:p w14:paraId="57DC45D4" w14:textId="02421C16" w:rsidR="00AA083F" w:rsidRPr="007D6B20" w:rsidRDefault="00AA083F" w:rsidP="00AA083F">
      <w:pPr>
        <w:pStyle w:val="CETReferencetext"/>
      </w:pPr>
      <w:r w:rsidRPr="007D6B20">
        <w:t>Qian</w:t>
      </w:r>
      <w:r w:rsidR="00D2224B" w:rsidRPr="007D6B20">
        <w:t xml:space="preserve"> </w:t>
      </w:r>
      <w:r w:rsidRPr="007D6B20">
        <w:t>L</w:t>
      </w:r>
      <w:r w:rsidR="00D2224B" w:rsidRPr="007D6B20">
        <w:t>.</w:t>
      </w:r>
      <w:r w:rsidRPr="007D6B20">
        <w:t>,</w:t>
      </w:r>
      <w:r w:rsidR="00D2224B" w:rsidRPr="007D6B20">
        <w:t xml:space="preserve"> </w:t>
      </w:r>
      <w:r w:rsidRPr="007D6B20">
        <w:t>Wang</w:t>
      </w:r>
      <w:r w:rsidR="00D2224B" w:rsidRPr="007D6B20">
        <w:t xml:space="preserve"> </w:t>
      </w:r>
      <w:r w:rsidRPr="007D6B20">
        <w:t>S</w:t>
      </w:r>
      <w:r w:rsidR="00D2224B" w:rsidRPr="007D6B20">
        <w:t>.</w:t>
      </w:r>
      <w:r w:rsidRPr="007D6B20">
        <w:t>,</w:t>
      </w:r>
      <w:r w:rsidR="00D2224B" w:rsidRPr="007D6B20">
        <w:t xml:space="preserve"> </w:t>
      </w:r>
      <w:r w:rsidRPr="007D6B20">
        <w:t>Savage</w:t>
      </w:r>
      <w:r w:rsidR="00D2224B" w:rsidRPr="007D6B20">
        <w:t xml:space="preserve"> </w:t>
      </w:r>
      <w:r w:rsidRPr="007D6B20">
        <w:t>P</w:t>
      </w:r>
      <w:r w:rsidR="00D2224B" w:rsidRPr="007D6B20">
        <w:t>.</w:t>
      </w:r>
      <w:r w:rsidRPr="007D6B20">
        <w:t>E</w:t>
      </w:r>
      <w:r w:rsidR="00D2224B" w:rsidRPr="007D6B20">
        <w:t xml:space="preserve"> </w:t>
      </w:r>
      <w:r w:rsidRPr="007D6B20">
        <w:t>.</w:t>
      </w:r>
      <w:r w:rsidR="00D2224B" w:rsidRPr="007D6B20">
        <w:t xml:space="preserve">, </w:t>
      </w:r>
      <w:r w:rsidR="00CE500F" w:rsidRPr="007D6B20">
        <w:t xml:space="preserve">2017, </w:t>
      </w:r>
      <w:r w:rsidRPr="007D6B20">
        <w:t>Hydrothermal</w:t>
      </w:r>
      <w:r w:rsidR="00D2224B" w:rsidRPr="007D6B20">
        <w:t xml:space="preserve"> </w:t>
      </w:r>
      <w:r w:rsidRPr="007D6B20">
        <w:t>liquefaction</w:t>
      </w:r>
      <w:r w:rsidR="00D2224B" w:rsidRPr="007D6B20">
        <w:t xml:space="preserve"> </w:t>
      </w:r>
      <w:r w:rsidRPr="007D6B20">
        <w:t>of</w:t>
      </w:r>
      <w:r w:rsidR="00D2224B" w:rsidRPr="007D6B20">
        <w:t xml:space="preserve"> </w:t>
      </w:r>
      <w:r w:rsidRPr="007D6B20">
        <w:t>sewage</w:t>
      </w:r>
      <w:r w:rsidR="00D2224B" w:rsidRPr="007D6B20">
        <w:t xml:space="preserve"> </w:t>
      </w:r>
      <w:r w:rsidRPr="007D6B20">
        <w:t>sludge</w:t>
      </w:r>
      <w:r w:rsidR="00D2224B" w:rsidRPr="007D6B20">
        <w:t xml:space="preserve"> </w:t>
      </w:r>
      <w:r w:rsidRPr="007D6B20">
        <w:t>under isothermal and fast conditions. Bioresour</w:t>
      </w:r>
      <w:r w:rsidR="00E15EF5">
        <w:t>ces</w:t>
      </w:r>
      <w:r w:rsidRPr="007D6B20">
        <w:t xml:space="preserve"> Technol</w:t>
      </w:r>
      <w:r w:rsidR="00E15EF5">
        <w:t xml:space="preserve">ogy, </w:t>
      </w:r>
      <w:r w:rsidRPr="007D6B20">
        <w:t>232</w:t>
      </w:r>
      <w:r w:rsidR="00CE500F" w:rsidRPr="007D6B20">
        <w:t xml:space="preserve">, </w:t>
      </w:r>
      <w:r w:rsidRPr="007D6B20">
        <w:t>27</w:t>
      </w:r>
      <w:r w:rsidR="00CE500F" w:rsidRPr="007D6B20">
        <w:t>-</w:t>
      </w:r>
      <w:r w:rsidRPr="007D6B20">
        <w:t>34</w:t>
      </w:r>
      <w:r w:rsidR="00DC62A8">
        <w:t>.</w:t>
      </w:r>
    </w:p>
    <w:p w14:paraId="082194DE" w14:textId="2C65F209" w:rsidR="00494999" w:rsidRPr="007D6B20" w:rsidRDefault="00494999" w:rsidP="00494999">
      <w:pPr>
        <w:pStyle w:val="CETReferencetext"/>
      </w:pPr>
      <w:r w:rsidRPr="007D6B20">
        <w:t xml:space="preserve">Seshasayee M.S. and Savage P.E., </w:t>
      </w:r>
      <w:r w:rsidR="00CE500F" w:rsidRPr="007D6B20">
        <w:t xml:space="preserve">2021, </w:t>
      </w:r>
      <w:r w:rsidRPr="007D6B20">
        <w:t>Synergistic interactions during hydrothermal liquefaction of plastics and biomolecules, Chemical Engineering Journal</w:t>
      </w:r>
      <w:r w:rsidR="00CE500F" w:rsidRPr="007D6B20">
        <w:t xml:space="preserve">, </w:t>
      </w:r>
      <w:r w:rsidRPr="007D6B20">
        <w:t>417</w:t>
      </w:r>
      <w:r w:rsidR="00CE500F" w:rsidRPr="007D6B20">
        <w:t>,</w:t>
      </w:r>
      <w:r w:rsidRPr="007D6B20">
        <w:t xml:space="preserve"> 129268</w:t>
      </w:r>
      <w:r w:rsidR="00DC62A8">
        <w:t>.</w:t>
      </w:r>
    </w:p>
    <w:p w14:paraId="386FBD31" w14:textId="36F99E6F" w:rsidR="00AA083F" w:rsidRPr="007D6B20" w:rsidRDefault="00AA083F" w:rsidP="00AA083F">
      <w:pPr>
        <w:pStyle w:val="CETReferencetext"/>
      </w:pPr>
      <w:r w:rsidRPr="007D6B20">
        <w:t>Shah A</w:t>
      </w:r>
      <w:r w:rsidR="00222F6F" w:rsidRPr="007D6B20">
        <w:t>.</w:t>
      </w:r>
      <w:r w:rsidRPr="007D6B20">
        <w:t>, Sohail Toor S</w:t>
      </w:r>
      <w:r w:rsidR="00222F6F" w:rsidRPr="007D6B20">
        <w:t>.</w:t>
      </w:r>
      <w:r w:rsidRPr="007D6B20">
        <w:t>, Hussain Seehar T</w:t>
      </w:r>
      <w:r w:rsidR="00222F6F" w:rsidRPr="007D6B20">
        <w:t>.</w:t>
      </w:r>
      <w:r w:rsidRPr="007D6B20">
        <w:t>, Sadetmahaleh K</w:t>
      </w:r>
      <w:r w:rsidR="00222F6F" w:rsidRPr="007D6B20">
        <w:t>.</w:t>
      </w:r>
      <w:r w:rsidRPr="007D6B20">
        <w:t>K</w:t>
      </w:r>
      <w:r w:rsidR="00222F6F" w:rsidRPr="007D6B20">
        <w:t>.</w:t>
      </w:r>
      <w:r w:rsidRPr="007D6B20">
        <w:t>, Helmer Pedersen T</w:t>
      </w:r>
      <w:r w:rsidR="00222F6F" w:rsidRPr="007D6B20">
        <w:t>.</w:t>
      </w:r>
      <w:r w:rsidRPr="007D6B20">
        <w:t>, Haaning Nielsen A</w:t>
      </w:r>
      <w:r w:rsidR="00C22827" w:rsidRPr="007D6B20">
        <w:t>.</w:t>
      </w:r>
      <w:r w:rsidRPr="007D6B20">
        <w:t>,</w:t>
      </w:r>
      <w:r w:rsidR="00C22827" w:rsidRPr="007D6B20">
        <w:t xml:space="preserve"> Rosendahl L.A.</w:t>
      </w:r>
      <w:r w:rsidR="001B3F62">
        <w:t>,</w:t>
      </w:r>
      <w:r w:rsidRPr="007D6B20">
        <w:t xml:space="preserve"> </w:t>
      </w:r>
      <w:r w:rsidR="00CE500F" w:rsidRPr="007D6B20">
        <w:t>2021,</w:t>
      </w:r>
      <w:r w:rsidRPr="007D6B20">
        <w:t xml:space="preserve"> Bio-crude production through co- hydrothermal processing of swine manure with sewage sludge to enhance pumpability</w:t>
      </w:r>
      <w:r w:rsidR="00CE500F" w:rsidRPr="007D6B20">
        <w:t>,</w:t>
      </w:r>
      <w:r w:rsidRPr="007D6B20">
        <w:t xml:space="preserve"> Fuel</w:t>
      </w:r>
      <w:r w:rsidR="00CE500F" w:rsidRPr="007D6B20">
        <w:t>,</w:t>
      </w:r>
      <w:r w:rsidR="0067330A">
        <w:t xml:space="preserve"> </w:t>
      </w:r>
      <w:r w:rsidRPr="007D6B20">
        <w:t>288</w:t>
      </w:r>
      <w:r w:rsidR="00CE500F" w:rsidRPr="007D6B20">
        <w:t>,</w:t>
      </w:r>
      <w:r w:rsidRPr="007D6B20">
        <w:t>119407</w:t>
      </w:r>
      <w:r w:rsidR="00DC62A8">
        <w:t>.</w:t>
      </w:r>
    </w:p>
    <w:p w14:paraId="3743CE5A" w14:textId="2FDF16E7" w:rsidR="009552BA" w:rsidRDefault="009552BA" w:rsidP="009552BA">
      <w:pPr>
        <w:pStyle w:val="CETReferencetext"/>
      </w:pPr>
      <w:r w:rsidRPr="007D6B20">
        <w:t>Tagg</w:t>
      </w:r>
      <w:r w:rsidR="00494999" w:rsidRPr="007D6B20">
        <w:t xml:space="preserve"> A.S.</w:t>
      </w:r>
      <w:r w:rsidRPr="007D6B20">
        <w:t>, Sapp</w:t>
      </w:r>
      <w:r w:rsidR="00494999" w:rsidRPr="007D6B20">
        <w:t xml:space="preserve"> M.</w:t>
      </w:r>
      <w:r w:rsidRPr="007D6B20">
        <w:t>, Harrison</w:t>
      </w:r>
      <w:r w:rsidR="00494999" w:rsidRPr="007D6B20">
        <w:t xml:space="preserve"> J. P.</w:t>
      </w:r>
      <w:r w:rsidRPr="007D6B20">
        <w:t xml:space="preserve">, </w:t>
      </w:r>
      <w:r w:rsidR="00494999" w:rsidRPr="007D6B20">
        <w:t>J</w:t>
      </w:r>
      <w:r w:rsidRPr="007D6B20">
        <w:t>eda</w:t>
      </w:r>
      <w:r w:rsidR="00494999" w:rsidRPr="007D6B20">
        <w:t xml:space="preserve"> J.J., </w:t>
      </w:r>
      <w:r w:rsidR="00C22827" w:rsidRPr="007D6B20">
        <w:t xml:space="preserve">2015, </w:t>
      </w:r>
      <w:r w:rsidRPr="007D6B20">
        <w:t>Identification and Quantification of Microplastics in Wastewater Using Focal Plane Array-Based Reflectance Micro-FT-IR Imaging</w:t>
      </w:r>
      <w:r w:rsidR="00C22827" w:rsidRPr="007D6B20">
        <w:t>,</w:t>
      </w:r>
      <w:r w:rsidRPr="007D6B20">
        <w:t xml:space="preserve"> Analytical Chemistry</w:t>
      </w:r>
      <w:r w:rsidR="00C22827" w:rsidRPr="007D6B20">
        <w:t xml:space="preserve">, </w:t>
      </w:r>
      <w:r w:rsidRPr="007D6B20">
        <w:t>87</w:t>
      </w:r>
      <w:r w:rsidR="00C22827" w:rsidRPr="007D6B20">
        <w:t>,</w:t>
      </w:r>
      <w:r w:rsidRPr="007D6B20">
        <w:t xml:space="preserve"> 6032–6040</w:t>
      </w:r>
      <w:r w:rsidR="00DC62A8">
        <w:t>.</w:t>
      </w:r>
    </w:p>
    <w:sectPr w:rsidR="009552B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2D6B" w14:textId="77777777" w:rsidR="00976D07" w:rsidRDefault="00976D07" w:rsidP="004F5E36">
      <w:r>
        <w:separator/>
      </w:r>
    </w:p>
  </w:endnote>
  <w:endnote w:type="continuationSeparator" w:id="0">
    <w:p w14:paraId="044DE30B" w14:textId="77777777" w:rsidR="00976D07" w:rsidRDefault="00976D0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4B38" w14:textId="77777777" w:rsidR="00976D07" w:rsidRDefault="00976D07" w:rsidP="004F5E36">
      <w:r>
        <w:separator/>
      </w:r>
    </w:p>
  </w:footnote>
  <w:footnote w:type="continuationSeparator" w:id="0">
    <w:p w14:paraId="0AF6B2AF" w14:textId="77777777" w:rsidR="00976D07" w:rsidRDefault="00976D0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F124632"/>
    <w:multiLevelType w:val="hybridMultilevel"/>
    <w:tmpl w:val="90D6F080"/>
    <w:lvl w:ilvl="0" w:tplc="A2DA29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22658956">
    <w:abstractNumId w:val="11"/>
  </w:num>
  <w:num w:numId="2" w16cid:durableId="452139480">
    <w:abstractNumId w:val="8"/>
  </w:num>
  <w:num w:numId="3" w16cid:durableId="1708408836">
    <w:abstractNumId w:val="3"/>
  </w:num>
  <w:num w:numId="4" w16cid:durableId="169225546">
    <w:abstractNumId w:val="2"/>
  </w:num>
  <w:num w:numId="5" w16cid:durableId="1334869481">
    <w:abstractNumId w:val="1"/>
  </w:num>
  <w:num w:numId="6" w16cid:durableId="632060018">
    <w:abstractNumId w:val="0"/>
  </w:num>
  <w:num w:numId="7" w16cid:durableId="142283498">
    <w:abstractNumId w:val="9"/>
  </w:num>
  <w:num w:numId="8" w16cid:durableId="1059863609">
    <w:abstractNumId w:val="7"/>
  </w:num>
  <w:num w:numId="9" w16cid:durableId="493762407">
    <w:abstractNumId w:val="6"/>
  </w:num>
  <w:num w:numId="10" w16cid:durableId="1396272386">
    <w:abstractNumId w:val="5"/>
  </w:num>
  <w:num w:numId="11" w16cid:durableId="1122849406">
    <w:abstractNumId w:val="4"/>
  </w:num>
  <w:num w:numId="12" w16cid:durableId="1677076356">
    <w:abstractNumId w:val="18"/>
  </w:num>
  <w:num w:numId="13" w16cid:durableId="1285698940">
    <w:abstractNumId w:val="13"/>
  </w:num>
  <w:num w:numId="14" w16cid:durableId="952325048">
    <w:abstractNumId w:val="19"/>
  </w:num>
  <w:num w:numId="15" w16cid:durableId="1701201105">
    <w:abstractNumId w:val="21"/>
  </w:num>
  <w:num w:numId="16" w16cid:durableId="382566007">
    <w:abstractNumId w:val="20"/>
  </w:num>
  <w:num w:numId="17" w16cid:durableId="1295217061">
    <w:abstractNumId w:val="12"/>
  </w:num>
  <w:num w:numId="18" w16cid:durableId="1273853393">
    <w:abstractNumId w:val="13"/>
    <w:lvlOverride w:ilvl="0">
      <w:startOverride w:val="1"/>
    </w:lvlOverride>
  </w:num>
  <w:num w:numId="19" w16cid:durableId="1498570139">
    <w:abstractNumId w:val="17"/>
  </w:num>
  <w:num w:numId="20" w16cid:durableId="1509368829">
    <w:abstractNumId w:val="16"/>
  </w:num>
  <w:num w:numId="21" w16cid:durableId="96946572">
    <w:abstractNumId w:val="15"/>
  </w:num>
  <w:num w:numId="22" w16cid:durableId="240261158">
    <w:abstractNumId w:val="14"/>
  </w:num>
  <w:num w:numId="23" w16cid:durableId="17752060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E14"/>
    <w:rsid w:val="000117CB"/>
    <w:rsid w:val="000207F6"/>
    <w:rsid w:val="00026C9F"/>
    <w:rsid w:val="0003148D"/>
    <w:rsid w:val="00031EEC"/>
    <w:rsid w:val="00035216"/>
    <w:rsid w:val="000352D8"/>
    <w:rsid w:val="00041FF3"/>
    <w:rsid w:val="00050DE1"/>
    <w:rsid w:val="00051566"/>
    <w:rsid w:val="00057CBA"/>
    <w:rsid w:val="00062A9A"/>
    <w:rsid w:val="0006481A"/>
    <w:rsid w:val="00065058"/>
    <w:rsid w:val="00073A0F"/>
    <w:rsid w:val="000831E6"/>
    <w:rsid w:val="00086C39"/>
    <w:rsid w:val="000A03B2"/>
    <w:rsid w:val="000B1F3C"/>
    <w:rsid w:val="000D0268"/>
    <w:rsid w:val="000D34BE"/>
    <w:rsid w:val="000D689A"/>
    <w:rsid w:val="000D7240"/>
    <w:rsid w:val="000E102F"/>
    <w:rsid w:val="000E20AB"/>
    <w:rsid w:val="000E36F1"/>
    <w:rsid w:val="000E3A73"/>
    <w:rsid w:val="000E414A"/>
    <w:rsid w:val="000E47C6"/>
    <w:rsid w:val="000F093C"/>
    <w:rsid w:val="000F1DBE"/>
    <w:rsid w:val="000F787B"/>
    <w:rsid w:val="0011628C"/>
    <w:rsid w:val="0012091F"/>
    <w:rsid w:val="00121570"/>
    <w:rsid w:val="00126BC2"/>
    <w:rsid w:val="001308B6"/>
    <w:rsid w:val="0013121F"/>
    <w:rsid w:val="00131573"/>
    <w:rsid w:val="00131FE6"/>
    <w:rsid w:val="0013263F"/>
    <w:rsid w:val="001331DF"/>
    <w:rsid w:val="00134DE4"/>
    <w:rsid w:val="0014034D"/>
    <w:rsid w:val="0014170E"/>
    <w:rsid w:val="00144D16"/>
    <w:rsid w:val="00150E59"/>
    <w:rsid w:val="00152DE3"/>
    <w:rsid w:val="00164CF9"/>
    <w:rsid w:val="001667A6"/>
    <w:rsid w:val="00170D39"/>
    <w:rsid w:val="00184AD6"/>
    <w:rsid w:val="001954A3"/>
    <w:rsid w:val="001A4AF7"/>
    <w:rsid w:val="001A627F"/>
    <w:rsid w:val="001B0349"/>
    <w:rsid w:val="001B1E93"/>
    <w:rsid w:val="001B3F62"/>
    <w:rsid w:val="001B65C1"/>
    <w:rsid w:val="001C620E"/>
    <w:rsid w:val="001C6443"/>
    <w:rsid w:val="001C6819"/>
    <w:rsid w:val="001C684B"/>
    <w:rsid w:val="001D0CFB"/>
    <w:rsid w:val="001D21AF"/>
    <w:rsid w:val="001D53FC"/>
    <w:rsid w:val="001E2675"/>
    <w:rsid w:val="001F42A5"/>
    <w:rsid w:val="001F5E3E"/>
    <w:rsid w:val="001F7B9D"/>
    <w:rsid w:val="00201C93"/>
    <w:rsid w:val="00215B1C"/>
    <w:rsid w:val="00215DDF"/>
    <w:rsid w:val="002209FE"/>
    <w:rsid w:val="002224B4"/>
    <w:rsid w:val="00222532"/>
    <w:rsid w:val="00222F6F"/>
    <w:rsid w:val="002324F1"/>
    <w:rsid w:val="002447EF"/>
    <w:rsid w:val="00251550"/>
    <w:rsid w:val="00253C6D"/>
    <w:rsid w:val="00263B05"/>
    <w:rsid w:val="00266A21"/>
    <w:rsid w:val="0027221A"/>
    <w:rsid w:val="00275B61"/>
    <w:rsid w:val="00280D2C"/>
    <w:rsid w:val="00280FAF"/>
    <w:rsid w:val="00282656"/>
    <w:rsid w:val="00284D42"/>
    <w:rsid w:val="00285560"/>
    <w:rsid w:val="00296B83"/>
    <w:rsid w:val="002A2F4C"/>
    <w:rsid w:val="002A7F99"/>
    <w:rsid w:val="002B4015"/>
    <w:rsid w:val="002B588F"/>
    <w:rsid w:val="002B78CE"/>
    <w:rsid w:val="002C2FB6"/>
    <w:rsid w:val="002D13D2"/>
    <w:rsid w:val="002D3741"/>
    <w:rsid w:val="002E5FA7"/>
    <w:rsid w:val="002F3309"/>
    <w:rsid w:val="003008CE"/>
    <w:rsid w:val="003009B7"/>
    <w:rsid w:val="00300E56"/>
    <w:rsid w:val="0030469C"/>
    <w:rsid w:val="003049D8"/>
    <w:rsid w:val="00321CA6"/>
    <w:rsid w:val="00323763"/>
    <w:rsid w:val="00327F5C"/>
    <w:rsid w:val="0033052E"/>
    <w:rsid w:val="00334C09"/>
    <w:rsid w:val="00340342"/>
    <w:rsid w:val="00365127"/>
    <w:rsid w:val="003723D4"/>
    <w:rsid w:val="003740D6"/>
    <w:rsid w:val="00381905"/>
    <w:rsid w:val="003849EF"/>
    <w:rsid w:val="00384CC8"/>
    <w:rsid w:val="003871FD"/>
    <w:rsid w:val="00392690"/>
    <w:rsid w:val="003A1E30"/>
    <w:rsid w:val="003A2829"/>
    <w:rsid w:val="003A7D1C"/>
    <w:rsid w:val="003B295C"/>
    <w:rsid w:val="003B304B"/>
    <w:rsid w:val="003B3146"/>
    <w:rsid w:val="003E4135"/>
    <w:rsid w:val="003F015E"/>
    <w:rsid w:val="003F4586"/>
    <w:rsid w:val="00400414"/>
    <w:rsid w:val="004069CA"/>
    <w:rsid w:val="0041446B"/>
    <w:rsid w:val="004160AA"/>
    <w:rsid w:val="00417C4D"/>
    <w:rsid w:val="00424ED0"/>
    <w:rsid w:val="00435FB1"/>
    <w:rsid w:val="00437EB5"/>
    <w:rsid w:val="004400B2"/>
    <w:rsid w:val="0044071E"/>
    <w:rsid w:val="00441515"/>
    <w:rsid w:val="0044329C"/>
    <w:rsid w:val="00452F2F"/>
    <w:rsid w:val="00453E24"/>
    <w:rsid w:val="00457456"/>
    <w:rsid w:val="004577FE"/>
    <w:rsid w:val="00457B9C"/>
    <w:rsid w:val="0046164A"/>
    <w:rsid w:val="004628D2"/>
    <w:rsid w:val="00462DCD"/>
    <w:rsid w:val="004631EE"/>
    <w:rsid w:val="004648AD"/>
    <w:rsid w:val="004703A9"/>
    <w:rsid w:val="004760DE"/>
    <w:rsid w:val="004763D7"/>
    <w:rsid w:val="00494999"/>
    <w:rsid w:val="004A004E"/>
    <w:rsid w:val="004A22E7"/>
    <w:rsid w:val="004A24CF"/>
    <w:rsid w:val="004B4C44"/>
    <w:rsid w:val="004C20CD"/>
    <w:rsid w:val="004C3D1D"/>
    <w:rsid w:val="004C3D84"/>
    <w:rsid w:val="004C412C"/>
    <w:rsid w:val="004C7913"/>
    <w:rsid w:val="004D4643"/>
    <w:rsid w:val="004E4DD6"/>
    <w:rsid w:val="004E5812"/>
    <w:rsid w:val="004F5E36"/>
    <w:rsid w:val="00503391"/>
    <w:rsid w:val="00507B47"/>
    <w:rsid w:val="00507BEF"/>
    <w:rsid w:val="00507CC9"/>
    <w:rsid w:val="005119A5"/>
    <w:rsid w:val="0051655D"/>
    <w:rsid w:val="005278B7"/>
    <w:rsid w:val="00527DBB"/>
    <w:rsid w:val="00530FD5"/>
    <w:rsid w:val="00532016"/>
    <w:rsid w:val="00532756"/>
    <w:rsid w:val="00533A00"/>
    <w:rsid w:val="005346C8"/>
    <w:rsid w:val="00541BB5"/>
    <w:rsid w:val="00542445"/>
    <w:rsid w:val="00543E7D"/>
    <w:rsid w:val="00547A68"/>
    <w:rsid w:val="005531C9"/>
    <w:rsid w:val="005554DC"/>
    <w:rsid w:val="00556904"/>
    <w:rsid w:val="0057048B"/>
    <w:rsid w:val="00570C43"/>
    <w:rsid w:val="00574E7A"/>
    <w:rsid w:val="00577725"/>
    <w:rsid w:val="00591E5C"/>
    <w:rsid w:val="005B2110"/>
    <w:rsid w:val="005B2699"/>
    <w:rsid w:val="005B61E6"/>
    <w:rsid w:val="005C597C"/>
    <w:rsid w:val="005C77E1"/>
    <w:rsid w:val="005D0E83"/>
    <w:rsid w:val="005D668A"/>
    <w:rsid w:val="005D6A2F"/>
    <w:rsid w:val="005E1A82"/>
    <w:rsid w:val="005E760A"/>
    <w:rsid w:val="005E794C"/>
    <w:rsid w:val="005F00F5"/>
    <w:rsid w:val="005F0A28"/>
    <w:rsid w:val="005F0E5E"/>
    <w:rsid w:val="005F5470"/>
    <w:rsid w:val="00600535"/>
    <w:rsid w:val="00610CD6"/>
    <w:rsid w:val="00613601"/>
    <w:rsid w:val="006169D2"/>
    <w:rsid w:val="00617C03"/>
    <w:rsid w:val="00620DEE"/>
    <w:rsid w:val="00621F92"/>
    <w:rsid w:val="0062280A"/>
    <w:rsid w:val="00624FAA"/>
    <w:rsid w:val="00625639"/>
    <w:rsid w:val="00626183"/>
    <w:rsid w:val="00631B33"/>
    <w:rsid w:val="0064184D"/>
    <w:rsid w:val="006422CC"/>
    <w:rsid w:val="00643EDE"/>
    <w:rsid w:val="00647F96"/>
    <w:rsid w:val="00660E3E"/>
    <w:rsid w:val="00662E74"/>
    <w:rsid w:val="00663013"/>
    <w:rsid w:val="0067330A"/>
    <w:rsid w:val="00680C23"/>
    <w:rsid w:val="00684040"/>
    <w:rsid w:val="00690CD5"/>
    <w:rsid w:val="00693766"/>
    <w:rsid w:val="006A3281"/>
    <w:rsid w:val="006A6C21"/>
    <w:rsid w:val="006B1899"/>
    <w:rsid w:val="006B4888"/>
    <w:rsid w:val="006C2E45"/>
    <w:rsid w:val="006C359C"/>
    <w:rsid w:val="006C5089"/>
    <w:rsid w:val="006C5579"/>
    <w:rsid w:val="006D03B2"/>
    <w:rsid w:val="006D6E8B"/>
    <w:rsid w:val="006E737D"/>
    <w:rsid w:val="006F60E8"/>
    <w:rsid w:val="00705506"/>
    <w:rsid w:val="0071070B"/>
    <w:rsid w:val="00713973"/>
    <w:rsid w:val="00720A24"/>
    <w:rsid w:val="00724031"/>
    <w:rsid w:val="00726AA3"/>
    <w:rsid w:val="00732386"/>
    <w:rsid w:val="0073514D"/>
    <w:rsid w:val="00735DBD"/>
    <w:rsid w:val="007447F3"/>
    <w:rsid w:val="0075499F"/>
    <w:rsid w:val="0075751B"/>
    <w:rsid w:val="007661C8"/>
    <w:rsid w:val="0077098D"/>
    <w:rsid w:val="007870B9"/>
    <w:rsid w:val="007931FA"/>
    <w:rsid w:val="0079756E"/>
    <w:rsid w:val="007A2626"/>
    <w:rsid w:val="007A4861"/>
    <w:rsid w:val="007A7BBA"/>
    <w:rsid w:val="007B0992"/>
    <w:rsid w:val="007B0C50"/>
    <w:rsid w:val="007B3CE8"/>
    <w:rsid w:val="007B48F9"/>
    <w:rsid w:val="007B4BA3"/>
    <w:rsid w:val="007B6AA9"/>
    <w:rsid w:val="007C151A"/>
    <w:rsid w:val="007C1A43"/>
    <w:rsid w:val="007D4A37"/>
    <w:rsid w:val="007D6B20"/>
    <w:rsid w:val="007E45AC"/>
    <w:rsid w:val="007E7BE8"/>
    <w:rsid w:val="0080013E"/>
    <w:rsid w:val="00813288"/>
    <w:rsid w:val="008168FC"/>
    <w:rsid w:val="00822FD3"/>
    <w:rsid w:val="00825622"/>
    <w:rsid w:val="00830996"/>
    <w:rsid w:val="0083377D"/>
    <w:rsid w:val="008345F1"/>
    <w:rsid w:val="008439EB"/>
    <w:rsid w:val="0085693B"/>
    <w:rsid w:val="0085745B"/>
    <w:rsid w:val="00865B07"/>
    <w:rsid w:val="008667EA"/>
    <w:rsid w:val="0087637F"/>
    <w:rsid w:val="00882A5E"/>
    <w:rsid w:val="00883E76"/>
    <w:rsid w:val="00891BD6"/>
    <w:rsid w:val="008924DA"/>
    <w:rsid w:val="00892AD5"/>
    <w:rsid w:val="008A1512"/>
    <w:rsid w:val="008A1EE1"/>
    <w:rsid w:val="008B2872"/>
    <w:rsid w:val="008B569B"/>
    <w:rsid w:val="008D00DB"/>
    <w:rsid w:val="008D2490"/>
    <w:rsid w:val="008D32B9"/>
    <w:rsid w:val="008D433B"/>
    <w:rsid w:val="008D4A16"/>
    <w:rsid w:val="008E45EC"/>
    <w:rsid w:val="008E566E"/>
    <w:rsid w:val="0090161A"/>
    <w:rsid w:val="00901EB6"/>
    <w:rsid w:val="00904C62"/>
    <w:rsid w:val="009058FB"/>
    <w:rsid w:val="00922BA8"/>
    <w:rsid w:val="009231BA"/>
    <w:rsid w:val="00924DAC"/>
    <w:rsid w:val="00927058"/>
    <w:rsid w:val="009279A2"/>
    <w:rsid w:val="00940C06"/>
    <w:rsid w:val="00942750"/>
    <w:rsid w:val="009450CE"/>
    <w:rsid w:val="00947179"/>
    <w:rsid w:val="0095028B"/>
    <w:rsid w:val="0095164B"/>
    <w:rsid w:val="009517CC"/>
    <w:rsid w:val="00954090"/>
    <w:rsid w:val="009552BA"/>
    <w:rsid w:val="00956FED"/>
    <w:rsid w:val="009573E7"/>
    <w:rsid w:val="00963E05"/>
    <w:rsid w:val="00964A45"/>
    <w:rsid w:val="009660C6"/>
    <w:rsid w:val="00967843"/>
    <w:rsid w:val="00967D54"/>
    <w:rsid w:val="00971028"/>
    <w:rsid w:val="0097441F"/>
    <w:rsid w:val="00976D07"/>
    <w:rsid w:val="009847F3"/>
    <w:rsid w:val="00992207"/>
    <w:rsid w:val="00993B84"/>
    <w:rsid w:val="0099567F"/>
    <w:rsid w:val="00996483"/>
    <w:rsid w:val="00996F5A"/>
    <w:rsid w:val="009A01FB"/>
    <w:rsid w:val="009A313B"/>
    <w:rsid w:val="009B041A"/>
    <w:rsid w:val="009C37C3"/>
    <w:rsid w:val="009C63E2"/>
    <w:rsid w:val="009C7C86"/>
    <w:rsid w:val="009D2FF7"/>
    <w:rsid w:val="009E3BBE"/>
    <w:rsid w:val="009E7884"/>
    <w:rsid w:val="009E788A"/>
    <w:rsid w:val="009F0E08"/>
    <w:rsid w:val="009F478F"/>
    <w:rsid w:val="009F4EB1"/>
    <w:rsid w:val="009F6F47"/>
    <w:rsid w:val="00A136E1"/>
    <w:rsid w:val="00A1763D"/>
    <w:rsid w:val="00A17CEC"/>
    <w:rsid w:val="00A27EF0"/>
    <w:rsid w:val="00A3272C"/>
    <w:rsid w:val="00A409E3"/>
    <w:rsid w:val="00A42361"/>
    <w:rsid w:val="00A45A71"/>
    <w:rsid w:val="00A45F1D"/>
    <w:rsid w:val="00A50B20"/>
    <w:rsid w:val="00A51390"/>
    <w:rsid w:val="00A54929"/>
    <w:rsid w:val="00A60D13"/>
    <w:rsid w:val="00A6435A"/>
    <w:rsid w:val="00A66223"/>
    <w:rsid w:val="00A7223D"/>
    <w:rsid w:val="00A72745"/>
    <w:rsid w:val="00A76EFC"/>
    <w:rsid w:val="00A86D12"/>
    <w:rsid w:val="00A91010"/>
    <w:rsid w:val="00A951BE"/>
    <w:rsid w:val="00A97F29"/>
    <w:rsid w:val="00AA083F"/>
    <w:rsid w:val="00AA11E1"/>
    <w:rsid w:val="00AA5F2E"/>
    <w:rsid w:val="00AA702E"/>
    <w:rsid w:val="00AB0964"/>
    <w:rsid w:val="00AB5011"/>
    <w:rsid w:val="00AC0CD9"/>
    <w:rsid w:val="00AC320D"/>
    <w:rsid w:val="00AC7368"/>
    <w:rsid w:val="00AD16B9"/>
    <w:rsid w:val="00AE0776"/>
    <w:rsid w:val="00AE377D"/>
    <w:rsid w:val="00AE3C2E"/>
    <w:rsid w:val="00AE5770"/>
    <w:rsid w:val="00AF0EBA"/>
    <w:rsid w:val="00AF7424"/>
    <w:rsid w:val="00B01C2B"/>
    <w:rsid w:val="00B02C8A"/>
    <w:rsid w:val="00B17FBD"/>
    <w:rsid w:val="00B244AB"/>
    <w:rsid w:val="00B315A6"/>
    <w:rsid w:val="00B31813"/>
    <w:rsid w:val="00B33365"/>
    <w:rsid w:val="00B563A5"/>
    <w:rsid w:val="00B57B36"/>
    <w:rsid w:val="00B57E6F"/>
    <w:rsid w:val="00B8129F"/>
    <w:rsid w:val="00B8686D"/>
    <w:rsid w:val="00B8701D"/>
    <w:rsid w:val="00B936C8"/>
    <w:rsid w:val="00B93F69"/>
    <w:rsid w:val="00B94043"/>
    <w:rsid w:val="00BA0614"/>
    <w:rsid w:val="00BA3F52"/>
    <w:rsid w:val="00BB1DDC"/>
    <w:rsid w:val="00BC30C9"/>
    <w:rsid w:val="00BD077D"/>
    <w:rsid w:val="00BD4B53"/>
    <w:rsid w:val="00BE3CD8"/>
    <w:rsid w:val="00BE3E58"/>
    <w:rsid w:val="00BF4548"/>
    <w:rsid w:val="00C01616"/>
    <w:rsid w:val="00C0162B"/>
    <w:rsid w:val="00C068ED"/>
    <w:rsid w:val="00C12BAF"/>
    <w:rsid w:val="00C13ED5"/>
    <w:rsid w:val="00C22827"/>
    <w:rsid w:val="00C22E0C"/>
    <w:rsid w:val="00C22ED4"/>
    <w:rsid w:val="00C345B1"/>
    <w:rsid w:val="00C40142"/>
    <w:rsid w:val="00C52C3C"/>
    <w:rsid w:val="00C57182"/>
    <w:rsid w:val="00C57863"/>
    <w:rsid w:val="00C640AF"/>
    <w:rsid w:val="00C655FD"/>
    <w:rsid w:val="00C75407"/>
    <w:rsid w:val="00C870A8"/>
    <w:rsid w:val="00C90E61"/>
    <w:rsid w:val="00C94434"/>
    <w:rsid w:val="00CA0D75"/>
    <w:rsid w:val="00CA1C95"/>
    <w:rsid w:val="00CA5A9C"/>
    <w:rsid w:val="00CC4C20"/>
    <w:rsid w:val="00CC5849"/>
    <w:rsid w:val="00CD1968"/>
    <w:rsid w:val="00CD3517"/>
    <w:rsid w:val="00CD5C95"/>
    <w:rsid w:val="00CD5FE2"/>
    <w:rsid w:val="00CE500F"/>
    <w:rsid w:val="00CE7C68"/>
    <w:rsid w:val="00D02B4C"/>
    <w:rsid w:val="00D040C4"/>
    <w:rsid w:val="00D20AD1"/>
    <w:rsid w:val="00D2224B"/>
    <w:rsid w:val="00D229A6"/>
    <w:rsid w:val="00D33037"/>
    <w:rsid w:val="00D422D7"/>
    <w:rsid w:val="00D435B7"/>
    <w:rsid w:val="00D46B7E"/>
    <w:rsid w:val="00D57C84"/>
    <w:rsid w:val="00D6057D"/>
    <w:rsid w:val="00D6122A"/>
    <w:rsid w:val="00D70FE2"/>
    <w:rsid w:val="00D71640"/>
    <w:rsid w:val="00D80127"/>
    <w:rsid w:val="00D836C5"/>
    <w:rsid w:val="00D84576"/>
    <w:rsid w:val="00DA1399"/>
    <w:rsid w:val="00DA24C6"/>
    <w:rsid w:val="00DA4D7B"/>
    <w:rsid w:val="00DC62A8"/>
    <w:rsid w:val="00DD271C"/>
    <w:rsid w:val="00DD5197"/>
    <w:rsid w:val="00DD650B"/>
    <w:rsid w:val="00DE264A"/>
    <w:rsid w:val="00DF0BB9"/>
    <w:rsid w:val="00DF5072"/>
    <w:rsid w:val="00E02D18"/>
    <w:rsid w:val="00E041E7"/>
    <w:rsid w:val="00E07B50"/>
    <w:rsid w:val="00E127D8"/>
    <w:rsid w:val="00E15EF5"/>
    <w:rsid w:val="00E23CA1"/>
    <w:rsid w:val="00E409A8"/>
    <w:rsid w:val="00E41BB4"/>
    <w:rsid w:val="00E50C12"/>
    <w:rsid w:val="00E62BCB"/>
    <w:rsid w:val="00E65B91"/>
    <w:rsid w:val="00E7209D"/>
    <w:rsid w:val="00E72EAD"/>
    <w:rsid w:val="00E77223"/>
    <w:rsid w:val="00E8528B"/>
    <w:rsid w:val="00E85B94"/>
    <w:rsid w:val="00E912A5"/>
    <w:rsid w:val="00E91B33"/>
    <w:rsid w:val="00E92E2C"/>
    <w:rsid w:val="00E978D0"/>
    <w:rsid w:val="00EA3267"/>
    <w:rsid w:val="00EA4613"/>
    <w:rsid w:val="00EA7F91"/>
    <w:rsid w:val="00EB1523"/>
    <w:rsid w:val="00EC0E49"/>
    <w:rsid w:val="00EC101F"/>
    <w:rsid w:val="00EC1D9F"/>
    <w:rsid w:val="00ED33E3"/>
    <w:rsid w:val="00ED5DF3"/>
    <w:rsid w:val="00EE0131"/>
    <w:rsid w:val="00EE17B0"/>
    <w:rsid w:val="00EF06D9"/>
    <w:rsid w:val="00EF081C"/>
    <w:rsid w:val="00F00C3A"/>
    <w:rsid w:val="00F02AC0"/>
    <w:rsid w:val="00F16019"/>
    <w:rsid w:val="00F16910"/>
    <w:rsid w:val="00F30C64"/>
    <w:rsid w:val="00F32BA2"/>
    <w:rsid w:val="00F32CDB"/>
    <w:rsid w:val="00F555AF"/>
    <w:rsid w:val="00F565FE"/>
    <w:rsid w:val="00F63A70"/>
    <w:rsid w:val="00F7534E"/>
    <w:rsid w:val="00FA1802"/>
    <w:rsid w:val="00FA21D0"/>
    <w:rsid w:val="00FA5F5F"/>
    <w:rsid w:val="00FB730C"/>
    <w:rsid w:val="00FC2695"/>
    <w:rsid w:val="00FC3E03"/>
    <w:rsid w:val="00FC3FC1"/>
    <w:rsid w:val="00FC7302"/>
    <w:rsid w:val="00FD10F4"/>
    <w:rsid w:val="00FE006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671C2150-2CD6-8F49-954D-05FA762C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9552BA"/>
    <w:rPr>
      <w:color w:val="605E5C"/>
      <w:shd w:val="clear" w:color="auto" w:fill="E1DFDD"/>
    </w:rPr>
  </w:style>
  <w:style w:type="character" w:styleId="Collegamentovisitato">
    <w:name w:val="FollowedHyperlink"/>
    <w:basedOn w:val="Carpredefinitoparagrafo"/>
    <w:uiPriority w:val="99"/>
    <w:semiHidden/>
    <w:unhideWhenUsed/>
    <w:rsid w:val="00D2224B"/>
    <w:rPr>
      <w:color w:val="800080" w:themeColor="followedHyperlink"/>
      <w:u w:val="single"/>
    </w:rPr>
  </w:style>
  <w:style w:type="paragraph" w:styleId="Revisione">
    <w:name w:val="Revision"/>
    <w:hidden/>
    <w:uiPriority w:val="99"/>
    <w:semiHidden/>
    <w:rsid w:val="00BA061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4511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171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FDACCF-B2EC-504B-892E-C36F3B7CF1D4}">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3054</Words>
  <Characters>17073</Characters>
  <Application>Microsoft Office Word</Application>
  <DocSecurity>0</DocSecurity>
  <Lines>289</Lines>
  <Paragraphs>94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Claudia</cp:lastModifiedBy>
  <cp:revision>6</cp:revision>
  <cp:lastPrinted>2022-04-29T15:14:00Z</cp:lastPrinted>
  <dcterms:created xsi:type="dcterms:W3CDTF">2022-06-28T15:09:00Z</dcterms:created>
  <dcterms:modified xsi:type="dcterms:W3CDTF">2022-06-30T14:21:00Z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_documentId">
    <vt:lpwstr>documentId_4167</vt:lpwstr>
  </property>
  <property fmtid="{D5CDD505-2E9C-101B-9397-08002B2CF9AE}" pid="5" name="grammarly_documentContext">
    <vt:lpwstr>{"goals":[],"domain":"general","emotions":[],"dialect":"american"}</vt:lpwstr>
  </property>
</Properties>
</file>