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AFFEFA9" w:rsidR="000A03B2" w:rsidRPr="00B57B36" w:rsidRDefault="000966A0" w:rsidP="004C3D1D">
            <w:pPr>
              <w:tabs>
                <w:tab w:val="left" w:pos="-108"/>
              </w:tabs>
              <w:ind w:left="-108"/>
              <w:rPr>
                <w:rFonts w:cs="Arial"/>
                <w:b/>
                <w:bCs/>
                <w:i/>
                <w:iCs/>
                <w:color w:val="000066"/>
                <w:sz w:val="22"/>
                <w:szCs w:val="22"/>
                <w:lang w:eastAsia="it-IT"/>
              </w:rPr>
            </w:pPr>
            <w:r>
              <w:rPr>
                <w:rFonts w:cs="Arial"/>
                <w:b/>
                <w:bCs/>
                <w:i/>
                <w:iCs/>
                <w:color w:val="000066"/>
                <w:sz w:val="22"/>
                <w:szCs w:val="22"/>
                <w:lang w:eastAsia="it-IT"/>
              </w:rPr>
              <w:t>VOL. 96, 2022</w:t>
            </w:r>
            <w:r w:rsidR="00A76EFC" w:rsidRPr="00B57B36">
              <w:rPr>
                <w:rFonts w:cs="Arial"/>
                <w:b/>
                <w:bCs/>
                <w:i/>
                <w:iCs/>
                <w:color w:val="000066"/>
                <w:sz w:val="22"/>
                <w:szCs w:val="22"/>
                <w:lang w:eastAsia="it-IT"/>
              </w:rPr>
              <w:t xml:space="preserve">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0BA89CB6" w14:textId="77777777" w:rsidR="0059005C" w:rsidRDefault="0059005C" w:rsidP="0059005C">
            <w:pPr>
              <w:ind w:left="-107"/>
              <w:outlineLvl w:val="2"/>
              <w:rPr>
                <w:rFonts w:ascii="Tahoma" w:hAnsi="Tahoma" w:cs="Tahoma"/>
                <w:bCs/>
                <w:color w:val="000000"/>
                <w:sz w:val="14"/>
                <w:szCs w:val="14"/>
                <w:lang w:val="it-IT" w:eastAsia="it-IT"/>
              </w:rPr>
            </w:pPr>
            <w:r>
              <w:rPr>
                <w:rFonts w:ascii="Tahoma" w:hAnsi="Tahoma" w:cs="Tahoma"/>
                <w:iCs/>
                <w:color w:val="333333"/>
                <w:sz w:val="14"/>
                <w:szCs w:val="14"/>
                <w:lang w:val="it-IT" w:eastAsia="it-IT"/>
              </w:rPr>
              <w:t>Guest Editors:</w:t>
            </w:r>
            <w:r>
              <w:rPr>
                <w:rFonts w:ascii="Tahoma" w:hAnsi="Tahoma" w:cs="Tahoma"/>
                <w:color w:val="000000"/>
                <w:sz w:val="14"/>
                <w:szCs w:val="14"/>
                <w:shd w:val="clear" w:color="auto" w:fill="FFFFFF"/>
                <w:lang w:val="it-IT"/>
              </w:rPr>
              <w:t xml:space="preserve"> </w:t>
            </w:r>
            <w:r>
              <w:rPr>
                <w:sz w:val="14"/>
                <w:szCs w:val="14"/>
                <w:lang w:val="it-IT"/>
              </w:rPr>
              <w:t xml:space="preserve">David </w:t>
            </w:r>
            <w:proofErr w:type="spellStart"/>
            <w:r>
              <w:rPr>
                <w:sz w:val="14"/>
                <w:szCs w:val="14"/>
                <w:lang w:val="it-IT"/>
              </w:rPr>
              <w:t>Bogle</w:t>
            </w:r>
            <w:proofErr w:type="spellEnd"/>
            <w:r>
              <w:rPr>
                <w:sz w:val="14"/>
                <w:szCs w:val="14"/>
                <w:lang w:val="it-IT"/>
              </w:rPr>
              <w:t>, Flavio Manenti, Piero Salatino</w:t>
            </w:r>
          </w:p>
          <w:p w14:paraId="1B0F1814" w14:textId="5E90B327" w:rsidR="000A03B2" w:rsidRPr="00B57B36" w:rsidRDefault="0059005C" w:rsidP="0059005C">
            <w:pPr>
              <w:tabs>
                <w:tab w:val="left" w:pos="-108"/>
              </w:tabs>
              <w:spacing w:line="140" w:lineRule="atLeast"/>
              <w:ind w:left="-108"/>
              <w:jc w:val="left"/>
            </w:pPr>
            <w:r>
              <w:rPr>
                <w:rFonts w:ascii="Tahoma" w:hAnsi="Tahoma" w:cs="Tahoma"/>
                <w:iCs/>
                <w:color w:val="333333"/>
                <w:sz w:val="14"/>
                <w:szCs w:val="14"/>
                <w:lang w:eastAsia="it-IT"/>
              </w:rPr>
              <w:t xml:space="preserve">Copyright © 2022,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978-88-95608-95-2</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10DAA130" w14:textId="2C123CBC" w:rsidR="00E02F18" w:rsidRPr="00E02F18" w:rsidRDefault="00E02F18" w:rsidP="00E02F18">
      <w:pPr>
        <w:pStyle w:val="CETAuthors"/>
        <w:tabs>
          <w:tab w:val="clear" w:pos="7100"/>
          <w:tab w:val="left" w:pos="2250"/>
        </w:tabs>
        <w:sectPr w:rsidR="00E02F18" w:rsidRPr="00E02F18" w:rsidSect="00CD5FE2">
          <w:type w:val="continuous"/>
          <w:pgSz w:w="11906" w:h="16838" w:code="9"/>
          <w:pgMar w:top="1701" w:right="1418" w:bottom="1701" w:left="1701" w:header="1701" w:footer="0" w:gutter="0"/>
          <w:cols w:space="708"/>
          <w:titlePg/>
          <w:docGrid w:linePitch="360"/>
        </w:sectPr>
      </w:pPr>
    </w:p>
    <w:p w14:paraId="2E667253" w14:textId="7D6D3989" w:rsidR="00E978D0" w:rsidRPr="00D05816" w:rsidRDefault="00D05816" w:rsidP="00E02F18">
      <w:pPr>
        <w:pStyle w:val="CETTitle"/>
        <w:spacing w:before="0"/>
        <w:rPr>
          <w:lang w:val="en-US"/>
        </w:rPr>
      </w:pPr>
      <w:r w:rsidRPr="00D05816">
        <w:t>I</w:t>
      </w:r>
      <w:r>
        <w:t xml:space="preserve">nvestigation of a </w:t>
      </w:r>
      <w:r w:rsidR="008B5F18">
        <w:t>possible process for hy</w:t>
      </w:r>
      <w:r w:rsidR="00010AA0">
        <w:t xml:space="preserve">drogen odorization </w:t>
      </w:r>
      <w:r w:rsidR="00CC1DE0">
        <w:t xml:space="preserve">in pure hydrogen and in natural gas </w:t>
      </w:r>
      <w:r w:rsidR="00EA72DB">
        <w:t>–</w:t>
      </w:r>
      <w:r w:rsidR="00CC1DE0">
        <w:t xml:space="preserve"> hydrogen</w:t>
      </w:r>
      <w:r w:rsidR="00EA72DB">
        <w:t xml:space="preserve"> mixture systems</w:t>
      </w:r>
    </w:p>
    <w:p w14:paraId="2B3CA35C" w14:textId="772D2393" w:rsidR="00E978D0" w:rsidRPr="00A04194" w:rsidRDefault="00634813" w:rsidP="00AB5011">
      <w:pPr>
        <w:pStyle w:val="CETAuthors"/>
        <w:rPr>
          <w:lang w:val="it-IT"/>
        </w:rPr>
      </w:pPr>
      <w:r w:rsidRPr="005D48A2">
        <w:rPr>
          <w:lang w:val="it-IT"/>
        </w:rPr>
        <w:t>Elisa Zanella</w:t>
      </w:r>
      <w:r w:rsidR="00600535" w:rsidRPr="005D48A2">
        <w:rPr>
          <w:vertAlign w:val="superscript"/>
          <w:lang w:val="it-IT"/>
        </w:rPr>
        <w:t>a</w:t>
      </w:r>
      <w:r w:rsidRPr="005D48A2">
        <w:rPr>
          <w:vertAlign w:val="superscript"/>
          <w:lang w:val="it-IT"/>
        </w:rPr>
        <w:t>,</w:t>
      </w:r>
      <w:r w:rsidRPr="005D48A2">
        <w:rPr>
          <w:lang w:val="it-IT"/>
        </w:rPr>
        <w:t>*</w:t>
      </w:r>
      <w:r w:rsidR="00600535" w:rsidRPr="005D48A2">
        <w:rPr>
          <w:lang w:val="it-IT"/>
        </w:rPr>
        <w:t>,</w:t>
      </w:r>
      <w:r w:rsidR="00BC0D4A" w:rsidRPr="005D48A2">
        <w:rPr>
          <w:lang w:val="it-IT"/>
        </w:rPr>
        <w:t xml:space="preserve"> </w:t>
      </w:r>
      <w:r w:rsidR="006E515D">
        <w:rPr>
          <w:lang w:val="it-IT"/>
        </w:rPr>
        <w:t>Mariangela Longhi</w:t>
      </w:r>
      <w:r w:rsidR="006E515D" w:rsidRPr="00B62C79">
        <w:rPr>
          <w:vertAlign w:val="superscript"/>
          <w:lang w:val="it-IT"/>
        </w:rPr>
        <w:t>a</w:t>
      </w:r>
      <w:r w:rsidR="00B62C79">
        <w:rPr>
          <w:lang w:val="it-IT"/>
        </w:rPr>
        <w:t xml:space="preserve">, </w:t>
      </w:r>
      <w:r w:rsidR="00BC0D4A" w:rsidRPr="005D48A2">
        <w:rPr>
          <w:lang w:val="it-IT"/>
        </w:rPr>
        <w:t>Piersilvio Marcolin</w:t>
      </w:r>
      <w:r w:rsidR="00600535" w:rsidRPr="005D48A2">
        <w:rPr>
          <w:vertAlign w:val="superscript"/>
          <w:lang w:val="it-IT"/>
        </w:rPr>
        <w:t>b</w:t>
      </w:r>
      <w:r w:rsidR="00600535" w:rsidRPr="005D48A2">
        <w:rPr>
          <w:lang w:val="it-IT"/>
        </w:rPr>
        <w:t xml:space="preserve">, </w:t>
      </w:r>
      <w:r w:rsidR="007B1FDF" w:rsidRPr="005D48A2">
        <w:rPr>
          <w:lang w:val="it-IT"/>
        </w:rPr>
        <w:t>Giovanni Camarda</w:t>
      </w:r>
      <w:r w:rsidR="007B1FDF" w:rsidRPr="005D48A2">
        <w:rPr>
          <w:vertAlign w:val="superscript"/>
          <w:lang w:val="it-IT"/>
        </w:rPr>
        <w:t>b</w:t>
      </w:r>
      <w:r w:rsidR="00A04194">
        <w:rPr>
          <w:lang w:val="it-IT"/>
        </w:rPr>
        <w:t xml:space="preserve">, </w:t>
      </w:r>
      <w:r w:rsidR="00A04194" w:rsidRPr="005D48A2">
        <w:rPr>
          <w:lang w:val="it-IT"/>
        </w:rPr>
        <w:t>Carlo Pirola</w:t>
      </w:r>
      <w:r w:rsidR="00A04194" w:rsidRPr="005D48A2">
        <w:rPr>
          <w:vertAlign w:val="superscript"/>
          <w:lang w:val="it-IT"/>
        </w:rPr>
        <w:t>a</w:t>
      </w:r>
    </w:p>
    <w:p w14:paraId="5053C5A8" w14:textId="5764381F" w:rsidR="00E978D0" w:rsidRPr="0070176F" w:rsidRDefault="00E978D0" w:rsidP="00E978D0">
      <w:pPr>
        <w:pStyle w:val="CETAddress"/>
        <w:rPr>
          <w:lang w:val="it-IT"/>
        </w:rPr>
      </w:pPr>
      <w:r w:rsidRPr="0070176F">
        <w:rPr>
          <w:vertAlign w:val="superscript"/>
          <w:lang w:val="it-IT"/>
        </w:rPr>
        <w:t>a</w:t>
      </w:r>
      <w:r w:rsidR="0070176F" w:rsidRPr="0070176F">
        <w:rPr>
          <w:rFonts w:eastAsia="TimesNewRomanPS-ItalicMT"/>
          <w:i/>
          <w:iCs/>
          <w:color w:val="000000"/>
          <w:lang w:val="it-IT"/>
        </w:rPr>
        <w:t xml:space="preserve"> </w:t>
      </w:r>
      <w:r w:rsidR="0070176F" w:rsidRPr="0070176F">
        <w:rPr>
          <w:rFonts w:eastAsia="TimesNewRomanPS-ItalicMT"/>
          <w:color w:val="000000"/>
          <w:lang w:val="it-IT"/>
        </w:rPr>
        <w:t>Università degli Studi di Milano</w:t>
      </w:r>
      <w:r w:rsidR="00701038">
        <w:rPr>
          <w:rFonts w:eastAsia="TimesNewRomanPS-ItalicMT"/>
          <w:color w:val="000000"/>
          <w:lang w:val="it-IT"/>
        </w:rPr>
        <w:t xml:space="preserve">, </w:t>
      </w:r>
      <w:r w:rsidR="00701038" w:rsidRPr="0070176F">
        <w:rPr>
          <w:rFonts w:eastAsia="TimesNewRomanPS-ItalicMT"/>
          <w:color w:val="000000"/>
          <w:lang w:val="it-IT"/>
        </w:rPr>
        <w:t>Dipartimento di Chimica</w:t>
      </w:r>
      <w:r w:rsidR="00701038">
        <w:rPr>
          <w:rFonts w:eastAsia="TimesNewRomanPS-ItalicMT"/>
          <w:color w:val="000000"/>
          <w:lang w:val="it-IT"/>
        </w:rPr>
        <w:t xml:space="preserve"> – via Golgi, 19, </w:t>
      </w:r>
      <w:r w:rsidR="006E515D">
        <w:rPr>
          <w:rFonts w:eastAsia="TimesNewRomanPS-ItalicMT"/>
          <w:color w:val="000000"/>
          <w:lang w:val="it-IT"/>
        </w:rPr>
        <w:t xml:space="preserve">20133 </w:t>
      </w:r>
      <w:r w:rsidR="0070176F" w:rsidRPr="0070176F">
        <w:rPr>
          <w:rFonts w:eastAsia="TimesNewRomanPS-ItalicMT"/>
          <w:color w:val="000000"/>
          <w:lang w:val="it-IT"/>
        </w:rPr>
        <w:t>Milano (</w:t>
      </w:r>
      <w:r w:rsidR="006E515D">
        <w:rPr>
          <w:rFonts w:eastAsia="TimesNewRomanPS-ItalicMT"/>
          <w:color w:val="000000"/>
          <w:lang w:val="it-IT"/>
        </w:rPr>
        <w:t>MI</w:t>
      </w:r>
      <w:r w:rsidR="0070176F" w:rsidRPr="0070176F">
        <w:rPr>
          <w:rFonts w:eastAsia="TimesNewRomanPS-ItalicMT"/>
          <w:color w:val="000000"/>
          <w:lang w:val="it-IT"/>
        </w:rPr>
        <w:t>)</w:t>
      </w:r>
      <w:r w:rsidR="006E515D">
        <w:rPr>
          <w:rFonts w:eastAsia="TimesNewRomanPS-ItalicMT"/>
          <w:color w:val="000000"/>
          <w:lang w:val="it-IT"/>
        </w:rPr>
        <w:t>, Italy</w:t>
      </w:r>
    </w:p>
    <w:p w14:paraId="38D29194" w14:textId="72058999" w:rsidR="00E978D0" w:rsidRPr="00ED3561" w:rsidRDefault="00E978D0" w:rsidP="00ED3561">
      <w:pPr>
        <w:pStyle w:val="CETAddress"/>
        <w:rPr>
          <w:lang w:val="it-IT"/>
        </w:rPr>
      </w:pPr>
      <w:r w:rsidRPr="00ED3561">
        <w:rPr>
          <w:vertAlign w:val="superscript"/>
          <w:lang w:val="it-IT"/>
        </w:rPr>
        <w:t>b</w:t>
      </w:r>
      <w:r w:rsidR="009073E8" w:rsidRPr="00ED3561">
        <w:rPr>
          <w:lang w:val="it-IT"/>
        </w:rPr>
        <w:t xml:space="preserve"> </w:t>
      </w:r>
      <w:r w:rsidR="001253E3" w:rsidRPr="00ED3561">
        <w:rPr>
          <w:lang w:val="it-IT"/>
        </w:rPr>
        <w:t>Regas srl</w:t>
      </w:r>
      <w:r w:rsidR="00701038">
        <w:rPr>
          <w:lang w:val="it-IT"/>
        </w:rPr>
        <w:t xml:space="preserve"> -</w:t>
      </w:r>
      <w:r w:rsidRPr="00ED3561">
        <w:rPr>
          <w:lang w:val="it-IT"/>
        </w:rPr>
        <w:t xml:space="preserve"> </w:t>
      </w:r>
      <w:r w:rsidR="00ED3561" w:rsidRPr="00ED3561">
        <w:rPr>
          <w:lang w:val="it-IT"/>
        </w:rPr>
        <w:t>Via Redipuglia, 70</w:t>
      </w:r>
      <w:r w:rsidR="00701038">
        <w:rPr>
          <w:lang w:val="it-IT"/>
        </w:rPr>
        <w:t xml:space="preserve">, </w:t>
      </w:r>
      <w:r w:rsidR="00ED3561" w:rsidRPr="00ED3561">
        <w:rPr>
          <w:lang w:val="it-IT"/>
        </w:rPr>
        <w:t>24047 Treviglio (BG)</w:t>
      </w:r>
      <w:r w:rsidR="00701038">
        <w:rPr>
          <w:lang w:val="it-IT"/>
        </w:rPr>
        <w:t xml:space="preserve">, </w:t>
      </w:r>
      <w:r w:rsidR="00ED3561" w:rsidRPr="00ED3561">
        <w:rPr>
          <w:lang w:val="it-IT"/>
        </w:rPr>
        <w:t>Italy</w:t>
      </w:r>
    </w:p>
    <w:p w14:paraId="0127A28D" w14:textId="5CCC1BB7" w:rsidR="00E978D0" w:rsidRPr="00B57B36" w:rsidRDefault="00AB5011" w:rsidP="00E978D0">
      <w:pPr>
        <w:pStyle w:val="CETemail"/>
      </w:pPr>
      <w:r w:rsidRPr="00ED3561">
        <w:rPr>
          <w:lang w:val="it-IT"/>
        </w:rPr>
        <w:t xml:space="preserve"> </w:t>
      </w:r>
      <w:r w:rsidR="001253E3">
        <w:t>elisa.zanella</w:t>
      </w:r>
      <w:r w:rsidR="00600535" w:rsidRPr="00B57B36">
        <w:t>@</w:t>
      </w:r>
      <w:r w:rsidR="009073E8">
        <w:t>unimi.it</w:t>
      </w:r>
    </w:p>
    <w:p w14:paraId="3B7BB8D8" w14:textId="029C123A" w:rsidR="00937E66" w:rsidRDefault="00937E66" w:rsidP="0059467A">
      <w:bookmarkStart w:id="0" w:name="_Hlk495475023"/>
      <w:r>
        <w:t xml:space="preserve">One of the most important goals of this century is the </w:t>
      </w:r>
      <w:r w:rsidR="00DC193F">
        <w:t xml:space="preserve">exploitation of </w:t>
      </w:r>
      <w:r w:rsidR="00E76145">
        <w:t>hydrogen</w:t>
      </w:r>
      <w:r w:rsidR="00DC193F">
        <w:t xml:space="preserve"> </w:t>
      </w:r>
      <w:r>
        <w:t>a</w:t>
      </w:r>
      <w:r w:rsidR="00E76145">
        <w:t>s green</w:t>
      </w:r>
      <w:r>
        <w:t xml:space="preserve"> energy carrier</w:t>
      </w:r>
      <w:r w:rsidR="00E76145">
        <w:t xml:space="preserve">. Due to its </w:t>
      </w:r>
      <w:r w:rsidR="00E37BA8">
        <w:t xml:space="preserve">storage and </w:t>
      </w:r>
      <w:r w:rsidR="00E44501">
        <w:t>transportation problem</w:t>
      </w:r>
      <w:r w:rsidR="00C44553">
        <w:t>, a</w:t>
      </w:r>
      <w:r>
        <w:t xml:space="preserve"> concrete and immediate solution is the exploitation of the gas pipelines now used for natural gas. In this regard, safety is of paramount importance; indeed, like natural gas, hydrogen is an odourless and colourless flammable gas. To solve this problem a system of hydrogen odorization is to implement.</w:t>
      </w:r>
      <w:r w:rsidR="00523BC2">
        <w:t xml:space="preserve"> </w:t>
      </w:r>
      <w:r>
        <w:t xml:space="preserve">This work is aimed at the investigation of a possible process for hydrogen odorization, focused on pure hydrogen and natural gas-hydrogen mixtures systems, to simulate a possible real gas pipeline. The odorization system considered in this work is called INGRID, developed by </w:t>
      </w:r>
      <w:proofErr w:type="spellStart"/>
      <w:r>
        <w:t>Regas</w:t>
      </w:r>
      <w:proofErr w:type="spellEnd"/>
      <w:r>
        <w:t xml:space="preserve"> </w:t>
      </w:r>
      <w:proofErr w:type="spellStart"/>
      <w:r>
        <w:t>Srl</w:t>
      </w:r>
      <w:proofErr w:type="spellEnd"/>
      <w:r>
        <w:t xml:space="preserve">, a partner company for this project. Starting from INGRID’s specifications, a simulation model was then developed using AVEVA's PRO II software </w:t>
      </w:r>
      <w:proofErr w:type="gramStart"/>
      <w:r>
        <w:t>on the basis of</w:t>
      </w:r>
      <w:proofErr w:type="gramEnd"/>
      <w:r>
        <w:t xml:space="preserve"> the thermodynamic liquid-vapor equilibria of the mixture. </w:t>
      </w:r>
      <w:r w:rsidR="0059467A">
        <w:rPr>
          <w:lang w:val="en-US"/>
        </w:rPr>
        <w:t xml:space="preserve">As odorant, </w:t>
      </w:r>
      <w:r w:rsidR="0059467A">
        <w:t>tetrahydrothiophene (THT)</w:t>
      </w:r>
      <w:r w:rsidR="0059467A">
        <w:rPr>
          <w:lang w:val="en-US"/>
        </w:rPr>
        <w:t xml:space="preserve"> was</w:t>
      </w:r>
      <w:r w:rsidR="0059467A">
        <w:t xml:space="preserve"> taken into consideration, thanks to the fact that this is the most used odorant and so more experimental data are available in</w:t>
      </w:r>
      <w:r w:rsidR="0058646B">
        <w:t xml:space="preserve"> the</w:t>
      </w:r>
      <w:r w:rsidR="0059467A">
        <w:t xml:space="preserve"> literature. </w:t>
      </w:r>
      <w:r>
        <w:rPr>
          <w:noProof/>
        </w:rPr>
        <w:t xml:space="preserve">This system has proved to be effective in the odorization </w:t>
      </w:r>
      <w:r>
        <w:t>of both pure hydrogen and hydrogen-natural gas mixture.</w:t>
      </w:r>
      <w:r w:rsidR="0059467A" w:rsidRPr="0059467A">
        <w:rPr>
          <w:lang w:val="en-US"/>
        </w:rPr>
        <w:t xml:space="preserve"> </w:t>
      </w:r>
    </w:p>
    <w:bookmarkEnd w:id="0"/>
    <w:p w14:paraId="476B2F2E" w14:textId="77777777" w:rsidR="00600535" w:rsidRDefault="00600535" w:rsidP="00600535">
      <w:pPr>
        <w:pStyle w:val="CETHeading1"/>
        <w:rPr>
          <w:lang w:val="en-GB"/>
        </w:rPr>
      </w:pPr>
      <w:r w:rsidRPr="00B57B36">
        <w:rPr>
          <w:lang w:val="en-GB"/>
        </w:rPr>
        <w:t>Introduction</w:t>
      </w:r>
    </w:p>
    <w:p w14:paraId="48839E76" w14:textId="4741B8CF" w:rsidR="001F32BC" w:rsidRDefault="001F32BC" w:rsidP="0076150F">
      <w:r>
        <w:t xml:space="preserve">One of the most important goals of this century is the production of energy through sustainable processes. Today, most of the energy is produced using non-renewable energy sources such as fossil fuels, that led to significant climate change, mainly related to carbon dioxide </w:t>
      </w:r>
      <w:r w:rsidRPr="00243294">
        <w:t>emissions (</w:t>
      </w:r>
      <w:proofErr w:type="spellStart"/>
      <w:r w:rsidRPr="00243294">
        <w:t>Rajeshwar</w:t>
      </w:r>
      <w:proofErr w:type="spellEnd"/>
      <w:r w:rsidRPr="00243294">
        <w:t xml:space="preserve"> et al.</w:t>
      </w:r>
      <w:r w:rsidR="006A65BA" w:rsidRPr="00243294">
        <w:t>,</w:t>
      </w:r>
      <w:r w:rsidRPr="00243294">
        <w:t xml:space="preserve"> 2008). In</w:t>
      </w:r>
      <w:r>
        <w:t xml:space="preserve"> addition, these non-renewable resources are running out and they will no longer be able to meet the world's energy </w:t>
      </w:r>
      <w:r w:rsidRPr="00243294">
        <w:t>demand (U.S. EIA</w:t>
      </w:r>
      <w:r w:rsidR="006A65BA" w:rsidRPr="00243294">
        <w:t>,</w:t>
      </w:r>
      <w:r w:rsidRPr="00243294">
        <w:t xml:space="preserve"> 2019).</w:t>
      </w:r>
      <w:r>
        <w:t xml:space="preserve"> </w:t>
      </w:r>
      <w:r w:rsidR="0058646B">
        <w:t>Therefore, i</w:t>
      </w:r>
      <w:r>
        <w:t xml:space="preserve">t is necessary to find new sustainable ways of producing, </w:t>
      </w:r>
      <w:proofErr w:type="gramStart"/>
      <w:r>
        <w:t>carrying</w:t>
      </w:r>
      <w:proofErr w:type="gramEnd"/>
      <w:r>
        <w:t xml:space="preserve"> and storing energy</w:t>
      </w:r>
      <w:r w:rsidR="0069690D" w:rsidRPr="0069690D">
        <w:t xml:space="preserve"> </w:t>
      </w:r>
      <w:r w:rsidR="0069690D">
        <w:t>(</w:t>
      </w:r>
      <w:proofErr w:type="spellStart"/>
      <w:r w:rsidR="0069690D" w:rsidRPr="0075286C">
        <w:t>Jankuj</w:t>
      </w:r>
      <w:proofErr w:type="spellEnd"/>
      <w:r w:rsidR="0069690D">
        <w:t xml:space="preserve"> et al., 2022)</w:t>
      </w:r>
      <w:r>
        <w:t xml:space="preserve">. In this respect, a very promising energy carrier is hydrogen, which presents a green </w:t>
      </w:r>
      <w:r w:rsidR="000C54E9">
        <w:t>combustion</w:t>
      </w:r>
      <w:r w:rsidR="005177F7">
        <w:rPr>
          <w:lang w:val="en-US"/>
        </w:rPr>
        <w:t xml:space="preserve">, </w:t>
      </w:r>
      <w:r w:rsidR="0008562F" w:rsidRPr="007760D0">
        <w:rPr>
          <w:lang w:val="en-US"/>
        </w:rPr>
        <w:t xml:space="preserve">thanks to which no pollutants are </w:t>
      </w:r>
      <w:proofErr w:type="gramStart"/>
      <w:r w:rsidR="0008562F" w:rsidRPr="007760D0">
        <w:rPr>
          <w:lang w:val="en-US"/>
        </w:rPr>
        <w:t>produced</w:t>
      </w:r>
      <w:proofErr w:type="gramEnd"/>
      <w:r w:rsidR="0008562F" w:rsidRPr="007760D0">
        <w:rPr>
          <w:lang w:val="en-US"/>
        </w:rPr>
        <w:t xml:space="preserve"> and the only </w:t>
      </w:r>
      <w:r w:rsidR="0008562F">
        <w:rPr>
          <w:lang w:val="en-US"/>
        </w:rPr>
        <w:t>by-</w:t>
      </w:r>
      <w:r w:rsidR="0008562F" w:rsidRPr="007760D0">
        <w:rPr>
          <w:lang w:val="en-US"/>
        </w:rPr>
        <w:t>product is water</w:t>
      </w:r>
      <w:r w:rsidR="001B1BCC">
        <w:rPr>
          <w:lang w:val="en-US"/>
        </w:rPr>
        <w:t>,</w:t>
      </w:r>
      <w:r w:rsidR="009E3841">
        <w:rPr>
          <w:lang w:val="en-US"/>
        </w:rPr>
        <w:t xml:space="preserve"> </w:t>
      </w:r>
      <w:r>
        <w:t xml:space="preserve">and a very high gravimetric energy </w:t>
      </w:r>
      <w:r w:rsidRPr="008174EA">
        <w:t>density</w:t>
      </w:r>
      <w:r w:rsidR="005177F7" w:rsidRPr="007760D0">
        <w:rPr>
          <w:lang w:val="en-US"/>
        </w:rPr>
        <w:t>, more than three times higher than that of petrol</w:t>
      </w:r>
      <w:r w:rsidR="00D57B81">
        <w:t xml:space="preserve"> </w:t>
      </w:r>
      <w:r w:rsidRPr="008174EA">
        <w:t>(Pareek et al.</w:t>
      </w:r>
      <w:r w:rsidR="00FB00AD" w:rsidRPr="008174EA">
        <w:t>,</w:t>
      </w:r>
      <w:r w:rsidRPr="008174EA">
        <w:t xml:space="preserve"> 2020).</w:t>
      </w:r>
      <w:r>
        <w:t xml:space="preserve"> These characteristics make </w:t>
      </w:r>
      <w:r w:rsidR="00E02F18">
        <w:t>hydrogen an</w:t>
      </w:r>
      <w:r>
        <w:t xml:space="preserve"> excellent green fuel.</w:t>
      </w:r>
      <w:r w:rsidR="00704E25">
        <w:t xml:space="preserve"> H</w:t>
      </w:r>
      <w:r w:rsidR="00704E25" w:rsidRPr="00704E25">
        <w:t>owever</w:t>
      </w:r>
      <w:r w:rsidR="00704E25">
        <w:t>,</w:t>
      </w:r>
      <w:r w:rsidR="00461BBE">
        <w:t xml:space="preserve"> </w:t>
      </w:r>
      <w:r w:rsidR="00461BBE" w:rsidRPr="00461BBE">
        <w:t>to achieve a real energy transition</w:t>
      </w:r>
      <w:r w:rsidR="00704E25" w:rsidRPr="00704E25">
        <w:t xml:space="preserve"> </w:t>
      </w:r>
      <w:r w:rsidR="00CE48D0">
        <w:t xml:space="preserve">its production method </w:t>
      </w:r>
      <w:r w:rsidR="00461BBE">
        <w:t>must be</w:t>
      </w:r>
      <w:r w:rsidR="0069690D">
        <w:t xml:space="preserve"> taken into consideration.</w:t>
      </w:r>
      <w:r w:rsidR="00704E25" w:rsidRPr="00704E25">
        <w:t xml:space="preserve"> </w:t>
      </w:r>
      <w:r w:rsidR="00D4630D">
        <w:t>Indeed, n</w:t>
      </w:r>
      <w:r w:rsidR="00704E25" w:rsidRPr="00704E25">
        <w:t xml:space="preserve">owadays </w:t>
      </w:r>
      <w:r w:rsidR="00695E40" w:rsidRPr="007760D0">
        <w:rPr>
          <w:lang w:val="en-US"/>
        </w:rPr>
        <w:t>the main ones still use fossil fuels and consequently produce CO</w:t>
      </w:r>
      <w:r w:rsidR="00695E40" w:rsidRPr="0076150F">
        <w:rPr>
          <w:vertAlign w:val="subscript"/>
          <w:lang w:val="en-US"/>
        </w:rPr>
        <w:t xml:space="preserve">2 </w:t>
      </w:r>
      <w:r w:rsidR="00695E40" w:rsidRPr="007760D0">
        <w:rPr>
          <w:lang w:val="en-US"/>
        </w:rPr>
        <w:t>as the main by-product</w:t>
      </w:r>
      <w:r w:rsidR="003D333D">
        <w:rPr>
          <w:lang w:val="en-US"/>
        </w:rPr>
        <w:t xml:space="preserve"> (“</w:t>
      </w:r>
      <w:r w:rsidR="003D333D" w:rsidRPr="002E18F6">
        <w:rPr>
          <w:lang w:val="en-US"/>
        </w:rPr>
        <w:t>Gr</w:t>
      </w:r>
      <w:r w:rsidR="00DF2640" w:rsidRPr="002E18F6">
        <w:rPr>
          <w:lang w:val="en-US"/>
        </w:rPr>
        <w:t>e</w:t>
      </w:r>
      <w:r w:rsidR="003D333D" w:rsidRPr="002E18F6">
        <w:rPr>
          <w:lang w:val="en-US"/>
        </w:rPr>
        <w:t>y</w:t>
      </w:r>
      <w:r w:rsidR="0006356A" w:rsidRPr="002E18F6">
        <w:rPr>
          <w:lang w:val="en-US"/>
        </w:rPr>
        <w:t xml:space="preserve"> or blue hydrogen</w:t>
      </w:r>
      <w:r w:rsidR="0006356A">
        <w:rPr>
          <w:lang w:val="en-US"/>
        </w:rPr>
        <w:t>”)</w:t>
      </w:r>
      <w:r w:rsidR="00D60725">
        <w:t>.  Only</w:t>
      </w:r>
      <w:r w:rsidR="002E18F6">
        <w:t xml:space="preserve"> the hydrogen </w:t>
      </w:r>
      <w:r w:rsidR="002E18F6" w:rsidRPr="00D60725">
        <w:t>entirely produced from renewable sources thanks to the use of electrolysers</w:t>
      </w:r>
      <w:r w:rsidR="002E18F6">
        <w:t xml:space="preserve"> can be considered </w:t>
      </w:r>
      <w:r w:rsidR="00D60725" w:rsidRPr="00D60725">
        <w:t>"</w:t>
      </w:r>
      <w:r w:rsidR="002E18F6" w:rsidRPr="0076150F">
        <w:t>G</w:t>
      </w:r>
      <w:r w:rsidR="00D60725" w:rsidRPr="002E18F6">
        <w:t>reen hydrogen</w:t>
      </w:r>
      <w:r w:rsidR="009E3841" w:rsidRPr="00D60725">
        <w:t>”</w:t>
      </w:r>
      <w:r w:rsidR="009E3841">
        <w:t>.</w:t>
      </w:r>
      <w:r w:rsidR="009E3841" w:rsidRPr="00D60725">
        <w:t xml:space="preserve"> At</w:t>
      </w:r>
      <w:r w:rsidR="0090671D">
        <w:t xml:space="preserve"> the same time</w:t>
      </w:r>
      <w:r>
        <w:t>,</w:t>
      </w:r>
      <w:r w:rsidR="00DA453B">
        <w:t xml:space="preserve"> hydrogen is</w:t>
      </w:r>
      <w:r w:rsidR="005353B7">
        <w:t xml:space="preserve"> characterized</w:t>
      </w:r>
      <w:r w:rsidR="0058646B">
        <w:t xml:space="preserve"> by both</w:t>
      </w:r>
      <w:r>
        <w:t xml:space="preserve"> low volumetric energy density and high </w:t>
      </w:r>
      <w:r w:rsidR="00E02F18">
        <w:t>flammability</w:t>
      </w:r>
      <w:r w:rsidR="00DA453B">
        <w:t xml:space="preserve"> and so</w:t>
      </w:r>
      <w:r w:rsidR="00E02F18">
        <w:t xml:space="preserve"> its</w:t>
      </w:r>
      <w:r w:rsidR="005353B7">
        <w:t xml:space="preserve"> use </w:t>
      </w:r>
      <w:r>
        <w:t xml:space="preserve">is </w:t>
      </w:r>
      <w:r w:rsidR="005353B7">
        <w:t xml:space="preserve">mainly </w:t>
      </w:r>
      <w:r>
        <w:t xml:space="preserve">limited </w:t>
      </w:r>
      <w:r w:rsidR="005353B7">
        <w:t>by</w:t>
      </w:r>
      <w:r>
        <w:t xml:space="preserve"> storage and transport problems </w:t>
      </w:r>
      <w:r w:rsidRPr="008174EA">
        <w:t>(Zanella et al.</w:t>
      </w:r>
      <w:r w:rsidR="0086712C" w:rsidRPr="008174EA">
        <w:t>,</w:t>
      </w:r>
      <w:r w:rsidRPr="008174EA">
        <w:t xml:space="preserve"> 2022). A concrete and immediate solution for its transportation problem is the exploitation of the gas pipelines</w:t>
      </w:r>
      <w:r>
        <w:t xml:space="preserve"> now used for natural gas, starting from natural gas/hydrogen mixtures in a ratio of 90/10 or 80/20. In this regard, safety is of paramount importance; indeed, like natural gas, hydrogen is an odourless and colourless flammable gas. To solve this problem a system of hydrogen odorization is to implement. Until now there are no data in literature on the odorization of hydrogen, so the work presented in this article has been based on what is already known about the odorization of natural gas.</w:t>
      </w:r>
    </w:p>
    <w:p w14:paraId="7C62E26A" w14:textId="69FB4857" w:rsidR="001F32BC" w:rsidRDefault="001F32BC" w:rsidP="001F32BC">
      <w:pPr>
        <w:pStyle w:val="CETBodytext"/>
      </w:pPr>
      <w:r>
        <w:lastRenderedPageBreak/>
        <w:t xml:space="preserve">Natural gas odorization process consists in adding compounds that allow an easy detection of leaks inside the pipelines giving at the gaseous mixture the characteristic “gas” smell. The most important characteristics that an odorant must have </w:t>
      </w:r>
      <w:proofErr w:type="gramStart"/>
      <w:r>
        <w:t>are:</w:t>
      </w:r>
      <w:proofErr w:type="gramEnd"/>
      <w:r>
        <w:t xml:space="preserve"> a strong and recognizable odour even in presence of minimal quantities (few ppm level), high miscibility with the gas, chemical stability under transport conditions, both towards the gas and the piping components, high </w:t>
      </w:r>
      <w:r w:rsidRPr="00243294">
        <w:t>vapor pressure to prevent condensation from forming in the pipes due to high pressure and low toxicity and cost</w:t>
      </w:r>
      <w:r w:rsidR="008174EA" w:rsidRPr="00243294">
        <w:t xml:space="preserve"> </w:t>
      </w:r>
      <w:r w:rsidRPr="00243294">
        <w:t>(</w:t>
      </w:r>
      <w:proofErr w:type="spellStart"/>
      <w:r w:rsidR="00D14A5C" w:rsidRPr="00243294">
        <w:rPr>
          <w:rFonts w:cs="Arial"/>
          <w:color w:val="000000"/>
          <w:shd w:val="clear" w:color="auto" w:fill="FFFFFF"/>
        </w:rPr>
        <w:t>Tenkrat</w:t>
      </w:r>
      <w:proofErr w:type="spellEnd"/>
      <w:r w:rsidR="00D14A5C" w:rsidRPr="00243294">
        <w:rPr>
          <w:rFonts w:cs="Arial"/>
          <w:color w:val="000000"/>
          <w:shd w:val="clear" w:color="auto" w:fill="FFFFFF"/>
        </w:rPr>
        <w:t>, D. et al.</w:t>
      </w:r>
      <w:r w:rsidR="006A65BA" w:rsidRPr="00243294">
        <w:rPr>
          <w:rFonts w:cs="Arial"/>
          <w:color w:val="000000"/>
          <w:shd w:val="clear" w:color="auto" w:fill="FFFFFF"/>
        </w:rPr>
        <w:t>, 2010</w:t>
      </w:r>
      <w:r w:rsidRPr="00243294">
        <w:t>)</w:t>
      </w:r>
      <w:r w:rsidR="008174EA" w:rsidRPr="00243294">
        <w:t>.</w:t>
      </w:r>
    </w:p>
    <w:p w14:paraId="7894FCA2" w14:textId="05207D36" w:rsidR="001F32BC" w:rsidRDefault="001F32BC" w:rsidP="001F32BC">
      <w:pPr>
        <w:pStyle w:val="CETBodytext"/>
      </w:pPr>
      <w:r>
        <w:t xml:space="preserve">The choice of the odorant is determined not only by the availability of odorants, but also by the properties of the gas to be smelled and </w:t>
      </w:r>
      <w:r w:rsidR="00527D36">
        <w:t xml:space="preserve">by </w:t>
      </w:r>
      <w:r>
        <w:t xml:space="preserve">the structure of the pipeline, such as the properties of the soil and the material </w:t>
      </w:r>
      <w:r w:rsidR="00527D36">
        <w:t xml:space="preserve">of </w:t>
      </w:r>
      <w:r>
        <w:t xml:space="preserve">which it is </w:t>
      </w:r>
      <w:r w:rsidR="00527D36">
        <w:t>made</w:t>
      </w:r>
      <w:r>
        <w:t xml:space="preserve">. Initially the odour was caused by the refinery by-products present inside the gas, subsequently replaced by low molecular weight chemical species such as mercaptans and sulphides. However, the sulphur species produce oxides which are </w:t>
      </w:r>
      <w:r w:rsidRPr="00003398">
        <w:t>released into the atmosphere</w:t>
      </w:r>
      <w:r w:rsidR="00527D36">
        <w:t xml:space="preserve"> so</w:t>
      </w:r>
      <w:r w:rsidRPr="00003398">
        <w:t xml:space="preserve"> new types of odorants</w:t>
      </w:r>
      <w:r w:rsidR="00527D36">
        <w:t>,</w:t>
      </w:r>
      <w:r w:rsidRPr="00003398">
        <w:t xml:space="preserve"> based on acrylate mixtures</w:t>
      </w:r>
      <w:r w:rsidR="00527D36">
        <w:t>,</w:t>
      </w:r>
      <w:r w:rsidRPr="00003398">
        <w:t xml:space="preserve"> have been introduced (</w:t>
      </w:r>
      <w:r w:rsidR="002125D1" w:rsidRPr="00003398">
        <w:t>Graf, 2007</w:t>
      </w:r>
      <w:r w:rsidRPr="00003398">
        <w:t>).</w:t>
      </w:r>
    </w:p>
    <w:p w14:paraId="06ACC412" w14:textId="508BDE95" w:rsidR="001F32BC" w:rsidRDefault="001F32BC" w:rsidP="001F32BC">
      <w:pPr>
        <w:pStyle w:val="CETBodytext"/>
      </w:pPr>
      <w:r>
        <w:t xml:space="preserve">The most used odorants </w:t>
      </w:r>
      <w:proofErr w:type="gramStart"/>
      <w:r>
        <w:t>are:</w:t>
      </w:r>
      <w:proofErr w:type="gramEnd"/>
      <w:r>
        <w:t xml:space="preserve"> sulphur containing compounds, tetrahydrothiophene (THT), dimethyl sulphide (DMS) and </w:t>
      </w:r>
      <w:proofErr w:type="spellStart"/>
      <w:r>
        <w:t>ter</w:t>
      </w:r>
      <w:proofErr w:type="spellEnd"/>
      <w:r>
        <w:t xml:space="preserve">-butyl mercaptan (TBM), </w:t>
      </w:r>
      <w:r w:rsidRPr="00243294">
        <w:t>and non-sulphur containing compounds, methacrylate (MA), ethyl acrylate (EA) and ethyl-methyl-pyrazine (EMP) (</w:t>
      </w:r>
      <w:proofErr w:type="spellStart"/>
      <w:r w:rsidR="00CC7971" w:rsidRPr="00243294">
        <w:rPr>
          <w:rFonts w:cs="Arial"/>
          <w:color w:val="000000"/>
          <w:shd w:val="clear" w:color="auto" w:fill="FFFFFF"/>
        </w:rPr>
        <w:t>Tenkrat</w:t>
      </w:r>
      <w:proofErr w:type="spellEnd"/>
      <w:r w:rsidR="00CC7971" w:rsidRPr="00243294">
        <w:rPr>
          <w:rFonts w:cs="Arial"/>
          <w:color w:val="000000"/>
          <w:shd w:val="clear" w:color="auto" w:fill="FFFFFF"/>
        </w:rPr>
        <w:t>, D. et al., 2010</w:t>
      </w:r>
      <w:r w:rsidRPr="00243294">
        <w:t>).</w:t>
      </w:r>
      <w:r>
        <w:t xml:space="preserve"> These molecules are largely used as odorants for methane, but their behaviour for hydrogen or methane/hydrogen mixtures has been scarcely investigated</w:t>
      </w:r>
      <w:r w:rsidRPr="00CC7971">
        <w:t>.</w:t>
      </w:r>
    </w:p>
    <w:p w14:paraId="41C9BE9B" w14:textId="51AA7D61" w:rsidR="001F32BC" w:rsidRPr="00FE20D8" w:rsidRDefault="001F32BC" w:rsidP="001F32BC">
      <w:pPr>
        <w:pStyle w:val="CETBodytext"/>
        <w:rPr>
          <w:lang w:val="en-US"/>
        </w:rPr>
      </w:pPr>
      <w:r>
        <w:t>In this work, a preliminary study on the odorization process of hydrogen and methane-hydrogen mixtures has been done.</w:t>
      </w:r>
      <w:r w:rsidR="000B4BDC">
        <w:t xml:space="preserve"> </w:t>
      </w:r>
      <w:r>
        <w:t xml:space="preserve">Starting from INGRID, an automatic odorant injection system developed by </w:t>
      </w:r>
      <w:proofErr w:type="spellStart"/>
      <w:r>
        <w:t>Regas</w:t>
      </w:r>
      <w:proofErr w:type="spellEnd"/>
      <w:r>
        <w:t xml:space="preserve"> </w:t>
      </w:r>
      <w:proofErr w:type="spellStart"/>
      <w:r>
        <w:t>Srl</w:t>
      </w:r>
      <w:proofErr w:type="spellEnd"/>
      <w:r>
        <w:t xml:space="preserve">, a partner company for this project that supplies control systems for natural gas odorization and distribution plants, and its specifications, a simulation model was then developed using AVEVA's PRO II process simulation software </w:t>
      </w:r>
      <w:proofErr w:type="gramStart"/>
      <w:r>
        <w:t>on the basis of</w:t>
      </w:r>
      <w:proofErr w:type="gramEnd"/>
      <w:r>
        <w:t xml:space="preserve"> the thermodynamic liquid-vapor equilibria of the mixture.</w:t>
      </w:r>
      <w:r w:rsidR="00FE1C26">
        <w:t xml:space="preserve"> </w:t>
      </w:r>
      <w:r>
        <w:t xml:space="preserve">INGRID is a by-pass injection odorization system in which the liquid odorant is added in small amount into the gas pipeline. INGRID is able to ensure the correct </w:t>
      </w:r>
      <w:proofErr w:type="spellStart"/>
      <w:r>
        <w:t>odor</w:t>
      </w:r>
      <w:proofErr w:type="spellEnd"/>
      <w:r>
        <w:t xml:space="preserve"> ratio and homogeneity with single injections as small as possible, reducing the risk of over odorization, thanks to advanced closed-loop control algorithm that is able to auto-adjust injector operations according to the actual amount of odorant needed, enabling </w:t>
      </w:r>
      <w:r w:rsidR="00F76540">
        <w:t xml:space="preserve">the system </w:t>
      </w:r>
      <w:r>
        <w:t>to react quickly to sudden changes in working conditions such as flow, pressure, temperature, etc</w:t>
      </w:r>
      <w:r w:rsidRPr="008174EA">
        <w:t>. (</w:t>
      </w:r>
      <w:r w:rsidR="00F454A6" w:rsidRPr="008174EA">
        <w:fldChar w:fldCharType="begin" w:fldLock="1"/>
      </w:r>
      <w:r w:rsidR="00A35834" w:rsidRPr="008174EA">
        <w:instrText>ADDIN CSL_CITATION {"citationItems":[{"id":"ITEM-1","itemData":{"URL":"https://www.regasenergy.com/products/gas-odorization/ingrid-odorant-injection-system/","author":[{"dropping-particle":"","family":"Regas srl","given":"","non-dropping-particle":"","parse-names":false,"suffix":""}],"id":"ITEM-1","issued":{"date-parts":[["0"]]},"title":"Ingrid - odorant injection system","type":"webpage"},"uris":["http://www.mendeley.com/documents/?uuid=222efa3f-1954-4698-95a6-1a81ccac2249"]}],"mendeley":{"formattedCitation":"(Regas srl, n.d.)","manualFormatting":"Regas srl","plainTextFormattedCitation":"(Regas srl, n.d.)","previouslyFormattedCitation":"(Regas srl, n.d.)"},"properties":{"noteIndex":0},"schema":"https://github.com/citation-style-language/schema/raw/master/csl-citation.json"}</w:instrText>
      </w:r>
      <w:r w:rsidR="00F454A6" w:rsidRPr="008174EA">
        <w:fldChar w:fldCharType="separate"/>
      </w:r>
      <w:r w:rsidR="00F454A6" w:rsidRPr="008174EA">
        <w:rPr>
          <w:noProof/>
        </w:rPr>
        <w:t>Regas srl</w:t>
      </w:r>
      <w:r w:rsidR="00F454A6" w:rsidRPr="008174EA">
        <w:fldChar w:fldCharType="end"/>
      </w:r>
      <w:r w:rsidR="00797DF1">
        <w:t xml:space="preserve"> </w:t>
      </w:r>
      <w:r w:rsidR="00F304EE">
        <w:t>internal information</w:t>
      </w:r>
      <w:r w:rsidRPr="008174EA">
        <w:t>).</w:t>
      </w:r>
      <w:r>
        <w:t xml:space="preserve"> In addition to the by-pass system, the main flow of gas can be throttled generating a pressure gap, which allows a partial flow of gas to enter the odorant tank</w:t>
      </w:r>
      <w:r w:rsidR="00F76540">
        <w:t xml:space="preserve"> and </w:t>
      </w:r>
      <w:r>
        <w:t>become saturated</w:t>
      </w:r>
      <w:r w:rsidR="00F76540">
        <w:t xml:space="preserve">. At the </w:t>
      </w:r>
      <w:r w:rsidR="005A014F">
        <w:t>end the</w:t>
      </w:r>
      <w:r>
        <w:t xml:space="preserve"> odorized gas returns to the </w:t>
      </w:r>
      <w:proofErr w:type="gramStart"/>
      <w:r>
        <w:t>main stream</w:t>
      </w:r>
      <w:proofErr w:type="gramEnd"/>
      <w:r>
        <w:t xml:space="preserve">. This system is named lapping odorization system and start to work when the previous one has some technical issues. In this way the odorization process is always </w:t>
      </w:r>
      <w:r w:rsidRPr="008174EA">
        <w:t xml:space="preserve">granted </w:t>
      </w:r>
      <w:r w:rsidR="006F0907" w:rsidRPr="008174EA">
        <w:fldChar w:fldCharType="begin" w:fldLock="1"/>
      </w:r>
      <w:r w:rsidR="00DB5F3E" w:rsidRPr="008174EA">
        <w:instrText>ADDIN CSL_CITATION {"citationItems":[{"id":"ITEM-1","itemData":{"DOI":"https://doi.org/10.1016/B978-0-12-803734-8.00015-1","ISBN":"978-0-12-803734-8","abstract":"This chapter deals with chemicals used for odorization. Odorization is a primary concern for any gas transmission company. Accurate injection of the odorant, proper monitoring techniques, and complete record maintenance are important factors in developing and sustaining a successful odorization program. Important points to consider are which pipelines require odorization, the detectable limits of gas odor, odorants, and odorizing considerations, and monitoring a pipeline system to ensure that the odorization program is meeting the regulatory requirements. Odorants should allow the detection of leakages without any external equipment. The end user needs not to worry in maintaining any measuring equipment. Thus, equipment failures cannot cause not to detect leaks. Consequently, odorants allow the detection of leaks in places where it may be difficult to position detectors.","editor":[{"dropping-particle":"","family":"Fink","given":"Johannes B T - Petroleum Engineer's Guide to Oil Field Chemicals and Fluids (Second Edition)","non-dropping-particle":"","parse-names":false,"suffix":""}],"id":"ITEM-1","issued":{"date-parts":[["2015"]]},"page":"455-475","publisher":"Gulf Professional Publishing","publisher-place":"Boston","title":"Chapter 15 - Odorization","type":"chapter"},"uris":["http://www.mendeley.com/documents/?uuid=bdc201ca-605f-4ff8-85d8-1615a524b79e"]}],"mendeley":{"formattedCitation":"(Fink 2015)","plainTextFormattedCitation":"(Fink 2015)","previouslyFormattedCitation":"(Fink 2015)"},"properties":{"noteIndex":0},"schema":"https://github.com/citation-style-language/schema/raw/master/csl-citation.json"}</w:instrText>
      </w:r>
      <w:r w:rsidR="006F0907" w:rsidRPr="008174EA">
        <w:fldChar w:fldCharType="separate"/>
      </w:r>
      <w:r w:rsidR="00DB5F3E" w:rsidRPr="008174EA">
        <w:rPr>
          <w:noProof/>
        </w:rPr>
        <w:t>(Fink</w:t>
      </w:r>
      <w:r w:rsidR="00F80A1E" w:rsidRPr="008174EA">
        <w:rPr>
          <w:noProof/>
        </w:rPr>
        <w:t xml:space="preserve">, </w:t>
      </w:r>
      <w:r w:rsidR="00DB5F3E" w:rsidRPr="008174EA">
        <w:rPr>
          <w:noProof/>
        </w:rPr>
        <w:t>2015)</w:t>
      </w:r>
      <w:r w:rsidR="006F0907" w:rsidRPr="008174EA">
        <w:fldChar w:fldCharType="end"/>
      </w:r>
      <w:r w:rsidR="00F80A1E" w:rsidRPr="008174EA">
        <w:t xml:space="preserve"> </w:t>
      </w:r>
      <w:r w:rsidR="00F80A1E" w:rsidRPr="00FE20D8">
        <w:fldChar w:fldCharType="begin" w:fldLock="1"/>
      </w:r>
      <w:r w:rsidR="00B13AF3" w:rsidRPr="00FE20D8">
        <w:instrText>ADDIN CSL_CITATION {"citationItems":[{"id":"ITEM-1","itemData":{"DOI":"https://doi.org/10.1016/j.jngse.2017.12.010","ISSN":"1875-5100","abstract":"Natural gas odorization is a safety critical issue in natural gas distribution industries enabling early detection of leakage that lead to prevention of fatal accidents. Usually inefficient manually controlled bypass odorizers are used in most town border stations used in gas distribution networks. In this study, a feedforward control system is proposed for that comprises of three elements. A mass transfer model, correlation for bubble diameter estimation, and SVM-based model of final control element are the elements. The mass transfer model predictions are profoundly affected by bubble diameter estimation. Bubble size measurements are used to develop a correlation for bubble diameter estimation. A motor-actuated precision needle valve is used as the final control element of the control system. The valve characteristic curves were determined and used to develop an input-output model based on the support vector machin</w:instrText>
      </w:r>
      <w:r w:rsidR="00B13AF3" w:rsidRPr="00FE20D8">
        <w:rPr>
          <w:lang w:val="en-US"/>
        </w:rPr>
        <w:instrText>e. Different experiments were conducted to evaluate the performance of the three elements separately. To assess the effectiveness of the control system, the operating conditions of a town border station was simulated experimentally for the duration of 24 h. Experimental data and controller calculations for odorant cumulative mass transfer showed a minimum and maximum relative absolute error of 0.4% and 9.10%, respectively that indicates the controller to be effective.","author":[{"dropping-particle":"","family":"Negaresh","given":"Mohammad","non-dropping-particle":"","parse-names":false,"suffix":""},{"dropping-particle":"","family":"Farrokhnia","given":"Mohammadreza","non-dropping-particle":"","parse-names":false,"suffix":""},{"dropping-particle":"","family":"Mehranbod","given":"Nasir","non-dropping-particle":"","parse-names":false,"suffix":""}],"container-title":"Journal of Natural Gas Science and Engineering","id":"ITEM-1","issued":{"date-parts":[["2018"]]},"page":"339-350","title":"Modeling and control of natural gas bypass odorizer","type":"article-journal","volume":"50"},"uris":["http://www.mendeley.com/documents/?uuid=2cdab01c-cc45-42d9-8315-f9b7bbc0588b"]}],"mendeley":{"formattedCitation":"(Negaresh, Farrokhnia, and Mehranbod 2018)","manualFormatting":"(Negaresh et al., 2018)","plainTextFormattedCitation":"(Negaresh, Farrokhnia, and Mehranbod 2018)"},"properties":{"noteIndex":0},"schema":"https://github.com/citation-style-language/schema/raw/master/csl-citation.json"}</w:instrText>
      </w:r>
      <w:r w:rsidR="00F80A1E" w:rsidRPr="00FE20D8">
        <w:fldChar w:fldCharType="separate"/>
      </w:r>
      <w:r w:rsidR="00F80A1E" w:rsidRPr="00FE20D8">
        <w:rPr>
          <w:noProof/>
          <w:lang w:val="en-US"/>
        </w:rPr>
        <w:t>(Negaresh</w:t>
      </w:r>
      <w:r w:rsidR="009528B8" w:rsidRPr="00FE20D8">
        <w:rPr>
          <w:noProof/>
          <w:lang w:val="en-US"/>
        </w:rPr>
        <w:t xml:space="preserve"> et al.</w:t>
      </w:r>
      <w:r w:rsidR="00F80A1E" w:rsidRPr="00FE20D8">
        <w:rPr>
          <w:noProof/>
          <w:lang w:val="en-US"/>
        </w:rPr>
        <w:t>, 2018)</w:t>
      </w:r>
      <w:r w:rsidR="00F80A1E" w:rsidRPr="00FE20D8">
        <w:fldChar w:fldCharType="end"/>
      </w:r>
      <w:r w:rsidR="00F80A1E" w:rsidRPr="00FE20D8">
        <w:rPr>
          <w:lang w:val="en-US"/>
        </w:rPr>
        <w:t xml:space="preserve"> </w:t>
      </w:r>
      <w:r w:rsidRPr="00FE20D8">
        <w:rPr>
          <w:lang w:val="en-US"/>
        </w:rPr>
        <w:t xml:space="preserve">(Figure 1). </w:t>
      </w:r>
    </w:p>
    <w:p w14:paraId="7399399E" w14:textId="77777777" w:rsidR="004A404E" w:rsidRDefault="00F54FA4" w:rsidP="00D13D0D">
      <w:pPr>
        <w:pStyle w:val="CETCaption"/>
        <w:spacing w:before="0"/>
      </w:pPr>
      <w:r>
        <w:rPr>
          <w:noProof/>
          <w:lang w:val="it-IT"/>
        </w:rPr>
        <w:drawing>
          <wp:inline distT="0" distB="0" distL="0" distR="0" wp14:anchorId="2886F0DC" wp14:editId="0422760F">
            <wp:extent cx="5579745" cy="2002332"/>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0"/>
                    <a:srcRect t="1940" b="1940"/>
                    <a:stretch>
                      <a:fillRect/>
                    </a:stretch>
                  </pic:blipFill>
                  <pic:spPr bwMode="auto">
                    <a:xfrm>
                      <a:off x="0" y="0"/>
                      <a:ext cx="5579745" cy="2002332"/>
                    </a:xfrm>
                    <a:prstGeom prst="rect">
                      <a:avLst/>
                    </a:prstGeom>
                    <a:ln>
                      <a:noFill/>
                    </a:ln>
                    <a:extLst>
                      <a:ext uri="{53640926-AAD7-44D8-BBD7-CCE9431645EC}">
                        <a14:shadowObscured xmlns:a14="http://schemas.microsoft.com/office/drawing/2010/main"/>
                      </a:ext>
                    </a:extLst>
                  </pic:spPr>
                </pic:pic>
              </a:graphicData>
            </a:graphic>
          </wp:inline>
        </w:drawing>
      </w:r>
    </w:p>
    <w:p w14:paraId="513B772A" w14:textId="5513CC80" w:rsidR="00FE20D8" w:rsidRPr="00B57B36" w:rsidRDefault="00FE20D8" w:rsidP="00FE20D8">
      <w:pPr>
        <w:pStyle w:val="CETCaption"/>
      </w:pPr>
      <w:r w:rsidRPr="00B57B36">
        <w:t xml:space="preserve">Figure </w:t>
      </w:r>
      <w:r>
        <w:t>1</w:t>
      </w:r>
      <w:r w:rsidRPr="00B57B36">
        <w:t xml:space="preserve">: </w:t>
      </w:r>
      <w:r>
        <w:t xml:space="preserve">A schematic representation of INGRID odorization system </w:t>
      </w:r>
      <w:r w:rsidR="004A404E">
        <w:t xml:space="preserve">designed by </w:t>
      </w:r>
      <w:proofErr w:type="spellStart"/>
      <w:r w:rsidR="004A404E">
        <w:t>Regas</w:t>
      </w:r>
      <w:proofErr w:type="spellEnd"/>
      <w:r w:rsidR="004A404E">
        <w:t xml:space="preserve"> </w:t>
      </w:r>
      <w:proofErr w:type="spellStart"/>
      <w:r w:rsidR="004A404E">
        <w:t>srl</w:t>
      </w:r>
      <w:proofErr w:type="spellEnd"/>
      <w:r>
        <w:t>.</w:t>
      </w:r>
    </w:p>
    <w:p w14:paraId="2ABB4D88" w14:textId="53ACDEFF" w:rsidR="001F32BC" w:rsidRDefault="001F32BC" w:rsidP="001F32BC">
      <w:pPr>
        <w:pStyle w:val="CETBodytext"/>
      </w:pPr>
      <w:r>
        <w:t xml:space="preserve">The aim of this work is the study of the lapping odorization system to maximize the efficiency of the plant. </w:t>
      </w:r>
      <w:proofErr w:type="gramStart"/>
      <w:r>
        <w:t>In particular</w:t>
      </w:r>
      <w:r w:rsidR="00F76540">
        <w:t>,</w:t>
      </w:r>
      <w:r>
        <w:t xml:space="preserve"> a</w:t>
      </w:r>
      <w:proofErr w:type="gramEnd"/>
      <w:r>
        <w:t xml:space="preserve"> primary study on the methane odorization was done. The experimental vapor-liquid equilibria data </w:t>
      </w:r>
      <w:r w:rsidR="00F76540">
        <w:t xml:space="preserve">found </w:t>
      </w:r>
      <w:r>
        <w:t xml:space="preserve">in </w:t>
      </w:r>
      <w:r w:rsidR="00F76540">
        <w:t xml:space="preserve">the </w:t>
      </w:r>
      <w:r>
        <w:t xml:space="preserve">literature </w:t>
      </w:r>
      <w:r w:rsidR="00F76540">
        <w:t xml:space="preserve">were </w:t>
      </w:r>
      <w:r>
        <w:t xml:space="preserve">compared with the data provided by </w:t>
      </w:r>
      <w:proofErr w:type="spellStart"/>
      <w:r>
        <w:t>Regas</w:t>
      </w:r>
      <w:proofErr w:type="spellEnd"/>
      <w:r>
        <w:t xml:space="preserve"> </w:t>
      </w:r>
      <w:proofErr w:type="spellStart"/>
      <w:r>
        <w:t>srl</w:t>
      </w:r>
      <w:proofErr w:type="spellEnd"/>
      <w:r>
        <w:t xml:space="preserve"> and the data calculated with PRO II </w:t>
      </w:r>
      <w:r w:rsidR="000119E9">
        <w:t>considering the system as ideal or not.</w:t>
      </w:r>
      <w:r>
        <w:t xml:space="preserve"> </w:t>
      </w:r>
    </w:p>
    <w:p w14:paraId="62B72EE4" w14:textId="38DBC186" w:rsidR="005D48A2" w:rsidRPr="001F32BC" w:rsidRDefault="001F32BC" w:rsidP="001F32BC">
      <w:pPr>
        <w:pStyle w:val="CETBodytext"/>
      </w:pPr>
      <w:r>
        <w:t>Through th</w:t>
      </w:r>
      <w:r w:rsidR="000119E9">
        <w:t>e selected</w:t>
      </w:r>
      <w:r>
        <w:t xml:space="preserve"> model it was possible to calculate the gas flow necessary to odorize the pure gas or the gas mixture in all the operative </w:t>
      </w:r>
      <w:r w:rsidR="00152F86">
        <w:t>scenarios</w:t>
      </w:r>
      <w:r>
        <w:t xml:space="preserve">. </w:t>
      </w:r>
      <w:r w:rsidR="00F76540">
        <w:t>P</w:t>
      </w:r>
      <w:r>
        <w:t>ure methane, pure hydrogen and methane-hydrogen mixture were considered</w:t>
      </w:r>
      <w:r w:rsidR="00F76540">
        <w:t xml:space="preserve"> as possible gas to be odorized. </w:t>
      </w:r>
      <w:proofErr w:type="gramStart"/>
      <w:r w:rsidR="00F76540">
        <w:t>I</w:t>
      </w:r>
      <w:r>
        <w:t xml:space="preserve">n particular </w:t>
      </w:r>
      <w:r w:rsidR="00F76540">
        <w:t>mixture</w:t>
      </w:r>
      <w:proofErr w:type="gramEnd"/>
      <w:r w:rsidR="00F76540">
        <w:t xml:space="preserve"> of </w:t>
      </w:r>
      <w:r>
        <w:t>methane</w:t>
      </w:r>
      <w:r w:rsidR="00A254CC">
        <w:t>/</w:t>
      </w:r>
      <w:r>
        <w:t>hydrogen in ratio 90</w:t>
      </w:r>
      <w:r w:rsidR="00A254CC">
        <w:t>/</w:t>
      </w:r>
      <w:r>
        <w:t>10 and 80</w:t>
      </w:r>
      <w:r w:rsidR="00A254CC">
        <w:t>/</w:t>
      </w:r>
      <w:r>
        <w:t xml:space="preserve">20, </w:t>
      </w:r>
      <w:r w:rsidR="00F76540">
        <w:t xml:space="preserve">were used </w:t>
      </w:r>
      <w:r>
        <w:t xml:space="preserve">to simulate a possible real future application. As odorant, tetrahydrothiophene (THT) was taken into consideration, thanks to the fact that this is the most used odorant and so more experimental data are available in </w:t>
      </w:r>
      <w:r w:rsidR="00F76540">
        <w:t xml:space="preserve">the </w:t>
      </w:r>
      <w:r>
        <w:t>literature.</w:t>
      </w:r>
    </w:p>
    <w:p w14:paraId="459ED4AB" w14:textId="127F0D6B" w:rsidR="002B0B4F" w:rsidRDefault="00184D63" w:rsidP="001D3C6A">
      <w:pPr>
        <w:pStyle w:val="CETHeading1"/>
        <w:tabs>
          <w:tab w:val="clear" w:pos="360"/>
          <w:tab w:val="right" w:pos="7100"/>
        </w:tabs>
        <w:jc w:val="both"/>
        <w:rPr>
          <w:lang w:val="en-GB"/>
        </w:rPr>
      </w:pPr>
      <w:r>
        <w:rPr>
          <w:lang w:val="en-GB"/>
        </w:rPr>
        <w:lastRenderedPageBreak/>
        <w:t>Methodology</w:t>
      </w:r>
    </w:p>
    <w:p w14:paraId="26518A2A" w14:textId="13AC4E56" w:rsidR="008722DC" w:rsidRPr="00660F4A" w:rsidRDefault="002B0B4F" w:rsidP="008722DC">
      <w:pPr>
        <w:pStyle w:val="CETBodytext"/>
      </w:pPr>
      <w:r w:rsidRPr="002B0B4F">
        <w:t xml:space="preserve">It was decided to start from the optimization </w:t>
      </w:r>
      <w:r w:rsidR="001C4091">
        <w:t xml:space="preserve">of </w:t>
      </w:r>
      <w:r w:rsidRPr="002B0B4F">
        <w:t xml:space="preserve">the odorization of methane with tetrahydrothiophene (THT). </w:t>
      </w:r>
      <w:r w:rsidR="003A28F5" w:rsidRPr="003A28F5">
        <w:t>The first step was to c</w:t>
      </w:r>
      <w:r w:rsidR="009110BC">
        <w:t>h</w:t>
      </w:r>
      <w:r w:rsidR="0004130E">
        <w:t>eck</w:t>
      </w:r>
      <w:r w:rsidR="003A28F5" w:rsidRPr="003A28F5">
        <w:t xml:space="preserve"> the vapour pressures of methane and THT </w:t>
      </w:r>
      <w:r w:rsidR="0004130E">
        <w:t xml:space="preserve">calculated by our simulation </w:t>
      </w:r>
      <w:r w:rsidR="00F24D8C">
        <w:t xml:space="preserve">versus the corresponding </w:t>
      </w:r>
      <w:r w:rsidR="009110BC">
        <w:t xml:space="preserve">ones detected </w:t>
      </w:r>
      <w:r w:rsidR="00F24D8C">
        <w:t>experimental</w:t>
      </w:r>
      <w:r w:rsidR="009110BC">
        <w:t xml:space="preserve">ly </w:t>
      </w:r>
      <w:r w:rsidR="004A404E">
        <w:rPr>
          <w:rFonts w:cs="Arial"/>
          <w:szCs w:val="18"/>
        </w:rPr>
        <w:t>(Yaws, 2015)</w:t>
      </w:r>
      <w:r w:rsidR="000119E9">
        <w:rPr>
          <w:rFonts w:cs="Arial"/>
          <w:szCs w:val="18"/>
        </w:rPr>
        <w:t xml:space="preserve"> </w:t>
      </w:r>
      <w:r w:rsidR="006D2BBA" w:rsidRPr="008174EA">
        <w:t>(Hubbard W.N. et al., 1952)</w:t>
      </w:r>
      <w:r w:rsidR="00E67878">
        <w:t>.</w:t>
      </w:r>
      <w:r w:rsidR="003A28F5" w:rsidRPr="003A28F5">
        <w:t xml:space="preserve"> </w:t>
      </w:r>
      <w:r w:rsidR="008722DC" w:rsidRPr="00660F4A">
        <w:t xml:space="preserve">After checking the consistency of the data calculated on the PRO II software, </w:t>
      </w:r>
      <w:r w:rsidR="008722DC" w:rsidRPr="003A28F5">
        <w:t xml:space="preserve">the liquid-vapor </w:t>
      </w:r>
      <w:r w:rsidR="008722DC">
        <w:t>equilibria</w:t>
      </w:r>
      <w:r w:rsidR="008722DC" w:rsidRPr="003A28F5">
        <w:t xml:space="preserve"> of </w:t>
      </w:r>
      <w:r w:rsidR="008722DC">
        <w:t xml:space="preserve">methane-THT and hydrogen-THT </w:t>
      </w:r>
      <w:r w:rsidR="008722DC" w:rsidRPr="003A28F5">
        <w:t xml:space="preserve">were </w:t>
      </w:r>
      <w:r w:rsidR="008722DC">
        <w:t>studied</w:t>
      </w:r>
      <w:r w:rsidR="008722DC" w:rsidRPr="003A28F5">
        <w:t>.</w:t>
      </w:r>
      <w:r w:rsidR="008722DC">
        <w:t xml:space="preserve"> </w:t>
      </w:r>
      <w:r w:rsidR="008722DC" w:rsidRPr="00660F4A">
        <w:t xml:space="preserve">The investigation for the binary mixture was </w:t>
      </w:r>
      <w:r w:rsidR="008722DC" w:rsidRPr="008174EA">
        <w:t>carried out and the correct thermodynamic approach for the simulation of the experimental data in PRO II was sought</w:t>
      </w:r>
      <w:r w:rsidR="008722DC">
        <w:t>.</w:t>
      </w:r>
      <w:r w:rsidR="002E478C">
        <w:t xml:space="preserve"> </w:t>
      </w:r>
      <w:proofErr w:type="gramStart"/>
      <w:r w:rsidR="00C2729A">
        <w:t>In particular, two</w:t>
      </w:r>
      <w:proofErr w:type="gramEnd"/>
      <w:r w:rsidR="00C2729A">
        <w:t xml:space="preserve"> different </w:t>
      </w:r>
      <w:r w:rsidR="00C007F7">
        <w:t>thermodynamic</w:t>
      </w:r>
      <w:r w:rsidR="00C2729A">
        <w:t xml:space="preserve"> approach</w:t>
      </w:r>
      <w:r w:rsidR="000D73F5">
        <w:t>es</w:t>
      </w:r>
      <w:r w:rsidR="00C2729A">
        <w:t xml:space="preserve"> </w:t>
      </w:r>
      <w:r w:rsidR="00C007F7">
        <w:t>w</w:t>
      </w:r>
      <w:r w:rsidR="00E749C3">
        <w:t>ere</w:t>
      </w:r>
      <w:r w:rsidR="00C007F7">
        <w:t xml:space="preserve"> </w:t>
      </w:r>
      <w:r w:rsidR="000C5859">
        <w:t>taken</w:t>
      </w:r>
      <w:r w:rsidR="00C007F7">
        <w:t xml:space="preserve"> into consideration</w:t>
      </w:r>
      <w:r w:rsidR="000C5859">
        <w:t>, the ideal m</w:t>
      </w:r>
      <w:r w:rsidR="002C7120">
        <w:t>odel</w:t>
      </w:r>
      <w:r w:rsidR="000C5859">
        <w:t xml:space="preserve"> (IDEAL) and the </w:t>
      </w:r>
      <w:r w:rsidR="00A02B31">
        <w:t>Soave-Redlich-</w:t>
      </w:r>
      <w:proofErr w:type="spellStart"/>
      <w:r w:rsidR="00A02B31">
        <w:t>Kwong</w:t>
      </w:r>
      <w:proofErr w:type="spellEnd"/>
      <w:r w:rsidR="00A02B31">
        <w:t xml:space="preserve"> m</w:t>
      </w:r>
      <w:r w:rsidR="002C7120">
        <w:t>odel</w:t>
      </w:r>
      <w:r w:rsidR="00A02B31">
        <w:t xml:space="preserve"> (SRK)</w:t>
      </w:r>
      <w:r w:rsidR="00DA13CA">
        <w:t xml:space="preserve">, and they were compared to experimental data find in </w:t>
      </w:r>
      <w:r w:rsidR="002C7120">
        <w:t>literature</w:t>
      </w:r>
      <w:r w:rsidR="00B15200">
        <w:t xml:space="preserve"> </w:t>
      </w:r>
      <w:r w:rsidR="00B15200" w:rsidRPr="008174EA">
        <w:t>(Ghanem et al., 1998)</w:t>
      </w:r>
      <w:r w:rsidR="002C7120">
        <w:t>. The</w:t>
      </w:r>
      <w:r w:rsidR="00305BD4">
        <w:t xml:space="preserve"> Soave-Redlich-</w:t>
      </w:r>
      <w:proofErr w:type="spellStart"/>
      <w:r w:rsidR="00305BD4">
        <w:t>Kwong</w:t>
      </w:r>
      <w:proofErr w:type="spellEnd"/>
      <w:r w:rsidR="00305BD4">
        <w:t xml:space="preserve"> model (SRK)</w:t>
      </w:r>
      <w:r w:rsidR="002C7120">
        <w:t xml:space="preserve"> </w:t>
      </w:r>
      <w:r w:rsidR="00E72B34" w:rsidRPr="00E72B34">
        <w:t>turned out to be the most performing</w:t>
      </w:r>
      <w:r w:rsidR="00305BD4">
        <w:t xml:space="preserve"> </w:t>
      </w:r>
      <w:r w:rsidR="00E72B34">
        <w:t xml:space="preserve">one. </w:t>
      </w:r>
    </w:p>
    <w:p w14:paraId="212E435A" w14:textId="3AD22FF0" w:rsidR="008722DC" w:rsidRPr="00660F4A" w:rsidRDefault="008722DC" w:rsidP="008722DC">
      <w:pPr>
        <w:pStyle w:val="CETBodytext"/>
      </w:pPr>
      <w:r w:rsidRPr="00660F4A">
        <w:t>For the simulation of the liquid-vapour equilibria data, the following setup on Pro II was employed</w:t>
      </w:r>
      <w:r>
        <w:t xml:space="preserve"> </w:t>
      </w:r>
      <w:r w:rsidR="004A404E">
        <w:t>(Figure 2)</w:t>
      </w:r>
    </w:p>
    <w:p w14:paraId="06DAA239" w14:textId="77777777" w:rsidR="008722DC" w:rsidRDefault="008722DC" w:rsidP="008722DC">
      <w:pPr>
        <w:pStyle w:val="CETBodytext"/>
        <w:rPr>
          <w:szCs w:val="24"/>
        </w:rPr>
      </w:pPr>
      <w:r>
        <w:rPr>
          <w:noProof/>
          <w:szCs w:val="24"/>
        </w:rPr>
        <w:drawing>
          <wp:inline distT="0" distB="0" distL="0" distR="0" wp14:anchorId="51ED58A8" wp14:editId="0B4AB677">
            <wp:extent cx="3077733" cy="1453284"/>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1"/>
                    <a:srcRect t="6753" b="8154"/>
                    <a:stretch/>
                  </pic:blipFill>
                  <pic:spPr bwMode="auto">
                    <a:xfrm>
                      <a:off x="0" y="0"/>
                      <a:ext cx="3093354" cy="1460660"/>
                    </a:xfrm>
                    <a:prstGeom prst="rect">
                      <a:avLst/>
                    </a:prstGeom>
                    <a:ln>
                      <a:noFill/>
                    </a:ln>
                    <a:extLst>
                      <a:ext uri="{53640926-AAD7-44D8-BBD7-CCE9431645EC}">
                        <a14:shadowObscured xmlns:a14="http://schemas.microsoft.com/office/drawing/2010/main"/>
                      </a:ext>
                    </a:extLst>
                  </pic:spPr>
                </pic:pic>
              </a:graphicData>
            </a:graphic>
          </wp:inline>
        </w:drawing>
      </w:r>
    </w:p>
    <w:p w14:paraId="4029D3B9" w14:textId="2401F6C2" w:rsidR="004A404E" w:rsidRPr="00B57B36" w:rsidRDefault="004A404E" w:rsidP="004A404E">
      <w:pPr>
        <w:pStyle w:val="CETCaption"/>
      </w:pPr>
      <w:r w:rsidRPr="00B57B36">
        <w:t xml:space="preserve">Figure </w:t>
      </w:r>
      <w:r>
        <w:t>2</w:t>
      </w:r>
      <w:r w:rsidRPr="00B57B36">
        <w:t xml:space="preserve">: </w:t>
      </w:r>
      <w:r>
        <w:t xml:space="preserve">Simulated plant </w:t>
      </w:r>
      <w:r w:rsidR="00623C3A">
        <w:t xml:space="preserve">use in PRO II to study the </w:t>
      </w:r>
      <w:r w:rsidR="00623C3A" w:rsidRPr="00660F4A">
        <w:t>liquid-vapour equilibria</w:t>
      </w:r>
      <w:r w:rsidR="00623C3A">
        <w:t>.</w:t>
      </w:r>
    </w:p>
    <w:p w14:paraId="7E64369A" w14:textId="2017ECB4" w:rsidR="00667179" w:rsidRDefault="00667179" w:rsidP="00667179">
      <w:pPr>
        <w:rPr>
          <w:lang w:val="en-US"/>
        </w:rPr>
      </w:pPr>
      <w:r>
        <w:rPr>
          <w:lang w:val="en-US"/>
        </w:rPr>
        <w:t xml:space="preserve">After </w:t>
      </w:r>
      <w:r w:rsidR="00E05221">
        <w:rPr>
          <w:lang w:val="en-US"/>
        </w:rPr>
        <w:t xml:space="preserve">the </w:t>
      </w:r>
      <w:r>
        <w:rPr>
          <w:lang w:val="en-US"/>
        </w:rPr>
        <w:t xml:space="preserve">model </w:t>
      </w:r>
      <w:r w:rsidR="00E05221">
        <w:rPr>
          <w:lang w:val="en-US"/>
        </w:rPr>
        <w:t>validation</w:t>
      </w:r>
      <w:r>
        <w:rPr>
          <w:lang w:val="en-US"/>
        </w:rPr>
        <w:t xml:space="preserve">, the study of the odorization of pure hydrogen and hydrogen-methane mixtures with THT has been brought forward. Since there are no literature data relating hydrogen odorization, the same </w:t>
      </w:r>
      <w:r w:rsidR="00FE10B1">
        <w:rPr>
          <w:lang w:val="en-US"/>
        </w:rPr>
        <w:t>thermodynamic model of</w:t>
      </w:r>
      <w:r>
        <w:rPr>
          <w:lang w:val="en-US"/>
        </w:rPr>
        <w:t xml:space="preserve"> the simulations described below has been employed, that is SRK model.</w:t>
      </w:r>
      <w:r w:rsidR="00393B52">
        <w:rPr>
          <w:lang w:val="en-US"/>
        </w:rPr>
        <w:t xml:space="preserve"> </w:t>
      </w:r>
    </w:p>
    <w:p w14:paraId="58F147E3" w14:textId="262EC0C3" w:rsidR="002B0B4F" w:rsidRDefault="003A28F5" w:rsidP="00D450F4">
      <w:pPr>
        <w:pStyle w:val="CETBodytext"/>
      </w:pPr>
      <w:r w:rsidRPr="003A28F5">
        <w:t xml:space="preserve">Finally, the </w:t>
      </w:r>
      <w:r w:rsidR="00A22606">
        <w:t xml:space="preserve">industrial </w:t>
      </w:r>
      <w:r w:rsidRPr="003A28F5">
        <w:t>process of odorization by la</w:t>
      </w:r>
      <w:r w:rsidR="00F767DC">
        <w:t>pping</w:t>
      </w:r>
      <w:r w:rsidRPr="003A28F5">
        <w:t xml:space="preserve"> has been </w:t>
      </w:r>
      <w:r w:rsidR="00A22606">
        <w:t xml:space="preserve">simulated and </w:t>
      </w:r>
      <w:r w:rsidRPr="003A28F5">
        <w:t>studied, going to investigate the minimum flow of gas necessary to obtain the de</w:t>
      </w:r>
      <w:r w:rsidR="00F767DC">
        <w:t>sired</w:t>
      </w:r>
      <w:r w:rsidRPr="003A28F5">
        <w:t xml:space="preserve"> concentration of odorant in the final stream.</w:t>
      </w:r>
    </w:p>
    <w:p w14:paraId="20C2A25F" w14:textId="793929C5" w:rsidR="00F252F7" w:rsidRDefault="00E2795D" w:rsidP="00875FF4">
      <w:pPr>
        <w:rPr>
          <w:lang w:val="en-US"/>
        </w:rPr>
      </w:pPr>
      <w:r>
        <w:rPr>
          <w:lang w:val="en-US"/>
        </w:rPr>
        <w:t>The industrial plant</w:t>
      </w:r>
      <w:r w:rsidR="002067AB">
        <w:rPr>
          <w:lang w:val="en-US"/>
        </w:rPr>
        <w:t xml:space="preserve"> consists </w:t>
      </w:r>
      <w:r w:rsidR="00A61197">
        <w:rPr>
          <w:lang w:val="en-US"/>
        </w:rPr>
        <w:t xml:space="preserve">of a </w:t>
      </w:r>
      <w:proofErr w:type="gramStart"/>
      <w:r w:rsidR="002D3ABA">
        <w:rPr>
          <w:lang w:val="en-US"/>
        </w:rPr>
        <w:t>main</w:t>
      </w:r>
      <w:r w:rsidR="00415C85">
        <w:rPr>
          <w:lang w:val="en-US"/>
        </w:rPr>
        <w:t xml:space="preserve"> </w:t>
      </w:r>
      <w:r w:rsidR="0006244F">
        <w:rPr>
          <w:lang w:val="en-US"/>
        </w:rPr>
        <w:t>stream</w:t>
      </w:r>
      <w:proofErr w:type="gramEnd"/>
      <w:r w:rsidR="0006244F">
        <w:rPr>
          <w:lang w:val="en-US"/>
        </w:rPr>
        <w:t xml:space="preserve"> </w:t>
      </w:r>
      <w:r w:rsidR="00303F20">
        <w:rPr>
          <w:lang w:val="en-US"/>
        </w:rPr>
        <w:t xml:space="preserve">where </w:t>
      </w:r>
      <w:r w:rsidR="002D3ABA">
        <w:t xml:space="preserve">the </w:t>
      </w:r>
      <w:r w:rsidR="006869B9">
        <w:t xml:space="preserve">major </w:t>
      </w:r>
      <w:r w:rsidR="002D3ABA">
        <w:t xml:space="preserve">flow of gas can be throttled generating a pressure gap, which allows a partial flow of gas to enter </w:t>
      </w:r>
      <w:r w:rsidR="006869B9">
        <w:t>a</w:t>
      </w:r>
      <w:r w:rsidR="002D3ABA">
        <w:t xml:space="preserve"> tank</w:t>
      </w:r>
      <w:r w:rsidR="00B93831">
        <w:t>,</w:t>
      </w:r>
      <w:r w:rsidR="006869B9">
        <w:t xml:space="preserve"> where </w:t>
      </w:r>
      <w:r w:rsidR="00B93831">
        <w:t>the liquid odorant is</w:t>
      </w:r>
      <w:r w:rsidR="001805AF">
        <w:t xml:space="preserve"> held. </w:t>
      </w:r>
      <w:r w:rsidR="00795772">
        <w:t>Here</w:t>
      </w:r>
      <w:r w:rsidR="00DE6E6C">
        <w:t>,</w:t>
      </w:r>
      <w:r w:rsidR="00DE4BB3">
        <w:t xml:space="preserve"> the gas is odorized</w:t>
      </w:r>
      <w:r w:rsidR="008F2D68">
        <w:t>, thanks to the vapour-liquid equilibria</w:t>
      </w:r>
      <w:r w:rsidR="00D764EE">
        <w:t xml:space="preserve">; </w:t>
      </w:r>
      <w:r w:rsidR="002D3ABA">
        <w:t>then</w:t>
      </w:r>
      <w:r w:rsidR="00D764EE">
        <w:t xml:space="preserve"> it</w:t>
      </w:r>
      <w:r w:rsidR="002D3ABA">
        <w:t xml:space="preserve"> returns to the </w:t>
      </w:r>
      <w:proofErr w:type="gramStart"/>
      <w:r w:rsidR="002D3ABA">
        <w:t>main stream</w:t>
      </w:r>
      <w:proofErr w:type="gramEnd"/>
      <w:r w:rsidR="002D3ABA">
        <w:t>.</w:t>
      </w:r>
      <w:r w:rsidR="002D3ABA">
        <w:rPr>
          <w:lang w:val="en-US"/>
        </w:rPr>
        <w:t xml:space="preserve"> </w:t>
      </w:r>
      <w:r>
        <w:rPr>
          <w:lang w:val="en-US"/>
        </w:rPr>
        <w:t xml:space="preserve"> </w:t>
      </w:r>
    </w:p>
    <w:p w14:paraId="60214178" w14:textId="6CD7F218" w:rsidR="00875FF4" w:rsidRDefault="00382D3E" w:rsidP="00875FF4">
      <w:pPr>
        <w:rPr>
          <w:lang w:val="en-US"/>
        </w:rPr>
      </w:pPr>
      <w:proofErr w:type="gramStart"/>
      <w:r>
        <w:rPr>
          <w:lang w:val="en-US"/>
        </w:rPr>
        <w:t>O</w:t>
      </w:r>
      <w:r w:rsidRPr="00382D3E">
        <w:rPr>
          <w:lang w:val="en-US"/>
        </w:rPr>
        <w:t>n the basis of</w:t>
      </w:r>
      <w:proofErr w:type="gramEnd"/>
      <w:r w:rsidRPr="00382D3E">
        <w:rPr>
          <w:lang w:val="en-US"/>
        </w:rPr>
        <w:t xml:space="preserve"> the above</w:t>
      </w:r>
      <w:r w:rsidR="00B61D37">
        <w:rPr>
          <w:lang w:val="en-US"/>
        </w:rPr>
        <w:t xml:space="preserve"> considerations</w:t>
      </w:r>
      <w:r>
        <w:rPr>
          <w:lang w:val="en-US"/>
        </w:rPr>
        <w:t>, t</w:t>
      </w:r>
      <w:r w:rsidR="00875FF4">
        <w:rPr>
          <w:lang w:val="en-US"/>
        </w:rPr>
        <w:t xml:space="preserve">he scheme of the simulated plant is reported in </w:t>
      </w:r>
      <w:r w:rsidR="00623C3A">
        <w:rPr>
          <w:lang w:val="en-US"/>
        </w:rPr>
        <w:t>Figure 3</w:t>
      </w:r>
      <w:r w:rsidR="00041364">
        <w:rPr>
          <w:lang w:val="en-US"/>
        </w:rPr>
        <w:t>.</w:t>
      </w:r>
    </w:p>
    <w:p w14:paraId="76D97DAB" w14:textId="77777777" w:rsidR="00875FF4" w:rsidRDefault="00875FF4" w:rsidP="00875FF4">
      <w:pPr>
        <w:rPr>
          <w:noProof/>
        </w:rPr>
      </w:pPr>
      <w:r>
        <w:rPr>
          <w:noProof/>
        </w:rPr>
        <w:drawing>
          <wp:inline distT="0" distB="0" distL="0" distR="0" wp14:anchorId="7E072E2E" wp14:editId="412463A6">
            <wp:extent cx="5127955" cy="173990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2"/>
                    <a:srcRect t="12977"/>
                    <a:stretch/>
                  </pic:blipFill>
                  <pic:spPr bwMode="auto">
                    <a:xfrm>
                      <a:off x="0" y="0"/>
                      <a:ext cx="5312339" cy="1802468"/>
                    </a:xfrm>
                    <a:prstGeom prst="rect">
                      <a:avLst/>
                    </a:prstGeom>
                    <a:ln>
                      <a:noFill/>
                    </a:ln>
                    <a:extLst>
                      <a:ext uri="{53640926-AAD7-44D8-BBD7-CCE9431645EC}">
                        <a14:shadowObscured xmlns:a14="http://schemas.microsoft.com/office/drawing/2010/main"/>
                      </a:ext>
                    </a:extLst>
                  </pic:spPr>
                </pic:pic>
              </a:graphicData>
            </a:graphic>
          </wp:inline>
        </w:drawing>
      </w:r>
    </w:p>
    <w:p w14:paraId="4E7FE4E4" w14:textId="5EE207A5" w:rsidR="00623C3A" w:rsidRPr="00B57B36" w:rsidRDefault="00623C3A" w:rsidP="00990E7F">
      <w:pPr>
        <w:pStyle w:val="CETCaption"/>
        <w:spacing w:before="0"/>
      </w:pPr>
      <w:r w:rsidRPr="00B57B36">
        <w:t xml:space="preserve">Figure </w:t>
      </w:r>
      <w:r>
        <w:t>3</w:t>
      </w:r>
      <w:r w:rsidRPr="00B57B36">
        <w:t xml:space="preserve">: </w:t>
      </w:r>
      <w:r>
        <w:t>Simulated plant use in PRO II to study the odorization process.</w:t>
      </w:r>
    </w:p>
    <w:p w14:paraId="10B70A9A" w14:textId="5C9574D9" w:rsidR="00875FF4" w:rsidRDefault="00875FF4" w:rsidP="00875FF4">
      <w:pPr>
        <w:rPr>
          <w:lang w:val="en-US"/>
        </w:rPr>
      </w:pPr>
      <w:r>
        <w:rPr>
          <w:lang w:val="en-US"/>
        </w:rPr>
        <w:t>The flow of gas to be odorized passes through a splitter that divides it into two parts, a main flow (S</w:t>
      </w:r>
      <w:r w:rsidR="007530ED">
        <w:rPr>
          <w:lang w:val="en-US"/>
        </w:rPr>
        <w:t>1</w:t>
      </w:r>
      <w:r>
        <w:rPr>
          <w:lang w:val="en-US"/>
        </w:rPr>
        <w:t>) and a secondary flow (S2)</w:t>
      </w:r>
      <w:r w:rsidR="00F8587A">
        <w:rPr>
          <w:lang w:val="en-US"/>
        </w:rPr>
        <w:t xml:space="preserve">. </w:t>
      </w:r>
      <w:r>
        <w:rPr>
          <w:lang w:val="en-US"/>
        </w:rPr>
        <w:t xml:space="preserve"> </w:t>
      </w:r>
      <w:r w:rsidR="00F8587A">
        <w:rPr>
          <w:lang w:val="en-US"/>
        </w:rPr>
        <w:t>S2 and a</w:t>
      </w:r>
      <w:r>
        <w:rPr>
          <w:lang w:val="en-US"/>
        </w:rPr>
        <w:t xml:space="preserve"> second stream (ODORANT), containing the liquid </w:t>
      </w:r>
      <w:r>
        <w:t>odorant</w:t>
      </w:r>
      <w:r>
        <w:rPr>
          <w:lang w:val="en-US"/>
        </w:rPr>
        <w:t xml:space="preserve">, </w:t>
      </w:r>
      <w:r w:rsidR="00F8587A">
        <w:rPr>
          <w:lang w:val="en-US"/>
        </w:rPr>
        <w:t>reach</w:t>
      </w:r>
      <w:r>
        <w:rPr>
          <w:lang w:val="en-US"/>
        </w:rPr>
        <w:t xml:space="preserve"> </w:t>
      </w:r>
      <w:r w:rsidR="00DD5074">
        <w:rPr>
          <w:lang w:val="en-US"/>
        </w:rPr>
        <w:t>a</w:t>
      </w:r>
      <w:r>
        <w:rPr>
          <w:lang w:val="en-US"/>
        </w:rPr>
        <w:t xml:space="preserve"> flash. In the latter, the odorization of the gas </w:t>
      </w:r>
      <w:r>
        <w:t>occurs</w:t>
      </w:r>
      <w:r>
        <w:rPr>
          <w:lang w:val="en-US"/>
        </w:rPr>
        <w:t xml:space="preserve"> thanks to the liquid-vapour </w:t>
      </w:r>
      <w:r w:rsidR="00DD5074">
        <w:rPr>
          <w:lang w:val="en-US"/>
        </w:rPr>
        <w:t>equilibria</w:t>
      </w:r>
      <w:r>
        <w:rPr>
          <w:lang w:val="en-US"/>
        </w:rPr>
        <w:t xml:space="preserve"> that forms between the incoming gas and the odorant. Then, through a stream (ODORIZED), the odorized gas reaches a mixer that converges the </w:t>
      </w:r>
      <w:proofErr w:type="gramStart"/>
      <w:r>
        <w:rPr>
          <w:lang w:val="en-US"/>
        </w:rPr>
        <w:t>two gas</w:t>
      </w:r>
      <w:proofErr w:type="gramEnd"/>
      <w:r>
        <w:rPr>
          <w:lang w:val="en-US"/>
        </w:rPr>
        <w:t xml:space="preserve"> stream (S1 and ODORIZED) in the final stream (FIN). The concentrations of odorant are monitored in the latest stream</w:t>
      </w:r>
      <w:r w:rsidR="00B13459">
        <w:rPr>
          <w:lang w:val="en-US"/>
        </w:rPr>
        <w:t xml:space="preserve"> (FIN)</w:t>
      </w:r>
      <w:r>
        <w:rPr>
          <w:lang w:val="en-US"/>
        </w:rPr>
        <w:t>.</w:t>
      </w:r>
    </w:p>
    <w:p w14:paraId="591E64A0" w14:textId="77777777" w:rsidR="00875FF4" w:rsidRDefault="00875FF4" w:rsidP="00875FF4">
      <w:pPr>
        <w:rPr>
          <w:lang w:val="en-US"/>
        </w:rPr>
      </w:pPr>
      <w:r>
        <w:rPr>
          <w:lang w:val="en-US"/>
        </w:rPr>
        <w:t xml:space="preserve">The working methodology identified is the same for the various simulations. </w:t>
      </w:r>
    </w:p>
    <w:p w14:paraId="0C5ED807" w14:textId="6369C024" w:rsidR="00C5054A" w:rsidRPr="00F8454A" w:rsidRDefault="00C5054A" w:rsidP="00C5054A">
      <w:pPr>
        <w:rPr>
          <w:lang w:val="en-US"/>
        </w:rPr>
      </w:pPr>
      <w:r>
        <w:rPr>
          <w:lang w:val="en-US"/>
        </w:rPr>
        <w:t xml:space="preserve">As a first step, the change in the concentration of odorant as a function of the gas flow in the secondary stream (FIN) has been monitored. Specifically, a "Case of study" was devised with 50 cycles, the flow of the stream S2 has been changed starting from 60 </w:t>
      </w:r>
      <w:r w:rsidR="00041364">
        <w:rPr>
          <w:lang w:val="en-US"/>
        </w:rPr>
        <w:t>N</w:t>
      </w:r>
      <w:r>
        <w:rPr>
          <w:lang w:val="en-US"/>
        </w:rPr>
        <w:t xml:space="preserve">L/h with an increase of 2 </w:t>
      </w:r>
      <w:r w:rsidR="00041364">
        <w:rPr>
          <w:lang w:val="en-US"/>
        </w:rPr>
        <w:t>N</w:t>
      </w:r>
      <w:r>
        <w:rPr>
          <w:lang w:val="en-US"/>
        </w:rPr>
        <w:t xml:space="preserve">L/h. Then the vapour phase (y) of THT has been monitored in the final stream FIN.  Since the concentration of odorant varies in a linear way with respect </w:t>
      </w:r>
      <w:r>
        <w:rPr>
          <w:lang w:val="en-US"/>
        </w:rPr>
        <w:lastRenderedPageBreak/>
        <w:t xml:space="preserve">to the flow rate, it was possible to calculate the flow rate necessary to have a quantity of odorant that complies with the legal limits (32 mg/L for THT).  Going to repeat the same operation at different temperatures, it was possible to describe a flow profile such as to make the odorization as efficient as possible to the various working conditions. Preliminary tests were carried out with a pressure of 2 bar and a temperature range from 273.15 to 313.15 K. Final simulations were carried out at a pressure of 4 bar, the most common pressure for INGRID, and temperatures from 258.15 to 328.15 K, simulating </w:t>
      </w:r>
      <w:r>
        <w:t xml:space="preserve">the ambient temperature. Indeed, INGRID does not work with a temperature control system. The initial stream rate is 10,000 </w:t>
      </w:r>
      <w:r w:rsidR="00955C86">
        <w:t>N</w:t>
      </w:r>
      <w:r>
        <w:t>L/h. In this way, the minimum flow rate to odorized under different conditions was obtained.</w:t>
      </w:r>
    </w:p>
    <w:p w14:paraId="293F4DFD" w14:textId="04CB6FE7" w:rsidR="00974102" w:rsidRPr="00D84C44" w:rsidRDefault="000B3B63" w:rsidP="00974102">
      <w:pPr>
        <w:rPr>
          <w:lang w:val="en-US"/>
        </w:rPr>
      </w:pPr>
      <w:r>
        <w:rPr>
          <w:lang w:val="en-US"/>
        </w:rPr>
        <w:t>At this point</w:t>
      </w:r>
      <w:r w:rsidR="00974102">
        <w:rPr>
          <w:lang w:val="en-US"/>
        </w:rPr>
        <w:t xml:space="preserve">, hydrogen odorization process was investigated. The working methodology is the same of methane. The initial stream flow rate is 10,000 </w:t>
      </w:r>
      <w:r w:rsidR="00B0391E">
        <w:rPr>
          <w:lang w:val="en-US"/>
        </w:rPr>
        <w:t>N</w:t>
      </w:r>
      <w:r w:rsidR="00974102">
        <w:rPr>
          <w:lang w:val="en-US"/>
        </w:rPr>
        <w:t xml:space="preserve">L/h and 60 </w:t>
      </w:r>
      <w:r w:rsidR="00955C86">
        <w:rPr>
          <w:lang w:val="en-US"/>
        </w:rPr>
        <w:t>N</w:t>
      </w:r>
      <w:r w:rsidR="00974102">
        <w:rPr>
          <w:lang w:val="en-US"/>
        </w:rPr>
        <w:t xml:space="preserve">L/h after the splitter (S2). In this case, the simulation was carried out directly at 4 </w:t>
      </w:r>
      <w:proofErr w:type="gramStart"/>
      <w:r w:rsidR="00974102">
        <w:rPr>
          <w:lang w:val="en-US"/>
        </w:rPr>
        <w:t>bar</w:t>
      </w:r>
      <w:proofErr w:type="gramEnd"/>
      <w:r>
        <w:rPr>
          <w:lang w:val="en-US"/>
        </w:rPr>
        <w:t>.</w:t>
      </w:r>
    </w:p>
    <w:p w14:paraId="11D79FF3" w14:textId="5D84CF8A" w:rsidR="00974102" w:rsidRDefault="00974102" w:rsidP="00974102">
      <w:pPr>
        <w:rPr>
          <w:lang w:val="en-US"/>
        </w:rPr>
      </w:pPr>
      <w:r>
        <w:rPr>
          <w:lang w:val="en-US"/>
        </w:rPr>
        <w:t>Regarding hydrogen-methane mixtures, it was decided to test two different combinations: methane/hydrogen 90/10 and 80/20.</w:t>
      </w:r>
    </w:p>
    <w:p w14:paraId="5672248F" w14:textId="77777777" w:rsidR="000B277A" w:rsidRDefault="000B277A" w:rsidP="000B277A">
      <w:pPr>
        <w:pStyle w:val="CETHeading1"/>
        <w:rPr>
          <w:lang w:val="en-GB"/>
        </w:rPr>
      </w:pPr>
      <w:r>
        <w:rPr>
          <w:lang w:val="en-GB"/>
        </w:rPr>
        <w:t>Results and discussion</w:t>
      </w:r>
    </w:p>
    <w:p w14:paraId="1D1187D0" w14:textId="19C5854A" w:rsidR="002B0B4F" w:rsidRDefault="00E24E63" w:rsidP="002B0B4F">
      <w:pPr>
        <w:pStyle w:val="CETBodytext"/>
      </w:pPr>
      <w:r>
        <w:t xml:space="preserve">As </w:t>
      </w:r>
      <w:r w:rsidR="00B61D37">
        <w:t>regards</w:t>
      </w:r>
      <w:r>
        <w:t xml:space="preserve"> </w:t>
      </w:r>
      <w:r w:rsidR="00D725DE" w:rsidRPr="003A28F5">
        <w:t>the</w:t>
      </w:r>
      <w:r>
        <w:t xml:space="preserve"> study of the</w:t>
      </w:r>
      <w:r w:rsidR="00D725DE" w:rsidRPr="003A28F5">
        <w:t xml:space="preserve"> vapour pressures of methane and </w:t>
      </w:r>
      <w:r w:rsidRPr="002B0B4F">
        <w:t>tetrahydrothiophene (THT)</w:t>
      </w:r>
      <w:r w:rsidR="00216EC8">
        <w:t>,</w:t>
      </w:r>
      <w:r w:rsidR="00B61D37">
        <w:t xml:space="preserve"> </w:t>
      </w:r>
      <w:r w:rsidR="00E02F18">
        <w:t>the data</w:t>
      </w:r>
      <w:r w:rsidR="00216EC8">
        <w:t xml:space="preserve"> obtained </w:t>
      </w:r>
      <w:r w:rsidR="0035315F">
        <w:t>from</w:t>
      </w:r>
      <w:r w:rsidR="00CD18B4">
        <w:t xml:space="preserve"> two different equations were compared. The first equation is a </w:t>
      </w:r>
      <w:proofErr w:type="spellStart"/>
      <w:r w:rsidR="00CD18B4">
        <w:t>Van’t</w:t>
      </w:r>
      <w:proofErr w:type="spellEnd"/>
      <w:r w:rsidR="00CD18B4">
        <w:t xml:space="preserve"> </w:t>
      </w:r>
      <w:proofErr w:type="spellStart"/>
      <w:r w:rsidR="00CD18B4">
        <w:t>hoff</w:t>
      </w:r>
      <w:proofErr w:type="spellEnd"/>
      <w:r w:rsidR="00CD18B4">
        <w:t xml:space="preserve">, used by the PRO II software with database parameters reported in Table 1. The second one is </w:t>
      </w:r>
      <w:r w:rsidR="00641D93">
        <w:t>an</w:t>
      </w:r>
      <w:r w:rsidR="00CD18B4">
        <w:t xml:space="preserve"> Antoine equation, with the parameters reported in Table 2.</w:t>
      </w:r>
    </w:p>
    <w:tbl>
      <w:tblPr>
        <w:tblW w:w="5000" w:type="pct"/>
        <w:tblLook w:val="04A0" w:firstRow="1" w:lastRow="0" w:firstColumn="1" w:lastColumn="0" w:noHBand="0" w:noVBand="1"/>
      </w:tblPr>
      <w:tblGrid>
        <w:gridCol w:w="7983"/>
        <w:gridCol w:w="804"/>
      </w:tblGrid>
      <w:tr w:rsidR="00432B51" w:rsidRPr="00B57B36" w14:paraId="7E583F6A" w14:textId="77777777" w:rsidTr="00432B51">
        <w:tc>
          <w:tcPr>
            <w:tcW w:w="8188" w:type="dxa"/>
            <w:shd w:val="clear" w:color="auto" w:fill="auto"/>
            <w:vAlign w:val="center"/>
          </w:tcPr>
          <w:p w14:paraId="62A0293D" w14:textId="238B34EF" w:rsidR="00432B51" w:rsidRPr="00432B51" w:rsidRDefault="00432B51" w:rsidP="00912B46">
            <w:pPr>
              <w:pStyle w:val="CETEquation"/>
              <w:spacing w:before="240" w:after="0"/>
              <w:rPr>
                <w:rFonts w:ascii="Cambria Math" w:hAnsi="Cambria Math"/>
                <w:oMath/>
              </w:rPr>
            </w:pPr>
            <m:oMath>
              <m:r>
                <w:rPr>
                  <w:rFonts w:ascii="Cambria Math" w:hAnsi="Cambria Math"/>
                </w:rPr>
                <m:t>log P=</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2</m:t>
                      </m:r>
                    </m:sub>
                  </m:sSub>
                </m:num>
                <m:den>
                  <m:r>
                    <w:rPr>
                      <w:rFonts w:ascii="Cambria Math" w:hAnsi="Cambria Math"/>
                    </w:rPr>
                    <m:t>T</m:t>
                  </m:r>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3</m:t>
                  </m:r>
                </m:sub>
              </m:sSub>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T</m:t>
                      </m:r>
                    </m:e>
                  </m:d>
                </m:e>
              </m:fun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sSup>
                <m:sSupPr>
                  <m:ctrlPr>
                    <w:rPr>
                      <w:rFonts w:ascii="Cambria Math" w:hAnsi="Cambria Math"/>
                      <w:i/>
                    </w:rPr>
                  </m:ctrlPr>
                </m:sSupPr>
                <m:e>
                  <m:r>
                    <w:rPr>
                      <w:rFonts w:ascii="Cambria Math" w:hAnsi="Cambria Math"/>
                    </w:rPr>
                    <m:t>T</m:t>
                  </m:r>
                </m:e>
                <m:sup>
                  <m:sSub>
                    <m:sSubPr>
                      <m:ctrlPr>
                        <w:rPr>
                          <w:rFonts w:ascii="Cambria Math" w:hAnsi="Cambria Math"/>
                          <w:i/>
                        </w:rPr>
                      </m:ctrlPr>
                    </m:sSubPr>
                    <m:e>
                      <m:r>
                        <w:rPr>
                          <w:rFonts w:ascii="Cambria Math" w:hAnsi="Cambria Math"/>
                        </w:rPr>
                        <m:t>C</m:t>
                      </m:r>
                    </m:e>
                    <m:sub>
                      <m:r>
                        <w:rPr>
                          <w:rFonts w:ascii="Cambria Math" w:hAnsi="Cambria Math"/>
                        </w:rPr>
                        <m:t>5</m:t>
                      </m:r>
                    </m:sub>
                  </m:sSub>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6</m:t>
                  </m:r>
                </m:sub>
              </m:sSub>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7</m:t>
                  </m:r>
                </m:sub>
              </m:sSub>
              <m:sSup>
                <m:sSupPr>
                  <m:ctrlPr>
                    <w:rPr>
                      <w:rFonts w:ascii="Cambria Math" w:hAnsi="Cambria Math"/>
                      <w:i/>
                    </w:rPr>
                  </m:ctrlPr>
                </m:sSupPr>
                <m:e>
                  <m:r>
                    <w:rPr>
                      <w:rFonts w:ascii="Cambria Math" w:hAnsi="Cambria Math"/>
                    </w:rPr>
                    <m:t>T</m:t>
                  </m:r>
                </m:e>
                <m:sup>
                  <m:r>
                    <w:rPr>
                      <w:rFonts w:ascii="Cambria Math" w:hAnsi="Cambria Math"/>
                    </w:rPr>
                    <m:t>6</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8</m:t>
                      </m:r>
                    </m:sub>
                  </m:sSub>
                </m:num>
                <m:den>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9</m:t>
                      </m:r>
                    </m:sub>
                  </m:sSub>
                </m:num>
                <m:den>
                  <m:sSup>
                    <m:sSupPr>
                      <m:ctrlPr>
                        <w:rPr>
                          <w:rFonts w:ascii="Cambria Math" w:hAnsi="Cambria Math"/>
                          <w:i/>
                        </w:rPr>
                      </m:ctrlPr>
                    </m:sSupPr>
                    <m:e>
                      <m:r>
                        <w:rPr>
                          <w:rFonts w:ascii="Cambria Math" w:hAnsi="Cambria Math"/>
                        </w:rPr>
                        <m:t>T</m:t>
                      </m:r>
                    </m:e>
                    <m:sup>
                      <m:r>
                        <w:rPr>
                          <w:rFonts w:ascii="Cambria Math" w:hAnsi="Cambria Math"/>
                        </w:rPr>
                        <m:t>4</m:t>
                      </m:r>
                    </m:sup>
                  </m:sSup>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10</m:t>
                  </m:r>
                </m:sub>
              </m:sSub>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 xml:space="preserve"> </m:t>
              </m:r>
            </m:oMath>
            <w:r w:rsidR="005F6BF7">
              <w:t xml:space="preserve"> </w:t>
            </w:r>
          </w:p>
        </w:tc>
        <w:tc>
          <w:tcPr>
            <w:tcW w:w="815" w:type="dxa"/>
            <w:shd w:val="clear" w:color="auto" w:fill="auto"/>
            <w:vAlign w:val="center"/>
          </w:tcPr>
          <w:p w14:paraId="355AFAE7" w14:textId="77777777" w:rsidR="00432B51" w:rsidRPr="00B57B36" w:rsidRDefault="00432B51" w:rsidP="005B2C7B">
            <w:pPr>
              <w:pStyle w:val="CETEquation"/>
              <w:jc w:val="right"/>
            </w:pPr>
            <w:r w:rsidRPr="00B57B36">
              <w:t>(1)</w:t>
            </w:r>
          </w:p>
        </w:tc>
      </w:tr>
    </w:tbl>
    <w:p w14:paraId="25DA0089" w14:textId="4A73ABFB" w:rsidR="000B1CB5" w:rsidRPr="00B57B36" w:rsidRDefault="000B1CB5" w:rsidP="000B1CB5">
      <w:pPr>
        <w:pStyle w:val="CETTabletitle"/>
      </w:pPr>
      <w:r w:rsidRPr="00B57B36">
        <w:t xml:space="preserve">Table 1: </w:t>
      </w:r>
      <w:proofErr w:type="spellStart"/>
      <w:r w:rsidR="009F1210">
        <w:t>Van’t</w:t>
      </w:r>
      <w:proofErr w:type="spellEnd"/>
      <w:r w:rsidR="009F1210">
        <w:t xml:space="preserve"> </w:t>
      </w:r>
      <w:proofErr w:type="spellStart"/>
      <w:r w:rsidR="009F1210">
        <w:t>hoff</w:t>
      </w:r>
      <w:proofErr w:type="spellEnd"/>
      <w:r w:rsidR="009F1210">
        <w:t xml:space="preserve"> </w:t>
      </w:r>
      <w:r w:rsidR="00A42F6C">
        <w:t>coefficients</w:t>
      </w:r>
      <w:r>
        <w:t xml:space="preserve"> for the two different compounds.</w:t>
      </w:r>
    </w:p>
    <w:tbl>
      <w:tblPr>
        <w:tblW w:w="8897" w:type="dxa"/>
        <w:tblInd w:w="-108"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8"/>
        <w:gridCol w:w="1134"/>
        <w:gridCol w:w="851"/>
        <w:gridCol w:w="850"/>
        <w:gridCol w:w="993"/>
        <w:gridCol w:w="1134"/>
        <w:gridCol w:w="567"/>
        <w:gridCol w:w="708"/>
        <w:gridCol w:w="1843"/>
        <w:gridCol w:w="709"/>
      </w:tblGrid>
      <w:tr w:rsidR="00066A49" w:rsidRPr="00B57B36" w14:paraId="5580E397" w14:textId="77777777" w:rsidTr="00492DA9">
        <w:trPr>
          <w:gridBefore w:val="1"/>
          <w:wBefore w:w="108" w:type="dxa"/>
        </w:trPr>
        <w:tc>
          <w:tcPr>
            <w:tcW w:w="1134" w:type="dxa"/>
            <w:tcBorders>
              <w:top w:val="single" w:sz="12" w:space="0" w:color="008000"/>
              <w:bottom w:val="single" w:sz="6" w:space="0" w:color="008000"/>
            </w:tcBorders>
            <w:shd w:val="clear" w:color="auto" w:fill="FFFFFF"/>
            <w:vAlign w:val="center"/>
          </w:tcPr>
          <w:p w14:paraId="375340A4" w14:textId="77777777" w:rsidR="003F2952" w:rsidRPr="00B57B36" w:rsidRDefault="003F2952" w:rsidP="003F2952">
            <w:pPr>
              <w:pStyle w:val="CETBodytext"/>
              <w:jc w:val="left"/>
            </w:pPr>
            <w:r>
              <w:t>Compound</w:t>
            </w:r>
          </w:p>
        </w:tc>
        <w:tc>
          <w:tcPr>
            <w:tcW w:w="851" w:type="dxa"/>
            <w:tcBorders>
              <w:top w:val="single" w:sz="12" w:space="0" w:color="008000"/>
              <w:bottom w:val="single" w:sz="6" w:space="0" w:color="008000"/>
            </w:tcBorders>
            <w:shd w:val="clear" w:color="auto" w:fill="FFFFFF"/>
            <w:vAlign w:val="center"/>
          </w:tcPr>
          <w:p w14:paraId="0FE3A840" w14:textId="508EA80F" w:rsidR="003F2952" w:rsidRPr="00B57B36" w:rsidRDefault="003F2952" w:rsidP="003F2952">
            <w:pPr>
              <w:pStyle w:val="CETBodytext"/>
              <w:jc w:val="left"/>
            </w:pPr>
            <w:r>
              <w:t>C1</w:t>
            </w:r>
          </w:p>
        </w:tc>
        <w:tc>
          <w:tcPr>
            <w:tcW w:w="850" w:type="dxa"/>
            <w:tcBorders>
              <w:top w:val="single" w:sz="12" w:space="0" w:color="008000"/>
              <w:bottom w:val="single" w:sz="6" w:space="0" w:color="008000"/>
            </w:tcBorders>
            <w:shd w:val="clear" w:color="auto" w:fill="FFFFFF"/>
            <w:vAlign w:val="center"/>
          </w:tcPr>
          <w:p w14:paraId="2BBA5C78" w14:textId="633D0893" w:rsidR="003F2952" w:rsidRPr="00B57B36" w:rsidRDefault="003F2952" w:rsidP="003F2952">
            <w:pPr>
              <w:pStyle w:val="CETBodytext"/>
              <w:jc w:val="left"/>
            </w:pPr>
            <w:r>
              <w:t>C2</w:t>
            </w:r>
          </w:p>
        </w:tc>
        <w:tc>
          <w:tcPr>
            <w:tcW w:w="993" w:type="dxa"/>
            <w:tcBorders>
              <w:top w:val="single" w:sz="12" w:space="0" w:color="008000"/>
              <w:bottom w:val="single" w:sz="6" w:space="0" w:color="008000"/>
            </w:tcBorders>
            <w:shd w:val="clear" w:color="auto" w:fill="FFFFFF"/>
            <w:vAlign w:val="center"/>
          </w:tcPr>
          <w:p w14:paraId="277A2A6E" w14:textId="7E7482BF" w:rsidR="003F2952" w:rsidRPr="00B57B36" w:rsidRDefault="003F2952" w:rsidP="003F2952">
            <w:pPr>
              <w:pStyle w:val="CETBodytext"/>
              <w:ind w:right="-1"/>
              <w:jc w:val="left"/>
              <w:rPr>
                <w:rFonts w:cs="Arial"/>
                <w:szCs w:val="18"/>
              </w:rPr>
            </w:pPr>
            <w:r>
              <w:rPr>
                <w:rFonts w:cs="Arial"/>
                <w:szCs w:val="18"/>
              </w:rPr>
              <w:t>C3</w:t>
            </w:r>
          </w:p>
        </w:tc>
        <w:tc>
          <w:tcPr>
            <w:tcW w:w="1134" w:type="dxa"/>
            <w:tcBorders>
              <w:top w:val="single" w:sz="12" w:space="0" w:color="008000"/>
              <w:bottom w:val="single" w:sz="6" w:space="0" w:color="008000"/>
            </w:tcBorders>
            <w:shd w:val="clear" w:color="auto" w:fill="FFFFFF"/>
            <w:vAlign w:val="center"/>
          </w:tcPr>
          <w:p w14:paraId="4A44F6B2" w14:textId="0B8FE6FC" w:rsidR="003F2952" w:rsidRDefault="003F2952" w:rsidP="003F2952">
            <w:pPr>
              <w:pStyle w:val="CETBodytext"/>
              <w:ind w:right="-1"/>
              <w:jc w:val="left"/>
              <w:rPr>
                <w:rFonts w:cs="Arial"/>
                <w:szCs w:val="18"/>
              </w:rPr>
            </w:pPr>
            <w:r>
              <w:rPr>
                <w:rFonts w:cs="Arial"/>
                <w:szCs w:val="18"/>
              </w:rPr>
              <w:t>C4</w:t>
            </w:r>
          </w:p>
        </w:tc>
        <w:tc>
          <w:tcPr>
            <w:tcW w:w="567" w:type="dxa"/>
            <w:tcBorders>
              <w:top w:val="single" w:sz="12" w:space="0" w:color="008000"/>
              <w:bottom w:val="single" w:sz="6" w:space="0" w:color="008000"/>
            </w:tcBorders>
            <w:shd w:val="clear" w:color="auto" w:fill="FFFFFF"/>
            <w:vAlign w:val="center"/>
          </w:tcPr>
          <w:p w14:paraId="46E0434A" w14:textId="7FC7A9B0" w:rsidR="003F2952" w:rsidRDefault="003F2952" w:rsidP="003F2952">
            <w:pPr>
              <w:pStyle w:val="CETBodytext"/>
              <w:ind w:right="-1"/>
              <w:jc w:val="left"/>
              <w:rPr>
                <w:rFonts w:cs="Arial"/>
                <w:szCs w:val="18"/>
              </w:rPr>
            </w:pPr>
            <w:r>
              <w:rPr>
                <w:rFonts w:cs="Arial"/>
                <w:szCs w:val="18"/>
              </w:rPr>
              <w:t>C5</w:t>
            </w:r>
          </w:p>
        </w:tc>
        <w:tc>
          <w:tcPr>
            <w:tcW w:w="708" w:type="dxa"/>
            <w:tcBorders>
              <w:top w:val="single" w:sz="12" w:space="0" w:color="008000"/>
              <w:bottom w:val="single" w:sz="6" w:space="0" w:color="008000"/>
            </w:tcBorders>
            <w:shd w:val="clear" w:color="auto" w:fill="FFFFFF"/>
            <w:vAlign w:val="center"/>
          </w:tcPr>
          <w:p w14:paraId="7F1B1CA7" w14:textId="022D5291" w:rsidR="003F2952" w:rsidRDefault="003F2952" w:rsidP="003F2952">
            <w:pPr>
              <w:pStyle w:val="CETBodytext"/>
              <w:ind w:right="-1"/>
              <w:jc w:val="left"/>
              <w:rPr>
                <w:rFonts w:cs="Arial"/>
                <w:szCs w:val="18"/>
              </w:rPr>
            </w:pPr>
            <w:r>
              <w:rPr>
                <w:rFonts w:cs="Arial"/>
                <w:szCs w:val="18"/>
              </w:rPr>
              <w:t>C6-10</w:t>
            </w:r>
          </w:p>
        </w:tc>
        <w:tc>
          <w:tcPr>
            <w:tcW w:w="2552" w:type="dxa"/>
            <w:gridSpan w:val="2"/>
            <w:tcBorders>
              <w:top w:val="single" w:sz="12" w:space="0" w:color="008000"/>
              <w:bottom w:val="single" w:sz="6" w:space="0" w:color="008000"/>
            </w:tcBorders>
            <w:shd w:val="clear" w:color="auto" w:fill="FFFFFF"/>
            <w:vAlign w:val="center"/>
          </w:tcPr>
          <w:p w14:paraId="14BA98B4" w14:textId="2917EC17" w:rsidR="003F2952" w:rsidRPr="00B57B36" w:rsidRDefault="003F2952" w:rsidP="003F2952">
            <w:pPr>
              <w:pStyle w:val="CETBodytext"/>
              <w:ind w:right="-1"/>
              <w:jc w:val="left"/>
              <w:rPr>
                <w:rFonts w:cs="Arial"/>
                <w:szCs w:val="18"/>
              </w:rPr>
            </w:pPr>
            <w:r>
              <w:rPr>
                <w:rFonts w:cs="Arial"/>
                <w:szCs w:val="18"/>
              </w:rPr>
              <w:t>References</w:t>
            </w:r>
          </w:p>
        </w:tc>
      </w:tr>
      <w:tr w:rsidR="00066A49" w:rsidRPr="00B57B36" w14:paraId="6252FF4C" w14:textId="77777777" w:rsidTr="00492DA9">
        <w:trPr>
          <w:gridBefore w:val="1"/>
          <w:wBefore w:w="108" w:type="dxa"/>
        </w:trPr>
        <w:tc>
          <w:tcPr>
            <w:tcW w:w="1134" w:type="dxa"/>
            <w:shd w:val="clear" w:color="auto" w:fill="FFFFFF"/>
            <w:vAlign w:val="center"/>
          </w:tcPr>
          <w:p w14:paraId="4CA80C85" w14:textId="77777777" w:rsidR="003F2952" w:rsidRPr="00B57B36" w:rsidRDefault="003F2952" w:rsidP="003F2952">
            <w:pPr>
              <w:pStyle w:val="CETBodytext"/>
              <w:jc w:val="left"/>
            </w:pPr>
            <w:r>
              <w:t>Methane</w:t>
            </w:r>
          </w:p>
        </w:tc>
        <w:tc>
          <w:tcPr>
            <w:tcW w:w="851" w:type="dxa"/>
            <w:shd w:val="clear" w:color="auto" w:fill="FFFFFF"/>
            <w:vAlign w:val="center"/>
          </w:tcPr>
          <w:p w14:paraId="65F51D09" w14:textId="2D96AC16" w:rsidR="003F2952" w:rsidRPr="00B57B36" w:rsidRDefault="003460BC" w:rsidP="003F2952">
            <w:pPr>
              <w:pStyle w:val="CETBodytext"/>
              <w:jc w:val="left"/>
            </w:pPr>
            <w:r>
              <w:t>39.205</w:t>
            </w:r>
          </w:p>
        </w:tc>
        <w:tc>
          <w:tcPr>
            <w:tcW w:w="850" w:type="dxa"/>
            <w:shd w:val="clear" w:color="auto" w:fill="FFFFFF"/>
            <w:vAlign w:val="center"/>
          </w:tcPr>
          <w:p w14:paraId="0767D07E" w14:textId="47474E9B" w:rsidR="003F2952" w:rsidRPr="00B57B36" w:rsidRDefault="003460BC" w:rsidP="003F2952">
            <w:pPr>
              <w:pStyle w:val="CETBodytext"/>
              <w:jc w:val="left"/>
            </w:pPr>
            <w:r>
              <w:t>-1,324.4</w:t>
            </w:r>
          </w:p>
        </w:tc>
        <w:tc>
          <w:tcPr>
            <w:tcW w:w="993" w:type="dxa"/>
            <w:shd w:val="clear" w:color="auto" w:fill="FFFFFF"/>
            <w:vAlign w:val="center"/>
          </w:tcPr>
          <w:p w14:paraId="34B62CAB" w14:textId="1AB73909" w:rsidR="003F2952" w:rsidRPr="000C5373" w:rsidRDefault="003D368C" w:rsidP="003F2952">
            <w:pPr>
              <w:pStyle w:val="CETBodytext"/>
              <w:ind w:right="-1"/>
              <w:jc w:val="left"/>
              <w:rPr>
                <w:rFonts w:cs="Arial"/>
                <w:szCs w:val="18"/>
              </w:rPr>
            </w:pPr>
            <w:r w:rsidRPr="000C5373">
              <w:rPr>
                <w:rFonts w:cs="Arial"/>
                <w:szCs w:val="18"/>
              </w:rPr>
              <w:t>-3.4366</w:t>
            </w:r>
          </w:p>
        </w:tc>
        <w:tc>
          <w:tcPr>
            <w:tcW w:w="1134" w:type="dxa"/>
            <w:shd w:val="clear" w:color="auto" w:fill="FFFFFF"/>
            <w:vAlign w:val="center"/>
          </w:tcPr>
          <w:p w14:paraId="07203550" w14:textId="329C9B97" w:rsidR="003F2952" w:rsidRPr="000C5373" w:rsidRDefault="003D368C" w:rsidP="003F2952">
            <w:pPr>
              <w:pStyle w:val="CETBodytext"/>
              <w:ind w:right="-1"/>
              <w:jc w:val="left"/>
              <w:rPr>
                <w:rFonts w:cs="Arial"/>
                <w:szCs w:val="18"/>
              </w:rPr>
            </w:pPr>
            <w:r w:rsidRPr="000C5373">
              <w:rPr>
                <w:rFonts w:cs="Arial"/>
                <w:szCs w:val="18"/>
              </w:rPr>
              <w:t>3.1019e-05</w:t>
            </w:r>
          </w:p>
        </w:tc>
        <w:tc>
          <w:tcPr>
            <w:tcW w:w="567" w:type="dxa"/>
            <w:shd w:val="clear" w:color="auto" w:fill="FFFFFF"/>
            <w:vAlign w:val="center"/>
          </w:tcPr>
          <w:p w14:paraId="4A5CACAA" w14:textId="3D09C400" w:rsidR="003F2952" w:rsidRPr="00066A49" w:rsidRDefault="003D368C" w:rsidP="003F2952">
            <w:pPr>
              <w:pStyle w:val="CETBodytext"/>
              <w:ind w:right="-1"/>
              <w:jc w:val="left"/>
              <w:rPr>
                <w:rFonts w:cs="Arial"/>
                <w:szCs w:val="18"/>
              </w:rPr>
            </w:pPr>
            <w:r w:rsidRPr="00066A49">
              <w:rPr>
                <w:rFonts w:cs="Arial"/>
                <w:szCs w:val="18"/>
              </w:rPr>
              <w:t>2</w:t>
            </w:r>
          </w:p>
        </w:tc>
        <w:tc>
          <w:tcPr>
            <w:tcW w:w="708" w:type="dxa"/>
            <w:shd w:val="clear" w:color="auto" w:fill="FFFFFF"/>
            <w:vAlign w:val="center"/>
          </w:tcPr>
          <w:p w14:paraId="0AF7D075" w14:textId="3AB10D2A" w:rsidR="003F2952" w:rsidRPr="00066A49" w:rsidRDefault="003D368C" w:rsidP="003F2952">
            <w:pPr>
              <w:pStyle w:val="CETBodytext"/>
              <w:ind w:right="-1"/>
              <w:jc w:val="left"/>
              <w:rPr>
                <w:rFonts w:cs="Arial"/>
                <w:szCs w:val="18"/>
              </w:rPr>
            </w:pPr>
            <w:r w:rsidRPr="00066A49">
              <w:rPr>
                <w:rFonts w:cs="Arial"/>
                <w:szCs w:val="18"/>
              </w:rPr>
              <w:t>0</w:t>
            </w:r>
          </w:p>
        </w:tc>
        <w:tc>
          <w:tcPr>
            <w:tcW w:w="2552" w:type="dxa"/>
            <w:gridSpan w:val="2"/>
            <w:shd w:val="clear" w:color="auto" w:fill="FFFFFF"/>
            <w:vAlign w:val="center"/>
          </w:tcPr>
          <w:p w14:paraId="4BDC6D1E" w14:textId="63D3CED9" w:rsidR="003F2952" w:rsidRPr="00B57B36" w:rsidRDefault="003F2952" w:rsidP="003F2952">
            <w:pPr>
              <w:pStyle w:val="CETBodytext"/>
              <w:ind w:right="-1"/>
              <w:jc w:val="left"/>
              <w:rPr>
                <w:rFonts w:cs="Arial"/>
                <w:szCs w:val="18"/>
              </w:rPr>
            </w:pPr>
            <w:r>
              <w:rPr>
                <w:rFonts w:cs="Arial"/>
                <w:szCs w:val="18"/>
              </w:rPr>
              <w:t>PRO II_2021: SIMSCI database</w:t>
            </w:r>
          </w:p>
        </w:tc>
      </w:tr>
      <w:tr w:rsidR="00066A49" w:rsidRPr="00B57B36" w14:paraId="63330FA8" w14:textId="77777777" w:rsidTr="00492DA9">
        <w:trPr>
          <w:gridBefore w:val="1"/>
          <w:wBefore w:w="108" w:type="dxa"/>
        </w:trPr>
        <w:tc>
          <w:tcPr>
            <w:tcW w:w="1134" w:type="dxa"/>
            <w:shd w:val="clear" w:color="auto" w:fill="FFFFFF"/>
            <w:vAlign w:val="center"/>
          </w:tcPr>
          <w:p w14:paraId="2518F9ED" w14:textId="0B68B2FF" w:rsidR="003F2952" w:rsidRPr="00B57B36" w:rsidRDefault="003F2952" w:rsidP="003F2952">
            <w:pPr>
              <w:pStyle w:val="CETBodytext"/>
              <w:ind w:right="-1"/>
              <w:jc w:val="left"/>
              <w:rPr>
                <w:rFonts w:cs="Arial"/>
                <w:szCs w:val="18"/>
              </w:rPr>
            </w:pPr>
            <w:r w:rsidRPr="002B0B4F">
              <w:t>THT</w:t>
            </w:r>
          </w:p>
        </w:tc>
        <w:tc>
          <w:tcPr>
            <w:tcW w:w="851" w:type="dxa"/>
            <w:shd w:val="clear" w:color="auto" w:fill="FFFFFF"/>
            <w:vAlign w:val="center"/>
          </w:tcPr>
          <w:p w14:paraId="4A38C17A" w14:textId="3BA7923C" w:rsidR="003F2952" w:rsidRPr="00B57B36" w:rsidRDefault="003F2952" w:rsidP="003F2952">
            <w:pPr>
              <w:pStyle w:val="CETBodytext"/>
              <w:ind w:right="-1"/>
              <w:jc w:val="left"/>
              <w:rPr>
                <w:rFonts w:cs="Arial"/>
                <w:szCs w:val="18"/>
              </w:rPr>
            </w:pPr>
            <w:r>
              <w:rPr>
                <w:rFonts w:cs="Arial"/>
                <w:szCs w:val="18"/>
              </w:rPr>
              <w:t>74.588</w:t>
            </w:r>
          </w:p>
        </w:tc>
        <w:tc>
          <w:tcPr>
            <w:tcW w:w="850" w:type="dxa"/>
            <w:shd w:val="clear" w:color="auto" w:fill="FFFFFF"/>
            <w:vAlign w:val="center"/>
          </w:tcPr>
          <w:p w14:paraId="7E6350FD" w14:textId="3CFBD59C" w:rsidR="003F2952" w:rsidRPr="00B57B36" w:rsidRDefault="003F2952" w:rsidP="003F2952">
            <w:pPr>
              <w:pStyle w:val="CETBodytext"/>
              <w:ind w:right="-1"/>
              <w:jc w:val="left"/>
              <w:rPr>
                <w:rFonts w:cs="Arial"/>
                <w:szCs w:val="18"/>
              </w:rPr>
            </w:pPr>
            <w:r>
              <w:rPr>
                <w:rFonts w:cs="Arial"/>
                <w:szCs w:val="18"/>
              </w:rPr>
              <w:t>-6,863</w:t>
            </w:r>
          </w:p>
        </w:tc>
        <w:tc>
          <w:tcPr>
            <w:tcW w:w="993" w:type="dxa"/>
            <w:shd w:val="clear" w:color="auto" w:fill="FFFFFF"/>
            <w:vAlign w:val="center"/>
          </w:tcPr>
          <w:p w14:paraId="4326FAC9" w14:textId="626ADB55" w:rsidR="003F2952" w:rsidRPr="000C5373" w:rsidRDefault="003F2952" w:rsidP="003F2952">
            <w:pPr>
              <w:pStyle w:val="CETBodytext"/>
              <w:ind w:right="-1"/>
              <w:jc w:val="left"/>
              <w:rPr>
                <w:rFonts w:cs="Arial"/>
                <w:szCs w:val="18"/>
              </w:rPr>
            </w:pPr>
            <w:r w:rsidRPr="000C5373">
              <w:rPr>
                <w:rFonts w:cs="Arial"/>
                <w:szCs w:val="18"/>
              </w:rPr>
              <w:t>-7.7478</w:t>
            </w:r>
          </w:p>
        </w:tc>
        <w:tc>
          <w:tcPr>
            <w:tcW w:w="1134" w:type="dxa"/>
            <w:shd w:val="clear" w:color="auto" w:fill="FFFFFF"/>
            <w:vAlign w:val="center"/>
          </w:tcPr>
          <w:p w14:paraId="0F2C7B7C" w14:textId="6D39582C" w:rsidR="003F2952" w:rsidRPr="000C5373" w:rsidRDefault="003F2952" w:rsidP="003F2952">
            <w:pPr>
              <w:pStyle w:val="CETBodytext"/>
              <w:ind w:right="-1"/>
              <w:jc w:val="left"/>
            </w:pPr>
            <w:r w:rsidRPr="000C5373">
              <w:t>4.217e-06</w:t>
            </w:r>
          </w:p>
        </w:tc>
        <w:tc>
          <w:tcPr>
            <w:tcW w:w="567" w:type="dxa"/>
            <w:shd w:val="clear" w:color="auto" w:fill="FFFFFF"/>
            <w:vAlign w:val="center"/>
          </w:tcPr>
          <w:p w14:paraId="77459B04" w14:textId="29C5C990" w:rsidR="003F2952" w:rsidRPr="00066A49" w:rsidRDefault="003F2952" w:rsidP="003F2952">
            <w:pPr>
              <w:pStyle w:val="CETBodytext"/>
              <w:ind w:right="-1"/>
              <w:jc w:val="left"/>
            </w:pPr>
            <w:r w:rsidRPr="00066A49">
              <w:t>2</w:t>
            </w:r>
          </w:p>
        </w:tc>
        <w:tc>
          <w:tcPr>
            <w:tcW w:w="708" w:type="dxa"/>
            <w:shd w:val="clear" w:color="auto" w:fill="FFFFFF"/>
            <w:vAlign w:val="center"/>
          </w:tcPr>
          <w:p w14:paraId="3E545D4F" w14:textId="5797CA1F" w:rsidR="003F2952" w:rsidRPr="00066A49" w:rsidRDefault="003F2952" w:rsidP="003F2952">
            <w:pPr>
              <w:pStyle w:val="CETBodytext"/>
              <w:ind w:right="-1"/>
              <w:jc w:val="left"/>
            </w:pPr>
            <w:r w:rsidRPr="00066A49">
              <w:t>0</w:t>
            </w:r>
          </w:p>
        </w:tc>
        <w:tc>
          <w:tcPr>
            <w:tcW w:w="2552" w:type="dxa"/>
            <w:gridSpan w:val="2"/>
            <w:shd w:val="clear" w:color="auto" w:fill="FFFFFF"/>
            <w:vAlign w:val="center"/>
          </w:tcPr>
          <w:p w14:paraId="496FDB0B" w14:textId="50D18C33" w:rsidR="003F2952" w:rsidRPr="00B57B36" w:rsidRDefault="00066A49" w:rsidP="003F2952">
            <w:pPr>
              <w:pStyle w:val="CETBodytext"/>
              <w:ind w:right="-1"/>
              <w:jc w:val="left"/>
              <w:rPr>
                <w:rFonts w:cs="Arial"/>
                <w:szCs w:val="18"/>
              </w:rPr>
            </w:pPr>
            <w:r>
              <w:rPr>
                <w:rFonts w:cs="Arial"/>
                <w:szCs w:val="18"/>
              </w:rPr>
              <w:t>PRO II_2021: SIMSCI database</w:t>
            </w:r>
          </w:p>
        </w:tc>
      </w:tr>
      <w:tr w:rsidR="005F6BF7" w:rsidRPr="00B57B36" w14:paraId="46363F4B" w14:textId="77777777" w:rsidTr="00415C85">
        <w:tblPrEx>
          <w:tblBorders>
            <w:top w:val="none" w:sz="0" w:space="0" w:color="auto"/>
            <w:bottom w:val="none" w:sz="0" w:space="0" w:color="auto"/>
          </w:tblBorders>
          <w:shd w:val="clear" w:color="auto" w:fill="auto"/>
          <w:tblCellMar>
            <w:left w:w="108" w:type="dxa"/>
            <w:right w:w="108" w:type="dxa"/>
          </w:tblCellMar>
          <w:tblLook w:val="04A0" w:firstRow="1" w:lastRow="0" w:firstColumn="1" w:lastColumn="0" w:noHBand="0" w:noVBand="1"/>
        </w:tblPrEx>
        <w:tc>
          <w:tcPr>
            <w:tcW w:w="8188" w:type="dxa"/>
            <w:gridSpan w:val="9"/>
            <w:shd w:val="clear" w:color="auto" w:fill="auto"/>
            <w:vAlign w:val="center"/>
          </w:tcPr>
          <w:p w14:paraId="4306362A" w14:textId="77777777" w:rsidR="005F6BF7" w:rsidRPr="00616B89" w:rsidRDefault="005F6BF7" w:rsidP="00912B46">
            <w:pPr>
              <w:pStyle w:val="CETEquation"/>
              <w:spacing w:before="240" w:after="0"/>
              <w:rPr>
                <w:rFonts w:eastAsiaTheme="minorEastAsia"/>
                <w:i/>
              </w:rPr>
            </w:pPr>
            <m:oMath>
              <m:r>
                <w:rPr>
                  <w:rFonts w:ascii="Cambria Math" w:hAnsi="Cambria Math"/>
                </w:rPr>
                <m:t>log P=A-</m:t>
              </m:r>
              <m:f>
                <m:fPr>
                  <m:ctrlPr>
                    <w:rPr>
                      <w:rFonts w:ascii="Cambria Math" w:hAnsi="Cambria Math"/>
                      <w:i/>
                    </w:rPr>
                  </m:ctrlPr>
                </m:fPr>
                <m:num>
                  <m:r>
                    <w:rPr>
                      <w:rFonts w:ascii="Cambria Math" w:hAnsi="Cambria Math"/>
                    </w:rPr>
                    <m:t>B</m:t>
                  </m:r>
                </m:num>
                <m:den>
                  <m:r>
                    <w:rPr>
                      <w:rFonts w:ascii="Cambria Math" w:hAnsi="Cambria Math"/>
                    </w:rPr>
                    <m:t>T+C</m:t>
                  </m:r>
                </m:den>
              </m:f>
            </m:oMath>
            <w:r w:rsidRPr="00616B89">
              <w:rPr>
                <w:rFonts w:eastAsiaTheme="minorEastAsia"/>
                <w:i/>
              </w:rPr>
              <w:t xml:space="preserve"> </w:t>
            </w:r>
          </w:p>
        </w:tc>
        <w:tc>
          <w:tcPr>
            <w:tcW w:w="709" w:type="dxa"/>
            <w:shd w:val="clear" w:color="auto" w:fill="auto"/>
            <w:vAlign w:val="center"/>
          </w:tcPr>
          <w:p w14:paraId="6058B575" w14:textId="1513615F" w:rsidR="005F6BF7" w:rsidRPr="00B57B36" w:rsidRDefault="005F6BF7" w:rsidP="005B2C7B">
            <w:pPr>
              <w:pStyle w:val="CETEquation"/>
              <w:jc w:val="right"/>
            </w:pPr>
            <w:r w:rsidRPr="00B57B36">
              <w:t>(</w:t>
            </w:r>
            <w:r>
              <w:t>2</w:t>
            </w:r>
            <w:r w:rsidRPr="00B57B36">
              <w:t>)</w:t>
            </w:r>
          </w:p>
        </w:tc>
      </w:tr>
    </w:tbl>
    <w:p w14:paraId="55F6EF60" w14:textId="098D5082" w:rsidR="008E159B" w:rsidRPr="00B57B36" w:rsidRDefault="008E159B" w:rsidP="008E159B">
      <w:pPr>
        <w:pStyle w:val="CETTabletitle"/>
      </w:pPr>
      <w:r w:rsidRPr="00B57B36">
        <w:t xml:space="preserve">Table </w:t>
      </w:r>
      <w:r w:rsidR="00A42F6C">
        <w:t>2</w:t>
      </w:r>
      <w:r w:rsidRPr="00B57B36">
        <w:t xml:space="preserve">: </w:t>
      </w:r>
      <w:r w:rsidR="000E56E8">
        <w:t>Antoine</w:t>
      </w:r>
      <w:r w:rsidR="00F8611F">
        <w:t xml:space="preserve"> </w:t>
      </w:r>
      <w:r w:rsidR="00A20C7B" w:rsidRPr="00A20C7B">
        <w:t>coefficients</w:t>
      </w:r>
      <w:r w:rsidR="00A20C7B">
        <w:t xml:space="preserve"> for </w:t>
      </w:r>
      <w:r w:rsidR="005E14B6">
        <w:t>the two different compounds.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1417"/>
        <w:gridCol w:w="1560"/>
        <w:gridCol w:w="1417"/>
        <w:gridCol w:w="2410"/>
      </w:tblGrid>
      <w:tr w:rsidR="008E7E75" w:rsidRPr="00B57B36" w14:paraId="7D25E717" w14:textId="77777777" w:rsidTr="00415C85">
        <w:tc>
          <w:tcPr>
            <w:tcW w:w="1985" w:type="dxa"/>
            <w:tcBorders>
              <w:top w:val="single" w:sz="12" w:space="0" w:color="008000"/>
              <w:bottom w:val="single" w:sz="6" w:space="0" w:color="008000"/>
            </w:tcBorders>
            <w:shd w:val="clear" w:color="auto" w:fill="FFFFFF"/>
          </w:tcPr>
          <w:p w14:paraId="7D4A0F56" w14:textId="23EBED74" w:rsidR="008E159B" w:rsidRPr="00B57B36" w:rsidRDefault="007E745A" w:rsidP="001470F7">
            <w:pPr>
              <w:pStyle w:val="CETBodytext"/>
            </w:pPr>
            <w:r>
              <w:t>Compound</w:t>
            </w:r>
          </w:p>
        </w:tc>
        <w:tc>
          <w:tcPr>
            <w:tcW w:w="1417" w:type="dxa"/>
            <w:tcBorders>
              <w:top w:val="single" w:sz="12" w:space="0" w:color="008000"/>
              <w:bottom w:val="single" w:sz="6" w:space="0" w:color="008000"/>
            </w:tcBorders>
            <w:shd w:val="clear" w:color="auto" w:fill="FFFFFF"/>
          </w:tcPr>
          <w:p w14:paraId="1D3B51CD" w14:textId="51D20770" w:rsidR="008E159B" w:rsidRPr="00B57B36" w:rsidRDefault="005D03B1" w:rsidP="008E7E75">
            <w:pPr>
              <w:pStyle w:val="CETBodytext"/>
              <w:jc w:val="left"/>
            </w:pPr>
            <w:r>
              <w:t>A</w:t>
            </w:r>
          </w:p>
        </w:tc>
        <w:tc>
          <w:tcPr>
            <w:tcW w:w="1560" w:type="dxa"/>
            <w:tcBorders>
              <w:top w:val="single" w:sz="12" w:space="0" w:color="008000"/>
              <w:bottom w:val="single" w:sz="6" w:space="0" w:color="008000"/>
            </w:tcBorders>
            <w:shd w:val="clear" w:color="auto" w:fill="FFFFFF"/>
          </w:tcPr>
          <w:p w14:paraId="07BDED2F" w14:textId="64DA797C" w:rsidR="008E159B" w:rsidRPr="00B57B36" w:rsidRDefault="005D03B1" w:rsidP="008E7E75">
            <w:pPr>
              <w:pStyle w:val="CETBodytext"/>
              <w:jc w:val="left"/>
            </w:pPr>
            <w:r>
              <w:t>B</w:t>
            </w:r>
          </w:p>
        </w:tc>
        <w:tc>
          <w:tcPr>
            <w:tcW w:w="1417" w:type="dxa"/>
            <w:tcBorders>
              <w:top w:val="single" w:sz="12" w:space="0" w:color="008000"/>
              <w:bottom w:val="single" w:sz="6" w:space="0" w:color="008000"/>
            </w:tcBorders>
            <w:shd w:val="clear" w:color="auto" w:fill="FFFFFF"/>
          </w:tcPr>
          <w:p w14:paraId="1C40D109" w14:textId="2C736D7B" w:rsidR="008E159B" w:rsidRPr="00B57B36" w:rsidRDefault="005D03B1" w:rsidP="008E7E75">
            <w:pPr>
              <w:pStyle w:val="CETBodytext"/>
              <w:ind w:right="-1"/>
              <w:jc w:val="left"/>
              <w:rPr>
                <w:rFonts w:cs="Arial"/>
                <w:szCs w:val="18"/>
              </w:rPr>
            </w:pPr>
            <w:r>
              <w:rPr>
                <w:rFonts w:cs="Arial"/>
                <w:szCs w:val="18"/>
              </w:rPr>
              <w:t>C</w:t>
            </w:r>
          </w:p>
        </w:tc>
        <w:tc>
          <w:tcPr>
            <w:tcW w:w="2410" w:type="dxa"/>
            <w:tcBorders>
              <w:top w:val="single" w:sz="12" w:space="0" w:color="008000"/>
              <w:bottom w:val="single" w:sz="6" w:space="0" w:color="008000"/>
            </w:tcBorders>
            <w:shd w:val="clear" w:color="auto" w:fill="FFFFFF"/>
          </w:tcPr>
          <w:p w14:paraId="7D9FF924" w14:textId="4237D19D" w:rsidR="008E159B" w:rsidRPr="00B57B36" w:rsidRDefault="005D03B1" w:rsidP="001470F7">
            <w:pPr>
              <w:pStyle w:val="CETBodytext"/>
              <w:ind w:right="-1"/>
              <w:rPr>
                <w:rFonts w:cs="Arial"/>
                <w:szCs w:val="18"/>
              </w:rPr>
            </w:pPr>
            <w:r>
              <w:rPr>
                <w:rFonts w:cs="Arial"/>
                <w:szCs w:val="18"/>
              </w:rPr>
              <w:t>References</w:t>
            </w:r>
          </w:p>
        </w:tc>
      </w:tr>
      <w:tr w:rsidR="008E7E75" w:rsidRPr="00B57B36" w14:paraId="181E64A8" w14:textId="77777777" w:rsidTr="00415C85">
        <w:tc>
          <w:tcPr>
            <w:tcW w:w="1985" w:type="dxa"/>
            <w:shd w:val="clear" w:color="auto" w:fill="FFFFFF"/>
          </w:tcPr>
          <w:p w14:paraId="321F57DD" w14:textId="78E104A2" w:rsidR="008E159B" w:rsidRPr="00B57B36" w:rsidRDefault="005D03B1" w:rsidP="001470F7">
            <w:pPr>
              <w:pStyle w:val="CETBodytext"/>
            </w:pPr>
            <w:r>
              <w:t>Methane</w:t>
            </w:r>
          </w:p>
        </w:tc>
        <w:tc>
          <w:tcPr>
            <w:tcW w:w="1417" w:type="dxa"/>
            <w:shd w:val="clear" w:color="auto" w:fill="FFFFFF"/>
          </w:tcPr>
          <w:p w14:paraId="777A9286" w14:textId="5AFB63EC" w:rsidR="008E159B" w:rsidRPr="00B57B36" w:rsidRDefault="003320C3" w:rsidP="008E7E75">
            <w:pPr>
              <w:pStyle w:val="CETBodytext"/>
              <w:jc w:val="left"/>
            </w:pPr>
            <w:r w:rsidRPr="003320C3">
              <w:t>6.84377</w:t>
            </w:r>
          </w:p>
        </w:tc>
        <w:tc>
          <w:tcPr>
            <w:tcW w:w="1560" w:type="dxa"/>
            <w:shd w:val="clear" w:color="auto" w:fill="FFFFFF"/>
          </w:tcPr>
          <w:p w14:paraId="34540555" w14:textId="6E760F79" w:rsidR="008E159B" w:rsidRPr="00B57B36" w:rsidRDefault="008E7E75" w:rsidP="008E7E75">
            <w:pPr>
              <w:pStyle w:val="CETBodytext"/>
              <w:jc w:val="left"/>
            </w:pPr>
            <w:r>
              <w:t>435.4534</w:t>
            </w:r>
          </w:p>
        </w:tc>
        <w:tc>
          <w:tcPr>
            <w:tcW w:w="1417" w:type="dxa"/>
            <w:shd w:val="clear" w:color="auto" w:fill="FFFFFF"/>
          </w:tcPr>
          <w:p w14:paraId="165D6207" w14:textId="114BEB7F" w:rsidR="008E159B" w:rsidRPr="00B57B36" w:rsidRDefault="008E7E75" w:rsidP="008E7E75">
            <w:pPr>
              <w:pStyle w:val="CETBodytext"/>
              <w:ind w:right="-1"/>
              <w:jc w:val="left"/>
              <w:rPr>
                <w:rFonts w:cs="Arial"/>
                <w:szCs w:val="18"/>
              </w:rPr>
            </w:pPr>
            <w:r>
              <w:t>271.361</w:t>
            </w:r>
          </w:p>
        </w:tc>
        <w:tc>
          <w:tcPr>
            <w:tcW w:w="2410" w:type="dxa"/>
            <w:shd w:val="clear" w:color="auto" w:fill="FFFFFF"/>
          </w:tcPr>
          <w:p w14:paraId="17865959" w14:textId="22AF0897" w:rsidR="008E159B" w:rsidRPr="00B57B36" w:rsidRDefault="00F8611F" w:rsidP="001470F7">
            <w:pPr>
              <w:pStyle w:val="CETBodytext"/>
              <w:ind w:right="-1"/>
              <w:rPr>
                <w:rFonts w:cs="Arial"/>
                <w:szCs w:val="18"/>
              </w:rPr>
            </w:pPr>
            <w:r>
              <w:rPr>
                <w:rFonts w:cs="Arial"/>
                <w:szCs w:val="18"/>
              </w:rPr>
              <w:t>(Yaws</w:t>
            </w:r>
            <w:r w:rsidR="00840009">
              <w:rPr>
                <w:rFonts w:cs="Arial"/>
                <w:szCs w:val="18"/>
              </w:rPr>
              <w:t>, 2015)</w:t>
            </w:r>
          </w:p>
        </w:tc>
      </w:tr>
      <w:tr w:rsidR="008E7E75" w:rsidRPr="00B57B36" w14:paraId="69B00681" w14:textId="77777777" w:rsidTr="00415C85">
        <w:tc>
          <w:tcPr>
            <w:tcW w:w="1985" w:type="dxa"/>
            <w:shd w:val="clear" w:color="auto" w:fill="FFFFFF"/>
          </w:tcPr>
          <w:p w14:paraId="610832C8" w14:textId="6A3E4C19" w:rsidR="00D8393E" w:rsidRPr="00B57B36" w:rsidRDefault="00D8393E" w:rsidP="00D8393E">
            <w:pPr>
              <w:pStyle w:val="CETBodytext"/>
              <w:ind w:right="-1"/>
              <w:rPr>
                <w:rFonts w:cs="Arial"/>
                <w:szCs w:val="18"/>
              </w:rPr>
            </w:pPr>
            <w:r w:rsidRPr="002B0B4F">
              <w:t>THT</w:t>
            </w:r>
          </w:p>
        </w:tc>
        <w:tc>
          <w:tcPr>
            <w:tcW w:w="1417" w:type="dxa"/>
            <w:shd w:val="clear" w:color="auto" w:fill="FFFFFF"/>
          </w:tcPr>
          <w:p w14:paraId="129113E0" w14:textId="7FC2BBA8" w:rsidR="00D8393E" w:rsidRPr="00B57B36" w:rsidRDefault="00AF32A8" w:rsidP="008E7E75">
            <w:pPr>
              <w:pStyle w:val="CETBodytext"/>
              <w:ind w:right="-1"/>
              <w:jc w:val="left"/>
              <w:rPr>
                <w:rFonts w:cs="Arial"/>
                <w:szCs w:val="18"/>
              </w:rPr>
            </w:pPr>
            <w:r>
              <w:rPr>
                <w:rFonts w:cs="Arial"/>
                <w:szCs w:val="18"/>
              </w:rPr>
              <w:t>6.995</w:t>
            </w:r>
            <w:r w:rsidR="00BF02BB">
              <w:rPr>
                <w:rFonts w:cs="Arial"/>
                <w:szCs w:val="18"/>
              </w:rPr>
              <w:t>40</w:t>
            </w:r>
          </w:p>
        </w:tc>
        <w:tc>
          <w:tcPr>
            <w:tcW w:w="1560" w:type="dxa"/>
            <w:shd w:val="clear" w:color="auto" w:fill="FFFFFF"/>
          </w:tcPr>
          <w:p w14:paraId="62B43D75" w14:textId="7B98A8CE" w:rsidR="00D8393E" w:rsidRPr="00B57B36" w:rsidRDefault="000136BC" w:rsidP="008E7E75">
            <w:pPr>
              <w:pStyle w:val="CETBodytext"/>
              <w:ind w:right="-1"/>
              <w:jc w:val="left"/>
              <w:rPr>
                <w:rFonts w:cs="Arial"/>
                <w:szCs w:val="18"/>
              </w:rPr>
            </w:pPr>
            <w:r>
              <w:rPr>
                <w:rFonts w:cs="Arial"/>
                <w:szCs w:val="18"/>
              </w:rPr>
              <w:t>1,401.939</w:t>
            </w:r>
          </w:p>
        </w:tc>
        <w:tc>
          <w:tcPr>
            <w:tcW w:w="1417" w:type="dxa"/>
            <w:shd w:val="clear" w:color="auto" w:fill="FFFFFF"/>
          </w:tcPr>
          <w:p w14:paraId="37A69D7A" w14:textId="2FA5CC2D" w:rsidR="00D8393E" w:rsidRPr="00B57B36" w:rsidRDefault="000136BC" w:rsidP="008E7E75">
            <w:pPr>
              <w:pStyle w:val="CETBodytext"/>
              <w:ind w:right="-1"/>
              <w:jc w:val="left"/>
              <w:rPr>
                <w:rFonts w:cs="Arial"/>
                <w:szCs w:val="18"/>
              </w:rPr>
            </w:pPr>
            <w:r>
              <w:rPr>
                <w:rFonts w:cs="Arial"/>
                <w:szCs w:val="18"/>
              </w:rPr>
              <w:t>219.607</w:t>
            </w:r>
          </w:p>
        </w:tc>
        <w:tc>
          <w:tcPr>
            <w:tcW w:w="2410" w:type="dxa"/>
            <w:shd w:val="clear" w:color="auto" w:fill="FFFFFF"/>
          </w:tcPr>
          <w:p w14:paraId="0DF42159" w14:textId="71E3BC97" w:rsidR="00D8393E" w:rsidRPr="00B57B36" w:rsidRDefault="00D8393E" w:rsidP="00D8393E">
            <w:pPr>
              <w:pStyle w:val="CETBodytext"/>
              <w:ind w:right="-1"/>
              <w:rPr>
                <w:rFonts w:cs="Arial"/>
                <w:szCs w:val="18"/>
              </w:rPr>
            </w:pPr>
            <w:r w:rsidRPr="008174EA">
              <w:t>(Hubbard W.N. et al., 1952)</w:t>
            </w:r>
          </w:p>
        </w:tc>
      </w:tr>
    </w:tbl>
    <w:p w14:paraId="0E6371C8" w14:textId="77777777" w:rsidR="008E159B" w:rsidRDefault="008E159B" w:rsidP="00321BE5">
      <w:pPr>
        <w:pStyle w:val="CETBodytext"/>
      </w:pPr>
    </w:p>
    <w:p w14:paraId="2C02F150" w14:textId="68F4B0C3" w:rsidR="00FE20D8" w:rsidRDefault="00682BFA" w:rsidP="00FE20D8">
      <w:pPr>
        <w:pStyle w:val="CETBodytext"/>
      </w:pPr>
      <w:r w:rsidRPr="00682BFA">
        <w:t xml:space="preserve">As </w:t>
      </w:r>
      <w:r w:rsidR="008A247E">
        <w:t>shown</w:t>
      </w:r>
      <w:r w:rsidRPr="00682BFA">
        <w:t xml:space="preserve"> </w:t>
      </w:r>
      <w:r w:rsidR="008A247E" w:rsidRPr="00623C3A">
        <w:t>in</w:t>
      </w:r>
      <w:r w:rsidRPr="00623C3A">
        <w:t xml:space="preserve"> Figure </w:t>
      </w:r>
      <w:r w:rsidR="00623C3A" w:rsidRPr="00623C3A">
        <w:t>4</w:t>
      </w:r>
      <w:r w:rsidRPr="00623C3A">
        <w:t>, a</w:t>
      </w:r>
      <w:r w:rsidRPr="00682BFA">
        <w:t xml:space="preserve"> good overlap has been obtained between the data </w:t>
      </w:r>
      <w:r w:rsidR="005E1189">
        <w:t>calculated with</w:t>
      </w:r>
      <w:r w:rsidR="009A2CE3">
        <w:t xml:space="preserve"> these equations </w:t>
      </w:r>
      <w:r w:rsidRPr="00682BFA">
        <w:t>and, in the case of THT, also with experimental data</w:t>
      </w:r>
      <w:r w:rsidR="00B72B83">
        <w:t xml:space="preserve"> (</w:t>
      </w:r>
      <w:r w:rsidR="00B72B83" w:rsidRPr="008174EA">
        <w:t>Hubbard W.N. et al., 1952)</w:t>
      </w:r>
      <w:r w:rsidRPr="00682BFA">
        <w:t>.</w:t>
      </w:r>
    </w:p>
    <w:p w14:paraId="213EDD53" w14:textId="77777777" w:rsidR="00DA453B" w:rsidRDefault="009A6705" w:rsidP="00FE20D8">
      <w:pPr>
        <w:pStyle w:val="CETCaption"/>
      </w:pPr>
      <w:r>
        <w:rPr>
          <w:noProof/>
        </w:rPr>
        <w:drawing>
          <wp:inline distT="0" distB="0" distL="0" distR="0" wp14:anchorId="2D3B9E68" wp14:editId="32FF6B8B">
            <wp:extent cx="5009536" cy="1888832"/>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3"/>
                    <a:srcRect l="8727" t="5840" r="6400" b="48351"/>
                    <a:stretch/>
                  </pic:blipFill>
                  <pic:spPr bwMode="auto">
                    <a:xfrm>
                      <a:off x="0" y="0"/>
                      <a:ext cx="5027975" cy="1895784"/>
                    </a:xfrm>
                    <a:prstGeom prst="rect">
                      <a:avLst/>
                    </a:prstGeom>
                    <a:ln>
                      <a:noFill/>
                    </a:ln>
                    <a:extLst>
                      <a:ext uri="{53640926-AAD7-44D8-BBD7-CCE9431645EC}">
                        <a14:shadowObscured xmlns:a14="http://schemas.microsoft.com/office/drawing/2010/main"/>
                      </a:ext>
                    </a:extLst>
                  </pic:spPr>
                </pic:pic>
              </a:graphicData>
            </a:graphic>
          </wp:inline>
        </w:drawing>
      </w:r>
    </w:p>
    <w:p w14:paraId="2D43E2DF" w14:textId="5D690703" w:rsidR="00A96A37" w:rsidRPr="00B57B36" w:rsidRDefault="00A96A37" w:rsidP="0076150F">
      <w:pPr>
        <w:pStyle w:val="CETCaption"/>
        <w:spacing w:before="0"/>
      </w:pPr>
      <w:r w:rsidRPr="00B57B36">
        <w:t xml:space="preserve">Figure </w:t>
      </w:r>
      <w:r w:rsidR="00623C3A">
        <w:t>4</w:t>
      </w:r>
      <w:r w:rsidRPr="00B57B36">
        <w:t xml:space="preserve">: </w:t>
      </w:r>
      <w:r w:rsidR="00B72B83">
        <w:t>Com</w:t>
      </w:r>
      <w:r w:rsidR="00A9640E">
        <w:t xml:space="preserve">parison between the simulated and the calculated </w:t>
      </w:r>
      <w:r w:rsidR="006F2BCF">
        <w:t xml:space="preserve">data related to </w:t>
      </w:r>
      <w:r w:rsidR="0031378C">
        <w:t>vapour pressure of</w:t>
      </w:r>
      <w:r w:rsidR="00EC7389" w:rsidRPr="00EC7389">
        <w:t xml:space="preserve"> </w:t>
      </w:r>
      <w:r w:rsidR="00EC7389">
        <w:t>t</w:t>
      </w:r>
      <w:r w:rsidR="00EC7389" w:rsidRPr="002B0B4F">
        <w:t>etrahydrothiophene (THT)</w:t>
      </w:r>
      <w:r w:rsidR="00EC7389">
        <w:t xml:space="preserve"> (a) and</w:t>
      </w:r>
      <w:r w:rsidR="0031378C">
        <w:t xml:space="preserve"> methane (b)</w:t>
      </w:r>
      <w:r w:rsidR="00EC7389">
        <w:t>.</w:t>
      </w:r>
    </w:p>
    <w:p w14:paraId="303BFD06" w14:textId="316271B6" w:rsidR="00C7455C" w:rsidRDefault="00616B89" w:rsidP="00C7455C">
      <w:pPr>
        <w:pStyle w:val="CETBodytext"/>
      </w:pPr>
      <w:r w:rsidRPr="00660F4A">
        <w:lastRenderedPageBreak/>
        <w:t xml:space="preserve">After checking the consistency of the data calculated on the PRO II software, </w:t>
      </w:r>
      <w:r w:rsidRPr="003A28F5">
        <w:t xml:space="preserve">the liquid-vapor </w:t>
      </w:r>
      <w:r>
        <w:t>equilibria</w:t>
      </w:r>
      <w:r w:rsidRPr="003A28F5">
        <w:t xml:space="preserve"> </w:t>
      </w:r>
      <w:r>
        <w:t>were taken into</w:t>
      </w:r>
      <w:r w:rsidR="00195DA8">
        <w:t xml:space="preserve"> </w:t>
      </w:r>
      <w:r w:rsidR="00DE0142">
        <w:t>consideration.</w:t>
      </w:r>
      <w:r w:rsidR="008D32E7">
        <w:t xml:space="preserve"> Starting from</w:t>
      </w:r>
      <w:r w:rsidR="00C7455C" w:rsidRPr="00B865E7">
        <w:t xml:space="preserve"> liquid-vapour equilibria data </w:t>
      </w:r>
      <w:r w:rsidR="00E3748D">
        <w:t xml:space="preserve">of methane-THT binary </w:t>
      </w:r>
      <w:r w:rsidR="005C0837">
        <w:t>mix</w:t>
      </w:r>
      <w:r w:rsidR="00D136FA">
        <w:t xml:space="preserve">ture </w:t>
      </w:r>
      <w:r w:rsidR="00C7455C" w:rsidRPr="00B865E7">
        <w:t>available</w:t>
      </w:r>
      <w:r w:rsidR="00D136FA">
        <w:t xml:space="preserve"> in </w:t>
      </w:r>
      <w:r w:rsidR="00B61D37">
        <w:t xml:space="preserve">the </w:t>
      </w:r>
      <w:r w:rsidR="00D136FA">
        <w:t>literature</w:t>
      </w:r>
      <w:r w:rsidR="00C7455C" w:rsidRPr="006D2BBA">
        <w:t xml:space="preserve"> </w:t>
      </w:r>
      <w:r w:rsidR="00C7455C" w:rsidRPr="008174EA">
        <w:t>(Ghanem et al., 1998)</w:t>
      </w:r>
      <w:r w:rsidR="00BF3FC2">
        <w:t xml:space="preserve">, it was possible </w:t>
      </w:r>
      <w:r w:rsidR="0008199C">
        <w:t xml:space="preserve">to compare </w:t>
      </w:r>
      <w:r w:rsidR="000C39A1">
        <w:t xml:space="preserve">the </w:t>
      </w:r>
      <w:r w:rsidR="005A7811">
        <w:t>difference between</w:t>
      </w:r>
      <w:r w:rsidR="000C39A1">
        <w:t xml:space="preserve"> </w:t>
      </w:r>
      <w:r w:rsidR="0008199C">
        <w:t>two different models</w:t>
      </w:r>
      <w:r w:rsidR="00EE0FFA">
        <w:t xml:space="preserve">, </w:t>
      </w:r>
      <w:proofErr w:type="gramStart"/>
      <w:r w:rsidR="00EE0FFA">
        <w:t>i.e.</w:t>
      </w:r>
      <w:proofErr w:type="gramEnd"/>
      <w:r w:rsidR="00826349">
        <w:t xml:space="preserve"> the ideal model (IDEAL) and the Soave-Redlich-</w:t>
      </w:r>
      <w:proofErr w:type="spellStart"/>
      <w:r w:rsidR="00826349">
        <w:t>Kwong</w:t>
      </w:r>
      <w:proofErr w:type="spellEnd"/>
      <w:r w:rsidR="00826349">
        <w:t xml:space="preserve"> model (SRK).</w:t>
      </w:r>
      <w:r w:rsidR="00CB3E55">
        <w:t xml:space="preserve"> Clearly SRK is most suitable for the correct </w:t>
      </w:r>
      <w:r w:rsidR="00910CD8">
        <w:t>representation</w:t>
      </w:r>
      <w:r w:rsidR="00CB3E55">
        <w:t xml:space="preserve"> of the </w:t>
      </w:r>
      <w:proofErr w:type="gramStart"/>
      <w:r w:rsidR="00CB3E55">
        <w:t>system</w:t>
      </w:r>
      <w:proofErr w:type="gramEnd"/>
      <w:r w:rsidR="00CB3E55">
        <w:t xml:space="preserve"> </w:t>
      </w:r>
      <w:r w:rsidR="009D0BBE">
        <w:t xml:space="preserve">but the aim of our work is the </w:t>
      </w:r>
      <w:r w:rsidR="00A0084D">
        <w:t xml:space="preserve">quantification </w:t>
      </w:r>
      <w:r w:rsidR="00910CD8">
        <w:t xml:space="preserve">of the </w:t>
      </w:r>
      <w:r w:rsidR="0073734E">
        <w:t xml:space="preserve">real gas behaviour. </w:t>
      </w:r>
    </w:p>
    <w:p w14:paraId="36D4075D" w14:textId="77777777" w:rsidR="009A6705" w:rsidRDefault="00521C16" w:rsidP="00B61E0E">
      <w:pPr>
        <w:pStyle w:val="CETBodytext"/>
      </w:pPr>
      <w:r>
        <w:t xml:space="preserve">When the Ideal method (IDEAL) is selected, equilibrium K-values are computed as </w:t>
      </w:r>
      <m:oMath>
        <m:sSub>
          <m:sSubPr>
            <m:ctrlPr>
              <w:rPr>
                <w:rFonts w:ascii="Cambria Math" w:hAnsi="Cambria Math"/>
              </w:rPr>
            </m:ctrlPr>
          </m:sSubPr>
          <m:e>
            <m:r>
              <w:rPr>
                <w:rFonts w:ascii="Cambria Math" w:hAnsi="Cambria Math"/>
              </w:rPr>
              <m:t>k</m:t>
            </m:r>
          </m:e>
          <m:sub>
            <m:r>
              <w:rPr>
                <w:rFonts w:ascii="Cambria Math" w:hAnsi="Cambria Math"/>
              </w:rPr>
              <m:t>i</m:t>
            </m:r>
          </m:sub>
        </m:sSub>
        <m:r>
          <m:rPr>
            <m:sty m:val="p"/>
          </m:rPr>
          <w:rPr>
            <w:rFonts w:ascii="Cambria Math" w:hAnsi="Cambria Math"/>
          </w:rPr>
          <m:t>=</m:t>
        </m:r>
        <m:r>
          <w:rPr>
            <w:rFonts w:ascii="Cambria Math" w:hAnsi="Cambria Math"/>
          </w:rPr>
          <m:t>p</m:t>
        </m:r>
        <m:sSub>
          <m:sSubPr>
            <m:ctrlPr>
              <w:rPr>
                <w:rFonts w:ascii="Cambria Math" w:hAnsi="Cambria Math"/>
              </w:rPr>
            </m:ctrlPr>
          </m:sSubPr>
          <m:e>
            <m:r>
              <m:rPr>
                <m:sty m:val="p"/>
              </m:rPr>
              <w:rPr>
                <w:rFonts w:ascii="Cambria Math" w:hAnsi="Cambria Math"/>
              </w:rPr>
              <m:t>°</m:t>
            </m:r>
          </m:e>
          <m:sub>
            <m:r>
              <w:rPr>
                <w:rFonts w:ascii="Cambria Math" w:hAnsi="Cambria Math"/>
              </w:rPr>
              <m:t>i</m:t>
            </m:r>
          </m:sub>
        </m:sSub>
        <m:r>
          <m:rPr>
            <m:sty m:val="p"/>
          </m:rPr>
          <w:rPr>
            <w:rFonts w:ascii="Cambria Math" w:hAnsi="Cambria Math"/>
          </w:rPr>
          <m:t>/</m:t>
        </m:r>
        <m:r>
          <w:rPr>
            <w:rFonts w:ascii="Cambria Math" w:hAnsi="Cambria Math"/>
          </w:rPr>
          <m:t>P</m:t>
        </m:r>
      </m:oMath>
      <w:r>
        <w:t xml:space="preserve">, where P is the system pressure. </w:t>
      </w:r>
    </w:p>
    <w:p w14:paraId="63DAD382" w14:textId="475C3117" w:rsidR="00B61E0E" w:rsidRDefault="00B61E0E" w:rsidP="00B61E0E">
      <w:pPr>
        <w:pStyle w:val="CETBodytext"/>
      </w:pPr>
      <w:r>
        <w:t>The Soave-Redlich-</w:t>
      </w:r>
      <w:proofErr w:type="spellStart"/>
      <w:r>
        <w:t>Kwong</w:t>
      </w:r>
      <w:proofErr w:type="spellEnd"/>
      <w:r>
        <w:t xml:space="preserve"> equation of state (SRK) </w:t>
      </w:r>
      <w:proofErr w:type="spellStart"/>
      <w:proofErr w:type="gramStart"/>
      <w:r>
        <w:t>Eq</w:t>
      </w:r>
      <w:proofErr w:type="spellEnd"/>
      <w:r>
        <w:t>(</w:t>
      </w:r>
      <w:proofErr w:type="gramEnd"/>
      <w:r w:rsidR="00B065F5">
        <w:t>3</w:t>
      </w:r>
      <w:r>
        <w:t>) is a modification of the Redlich-</w:t>
      </w:r>
      <w:proofErr w:type="spellStart"/>
      <w:r>
        <w:t>Kwong</w:t>
      </w:r>
      <w:proofErr w:type="spellEnd"/>
      <w:r>
        <w:t xml:space="preserve"> equation of state (which is based on the van der Waals equation). </w:t>
      </w:r>
    </w:p>
    <w:tbl>
      <w:tblPr>
        <w:tblW w:w="5000" w:type="pct"/>
        <w:tblLook w:val="04A0" w:firstRow="1" w:lastRow="0" w:firstColumn="1" w:lastColumn="0" w:noHBand="0" w:noVBand="1"/>
      </w:tblPr>
      <w:tblGrid>
        <w:gridCol w:w="7982"/>
        <w:gridCol w:w="805"/>
      </w:tblGrid>
      <w:tr w:rsidR="00B61E0E" w:rsidRPr="00B57B36" w14:paraId="45968324" w14:textId="77777777" w:rsidTr="001470F7">
        <w:tc>
          <w:tcPr>
            <w:tcW w:w="8188" w:type="dxa"/>
            <w:shd w:val="clear" w:color="auto" w:fill="auto"/>
            <w:vAlign w:val="center"/>
          </w:tcPr>
          <w:p w14:paraId="5CF114CA" w14:textId="77777777" w:rsidR="00B61E0E" w:rsidRPr="00520FA2" w:rsidRDefault="00B61E0E" w:rsidP="001470F7">
            <w:pPr>
              <w:pStyle w:val="CETEquation"/>
              <w:rPr>
                <w:lang w:val="en-US"/>
              </w:rPr>
            </w:pPr>
            <m:oMath>
              <m:r>
                <w:rPr>
                  <w:rFonts w:ascii="Cambria Math" w:hAnsi="Cambria Math"/>
                </w:rPr>
                <m:t>P=</m:t>
              </m:r>
              <m:f>
                <m:fPr>
                  <m:ctrlPr>
                    <w:rPr>
                      <w:rFonts w:ascii="Cambria Math" w:hAnsi="Cambria Math"/>
                      <w:i/>
                    </w:rPr>
                  </m:ctrlPr>
                </m:fPr>
                <m:num>
                  <m:r>
                    <w:rPr>
                      <w:rFonts w:ascii="Cambria Math" w:hAnsi="Cambria Math"/>
                    </w:rPr>
                    <m:t>RT</m:t>
                  </m:r>
                </m:num>
                <m:den>
                  <m:r>
                    <w:rPr>
                      <w:rFonts w:ascii="Cambria Math" w:hAnsi="Cambria Math"/>
                    </w:rPr>
                    <m:t>V-b</m:t>
                  </m:r>
                </m:den>
              </m:f>
              <m:r>
                <w:rPr>
                  <w:rFonts w:ascii="Cambria Math" w:hAnsi="Cambria Math"/>
                </w:rPr>
                <m:t>-</m:t>
              </m:r>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T</m:t>
                      </m:r>
                    </m:e>
                  </m:d>
                </m:num>
                <m:den>
                  <m:r>
                    <w:rPr>
                      <w:rFonts w:ascii="Cambria Math" w:hAnsi="Cambria Math"/>
                    </w:rPr>
                    <m:t>V</m:t>
                  </m:r>
                  <m:d>
                    <m:dPr>
                      <m:ctrlPr>
                        <w:rPr>
                          <w:rFonts w:ascii="Cambria Math" w:hAnsi="Cambria Math"/>
                          <w:i/>
                        </w:rPr>
                      </m:ctrlPr>
                    </m:dPr>
                    <m:e>
                      <m:r>
                        <w:rPr>
                          <w:rFonts w:ascii="Cambria Math" w:hAnsi="Cambria Math"/>
                        </w:rPr>
                        <m:t>V+b</m:t>
                      </m:r>
                    </m:e>
                  </m:d>
                </m:den>
              </m:f>
            </m:oMath>
            <w:r>
              <w:rPr>
                <w:lang w:val="en-US"/>
              </w:rPr>
              <w:t xml:space="preserve"> </w:t>
            </w:r>
          </w:p>
        </w:tc>
        <w:tc>
          <w:tcPr>
            <w:tcW w:w="815" w:type="dxa"/>
            <w:shd w:val="clear" w:color="auto" w:fill="auto"/>
            <w:vAlign w:val="center"/>
          </w:tcPr>
          <w:p w14:paraId="27B77F2C" w14:textId="4A06B7BA" w:rsidR="00B61E0E" w:rsidRPr="00B57B36" w:rsidRDefault="00B61E0E" w:rsidP="001470F7">
            <w:pPr>
              <w:pStyle w:val="CETEquation"/>
              <w:jc w:val="right"/>
            </w:pPr>
            <w:r w:rsidRPr="00B57B36">
              <w:t>(</w:t>
            </w:r>
            <w:r w:rsidR="00B065F5">
              <w:t>3</w:t>
            </w:r>
            <w:r w:rsidRPr="00B57B36">
              <w:t>)</w:t>
            </w:r>
          </w:p>
        </w:tc>
      </w:tr>
    </w:tbl>
    <w:p w14:paraId="17B3CE20" w14:textId="41550DC9" w:rsidR="00834868" w:rsidRDefault="00B61E0E" w:rsidP="00520FA2">
      <w:pPr>
        <w:pStyle w:val="CETBodytext"/>
        <w:rPr>
          <w:lang w:val="en-US"/>
        </w:rPr>
      </w:pPr>
      <w:r>
        <w:t xml:space="preserve">As can be seen </w:t>
      </w:r>
      <w:r w:rsidRPr="00545071">
        <w:t xml:space="preserve">in Figure </w:t>
      </w:r>
      <w:r w:rsidR="00545071" w:rsidRPr="00545071">
        <w:t>5</w:t>
      </w:r>
      <w:r w:rsidR="009C62F8" w:rsidRPr="00545071">
        <w:t xml:space="preserve"> the</w:t>
      </w:r>
      <w:r w:rsidR="009C62F8">
        <w:t xml:space="preserve"> Soave-Redlich-</w:t>
      </w:r>
      <w:proofErr w:type="spellStart"/>
      <w:r w:rsidR="009C62F8">
        <w:t>Kwong</w:t>
      </w:r>
      <w:proofErr w:type="spellEnd"/>
      <w:r w:rsidR="009C62F8">
        <w:t xml:space="preserve"> (SRK) model</w:t>
      </w:r>
      <w:r w:rsidR="00B55B8E">
        <w:t xml:space="preserve"> </w:t>
      </w:r>
      <w:r w:rsidR="00B55B8E" w:rsidRPr="00B55B8E">
        <w:t>approximates</w:t>
      </w:r>
      <w:r w:rsidR="00B61D37">
        <w:t xml:space="preserve"> better</w:t>
      </w:r>
      <w:r w:rsidR="00B55B8E" w:rsidRPr="00B55B8E">
        <w:t xml:space="preserve"> the experimental data</w:t>
      </w:r>
      <w:r w:rsidR="005F0879">
        <w:t xml:space="preserve">. </w:t>
      </w:r>
      <w:r w:rsidR="00460853">
        <w:t>Indeed, w</w:t>
      </w:r>
      <w:r w:rsidR="00460853" w:rsidRPr="00B865E7">
        <w:t xml:space="preserve">orking </w:t>
      </w:r>
      <w:r w:rsidR="00A67A85">
        <w:t>at</w:t>
      </w:r>
      <w:r w:rsidR="00460853" w:rsidRPr="00B865E7">
        <w:t xml:space="preserve"> higher pressures than 1 </w:t>
      </w:r>
      <w:proofErr w:type="spellStart"/>
      <w:r w:rsidR="00460853" w:rsidRPr="00B865E7">
        <w:t>atm</w:t>
      </w:r>
      <w:proofErr w:type="spellEnd"/>
      <w:r w:rsidR="00460853" w:rsidRPr="00B865E7">
        <w:t xml:space="preserve">, the SRK model </w:t>
      </w:r>
      <w:r w:rsidR="00460853">
        <w:t xml:space="preserve">takes into consideration </w:t>
      </w:r>
      <w:r w:rsidR="00460853" w:rsidRPr="00B865E7">
        <w:t xml:space="preserve">the deviation from the </w:t>
      </w:r>
      <w:proofErr w:type="spellStart"/>
      <w:r w:rsidR="00460853" w:rsidRPr="00B865E7">
        <w:t>ideality</w:t>
      </w:r>
      <w:proofErr w:type="spellEnd"/>
      <w:r w:rsidR="00460853" w:rsidRPr="00B865E7">
        <w:t xml:space="preserve"> of the gas employed</w:t>
      </w:r>
      <w:r w:rsidR="00BE3FC6">
        <w:t xml:space="preserve"> </w:t>
      </w:r>
      <w:r w:rsidR="00AD7B01">
        <w:t xml:space="preserve">by working with the </w:t>
      </w:r>
      <w:r w:rsidR="00A84911">
        <w:t>fugacity coefficient</w:t>
      </w:r>
      <w:r w:rsidR="00AD7B01">
        <w:t xml:space="preserve">. </w:t>
      </w:r>
      <w:r w:rsidR="00521C16" w:rsidRPr="00B865E7">
        <w:t>Therefore, this model was used to study the odorization of methane with THT.</w:t>
      </w:r>
      <w:r w:rsidR="00E11D92">
        <w:t xml:space="preserve"> </w:t>
      </w:r>
      <w:r w:rsidR="00E11D92">
        <w:rPr>
          <w:lang w:val="en-US"/>
        </w:rPr>
        <w:t>Since there are no literature data relating hydrogen odorization, the same thermodynamic model has been employed also</w:t>
      </w:r>
      <w:r w:rsidR="00276E9D">
        <w:rPr>
          <w:lang w:val="en-US"/>
        </w:rPr>
        <w:t xml:space="preserve"> for hydrogen odorization.</w:t>
      </w:r>
    </w:p>
    <w:p w14:paraId="1156CCDA" w14:textId="3859C409" w:rsidR="00470426" w:rsidRDefault="00834868" w:rsidP="00520FA2">
      <w:pPr>
        <w:pStyle w:val="CETBodytext"/>
        <w:rPr>
          <w:lang w:val="en-US"/>
        </w:rPr>
      </w:pPr>
      <w:r>
        <w:rPr>
          <w:noProof/>
        </w:rPr>
        <w:drawing>
          <wp:inline distT="0" distB="0" distL="0" distR="0" wp14:anchorId="66C257BF" wp14:editId="48AD295B">
            <wp:extent cx="5562600" cy="2689473"/>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rotWithShape="1">
                    <a:blip r:embed="rId14"/>
                    <a:srcRect l="8876" t="6911" r="8161" b="35707"/>
                    <a:stretch/>
                  </pic:blipFill>
                  <pic:spPr bwMode="auto">
                    <a:xfrm>
                      <a:off x="0" y="0"/>
                      <a:ext cx="5583566" cy="2699610"/>
                    </a:xfrm>
                    <a:prstGeom prst="rect">
                      <a:avLst/>
                    </a:prstGeom>
                    <a:ln>
                      <a:noFill/>
                    </a:ln>
                    <a:extLst>
                      <a:ext uri="{53640926-AAD7-44D8-BBD7-CCE9431645EC}">
                        <a14:shadowObscured xmlns:a14="http://schemas.microsoft.com/office/drawing/2010/main"/>
                      </a:ext>
                    </a:extLst>
                  </pic:spPr>
                </pic:pic>
              </a:graphicData>
            </a:graphic>
          </wp:inline>
        </w:drawing>
      </w:r>
      <w:r w:rsidRPr="00834868">
        <w:rPr>
          <w:noProof/>
        </w:rPr>
        <w:t xml:space="preserve"> </w:t>
      </w:r>
    </w:p>
    <w:p w14:paraId="2D7AE8C8" w14:textId="37606672" w:rsidR="00623C3A" w:rsidRPr="00B57B36" w:rsidRDefault="00623C3A" w:rsidP="00492DA9">
      <w:pPr>
        <w:pStyle w:val="CETCaption"/>
      </w:pPr>
      <w:r w:rsidRPr="00B57B36">
        <w:t xml:space="preserve">Figure </w:t>
      </w:r>
      <w:r>
        <w:t>5</w:t>
      </w:r>
      <w:r w:rsidRPr="00B57B36">
        <w:t xml:space="preserve">: </w:t>
      </w:r>
      <w:r>
        <w:t xml:space="preserve">Comparison between the experimental data </w:t>
      </w:r>
      <w:r w:rsidR="003D7909">
        <w:t xml:space="preserve">of </w:t>
      </w:r>
      <w:r w:rsidR="00A641E6">
        <w:t>methane-THT</w:t>
      </w:r>
      <w:r w:rsidR="003D7909">
        <w:t xml:space="preserve"> liquid-vapour equilibria</w:t>
      </w:r>
      <w:r w:rsidR="00A641E6">
        <w:t xml:space="preserve"> and those simulated on</w:t>
      </w:r>
      <w:r w:rsidR="00F77C74">
        <w:t xml:space="preserve"> PRO II </w:t>
      </w:r>
      <w:r w:rsidR="00A641E6">
        <w:t>with different model</w:t>
      </w:r>
      <w:r w:rsidR="00CB3CAD">
        <w:t xml:space="preserve"> and at different temperature</w:t>
      </w:r>
      <w:r w:rsidR="00A641E6">
        <w:t xml:space="preserve">: </w:t>
      </w:r>
      <w:r w:rsidR="00545071">
        <w:t>IDEAL</w:t>
      </w:r>
      <w:r>
        <w:t xml:space="preserve"> (a</w:t>
      </w:r>
      <w:r w:rsidR="00CB3CAD">
        <w:t>-c</w:t>
      </w:r>
      <w:r>
        <w:t xml:space="preserve">) and </w:t>
      </w:r>
      <w:r w:rsidR="00545071">
        <w:t>SRK</w:t>
      </w:r>
      <w:r>
        <w:t xml:space="preserve"> (</w:t>
      </w:r>
      <w:r w:rsidR="00CB3CAD">
        <w:t>d-f</w:t>
      </w:r>
      <w:r>
        <w:t>).</w:t>
      </w:r>
    </w:p>
    <w:p w14:paraId="627FBA8D" w14:textId="5F55F816" w:rsidR="005506FE" w:rsidRDefault="00CF45B5" w:rsidP="00D00F16">
      <w:pPr>
        <w:pStyle w:val="CETBodytext"/>
      </w:pPr>
      <w:r w:rsidRPr="003A28F5">
        <w:t xml:space="preserve">Finally, the </w:t>
      </w:r>
      <w:r>
        <w:t xml:space="preserve">industrial </w:t>
      </w:r>
      <w:r w:rsidRPr="003A28F5">
        <w:t xml:space="preserve">process of odorization has been </w:t>
      </w:r>
      <w:r>
        <w:t>simulated</w:t>
      </w:r>
      <w:r w:rsidR="003D0958">
        <w:t xml:space="preserve">. </w:t>
      </w:r>
      <w:r w:rsidR="00662BC6" w:rsidRPr="00BA07DA">
        <w:t xml:space="preserve">Starting from the procedure described in the previous section, </w:t>
      </w:r>
      <w:r w:rsidR="00662BC6" w:rsidRPr="00545071">
        <w:t>in Figure 6 the</w:t>
      </w:r>
      <w:r w:rsidR="00662BC6">
        <w:t xml:space="preserve"> </w:t>
      </w:r>
      <w:proofErr w:type="gramStart"/>
      <w:r w:rsidR="00662BC6">
        <w:t>four gas</w:t>
      </w:r>
      <w:proofErr w:type="gramEnd"/>
      <w:r w:rsidR="00662BC6">
        <w:t xml:space="preserve"> flow vs temperature profiles are shown.</w:t>
      </w:r>
    </w:p>
    <w:p w14:paraId="0F13C169" w14:textId="255A8177" w:rsidR="003B74F2" w:rsidRPr="003B74F2" w:rsidRDefault="003B74F2" w:rsidP="003B74F2">
      <w:pPr>
        <w:pStyle w:val="CETBodytext"/>
      </w:pPr>
      <w:r>
        <w:rPr>
          <w:noProof/>
        </w:rPr>
        <w:drawing>
          <wp:inline distT="0" distB="0" distL="0" distR="0" wp14:anchorId="1C257D29" wp14:editId="72D6B3E1">
            <wp:extent cx="3009895" cy="2232177"/>
            <wp:effectExtent l="0" t="0" r="63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rotWithShape="1">
                    <a:blip r:embed="rId15"/>
                    <a:srcRect t="-89" b="3175"/>
                    <a:stretch/>
                  </pic:blipFill>
                  <pic:spPr bwMode="auto">
                    <a:xfrm>
                      <a:off x="0" y="0"/>
                      <a:ext cx="3065561" cy="2273459"/>
                    </a:xfrm>
                    <a:prstGeom prst="rect">
                      <a:avLst/>
                    </a:prstGeom>
                    <a:ln>
                      <a:noFill/>
                    </a:ln>
                    <a:extLst>
                      <a:ext uri="{53640926-AAD7-44D8-BBD7-CCE9431645EC}">
                        <a14:shadowObscured xmlns:a14="http://schemas.microsoft.com/office/drawing/2010/main"/>
                      </a:ext>
                    </a:extLst>
                  </pic:spPr>
                </pic:pic>
              </a:graphicData>
            </a:graphic>
          </wp:inline>
        </w:drawing>
      </w:r>
    </w:p>
    <w:p w14:paraId="26BD0976" w14:textId="6B844F48" w:rsidR="00516F52" w:rsidRDefault="00516F52" w:rsidP="00E71196">
      <w:pPr>
        <w:pStyle w:val="CETCaption"/>
        <w:spacing w:before="0"/>
      </w:pPr>
      <w:r w:rsidRPr="00B57B36">
        <w:t xml:space="preserve">Figure </w:t>
      </w:r>
      <w:r>
        <w:t>6</w:t>
      </w:r>
      <w:r w:rsidRPr="00B57B36">
        <w:t xml:space="preserve">: </w:t>
      </w:r>
      <w:r>
        <w:t>Comparison between the</w:t>
      </w:r>
      <w:r w:rsidRPr="00516F52">
        <w:t xml:space="preserve"> </w:t>
      </w:r>
      <w:r>
        <w:t xml:space="preserve">gas flow vs temperature profiles of </w:t>
      </w:r>
      <w:r w:rsidR="00006ABE">
        <w:t>odorization process of the different gas mi</w:t>
      </w:r>
      <w:r w:rsidR="003B4B25">
        <w:t>xtures</w:t>
      </w:r>
      <w:r>
        <w:t>.</w:t>
      </w:r>
    </w:p>
    <w:p w14:paraId="36AB2AAF" w14:textId="07BFACD4" w:rsidR="00662BC6" w:rsidRDefault="00E71196" w:rsidP="00662BC6">
      <w:pPr>
        <w:pStyle w:val="CETBodytext"/>
      </w:pPr>
      <w:r>
        <w:lastRenderedPageBreak/>
        <w:t xml:space="preserve">The aim of this study was to </w:t>
      </w:r>
      <w:r w:rsidRPr="003A28F5">
        <w:t>investigate the minimum flow of gas necessary to obtain the de</w:t>
      </w:r>
      <w:r>
        <w:t>sired</w:t>
      </w:r>
      <w:r w:rsidRPr="003A28F5">
        <w:t xml:space="preserve"> concentration of odorant in the final stream.</w:t>
      </w:r>
      <w:r>
        <w:t xml:space="preserve"> The mixtures of gas taken into consideration are the following: pure methane, pure </w:t>
      </w:r>
      <w:proofErr w:type="gramStart"/>
      <w:r>
        <w:t>hydrogen</w:t>
      </w:r>
      <w:proofErr w:type="gramEnd"/>
      <w:r>
        <w:t xml:space="preserve"> and the binary mixture of methane-hydrogen in ratio 90/10 and 80/20. </w:t>
      </w:r>
      <w:r w:rsidR="00662BC6">
        <w:t xml:space="preserve">As can be seen in the figure above, as the temperature rises a lower gas flow is necessary. This behaviour can be explained knowing that as the temperature rises a higher amount of tetrahydrothiophene (THT) in vapour phase is present (see Figure 5) and consequently a lower flow in S2 stream </w:t>
      </w:r>
      <w:proofErr w:type="gramStart"/>
      <w:r w:rsidR="00662BC6">
        <w:t>has to</w:t>
      </w:r>
      <w:proofErr w:type="gramEnd"/>
      <w:r w:rsidR="00662BC6">
        <w:t xml:space="preserve"> be set. </w:t>
      </w:r>
    </w:p>
    <w:p w14:paraId="68D26B83" w14:textId="7CEADDE3" w:rsidR="00600535" w:rsidRPr="00B57B36" w:rsidRDefault="00600535" w:rsidP="00600535">
      <w:pPr>
        <w:pStyle w:val="CETHeading1"/>
        <w:rPr>
          <w:lang w:val="en-GB"/>
        </w:rPr>
      </w:pPr>
      <w:r w:rsidRPr="00B57B36">
        <w:rPr>
          <w:lang w:val="en-GB"/>
        </w:rPr>
        <w:t>Conclusions</w:t>
      </w:r>
    </w:p>
    <w:p w14:paraId="6A3D3C82" w14:textId="346B1927" w:rsidR="00785DDB" w:rsidRDefault="00CB4196" w:rsidP="00E71196">
      <w:pPr>
        <w:pStyle w:val="CETBodytext"/>
      </w:pPr>
      <w:r>
        <w:t>Starting from INGRID’s specification</w:t>
      </w:r>
      <w:r w:rsidR="00EA4189">
        <w:t xml:space="preserve">, </w:t>
      </w:r>
      <w:r>
        <w:t>it was possible to simulate</w:t>
      </w:r>
      <w:r w:rsidR="00785DDB">
        <w:t xml:space="preserve"> a preliminary study on the odorization process of hydrogen and methane-hydrogen mixtures</w:t>
      </w:r>
      <w:r>
        <w:t xml:space="preserve">. </w:t>
      </w:r>
      <w:r w:rsidR="002D57BA" w:rsidRPr="002D57BA">
        <w:t xml:space="preserve">The first step was the study and optimization of the methane odorization process. The vapour pressures of methane and THT were checked. </w:t>
      </w:r>
      <w:r w:rsidR="00DE635D">
        <w:t>T</w:t>
      </w:r>
      <w:r w:rsidR="002D57BA" w:rsidRPr="002D57BA">
        <w:t xml:space="preserve">he thermodynamic model was validated, confirming the need to consider the </w:t>
      </w:r>
      <w:r w:rsidR="000D42A9">
        <w:t>s</w:t>
      </w:r>
      <w:r w:rsidR="002D57BA" w:rsidRPr="002D57BA">
        <w:t xml:space="preserve">ystem as real </w:t>
      </w:r>
      <w:r w:rsidR="0066695E">
        <w:t>by</w:t>
      </w:r>
      <w:r w:rsidR="002D57BA" w:rsidRPr="002D57BA">
        <w:t xml:space="preserve"> SRK</w:t>
      </w:r>
      <w:r w:rsidR="000D42A9">
        <w:t xml:space="preserve"> model</w:t>
      </w:r>
      <w:r w:rsidR="002D57BA" w:rsidRPr="002D57BA">
        <w:t xml:space="preserve">. </w:t>
      </w:r>
      <w:r w:rsidR="00404A23">
        <w:t xml:space="preserve">The lapping odorization system was successfully simulated and the results demonstrated a difference </w:t>
      </w:r>
      <w:r w:rsidR="001C70EC">
        <w:t>in the</w:t>
      </w:r>
      <w:r w:rsidR="002D33DC">
        <w:t xml:space="preserve"> secondary flow</w:t>
      </w:r>
      <w:r w:rsidR="00BF19F6">
        <w:t xml:space="preserve"> depending on the pure gas considered (methan</w:t>
      </w:r>
      <w:r w:rsidR="00097151">
        <w:t>e</w:t>
      </w:r>
      <w:r w:rsidR="00BF19F6">
        <w:t xml:space="preserve"> or hydrogen) or </w:t>
      </w:r>
      <w:r w:rsidR="00097151">
        <w:t xml:space="preserve">their </w:t>
      </w:r>
      <w:r w:rsidR="00BF19F6">
        <w:t>mixtures</w:t>
      </w:r>
      <w:r w:rsidR="005D3EB6">
        <w:t xml:space="preserve"> to reach the desired concentration of THT in the final </w:t>
      </w:r>
      <w:r w:rsidR="00FC2C76">
        <w:t>gas stream.</w:t>
      </w:r>
    </w:p>
    <w:p w14:paraId="19C4FC68" w14:textId="4F31C65E" w:rsidR="004628D2" w:rsidRDefault="00600535" w:rsidP="008274CF">
      <w:pPr>
        <w:pStyle w:val="CETReference"/>
      </w:pPr>
      <w:r w:rsidRPr="00B57B36">
        <w:t>References</w:t>
      </w:r>
    </w:p>
    <w:p w14:paraId="369C1FFB" w14:textId="2BAA85CB" w:rsidR="00DB5F3E" w:rsidRDefault="00DB5F3E" w:rsidP="00DB5F3E">
      <w:pPr>
        <w:pStyle w:val="CETReferencetext"/>
      </w:pPr>
      <w:r>
        <w:t>Fink J.</w:t>
      </w:r>
      <w:r w:rsidR="001C180E">
        <w:t xml:space="preserve"> (2015)</w:t>
      </w:r>
      <w:r>
        <w:t xml:space="preserve"> Petroleum Engineer’s Guide to Oil Field Chemicals and Fluids (Second Edition), “Chapter 15 - Odorization.”, 455–75, Gulf Professional Publishing.</w:t>
      </w:r>
    </w:p>
    <w:p w14:paraId="457F8F10" w14:textId="3D2463D0" w:rsidR="0082184A" w:rsidRDefault="0082184A" w:rsidP="00DB5F3E">
      <w:pPr>
        <w:pStyle w:val="CETReferencetext"/>
      </w:pPr>
      <w:r>
        <w:t xml:space="preserve">Ghanem G., </w:t>
      </w:r>
      <w:proofErr w:type="spellStart"/>
      <w:r w:rsidR="000830BE">
        <w:t>Tagand</w:t>
      </w:r>
      <w:proofErr w:type="spellEnd"/>
      <w:r w:rsidR="000830BE">
        <w:t xml:space="preserve"> G., </w:t>
      </w:r>
      <w:proofErr w:type="spellStart"/>
      <w:r w:rsidR="000830BE">
        <w:t>Loiseleur</w:t>
      </w:r>
      <w:proofErr w:type="spellEnd"/>
      <w:r w:rsidR="000830BE">
        <w:t xml:space="preserve"> H., Ingrain </w:t>
      </w:r>
      <w:proofErr w:type="gramStart"/>
      <w:r w:rsidR="000830BE">
        <w:t>D.</w:t>
      </w:r>
      <w:proofErr w:type="gramEnd"/>
      <w:r w:rsidR="000830BE">
        <w:t xml:space="preserve"> and </w:t>
      </w:r>
      <w:r w:rsidR="00600148">
        <w:t>Jose J.</w:t>
      </w:r>
      <w:r w:rsidR="001C180E">
        <w:t xml:space="preserve"> (</w:t>
      </w:r>
      <w:r w:rsidR="0023468E">
        <w:t>1998</w:t>
      </w:r>
      <w:r w:rsidR="001C180E">
        <w:t>)</w:t>
      </w:r>
      <w:r w:rsidR="00600148">
        <w:t xml:space="preserve"> </w:t>
      </w:r>
      <w:proofErr w:type="spellStart"/>
      <w:r w:rsidR="00600148">
        <w:t>Détermination</w:t>
      </w:r>
      <w:proofErr w:type="spellEnd"/>
      <w:r w:rsidR="00600148">
        <w:t xml:space="preserve"> de la </w:t>
      </w:r>
      <w:proofErr w:type="spellStart"/>
      <w:r w:rsidR="00600148">
        <w:t>solubilité</w:t>
      </w:r>
      <w:proofErr w:type="spellEnd"/>
      <w:r w:rsidR="00600148">
        <w:t xml:space="preserve"> du </w:t>
      </w:r>
      <w:r w:rsidR="00D01D60">
        <w:t xml:space="preserve">tetrahydrothiophene (THT) liquid dans les </w:t>
      </w:r>
      <w:proofErr w:type="spellStart"/>
      <w:r w:rsidR="00D01D60">
        <w:t>principaux</w:t>
      </w:r>
      <w:proofErr w:type="spellEnd"/>
      <w:r w:rsidR="00D01D60">
        <w:t xml:space="preserve"> </w:t>
      </w:r>
      <w:r w:rsidR="004D6B7A">
        <w:t xml:space="preserve">constituents du </w:t>
      </w:r>
      <w:proofErr w:type="spellStart"/>
      <w:r w:rsidR="004D6B7A">
        <w:t>gaz</w:t>
      </w:r>
      <w:proofErr w:type="spellEnd"/>
      <w:r w:rsidR="004D6B7A">
        <w:t xml:space="preserve"> naturel (CH</w:t>
      </w:r>
      <w:r w:rsidR="004D6B7A" w:rsidRPr="004F0FAB">
        <w:rPr>
          <w:vertAlign w:val="subscript"/>
        </w:rPr>
        <w:t>4</w:t>
      </w:r>
      <w:r w:rsidR="004D6B7A">
        <w:t>,</w:t>
      </w:r>
      <w:r w:rsidR="004F0FAB">
        <w:t xml:space="preserve"> </w:t>
      </w:r>
      <w:r w:rsidR="004D6B7A">
        <w:t>CO</w:t>
      </w:r>
      <w:r w:rsidR="004D6B7A" w:rsidRPr="004F0FAB">
        <w:rPr>
          <w:vertAlign w:val="subscript"/>
        </w:rPr>
        <w:t>2</w:t>
      </w:r>
      <w:r w:rsidR="004D6B7A">
        <w:t xml:space="preserve"> et N</w:t>
      </w:r>
      <w:r w:rsidR="004D6B7A" w:rsidRPr="004F0FAB">
        <w:rPr>
          <w:vertAlign w:val="subscript"/>
        </w:rPr>
        <w:t>2</w:t>
      </w:r>
      <w:r w:rsidR="004D6B7A">
        <w:t>)</w:t>
      </w:r>
      <w:r w:rsidR="006963E6">
        <w:t xml:space="preserve"> au </w:t>
      </w:r>
      <w:proofErr w:type="spellStart"/>
      <w:r w:rsidR="006963E6">
        <w:t>moyen</w:t>
      </w:r>
      <w:proofErr w:type="spellEnd"/>
      <w:r w:rsidR="006963E6">
        <w:t xml:space="preserve"> d’un dispositive </w:t>
      </w:r>
      <w:proofErr w:type="spellStart"/>
      <w:r w:rsidR="006963E6">
        <w:t>dynamique</w:t>
      </w:r>
      <w:proofErr w:type="spellEnd"/>
      <w:r w:rsidR="006963E6">
        <w:t xml:space="preserve"> avec analyse </w:t>
      </w:r>
      <w:proofErr w:type="spellStart"/>
      <w:r w:rsidR="006963E6">
        <w:t>chromatogra</w:t>
      </w:r>
      <w:r w:rsidR="00BD4D34">
        <w:t>phique</w:t>
      </w:r>
      <w:proofErr w:type="spellEnd"/>
      <w:r w:rsidR="00833D72">
        <w:t xml:space="preserve"> </w:t>
      </w:r>
      <w:proofErr w:type="spellStart"/>
      <w:r w:rsidR="00833D72">
        <w:t>en</w:t>
      </w:r>
      <w:proofErr w:type="spellEnd"/>
      <w:r w:rsidR="00833D72">
        <w:t xml:space="preserve"> </w:t>
      </w:r>
      <w:proofErr w:type="spellStart"/>
      <w:r w:rsidR="00833D72">
        <w:t>li</w:t>
      </w:r>
      <w:r w:rsidR="004F0FAB">
        <w:t>gne</w:t>
      </w:r>
      <w:proofErr w:type="spellEnd"/>
      <w:r w:rsidR="004F0FAB">
        <w:t xml:space="preserve"> de la phase </w:t>
      </w:r>
      <w:proofErr w:type="spellStart"/>
      <w:r w:rsidR="004F0FAB">
        <w:t>vapeur</w:t>
      </w:r>
      <w:proofErr w:type="spellEnd"/>
      <w:r w:rsidR="004F0FAB">
        <w:t>,</w:t>
      </w:r>
      <w:r w:rsidR="0023468E">
        <w:t xml:space="preserve"> </w:t>
      </w:r>
      <w:r w:rsidR="004F0FAB">
        <w:t>J. Chem. Phys, 95, 927-946.</w:t>
      </w:r>
    </w:p>
    <w:p w14:paraId="4829F774" w14:textId="0DD59E1F" w:rsidR="00FB0A44" w:rsidRDefault="00FB0A44" w:rsidP="00FB0A44">
      <w:pPr>
        <w:pStyle w:val="CETReferencetext"/>
      </w:pPr>
      <w:r>
        <w:t xml:space="preserve">Graf F., </w:t>
      </w:r>
      <w:proofErr w:type="spellStart"/>
      <w:r>
        <w:t>Kröger</w:t>
      </w:r>
      <w:proofErr w:type="spellEnd"/>
      <w:r>
        <w:t xml:space="preserve"> </w:t>
      </w:r>
      <w:proofErr w:type="gramStart"/>
      <w:r>
        <w:t>K.</w:t>
      </w:r>
      <w:proofErr w:type="gramEnd"/>
      <w:r>
        <w:t xml:space="preserve"> and </w:t>
      </w:r>
      <w:proofErr w:type="spellStart"/>
      <w:r>
        <w:t>Reimert</w:t>
      </w:r>
      <w:proofErr w:type="spellEnd"/>
      <w:r>
        <w:t xml:space="preserve"> R.</w:t>
      </w:r>
      <w:r w:rsidR="00CA0471">
        <w:t xml:space="preserve"> (</w:t>
      </w:r>
      <w:r w:rsidR="003F3D3D">
        <w:t>2007)</w:t>
      </w:r>
      <w:r>
        <w:t xml:space="preserve"> </w:t>
      </w:r>
      <w:proofErr w:type="spellStart"/>
      <w:r>
        <w:t>Sulfur</w:t>
      </w:r>
      <w:proofErr w:type="spellEnd"/>
      <w:r>
        <w:t xml:space="preserve">-Free Odorization with </w:t>
      </w:r>
      <w:proofErr w:type="spellStart"/>
      <w:r>
        <w:t>Gasodor</w:t>
      </w:r>
      <w:proofErr w:type="spellEnd"/>
      <w:r>
        <w:t xml:space="preserve"> S-Free</w:t>
      </w:r>
      <w:r w:rsidR="00F05475">
        <w:t xml:space="preserve"> - </w:t>
      </w:r>
      <w:r>
        <w:t>A Review of the Accompanying Research and Development Activities, Energy &amp; Fuels, 21 (6), 3322-3333, DOI: 10.1021/ef700406x</w:t>
      </w:r>
    </w:p>
    <w:p w14:paraId="61815E63" w14:textId="585A0D2E" w:rsidR="00FB0A44" w:rsidRPr="0049762B" w:rsidRDefault="00FB0A44" w:rsidP="005A6701">
      <w:pPr>
        <w:pStyle w:val="CETReferencetext"/>
        <w:rPr>
          <w:lang w:val="en-US"/>
        </w:rPr>
      </w:pPr>
      <w:r>
        <w:t xml:space="preserve">Hubbard W.N., Finke H.L., </w:t>
      </w:r>
      <w:r w:rsidR="00371166">
        <w:t xml:space="preserve">Scott D.W, McCullough J.P., Katz C., Gross M.E., </w:t>
      </w:r>
      <w:proofErr w:type="spellStart"/>
      <w:r w:rsidR="00371166">
        <w:t>Mess</w:t>
      </w:r>
      <w:r w:rsidR="004812E8">
        <w:t>erly</w:t>
      </w:r>
      <w:proofErr w:type="spellEnd"/>
      <w:r w:rsidR="004812E8">
        <w:t xml:space="preserve"> J.F., Pennington R.E. and </w:t>
      </w:r>
      <w:r w:rsidR="0005742F">
        <w:t>Guy W</w:t>
      </w:r>
      <w:r w:rsidR="006224DA">
        <w:t>addington</w:t>
      </w:r>
      <w:r w:rsidR="003F3D3D">
        <w:t xml:space="preserve"> (1952)</w:t>
      </w:r>
      <w:r w:rsidR="006224DA">
        <w:t xml:space="preserve"> </w:t>
      </w:r>
      <w:proofErr w:type="spellStart"/>
      <w:r w:rsidR="005A6701">
        <w:t>Thiacyclopentane</w:t>
      </w:r>
      <w:proofErr w:type="spellEnd"/>
      <w:r w:rsidR="005A6701">
        <w:t>: Heat Capacity, Heats of Fusion and Vaporization, Vapor Pressure, Entropy, Heat of Formation and Thermodynamic Functions</w:t>
      </w:r>
      <w:r w:rsidR="007E0CA9">
        <w:t>,</w:t>
      </w:r>
      <w:r w:rsidR="0049762B">
        <w:t xml:space="preserve"> </w:t>
      </w:r>
      <w:r w:rsidR="0049762B" w:rsidRPr="0049762B">
        <w:t>Contribution No. 31 from the Thermodynamics Laboratory, Petroleum Experiment Station, Bureau of Mines</w:t>
      </w:r>
      <w:r w:rsidR="0049762B">
        <w:t>.</w:t>
      </w:r>
    </w:p>
    <w:p w14:paraId="73212A09" w14:textId="128E3480" w:rsidR="001560DB" w:rsidRDefault="001560DB" w:rsidP="00DB5F3E">
      <w:pPr>
        <w:pStyle w:val="CETReferencetext"/>
      </w:pPr>
      <w:proofErr w:type="spellStart"/>
      <w:r w:rsidRPr="0076150F">
        <w:t>Jankuj</w:t>
      </w:r>
      <w:proofErr w:type="spellEnd"/>
      <w:r w:rsidRPr="0076150F">
        <w:t xml:space="preserve"> V., Spitzer S.H., </w:t>
      </w:r>
      <w:proofErr w:type="spellStart"/>
      <w:r w:rsidRPr="0076150F">
        <w:t>Krietsch</w:t>
      </w:r>
      <w:proofErr w:type="spellEnd"/>
      <w:r w:rsidRPr="0076150F">
        <w:t xml:space="preserve"> A., </w:t>
      </w:r>
      <w:proofErr w:type="spellStart"/>
      <w:r w:rsidRPr="0076150F">
        <w:t>Štroch</w:t>
      </w:r>
      <w:proofErr w:type="spellEnd"/>
      <w:r w:rsidRPr="0076150F">
        <w:t xml:space="preserve"> P., </w:t>
      </w:r>
      <w:proofErr w:type="spellStart"/>
      <w:r w:rsidRPr="0076150F">
        <w:t>Bernatík</w:t>
      </w:r>
      <w:proofErr w:type="spellEnd"/>
      <w:r w:rsidRPr="0076150F">
        <w:t xml:space="preserve"> A., 2022, Safety of alternative energy sources: A review, Chemical Engineering Transactions, 90, 115-120.</w:t>
      </w:r>
    </w:p>
    <w:p w14:paraId="111C626E" w14:textId="05FA6C80" w:rsidR="009528B8" w:rsidRDefault="009528B8" w:rsidP="00DB5F3E">
      <w:pPr>
        <w:pStyle w:val="CETReferencetext"/>
      </w:pPr>
      <w:proofErr w:type="spellStart"/>
      <w:r w:rsidRPr="009528B8">
        <w:t>Negaresh</w:t>
      </w:r>
      <w:proofErr w:type="spellEnd"/>
      <w:r w:rsidRPr="009528B8">
        <w:t xml:space="preserve"> M., Mohammadreza </w:t>
      </w:r>
      <w:proofErr w:type="gramStart"/>
      <w:r w:rsidRPr="009528B8">
        <w:t>F.</w:t>
      </w:r>
      <w:proofErr w:type="gramEnd"/>
      <w:r w:rsidRPr="009528B8">
        <w:t xml:space="preserve"> and Nasir M</w:t>
      </w:r>
      <w:r w:rsidR="003F3D3D">
        <w:t>. (2018)</w:t>
      </w:r>
      <w:r w:rsidRPr="009528B8">
        <w:t xml:space="preserve"> </w:t>
      </w:r>
      <w:proofErr w:type="spellStart"/>
      <w:r w:rsidRPr="009528B8">
        <w:t>Modeling</w:t>
      </w:r>
      <w:proofErr w:type="spellEnd"/>
      <w:r w:rsidRPr="009528B8">
        <w:t xml:space="preserve"> and Control of Natural Gas Bypass </w:t>
      </w:r>
      <w:proofErr w:type="spellStart"/>
      <w:r w:rsidRPr="009528B8">
        <w:t>Odorizer</w:t>
      </w:r>
      <w:proofErr w:type="spellEnd"/>
      <w:r>
        <w:t>.</w:t>
      </w:r>
      <w:r w:rsidR="005D7902">
        <w:t>,</w:t>
      </w:r>
      <w:r w:rsidRPr="009528B8">
        <w:t xml:space="preserve"> Journal of Natural Gas Science and Engineering 50: 339–50.</w:t>
      </w:r>
    </w:p>
    <w:p w14:paraId="6D2BF86A" w14:textId="60D84215" w:rsidR="008174EA" w:rsidRDefault="008174EA" w:rsidP="008174EA">
      <w:pPr>
        <w:pStyle w:val="CETReferencetext"/>
      </w:pPr>
      <w:r w:rsidRPr="00C3718C">
        <w:rPr>
          <w:lang w:val="en-US"/>
        </w:rPr>
        <w:t>Pareek</w:t>
      </w:r>
      <w:r>
        <w:rPr>
          <w:lang w:val="en-US"/>
        </w:rPr>
        <w:t xml:space="preserve"> </w:t>
      </w:r>
      <w:r w:rsidRPr="00C3718C">
        <w:rPr>
          <w:lang w:val="en-US"/>
        </w:rPr>
        <w:t>A</w:t>
      </w:r>
      <w:r>
        <w:rPr>
          <w:lang w:val="en-US"/>
        </w:rPr>
        <w:t>.,</w:t>
      </w:r>
      <w:r w:rsidRPr="00C3718C">
        <w:rPr>
          <w:lang w:val="en-US"/>
        </w:rPr>
        <w:t xml:space="preserve"> Dom</w:t>
      </w:r>
      <w:r>
        <w:rPr>
          <w:lang w:val="en-US"/>
        </w:rPr>
        <w:t xml:space="preserve"> R.,</w:t>
      </w:r>
      <w:r w:rsidRPr="00C3718C">
        <w:rPr>
          <w:lang w:val="en-US"/>
        </w:rPr>
        <w:t xml:space="preserve"> Gupta</w:t>
      </w:r>
      <w:r>
        <w:rPr>
          <w:lang w:val="en-US"/>
        </w:rPr>
        <w:t xml:space="preserve"> J.,</w:t>
      </w:r>
      <w:r w:rsidRPr="00C3718C">
        <w:rPr>
          <w:lang w:val="en-US"/>
        </w:rPr>
        <w:t xml:space="preserve"> Chandran</w:t>
      </w:r>
      <w:r>
        <w:rPr>
          <w:lang w:val="en-US"/>
        </w:rPr>
        <w:t xml:space="preserve"> J.</w:t>
      </w:r>
      <w:r w:rsidRPr="00C3718C">
        <w:rPr>
          <w:lang w:val="en-US"/>
        </w:rPr>
        <w:t xml:space="preserve">, </w:t>
      </w:r>
      <w:proofErr w:type="spellStart"/>
      <w:r w:rsidRPr="00C3718C">
        <w:rPr>
          <w:lang w:val="en-US"/>
        </w:rPr>
        <w:t>Adepu</w:t>
      </w:r>
      <w:proofErr w:type="spellEnd"/>
      <w:r>
        <w:rPr>
          <w:lang w:val="en-US"/>
        </w:rPr>
        <w:t xml:space="preserve"> V.</w:t>
      </w:r>
      <w:r w:rsidRPr="00C3718C">
        <w:rPr>
          <w:lang w:val="en-US"/>
        </w:rPr>
        <w:t xml:space="preserve"> and </w:t>
      </w:r>
      <w:proofErr w:type="spellStart"/>
      <w:r w:rsidRPr="00C3718C">
        <w:rPr>
          <w:lang w:val="en-US"/>
        </w:rPr>
        <w:t>Borse</w:t>
      </w:r>
      <w:proofErr w:type="spellEnd"/>
      <w:r>
        <w:rPr>
          <w:lang w:val="en-US"/>
        </w:rPr>
        <w:t xml:space="preserve"> P.H</w:t>
      </w:r>
      <w:r w:rsidRPr="00C3718C">
        <w:rPr>
          <w:lang w:val="en-US"/>
        </w:rPr>
        <w:t>.</w:t>
      </w:r>
      <w:r w:rsidR="003F3D3D">
        <w:rPr>
          <w:lang w:val="en-US"/>
        </w:rPr>
        <w:t xml:space="preserve"> (</w:t>
      </w:r>
      <w:r w:rsidR="0085696C">
        <w:rPr>
          <w:lang w:val="en-US"/>
        </w:rPr>
        <w:t>2020)</w:t>
      </w:r>
      <w:r>
        <w:rPr>
          <w:lang w:val="en-US"/>
        </w:rPr>
        <w:t xml:space="preserve"> </w:t>
      </w:r>
      <w:r>
        <w:t>Insights into Renewable Hydrogen Energy: Recent Advances and Prospects., Materials Science for Energy Technologies, 3, 319–27.</w:t>
      </w:r>
    </w:p>
    <w:p w14:paraId="27019796" w14:textId="47FB27D2" w:rsidR="00243294" w:rsidRDefault="00243294" w:rsidP="00243294">
      <w:pPr>
        <w:pStyle w:val="CETReferencetext"/>
      </w:pPr>
      <w:proofErr w:type="spellStart"/>
      <w:r>
        <w:t>Rajeshwar</w:t>
      </w:r>
      <w:proofErr w:type="spellEnd"/>
      <w:r>
        <w:t xml:space="preserve"> K., McConnell R., Harrison </w:t>
      </w:r>
      <w:proofErr w:type="gramStart"/>
      <w:r>
        <w:t>K.</w:t>
      </w:r>
      <w:proofErr w:type="gramEnd"/>
      <w:r>
        <w:t xml:space="preserve"> and Licht S.</w:t>
      </w:r>
      <w:r w:rsidR="0085696C">
        <w:t xml:space="preserve"> (2008)</w:t>
      </w:r>
      <w:r>
        <w:t xml:space="preserve"> Renewable Energy and the Hydrogen Economy </w:t>
      </w:r>
      <w:r w:rsidR="00E02F18">
        <w:t>BT -</w:t>
      </w:r>
      <w:r>
        <w:t xml:space="preserve"> Solar Hydrogen Generation: Toward a Renewable Energy Future, edited by Krishnan </w:t>
      </w:r>
      <w:proofErr w:type="spellStart"/>
      <w:r>
        <w:t>Rajeshwar</w:t>
      </w:r>
      <w:proofErr w:type="spellEnd"/>
      <w:r>
        <w:t xml:space="preserve">, Robert McConnell and Stuart Licht, 1–18. New York, NY: Springer New York. </w:t>
      </w:r>
    </w:p>
    <w:p w14:paraId="1E83A139" w14:textId="68EC89C8" w:rsidR="00DB5F3E" w:rsidRDefault="00DB5F3E" w:rsidP="00DB5F3E">
      <w:pPr>
        <w:pStyle w:val="CETReferencetext"/>
      </w:pPr>
      <w:proofErr w:type="spellStart"/>
      <w:r>
        <w:t>Regas</w:t>
      </w:r>
      <w:proofErr w:type="spellEnd"/>
      <w:r>
        <w:t xml:space="preserve"> </w:t>
      </w:r>
      <w:proofErr w:type="spellStart"/>
      <w:r>
        <w:t>srl</w:t>
      </w:r>
      <w:proofErr w:type="spellEnd"/>
      <w:r>
        <w:t>. n.d. “Ingrid - Odorant Injection System.” www.regasenergy.com/products/gas-odorization/ingrid-odorant-injection-system/.</w:t>
      </w:r>
    </w:p>
    <w:p w14:paraId="3EE9D19C" w14:textId="3452C301" w:rsidR="00FB0A44" w:rsidRDefault="00FB0A44" w:rsidP="00FB0A44">
      <w:pPr>
        <w:pStyle w:val="CETReferencetext"/>
        <w:rPr>
          <w:rFonts w:cs="Arial"/>
          <w:color w:val="000000"/>
          <w:shd w:val="clear" w:color="auto" w:fill="FFFFFF"/>
        </w:rPr>
      </w:pPr>
      <w:proofErr w:type="spellStart"/>
      <w:r>
        <w:rPr>
          <w:rFonts w:cs="Arial"/>
          <w:color w:val="000000"/>
          <w:shd w:val="clear" w:color="auto" w:fill="FFFFFF"/>
        </w:rPr>
        <w:t>Tenkrat</w:t>
      </w:r>
      <w:proofErr w:type="spellEnd"/>
      <w:r>
        <w:rPr>
          <w:rFonts w:cs="Arial"/>
          <w:color w:val="000000"/>
          <w:shd w:val="clear" w:color="auto" w:fill="FFFFFF"/>
        </w:rPr>
        <w:t xml:space="preserve">, D., </w:t>
      </w:r>
      <w:proofErr w:type="spellStart"/>
      <w:r>
        <w:rPr>
          <w:rFonts w:cs="Arial"/>
          <w:color w:val="000000"/>
          <w:shd w:val="clear" w:color="auto" w:fill="FFFFFF"/>
        </w:rPr>
        <w:t>Hlincik</w:t>
      </w:r>
      <w:proofErr w:type="spellEnd"/>
      <w:r>
        <w:rPr>
          <w:rFonts w:cs="Arial"/>
          <w:color w:val="000000"/>
          <w:shd w:val="clear" w:color="auto" w:fill="FFFFFF"/>
        </w:rPr>
        <w:t xml:space="preserve">, T., </w:t>
      </w:r>
      <w:proofErr w:type="spellStart"/>
      <w:r>
        <w:rPr>
          <w:rFonts w:cs="Arial"/>
          <w:color w:val="000000"/>
          <w:shd w:val="clear" w:color="auto" w:fill="FFFFFF"/>
        </w:rPr>
        <w:t>Prokes</w:t>
      </w:r>
      <w:proofErr w:type="spellEnd"/>
      <w:r>
        <w:rPr>
          <w:rFonts w:cs="Arial"/>
          <w:color w:val="000000"/>
          <w:shd w:val="clear" w:color="auto" w:fill="FFFFFF"/>
        </w:rPr>
        <w:t>, O.</w:t>
      </w:r>
      <w:r w:rsidR="0085696C">
        <w:rPr>
          <w:rFonts w:cs="Arial"/>
          <w:color w:val="000000"/>
          <w:shd w:val="clear" w:color="auto" w:fill="FFFFFF"/>
        </w:rPr>
        <w:t xml:space="preserve"> (2010)</w:t>
      </w:r>
      <w:r>
        <w:rPr>
          <w:rFonts w:cs="Arial"/>
          <w:color w:val="000000"/>
          <w:shd w:val="clear" w:color="auto" w:fill="FFFFFF"/>
        </w:rPr>
        <w:t xml:space="preserve"> 'Natural Gas Odorization', in P. </w:t>
      </w:r>
      <w:proofErr w:type="spellStart"/>
      <w:r>
        <w:rPr>
          <w:rFonts w:cs="Arial"/>
          <w:color w:val="000000"/>
          <w:shd w:val="clear" w:color="auto" w:fill="FFFFFF"/>
        </w:rPr>
        <w:t>Potocnik</w:t>
      </w:r>
      <w:proofErr w:type="spellEnd"/>
      <w:r>
        <w:rPr>
          <w:rFonts w:cs="Arial"/>
          <w:color w:val="000000"/>
          <w:shd w:val="clear" w:color="auto" w:fill="FFFFFF"/>
        </w:rPr>
        <w:t xml:space="preserve"> (ed.)</w:t>
      </w:r>
      <w:r w:rsidR="00F05475" w:rsidRPr="00F05475">
        <w:rPr>
          <w:rFonts w:cs="Arial"/>
          <w:color w:val="000000"/>
          <w:shd w:val="clear" w:color="auto" w:fill="FFFFFF"/>
        </w:rPr>
        <w:t xml:space="preserve"> </w:t>
      </w:r>
      <w:r w:rsidR="00F05475">
        <w:rPr>
          <w:rFonts w:cs="Arial"/>
          <w:color w:val="000000"/>
          <w:shd w:val="clear" w:color="auto" w:fill="FFFFFF"/>
        </w:rPr>
        <w:t>Natural Gas</w:t>
      </w:r>
      <w:r>
        <w:rPr>
          <w:rFonts w:cs="Arial"/>
          <w:color w:val="000000"/>
          <w:shd w:val="clear" w:color="auto" w:fill="FFFFFF"/>
        </w:rPr>
        <w:t>,</w:t>
      </w:r>
      <w:r w:rsidR="005D7902" w:rsidRPr="005D7902">
        <w:rPr>
          <w:rFonts w:cs="Arial"/>
          <w:color w:val="000000"/>
          <w:shd w:val="clear" w:color="auto" w:fill="FFFFFF"/>
        </w:rPr>
        <w:t xml:space="preserve"> </w:t>
      </w:r>
      <w:proofErr w:type="spellStart"/>
      <w:r>
        <w:rPr>
          <w:rFonts w:cs="Arial"/>
          <w:color w:val="000000"/>
          <w:shd w:val="clear" w:color="auto" w:fill="FFFFFF"/>
        </w:rPr>
        <w:t>IntechOpen</w:t>
      </w:r>
      <w:proofErr w:type="spellEnd"/>
      <w:r>
        <w:rPr>
          <w:rFonts w:cs="Arial"/>
          <w:color w:val="000000"/>
          <w:shd w:val="clear" w:color="auto" w:fill="FFFFFF"/>
        </w:rPr>
        <w:t>, London. 10.5772/9825.</w:t>
      </w:r>
    </w:p>
    <w:p w14:paraId="4AAF8C5E" w14:textId="47A45EC5" w:rsidR="00243294" w:rsidRDefault="00243294" w:rsidP="00243294">
      <w:pPr>
        <w:pStyle w:val="CETReferencetext"/>
        <w:rPr>
          <w:lang w:val="en-US"/>
        </w:rPr>
      </w:pPr>
      <w:r>
        <w:t>U.S. Energy Information Administration’s (EIA)</w:t>
      </w:r>
      <w:r w:rsidR="0085696C">
        <w:t xml:space="preserve"> (</w:t>
      </w:r>
      <w:r>
        <w:t>2019</w:t>
      </w:r>
      <w:r w:rsidR="0085696C">
        <w:t>)</w:t>
      </w:r>
      <w:r>
        <w:t xml:space="preserve"> </w:t>
      </w:r>
      <w:r w:rsidRPr="0085696C">
        <w:rPr>
          <w:lang w:val="en-US"/>
        </w:rPr>
        <w:t>“International Energy Outlook 2019.”</w:t>
      </w:r>
    </w:p>
    <w:p w14:paraId="26C62549" w14:textId="6909D3FF" w:rsidR="008F14B0" w:rsidRPr="00E01CAB" w:rsidRDefault="008F14B0" w:rsidP="00243294">
      <w:pPr>
        <w:pStyle w:val="CETReferencetext"/>
        <w:rPr>
          <w:lang w:val="en-US"/>
        </w:rPr>
      </w:pPr>
      <w:r w:rsidRPr="00E01CAB">
        <w:rPr>
          <w:lang w:val="en-US"/>
        </w:rPr>
        <w:t>Yaws C</w:t>
      </w:r>
      <w:r w:rsidR="00143FB1" w:rsidRPr="00E01CAB">
        <w:rPr>
          <w:lang w:val="en-US"/>
        </w:rPr>
        <w:t xml:space="preserve">. (2015) </w:t>
      </w:r>
      <w:r w:rsidR="00E01CAB" w:rsidRPr="00E01CAB">
        <w:rPr>
          <w:lang w:val="en-US"/>
        </w:rPr>
        <w:t>The Yaws Handbook of Vapor Pressure</w:t>
      </w:r>
      <w:r w:rsidR="00E01CAB">
        <w:rPr>
          <w:lang w:val="en-US"/>
        </w:rPr>
        <w:t xml:space="preserve"> – Antoine Coefficients</w:t>
      </w:r>
      <w:r w:rsidR="000F4D34">
        <w:rPr>
          <w:lang w:val="en-US"/>
        </w:rPr>
        <w:t>, 2</w:t>
      </w:r>
      <w:r w:rsidR="000F4D34" w:rsidRPr="000F4D34">
        <w:rPr>
          <w:vertAlign w:val="superscript"/>
          <w:lang w:val="en-US"/>
        </w:rPr>
        <w:t>nd</w:t>
      </w:r>
      <w:r w:rsidR="000F4D34">
        <w:rPr>
          <w:lang w:val="en-US"/>
        </w:rPr>
        <w:t xml:space="preserve"> edition</w:t>
      </w:r>
      <w:r w:rsidR="00B835F0">
        <w:rPr>
          <w:lang w:val="en-US"/>
        </w:rPr>
        <w:t xml:space="preserve">, </w:t>
      </w:r>
      <w:r w:rsidR="00B835F0" w:rsidRPr="00B835F0">
        <w:rPr>
          <w:lang w:val="en-US"/>
        </w:rPr>
        <w:t>Gulf Professional Publishing</w:t>
      </w:r>
      <w:r w:rsidR="00B835F0">
        <w:rPr>
          <w:lang w:val="en-US"/>
        </w:rPr>
        <w:t>.</w:t>
      </w:r>
    </w:p>
    <w:p w14:paraId="46FE966A" w14:textId="4E48EF64" w:rsidR="00AF33F0" w:rsidRPr="00AF33F0" w:rsidRDefault="00AF33F0" w:rsidP="00AF33F0">
      <w:pPr>
        <w:pStyle w:val="CETReferencetext"/>
        <w:rPr>
          <w:lang w:val="it-IT"/>
        </w:rPr>
      </w:pPr>
      <w:r w:rsidRPr="00AF33F0">
        <w:rPr>
          <w:lang w:val="it-IT"/>
        </w:rPr>
        <w:t>Zanella</w:t>
      </w:r>
      <w:r>
        <w:rPr>
          <w:lang w:val="it-IT"/>
        </w:rPr>
        <w:t xml:space="preserve"> E.,</w:t>
      </w:r>
      <w:r w:rsidRPr="00AF33F0">
        <w:rPr>
          <w:lang w:val="it-IT"/>
        </w:rPr>
        <w:t xml:space="preserve"> Pirola</w:t>
      </w:r>
      <w:r>
        <w:rPr>
          <w:lang w:val="it-IT"/>
        </w:rPr>
        <w:t xml:space="preserve"> C.</w:t>
      </w:r>
      <w:r w:rsidRPr="00AF33F0">
        <w:rPr>
          <w:lang w:val="it-IT"/>
        </w:rPr>
        <w:t>,</w:t>
      </w:r>
      <w:r w:rsidR="00C3718C">
        <w:rPr>
          <w:lang w:val="it-IT"/>
        </w:rPr>
        <w:t xml:space="preserve"> </w:t>
      </w:r>
      <w:r w:rsidRPr="00AF33F0">
        <w:rPr>
          <w:lang w:val="it-IT"/>
        </w:rPr>
        <w:t>Loghi</w:t>
      </w:r>
      <w:r w:rsidR="00C3718C">
        <w:rPr>
          <w:lang w:val="it-IT"/>
        </w:rPr>
        <w:t xml:space="preserve"> M.</w:t>
      </w:r>
      <w:r w:rsidRPr="00AF33F0">
        <w:rPr>
          <w:lang w:val="it-IT"/>
        </w:rPr>
        <w:t>, Camarda</w:t>
      </w:r>
      <w:r w:rsidR="00C3718C">
        <w:rPr>
          <w:lang w:val="it-IT"/>
        </w:rPr>
        <w:t xml:space="preserve"> G.</w:t>
      </w:r>
      <w:r w:rsidRPr="00AF33F0">
        <w:rPr>
          <w:lang w:val="it-IT"/>
        </w:rPr>
        <w:t>, Marcolin</w:t>
      </w:r>
      <w:r w:rsidR="00C3718C">
        <w:rPr>
          <w:lang w:val="it-IT"/>
        </w:rPr>
        <w:t xml:space="preserve"> P</w:t>
      </w:r>
      <w:r w:rsidRPr="00AF33F0">
        <w:rPr>
          <w:lang w:val="it-IT"/>
        </w:rPr>
        <w:t>.</w:t>
      </w:r>
      <w:r w:rsidR="0085696C">
        <w:rPr>
          <w:lang w:val="it-IT"/>
        </w:rPr>
        <w:t xml:space="preserve"> (2022)</w:t>
      </w:r>
      <w:r w:rsidR="00C3718C">
        <w:rPr>
          <w:lang w:val="it-IT"/>
        </w:rPr>
        <w:t xml:space="preserve"> </w:t>
      </w:r>
      <w:r w:rsidRPr="00AF33F0">
        <w:rPr>
          <w:lang w:val="it-IT"/>
        </w:rPr>
        <w:t>Idrogeno: Produzione e Compressione. Una Scommessa Energetica per Il Futuro</w:t>
      </w:r>
      <w:r w:rsidR="00C3718C">
        <w:rPr>
          <w:lang w:val="it-IT"/>
        </w:rPr>
        <w:t>,</w:t>
      </w:r>
      <w:r w:rsidRPr="00AF33F0">
        <w:rPr>
          <w:lang w:val="it-IT"/>
        </w:rPr>
        <w:t xml:space="preserve"> La Chimica e l’Industria Online</w:t>
      </w:r>
      <w:r w:rsidR="00C3718C">
        <w:rPr>
          <w:lang w:val="it-IT"/>
        </w:rPr>
        <w:t xml:space="preserve">, </w:t>
      </w:r>
      <w:r w:rsidRPr="00AF33F0">
        <w:rPr>
          <w:lang w:val="it-IT"/>
        </w:rPr>
        <w:t>2</w:t>
      </w:r>
      <w:r w:rsidR="00C3718C">
        <w:rPr>
          <w:lang w:val="it-IT"/>
        </w:rPr>
        <w:t>,</w:t>
      </w:r>
      <w:r w:rsidRPr="00AF33F0">
        <w:rPr>
          <w:lang w:val="it-IT"/>
        </w:rPr>
        <w:t xml:space="preserve"> 88–90.</w:t>
      </w:r>
    </w:p>
    <w:p w14:paraId="31A279AB" w14:textId="5E30A96A" w:rsidR="00922620" w:rsidRPr="0085696C" w:rsidRDefault="00922620" w:rsidP="00AD7F36">
      <w:pPr>
        <w:pStyle w:val="CETReferencetext"/>
        <w:ind w:left="0" w:firstLine="0"/>
        <w:rPr>
          <w:lang w:val="it-IT"/>
        </w:rPr>
      </w:pPr>
    </w:p>
    <w:sectPr w:rsidR="00922620" w:rsidRPr="0085696C"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1050" w14:textId="77777777" w:rsidR="008E0815" w:rsidRDefault="008E0815" w:rsidP="004F5E36">
      <w:r>
        <w:separator/>
      </w:r>
    </w:p>
  </w:endnote>
  <w:endnote w:type="continuationSeparator" w:id="0">
    <w:p w14:paraId="0BC67A1E" w14:textId="77777777" w:rsidR="008E0815" w:rsidRDefault="008E081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TimesNewRomanPS-ItalicMT">
    <w:altName w:val="Microsoft YaHei"/>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E503" w14:textId="77777777" w:rsidR="008E0815" w:rsidRDefault="008E0815" w:rsidP="004F5E36">
      <w:r>
        <w:separator/>
      </w:r>
    </w:p>
  </w:footnote>
  <w:footnote w:type="continuationSeparator" w:id="0">
    <w:p w14:paraId="3892DCEA" w14:textId="77777777" w:rsidR="008E0815" w:rsidRDefault="008E081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75D4AA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ascii="Arial" w:hAnsi="Arial" w:cs="Arial" w:hint="default"/>
        <w:sz w:val="18"/>
        <w:szCs w:val="18"/>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116F53"/>
    <w:multiLevelType w:val="hybridMultilevel"/>
    <w:tmpl w:val="CFE409FA"/>
    <w:lvl w:ilvl="0" w:tplc="0AEC783A">
      <w:start w:val="3"/>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36792469">
    <w:abstractNumId w:val="10"/>
  </w:num>
  <w:num w:numId="2" w16cid:durableId="1050154160">
    <w:abstractNumId w:val="8"/>
  </w:num>
  <w:num w:numId="3" w16cid:durableId="669213798">
    <w:abstractNumId w:val="3"/>
  </w:num>
  <w:num w:numId="4" w16cid:durableId="825249284">
    <w:abstractNumId w:val="2"/>
  </w:num>
  <w:num w:numId="5" w16cid:durableId="312176250">
    <w:abstractNumId w:val="1"/>
  </w:num>
  <w:num w:numId="6" w16cid:durableId="1296566593">
    <w:abstractNumId w:val="0"/>
  </w:num>
  <w:num w:numId="7" w16cid:durableId="1129395968">
    <w:abstractNumId w:val="9"/>
  </w:num>
  <w:num w:numId="8" w16cid:durableId="596720910">
    <w:abstractNumId w:val="7"/>
  </w:num>
  <w:num w:numId="9" w16cid:durableId="1863660830">
    <w:abstractNumId w:val="6"/>
  </w:num>
  <w:num w:numId="10" w16cid:durableId="1875345135">
    <w:abstractNumId w:val="5"/>
  </w:num>
  <w:num w:numId="11" w16cid:durableId="611401538">
    <w:abstractNumId w:val="4"/>
  </w:num>
  <w:num w:numId="12" w16cid:durableId="1858498293">
    <w:abstractNumId w:val="16"/>
  </w:num>
  <w:num w:numId="13" w16cid:durableId="836582042">
    <w:abstractNumId w:val="12"/>
  </w:num>
  <w:num w:numId="14" w16cid:durableId="969700303">
    <w:abstractNumId w:val="17"/>
  </w:num>
  <w:num w:numId="15" w16cid:durableId="1383940768">
    <w:abstractNumId w:val="19"/>
  </w:num>
  <w:num w:numId="16" w16cid:durableId="2101949465">
    <w:abstractNumId w:val="18"/>
  </w:num>
  <w:num w:numId="17" w16cid:durableId="856771064">
    <w:abstractNumId w:val="11"/>
  </w:num>
  <w:num w:numId="18" w16cid:durableId="1680279910">
    <w:abstractNumId w:val="12"/>
    <w:lvlOverride w:ilvl="0">
      <w:startOverride w:val="1"/>
    </w:lvlOverride>
  </w:num>
  <w:num w:numId="19" w16cid:durableId="367486679">
    <w:abstractNumId w:val="15"/>
  </w:num>
  <w:num w:numId="20" w16cid:durableId="1692799175">
    <w:abstractNumId w:val="14"/>
  </w:num>
  <w:num w:numId="21" w16cid:durableId="1383869859">
    <w:abstractNumId w:val="13"/>
  </w:num>
  <w:num w:numId="22" w16cid:durableId="9855508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398"/>
    <w:rsid w:val="000052FB"/>
    <w:rsid w:val="00006ABE"/>
    <w:rsid w:val="00010AA0"/>
    <w:rsid w:val="000117CB"/>
    <w:rsid w:val="000119E9"/>
    <w:rsid w:val="000136BC"/>
    <w:rsid w:val="000213F4"/>
    <w:rsid w:val="00030684"/>
    <w:rsid w:val="0003148D"/>
    <w:rsid w:val="000354DD"/>
    <w:rsid w:val="00036F02"/>
    <w:rsid w:val="0004130E"/>
    <w:rsid w:val="00041364"/>
    <w:rsid w:val="00043199"/>
    <w:rsid w:val="00051566"/>
    <w:rsid w:val="0005742F"/>
    <w:rsid w:val="00060175"/>
    <w:rsid w:val="0006244F"/>
    <w:rsid w:val="00062A9A"/>
    <w:rsid w:val="0006356A"/>
    <w:rsid w:val="00065058"/>
    <w:rsid w:val="00066A49"/>
    <w:rsid w:val="00073B4C"/>
    <w:rsid w:val="0007478A"/>
    <w:rsid w:val="00080EA6"/>
    <w:rsid w:val="0008199C"/>
    <w:rsid w:val="000830BE"/>
    <w:rsid w:val="0008562F"/>
    <w:rsid w:val="00086C39"/>
    <w:rsid w:val="000966A0"/>
    <w:rsid w:val="00097151"/>
    <w:rsid w:val="000A03B2"/>
    <w:rsid w:val="000A5548"/>
    <w:rsid w:val="000A66ED"/>
    <w:rsid w:val="000B1CB5"/>
    <w:rsid w:val="000B277A"/>
    <w:rsid w:val="000B3B63"/>
    <w:rsid w:val="000B4BDC"/>
    <w:rsid w:val="000C39A1"/>
    <w:rsid w:val="000C5373"/>
    <w:rsid w:val="000C54E9"/>
    <w:rsid w:val="000C5859"/>
    <w:rsid w:val="000D29AC"/>
    <w:rsid w:val="000D34BE"/>
    <w:rsid w:val="000D42A9"/>
    <w:rsid w:val="000D73F5"/>
    <w:rsid w:val="000D7CCF"/>
    <w:rsid w:val="000E0963"/>
    <w:rsid w:val="000E102F"/>
    <w:rsid w:val="000E36F1"/>
    <w:rsid w:val="000E3A73"/>
    <w:rsid w:val="000E414A"/>
    <w:rsid w:val="000E56E8"/>
    <w:rsid w:val="000E67EB"/>
    <w:rsid w:val="000F093C"/>
    <w:rsid w:val="000F4D34"/>
    <w:rsid w:val="000F787B"/>
    <w:rsid w:val="00107715"/>
    <w:rsid w:val="001114E7"/>
    <w:rsid w:val="001142FF"/>
    <w:rsid w:val="0012091F"/>
    <w:rsid w:val="00123234"/>
    <w:rsid w:val="001253E3"/>
    <w:rsid w:val="00126BC2"/>
    <w:rsid w:val="001308B6"/>
    <w:rsid w:val="0013121F"/>
    <w:rsid w:val="00131FE6"/>
    <w:rsid w:val="0013263F"/>
    <w:rsid w:val="00134DE4"/>
    <w:rsid w:val="0014034D"/>
    <w:rsid w:val="00140948"/>
    <w:rsid w:val="00143FB1"/>
    <w:rsid w:val="0014464F"/>
    <w:rsid w:val="00150E59"/>
    <w:rsid w:val="00152361"/>
    <w:rsid w:val="00152DE3"/>
    <w:rsid w:val="00152F86"/>
    <w:rsid w:val="001560DB"/>
    <w:rsid w:val="00164CF9"/>
    <w:rsid w:val="0016798E"/>
    <w:rsid w:val="00173E57"/>
    <w:rsid w:val="00176469"/>
    <w:rsid w:val="001805AF"/>
    <w:rsid w:val="00180860"/>
    <w:rsid w:val="00181C7E"/>
    <w:rsid w:val="00181F06"/>
    <w:rsid w:val="00184AD6"/>
    <w:rsid w:val="00184D63"/>
    <w:rsid w:val="00191845"/>
    <w:rsid w:val="00195DA8"/>
    <w:rsid w:val="00196ABD"/>
    <w:rsid w:val="001A5B78"/>
    <w:rsid w:val="001A723F"/>
    <w:rsid w:val="001B0349"/>
    <w:rsid w:val="001B1BCC"/>
    <w:rsid w:val="001B65C1"/>
    <w:rsid w:val="001C180E"/>
    <w:rsid w:val="001C4091"/>
    <w:rsid w:val="001C684B"/>
    <w:rsid w:val="001C70EC"/>
    <w:rsid w:val="001D53FC"/>
    <w:rsid w:val="001E0294"/>
    <w:rsid w:val="001E6963"/>
    <w:rsid w:val="001F32BC"/>
    <w:rsid w:val="001F42A5"/>
    <w:rsid w:val="001F7B9D"/>
    <w:rsid w:val="002067AB"/>
    <w:rsid w:val="002125D1"/>
    <w:rsid w:val="00216EC8"/>
    <w:rsid w:val="002224B4"/>
    <w:rsid w:val="0023468E"/>
    <w:rsid w:val="0024024E"/>
    <w:rsid w:val="00243294"/>
    <w:rsid w:val="002447EF"/>
    <w:rsid w:val="00250E74"/>
    <w:rsid w:val="00251550"/>
    <w:rsid w:val="00260C56"/>
    <w:rsid w:val="00261457"/>
    <w:rsid w:val="00263B05"/>
    <w:rsid w:val="00267F08"/>
    <w:rsid w:val="0027221A"/>
    <w:rsid w:val="0027421D"/>
    <w:rsid w:val="00275B61"/>
    <w:rsid w:val="00276E9D"/>
    <w:rsid w:val="00282656"/>
    <w:rsid w:val="002901FD"/>
    <w:rsid w:val="00293851"/>
    <w:rsid w:val="00296B83"/>
    <w:rsid w:val="002B0B4F"/>
    <w:rsid w:val="002B78CE"/>
    <w:rsid w:val="002C2FB6"/>
    <w:rsid w:val="002C7120"/>
    <w:rsid w:val="002D33DC"/>
    <w:rsid w:val="002D3ABA"/>
    <w:rsid w:val="002D4610"/>
    <w:rsid w:val="002D57BA"/>
    <w:rsid w:val="002E18F6"/>
    <w:rsid w:val="002E1FB4"/>
    <w:rsid w:val="002E478C"/>
    <w:rsid w:val="002F2668"/>
    <w:rsid w:val="003009B7"/>
    <w:rsid w:val="00300E56"/>
    <w:rsid w:val="00301137"/>
    <w:rsid w:val="00303F20"/>
    <w:rsid w:val="0030469C"/>
    <w:rsid w:val="00305BD4"/>
    <w:rsid w:val="00307504"/>
    <w:rsid w:val="00311B62"/>
    <w:rsid w:val="00312CE6"/>
    <w:rsid w:val="0031378C"/>
    <w:rsid w:val="00321BE5"/>
    <w:rsid w:val="00321CA6"/>
    <w:rsid w:val="003320C3"/>
    <w:rsid w:val="00334C09"/>
    <w:rsid w:val="003379F5"/>
    <w:rsid w:val="003460BC"/>
    <w:rsid w:val="0035315F"/>
    <w:rsid w:val="00371166"/>
    <w:rsid w:val="003723D4"/>
    <w:rsid w:val="003813C9"/>
    <w:rsid w:val="00381BA4"/>
    <w:rsid w:val="00382D3E"/>
    <w:rsid w:val="00383F4B"/>
    <w:rsid w:val="00384CC8"/>
    <w:rsid w:val="003871FD"/>
    <w:rsid w:val="00392848"/>
    <w:rsid w:val="00393B52"/>
    <w:rsid w:val="003A1E30"/>
    <w:rsid w:val="003A28F5"/>
    <w:rsid w:val="003A6F23"/>
    <w:rsid w:val="003A7D1C"/>
    <w:rsid w:val="003B25E1"/>
    <w:rsid w:val="003B304B"/>
    <w:rsid w:val="003B3146"/>
    <w:rsid w:val="003B4B25"/>
    <w:rsid w:val="003B74F2"/>
    <w:rsid w:val="003C1641"/>
    <w:rsid w:val="003D0958"/>
    <w:rsid w:val="003D333D"/>
    <w:rsid w:val="003D368C"/>
    <w:rsid w:val="003D7909"/>
    <w:rsid w:val="003E19FA"/>
    <w:rsid w:val="003F015E"/>
    <w:rsid w:val="003F2952"/>
    <w:rsid w:val="003F3D3D"/>
    <w:rsid w:val="00400414"/>
    <w:rsid w:val="00404488"/>
    <w:rsid w:val="00404A23"/>
    <w:rsid w:val="00411BC7"/>
    <w:rsid w:val="0041446B"/>
    <w:rsid w:val="0041492A"/>
    <w:rsid w:val="00415C85"/>
    <w:rsid w:val="004212E1"/>
    <w:rsid w:val="004309A6"/>
    <w:rsid w:val="00431636"/>
    <w:rsid w:val="00432B51"/>
    <w:rsid w:val="0044329C"/>
    <w:rsid w:val="004442CB"/>
    <w:rsid w:val="004577FE"/>
    <w:rsid w:val="00457B9C"/>
    <w:rsid w:val="00460853"/>
    <w:rsid w:val="0046164A"/>
    <w:rsid w:val="00461BBE"/>
    <w:rsid w:val="004628D2"/>
    <w:rsid w:val="00462DCD"/>
    <w:rsid w:val="004648AD"/>
    <w:rsid w:val="004703A9"/>
    <w:rsid w:val="00470426"/>
    <w:rsid w:val="004749BF"/>
    <w:rsid w:val="004760DE"/>
    <w:rsid w:val="004812E8"/>
    <w:rsid w:val="00492DA9"/>
    <w:rsid w:val="0049762B"/>
    <w:rsid w:val="004A004E"/>
    <w:rsid w:val="004A24CF"/>
    <w:rsid w:val="004A404E"/>
    <w:rsid w:val="004C3872"/>
    <w:rsid w:val="004C3D1D"/>
    <w:rsid w:val="004C7913"/>
    <w:rsid w:val="004D1839"/>
    <w:rsid w:val="004D28BA"/>
    <w:rsid w:val="004D2FC4"/>
    <w:rsid w:val="004D4371"/>
    <w:rsid w:val="004D6B7A"/>
    <w:rsid w:val="004D7C35"/>
    <w:rsid w:val="004E4DD6"/>
    <w:rsid w:val="004F0FAB"/>
    <w:rsid w:val="004F5E36"/>
    <w:rsid w:val="00505CF8"/>
    <w:rsid w:val="00507B47"/>
    <w:rsid w:val="00507CC9"/>
    <w:rsid w:val="005119A5"/>
    <w:rsid w:val="00512B9E"/>
    <w:rsid w:val="00516D93"/>
    <w:rsid w:val="00516F52"/>
    <w:rsid w:val="005177F7"/>
    <w:rsid w:val="00520FA2"/>
    <w:rsid w:val="00521B9D"/>
    <w:rsid w:val="00521C16"/>
    <w:rsid w:val="00523BC2"/>
    <w:rsid w:val="005278B7"/>
    <w:rsid w:val="00527D36"/>
    <w:rsid w:val="00532016"/>
    <w:rsid w:val="005346C8"/>
    <w:rsid w:val="00534D5F"/>
    <w:rsid w:val="005353B7"/>
    <w:rsid w:val="00543E7D"/>
    <w:rsid w:val="00545071"/>
    <w:rsid w:val="00547A68"/>
    <w:rsid w:val="005506FE"/>
    <w:rsid w:val="0055102B"/>
    <w:rsid w:val="005531C9"/>
    <w:rsid w:val="0055782B"/>
    <w:rsid w:val="00567AA6"/>
    <w:rsid w:val="005846C8"/>
    <w:rsid w:val="00584CD8"/>
    <w:rsid w:val="0058646B"/>
    <w:rsid w:val="0059005C"/>
    <w:rsid w:val="0059278A"/>
    <w:rsid w:val="0059467A"/>
    <w:rsid w:val="00595058"/>
    <w:rsid w:val="005A014F"/>
    <w:rsid w:val="005A3E9C"/>
    <w:rsid w:val="005A6701"/>
    <w:rsid w:val="005A7811"/>
    <w:rsid w:val="005B1A6A"/>
    <w:rsid w:val="005B2110"/>
    <w:rsid w:val="005B61E6"/>
    <w:rsid w:val="005C0837"/>
    <w:rsid w:val="005C77E1"/>
    <w:rsid w:val="005D03B1"/>
    <w:rsid w:val="005D2531"/>
    <w:rsid w:val="005D2C28"/>
    <w:rsid w:val="005D3EB6"/>
    <w:rsid w:val="005D48A2"/>
    <w:rsid w:val="005D6A2F"/>
    <w:rsid w:val="005D7902"/>
    <w:rsid w:val="005E1189"/>
    <w:rsid w:val="005E14B6"/>
    <w:rsid w:val="005E1A82"/>
    <w:rsid w:val="005E43ED"/>
    <w:rsid w:val="005E794C"/>
    <w:rsid w:val="005F0879"/>
    <w:rsid w:val="005F0A28"/>
    <w:rsid w:val="005F0E5E"/>
    <w:rsid w:val="005F5E1A"/>
    <w:rsid w:val="005F6BF7"/>
    <w:rsid w:val="00600148"/>
    <w:rsid w:val="00600535"/>
    <w:rsid w:val="00610627"/>
    <w:rsid w:val="00610CD6"/>
    <w:rsid w:val="00611700"/>
    <w:rsid w:val="00616B89"/>
    <w:rsid w:val="00620C11"/>
    <w:rsid w:val="00620DEE"/>
    <w:rsid w:val="00621F92"/>
    <w:rsid w:val="006224DA"/>
    <w:rsid w:val="00623C3A"/>
    <w:rsid w:val="00625639"/>
    <w:rsid w:val="006312CE"/>
    <w:rsid w:val="00631B33"/>
    <w:rsid w:val="00634813"/>
    <w:rsid w:val="0064184D"/>
    <w:rsid w:val="00641D93"/>
    <w:rsid w:val="0064371E"/>
    <w:rsid w:val="00647AEE"/>
    <w:rsid w:val="00652326"/>
    <w:rsid w:val="00660E3E"/>
    <w:rsid w:val="00660F4A"/>
    <w:rsid w:val="00662BC6"/>
    <w:rsid w:val="00662E74"/>
    <w:rsid w:val="0066695E"/>
    <w:rsid w:val="00666B9C"/>
    <w:rsid w:val="00667179"/>
    <w:rsid w:val="00674786"/>
    <w:rsid w:val="00680C23"/>
    <w:rsid w:val="00682BFA"/>
    <w:rsid w:val="006869B9"/>
    <w:rsid w:val="00693766"/>
    <w:rsid w:val="00695E40"/>
    <w:rsid w:val="006963E6"/>
    <w:rsid w:val="0069690D"/>
    <w:rsid w:val="006A3281"/>
    <w:rsid w:val="006A65BA"/>
    <w:rsid w:val="006B4888"/>
    <w:rsid w:val="006C2E45"/>
    <w:rsid w:val="006C359C"/>
    <w:rsid w:val="006C5579"/>
    <w:rsid w:val="006D2BBA"/>
    <w:rsid w:val="006E515D"/>
    <w:rsid w:val="006E737D"/>
    <w:rsid w:val="006F0379"/>
    <w:rsid w:val="006F0907"/>
    <w:rsid w:val="006F2BCF"/>
    <w:rsid w:val="00701038"/>
    <w:rsid w:val="0070176F"/>
    <w:rsid w:val="00704E25"/>
    <w:rsid w:val="00720A24"/>
    <w:rsid w:val="007320BE"/>
    <w:rsid w:val="00732386"/>
    <w:rsid w:val="0073734E"/>
    <w:rsid w:val="007447F3"/>
    <w:rsid w:val="007530ED"/>
    <w:rsid w:val="007533D7"/>
    <w:rsid w:val="00753433"/>
    <w:rsid w:val="0075499F"/>
    <w:rsid w:val="00757AFE"/>
    <w:rsid w:val="0076150F"/>
    <w:rsid w:val="00765D11"/>
    <w:rsid w:val="007661C8"/>
    <w:rsid w:val="0077098D"/>
    <w:rsid w:val="0078010E"/>
    <w:rsid w:val="00785DDB"/>
    <w:rsid w:val="007916F1"/>
    <w:rsid w:val="00795772"/>
    <w:rsid w:val="00796C74"/>
    <w:rsid w:val="00797DF1"/>
    <w:rsid w:val="007A7BBA"/>
    <w:rsid w:val="007B0638"/>
    <w:rsid w:val="007B0C50"/>
    <w:rsid w:val="007B1FDF"/>
    <w:rsid w:val="007C1A43"/>
    <w:rsid w:val="007C21AE"/>
    <w:rsid w:val="007D3A4F"/>
    <w:rsid w:val="007E0CA9"/>
    <w:rsid w:val="007E6DDC"/>
    <w:rsid w:val="007E745A"/>
    <w:rsid w:val="007F2A81"/>
    <w:rsid w:val="00813288"/>
    <w:rsid w:val="00815542"/>
    <w:rsid w:val="008168FC"/>
    <w:rsid w:val="008174EA"/>
    <w:rsid w:val="0082184A"/>
    <w:rsid w:val="00826349"/>
    <w:rsid w:val="0082682A"/>
    <w:rsid w:val="008274CF"/>
    <w:rsid w:val="00830996"/>
    <w:rsid w:val="008309F9"/>
    <w:rsid w:val="00830DC7"/>
    <w:rsid w:val="00833D72"/>
    <w:rsid w:val="008345F1"/>
    <w:rsid w:val="00834868"/>
    <w:rsid w:val="00840009"/>
    <w:rsid w:val="008422BC"/>
    <w:rsid w:val="00851CCB"/>
    <w:rsid w:val="0085696C"/>
    <w:rsid w:val="00860669"/>
    <w:rsid w:val="00865B07"/>
    <w:rsid w:val="008667EA"/>
    <w:rsid w:val="0086712C"/>
    <w:rsid w:val="008722DC"/>
    <w:rsid w:val="00872390"/>
    <w:rsid w:val="00873D70"/>
    <w:rsid w:val="00874663"/>
    <w:rsid w:val="00875FF4"/>
    <w:rsid w:val="0087637F"/>
    <w:rsid w:val="00877B33"/>
    <w:rsid w:val="00892AD5"/>
    <w:rsid w:val="008A1512"/>
    <w:rsid w:val="008A247E"/>
    <w:rsid w:val="008B28D9"/>
    <w:rsid w:val="008B5F18"/>
    <w:rsid w:val="008D32E7"/>
    <w:rsid w:val="008D433B"/>
    <w:rsid w:val="008E0815"/>
    <w:rsid w:val="008E159B"/>
    <w:rsid w:val="008E566E"/>
    <w:rsid w:val="008E7E75"/>
    <w:rsid w:val="008F14B0"/>
    <w:rsid w:val="008F2D68"/>
    <w:rsid w:val="008F5525"/>
    <w:rsid w:val="0090161A"/>
    <w:rsid w:val="00901EB6"/>
    <w:rsid w:val="00902841"/>
    <w:rsid w:val="00903F72"/>
    <w:rsid w:val="00904C62"/>
    <w:rsid w:val="0090671D"/>
    <w:rsid w:val="009073E8"/>
    <w:rsid w:val="00910CD8"/>
    <w:rsid w:val="009110BC"/>
    <w:rsid w:val="00912B46"/>
    <w:rsid w:val="00922620"/>
    <w:rsid w:val="00924DAC"/>
    <w:rsid w:val="00924E96"/>
    <w:rsid w:val="00927058"/>
    <w:rsid w:val="00937E66"/>
    <w:rsid w:val="0094356C"/>
    <w:rsid w:val="009450CE"/>
    <w:rsid w:val="00947179"/>
    <w:rsid w:val="0095164B"/>
    <w:rsid w:val="009528B8"/>
    <w:rsid w:val="00954090"/>
    <w:rsid w:val="00955B76"/>
    <w:rsid w:val="00955C86"/>
    <w:rsid w:val="009573E7"/>
    <w:rsid w:val="00963E05"/>
    <w:rsid w:val="00967D54"/>
    <w:rsid w:val="00971442"/>
    <w:rsid w:val="00971796"/>
    <w:rsid w:val="00974102"/>
    <w:rsid w:val="00983D96"/>
    <w:rsid w:val="00990E7F"/>
    <w:rsid w:val="009959E7"/>
    <w:rsid w:val="00996483"/>
    <w:rsid w:val="00996F5A"/>
    <w:rsid w:val="009A2CE3"/>
    <w:rsid w:val="009A654C"/>
    <w:rsid w:val="009A6705"/>
    <w:rsid w:val="009B041A"/>
    <w:rsid w:val="009C3A8A"/>
    <w:rsid w:val="009C62F8"/>
    <w:rsid w:val="009C7C86"/>
    <w:rsid w:val="009D0BBE"/>
    <w:rsid w:val="009D2FF7"/>
    <w:rsid w:val="009D678B"/>
    <w:rsid w:val="009E3841"/>
    <w:rsid w:val="009E7884"/>
    <w:rsid w:val="009E788A"/>
    <w:rsid w:val="009F0E08"/>
    <w:rsid w:val="009F1210"/>
    <w:rsid w:val="009F14B7"/>
    <w:rsid w:val="009F7F64"/>
    <w:rsid w:val="00A0084D"/>
    <w:rsid w:val="00A00CCB"/>
    <w:rsid w:val="00A02B31"/>
    <w:rsid w:val="00A04194"/>
    <w:rsid w:val="00A0728D"/>
    <w:rsid w:val="00A079A2"/>
    <w:rsid w:val="00A1763D"/>
    <w:rsid w:val="00A17CEC"/>
    <w:rsid w:val="00A20C7B"/>
    <w:rsid w:val="00A22606"/>
    <w:rsid w:val="00A254CC"/>
    <w:rsid w:val="00A27EF0"/>
    <w:rsid w:val="00A30F0C"/>
    <w:rsid w:val="00A35834"/>
    <w:rsid w:val="00A42F6C"/>
    <w:rsid w:val="00A50B20"/>
    <w:rsid w:val="00A51390"/>
    <w:rsid w:val="00A60A50"/>
    <w:rsid w:val="00A60D13"/>
    <w:rsid w:val="00A61197"/>
    <w:rsid w:val="00A641E6"/>
    <w:rsid w:val="00A67A85"/>
    <w:rsid w:val="00A72745"/>
    <w:rsid w:val="00A76EFC"/>
    <w:rsid w:val="00A83D0D"/>
    <w:rsid w:val="00A84911"/>
    <w:rsid w:val="00A91010"/>
    <w:rsid w:val="00A9640E"/>
    <w:rsid w:val="00A96A37"/>
    <w:rsid w:val="00A97F29"/>
    <w:rsid w:val="00AA3205"/>
    <w:rsid w:val="00AA45CE"/>
    <w:rsid w:val="00AA6951"/>
    <w:rsid w:val="00AA702E"/>
    <w:rsid w:val="00AB0964"/>
    <w:rsid w:val="00AB5011"/>
    <w:rsid w:val="00AC7368"/>
    <w:rsid w:val="00AD16B9"/>
    <w:rsid w:val="00AD6BF1"/>
    <w:rsid w:val="00AD7176"/>
    <w:rsid w:val="00AD7B01"/>
    <w:rsid w:val="00AD7F36"/>
    <w:rsid w:val="00AE377D"/>
    <w:rsid w:val="00AF03A9"/>
    <w:rsid w:val="00AF32A8"/>
    <w:rsid w:val="00AF33F0"/>
    <w:rsid w:val="00B0391E"/>
    <w:rsid w:val="00B05E09"/>
    <w:rsid w:val="00B065F5"/>
    <w:rsid w:val="00B07B59"/>
    <w:rsid w:val="00B13459"/>
    <w:rsid w:val="00B13AF3"/>
    <w:rsid w:val="00B1490F"/>
    <w:rsid w:val="00B15200"/>
    <w:rsid w:val="00B17FBD"/>
    <w:rsid w:val="00B2210E"/>
    <w:rsid w:val="00B23902"/>
    <w:rsid w:val="00B25860"/>
    <w:rsid w:val="00B315A6"/>
    <w:rsid w:val="00B31813"/>
    <w:rsid w:val="00B33365"/>
    <w:rsid w:val="00B356DD"/>
    <w:rsid w:val="00B4540D"/>
    <w:rsid w:val="00B47930"/>
    <w:rsid w:val="00B50003"/>
    <w:rsid w:val="00B55B8E"/>
    <w:rsid w:val="00B57B36"/>
    <w:rsid w:val="00B61D37"/>
    <w:rsid w:val="00B61E0E"/>
    <w:rsid w:val="00B62C79"/>
    <w:rsid w:val="00B71458"/>
    <w:rsid w:val="00B72B83"/>
    <w:rsid w:val="00B73E1B"/>
    <w:rsid w:val="00B835F0"/>
    <w:rsid w:val="00B865E7"/>
    <w:rsid w:val="00B8686D"/>
    <w:rsid w:val="00B86DCD"/>
    <w:rsid w:val="00B93831"/>
    <w:rsid w:val="00BA07DA"/>
    <w:rsid w:val="00BC0D4A"/>
    <w:rsid w:val="00BC30C9"/>
    <w:rsid w:val="00BD4D34"/>
    <w:rsid w:val="00BE1026"/>
    <w:rsid w:val="00BE1E14"/>
    <w:rsid w:val="00BE3E58"/>
    <w:rsid w:val="00BE3FC6"/>
    <w:rsid w:val="00BF02BB"/>
    <w:rsid w:val="00BF19F6"/>
    <w:rsid w:val="00BF2E07"/>
    <w:rsid w:val="00BF3FC2"/>
    <w:rsid w:val="00BF4853"/>
    <w:rsid w:val="00C007F7"/>
    <w:rsid w:val="00C01616"/>
    <w:rsid w:val="00C0162B"/>
    <w:rsid w:val="00C016B9"/>
    <w:rsid w:val="00C17A8E"/>
    <w:rsid w:val="00C2729A"/>
    <w:rsid w:val="00C30833"/>
    <w:rsid w:val="00C345B1"/>
    <w:rsid w:val="00C34C99"/>
    <w:rsid w:val="00C36997"/>
    <w:rsid w:val="00C3718C"/>
    <w:rsid w:val="00C40142"/>
    <w:rsid w:val="00C405C4"/>
    <w:rsid w:val="00C44553"/>
    <w:rsid w:val="00C458FF"/>
    <w:rsid w:val="00C5054A"/>
    <w:rsid w:val="00C57182"/>
    <w:rsid w:val="00C57863"/>
    <w:rsid w:val="00C61D75"/>
    <w:rsid w:val="00C655FD"/>
    <w:rsid w:val="00C71FB5"/>
    <w:rsid w:val="00C7455C"/>
    <w:rsid w:val="00C870A8"/>
    <w:rsid w:val="00C94434"/>
    <w:rsid w:val="00CA0471"/>
    <w:rsid w:val="00CA09DF"/>
    <w:rsid w:val="00CA0D75"/>
    <w:rsid w:val="00CA1C95"/>
    <w:rsid w:val="00CA5A9C"/>
    <w:rsid w:val="00CB3CAD"/>
    <w:rsid w:val="00CB3E55"/>
    <w:rsid w:val="00CB4196"/>
    <w:rsid w:val="00CC1DE0"/>
    <w:rsid w:val="00CC4C8B"/>
    <w:rsid w:val="00CC7971"/>
    <w:rsid w:val="00CD18B4"/>
    <w:rsid w:val="00CD5FE2"/>
    <w:rsid w:val="00CE48D0"/>
    <w:rsid w:val="00CE7C68"/>
    <w:rsid w:val="00CF45B5"/>
    <w:rsid w:val="00CF7DA3"/>
    <w:rsid w:val="00D00F16"/>
    <w:rsid w:val="00D01D60"/>
    <w:rsid w:val="00D02B4C"/>
    <w:rsid w:val="00D040C4"/>
    <w:rsid w:val="00D048CA"/>
    <w:rsid w:val="00D0578B"/>
    <w:rsid w:val="00D05816"/>
    <w:rsid w:val="00D06713"/>
    <w:rsid w:val="00D136FA"/>
    <w:rsid w:val="00D13D0D"/>
    <w:rsid w:val="00D14A5C"/>
    <w:rsid w:val="00D20D7A"/>
    <w:rsid w:val="00D2738E"/>
    <w:rsid w:val="00D35541"/>
    <w:rsid w:val="00D36265"/>
    <w:rsid w:val="00D450F4"/>
    <w:rsid w:val="00D4630D"/>
    <w:rsid w:val="00D56E54"/>
    <w:rsid w:val="00D57B81"/>
    <w:rsid w:val="00D57C84"/>
    <w:rsid w:val="00D6057D"/>
    <w:rsid w:val="00D60725"/>
    <w:rsid w:val="00D725DE"/>
    <w:rsid w:val="00D72BC1"/>
    <w:rsid w:val="00D764EE"/>
    <w:rsid w:val="00D8393E"/>
    <w:rsid w:val="00D84576"/>
    <w:rsid w:val="00D84C44"/>
    <w:rsid w:val="00D9593F"/>
    <w:rsid w:val="00DA1399"/>
    <w:rsid w:val="00DA13CA"/>
    <w:rsid w:val="00DA24C6"/>
    <w:rsid w:val="00DA453B"/>
    <w:rsid w:val="00DA48A1"/>
    <w:rsid w:val="00DA4D7B"/>
    <w:rsid w:val="00DA65A9"/>
    <w:rsid w:val="00DB5F3E"/>
    <w:rsid w:val="00DC193F"/>
    <w:rsid w:val="00DC2C7C"/>
    <w:rsid w:val="00DC6B08"/>
    <w:rsid w:val="00DD5074"/>
    <w:rsid w:val="00DE0142"/>
    <w:rsid w:val="00DE264A"/>
    <w:rsid w:val="00DE4BB3"/>
    <w:rsid w:val="00DE635D"/>
    <w:rsid w:val="00DE6E6C"/>
    <w:rsid w:val="00DF2640"/>
    <w:rsid w:val="00E01CAB"/>
    <w:rsid w:val="00E02D18"/>
    <w:rsid w:val="00E02F18"/>
    <w:rsid w:val="00E030B4"/>
    <w:rsid w:val="00E041E7"/>
    <w:rsid w:val="00E05221"/>
    <w:rsid w:val="00E05EDE"/>
    <w:rsid w:val="00E06EBE"/>
    <w:rsid w:val="00E11D92"/>
    <w:rsid w:val="00E205C4"/>
    <w:rsid w:val="00E23CA1"/>
    <w:rsid w:val="00E24E63"/>
    <w:rsid w:val="00E2795D"/>
    <w:rsid w:val="00E30FE1"/>
    <w:rsid w:val="00E32F81"/>
    <w:rsid w:val="00E3748D"/>
    <w:rsid w:val="00E37BA8"/>
    <w:rsid w:val="00E409A8"/>
    <w:rsid w:val="00E42F1D"/>
    <w:rsid w:val="00E44501"/>
    <w:rsid w:val="00E50C12"/>
    <w:rsid w:val="00E50C54"/>
    <w:rsid w:val="00E51E09"/>
    <w:rsid w:val="00E5347B"/>
    <w:rsid w:val="00E541A8"/>
    <w:rsid w:val="00E545D8"/>
    <w:rsid w:val="00E6149D"/>
    <w:rsid w:val="00E63D72"/>
    <w:rsid w:val="00E65B91"/>
    <w:rsid w:val="00E67878"/>
    <w:rsid w:val="00E71196"/>
    <w:rsid w:val="00E7209D"/>
    <w:rsid w:val="00E72B34"/>
    <w:rsid w:val="00E749C3"/>
    <w:rsid w:val="00E76145"/>
    <w:rsid w:val="00E7663F"/>
    <w:rsid w:val="00E77223"/>
    <w:rsid w:val="00E82A8F"/>
    <w:rsid w:val="00E8528B"/>
    <w:rsid w:val="00E85B94"/>
    <w:rsid w:val="00E86305"/>
    <w:rsid w:val="00E87F8A"/>
    <w:rsid w:val="00E962FA"/>
    <w:rsid w:val="00E978D0"/>
    <w:rsid w:val="00EA2EC7"/>
    <w:rsid w:val="00EA4189"/>
    <w:rsid w:val="00EA4613"/>
    <w:rsid w:val="00EA72DB"/>
    <w:rsid w:val="00EA7F91"/>
    <w:rsid w:val="00EB1523"/>
    <w:rsid w:val="00EC0E49"/>
    <w:rsid w:val="00EC4A68"/>
    <w:rsid w:val="00EC6199"/>
    <w:rsid w:val="00EC7389"/>
    <w:rsid w:val="00ED1F99"/>
    <w:rsid w:val="00ED3561"/>
    <w:rsid w:val="00EE0131"/>
    <w:rsid w:val="00EE0FFA"/>
    <w:rsid w:val="00EF2394"/>
    <w:rsid w:val="00EF583F"/>
    <w:rsid w:val="00F05475"/>
    <w:rsid w:val="00F24D8C"/>
    <w:rsid w:val="00F252F7"/>
    <w:rsid w:val="00F304EE"/>
    <w:rsid w:val="00F30AC4"/>
    <w:rsid w:val="00F30C64"/>
    <w:rsid w:val="00F32CDB"/>
    <w:rsid w:val="00F400BC"/>
    <w:rsid w:val="00F454A6"/>
    <w:rsid w:val="00F51568"/>
    <w:rsid w:val="00F54033"/>
    <w:rsid w:val="00F54FA4"/>
    <w:rsid w:val="00F63A70"/>
    <w:rsid w:val="00F65896"/>
    <w:rsid w:val="00F65CD7"/>
    <w:rsid w:val="00F67A4A"/>
    <w:rsid w:val="00F73154"/>
    <w:rsid w:val="00F76540"/>
    <w:rsid w:val="00F767DC"/>
    <w:rsid w:val="00F77C74"/>
    <w:rsid w:val="00F80A1E"/>
    <w:rsid w:val="00F8454A"/>
    <w:rsid w:val="00F85556"/>
    <w:rsid w:val="00F8587A"/>
    <w:rsid w:val="00F8611F"/>
    <w:rsid w:val="00FA21D0"/>
    <w:rsid w:val="00FA271E"/>
    <w:rsid w:val="00FA5F5F"/>
    <w:rsid w:val="00FA6315"/>
    <w:rsid w:val="00FB00AD"/>
    <w:rsid w:val="00FB0A44"/>
    <w:rsid w:val="00FB28E4"/>
    <w:rsid w:val="00FB333D"/>
    <w:rsid w:val="00FB4E06"/>
    <w:rsid w:val="00FB730C"/>
    <w:rsid w:val="00FC2695"/>
    <w:rsid w:val="00FC2C76"/>
    <w:rsid w:val="00FC3E03"/>
    <w:rsid w:val="00FC3FC1"/>
    <w:rsid w:val="00FE10B1"/>
    <w:rsid w:val="00FE1C26"/>
    <w:rsid w:val="00FE20D8"/>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2694F2D-6CB0-477C-B0AC-79FE5387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7D3A4F"/>
    <w:pPr>
      <w:tabs>
        <w:tab w:val="right" w:pos="7100"/>
      </w:tabs>
      <w:spacing w:after="0" w:line="264" w:lineRule="auto"/>
      <w:jc w:val="both"/>
    </w:pPr>
    <w:rPr>
      <w:rFonts w:ascii="Arial" w:eastAsia="Times New Roman" w:hAnsi="Arial" w:cs="Times New Roman"/>
      <w:sz w:val="18"/>
      <w:szCs w:val="20"/>
      <w:lang w:val="en-GB"/>
    </w:rPr>
  </w:style>
  <w:style w:type="paragraph" w:customStyle="1" w:styleId="CETheadingx">
    <w:name w:val="CET headingx"/>
    <w:next w:val="CETBodytext"/>
    <w:link w:val="CETheadingxCarattere"/>
    <w:autoRedefine/>
    <w:qFormat/>
    <w:rsid w:val="008309F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7D3A4F"/>
    <w:rPr>
      <w:rFonts w:ascii="Arial" w:eastAsia="Times New Roman" w:hAnsi="Arial" w:cs="Times New Roman"/>
      <w:sz w:val="18"/>
      <w:szCs w:val="20"/>
      <w:lang w:val="en-GB"/>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309F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paragraph">
    <w:name w:val="paragraph"/>
    <w:basedOn w:val="Normale"/>
    <w:rsid w:val="00521C16"/>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paragraph" w:customStyle="1" w:styleId="equations">
    <w:name w:val="equations"/>
    <w:basedOn w:val="Normale"/>
    <w:rsid w:val="00521C16"/>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TTitolo2Carattere">
    <w:name w:val="T_Titolo 2 Carattere"/>
    <w:basedOn w:val="Carpredefinitoparagrafo"/>
    <w:link w:val="TTitolo2"/>
    <w:locked/>
    <w:rsid w:val="00937E66"/>
    <w:rPr>
      <w:sz w:val="24"/>
      <w:szCs w:val="32"/>
      <w:lang w:val="en-GB"/>
    </w:rPr>
  </w:style>
  <w:style w:type="paragraph" w:customStyle="1" w:styleId="TTitolo2">
    <w:name w:val="T_Titolo 2"/>
    <w:basedOn w:val="Paragrafoelenco"/>
    <w:next w:val="Normale"/>
    <w:link w:val="TTitolo2Carattere"/>
    <w:autoRedefine/>
    <w:rsid w:val="00937E66"/>
    <w:pPr>
      <w:tabs>
        <w:tab w:val="clear" w:pos="7100"/>
      </w:tabs>
      <w:spacing w:after="160" w:line="360" w:lineRule="auto"/>
      <w:ind w:left="0"/>
    </w:pPr>
    <w:rPr>
      <w:rFonts w:asciiTheme="minorHAnsi" w:eastAsiaTheme="minorHAnsi" w:hAnsiTheme="minorHAnsi" w:cstheme="minorBidi"/>
      <w:sz w:val="24"/>
      <w:szCs w:val="32"/>
    </w:rPr>
  </w:style>
  <w:style w:type="paragraph" w:styleId="Paragrafoelenco">
    <w:name w:val="List Paragraph"/>
    <w:basedOn w:val="Normale"/>
    <w:uiPriority w:val="34"/>
    <w:rsid w:val="00937E66"/>
    <w:pPr>
      <w:ind w:left="720"/>
      <w:contextualSpacing/>
    </w:pPr>
  </w:style>
  <w:style w:type="character" w:styleId="Menzionenonrisolta">
    <w:name w:val="Unresolved Mention"/>
    <w:basedOn w:val="Carpredefinitoparagrafo"/>
    <w:uiPriority w:val="99"/>
    <w:semiHidden/>
    <w:unhideWhenUsed/>
    <w:rsid w:val="00B50003"/>
    <w:rPr>
      <w:color w:val="605E5C"/>
      <w:shd w:val="clear" w:color="auto" w:fill="E1DFDD"/>
    </w:rPr>
  </w:style>
  <w:style w:type="paragraph" w:styleId="Revisione">
    <w:name w:val="Revision"/>
    <w:hidden/>
    <w:uiPriority w:val="99"/>
    <w:semiHidden/>
    <w:rsid w:val="0058646B"/>
    <w:pPr>
      <w:spacing w:after="0" w:line="240" w:lineRule="auto"/>
    </w:pPr>
    <w:rPr>
      <w:rFonts w:ascii="Arial" w:eastAsia="Times New Roman" w:hAnsi="Arial" w:cs="Times New Roman"/>
      <w:sz w:val="18"/>
      <w:szCs w:val="20"/>
      <w:lang w:val="en-GB"/>
    </w:rPr>
  </w:style>
  <w:style w:type="paragraph" w:customStyle="1" w:styleId="TTable">
    <w:name w:val="T_Table"/>
    <w:basedOn w:val="Normale"/>
    <w:link w:val="TTableCarattere"/>
    <w:rsid w:val="0008562F"/>
    <w:pPr>
      <w:keepNext/>
      <w:tabs>
        <w:tab w:val="clear" w:pos="7100"/>
      </w:tabs>
      <w:spacing w:after="200" w:line="240" w:lineRule="auto"/>
      <w:jc w:val="center"/>
    </w:pPr>
    <w:rPr>
      <w:rFonts w:ascii="Times New Roman" w:eastAsiaTheme="minorHAnsi" w:hAnsi="Times New Roman" w:cstheme="minorBidi"/>
      <w:iCs/>
      <w:sz w:val="20"/>
      <w:szCs w:val="18"/>
    </w:rPr>
  </w:style>
  <w:style w:type="character" w:customStyle="1" w:styleId="TTableCarattere">
    <w:name w:val="T_Table Carattere"/>
    <w:basedOn w:val="Carpredefinitoparagrafo"/>
    <w:link w:val="TTable"/>
    <w:rsid w:val="0008562F"/>
    <w:rPr>
      <w:rFonts w:ascii="Times New Roman" w:hAnsi="Times New Roman"/>
      <w:iCs/>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19">
      <w:bodyDiv w:val="1"/>
      <w:marLeft w:val="0"/>
      <w:marRight w:val="0"/>
      <w:marTop w:val="0"/>
      <w:marBottom w:val="0"/>
      <w:divBdr>
        <w:top w:val="none" w:sz="0" w:space="0" w:color="auto"/>
        <w:left w:val="none" w:sz="0" w:space="0" w:color="auto"/>
        <w:bottom w:val="none" w:sz="0" w:space="0" w:color="auto"/>
        <w:right w:val="none" w:sz="0" w:space="0" w:color="auto"/>
      </w:divBdr>
    </w:div>
    <w:div w:id="403995950">
      <w:bodyDiv w:val="1"/>
      <w:marLeft w:val="0"/>
      <w:marRight w:val="0"/>
      <w:marTop w:val="0"/>
      <w:marBottom w:val="0"/>
      <w:divBdr>
        <w:top w:val="none" w:sz="0" w:space="0" w:color="auto"/>
        <w:left w:val="none" w:sz="0" w:space="0" w:color="auto"/>
        <w:bottom w:val="none" w:sz="0" w:space="0" w:color="auto"/>
        <w:right w:val="none" w:sz="0" w:space="0" w:color="auto"/>
      </w:divBdr>
    </w:div>
    <w:div w:id="5284213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501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8846">
      <w:bodyDiv w:val="1"/>
      <w:marLeft w:val="0"/>
      <w:marRight w:val="0"/>
      <w:marTop w:val="0"/>
      <w:marBottom w:val="0"/>
      <w:divBdr>
        <w:top w:val="none" w:sz="0" w:space="0" w:color="auto"/>
        <w:left w:val="none" w:sz="0" w:space="0" w:color="auto"/>
        <w:bottom w:val="none" w:sz="0" w:space="0" w:color="auto"/>
        <w:right w:val="none" w:sz="0" w:space="0" w:color="auto"/>
      </w:divBdr>
    </w:div>
    <w:div w:id="1076126285">
      <w:bodyDiv w:val="1"/>
      <w:marLeft w:val="0"/>
      <w:marRight w:val="0"/>
      <w:marTop w:val="0"/>
      <w:marBottom w:val="0"/>
      <w:divBdr>
        <w:top w:val="none" w:sz="0" w:space="0" w:color="auto"/>
        <w:left w:val="none" w:sz="0" w:space="0" w:color="auto"/>
        <w:bottom w:val="none" w:sz="0" w:space="0" w:color="auto"/>
        <w:right w:val="none" w:sz="0" w:space="0" w:color="auto"/>
      </w:divBdr>
      <w:divsChild>
        <w:div w:id="531111382">
          <w:marLeft w:val="0"/>
          <w:marRight w:val="0"/>
          <w:marTop w:val="0"/>
          <w:marBottom w:val="0"/>
          <w:divBdr>
            <w:top w:val="none" w:sz="0" w:space="0" w:color="auto"/>
            <w:left w:val="none" w:sz="0" w:space="0" w:color="auto"/>
            <w:bottom w:val="none" w:sz="0" w:space="0" w:color="auto"/>
            <w:right w:val="none" w:sz="0" w:space="0" w:color="auto"/>
          </w:divBdr>
        </w:div>
        <w:div w:id="629748754">
          <w:marLeft w:val="0"/>
          <w:marRight w:val="0"/>
          <w:marTop w:val="0"/>
          <w:marBottom w:val="0"/>
          <w:divBdr>
            <w:top w:val="none" w:sz="0" w:space="0" w:color="auto"/>
            <w:left w:val="none" w:sz="0" w:space="0" w:color="auto"/>
            <w:bottom w:val="none" w:sz="0" w:space="0" w:color="auto"/>
            <w:right w:val="none" w:sz="0" w:space="0" w:color="auto"/>
          </w:divBdr>
        </w:div>
      </w:divsChild>
    </w:div>
    <w:div w:id="1210723664">
      <w:bodyDiv w:val="1"/>
      <w:marLeft w:val="0"/>
      <w:marRight w:val="0"/>
      <w:marTop w:val="0"/>
      <w:marBottom w:val="0"/>
      <w:divBdr>
        <w:top w:val="none" w:sz="0" w:space="0" w:color="auto"/>
        <w:left w:val="none" w:sz="0" w:space="0" w:color="auto"/>
        <w:bottom w:val="none" w:sz="0" w:space="0" w:color="auto"/>
        <w:right w:val="none" w:sz="0" w:space="0" w:color="auto"/>
      </w:divBdr>
    </w:div>
    <w:div w:id="1341472845">
      <w:bodyDiv w:val="1"/>
      <w:marLeft w:val="0"/>
      <w:marRight w:val="0"/>
      <w:marTop w:val="0"/>
      <w:marBottom w:val="0"/>
      <w:divBdr>
        <w:top w:val="none" w:sz="0" w:space="0" w:color="auto"/>
        <w:left w:val="none" w:sz="0" w:space="0" w:color="auto"/>
        <w:bottom w:val="none" w:sz="0" w:space="0" w:color="auto"/>
        <w:right w:val="none" w:sz="0" w:space="0" w:color="auto"/>
      </w:divBdr>
    </w:div>
    <w:div w:id="154154884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4927">
      <w:bodyDiv w:val="1"/>
      <w:marLeft w:val="0"/>
      <w:marRight w:val="0"/>
      <w:marTop w:val="0"/>
      <w:marBottom w:val="0"/>
      <w:divBdr>
        <w:top w:val="none" w:sz="0" w:space="0" w:color="auto"/>
        <w:left w:val="none" w:sz="0" w:space="0" w:color="auto"/>
        <w:bottom w:val="none" w:sz="0" w:space="0" w:color="auto"/>
        <w:right w:val="none" w:sz="0" w:space="0" w:color="auto"/>
      </w:divBdr>
    </w:div>
    <w:div w:id="1744597194">
      <w:bodyDiv w:val="1"/>
      <w:marLeft w:val="0"/>
      <w:marRight w:val="0"/>
      <w:marTop w:val="0"/>
      <w:marBottom w:val="0"/>
      <w:divBdr>
        <w:top w:val="none" w:sz="0" w:space="0" w:color="auto"/>
        <w:left w:val="none" w:sz="0" w:space="0" w:color="auto"/>
        <w:bottom w:val="none" w:sz="0" w:space="0" w:color="auto"/>
        <w:right w:val="none" w:sz="0" w:space="0" w:color="auto"/>
      </w:divBdr>
    </w:div>
    <w:div w:id="2042046758">
      <w:bodyDiv w:val="1"/>
      <w:marLeft w:val="0"/>
      <w:marRight w:val="0"/>
      <w:marTop w:val="0"/>
      <w:marBottom w:val="0"/>
      <w:divBdr>
        <w:top w:val="none" w:sz="0" w:space="0" w:color="auto"/>
        <w:left w:val="none" w:sz="0" w:space="0" w:color="auto"/>
        <w:bottom w:val="none" w:sz="0" w:space="0" w:color="auto"/>
        <w:right w:val="none" w:sz="0" w:space="0" w:color="auto"/>
      </w:divBdr>
    </w:div>
    <w:div w:id="2056737166">
      <w:bodyDiv w:val="1"/>
      <w:marLeft w:val="0"/>
      <w:marRight w:val="0"/>
      <w:marTop w:val="0"/>
      <w:marBottom w:val="0"/>
      <w:divBdr>
        <w:top w:val="none" w:sz="0" w:space="0" w:color="auto"/>
        <w:left w:val="none" w:sz="0" w:space="0" w:color="auto"/>
        <w:bottom w:val="none" w:sz="0" w:space="0" w:color="auto"/>
        <w:right w:val="none" w:sz="0" w:space="0" w:color="auto"/>
      </w:divBdr>
    </w:div>
    <w:div w:id="20608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9C77-0CF0-4981-A253-EEAF600C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3720</Words>
  <Characters>21204</Characters>
  <Application>Microsoft Office Word</Application>
  <DocSecurity>0</DocSecurity>
  <Lines>176</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Elisa Zanella</cp:lastModifiedBy>
  <cp:revision>3</cp:revision>
  <cp:lastPrinted>2015-05-12T18:31:00Z</cp:lastPrinted>
  <dcterms:created xsi:type="dcterms:W3CDTF">2022-07-18T13:10:00Z</dcterms:created>
  <dcterms:modified xsi:type="dcterms:W3CDTF">2022-07-18T13:11:00Z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643687cb-c13d-3d72-a81b-d787c666df34</vt:lpwstr>
  </property>
  <property fmtid="{D5CDD505-2E9C-101B-9397-08002B2CF9AE}" pid="6" name="Mendeley Citation Style_1">
    <vt:lpwstr>http://www.zotero.org/styles/chicago-author-date</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http://www.zotero.org/styles/angewandte-chemie</vt:lpwstr>
  </property>
  <property fmtid="{D5CDD505-2E9C-101B-9397-08002B2CF9AE}" pid="14" name="Mendeley Recent Style Name 3_1">
    <vt:lpwstr>Angewandte Chemie International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