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644A1"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6644A1" w:rsidRDefault="000A03B2" w:rsidP="00DE264A">
            <w:pPr>
              <w:tabs>
                <w:tab w:val="left" w:pos="-108"/>
              </w:tabs>
              <w:ind w:left="-108"/>
              <w:jc w:val="left"/>
              <w:rPr>
                <w:rFonts w:cs="Arial"/>
                <w:b/>
                <w:bCs/>
                <w:i/>
                <w:iCs/>
                <w:color w:val="000066"/>
                <w:sz w:val="12"/>
                <w:szCs w:val="12"/>
                <w:lang w:eastAsia="it-IT"/>
              </w:rPr>
            </w:pPr>
            <w:r w:rsidRPr="006644A1">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644A1">
              <w:rPr>
                <w:rFonts w:ascii="AdvP6960" w:hAnsi="AdvP6960" w:cs="AdvP6960"/>
                <w:color w:val="241F20"/>
                <w:szCs w:val="18"/>
                <w:lang w:eastAsia="it-IT"/>
              </w:rPr>
              <w:t xml:space="preserve"> </w:t>
            </w:r>
            <w:r w:rsidRPr="006644A1">
              <w:rPr>
                <w:rFonts w:cs="Arial"/>
                <w:b/>
                <w:bCs/>
                <w:i/>
                <w:iCs/>
                <w:color w:val="000066"/>
                <w:sz w:val="24"/>
                <w:szCs w:val="24"/>
                <w:lang w:eastAsia="it-IT"/>
              </w:rPr>
              <w:t>CHEMICAL ENGINEERING</w:t>
            </w:r>
            <w:r w:rsidRPr="006644A1">
              <w:rPr>
                <w:rFonts w:cs="Arial"/>
                <w:b/>
                <w:bCs/>
                <w:i/>
                <w:iCs/>
                <w:color w:val="0033FF"/>
                <w:sz w:val="24"/>
                <w:szCs w:val="24"/>
                <w:lang w:eastAsia="it-IT"/>
              </w:rPr>
              <w:t xml:space="preserve"> </w:t>
            </w:r>
            <w:r w:rsidRPr="006644A1">
              <w:rPr>
                <w:rFonts w:cs="Arial"/>
                <w:b/>
                <w:bCs/>
                <w:i/>
                <w:iCs/>
                <w:color w:val="666666"/>
                <w:sz w:val="24"/>
                <w:szCs w:val="24"/>
                <w:lang w:eastAsia="it-IT"/>
              </w:rPr>
              <w:t>TRANSACTIONS</w:t>
            </w:r>
            <w:r w:rsidRPr="006644A1">
              <w:rPr>
                <w:color w:val="333333"/>
                <w:sz w:val="24"/>
                <w:szCs w:val="24"/>
                <w:lang w:eastAsia="it-IT"/>
              </w:rPr>
              <w:t xml:space="preserve"> </w:t>
            </w:r>
            <w:r w:rsidRPr="006644A1">
              <w:rPr>
                <w:rFonts w:cs="Arial"/>
                <w:b/>
                <w:bCs/>
                <w:i/>
                <w:iCs/>
                <w:color w:val="000066"/>
                <w:sz w:val="27"/>
                <w:szCs w:val="27"/>
                <w:lang w:eastAsia="it-IT"/>
              </w:rPr>
              <w:br/>
            </w:r>
          </w:p>
          <w:p w14:paraId="4B780582" w14:textId="2ABE30D6" w:rsidR="000A03B2" w:rsidRPr="006644A1" w:rsidRDefault="00A76EFC" w:rsidP="001D21AF">
            <w:pPr>
              <w:tabs>
                <w:tab w:val="left" w:pos="-108"/>
              </w:tabs>
              <w:ind w:left="-108"/>
              <w:rPr>
                <w:rFonts w:cs="Arial"/>
                <w:b/>
                <w:bCs/>
                <w:i/>
                <w:iCs/>
                <w:color w:val="000066"/>
                <w:sz w:val="22"/>
                <w:szCs w:val="22"/>
                <w:lang w:eastAsia="it-IT"/>
              </w:rPr>
            </w:pPr>
            <w:r w:rsidRPr="006644A1">
              <w:rPr>
                <w:rFonts w:cs="Arial"/>
                <w:b/>
                <w:bCs/>
                <w:i/>
                <w:iCs/>
                <w:color w:val="000066"/>
                <w:sz w:val="22"/>
                <w:szCs w:val="22"/>
                <w:lang w:eastAsia="it-IT"/>
              </w:rPr>
              <w:t xml:space="preserve">VOL. </w:t>
            </w:r>
            <w:r w:rsidR="00D46B7E" w:rsidRPr="006644A1">
              <w:rPr>
                <w:rFonts w:cs="Arial"/>
                <w:b/>
                <w:bCs/>
                <w:i/>
                <w:iCs/>
                <w:color w:val="000066"/>
                <w:sz w:val="22"/>
                <w:szCs w:val="22"/>
                <w:lang w:eastAsia="it-IT"/>
              </w:rPr>
              <w:t>9</w:t>
            </w:r>
            <w:r w:rsidR="004C3D84" w:rsidRPr="006644A1">
              <w:rPr>
                <w:rFonts w:cs="Arial"/>
                <w:b/>
                <w:bCs/>
                <w:i/>
                <w:iCs/>
                <w:color w:val="000066"/>
                <w:sz w:val="22"/>
                <w:szCs w:val="22"/>
                <w:lang w:eastAsia="it-IT"/>
              </w:rPr>
              <w:t>6</w:t>
            </w:r>
            <w:r w:rsidR="007B48F9" w:rsidRPr="006644A1">
              <w:rPr>
                <w:rFonts w:cs="Arial"/>
                <w:b/>
                <w:bCs/>
                <w:i/>
                <w:iCs/>
                <w:color w:val="000066"/>
                <w:sz w:val="22"/>
                <w:szCs w:val="22"/>
                <w:lang w:eastAsia="it-IT"/>
              </w:rPr>
              <w:t>,</w:t>
            </w:r>
            <w:r w:rsidR="00FA5F5F" w:rsidRPr="006644A1">
              <w:rPr>
                <w:rFonts w:cs="Arial"/>
                <w:b/>
                <w:bCs/>
                <w:i/>
                <w:iCs/>
                <w:color w:val="000066"/>
                <w:sz w:val="22"/>
                <w:szCs w:val="22"/>
                <w:lang w:eastAsia="it-IT"/>
              </w:rPr>
              <w:t xml:space="preserve"> 20</w:t>
            </w:r>
            <w:r w:rsidR="00DF5072" w:rsidRPr="006644A1">
              <w:rPr>
                <w:rFonts w:cs="Arial"/>
                <w:b/>
                <w:bCs/>
                <w:i/>
                <w:iCs/>
                <w:color w:val="000066"/>
                <w:sz w:val="22"/>
                <w:szCs w:val="22"/>
                <w:lang w:eastAsia="it-IT"/>
              </w:rPr>
              <w:t>2</w:t>
            </w:r>
            <w:r w:rsidR="007B48F9" w:rsidRPr="006644A1">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6644A1" w:rsidRDefault="000A03B2" w:rsidP="00CD5FE2">
            <w:pPr>
              <w:spacing w:line="140" w:lineRule="atLeast"/>
              <w:jc w:val="right"/>
              <w:rPr>
                <w:rFonts w:cs="Arial"/>
                <w:sz w:val="14"/>
                <w:szCs w:val="14"/>
              </w:rPr>
            </w:pPr>
            <w:r w:rsidRPr="006644A1">
              <w:rPr>
                <w:rFonts w:cs="Arial"/>
                <w:sz w:val="14"/>
                <w:szCs w:val="14"/>
              </w:rPr>
              <w:t>A publication of</w:t>
            </w:r>
          </w:p>
          <w:p w14:paraId="599E5441" w14:textId="77777777" w:rsidR="000A03B2" w:rsidRPr="006644A1" w:rsidRDefault="000A03B2" w:rsidP="00CD5FE2">
            <w:pPr>
              <w:jc w:val="right"/>
            </w:pPr>
            <w:r w:rsidRPr="006644A1">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644A1" w14:paraId="380FA3CD" w14:textId="77777777" w:rsidTr="00DE264A">
        <w:trPr>
          <w:trHeight w:val="567"/>
          <w:jc w:val="center"/>
        </w:trPr>
        <w:tc>
          <w:tcPr>
            <w:tcW w:w="6946" w:type="dxa"/>
            <w:vMerge/>
            <w:tcBorders>
              <w:right w:val="single" w:sz="4" w:space="0" w:color="auto"/>
            </w:tcBorders>
          </w:tcPr>
          <w:p w14:paraId="39E5E4C1" w14:textId="77777777" w:rsidR="000A03B2" w:rsidRPr="006644A1"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6644A1" w:rsidRDefault="000A03B2" w:rsidP="00CD5FE2">
            <w:pPr>
              <w:spacing w:line="140" w:lineRule="atLeast"/>
              <w:jc w:val="right"/>
              <w:rPr>
                <w:rFonts w:cs="Arial"/>
                <w:sz w:val="14"/>
                <w:szCs w:val="14"/>
              </w:rPr>
            </w:pPr>
            <w:r w:rsidRPr="006644A1">
              <w:rPr>
                <w:rFonts w:cs="Arial"/>
                <w:sz w:val="14"/>
                <w:szCs w:val="14"/>
              </w:rPr>
              <w:t>The Italian Association</w:t>
            </w:r>
          </w:p>
          <w:p w14:paraId="7522B1D2" w14:textId="77777777" w:rsidR="000A03B2" w:rsidRPr="006644A1" w:rsidRDefault="000A03B2" w:rsidP="00CD5FE2">
            <w:pPr>
              <w:spacing w:line="140" w:lineRule="atLeast"/>
              <w:jc w:val="right"/>
              <w:rPr>
                <w:rFonts w:cs="Arial"/>
                <w:sz w:val="14"/>
                <w:szCs w:val="14"/>
              </w:rPr>
            </w:pPr>
            <w:r w:rsidRPr="006644A1">
              <w:rPr>
                <w:rFonts w:cs="Arial"/>
                <w:sz w:val="14"/>
                <w:szCs w:val="14"/>
              </w:rPr>
              <w:t>of Chemical Engineering</w:t>
            </w:r>
          </w:p>
          <w:p w14:paraId="4F0CC5DE" w14:textId="47FDB2FC" w:rsidR="000A03B2" w:rsidRPr="006644A1" w:rsidRDefault="000D0268" w:rsidP="00CD5FE2">
            <w:pPr>
              <w:spacing w:line="140" w:lineRule="atLeast"/>
              <w:jc w:val="right"/>
              <w:rPr>
                <w:rFonts w:cs="Arial"/>
                <w:sz w:val="13"/>
                <w:szCs w:val="13"/>
              </w:rPr>
            </w:pPr>
            <w:r w:rsidRPr="006644A1">
              <w:rPr>
                <w:rFonts w:cs="Arial"/>
                <w:sz w:val="13"/>
                <w:szCs w:val="13"/>
              </w:rPr>
              <w:t>Online at www.cetjournal.it</w:t>
            </w:r>
          </w:p>
        </w:tc>
      </w:tr>
      <w:tr w:rsidR="000A03B2" w:rsidRPr="006644A1" w14:paraId="2D1B7169" w14:textId="77777777" w:rsidTr="00DE264A">
        <w:trPr>
          <w:trHeight w:val="68"/>
          <w:jc w:val="center"/>
        </w:trPr>
        <w:tc>
          <w:tcPr>
            <w:tcW w:w="8789" w:type="dxa"/>
            <w:gridSpan w:val="2"/>
          </w:tcPr>
          <w:p w14:paraId="4B0BB442" w14:textId="2E218E1D" w:rsidR="00300E56" w:rsidRPr="006644A1" w:rsidRDefault="00300E56" w:rsidP="00B57E6F">
            <w:pPr>
              <w:ind w:left="-107"/>
              <w:outlineLvl w:val="2"/>
              <w:rPr>
                <w:rFonts w:ascii="Tahoma" w:hAnsi="Tahoma" w:cs="Tahoma"/>
                <w:bCs/>
                <w:color w:val="000000"/>
                <w:sz w:val="14"/>
                <w:szCs w:val="14"/>
                <w:lang w:val="it-IT" w:eastAsia="it-IT"/>
              </w:rPr>
            </w:pPr>
            <w:r w:rsidRPr="006644A1">
              <w:rPr>
                <w:rFonts w:ascii="Tahoma" w:hAnsi="Tahoma" w:cs="Tahoma"/>
                <w:iCs/>
                <w:color w:val="333333"/>
                <w:sz w:val="14"/>
                <w:szCs w:val="14"/>
                <w:lang w:val="it-IT" w:eastAsia="it-IT"/>
              </w:rPr>
              <w:t>Guest Editors:</w:t>
            </w:r>
            <w:r w:rsidR="001D21AF" w:rsidRPr="006644A1">
              <w:rPr>
                <w:rFonts w:ascii="Tahoma" w:hAnsi="Tahoma" w:cs="Tahoma"/>
                <w:color w:val="000000"/>
                <w:sz w:val="14"/>
                <w:szCs w:val="14"/>
                <w:shd w:val="clear" w:color="auto" w:fill="FFFFFF"/>
                <w:lang w:val="it-IT"/>
              </w:rPr>
              <w:t xml:space="preserve"> </w:t>
            </w:r>
            <w:r w:rsidR="004C3D84" w:rsidRPr="006644A1">
              <w:rPr>
                <w:sz w:val="14"/>
                <w:szCs w:val="14"/>
                <w:lang w:val="it-IT"/>
              </w:rPr>
              <w:t xml:space="preserve">David </w:t>
            </w:r>
            <w:proofErr w:type="spellStart"/>
            <w:r w:rsidR="004C3D84" w:rsidRPr="006644A1">
              <w:rPr>
                <w:sz w:val="14"/>
                <w:szCs w:val="14"/>
                <w:lang w:val="it-IT"/>
              </w:rPr>
              <w:t>Bogle</w:t>
            </w:r>
            <w:proofErr w:type="spellEnd"/>
            <w:r w:rsidR="004C3D84" w:rsidRPr="006644A1">
              <w:rPr>
                <w:sz w:val="14"/>
                <w:szCs w:val="14"/>
                <w:lang w:val="it-IT"/>
              </w:rPr>
              <w:t>, Flavio Manenti, Piero Salatino</w:t>
            </w:r>
          </w:p>
          <w:p w14:paraId="1B0F1814" w14:textId="17CEC68E" w:rsidR="000A03B2" w:rsidRPr="006644A1" w:rsidRDefault="00FA5F5F" w:rsidP="001D21AF">
            <w:pPr>
              <w:tabs>
                <w:tab w:val="left" w:pos="-108"/>
              </w:tabs>
              <w:spacing w:line="140" w:lineRule="atLeast"/>
              <w:ind w:left="-107"/>
              <w:jc w:val="left"/>
            </w:pPr>
            <w:r w:rsidRPr="006644A1">
              <w:rPr>
                <w:rFonts w:ascii="Tahoma" w:hAnsi="Tahoma" w:cs="Tahoma"/>
                <w:iCs/>
                <w:color w:val="333333"/>
                <w:sz w:val="14"/>
                <w:szCs w:val="14"/>
                <w:lang w:eastAsia="it-IT"/>
              </w:rPr>
              <w:t>Copyright © 20</w:t>
            </w:r>
            <w:r w:rsidR="00DF5072" w:rsidRPr="006644A1">
              <w:rPr>
                <w:rFonts w:ascii="Tahoma" w:hAnsi="Tahoma" w:cs="Tahoma"/>
                <w:iCs/>
                <w:color w:val="333333"/>
                <w:sz w:val="14"/>
                <w:szCs w:val="14"/>
                <w:lang w:eastAsia="it-IT"/>
              </w:rPr>
              <w:t>2</w:t>
            </w:r>
            <w:r w:rsidR="00E72EAD" w:rsidRPr="006644A1">
              <w:rPr>
                <w:rFonts w:ascii="Tahoma" w:hAnsi="Tahoma" w:cs="Tahoma"/>
                <w:iCs/>
                <w:color w:val="333333"/>
                <w:sz w:val="14"/>
                <w:szCs w:val="14"/>
                <w:lang w:eastAsia="it-IT"/>
              </w:rPr>
              <w:t>2</w:t>
            </w:r>
            <w:r w:rsidR="00904C62" w:rsidRPr="006644A1">
              <w:rPr>
                <w:rFonts w:ascii="Tahoma" w:hAnsi="Tahoma" w:cs="Tahoma"/>
                <w:iCs/>
                <w:color w:val="333333"/>
                <w:sz w:val="14"/>
                <w:szCs w:val="14"/>
                <w:lang w:eastAsia="it-IT"/>
              </w:rPr>
              <w:t xml:space="preserve">, AIDIC </w:t>
            </w:r>
            <w:proofErr w:type="spellStart"/>
            <w:r w:rsidR="00904C62" w:rsidRPr="006644A1">
              <w:rPr>
                <w:rFonts w:ascii="Tahoma" w:hAnsi="Tahoma" w:cs="Tahoma"/>
                <w:iCs/>
                <w:color w:val="333333"/>
                <w:sz w:val="14"/>
                <w:szCs w:val="14"/>
                <w:lang w:eastAsia="it-IT"/>
              </w:rPr>
              <w:t>Servizi</w:t>
            </w:r>
            <w:proofErr w:type="spellEnd"/>
            <w:r w:rsidR="00904C62" w:rsidRPr="006644A1">
              <w:rPr>
                <w:rFonts w:ascii="Tahoma" w:hAnsi="Tahoma" w:cs="Tahoma"/>
                <w:iCs/>
                <w:color w:val="333333"/>
                <w:sz w:val="14"/>
                <w:szCs w:val="14"/>
                <w:lang w:eastAsia="it-IT"/>
              </w:rPr>
              <w:t xml:space="preserve"> </w:t>
            </w:r>
            <w:proofErr w:type="spellStart"/>
            <w:r w:rsidR="00904C62" w:rsidRPr="006644A1">
              <w:rPr>
                <w:rFonts w:ascii="Tahoma" w:hAnsi="Tahoma" w:cs="Tahoma"/>
                <w:iCs/>
                <w:color w:val="333333"/>
                <w:sz w:val="14"/>
                <w:szCs w:val="14"/>
                <w:lang w:eastAsia="it-IT"/>
              </w:rPr>
              <w:t>S.r.l</w:t>
            </w:r>
            <w:proofErr w:type="spellEnd"/>
            <w:r w:rsidR="00904C62" w:rsidRPr="006644A1">
              <w:rPr>
                <w:rFonts w:ascii="Tahoma" w:hAnsi="Tahoma" w:cs="Tahoma"/>
                <w:iCs/>
                <w:color w:val="333333"/>
                <w:sz w:val="14"/>
                <w:szCs w:val="14"/>
                <w:lang w:eastAsia="it-IT"/>
              </w:rPr>
              <w:t>.</w:t>
            </w:r>
            <w:r w:rsidR="00300E56" w:rsidRPr="006644A1">
              <w:rPr>
                <w:rFonts w:ascii="Tahoma" w:hAnsi="Tahoma" w:cs="Tahoma"/>
                <w:iCs/>
                <w:color w:val="333333"/>
                <w:sz w:val="14"/>
                <w:szCs w:val="14"/>
                <w:lang w:eastAsia="it-IT"/>
              </w:rPr>
              <w:br/>
            </w:r>
            <w:r w:rsidR="00300E56" w:rsidRPr="006644A1">
              <w:rPr>
                <w:rFonts w:ascii="Tahoma" w:hAnsi="Tahoma" w:cs="Tahoma"/>
                <w:b/>
                <w:iCs/>
                <w:color w:val="000000"/>
                <w:sz w:val="14"/>
                <w:szCs w:val="14"/>
                <w:lang w:eastAsia="it-IT"/>
              </w:rPr>
              <w:t>ISBN</w:t>
            </w:r>
            <w:r w:rsidR="00300E56" w:rsidRPr="006644A1">
              <w:rPr>
                <w:rFonts w:ascii="Tahoma" w:hAnsi="Tahoma" w:cs="Tahoma"/>
                <w:iCs/>
                <w:color w:val="000000"/>
                <w:sz w:val="14"/>
                <w:szCs w:val="14"/>
                <w:lang w:eastAsia="it-IT"/>
              </w:rPr>
              <w:t xml:space="preserve"> </w:t>
            </w:r>
            <w:r w:rsidR="008D32B9" w:rsidRPr="006644A1">
              <w:rPr>
                <w:rFonts w:ascii="Tahoma" w:hAnsi="Tahoma" w:cs="Tahoma"/>
                <w:sz w:val="14"/>
                <w:szCs w:val="14"/>
              </w:rPr>
              <w:t>978-88-95608</w:t>
            </w:r>
            <w:r w:rsidR="00D46B7E" w:rsidRPr="006644A1">
              <w:rPr>
                <w:rFonts w:ascii="Tahoma" w:hAnsi="Tahoma" w:cs="Tahoma"/>
                <w:sz w:val="14"/>
                <w:szCs w:val="14"/>
              </w:rPr>
              <w:t>-</w:t>
            </w:r>
            <w:r w:rsidR="001D21AF" w:rsidRPr="006644A1">
              <w:rPr>
                <w:rFonts w:ascii="Tahoma" w:hAnsi="Tahoma" w:cs="Tahoma"/>
                <w:sz w:val="14"/>
                <w:szCs w:val="14"/>
              </w:rPr>
              <w:t>9</w:t>
            </w:r>
            <w:r w:rsidR="008D4A16" w:rsidRPr="006644A1">
              <w:rPr>
                <w:rFonts w:ascii="Tahoma" w:hAnsi="Tahoma" w:cs="Tahoma"/>
                <w:sz w:val="14"/>
                <w:szCs w:val="14"/>
              </w:rPr>
              <w:t>5</w:t>
            </w:r>
            <w:r w:rsidR="00D46B7E" w:rsidRPr="006644A1">
              <w:rPr>
                <w:rFonts w:ascii="Tahoma" w:hAnsi="Tahoma" w:cs="Tahoma"/>
                <w:sz w:val="14"/>
                <w:szCs w:val="14"/>
              </w:rPr>
              <w:t>-</w:t>
            </w:r>
            <w:r w:rsidR="008D4A16" w:rsidRPr="006644A1">
              <w:rPr>
                <w:rFonts w:ascii="Tahoma" w:hAnsi="Tahoma" w:cs="Tahoma"/>
                <w:sz w:val="14"/>
                <w:szCs w:val="14"/>
              </w:rPr>
              <w:t>2</w:t>
            </w:r>
            <w:r w:rsidR="007B48F9" w:rsidRPr="006644A1">
              <w:rPr>
                <w:rFonts w:ascii="Tahoma" w:hAnsi="Tahoma" w:cs="Tahoma"/>
                <w:iCs/>
                <w:color w:val="333333"/>
                <w:sz w:val="14"/>
                <w:szCs w:val="14"/>
                <w:lang w:eastAsia="it-IT"/>
              </w:rPr>
              <w:t>;</w:t>
            </w:r>
            <w:r w:rsidR="00300E56" w:rsidRPr="006644A1">
              <w:rPr>
                <w:rFonts w:ascii="Tahoma" w:hAnsi="Tahoma" w:cs="Tahoma"/>
                <w:iCs/>
                <w:color w:val="333333"/>
                <w:sz w:val="14"/>
                <w:szCs w:val="14"/>
                <w:lang w:eastAsia="it-IT"/>
              </w:rPr>
              <w:t xml:space="preserve"> </w:t>
            </w:r>
            <w:r w:rsidR="00300E56" w:rsidRPr="006644A1">
              <w:rPr>
                <w:rFonts w:ascii="Tahoma" w:hAnsi="Tahoma" w:cs="Tahoma"/>
                <w:b/>
                <w:iCs/>
                <w:color w:val="333333"/>
                <w:sz w:val="14"/>
                <w:szCs w:val="14"/>
                <w:lang w:eastAsia="it-IT"/>
              </w:rPr>
              <w:t>ISSN</w:t>
            </w:r>
            <w:r w:rsidR="00300E56" w:rsidRPr="006644A1">
              <w:rPr>
                <w:rFonts w:ascii="Tahoma" w:hAnsi="Tahoma" w:cs="Tahoma"/>
                <w:iCs/>
                <w:color w:val="333333"/>
                <w:sz w:val="14"/>
                <w:szCs w:val="14"/>
                <w:lang w:eastAsia="it-IT"/>
              </w:rPr>
              <w:t xml:space="preserve"> 2283-9216</w:t>
            </w:r>
          </w:p>
        </w:tc>
      </w:tr>
    </w:tbl>
    <w:p w14:paraId="2E667253" w14:textId="2573870E" w:rsidR="00E978D0" w:rsidRPr="006644A1" w:rsidRDefault="00501528" w:rsidP="00E978D0">
      <w:pPr>
        <w:pStyle w:val="CETTitle"/>
      </w:pPr>
      <w:r w:rsidRPr="006644A1">
        <w:t>A bi-objective optimization study of an Acid-Base flow battery for high efficiency and improved power density</w:t>
      </w:r>
    </w:p>
    <w:p w14:paraId="4DF4478E" w14:textId="2F862C6B" w:rsidR="00501528" w:rsidRPr="006644A1" w:rsidRDefault="00501528" w:rsidP="00501528">
      <w:pPr>
        <w:pStyle w:val="CETAuthors"/>
        <w:rPr>
          <w:lang w:val="it-IT"/>
        </w:rPr>
      </w:pPr>
      <w:r w:rsidRPr="006644A1">
        <w:rPr>
          <w:lang w:val="it-IT"/>
        </w:rPr>
        <w:t>Andrea Culcasi</w:t>
      </w:r>
      <w:r w:rsidRPr="006644A1">
        <w:rPr>
          <w:vertAlign w:val="superscript"/>
          <w:lang w:val="it-IT"/>
        </w:rPr>
        <w:t>a</w:t>
      </w:r>
      <w:r w:rsidRPr="006644A1">
        <w:rPr>
          <w:lang w:val="it-IT"/>
        </w:rPr>
        <w:t>, Luigi Gurreri</w:t>
      </w:r>
      <w:r w:rsidRPr="006644A1">
        <w:rPr>
          <w:vertAlign w:val="superscript"/>
          <w:lang w:val="it-IT"/>
        </w:rPr>
        <w:t>a</w:t>
      </w:r>
      <w:r w:rsidRPr="006644A1">
        <w:rPr>
          <w:lang w:val="it-IT"/>
        </w:rPr>
        <w:t>, Alessandro Tamburini</w:t>
      </w:r>
      <w:r w:rsidRPr="006644A1">
        <w:rPr>
          <w:vertAlign w:val="superscript"/>
          <w:lang w:val="it-IT"/>
        </w:rPr>
        <w:t>a</w:t>
      </w:r>
      <w:r w:rsidR="007B6CF8" w:rsidRPr="006644A1">
        <w:rPr>
          <w:vertAlign w:val="superscript"/>
          <w:lang w:val="it-IT"/>
        </w:rPr>
        <w:t>,</w:t>
      </w:r>
      <w:r w:rsidRPr="006644A1">
        <w:rPr>
          <w:vertAlign w:val="superscript"/>
          <w:lang w:val="it-IT"/>
        </w:rPr>
        <w:t>*</w:t>
      </w:r>
      <w:r w:rsidRPr="006644A1">
        <w:rPr>
          <w:lang w:val="it-IT"/>
        </w:rPr>
        <w:t>, Ian David Lockhart Bogle</w:t>
      </w:r>
      <w:r w:rsidRPr="006644A1">
        <w:rPr>
          <w:vertAlign w:val="superscript"/>
          <w:lang w:val="it-IT"/>
        </w:rPr>
        <w:t>b</w:t>
      </w:r>
      <w:r w:rsidRPr="006644A1">
        <w:rPr>
          <w:lang w:val="it-IT"/>
        </w:rPr>
        <w:t>, Giorgio Micale</w:t>
      </w:r>
      <w:r w:rsidRPr="006644A1">
        <w:rPr>
          <w:vertAlign w:val="superscript"/>
          <w:lang w:val="it-IT"/>
        </w:rPr>
        <w:t>a</w:t>
      </w:r>
    </w:p>
    <w:p w14:paraId="2F6A01DB" w14:textId="6D03B03C" w:rsidR="00501528" w:rsidRPr="006644A1" w:rsidRDefault="0065003C" w:rsidP="00501528">
      <w:pPr>
        <w:pStyle w:val="CETAddress"/>
        <w:rPr>
          <w:lang w:val="it-IT"/>
        </w:rPr>
      </w:pPr>
      <w:r w:rsidRPr="006644A1">
        <w:rPr>
          <w:vertAlign w:val="superscript"/>
          <w:lang w:val="it-IT"/>
        </w:rPr>
        <w:t>a</w:t>
      </w:r>
      <w:r w:rsidR="00501528" w:rsidRPr="006644A1">
        <w:rPr>
          <w:lang w:val="it-IT"/>
        </w:rPr>
        <w:t xml:space="preserve">Dipartimento di Ingegneria, Università degli Studi di Palermo, Viale delle Scienze Ed.6, 90128, Palermo, Italy </w:t>
      </w:r>
    </w:p>
    <w:p w14:paraId="044AE08A" w14:textId="2C8CE6C8" w:rsidR="0065003C" w:rsidRPr="006644A1" w:rsidRDefault="0065003C" w:rsidP="0065003C">
      <w:pPr>
        <w:pStyle w:val="CETAddress"/>
        <w:rPr>
          <w:lang w:val="en-US"/>
        </w:rPr>
      </w:pPr>
      <w:r w:rsidRPr="006644A1">
        <w:rPr>
          <w:vertAlign w:val="superscript"/>
          <w:lang w:val="en-US"/>
        </w:rPr>
        <w:t>b</w:t>
      </w:r>
      <w:r w:rsidRPr="006644A1">
        <w:rPr>
          <w:lang w:val="en-US"/>
        </w:rPr>
        <w:t>Centre for Process Systems Engineering, Department of Chemical Engineering, University College London (UCL), Torrington Place, London, WC1E7JE, United Kingdom</w:t>
      </w:r>
    </w:p>
    <w:p w14:paraId="3E38F054" w14:textId="2968ABE5" w:rsidR="0065003C" w:rsidRPr="006644A1" w:rsidRDefault="0065003C" w:rsidP="0065003C">
      <w:pPr>
        <w:pStyle w:val="CETemail"/>
        <w:rPr>
          <w:lang w:val="en-US"/>
        </w:rPr>
      </w:pPr>
      <w:r w:rsidRPr="006644A1">
        <w:rPr>
          <w:vertAlign w:val="superscript"/>
          <w:lang w:val="en-US"/>
        </w:rPr>
        <w:t>*</w:t>
      </w:r>
      <w:r w:rsidRPr="006644A1">
        <w:rPr>
          <w:lang w:val="en-US"/>
        </w:rPr>
        <w:t>alessandro.tamburini@unipa.it</w:t>
      </w:r>
    </w:p>
    <w:p w14:paraId="37F4E4C7" w14:textId="3CD5CF39" w:rsidR="0065003C" w:rsidRPr="006644A1" w:rsidRDefault="0065003C" w:rsidP="0065003C">
      <w:pPr>
        <w:pStyle w:val="CETBodytext"/>
      </w:pPr>
      <w:r w:rsidRPr="006644A1">
        <w:t xml:space="preserve">Electrical energy storage is critical for a broader penetration of renewable energies with intermittent nature, such as solar and wind energy. The Acid/Base Flow Battery (AB-FB) is a unique, sustainable, and environmental-friendly storage technology with high electrolyte solution energy density. The method relies on reversible </w:t>
      </w:r>
      <w:proofErr w:type="spellStart"/>
      <w:r w:rsidRPr="006644A1">
        <w:t>electrodialytic</w:t>
      </w:r>
      <w:proofErr w:type="spellEnd"/>
      <w:r w:rsidRPr="006644A1">
        <w:t xml:space="preserve"> technologies using bipolar membranes to transform electrical energy into chemical energy related to pH gradients and vice versa. The charge phase is accomplished by using bipolar membrane electrodialysis, whereas the discharge phase is </w:t>
      </w:r>
      <w:r w:rsidR="00216FE1" w:rsidRPr="006644A1">
        <w:t>performed via</w:t>
      </w:r>
      <w:r w:rsidRPr="006644A1">
        <w:t xml:space="preserve"> bipolar membrane reverse electrodialysis. In a previous work, we developed an advanced multi-scale </w:t>
      </w:r>
      <w:r w:rsidR="00216FE1" w:rsidRPr="006644A1">
        <w:t xml:space="preserve">process </w:t>
      </w:r>
      <w:r w:rsidRPr="006644A1">
        <w:t>model</w:t>
      </w:r>
      <w:r w:rsidR="00F26193" w:rsidRPr="006644A1">
        <w:t xml:space="preserve"> </w:t>
      </w:r>
      <w:r w:rsidR="00F26193" w:rsidRPr="006644A1">
        <w:fldChar w:fldCharType="begin" w:fldLock="1"/>
      </w:r>
      <w:r w:rsidR="00C7343A" w:rsidRPr="006644A1">
        <w:instrText>ADDIN CSL_CITATION {"citationItems":[{"id":"ITEM-1","itemData":{"DOI":"10.3303/CET2186232","ISBN":"978-88-95608-84-6","ISSN":"2283-9216","abstract":"In the context of renewable energy sources, storage systems have been proposed as a solution to the issues related to fluctuations in the production and consumption of electric power. The EU funded BAoBaB project is aimed at developing the Acid/Base Flow battery (AB-FB), an environment-friendly, cost-competitive, grid-scale battery storage system based on the cyclic coupling of Bipolar Membrane ElectroDialysis (BMED) and its reverse, the Bipolar Membrane Reverse ElectroDialysis (BMRED) (Pärnamäe et al., 2020). Bipolar membranes promote catalytically water dissociation, thus allowing the storage of electric power in the form of acidic and alkaline solutions (pH gradient), obtained from their corresponding salt (charging mode-BMED), which are then recombined to provide electrical power (discharging mode-BMRED). The membranes are key elements for the process performance; however, the energy conversion efficiency is also affected by the operating parameters of the process and the design features of the stack. In this work, we performed a sensitivity analysis by a mathematical multi-scale model previously developed (Culcasi et al., 2020a). The performance of AB-FB systems was predicted, focusing on the Round Trip Efficiency. Results showed that proper design features made the effect of parasitic currents negligible. Moreover, proper operating conditions maximized the RTE up to 66%.","author":[{"dropping-particle":"","family":"Culcasi","given":"Andrea","non-dropping-particle":"","parse-names":false,"suffix":""},{"dropping-particle":"","family":"Gurreri","given":"Luigi","non-dropping-particle":"","parse-names":false,"suffix":""},{"dropping-particle":"","family":"Tamburini","given":"Alessandro","non-dropping-particle":"","parse-names":false,"suffix":""},{"dropping-particle":"","family":"Cipollina","given":"Andrea","non-dropping-particle":"","parse-names":false,"suffix":""},{"dropping-particle":"","family":"Micale","given":"Giorgio","non-dropping-particle":"","parse-names":false,"suffix":""}],"container-title":"Chemical Engineering Transactions","id":"ITEM-1","issue":"April","issued":{"date-parts":[["2021"]]},"page":"1387-1392","title":"Effect of Design Features and Operating Conditions on the Performance of a Bipolar Membrane-Based Acid/Base Flow Battery","type":"article-journal","volume":"86"},"uris":["http://www.mendeley.com/documents/?uuid=6389505f-3649-412b-ae73-110c00916040"]}],"mendeley":{"formattedCitation":"(Culcasi et al., 2021b)","plainTextFormattedCitation":"(Culcasi et al., 2021b)","previouslyFormattedCitation":"(Culcasi et al., 2021b)"},"properties":{"noteIndex":0},"schema":"https://github.com/citation-style-language/schema/raw/master/csl-citation.json"}</w:instrText>
      </w:r>
      <w:r w:rsidR="00F26193" w:rsidRPr="006644A1">
        <w:fldChar w:fldCharType="separate"/>
      </w:r>
      <w:r w:rsidR="00F26193" w:rsidRPr="006644A1">
        <w:rPr>
          <w:noProof/>
        </w:rPr>
        <w:t>(Culcasi et al., 2021b)</w:t>
      </w:r>
      <w:r w:rsidR="00F26193" w:rsidRPr="006644A1">
        <w:fldChar w:fldCharType="end"/>
      </w:r>
      <w:r w:rsidRPr="006644A1">
        <w:t xml:space="preserve">, revealing the importance of operating conditions and design features for the AB-FB battery performance. For the first time, the current work attempts to optimize the AB-FB. The net Round Trip Efficiency and </w:t>
      </w:r>
      <w:r w:rsidR="00A65278" w:rsidRPr="006644A1">
        <w:t xml:space="preserve">average </w:t>
      </w:r>
      <w:r w:rsidR="00216FE1" w:rsidRPr="006644A1">
        <w:t>n</w:t>
      </w:r>
      <w:r w:rsidRPr="006644A1">
        <w:t xml:space="preserve">et </w:t>
      </w:r>
      <w:r w:rsidR="00A65278" w:rsidRPr="006644A1">
        <w:t>d</w:t>
      </w:r>
      <w:r w:rsidRPr="006644A1">
        <w:t xml:space="preserve">ischarge </w:t>
      </w:r>
      <w:r w:rsidR="00A65278" w:rsidRPr="006644A1">
        <w:t>p</w:t>
      </w:r>
      <w:r w:rsidRPr="006644A1">
        <w:t xml:space="preserve">ower </w:t>
      </w:r>
      <w:r w:rsidR="00A65278" w:rsidRPr="006644A1">
        <w:t>d</w:t>
      </w:r>
      <w:r w:rsidRPr="006644A1">
        <w:t xml:space="preserve">ensity were maximized in a two-objective optimization. The ε-constraint method was used to construct curves of Pareto optimal solutions under various scenarios, thereby systematically assessing the effect of decision variables consisting of operating and design parameters. The </w:t>
      </w:r>
      <w:proofErr w:type="spellStart"/>
      <w:r w:rsidRPr="006644A1">
        <w:t>gPROMS</w:t>
      </w:r>
      <w:proofErr w:type="spellEnd"/>
      <w:r w:rsidRPr="006644A1">
        <w:t xml:space="preserve"> Model Builder® software package's optimization tool was used. This optimization study demonstrated that in a closed-loop configuration, optimized operating conditions and design features can be chosen to maximize net Round Trip Efficiency up to 64% and </w:t>
      </w:r>
      <w:r w:rsidR="00A65278" w:rsidRPr="006644A1">
        <w:t>average n</w:t>
      </w:r>
      <w:r w:rsidRPr="006644A1">
        <w:t xml:space="preserve">et </w:t>
      </w:r>
      <w:r w:rsidR="00A65278" w:rsidRPr="006644A1">
        <w:t>discharge p</w:t>
      </w:r>
      <w:r w:rsidRPr="006644A1">
        <w:t xml:space="preserve">ower </w:t>
      </w:r>
      <w:r w:rsidR="00A65278" w:rsidRPr="006644A1">
        <w:t>d</w:t>
      </w:r>
      <w:r w:rsidRPr="006644A1">
        <w:t>ensity up to 19.5 W m</w:t>
      </w:r>
      <w:r w:rsidRPr="006644A1">
        <w:rPr>
          <w:vertAlign w:val="superscript"/>
        </w:rPr>
        <w:t>-2</w:t>
      </w:r>
      <w:r w:rsidRPr="006644A1">
        <w:t xml:space="preserve"> using current commercial membranes.</w:t>
      </w:r>
      <w:r w:rsidR="00003BAE" w:rsidRPr="006644A1">
        <w:rPr>
          <w:strike/>
        </w:rPr>
        <w:t xml:space="preserve"> </w:t>
      </w:r>
    </w:p>
    <w:p w14:paraId="61A9B77A" w14:textId="74C3134A" w:rsidR="00600535" w:rsidRPr="006644A1" w:rsidRDefault="00332E40" w:rsidP="00332E40">
      <w:pPr>
        <w:pStyle w:val="CETHeading1"/>
      </w:pPr>
      <w:r w:rsidRPr="006644A1">
        <w:t>Introduction</w:t>
      </w:r>
    </w:p>
    <w:p w14:paraId="3739CAE5" w14:textId="6A397CD3" w:rsidR="001B6BE7" w:rsidRPr="006644A1" w:rsidRDefault="00AB2261" w:rsidP="00880A61">
      <w:pPr>
        <w:pStyle w:val="CETBodytext"/>
        <w:rPr>
          <w:lang w:val="en-GB"/>
        </w:rPr>
      </w:pPr>
      <w:r w:rsidRPr="006644A1">
        <w:rPr>
          <w:lang w:val="en-GB"/>
        </w:rPr>
        <w:t>Recently, t</w:t>
      </w:r>
      <w:r w:rsidR="00B41FE7" w:rsidRPr="006644A1">
        <w:rPr>
          <w:lang w:val="en-GB"/>
        </w:rPr>
        <w:t xml:space="preserve">he demand for renewable energy has increased </w:t>
      </w:r>
      <w:r w:rsidR="00B41FE7" w:rsidRPr="006644A1">
        <w:rPr>
          <w:lang w:val="en-GB"/>
        </w:rPr>
        <w:fldChar w:fldCharType="begin" w:fldLock="1"/>
      </w:r>
      <w:r w:rsidR="00C7343A" w:rsidRPr="006644A1">
        <w:rPr>
          <w:lang w:val="en-GB"/>
        </w:rPr>
        <w:instrText>ADDIN CSL_CITATION {"citationItems":[{"id":"ITEM-1","itemData":{"DOI":"10.3303/CET2186232","ISBN":"978-88-95608-84-6","ISSN":"2283-9216","abstract":"In the context of renewable energy sources, storage systems have been proposed as a solution to the issues related to fluctuations in the production and consumption of electric power. The EU funded BAoBaB project is aimed at developing the Acid/Base Flow battery (AB-FB), an environment-friendly, cost-competitive, grid-scale battery storage system based on the cyclic coupling of Bipolar Membrane ElectroDialysis (BMED) and its reverse, the Bipolar Membrane Reverse ElectroDialysis (BMRED) (Pärnamäe et al., 2020). Bipolar membranes promote catalytically water dissociation, thus allowing the storage of electric power in the form of acidic and alkaline solutions (pH gradient), obtained from their corresponding salt (charging mode-BMED), which are then recombined to provide electrical power (discharging mode-BMRED). The membranes are key elements for the process performance; however, the energy conversion efficiency is also affected by the operating parameters of the process and the design features of the stack. In this work, we performed a sensitivity analysis by a mathematical multi-scale model previously developed (Culcasi et al., 2020a). The performance of AB-FB systems was predicted, focusing on the Round Trip Efficiency. Results showed that proper design features made the effect of parasitic currents negligible. Moreover, proper operating conditions maximized the RTE up to 66%.","author":[{"dropping-particle":"","family":"Culcasi","given":"Andrea","non-dropping-particle":"","parse-names":false,"suffix":""},{"dropping-particle":"","family":"Gurreri","given":"Luigi","non-dropping-particle":"","parse-names":false,"suffix":""},{"dropping-particle":"","family":"Tamburini","given":"Alessandro","non-dropping-particle":"","parse-names":false,"suffix":""},{"dropping-particle":"","family":"Cipollina","given":"Andrea","non-dropping-particle":"","parse-names":false,"suffix":""},{"dropping-particle":"","family":"Micale","given":"Giorgio","non-dropping-particle":"","parse-names":false,"suffix":""}],"container-title":"Chemical Engineering Transactions","id":"ITEM-1","issue":"April","issued":{"date-parts":[["2021"]]},"page":"1387-1392","title":"Effect of Design Features and Operating Conditions on the Performance of a Bipolar Membrane-Based Acid/Base Flow Battery","type":"article-journal","volume":"86"},"uris":["http://www.mendeley.com/documents/?uuid=6389505f-3649-412b-ae73-110c00916040"]}],"mendeley":{"formattedCitation":"(Culcasi et al., 2021b)","plainTextFormattedCitation":"(Culcasi et al., 2021b)","previouslyFormattedCitation":"(Culcasi et al., 2021b)"},"properties":{"noteIndex":0},"schema":"https://github.com/citation-style-language/schema/raw/master/csl-citation.json"}</w:instrText>
      </w:r>
      <w:r w:rsidR="00B41FE7" w:rsidRPr="006644A1">
        <w:rPr>
          <w:lang w:val="en-GB"/>
        </w:rPr>
        <w:fldChar w:fldCharType="separate"/>
      </w:r>
      <w:r w:rsidR="00C7343A" w:rsidRPr="006644A1">
        <w:rPr>
          <w:noProof/>
          <w:lang w:val="en-GB"/>
        </w:rPr>
        <w:t>(Culcasi et al., 2021b)</w:t>
      </w:r>
      <w:r w:rsidR="00B41FE7" w:rsidRPr="006644A1">
        <w:rPr>
          <w:lang w:val="en-GB"/>
        </w:rPr>
        <w:fldChar w:fldCharType="end"/>
      </w:r>
      <w:r w:rsidR="00B41FE7" w:rsidRPr="006644A1">
        <w:rPr>
          <w:lang w:val="en-GB"/>
        </w:rPr>
        <w:t xml:space="preserve">. However, there is a </w:t>
      </w:r>
      <w:r w:rsidR="001F756C" w:rsidRPr="006644A1">
        <w:rPr>
          <w:lang w:val="en-GB"/>
        </w:rPr>
        <w:t xml:space="preserve">discrepancy between </w:t>
      </w:r>
      <w:r w:rsidR="00B41FE7" w:rsidRPr="006644A1">
        <w:rPr>
          <w:lang w:val="en-GB"/>
        </w:rPr>
        <w:t>supply</w:t>
      </w:r>
      <w:r w:rsidR="001F756C" w:rsidRPr="006644A1">
        <w:rPr>
          <w:lang w:val="en-GB"/>
        </w:rPr>
        <w:t xml:space="preserve"> and </w:t>
      </w:r>
      <w:r w:rsidR="00B41FE7" w:rsidRPr="006644A1">
        <w:rPr>
          <w:lang w:val="en-GB"/>
        </w:rPr>
        <w:t xml:space="preserve">demand, especially for energy from intermittent sources such as solar and wind. As a result, large-capacity storage systems must be developed, ranging in </w:t>
      </w:r>
      <w:r w:rsidR="001F756C" w:rsidRPr="006644A1">
        <w:rPr>
          <w:lang w:val="en-GB"/>
        </w:rPr>
        <w:t>scale</w:t>
      </w:r>
      <w:r w:rsidR="00B41FE7" w:rsidRPr="006644A1">
        <w:rPr>
          <w:lang w:val="en-GB"/>
        </w:rPr>
        <w:t xml:space="preserve"> from kWh to MWh. Effective solutions must be scalable, safe, ecologically friendly, durable, cost-effective, and site independent. </w:t>
      </w:r>
      <w:r w:rsidR="001F756C" w:rsidRPr="006644A1">
        <w:rPr>
          <w:lang w:val="en-GB"/>
        </w:rPr>
        <w:t xml:space="preserve">Importantly, there are various potential methods for energy </w:t>
      </w:r>
      <w:proofErr w:type="gramStart"/>
      <w:r w:rsidR="001F756C" w:rsidRPr="006644A1">
        <w:rPr>
          <w:lang w:val="en-GB"/>
        </w:rPr>
        <w:t>storage;</w:t>
      </w:r>
      <w:proofErr w:type="gramEnd"/>
      <w:r w:rsidR="00B41FE7" w:rsidRPr="006644A1">
        <w:rPr>
          <w:lang w:val="en-GB"/>
        </w:rPr>
        <w:t xml:space="preserve"> </w:t>
      </w:r>
      <w:r w:rsidR="001F756C" w:rsidRPr="006644A1">
        <w:rPr>
          <w:lang w:val="en-GB"/>
        </w:rPr>
        <w:t>for example, f</w:t>
      </w:r>
      <w:r w:rsidR="00B41FE7" w:rsidRPr="006644A1">
        <w:rPr>
          <w:lang w:val="en-GB"/>
        </w:rPr>
        <w:t>low batteries store energy in an electrolyte solution. Acid-Base flow batteries</w:t>
      </w:r>
      <w:r w:rsidR="008B7128" w:rsidRPr="006644A1">
        <w:rPr>
          <w:lang w:val="en-GB"/>
        </w:rPr>
        <w:t xml:space="preserve"> (AB-FBs)</w:t>
      </w:r>
      <w:r w:rsidR="00B41FE7" w:rsidRPr="006644A1">
        <w:rPr>
          <w:lang w:val="en-GB"/>
        </w:rPr>
        <w:t xml:space="preserve"> </w:t>
      </w:r>
      <w:r w:rsidR="001F756C" w:rsidRPr="006644A1">
        <w:rPr>
          <w:lang w:val="en-GB"/>
        </w:rPr>
        <w:t xml:space="preserve">are a novel storage method that meet </w:t>
      </w:r>
      <w:r w:rsidR="00B41FE7" w:rsidRPr="006644A1">
        <w:rPr>
          <w:lang w:val="en-GB"/>
        </w:rPr>
        <w:t>all the above requirements, work well with modern smart grids, and have a high performance</w:t>
      </w:r>
      <w:r w:rsidR="00DE2C01" w:rsidRPr="006644A1">
        <w:rPr>
          <w:lang w:val="en-GB"/>
        </w:rPr>
        <w:t xml:space="preserve"> </w:t>
      </w:r>
      <w:r w:rsidR="00DE2C01" w:rsidRPr="006644A1">
        <w:rPr>
          <w:lang w:val="en-GB"/>
        </w:rPr>
        <w:fldChar w:fldCharType="begin" w:fldLock="1"/>
      </w:r>
      <w:r w:rsidR="00C7343A" w:rsidRPr="006644A1">
        <w:rPr>
          <w:lang w:val="en-GB"/>
        </w:rPr>
        <w:instrText>ADDIN CSL_CITATION {"citationItems":[{"id":"ITEM-1","itemData":{"DOI":"10.1016/j.apenergy.2020.115576","ISSN":"03062619","abstract":"Electrical energy storage can enhance the efficiency in the use of fluctuating renewable sources, e.g. solar and wind energy. The Acid/Base Flow Battery is an innovative and sustainable process to store electrical energy in the form of pH and salinity gradients via electrodialytic reversible techniques. Two electromembrane processes are involved: Bipolar Membrane Electrodialysis during the charge phase and its opposite, Bipolar Membrane Reverse Electrodialysis, during the discharge phase. For the first time, the present work aims at predicting the performance of this energy storage device via the development of a dynamic mathematical model based on a multi-scale approach with distributed parameters. Four models, each one at a different scale, are fully integrated in a comprehensive process simulator. The model was preliminary validated by a comparison with experimental data and a good agreement was found. A sensitivity analysis was performed to identify the most detrimental phenomena. Results indicate a loss of 25–35% of Round Trip Efficiency caused by parasitic currents in the manifolds. Therefore, they may represent the main limit to the present technology performance in scaled-up stacks converting more power. Suitable geometries and operating conditions should be adopted to tackle this issue (e.g. isolated blocks), thus enhancing the battery Round Trip Efficiency.","author":[{"dropping-particle":"","family":"Culcasi","given":"Andrea","non-dropping-particle":"","parse-names":false,"suffix":""},{"dropping-particle":"","family":"Gurreri","given":"Luigi","non-dropping-particle":"","parse-names":false,"suffix":""},{"dropping-particle":"","family":"Zaffora","given":"Andrea","non-dropping-particle":"","parse-names":false,"suffix":""},{"dropping-particle":"","family":"Cosenza","given":"Alessandro","non-dropping-particle":"","parse-names":false,"suffix":""},{"dropping-particle":"","family":"Tamburini","given":"Alessandro","non-dropping-particle":"","parse-names":false,"suffix":""},{"dropping-particle":"","family":"Micale","given":"Giorgio","non-dropping-particle":"","parse-names":false,"suffix":""}],"container-title":"Applied Energy","id":"ITEM-1","issued":{"date-parts":[["2020","11"]]},"page":"115576","title":"On the modelling of an Acid/Base Flow Battery: An innovative electrical energy storage device based on pH and salinity gradients","type":"article-journal","volume":"277"},"uris":["http://www.mendeley.com/documents/?uuid=a0a5dfd9-d564-4af9-894b-6442bddcceea"]}],"mendeley":{"formattedCitation":"(Culcasi et al., 2020)","plainTextFormattedCitation":"(Culcasi et al., 2020)","previouslyFormattedCitation":"(Culcasi et al., 2020)"},"properties":{"noteIndex":0},"schema":"https://github.com/citation-style-language/schema/raw/master/csl-citation.json"}</w:instrText>
      </w:r>
      <w:r w:rsidR="00DE2C01" w:rsidRPr="006644A1">
        <w:rPr>
          <w:lang w:val="en-GB"/>
        </w:rPr>
        <w:fldChar w:fldCharType="separate"/>
      </w:r>
      <w:r w:rsidR="00DE2C01" w:rsidRPr="006644A1">
        <w:rPr>
          <w:noProof/>
          <w:lang w:val="en-GB"/>
        </w:rPr>
        <w:t>(Culcasi et al., 2020)</w:t>
      </w:r>
      <w:r w:rsidR="00DE2C01" w:rsidRPr="006644A1">
        <w:rPr>
          <w:lang w:val="en-GB"/>
        </w:rPr>
        <w:fldChar w:fldCharType="end"/>
      </w:r>
      <w:r w:rsidR="00B41FE7" w:rsidRPr="006644A1">
        <w:rPr>
          <w:lang w:val="en-GB"/>
        </w:rPr>
        <w:t>. The working mechanism of AB-FB i</w:t>
      </w:r>
      <w:r w:rsidR="008B7128" w:rsidRPr="006644A1">
        <w:rPr>
          <w:lang w:val="en-GB"/>
        </w:rPr>
        <w:t xml:space="preserve">nvolves </w:t>
      </w:r>
      <w:r w:rsidR="00B41FE7" w:rsidRPr="006644A1">
        <w:rPr>
          <w:lang w:val="en-GB"/>
        </w:rPr>
        <w:t>with the water dissociation reaction in the bipolar membranes</w:t>
      </w:r>
      <w:r w:rsidR="00F26193" w:rsidRPr="006644A1">
        <w:rPr>
          <w:lang w:val="en-GB"/>
        </w:rPr>
        <w:t xml:space="preserve"> </w:t>
      </w:r>
      <w:r w:rsidR="00F26193" w:rsidRPr="006644A1">
        <w:rPr>
          <w:lang w:val="en-GB"/>
        </w:rPr>
        <w:fldChar w:fldCharType="begin" w:fldLock="1"/>
      </w:r>
      <w:r w:rsidR="00C7343A" w:rsidRPr="006644A1">
        <w:rPr>
          <w:lang w:val="en-GB"/>
        </w:rPr>
        <w:instrText>ADDIN CSL_CITATION {"citationItems":[{"id":"ITEM-1","itemData":{"DOI":"10.3303/CET2186232","ISBN":"978-88-95608-84-6","ISSN":"2283-9216","abstract":"In the context of renewable energy sources, storage systems have been proposed as a solution to the issues related to fluctuations in the production and consumption of electric power. The EU funded BAoBaB project is aimed at developing the Acid/Base Flow battery (AB-FB), an environment-friendly, cost-competitive, grid-scale battery storage system based on the cyclic coupling of Bipolar Membrane ElectroDialysis (BMED) and its reverse, the Bipolar Membrane Reverse ElectroDialysis (BMRED) (Pärnamäe et al., 2020). Bipolar membranes promote catalytically water dissociation, thus allowing the storage of electric power in the form of acidic and alkaline solutions (pH gradient), obtained from their corresponding salt (charging mode-BMED), which are then recombined to provide electrical power (discharging mode-BMRED). The membranes are key elements for the process performance; however, the energy conversion efficiency is also affected by the operating parameters of the process and the design features of the stack. In this work, we performed a sensitivity analysis by a mathematical multi-scale model previously developed (Culcasi et al., 2020a). The performance of AB-FB systems was predicted, focusing on the Round Trip Efficiency. Results showed that proper design features made the effect of parasitic currents negligible. Moreover, proper operating conditions maximized the RTE up to 66%.","author":[{"dropping-particle":"","family":"Culcasi","given":"Andrea","non-dropping-particle":"","parse-names":false,"suffix":""},{"dropping-particle":"","family":"Gurreri","given":"Luigi","non-dropping-particle":"","parse-names":false,"suffix":""},{"dropping-particle":"","family":"Tamburini","given":"Alessandro","non-dropping-particle":"","parse-names":false,"suffix":""},{"dropping-particle":"","family":"Cipollina","given":"Andrea","non-dropping-particle":"","parse-names":false,"suffix":""},{"dropping-particle":"","family":"Micale","given":"Giorgio","non-dropping-particle":"","parse-names":false,"suffix":""}],"container-title":"Chemical Engineering Transactions","id":"ITEM-1","issue":"April","issued":{"date-parts":[["2021"]]},"page":"1387-1392","title":"Effect of Design Features and Operating Conditions on the Performance of a Bipolar Membrane-Based Acid/Base Flow Battery","type":"article-journal","volume":"86"},"uris":["http://www.mendeley.com/documents/?uuid=6389505f-3649-412b-ae73-110c00916040"]}],"mendeley":{"formattedCitation":"(Culcasi et al., 2021b)","plainTextFormattedCitation":"(Culcasi et al., 2021b)","previouslyFormattedCitation":"(Culcasi et al., 2021b)"},"properties":{"noteIndex":0},"schema":"https://github.com/citation-style-language/schema/raw/master/csl-citation.json"}</w:instrText>
      </w:r>
      <w:r w:rsidR="00F26193" w:rsidRPr="006644A1">
        <w:rPr>
          <w:lang w:val="en-GB"/>
        </w:rPr>
        <w:fldChar w:fldCharType="separate"/>
      </w:r>
      <w:r w:rsidR="00F26193" w:rsidRPr="006644A1">
        <w:rPr>
          <w:noProof/>
          <w:lang w:val="en-GB"/>
        </w:rPr>
        <w:t>(Culcasi et al., 2021b)</w:t>
      </w:r>
      <w:r w:rsidR="00F26193" w:rsidRPr="006644A1">
        <w:rPr>
          <w:lang w:val="en-GB"/>
        </w:rPr>
        <w:fldChar w:fldCharType="end"/>
      </w:r>
      <w:r w:rsidR="00B41FE7" w:rsidRPr="006644A1">
        <w:rPr>
          <w:lang w:val="en-GB"/>
        </w:rPr>
        <w:t xml:space="preserve">. </w:t>
      </w:r>
      <w:r w:rsidR="008B7128" w:rsidRPr="006644A1">
        <w:rPr>
          <w:lang w:val="en-GB"/>
        </w:rPr>
        <w:t>Additionally, t</w:t>
      </w:r>
      <w:r w:rsidR="00B41FE7" w:rsidRPr="006644A1">
        <w:rPr>
          <w:lang w:val="en-GB"/>
        </w:rPr>
        <w:t>he AB-FB combines two membrane processes known as Bipolar Membrane Electrodialysis</w:t>
      </w:r>
      <w:r w:rsidR="000846EE" w:rsidRPr="006644A1">
        <w:rPr>
          <w:lang w:val="en-GB"/>
        </w:rPr>
        <w:t xml:space="preserve"> (BMED)</w:t>
      </w:r>
      <w:r w:rsidR="00B41FE7" w:rsidRPr="006644A1">
        <w:rPr>
          <w:lang w:val="en-GB"/>
        </w:rPr>
        <w:t xml:space="preserve"> and Bipolar Membrane Reverse Electrodialysis</w:t>
      </w:r>
      <w:r w:rsidR="000846EE" w:rsidRPr="006644A1">
        <w:rPr>
          <w:lang w:val="en-GB"/>
        </w:rPr>
        <w:t xml:space="preserve"> (BMRED)</w:t>
      </w:r>
      <w:r w:rsidR="00B41FE7" w:rsidRPr="006644A1">
        <w:rPr>
          <w:lang w:val="en-GB"/>
        </w:rPr>
        <w:t xml:space="preserve"> </w:t>
      </w:r>
      <w:r w:rsidR="00F815EB" w:rsidRPr="006644A1">
        <w:rPr>
          <w:lang w:val="en-GB"/>
        </w:rPr>
        <w:fldChar w:fldCharType="begin" w:fldLock="1"/>
      </w:r>
      <w:r w:rsidR="00F815EB" w:rsidRPr="006644A1">
        <w:rPr>
          <w:lang w:val="en-GB"/>
        </w:rPr>
        <w:instrText>ADDIN CSL_CITATION {"citationItems":[{"id":"ITEM-1","itemData":{"DOI":"10.1016/j.jenvman.2021.112319","ISSN":"03014797","PMID":"33721763","abstract":"The theoretical energy density extractable from acidic and alkaline solutions is higher than 20 kWh m−3 of single solution when mixing 1 M concentrated streams. Therefore, acidic and alkaline industrial wastewater have a huge potential for the recovery of energy. To this purpose, bipolar membrane reverse electrodialysis (BMRED) is an interesting, yet poorly studied technology for the conversion of the mixing entropy of solutions at different pH into electricity. Although it shows promising performance, only few works have been presented in the literature so far, and no comprehensive models have been developed yet. This work presents a mathematical multi-scale model based on a semi-empirical approach. The model was validated against experimental data and was applied over a variety of operating conditions, showing that it may represent an effective tool for the prediction of the BMRED performance. A sensitivity analysis was performed in two different scenarios, i.e. (i) a reference case and (ii) an improved case with high-performance membrane properties. A Net Power Density of ~15 W m−2 was predicted in the reference scenario with 1 M HCl and NaOH solutions, but it increased significantly by simulating high-performance membranes. A simulated scheme for an industrial application yielded an energy density of ~50 kWh m−3 (of acid solution) with an energy efficiency of ~80–90% in the improved scenario.","author":[{"dropping-particle":"","family":"Culcasi","given":"Andrea","non-dropping-particle":"","parse-names":false,"suffix":""},{"dropping-particle":"","family":"Gurreri","given":"Luigi","non-dropping-particle":"","parse-names":false,"suffix":""},{"dropping-particle":"","family":"Micale","given":"Giorgio","non-dropping-particle":"","parse-names":false,"suffix":""},{"dropping-particle":"","family":"Tamburini","given":"Alessandro","non-dropping-particle":"","parse-names":false,"suffix":""}],"container-title":"Journal of Environmental Management","id":"ITEM-1","issue":"December 2020","issued":{"date-parts":[["2021","6"]]},"page":"112319","publisher":"Elsevier Ltd","title":"Bipolar membrane reverse electrodialysis for the sustainable recovery of energy from pH gradients of industrial wastewater: Performance prediction by a validated process model","type":"article-journal","volume":"287"},"uris":["http://www.mendeley.com/documents/?uuid=c02aea23-5a3b-4230-8b5c-d24fe195f8af"]}],"mendeley":{"formattedCitation":"(Culcasi et al., 2021a)","plainTextFormattedCitation":"(Culcasi et al., 2021a)","previouslyFormattedCitation":"(Culcasi et al., 2021a)"},"properties":{"noteIndex":0},"schema":"https://github.com/citation-style-language/schema/raw/master/csl-citation.json"}</w:instrText>
      </w:r>
      <w:r w:rsidR="00F815EB" w:rsidRPr="006644A1">
        <w:rPr>
          <w:lang w:val="en-GB"/>
        </w:rPr>
        <w:fldChar w:fldCharType="separate"/>
      </w:r>
      <w:r w:rsidR="00F815EB" w:rsidRPr="006644A1">
        <w:rPr>
          <w:noProof/>
          <w:lang w:val="en-GB"/>
        </w:rPr>
        <w:t>(Culcasi et al., 2021a)</w:t>
      </w:r>
      <w:r w:rsidR="00F815EB" w:rsidRPr="006644A1">
        <w:rPr>
          <w:lang w:val="en-GB"/>
        </w:rPr>
        <w:fldChar w:fldCharType="end"/>
      </w:r>
      <w:r w:rsidR="00B41FE7" w:rsidRPr="006644A1">
        <w:rPr>
          <w:lang w:val="en-GB"/>
        </w:rPr>
        <w:t>. Specifically, during the charge phase, the externally supplied electricity is transformed into acidic and alkaline solutions, accumulating energy in the form of a pH gradient</w:t>
      </w:r>
      <w:r w:rsidR="00C7343A" w:rsidRPr="006644A1">
        <w:rPr>
          <w:lang w:val="en-GB"/>
        </w:rPr>
        <w:t xml:space="preserve"> </w:t>
      </w:r>
      <w:r w:rsidR="00C7343A" w:rsidRPr="006644A1">
        <w:rPr>
          <w:lang w:val="en-GB"/>
        </w:rPr>
        <w:fldChar w:fldCharType="begin" w:fldLock="1"/>
      </w:r>
      <w:r w:rsidR="00154237" w:rsidRPr="006644A1">
        <w:rPr>
          <w:lang w:val="en-GB"/>
        </w:rPr>
        <w:instrText>ADDIN CSL_CITATION {"citationItems":[{"id":"ITEM-1","itemData":{"DOI":"10.1016/j.cej.2022.135317","ISSN":"13858947","author":[{"dropping-particle":"","family":"Culcasi","given":"Andrea","non-dropping-particle":"","parse-names":false,"suffix":""},{"dropping-particle":"","family":"Gurreri","given":"Luigi","non-dropping-particle":"","parse-names":false,"suffix":""},{"dropping-particle":"","family":"Cipollina","given":"Andrea","non-dropping-particle":"","parse-names":false,"suffix":""},{"dropping-particle":"","family":"Tamburini","given":"Alessandro","non-dropping-particle":"","parse-names":false,"suffix":""},{"dropping-particle":"","family":"Micale","given":"Giorgio","non-dropping-particle":"","parse-names":false,"suffix":""}],"container-title":"Chemical Engineering Journal","id":"ITEM-1","issued":{"date-parts":[["2022","6"]]},"page":"135317","title":"A comprehensive multi-scale model for bipolar membrane electrodialysis (BMED)","type":"article-journal","volume":"437"},"uris":["http://www.mendeley.com/documents/?uuid=83da9287-a25a-49a0-ba37-a595a4437590"]}],"mendeley":{"formattedCitation":"(Culcasi et al., 2022)","plainTextFormattedCitation":"(Culcasi et al., 2022)","previouslyFormattedCitation":"(Culcasi et al., 2022)"},"properties":{"noteIndex":0},"schema":"https://github.com/citation-style-language/schema/raw/master/csl-citation.json"}</w:instrText>
      </w:r>
      <w:r w:rsidR="00C7343A" w:rsidRPr="006644A1">
        <w:rPr>
          <w:lang w:val="en-GB"/>
        </w:rPr>
        <w:fldChar w:fldCharType="separate"/>
      </w:r>
      <w:r w:rsidR="00C7343A" w:rsidRPr="006644A1">
        <w:rPr>
          <w:noProof/>
          <w:lang w:val="en-GB"/>
        </w:rPr>
        <w:t>(Culcasi et al., 2022)</w:t>
      </w:r>
      <w:r w:rsidR="00C7343A" w:rsidRPr="006644A1">
        <w:rPr>
          <w:lang w:val="en-GB"/>
        </w:rPr>
        <w:fldChar w:fldCharType="end"/>
      </w:r>
      <w:r w:rsidR="00B41FE7" w:rsidRPr="006644A1">
        <w:rPr>
          <w:lang w:val="en-GB"/>
        </w:rPr>
        <w:t xml:space="preserve">. During the battery discharge phase, the acid and base streams </w:t>
      </w:r>
      <w:r w:rsidR="00463187" w:rsidRPr="006644A1">
        <w:rPr>
          <w:lang w:val="en-GB"/>
        </w:rPr>
        <w:t>are</w:t>
      </w:r>
      <w:r w:rsidR="00B41FE7" w:rsidRPr="006644A1">
        <w:rPr>
          <w:lang w:val="en-GB"/>
        </w:rPr>
        <w:t xml:space="preserve"> neutralised to produce energy. The AB-FB contains repeating units known as triplets, consisting of one anion- and one cation-exchange membrane (i.e., AEM and CEM</w:t>
      </w:r>
      <w:r w:rsidR="00F815EB" w:rsidRPr="006644A1">
        <w:rPr>
          <w:lang w:val="en-GB"/>
        </w:rPr>
        <w:t>, respectively</w:t>
      </w:r>
      <w:r w:rsidR="00B41FE7" w:rsidRPr="006644A1">
        <w:rPr>
          <w:lang w:val="en-GB"/>
        </w:rPr>
        <w:t>), as well as one bipolar membrane (</w:t>
      </w:r>
      <w:r w:rsidR="00F815EB" w:rsidRPr="006644A1">
        <w:rPr>
          <w:lang w:val="en-GB"/>
        </w:rPr>
        <w:t xml:space="preserve">i.e., </w:t>
      </w:r>
      <w:r w:rsidR="00B41FE7" w:rsidRPr="006644A1">
        <w:rPr>
          <w:lang w:val="en-GB"/>
        </w:rPr>
        <w:t xml:space="preserve">BPM); all </w:t>
      </w:r>
      <w:r w:rsidR="008B7128" w:rsidRPr="006644A1">
        <w:rPr>
          <w:lang w:val="en-GB"/>
        </w:rPr>
        <w:t xml:space="preserve">the </w:t>
      </w:r>
      <w:r w:rsidR="00B41FE7" w:rsidRPr="006644A1">
        <w:rPr>
          <w:lang w:val="en-GB"/>
        </w:rPr>
        <w:t xml:space="preserve">membranes are separated by net spacers. BPM is made up of two stacked cation and anion exchange layers. In the charge phase, by applying an electrical potential across the AB-FB unit, water dissociation occurs in the interlayer of </w:t>
      </w:r>
      <w:r w:rsidR="00FF4A2B" w:rsidRPr="006644A1">
        <w:rPr>
          <w:lang w:val="en-GB"/>
        </w:rPr>
        <w:t>BPM</w:t>
      </w:r>
      <w:r w:rsidR="00B41FE7" w:rsidRPr="006644A1">
        <w:rPr>
          <w:lang w:val="en-GB"/>
        </w:rPr>
        <w:t xml:space="preserve">, resulting in the production of both protons and hydroxide ions </w:t>
      </w:r>
      <w:r w:rsidR="00003BAE" w:rsidRPr="006644A1">
        <w:rPr>
          <w:b/>
          <w:lang w:val="en-GB"/>
        </w:rPr>
        <w:fldChar w:fldCharType="begin" w:fldLock="1"/>
      </w:r>
      <w:r w:rsidR="00E8213E" w:rsidRPr="006644A1">
        <w:rPr>
          <w:lang w:val="en-GB"/>
        </w:rPr>
        <w:instrText>ADDIN CSL_CITATION {"citationItems":[{"id":"ITEM-1","itemData":{"DOI":"10.1002/er.3941","ISSN":"0363907X","abstract":"An increasing fraction of energy is generated by intermittent sources such as wind and sun. A straightforward solution to keep the electricity grid reliable is the connection of large-scale electricity storage to this grid. Current battery storage technologies, while providing promising energy and power densities, suffer from a large environmental footprint, safety issues, and technological challenges. In this paper, the acid base flow battery is re-established as an environmental friendly means of storing electricity using electrolyte consisting of NaCl salt. To achieve a high specific energy, we have performed charge and discharge cycles over the entire pH range (0-14) at several current densities. We demonstrate stable performance at high energy density (2.9Wh L-1). Main energy dissipation occurs by unwanted proton and hydroxyl ion transport and leads to low coulombic efficiencies (13%-27%).","author":[{"dropping-particle":"","family":"Egmond","given":"W. J.","non-dropping-particle":"van","parse-names":false,"suffix":""},{"dropping-particle":"","family":"Saakes","given":"M.","non-dropping-particle":"","parse-names":false,"suffix":""},{"dropping-particle":"","family":"Noor","given":"I.","non-dropping-particle":"","parse-names":false,"suffix":""},{"dropping-particle":"","family":"Porada","given":"S.","non-dropping-particle":"","parse-names":false,"suffix":""},{"dropping-particle":"","family":"Buisman","given":"C. J. N.","non-dropping-particle":"","parse-names":false,"suffix":""},{"dropping-particle":"","family":"Hamelers","given":"H.V.M.","non-dropping-particle":"","parse-names":false,"suffix":""}],"container-title":"International Journal of Energy Research","id":"ITEM-1","issue":"4","issued":{"date-parts":[["2018","3","25"]]},"page":"1524-1535","title":"Performance of an environmentally benign acid base flow battery at high energy density","type":"article-journal","volume":"42"},"uris":["http://www.mendeley.com/documents/?uuid=979e6443-2be0-4870-a117-cb8d1d174830"]}],"mendeley":{"formattedCitation":"(van Egmond et al., 2018)","plainTextFormattedCitation":"(van Egmond et al., 2018)","previouslyFormattedCitation":"(van Egmond et al., 2018)"},"properties":{"noteIndex":0},"schema":"https://github.com/citation-style-language/schema/raw/master/csl-citation.json"}</w:instrText>
      </w:r>
      <w:r w:rsidR="00003BAE" w:rsidRPr="006644A1">
        <w:rPr>
          <w:b/>
          <w:lang w:val="en-GB"/>
        </w:rPr>
        <w:fldChar w:fldCharType="separate"/>
      </w:r>
      <w:r w:rsidR="00003BAE" w:rsidRPr="006644A1">
        <w:rPr>
          <w:noProof/>
          <w:lang w:val="en-GB"/>
        </w:rPr>
        <w:t>(van Egmond et al., 2018)</w:t>
      </w:r>
      <w:r w:rsidR="00003BAE" w:rsidRPr="006644A1">
        <w:rPr>
          <w:b/>
          <w:lang w:val="en-GB"/>
        </w:rPr>
        <w:fldChar w:fldCharType="end"/>
      </w:r>
      <w:r w:rsidR="00CE0E20" w:rsidRPr="006644A1">
        <w:rPr>
          <w:lang w:val="en-GB"/>
        </w:rPr>
        <w:t xml:space="preserve"> (</w:t>
      </w:r>
      <w:r w:rsidR="00CE0E20" w:rsidRPr="006644A1">
        <w:rPr>
          <w:b/>
          <w:lang w:val="en-GB"/>
        </w:rPr>
        <w:fldChar w:fldCharType="begin"/>
      </w:r>
      <w:r w:rsidR="00CE0E20" w:rsidRPr="006644A1">
        <w:rPr>
          <w:lang w:val="en-GB"/>
        </w:rPr>
        <w:instrText xml:space="preserve"> REF _Ref104911752 \h  \* MERGEFORMAT </w:instrText>
      </w:r>
      <w:r w:rsidR="00CE0E20" w:rsidRPr="006644A1">
        <w:rPr>
          <w:b/>
          <w:lang w:val="en-GB"/>
        </w:rPr>
      </w:r>
      <w:r w:rsidR="00CE0E20" w:rsidRPr="006644A1">
        <w:rPr>
          <w:b/>
          <w:lang w:val="en-GB"/>
        </w:rPr>
        <w:fldChar w:fldCharType="separate"/>
      </w:r>
      <w:r w:rsidR="00E64D71" w:rsidRPr="006644A1">
        <w:rPr>
          <w:lang w:val="en-GB"/>
        </w:rPr>
        <w:t>Figure 1</w:t>
      </w:r>
      <w:r w:rsidR="00CE0E20" w:rsidRPr="006644A1">
        <w:rPr>
          <w:b/>
          <w:lang w:val="en-GB"/>
        </w:rPr>
        <w:fldChar w:fldCharType="end"/>
      </w:r>
      <w:r w:rsidR="00CE0E20" w:rsidRPr="006644A1">
        <w:rPr>
          <w:lang w:val="en-GB"/>
        </w:rPr>
        <w:t xml:space="preserve">). </w:t>
      </w:r>
    </w:p>
    <w:p w14:paraId="0426B3BB" w14:textId="3A504553" w:rsidR="00484967" w:rsidRPr="006644A1" w:rsidRDefault="002C4A81" w:rsidP="00484967">
      <w:pPr>
        <w:pStyle w:val="CETBodytext"/>
        <w:keepNext/>
      </w:pPr>
      <w:r w:rsidRPr="006644A1">
        <w:rPr>
          <w:noProof/>
        </w:rPr>
        <w:lastRenderedPageBreak/>
        <w:drawing>
          <wp:inline distT="0" distB="0" distL="0" distR="0" wp14:anchorId="2920D5CB" wp14:editId="7DF88C71">
            <wp:extent cx="5579745" cy="2187575"/>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2187575"/>
                    </a:xfrm>
                    <a:prstGeom prst="rect">
                      <a:avLst/>
                    </a:prstGeom>
                    <a:noFill/>
                    <a:ln>
                      <a:noFill/>
                    </a:ln>
                  </pic:spPr>
                </pic:pic>
              </a:graphicData>
            </a:graphic>
          </wp:inline>
        </w:drawing>
      </w:r>
    </w:p>
    <w:p w14:paraId="3AC9D185" w14:textId="747A7F25" w:rsidR="00484967" w:rsidRPr="006644A1" w:rsidRDefault="00484967" w:rsidP="00484967">
      <w:pPr>
        <w:pStyle w:val="CETCaption"/>
      </w:pPr>
      <w:bookmarkStart w:id="0" w:name="_Ref104911752"/>
      <w:r w:rsidRPr="006644A1">
        <w:t xml:space="preserve">Figure </w:t>
      </w:r>
      <w:r w:rsidRPr="006644A1">
        <w:fldChar w:fldCharType="begin"/>
      </w:r>
      <w:r w:rsidRPr="006644A1">
        <w:instrText xml:space="preserve"> SEQ Figure \* ARABIC </w:instrText>
      </w:r>
      <w:r w:rsidRPr="006644A1">
        <w:fldChar w:fldCharType="separate"/>
      </w:r>
      <w:r w:rsidR="00E64D71" w:rsidRPr="006644A1">
        <w:rPr>
          <w:noProof/>
        </w:rPr>
        <w:t>1</w:t>
      </w:r>
      <w:r w:rsidRPr="006644A1">
        <w:fldChar w:fldCharType="end"/>
      </w:r>
      <w:bookmarkEnd w:id="0"/>
      <w:r w:rsidRPr="006644A1">
        <w:t xml:space="preserve">. Acid/Base Flow Battery charge a) and discharge b) phases. </w:t>
      </w:r>
    </w:p>
    <w:p w14:paraId="722CAEE9" w14:textId="2181189D" w:rsidR="00B41FE7" w:rsidRPr="006644A1" w:rsidRDefault="00B41FE7" w:rsidP="00B41FE7">
      <w:pPr>
        <w:pStyle w:val="CETHeading1"/>
        <w:numPr>
          <w:ilvl w:val="0"/>
          <w:numId w:val="0"/>
        </w:numPr>
        <w:jc w:val="both"/>
        <w:rPr>
          <w:b w:val="0"/>
          <w:sz w:val="18"/>
          <w:lang w:val="en-GB"/>
        </w:rPr>
      </w:pPr>
      <w:r w:rsidRPr="006644A1">
        <w:rPr>
          <w:b w:val="0"/>
          <w:sz w:val="18"/>
          <w:lang w:val="en-GB"/>
        </w:rPr>
        <w:t>When using acid and base solutions at 1 M, it is theoretically possible to achieve a potential energy density of 22 kWh m</w:t>
      </w:r>
      <w:r w:rsidRPr="006644A1">
        <w:rPr>
          <w:b w:val="0"/>
          <w:sz w:val="18"/>
          <w:vertAlign w:val="superscript"/>
          <w:lang w:val="en-GB"/>
        </w:rPr>
        <w:t>-3</w:t>
      </w:r>
      <w:r w:rsidRPr="006644A1">
        <w:rPr>
          <w:b w:val="0"/>
          <w:sz w:val="18"/>
          <w:lang w:val="en-GB"/>
        </w:rPr>
        <w:t xml:space="preserve"> of one solution. </w:t>
      </w:r>
      <w:r w:rsidR="008B7128" w:rsidRPr="006644A1">
        <w:rPr>
          <w:b w:val="0"/>
          <w:sz w:val="18"/>
          <w:lang w:val="en-GB"/>
        </w:rPr>
        <w:t>Furthermore, h</w:t>
      </w:r>
      <w:r w:rsidRPr="006644A1">
        <w:rPr>
          <w:b w:val="0"/>
          <w:sz w:val="18"/>
          <w:lang w:val="en-GB"/>
        </w:rPr>
        <w:t xml:space="preserve">igher concentrations of acid and base could still be used to increase the energy density. </w:t>
      </w:r>
      <w:r w:rsidR="008B7128" w:rsidRPr="006644A1">
        <w:rPr>
          <w:b w:val="0"/>
          <w:sz w:val="18"/>
          <w:lang w:val="en-GB"/>
        </w:rPr>
        <w:t xml:space="preserve">Notably, </w:t>
      </w:r>
      <w:r w:rsidRPr="006644A1">
        <w:rPr>
          <w:b w:val="0"/>
          <w:sz w:val="18"/>
          <w:lang w:val="en-GB"/>
        </w:rPr>
        <w:t>the percentage of this energy density recovered varies with the efficiency of the battery charge and discharge</w:t>
      </w:r>
      <w:r w:rsidR="008B7128" w:rsidRPr="006644A1">
        <w:rPr>
          <w:b w:val="0"/>
          <w:sz w:val="18"/>
          <w:lang w:val="en-GB"/>
        </w:rPr>
        <w:t xml:space="preserve"> phases</w:t>
      </w:r>
      <w:r w:rsidRPr="006644A1">
        <w:rPr>
          <w:b w:val="0"/>
          <w:sz w:val="18"/>
          <w:lang w:val="en-GB"/>
        </w:rPr>
        <w:t xml:space="preserve">. Many studies have been </w:t>
      </w:r>
      <w:r w:rsidR="00FF4A2B" w:rsidRPr="006644A1">
        <w:rPr>
          <w:b w:val="0"/>
          <w:sz w:val="18"/>
          <w:lang w:val="en-GB"/>
        </w:rPr>
        <w:t>carried out</w:t>
      </w:r>
      <w:r w:rsidRPr="006644A1">
        <w:rPr>
          <w:b w:val="0"/>
          <w:sz w:val="18"/>
          <w:lang w:val="en-GB"/>
        </w:rPr>
        <w:t xml:space="preserve"> in recent years focusing on BMED </w:t>
      </w:r>
      <w:r w:rsidR="001D4ED0" w:rsidRPr="006644A1">
        <w:rPr>
          <w:b w:val="0"/>
          <w:sz w:val="18"/>
          <w:lang w:val="en-GB"/>
        </w:rPr>
        <w:fldChar w:fldCharType="begin" w:fldLock="1"/>
      </w:r>
      <w:r w:rsidR="001D4ED0" w:rsidRPr="006644A1">
        <w:rPr>
          <w:b w:val="0"/>
          <w:sz w:val="18"/>
          <w:lang w:val="en-GB"/>
        </w:rPr>
        <w:instrText>ADDIN CSL_CITATION {"citationItems":[{"id":"ITEM-1","itemData":{"DOI":"10.1016/j.seppur.2020.116785","ISSN":"13835866","abstract":"Electromembrane technologies, such as electrodialysis with bipolar membranes (EDBM) have been widely proposed for the treatment and valorization of seawater reverse osmosis (SWRO) concentrated streams. The EDBM technology applied to brines produces acids (HCl) and bases (NaOH) with just two inputs: electric energy and brine. Thus, the reagents self-supply to the SWRO plant could be achieved, which definitively fits the principles of the Circular Economy. However, previous works have shown low concentration values of the produced acids and bases by EDBM, which undoubtedly hampers the possibility of its use in the SWRO plant. Therefore, the aim of the present work is to demonstrate the viability of a new strategy to valorise SWRO brine producing commercial HCl at 35 wt.% by means of the integration of EDBM technology under constant (galvanostatic, equivalent to the use of electrical energy from the grid mix) and variable current intensity (equivalent to the use of PV solar energy) and azeotropic distillation. Concentrations of HCl and NaOH up to ~3.3 mol·L−1 and ~3.6 mol·L−1 are obtained respectively, which are almost 50% higher than any other reported in the literature so far using this technology. The specific energy consumption of the EDBM unit was in the range of 21.8 kWh·kg−1 of HCl and 43.5 kWh·kg−1 of HCl, being dependant on the average applied current density. These HCl concentrations, although being acceptable for internal use in the SWRO plant, did not reach commercial levels (35 wt.% of HCl), so a further concentration stage using distillation has been evaluated through simulation. Minimum values of the overall EDBM plus distillation process specific energy consumption (SECOV) was between ~40 kWh·kg−1 and ~60 kWh·kg−1 of HCl. Moreover, the environmental burdens associated with the energy consumption are quantified in terms of the carbon footprint (CF). Although the SECOV is slightly higher, the use of PV solar energy instead of the grid mix let the process to provide a better environmental performance. The renewable alternative provides values between 1.61 kg CO2-eq.·kg−1 of HCl (full PV solar energy) and 6.97 kg CO2-eq.·kg−1 of HCl (PV solar energy and steam).","author":[{"dropping-particle":"","family":"Herrero-Gonzalez","given":"Marta","non-dropping-particle":"","parse-names":false,"suffix":""},{"dropping-particle":"","family":"Diaz-Guridi","given":"Pedro","non-dropping-particle":"","parse-names":false,"suffix":""},{"dropping-particle":"","family":"Dominguez-Ramos","given":"Antonio","non-dropping-particle":"","parse-names":false,"suffix":""},{"dropping-particle":"","family":"Irabien","given":"Angel","non-dropping-particle":"","parse-names":false,"suffix":""},{"dropping-particle":"","family":"Ibañez","given":"Raquel","non-dropping-particle":"","parse-names":false,"suffix":""}],"container-title":"Separation and Purification Technology","id":"ITEM-1","issued":{"date-parts":[["2020","7"]]},"page":"116785","title":"Highly concentrated HCl and NaOH from brines using electrodialysis with bipolar membranes","type":"article-journal","volume":"242"},"uris":["http://www.mendeley.com/documents/?uuid=5606e1ea-69ac-46ff-984f-b28890b5b042"]}],"mendeley":{"formattedCitation":"(Herrero-Gonzalez et al., 2020)","plainTextFormattedCitation":"(Herrero-Gonzalez et al., 2020)","previouslyFormattedCitation":"(Herrero-Gonzalez et al., 2020)"},"properties":{"noteIndex":0},"schema":"https://github.com/citation-style-language/schema/raw/master/csl-citation.json"}</w:instrText>
      </w:r>
      <w:r w:rsidR="001D4ED0" w:rsidRPr="006644A1">
        <w:rPr>
          <w:b w:val="0"/>
          <w:sz w:val="18"/>
          <w:lang w:val="en-GB"/>
        </w:rPr>
        <w:fldChar w:fldCharType="separate"/>
      </w:r>
      <w:r w:rsidR="001D4ED0" w:rsidRPr="006644A1">
        <w:rPr>
          <w:b w:val="0"/>
          <w:noProof/>
          <w:sz w:val="18"/>
          <w:lang w:val="en-GB"/>
        </w:rPr>
        <w:t>(Herrero-Gonzalez et al., 2020)</w:t>
      </w:r>
      <w:r w:rsidR="001D4ED0" w:rsidRPr="006644A1">
        <w:rPr>
          <w:b w:val="0"/>
          <w:sz w:val="18"/>
          <w:lang w:val="en-GB"/>
        </w:rPr>
        <w:fldChar w:fldCharType="end"/>
      </w:r>
      <w:r w:rsidRPr="006644A1">
        <w:rPr>
          <w:b w:val="0"/>
          <w:sz w:val="18"/>
          <w:lang w:val="en-GB"/>
        </w:rPr>
        <w:t xml:space="preserve"> (i.e., the AB-FB charge phase), </w:t>
      </w:r>
      <w:r w:rsidR="00FF4A2B" w:rsidRPr="006644A1">
        <w:rPr>
          <w:b w:val="0"/>
          <w:sz w:val="18"/>
          <w:lang w:val="en-GB"/>
        </w:rPr>
        <w:t>while only a few have been devoted to</w:t>
      </w:r>
      <w:r w:rsidRPr="006644A1">
        <w:rPr>
          <w:b w:val="0"/>
          <w:sz w:val="18"/>
          <w:lang w:val="en-GB"/>
        </w:rPr>
        <w:t xml:space="preserve"> BMRED </w:t>
      </w:r>
      <w:r w:rsidR="001D4ED0" w:rsidRPr="006644A1">
        <w:rPr>
          <w:b w:val="0"/>
          <w:sz w:val="18"/>
          <w:lang w:val="en-GB"/>
        </w:rPr>
        <w:fldChar w:fldCharType="begin" w:fldLock="1"/>
      </w:r>
      <w:r w:rsidR="0085345B" w:rsidRPr="006644A1">
        <w:rPr>
          <w:b w:val="0"/>
          <w:sz w:val="18"/>
          <w:lang w:val="en-GB"/>
        </w:rPr>
        <w:instrText>ADDIN CSL_CITATION {"citationItems":[{"id":"ITEM-1","itemData":{"DOI":"10.3390/en13205510","ISSN":"1996-1073","abstract":"Bipolar Membrane Reverse Electrodialysis (BMRED) can be used to produce electricity exploiting acid-base neutralization, thus representing a valuable route in reusing waste streams. The present work investigates the performance of a lab-scale BMRED module under several operating conditions. By feeding the stack with 1 M HCl and NaOH streams, a maximum power density of ~17 W m−2 was obtained at 100 A m−2 with a 10-triplet stack with a flow velocity of 1 cm s−1, while an energy density of ~10 kWh m−3 acid could be extracted by a complete neutralization. Parasitic currents along feed and drain manifolds significantly affected the performance of the stack when equipped with a higher number of triplets. The apparent permselectivity at 1 M acid and base decreased from 93% with the five-triplet stack to 54% with the 38-triplet stack, which exhibited lower values (~35% less) of power density. An important role may be played also by the presence of NaCl in the acidic and alkaline solutions. With a low number of triplets, the added salt had almost negligible effects. However, with a higher number of triplets it led to a reduction of 23.4–45.7% in power density. The risk of membrane delamination is another aspect that can limit the process performance. However, overall, the present results highlight the high potential of BMRED systems as a productive way of neutralizing waste solutions for energy harvesting.","author":[{"dropping-particle":"","family":"Zaffora","given":"Andrea","non-dropping-particle":"","parse-names":false,"suffix":""},{"dropping-particle":"","family":"Culcasi","given":"Andrea","non-dropping-particle":"","parse-names":false,"suffix":""},{"dropping-particle":"","family":"Gurreri","given":"Luigi","non-dropping-particle":"","parse-names":false,"suffix":""},{"dropping-particle":"","family":"Cosenza","given":"Alessandro","non-dropping-particle":"","parse-names":false,"suffix":""},{"dropping-particle":"","family":"Tamburini","given":"Alessandro","non-dropping-particle":"","parse-names":false,"suffix":""},{"dropping-particle":"","family":"Santamaria","given":"Monica","non-dropping-particle":"","parse-names":false,"suffix":""},{"dropping-particle":"","family":"Micale","given":"Giorgio","non-dropping-particle":"","parse-names":false,"suffix":""}],"container-title":"Energies","id":"ITEM-1","issue":"20","issued":{"date-parts":[["2020","10","21"]]},"page":"5510","title":"Energy Harvesting by Waste Acid/Base Neutralization via Bipolar Membrane Reverse Electrodialysis","type":"article-journal","volume":"13"},"uris":["http://www.mendeley.com/documents/?uuid=e4c7218d-aada-384e-b5d3-1fab5bd776eb"]}],"mendeley":{"formattedCitation":"(Zaffora et al., 2020)","plainTextFormattedCitation":"(Zaffora et al., 2020)","previouslyFormattedCitation":"(Zaffora et al., 2020)"},"properties":{"noteIndex":0},"schema":"https://github.com/citation-style-language/schema/raw/master/csl-citation.json"}</w:instrText>
      </w:r>
      <w:r w:rsidR="001D4ED0" w:rsidRPr="006644A1">
        <w:rPr>
          <w:b w:val="0"/>
          <w:sz w:val="18"/>
          <w:lang w:val="en-GB"/>
        </w:rPr>
        <w:fldChar w:fldCharType="separate"/>
      </w:r>
      <w:r w:rsidR="001D4ED0" w:rsidRPr="006644A1">
        <w:rPr>
          <w:b w:val="0"/>
          <w:noProof/>
          <w:sz w:val="18"/>
          <w:lang w:val="en-GB"/>
        </w:rPr>
        <w:t>(Zaffora et al., 2020)</w:t>
      </w:r>
      <w:r w:rsidR="001D4ED0" w:rsidRPr="006644A1">
        <w:rPr>
          <w:b w:val="0"/>
          <w:sz w:val="18"/>
          <w:lang w:val="en-GB"/>
        </w:rPr>
        <w:fldChar w:fldCharType="end"/>
      </w:r>
      <w:r w:rsidRPr="006644A1">
        <w:rPr>
          <w:b w:val="0"/>
          <w:sz w:val="18"/>
          <w:lang w:val="en-GB"/>
        </w:rPr>
        <w:t xml:space="preserve"> (i.e., the AB-FB discharge phase). In most of these </w:t>
      </w:r>
      <w:r w:rsidR="00FF4A2B" w:rsidRPr="006644A1">
        <w:rPr>
          <w:b w:val="0"/>
          <w:sz w:val="18"/>
          <w:lang w:val="en-GB"/>
        </w:rPr>
        <w:t>papers</w:t>
      </w:r>
      <w:r w:rsidRPr="006644A1">
        <w:rPr>
          <w:b w:val="0"/>
          <w:sz w:val="18"/>
          <w:lang w:val="en-GB"/>
        </w:rPr>
        <w:t xml:space="preserve">, experimental assessments have been </w:t>
      </w:r>
      <w:r w:rsidR="0088140A" w:rsidRPr="006644A1">
        <w:rPr>
          <w:b w:val="0"/>
          <w:sz w:val="18"/>
          <w:lang w:val="en-GB"/>
        </w:rPr>
        <w:t>conducted</w:t>
      </w:r>
      <w:r w:rsidRPr="006644A1">
        <w:rPr>
          <w:b w:val="0"/>
          <w:sz w:val="18"/>
          <w:lang w:val="en-GB"/>
        </w:rPr>
        <w:t xml:space="preserve"> under various operating parameters</w:t>
      </w:r>
      <w:r w:rsidR="001E3E61" w:rsidRPr="006644A1">
        <w:rPr>
          <w:b w:val="0"/>
          <w:sz w:val="18"/>
          <w:lang w:val="en-GB"/>
        </w:rPr>
        <w:t>,</w:t>
      </w:r>
      <w:r w:rsidRPr="006644A1">
        <w:rPr>
          <w:b w:val="0"/>
          <w:sz w:val="18"/>
          <w:lang w:val="en-GB"/>
        </w:rPr>
        <w:t xml:space="preserve"> such as </w:t>
      </w:r>
      <w:r w:rsidR="0088140A" w:rsidRPr="006644A1">
        <w:rPr>
          <w:b w:val="0"/>
          <w:sz w:val="18"/>
          <w:lang w:val="en-GB"/>
        </w:rPr>
        <w:t xml:space="preserve">differing </w:t>
      </w:r>
      <w:r w:rsidRPr="006644A1">
        <w:rPr>
          <w:b w:val="0"/>
          <w:sz w:val="18"/>
          <w:lang w:val="en-GB"/>
        </w:rPr>
        <w:t>electric current or flow rates</w:t>
      </w:r>
      <w:r w:rsidR="001E3E61" w:rsidRPr="006644A1">
        <w:rPr>
          <w:b w:val="0"/>
          <w:sz w:val="18"/>
          <w:lang w:val="en-GB"/>
        </w:rPr>
        <w:t>,</w:t>
      </w:r>
      <w:r w:rsidRPr="006644A1">
        <w:rPr>
          <w:b w:val="0"/>
          <w:sz w:val="18"/>
          <w:lang w:val="en-GB"/>
        </w:rPr>
        <w:t xml:space="preserve"> and </w:t>
      </w:r>
      <w:r w:rsidR="0088140A" w:rsidRPr="006644A1">
        <w:rPr>
          <w:b w:val="0"/>
          <w:sz w:val="18"/>
          <w:lang w:val="en-GB"/>
        </w:rPr>
        <w:t>using</w:t>
      </w:r>
      <w:r w:rsidRPr="006644A1">
        <w:rPr>
          <w:b w:val="0"/>
          <w:sz w:val="18"/>
          <w:lang w:val="en-GB"/>
        </w:rPr>
        <w:t xml:space="preserve"> variable stack dimensions</w:t>
      </w:r>
      <w:r w:rsidR="001E3E61" w:rsidRPr="006644A1">
        <w:rPr>
          <w:b w:val="0"/>
          <w:sz w:val="18"/>
          <w:lang w:val="en-GB"/>
        </w:rPr>
        <w:t>,</w:t>
      </w:r>
      <w:r w:rsidRPr="006644A1">
        <w:rPr>
          <w:b w:val="0"/>
          <w:sz w:val="18"/>
          <w:lang w:val="en-GB"/>
        </w:rPr>
        <w:t xml:space="preserve"> such as spacer sizes or triplet number</w:t>
      </w:r>
      <w:r w:rsidR="001E3E61" w:rsidRPr="006644A1">
        <w:rPr>
          <w:b w:val="0"/>
          <w:sz w:val="18"/>
          <w:lang w:val="en-GB"/>
        </w:rPr>
        <w:t>s</w:t>
      </w:r>
      <w:r w:rsidRPr="006644A1">
        <w:rPr>
          <w:b w:val="0"/>
          <w:sz w:val="18"/>
          <w:lang w:val="en-GB"/>
        </w:rPr>
        <w:t>. These investigations</w:t>
      </w:r>
      <w:proofErr w:type="gramStart"/>
      <w:r w:rsidRPr="006644A1">
        <w:rPr>
          <w:b w:val="0"/>
          <w:sz w:val="18"/>
          <w:lang w:val="en-GB"/>
        </w:rPr>
        <w:t xml:space="preserve">, in particular, </w:t>
      </w:r>
      <w:r w:rsidR="00021AA4" w:rsidRPr="006644A1">
        <w:rPr>
          <w:b w:val="0"/>
          <w:sz w:val="18"/>
          <w:lang w:val="en-GB"/>
        </w:rPr>
        <w:t>found</w:t>
      </w:r>
      <w:proofErr w:type="gramEnd"/>
      <w:r w:rsidRPr="006644A1">
        <w:rPr>
          <w:b w:val="0"/>
          <w:sz w:val="18"/>
          <w:lang w:val="en-GB"/>
        </w:rPr>
        <w:t xml:space="preserve"> </w:t>
      </w:r>
      <w:r w:rsidR="0022716C" w:rsidRPr="006644A1">
        <w:rPr>
          <w:b w:val="0"/>
          <w:sz w:val="18"/>
          <w:lang w:val="en-GB"/>
        </w:rPr>
        <w:t>links</w:t>
      </w:r>
      <w:r w:rsidRPr="006644A1">
        <w:rPr>
          <w:b w:val="0"/>
          <w:sz w:val="18"/>
          <w:lang w:val="en-GB"/>
        </w:rPr>
        <w:t xml:space="preserve"> between </w:t>
      </w:r>
      <w:r w:rsidR="00021AA4" w:rsidRPr="006644A1">
        <w:rPr>
          <w:b w:val="0"/>
          <w:sz w:val="18"/>
          <w:lang w:val="en-GB"/>
        </w:rPr>
        <w:t>the variation of</w:t>
      </w:r>
      <w:r w:rsidRPr="006644A1">
        <w:rPr>
          <w:b w:val="0"/>
          <w:sz w:val="18"/>
          <w:lang w:val="en-GB"/>
        </w:rPr>
        <w:t xml:space="preserve"> a process variable or a design parameter and </w:t>
      </w:r>
      <w:r w:rsidR="00021AA4" w:rsidRPr="006644A1">
        <w:rPr>
          <w:b w:val="0"/>
          <w:sz w:val="18"/>
          <w:lang w:val="en-GB"/>
        </w:rPr>
        <w:t xml:space="preserve">the </w:t>
      </w:r>
      <w:r w:rsidRPr="006644A1">
        <w:rPr>
          <w:b w:val="0"/>
          <w:sz w:val="18"/>
          <w:lang w:val="en-GB"/>
        </w:rPr>
        <w:t xml:space="preserve">unit performance. Despite the existence of correlations between the numerous process variables, none of the experimental studies could establish a set of parameters that maximise the performance of both the BMED and BMRED processes. </w:t>
      </w:r>
      <w:r w:rsidR="008F4BDA" w:rsidRPr="006644A1">
        <w:rPr>
          <w:b w:val="0"/>
          <w:sz w:val="18"/>
          <w:lang w:val="en-GB"/>
        </w:rPr>
        <w:t>In this regard</w:t>
      </w:r>
      <w:r w:rsidR="009471AD" w:rsidRPr="006644A1">
        <w:rPr>
          <w:b w:val="0"/>
          <w:sz w:val="18"/>
          <w:lang w:val="en-GB"/>
        </w:rPr>
        <w:t>, a</w:t>
      </w:r>
      <w:r w:rsidRPr="006644A1">
        <w:rPr>
          <w:b w:val="0"/>
          <w:sz w:val="18"/>
          <w:lang w:val="en-GB"/>
        </w:rPr>
        <w:t xml:space="preserve">n AB-FB predictive mathematical tool is a more effective and efficient method </w:t>
      </w:r>
      <w:r w:rsidR="00FF4A2B" w:rsidRPr="006644A1">
        <w:rPr>
          <w:b w:val="0"/>
          <w:sz w:val="18"/>
          <w:lang w:val="en-GB"/>
        </w:rPr>
        <w:t>to identify</w:t>
      </w:r>
      <w:r w:rsidRPr="006644A1">
        <w:rPr>
          <w:b w:val="0"/>
          <w:sz w:val="18"/>
          <w:lang w:val="en-GB"/>
        </w:rPr>
        <w:t xml:space="preserve"> </w:t>
      </w:r>
      <w:r w:rsidR="0022716C" w:rsidRPr="006644A1">
        <w:rPr>
          <w:b w:val="0"/>
          <w:sz w:val="18"/>
          <w:lang w:val="en-GB"/>
        </w:rPr>
        <w:t xml:space="preserve">the </w:t>
      </w:r>
      <w:r w:rsidRPr="006644A1">
        <w:rPr>
          <w:b w:val="0"/>
          <w:sz w:val="18"/>
          <w:lang w:val="en-GB"/>
        </w:rPr>
        <w:t xml:space="preserve">optimal process conditions. However, only a few </w:t>
      </w:r>
      <w:r w:rsidR="009471AD" w:rsidRPr="006644A1">
        <w:rPr>
          <w:b w:val="0"/>
          <w:sz w:val="18"/>
          <w:lang w:val="en-GB"/>
        </w:rPr>
        <w:t>works</w:t>
      </w:r>
      <w:r w:rsidRPr="006644A1">
        <w:rPr>
          <w:b w:val="0"/>
          <w:sz w:val="18"/>
          <w:lang w:val="en-GB"/>
        </w:rPr>
        <w:t xml:space="preserve"> in the literature </w:t>
      </w:r>
      <w:r w:rsidR="00C25B30" w:rsidRPr="006644A1">
        <w:rPr>
          <w:b w:val="0"/>
          <w:sz w:val="18"/>
          <w:lang w:val="en-GB"/>
        </w:rPr>
        <w:t>have been focused</w:t>
      </w:r>
      <w:r w:rsidRPr="006644A1">
        <w:rPr>
          <w:b w:val="0"/>
          <w:sz w:val="18"/>
          <w:lang w:val="en-GB"/>
        </w:rPr>
        <w:t xml:space="preserve"> on </w:t>
      </w:r>
      <w:r w:rsidR="00C25B30" w:rsidRPr="006644A1">
        <w:rPr>
          <w:b w:val="0"/>
          <w:sz w:val="18"/>
          <w:lang w:val="en-GB"/>
        </w:rPr>
        <w:t xml:space="preserve">the </w:t>
      </w:r>
      <w:r w:rsidRPr="006644A1">
        <w:rPr>
          <w:b w:val="0"/>
          <w:sz w:val="18"/>
          <w:lang w:val="en-GB"/>
        </w:rPr>
        <w:t xml:space="preserve">modelling the AB-FB. </w:t>
      </w:r>
      <w:r w:rsidR="009471AD" w:rsidRPr="006644A1">
        <w:rPr>
          <w:b w:val="0"/>
          <w:sz w:val="18"/>
          <w:lang w:val="en-GB"/>
        </w:rPr>
        <w:t>Moreover</w:t>
      </w:r>
      <w:r w:rsidRPr="006644A1">
        <w:rPr>
          <w:b w:val="0"/>
          <w:sz w:val="18"/>
          <w:lang w:val="en-GB"/>
        </w:rPr>
        <w:t xml:space="preserve">, none of these </w:t>
      </w:r>
      <w:r w:rsidR="009471AD" w:rsidRPr="006644A1">
        <w:rPr>
          <w:b w:val="0"/>
          <w:sz w:val="18"/>
          <w:lang w:val="en-GB"/>
        </w:rPr>
        <w:t>papers</w:t>
      </w:r>
      <w:r w:rsidRPr="006644A1">
        <w:rPr>
          <w:b w:val="0"/>
          <w:sz w:val="18"/>
          <w:lang w:val="en-GB"/>
        </w:rPr>
        <w:t xml:space="preserve"> </w:t>
      </w:r>
      <w:r w:rsidR="000E030D" w:rsidRPr="006644A1">
        <w:rPr>
          <w:b w:val="0"/>
          <w:sz w:val="18"/>
          <w:lang w:val="en-GB"/>
        </w:rPr>
        <w:t xml:space="preserve">has </w:t>
      </w:r>
      <w:r w:rsidRPr="006644A1">
        <w:rPr>
          <w:b w:val="0"/>
          <w:sz w:val="18"/>
          <w:lang w:val="en-GB"/>
        </w:rPr>
        <w:t>included an optimisation study on either BMED or BMRED</w:t>
      </w:r>
      <w:r w:rsidR="000E030D" w:rsidRPr="006644A1">
        <w:rPr>
          <w:b w:val="0"/>
          <w:sz w:val="18"/>
          <w:lang w:val="en-GB"/>
        </w:rPr>
        <w:t xml:space="preserve"> so far.</w:t>
      </w:r>
      <w:r w:rsidR="009471AD" w:rsidRPr="006644A1">
        <w:rPr>
          <w:b w:val="0"/>
          <w:sz w:val="18"/>
          <w:lang w:val="en-GB"/>
        </w:rPr>
        <w:t xml:space="preserve"> </w:t>
      </w:r>
      <w:r w:rsidR="000E030D" w:rsidRPr="006644A1">
        <w:rPr>
          <w:b w:val="0"/>
          <w:sz w:val="18"/>
          <w:lang w:val="en-GB"/>
        </w:rPr>
        <w:t>Existing</w:t>
      </w:r>
      <w:r w:rsidRPr="006644A1">
        <w:rPr>
          <w:b w:val="0"/>
          <w:sz w:val="18"/>
          <w:lang w:val="en-GB"/>
        </w:rPr>
        <w:t xml:space="preserve"> optimisation</w:t>
      </w:r>
      <w:r w:rsidR="009471AD" w:rsidRPr="006644A1">
        <w:rPr>
          <w:b w:val="0"/>
          <w:sz w:val="18"/>
          <w:lang w:val="en-GB"/>
        </w:rPr>
        <w:t xml:space="preserve"> research</w:t>
      </w:r>
      <w:r w:rsidRPr="006644A1">
        <w:rPr>
          <w:b w:val="0"/>
          <w:sz w:val="18"/>
          <w:lang w:val="en-GB"/>
        </w:rPr>
        <w:t xml:space="preserve"> </w:t>
      </w:r>
      <w:r w:rsidR="000E030D" w:rsidRPr="006644A1">
        <w:rPr>
          <w:b w:val="0"/>
          <w:sz w:val="18"/>
          <w:lang w:val="en-GB"/>
        </w:rPr>
        <w:t xml:space="preserve">have been </w:t>
      </w:r>
      <w:r w:rsidR="009471AD" w:rsidRPr="006644A1">
        <w:rPr>
          <w:b w:val="0"/>
          <w:sz w:val="18"/>
          <w:lang w:val="en-GB"/>
        </w:rPr>
        <w:t>focused on</w:t>
      </w:r>
      <w:r w:rsidRPr="006644A1">
        <w:rPr>
          <w:b w:val="0"/>
          <w:sz w:val="18"/>
          <w:lang w:val="en-GB"/>
        </w:rPr>
        <w:t xml:space="preserve"> </w:t>
      </w:r>
      <w:r w:rsidR="009471AD" w:rsidRPr="006644A1">
        <w:rPr>
          <w:b w:val="0"/>
          <w:sz w:val="18"/>
          <w:lang w:val="en-GB"/>
        </w:rPr>
        <w:t>conventional</w:t>
      </w:r>
      <w:r w:rsidRPr="006644A1">
        <w:rPr>
          <w:b w:val="0"/>
          <w:sz w:val="18"/>
          <w:lang w:val="en-GB"/>
        </w:rPr>
        <w:t xml:space="preserve"> electrodialysis</w:t>
      </w:r>
      <w:r w:rsidR="00E8213E" w:rsidRPr="006644A1">
        <w:rPr>
          <w:b w:val="0"/>
          <w:sz w:val="18"/>
          <w:lang w:val="en-GB"/>
        </w:rPr>
        <w:t xml:space="preserve"> </w:t>
      </w:r>
      <w:r w:rsidR="00E8213E" w:rsidRPr="006644A1">
        <w:rPr>
          <w:b w:val="0"/>
          <w:sz w:val="18"/>
          <w:lang w:val="en-GB"/>
        </w:rPr>
        <w:fldChar w:fldCharType="begin" w:fldLock="1"/>
      </w:r>
      <w:r w:rsidR="0085345B" w:rsidRPr="006644A1">
        <w:rPr>
          <w:b w:val="0"/>
          <w:sz w:val="18"/>
          <w:lang w:val="en-GB"/>
        </w:rPr>
        <w:instrText>ADDIN CSL_CITATION {"citationItems":[{"id":"ITEM-1","itemData":{"DOI":"10.1080/00986445.2019.1674817","ISSN":"0098-6445","abstract":"Empty fruit bunch (EFB) can be utilized to produce sugar via hydrochloric acid (HCl) hydrolysis where the HCl must be concentrated to retain the pure sugar. Electrodialysis (ED) is an effective method for acid-sugar separation and has to be optimized to ensure that the most economical operation can be achieved. However, ED batch optimization consists of conflicting multiple objectives that are required to be solved as a dynamic multi-objective optimization (MOO) problem. In the past, the dynamic optimization of acid-sugar ED separation was carried out by solving a single objective optimization problem in sequence but this approach could not be accomplished with different objective functions simultaneously. In this work, the results of the MOO which consist of a number of optimal solutions are configured as a Pareto Front (PF). The weighted sum, the ε-constraint, and the elitist non-dominated sorting genetic algorithm or NSGA-II approaches are applied to solve the conflicting objectives functions i.e. minimization of energy consumption and maximization of acid concentration These result in a set of several Pareto optimal solutions with two objectives: maximizing concentrated acid ranging from 1.89 M to 2.1 M is accompanied by minimizing energy consumption ranging from 630 Wh to 848 Wh. Each point of the Pareto solutions contains a different combination of optimal current density and flowrate trajectories which promotes a different amount of energy consumption and acid concentration. This set of solutions provides choices in assessing the tradeoffs and determining the most appropriate operating policy.","author":[{"dropping-particle":"","family":"Rohman","given":"Fakhrony Sholahudin","non-dropping-particle":"","parse-names":false,"suffix":""},{"dropping-particle":"","family":"Aziz","given":"Norashid","non-dropping-particle":"","parse-names":false,"suffix":""}],"container-title":"Chemical Engineering Communications","id":"ITEM-1","issue":"4","issued":{"date-parts":[["2021","4","3"]]},"page":"517-529","title":"Performance metrics analysis of dynamic multi-objective optimization for energy consumption and productivity improvement in batch electrodialysis","type":"article-journal","volume":"208"},"uris":["http://www.mendeley.com/documents/?uuid=578c22bf-72b4-4ab5-84b4-b81eb04ad90f"]}],"mendeley":{"formattedCitation":"(Rohman and Aziz, 2021)","plainTextFormattedCitation":"(Rohman and Aziz, 2021)","previouslyFormattedCitation":"(Rohman and Aziz, 2021)"},"properties":{"noteIndex":0},"schema":"https://github.com/citation-style-language/schema/raw/master/csl-citation.json"}</w:instrText>
      </w:r>
      <w:r w:rsidR="00E8213E" w:rsidRPr="006644A1">
        <w:rPr>
          <w:b w:val="0"/>
          <w:sz w:val="18"/>
          <w:lang w:val="en-GB"/>
        </w:rPr>
        <w:fldChar w:fldCharType="separate"/>
      </w:r>
      <w:r w:rsidR="00154237" w:rsidRPr="006644A1">
        <w:rPr>
          <w:b w:val="0"/>
          <w:noProof/>
          <w:sz w:val="18"/>
          <w:lang w:val="en-GB"/>
        </w:rPr>
        <w:t>(Rohman and Aziz, 2021)</w:t>
      </w:r>
      <w:r w:rsidR="00E8213E" w:rsidRPr="006644A1">
        <w:rPr>
          <w:b w:val="0"/>
          <w:sz w:val="18"/>
          <w:lang w:val="en-GB"/>
        </w:rPr>
        <w:fldChar w:fldCharType="end"/>
      </w:r>
      <w:r w:rsidRPr="006644A1">
        <w:rPr>
          <w:b w:val="0"/>
          <w:sz w:val="18"/>
          <w:lang w:val="en-GB"/>
        </w:rPr>
        <w:t xml:space="preserve"> and reverse electrodialysis processes</w:t>
      </w:r>
      <w:r w:rsidR="00E8213E" w:rsidRPr="006644A1">
        <w:rPr>
          <w:b w:val="0"/>
          <w:sz w:val="18"/>
          <w:lang w:val="en-GB"/>
        </w:rPr>
        <w:t xml:space="preserve"> </w:t>
      </w:r>
      <w:r w:rsidR="00E8213E" w:rsidRPr="006644A1">
        <w:rPr>
          <w:b w:val="0"/>
          <w:sz w:val="18"/>
          <w:lang w:val="en-GB"/>
        </w:rPr>
        <w:fldChar w:fldCharType="begin" w:fldLock="1"/>
      </w:r>
      <w:r w:rsidR="00154237" w:rsidRPr="006644A1">
        <w:rPr>
          <w:b w:val="0"/>
          <w:sz w:val="18"/>
          <w:lang w:val="en-GB"/>
        </w:rPr>
        <w:instrText>ADDIN CSL_CITATION {"citationItems":[{"id":"ITEM-1","itemData":{"DOI":"10.1016/j.energy.2018.06.067","ISSN":"03605442","abstract":"In this paper, the optimal channel geometry and flow rate of the concentrated and diluted solutions under the maximum net power output for the reverse electrodialysis (RED) stacks at a confined size are systematically investigated. A model considering the change in volume flow rate along the flow direction is employed to illustrate the process of the RED stack. For systematisms, under the maximum net power output, we first consider the optimal channel thicknesses at a given identical inlet flow rate and then the optimal channel thicknesses and flow rates. The profiles of flow rate, concentration, power density, and hydrodynamic loss along the flow direction are discussed. The net power output and energy efficiency for different membranes under the above two optimization situations are analyzed and compared. The results reveal that the optimal channel thickness of the high-concentration (HC) compartment is slightly larger than that of the low-concentration (LC) compartment for a given identical inlet flow rate. When both channel thickness and flow rate are optimized, the optimal channel thicknesses and volume flow rates of the HC compartment are, respectively, less than those of the LC compartment and the net power output and energy efficiency are significantly improved.","author":[{"dropping-particle":"","family":"Long","given":"Rui","non-dropping-particle":"","parse-names":false,"suffix":""},{"dropping-particle":"","family":"Li","given":"Baode","non-dropping-particle":"","parse-names":false,"suffix":""},{"dropping-particle":"","family":"Liu","given":"Zhichun","non-dropping-particle":"","parse-names":false,"suffix":""},{"dropping-particle":"","family":"Liu","given":"Wei","non-dropping-particle":"","parse-names":false,"suffix":""}],"container-title":"Energy","id":"ITEM-1","issued":{"date-parts":[["2018","9"]]},"page":"427-436","title":"Performance analysis of reverse electrodialysis stacks: Channel geometry and flow rate optimization","type":"article-journal","volume":"158"},"uris":["http://www.mendeley.com/documents/?uuid=3a78ad92-b581-4d2e-a571-3a1b3bb946e4"]}],"mendeley":{"formattedCitation":"(Long et al., 2018)","plainTextFormattedCitation":"(Long et al., 2018)","previouslyFormattedCitation":"(Long et al., 2018)"},"properties":{"noteIndex":0},"schema":"https://github.com/citation-style-language/schema/raw/master/csl-citation.json"}</w:instrText>
      </w:r>
      <w:r w:rsidR="00E8213E" w:rsidRPr="006644A1">
        <w:rPr>
          <w:b w:val="0"/>
          <w:sz w:val="18"/>
          <w:lang w:val="en-GB"/>
        </w:rPr>
        <w:fldChar w:fldCharType="separate"/>
      </w:r>
      <w:r w:rsidR="00E8213E" w:rsidRPr="006644A1">
        <w:rPr>
          <w:b w:val="0"/>
          <w:noProof/>
          <w:sz w:val="18"/>
          <w:lang w:val="en-GB"/>
        </w:rPr>
        <w:t>(Long et al., 2018)</w:t>
      </w:r>
      <w:r w:rsidR="00E8213E" w:rsidRPr="006644A1">
        <w:rPr>
          <w:b w:val="0"/>
          <w:sz w:val="18"/>
          <w:lang w:val="en-GB"/>
        </w:rPr>
        <w:fldChar w:fldCharType="end"/>
      </w:r>
      <w:r w:rsidR="000E030D" w:rsidRPr="006644A1">
        <w:rPr>
          <w:b w:val="0"/>
          <w:sz w:val="18"/>
          <w:lang w:val="en-GB"/>
        </w:rPr>
        <w:t xml:space="preserve"> only</w:t>
      </w:r>
      <w:r w:rsidRPr="006644A1">
        <w:rPr>
          <w:b w:val="0"/>
          <w:sz w:val="18"/>
          <w:lang w:val="en-GB"/>
        </w:rPr>
        <w:t xml:space="preserve">. </w:t>
      </w:r>
      <w:r w:rsidR="00237F77" w:rsidRPr="006644A1">
        <w:rPr>
          <w:b w:val="0"/>
          <w:sz w:val="18"/>
          <w:lang w:val="en-GB"/>
        </w:rPr>
        <w:t xml:space="preserve">Past single-objective and multi-objective optimisation studies </w:t>
      </w:r>
      <w:r w:rsidR="000E030D" w:rsidRPr="006644A1">
        <w:rPr>
          <w:b w:val="0"/>
          <w:sz w:val="18"/>
          <w:lang w:val="en-GB"/>
        </w:rPr>
        <w:t xml:space="preserve">have </w:t>
      </w:r>
      <w:r w:rsidR="00237F77" w:rsidRPr="006644A1">
        <w:rPr>
          <w:b w:val="0"/>
          <w:sz w:val="18"/>
          <w:lang w:val="en-GB"/>
        </w:rPr>
        <w:t xml:space="preserve">used the final product concentration, energy consumption, and costs as the objective functions for conventional electrodialysis, and these studies </w:t>
      </w:r>
      <w:r w:rsidR="000E030D" w:rsidRPr="006644A1">
        <w:rPr>
          <w:b w:val="0"/>
          <w:sz w:val="18"/>
          <w:lang w:val="en-GB"/>
        </w:rPr>
        <w:t>were</w:t>
      </w:r>
      <w:r w:rsidR="00237F77" w:rsidRPr="006644A1">
        <w:rPr>
          <w:b w:val="0"/>
          <w:sz w:val="18"/>
          <w:lang w:val="en-GB"/>
        </w:rPr>
        <w:t xml:space="preserve"> carried out using a variety of methodologies. </w:t>
      </w:r>
      <w:r w:rsidRPr="006644A1">
        <w:rPr>
          <w:b w:val="0"/>
          <w:sz w:val="18"/>
          <w:lang w:val="en-GB"/>
        </w:rPr>
        <w:t xml:space="preserve">For example, the optimisation strategies </w:t>
      </w:r>
      <w:r w:rsidR="000E030D" w:rsidRPr="006644A1">
        <w:rPr>
          <w:b w:val="0"/>
          <w:sz w:val="18"/>
          <w:lang w:val="en-GB"/>
        </w:rPr>
        <w:t xml:space="preserve">adopted have included </w:t>
      </w:r>
      <w:r w:rsidR="00E8213E" w:rsidRPr="006644A1">
        <w:rPr>
          <w:b w:val="0"/>
          <w:sz w:val="18"/>
          <w:lang w:val="en-GB"/>
        </w:rPr>
        <w:t xml:space="preserve">Multi-Objective </w:t>
      </w:r>
      <w:r w:rsidR="000E030D" w:rsidRPr="006644A1">
        <w:rPr>
          <w:b w:val="0"/>
          <w:sz w:val="18"/>
          <w:lang w:val="en-GB"/>
        </w:rPr>
        <w:t>G</w:t>
      </w:r>
      <w:r w:rsidRPr="006644A1">
        <w:rPr>
          <w:b w:val="0"/>
          <w:sz w:val="18"/>
          <w:lang w:val="en-GB"/>
        </w:rPr>
        <w:t xml:space="preserve">enetic </w:t>
      </w:r>
      <w:r w:rsidR="000E030D" w:rsidRPr="006644A1">
        <w:rPr>
          <w:b w:val="0"/>
          <w:sz w:val="18"/>
          <w:lang w:val="en-GB"/>
        </w:rPr>
        <w:t>A</w:t>
      </w:r>
      <w:r w:rsidRPr="006644A1">
        <w:rPr>
          <w:b w:val="0"/>
          <w:sz w:val="18"/>
          <w:lang w:val="en-GB"/>
        </w:rPr>
        <w:t>lgorithm</w:t>
      </w:r>
      <w:r w:rsidR="00E8213E" w:rsidRPr="006644A1">
        <w:rPr>
          <w:b w:val="0"/>
          <w:sz w:val="18"/>
          <w:lang w:val="en-GB"/>
        </w:rPr>
        <w:t xml:space="preserve"> (MOGA) m</w:t>
      </w:r>
      <w:r w:rsidRPr="006644A1">
        <w:rPr>
          <w:b w:val="0"/>
          <w:sz w:val="18"/>
          <w:lang w:val="en-GB"/>
        </w:rPr>
        <w:t xml:space="preserve">ethod </w:t>
      </w:r>
      <w:r w:rsidR="001D4ED0" w:rsidRPr="006644A1">
        <w:rPr>
          <w:b w:val="0"/>
          <w:sz w:val="18"/>
          <w:lang w:val="en-GB"/>
        </w:rPr>
        <w:fldChar w:fldCharType="begin" w:fldLock="1"/>
      </w:r>
      <w:r w:rsidR="00407196" w:rsidRPr="006644A1">
        <w:rPr>
          <w:b w:val="0"/>
          <w:sz w:val="18"/>
          <w:lang w:val="en-GB"/>
        </w:rPr>
        <w:instrText>ADDIN CSL_CITATION {"citationItems":[{"id":"ITEM-1","itemData":{"DOI":"10.1007/s11947-012-0914-6","ISSN":"19355130","abstract":"Electrodialysis (ED) has been proposed as a means to reduce sodium ion concentration in fish sauce. However, no information is so far available on the optimum condition to operate the ED process. Artificial neural network (ANN)-based models were therefore developed to predict the ED performance and changes in selected quality attributes of ED-treated fish sauce; optimum operating condition of the process was then determined via multi-objective optimization using genetic algorithm (MOGA). The optimal ANN models were able to predict the ED performance with R 2 = 0.995, fish sauce basic characteristics with R 2 = 0.992, and the concentrations of total aroma compounds and total amino acids, flavor difference, and saltiness of the treated fish sauce with R 2 = 0.999. Through the use of MOGA, the optimum condition of the ED process was the use of an applied voltage of 6.3 V and the maintenance of the residual salt concentration of the treated fish sauce of 14.3 % (w/w). © 2012 Springer Science+Business Media, LLC.","author":[{"dropping-particle":"","family":"Chindapan","given":"Nathamol","non-dropping-particle":"","parse-names":false,"suffix":""},{"dropping-particle":"","family":"Sablani","given":"Shyam S.","non-dropping-particle":"","parse-names":false,"suffix":""},{"dropping-particle":"","family":"Chiewchan","given":"Naphaporn","non-dropping-particle":"","parse-names":false,"suffix":""},{"dropping-particle":"","family":"Devahastin","given":"Sakamon","non-dropping-particle":"","parse-names":false,"suffix":""}],"container-title":"Food and Bioprocess Technology","id":"ITEM-1","issue":"10","issued":{"date-parts":[["2013"]]},"page":"2695-2707","title":"Modeling and Optimization of Electrodialytic Desalination of Fish Sauce Using Artificial Neural Networks and Genetic Algorithm","type":"article-journal","volume":"6"},"uris":["http://www.mendeley.com/documents/?uuid=714ac771-dc82-45f9-8e82-e39a883bfd9d"]}],"mendeley":{"formattedCitation":"(Chindapan et al., 2013)","plainTextFormattedCitation":"(Chindapan et al., 2013)","previouslyFormattedCitation":"(Chindapan et al., 2013)"},"properties":{"noteIndex":0},"schema":"https://github.com/citation-style-language/schema/raw/master/csl-citation.json"}</w:instrText>
      </w:r>
      <w:r w:rsidR="001D4ED0" w:rsidRPr="006644A1">
        <w:rPr>
          <w:b w:val="0"/>
          <w:sz w:val="18"/>
          <w:lang w:val="en-GB"/>
        </w:rPr>
        <w:fldChar w:fldCharType="separate"/>
      </w:r>
      <w:r w:rsidR="001D4ED0" w:rsidRPr="006644A1">
        <w:rPr>
          <w:b w:val="0"/>
          <w:noProof/>
          <w:sz w:val="18"/>
          <w:lang w:val="en-GB"/>
        </w:rPr>
        <w:t>(Chindapan et al., 2013)</w:t>
      </w:r>
      <w:r w:rsidR="001D4ED0" w:rsidRPr="006644A1">
        <w:rPr>
          <w:b w:val="0"/>
          <w:sz w:val="18"/>
          <w:lang w:val="en-GB"/>
        </w:rPr>
        <w:fldChar w:fldCharType="end"/>
      </w:r>
      <w:r w:rsidRPr="006644A1">
        <w:rPr>
          <w:b w:val="0"/>
          <w:sz w:val="18"/>
          <w:lang w:val="en-GB"/>
        </w:rPr>
        <w:t xml:space="preserve">, Particle Swarm Optimization (PSO) </w:t>
      </w:r>
      <w:r w:rsidR="00407196" w:rsidRPr="006644A1">
        <w:rPr>
          <w:b w:val="0"/>
          <w:sz w:val="18"/>
          <w:lang w:val="en-GB"/>
        </w:rPr>
        <w:fldChar w:fldCharType="begin" w:fldLock="1"/>
      </w:r>
      <w:r w:rsidR="0085345B" w:rsidRPr="006644A1">
        <w:rPr>
          <w:b w:val="0"/>
          <w:sz w:val="18"/>
          <w:lang w:val="en-GB"/>
        </w:rPr>
        <w:instrText>ADDIN CSL_CITATION {"citationItems":[{"id":"ITEM-1","itemData":{"DOI":"10.1016/j.desal.2018.04.018","ISSN":"00119164","abstract":"This paper presents a robust analytical model for brackish water desalination using electrodialysis (ED), with prediction of the desalination rate, limiting current density, and total energy use including pumping energy. Several assumptions reduce computation time and accurately model ED system behavior. The predicted desalination rate, limiting current density, and total energy usage agree with measurements across two diverse ED stack designs, differing in total membrane area (0.18 m2, 37.1 m2), membrane manufacturers (GE Water, PCA GmbH), and flow channel spacers. The commercial-scale stack was additionally tested with real groundwater, demonstrating that brackish groundwater may be modeled as an equivalent concentration NaCl solution. Sensitivity to the membrane diffusion coefficient, area available for ion transport, level of discretization along the flow channel length, boundary layer and membrane resistances, and water transport are analyzed to guide empirical characterization when higher accuracy is required. No single existing model for pressure drop in the membrane spacers could accurately predict pumping power in both stacks. One model for each stack was found to reasonably approximate pressure drop, however experimental validation of specific spacer designs is recommended. The fully quantitative, parametric description of electrodialysis behavior presented forms a useful tool to design, evaluate, and optimize ED systems.","author":[{"dropping-particle":"","family":"Wright","given":"Natasha C.","non-dropping-particle":"","parse-names":false,"suffix":""},{"dropping-particle":"","family":"Shah","given":"Sahil R.","non-dropping-particle":"","parse-names":false,"suffix":""},{"dropping-particle":"","family":"Amrose","given":"Susan E.","non-dropping-particle":"","parse-names":false,"suffix":""},{"dropping-particle":"","family":"Winter","given":"Amos G.","non-dropping-particle":"","parse-names":false,"suffix":""}],"container-title":"Desalination","id":"ITEM-1","issued":{"date-parts":[["2018","10"]]},"page":"27-43","title":"A robust model of brackish water electrodialysis desalination with experimental comparison at different size scales","type":"article-journal","volume":"443"},"uris":["http://www.mendeley.com/documents/?uuid=8831875d-2b3f-4495-a451-2484514cf25c"]}],"mendeley":{"formattedCitation":"(Wright et al., 2018)","plainTextFormattedCitation":"(Wright et al., 2018)","previouslyFormattedCitation":"(Wright et al., 2018)"},"properties":{"noteIndex":0},"schema":"https://github.com/citation-style-language/schema/raw/master/csl-citation.json"}</w:instrText>
      </w:r>
      <w:r w:rsidR="00407196" w:rsidRPr="006644A1">
        <w:rPr>
          <w:b w:val="0"/>
          <w:sz w:val="18"/>
          <w:lang w:val="en-GB"/>
        </w:rPr>
        <w:fldChar w:fldCharType="separate"/>
      </w:r>
      <w:r w:rsidR="00407196" w:rsidRPr="006644A1">
        <w:rPr>
          <w:b w:val="0"/>
          <w:noProof/>
          <w:sz w:val="18"/>
          <w:lang w:val="en-GB"/>
        </w:rPr>
        <w:t>(Wright et al., 2018)</w:t>
      </w:r>
      <w:r w:rsidR="00407196" w:rsidRPr="006644A1">
        <w:rPr>
          <w:b w:val="0"/>
          <w:sz w:val="18"/>
          <w:lang w:val="en-GB"/>
        </w:rPr>
        <w:fldChar w:fldCharType="end"/>
      </w:r>
      <w:r w:rsidRPr="006644A1">
        <w:rPr>
          <w:b w:val="0"/>
          <w:sz w:val="18"/>
          <w:lang w:val="en-GB"/>
        </w:rPr>
        <w:t xml:space="preserve">, and Response Surface Methodology (RSM) </w:t>
      </w:r>
      <w:r w:rsidR="00407196" w:rsidRPr="006644A1">
        <w:rPr>
          <w:b w:val="0"/>
          <w:sz w:val="18"/>
          <w:lang w:val="en-GB"/>
        </w:rPr>
        <w:fldChar w:fldCharType="begin" w:fldLock="1"/>
      </w:r>
      <w:r w:rsidR="00154237" w:rsidRPr="006644A1">
        <w:rPr>
          <w:b w:val="0"/>
          <w:sz w:val="18"/>
          <w:lang w:val="en-GB"/>
        </w:rPr>
        <w:instrText>ADDIN CSL_CITATION {"citationItems":[{"id":"ITEM-1","itemData":{"DOI":"10.2166/wst.2020.105","ISSN":"0273-1223","PMID":"32333662","abstract":"Boron removal from water containing 5 mg L−1 of boron using electrodialysis (ED) was studied as a function of several parameters such as flow rates, initial pH, coexisting anions and ED time. An ED cell, equipped with three cation exchange membranes (fumasep FKB) and two anion exchange membranes (fumasep FAB), was applied. The central composite design, which is the standard design of response surface methodology, was used to evaluate the effects and interactions of studied factors on boron removal efficiency. The effectiveness of the considered design parameters was well examined to find the optimum condition. The experimental data obtained were analyzed by analysis of variance for the polynomial model with 95% confidence level. Boron removal by ED showed to be independent of the electrodialysis time, whereas flow rate as well as the pH of the feed solution and also the coexisting anions on the feed solution play a significant role on the deboronation efficiency. According to the desirability function, the maximum response of 43.5% was predicted for boron removal at a pH equal to 10, a flow rate of 10 L h−1, a ratio between sulfates and that of boron equal to 2 and a reaction time of 25 minutes.","author":[{"dropping-particle":"","family":"Guesmi","given":"Fatma","non-dropping-particle":"","parse-names":false,"suffix":""},{"dropping-particle":"","family":"Louati","given":"Islem","non-dropping-particle":"","parse-names":false,"suffix":""},{"dropping-particle":"","family":"Hannachi","given":"Chiraz","non-dropping-particle":"","parse-names":false,"suffix":""},{"dropping-particle":"","family":"Hamrouni","given":"Béchir","non-dropping-particle":"","parse-names":false,"suffix":""}],"container-title":"Water Science and Technology","id":"ITEM-1","issue":"2","issued":{"date-parts":[["2020","1","15"]]},"page":"293-300","title":"Optimization of boron removal from water by electrodialysis using response surface methodology","type":"article-journal","volume":"81"},"uris":["http://www.mendeley.com/documents/?uuid=11c0d13d-dfe3-40f0-b2aa-16807d19bd0f"]}],"mendeley":{"formattedCitation":"(Guesmi et al., 2020)","plainTextFormattedCitation":"(Guesmi et al., 2020)","previouslyFormattedCitation":"(Guesmi et al., 2020)"},"properties":{"noteIndex":0},"schema":"https://github.com/citation-style-language/schema/raw/master/csl-citation.json"}</w:instrText>
      </w:r>
      <w:r w:rsidR="00407196" w:rsidRPr="006644A1">
        <w:rPr>
          <w:b w:val="0"/>
          <w:sz w:val="18"/>
          <w:lang w:val="en-GB"/>
        </w:rPr>
        <w:fldChar w:fldCharType="separate"/>
      </w:r>
      <w:r w:rsidR="00407196" w:rsidRPr="006644A1">
        <w:rPr>
          <w:b w:val="0"/>
          <w:noProof/>
          <w:sz w:val="18"/>
          <w:lang w:val="en-GB"/>
        </w:rPr>
        <w:t>(Guesmi et al., 2020)</w:t>
      </w:r>
      <w:r w:rsidR="00407196" w:rsidRPr="006644A1">
        <w:rPr>
          <w:b w:val="0"/>
          <w:sz w:val="18"/>
          <w:lang w:val="en-GB"/>
        </w:rPr>
        <w:fldChar w:fldCharType="end"/>
      </w:r>
      <w:r w:rsidRPr="006644A1">
        <w:rPr>
          <w:b w:val="0"/>
          <w:sz w:val="18"/>
          <w:lang w:val="en-GB"/>
        </w:rPr>
        <w:t xml:space="preserve">. In conventional reverse electrodialysis, the objective functions </w:t>
      </w:r>
      <w:r w:rsidR="00237F77" w:rsidRPr="006644A1">
        <w:rPr>
          <w:b w:val="0"/>
          <w:sz w:val="18"/>
          <w:lang w:val="en-GB"/>
        </w:rPr>
        <w:t>are</w:t>
      </w:r>
      <w:r w:rsidRPr="006644A1">
        <w:rPr>
          <w:b w:val="0"/>
          <w:sz w:val="18"/>
          <w:lang w:val="en-GB"/>
        </w:rPr>
        <w:t xml:space="preserve"> mainly net power density and energy efficiency</w:t>
      </w:r>
      <w:r w:rsidR="00237F77" w:rsidRPr="006644A1">
        <w:rPr>
          <w:b w:val="0"/>
          <w:sz w:val="18"/>
          <w:lang w:val="en-GB"/>
        </w:rPr>
        <w:t>, and m</w:t>
      </w:r>
      <w:r w:rsidRPr="006644A1">
        <w:rPr>
          <w:b w:val="0"/>
          <w:sz w:val="18"/>
          <w:lang w:val="en-GB"/>
        </w:rPr>
        <w:t xml:space="preserve">ethods such as the genetic algorithm </w:t>
      </w:r>
      <w:r w:rsidR="003324BE" w:rsidRPr="006644A1">
        <w:rPr>
          <w:b w:val="0"/>
          <w:sz w:val="18"/>
          <w:lang w:val="en-GB"/>
        </w:rPr>
        <w:fldChar w:fldCharType="begin" w:fldLock="1"/>
      </w:r>
      <w:r w:rsidR="00154237" w:rsidRPr="006644A1">
        <w:rPr>
          <w:b w:val="0"/>
          <w:sz w:val="18"/>
          <w:lang w:val="en-GB"/>
        </w:rPr>
        <w:instrText>ADDIN CSL_CITATION {"citationItems":[{"id":"ITEM-1","itemData":{"DOI":"10.1016/j.energy.2018.06.067","ISSN":"03605442","abstract":"In this paper, the optimal channel geometry and flow rate of the concentrated and diluted solutions under the maximum net power output for the reverse electrodialysis (RED) stacks at a confined size are systematically investigated. A model considering the change in volume flow rate along the flow direction is employed to illustrate the process of the RED stack. For systematisms, under the maximum net power output, we first consider the optimal channel thicknesses at a given identical inlet flow rate and then the optimal channel thicknesses and flow rates. The profiles of flow rate, concentration, power density, and hydrodynamic loss along the flow direction are discussed. The net power output and energy efficiency for different membranes under the above two optimization situations are analyzed and compared. The results reveal that the optimal channel thickness of the high-concentration (HC) compartment is slightly larger than that of the low-concentration (LC) compartment for a given identical inlet flow rate. When both channel thickness and flow rate are optimized, the optimal channel thicknesses and volume flow rates of the HC compartment are, respectively, less than those of the LC compartment and the net power output and energy efficiency are significantly improved.","author":[{"dropping-particle":"","family":"Long","given":"Rui","non-dropping-particle":"","parse-names":false,"suffix":""},{"dropping-particle":"","family":"Li","given":"Baode","non-dropping-particle":"","parse-names":false,"suffix":""},{"dropping-particle":"","family":"Liu","given":"Zhichun","non-dropping-particle":"","parse-names":false,"suffix":""},{"dropping-particle":"","family":"Liu","given":"Wei","non-dropping-particle":"","parse-names":false,"suffix":""}],"container-title":"Energy","id":"ITEM-1","issued":{"date-parts":[["2018","9"]]},"page":"427-436","title":"Performance analysis of reverse electrodialysis stacks: Channel geometry and flow rate optimization","type":"article-journal","volume":"158"},"uris":["http://www.mendeley.com/documents/?uuid=3a78ad92-b581-4d2e-a571-3a1b3bb946e4"]}],"mendeley":{"formattedCitation":"(Long et al., 2018)","plainTextFormattedCitation":"(Long et al., 2018)","previouslyFormattedCitation":"(Long et al., 2018)"},"properties":{"noteIndex":0},"schema":"https://github.com/citation-style-language/schema/raw/master/csl-citation.json"}</w:instrText>
      </w:r>
      <w:r w:rsidR="003324BE" w:rsidRPr="006644A1">
        <w:rPr>
          <w:b w:val="0"/>
          <w:sz w:val="18"/>
          <w:lang w:val="en-GB"/>
        </w:rPr>
        <w:fldChar w:fldCharType="separate"/>
      </w:r>
      <w:r w:rsidR="003324BE" w:rsidRPr="006644A1">
        <w:rPr>
          <w:b w:val="0"/>
          <w:noProof/>
          <w:sz w:val="18"/>
          <w:lang w:val="en-GB"/>
        </w:rPr>
        <w:t>(Long et al., 2018)</w:t>
      </w:r>
      <w:r w:rsidR="003324BE" w:rsidRPr="006644A1">
        <w:rPr>
          <w:b w:val="0"/>
          <w:sz w:val="18"/>
          <w:lang w:val="en-GB"/>
        </w:rPr>
        <w:fldChar w:fldCharType="end"/>
      </w:r>
      <w:r w:rsidRPr="006644A1">
        <w:rPr>
          <w:b w:val="0"/>
          <w:sz w:val="18"/>
          <w:lang w:val="en-GB"/>
        </w:rPr>
        <w:t xml:space="preserve"> or the gradient ascent algorithm </w:t>
      </w:r>
      <w:r w:rsidR="003324BE" w:rsidRPr="006644A1">
        <w:rPr>
          <w:b w:val="0"/>
          <w:sz w:val="18"/>
          <w:lang w:val="en-GB"/>
        </w:rPr>
        <w:fldChar w:fldCharType="begin" w:fldLock="1"/>
      </w:r>
      <w:r w:rsidR="003324BE" w:rsidRPr="006644A1">
        <w:rPr>
          <w:b w:val="0"/>
          <w:sz w:val="18"/>
          <w:lang w:val="en-GB"/>
        </w:rPr>
        <w:instrText>ADDIN CSL_CITATION {"citationItems":[{"id":"ITEM-1","itemData":{"DOI":"https://doi.org/10.1016/j.energy.2019.05.183","abstract":"Reverse Electrodialysis (RED) extracts electrical energy from the salinity difference between two solu- tions using selective ion exchange membranes. In RED, conditions yielding a large net power density (NPD) are generally desired, due to the still large cost of the membranes. NPD depends on a large number ofphysical and geometric parameters. Some of these, for example the inlet concentrations of concentrate and diluate, can be regarded as “scenario” variables, imposed by external constraints (e.g., availability) or chosen by different criteria than NPD maximization. Others, namely the thicknesses HCONC, HDIL and the velocities UCONC, UDIL in the concentrate and diluate channels, can be regarded as free design parameters and can be chosen so as to maximize NPD. In the present study, a simplified model of a RED stack was coupled with an optimization algorithm in order to determine the conditions of maximum NPD in the space of the variables HCONC, HDIL,UCONC, UDIL for different sets of “scenario” variables. The study shows that an optimal choice of the free design parameters for any given scenario, as opposed to the adoption of standard fixed values for the same parameters, may provide significant improvements in NPD.","author":[{"dropping-particle":"","family":"Ciofalo","given":"Michele","non-dropping-particle":"","parse-names":false,"suffix":""},{"dropping-particle":"","family":"Cerva","given":"Mariagiorgia","non-dropping-particle":"La","parse-names":false,"suffix":""},{"dropping-particle":"","family":"Liberto","given":"Massimiliano","non-dropping-particle":"Di","parse-names":false,"suffix":""},{"dropping-particle":"","family":"Gurreri","given":"Luigi","non-dropping-particle":"","parse-names":false,"suffix":""},{"dropping-particle":"","family":"Cipollina","given":"Andrea","non-dropping-particle":"","parse-names":false,"suffix":""},{"dropping-particle":"","family":"Micale","given":"Giorgio","non-dropping-particle":"","parse-names":false,"suffix":""}],"container-title":"Energy","id":"ITEM-1","issued":{"date-parts":[["2019"]]},"page":"576-588","title":"Optimization of net power density in Reverse Electrodialysis","type":"article-journal","volume":"181"},"uris":["http://www.mendeley.com/documents/?uuid=d34655d1-5415-4a49-a85d-e377a23970eb"]}],"mendeley":{"formattedCitation":"(Ciofalo et al., 2019)","plainTextFormattedCitation":"(Ciofalo et al., 2019)","previouslyFormattedCitation":"(Ciofalo et al., 2019)"},"properties":{"noteIndex":0},"schema":"https://github.com/citation-style-language/schema/raw/master/csl-citation.json"}</w:instrText>
      </w:r>
      <w:r w:rsidR="003324BE" w:rsidRPr="006644A1">
        <w:rPr>
          <w:b w:val="0"/>
          <w:sz w:val="18"/>
          <w:lang w:val="en-GB"/>
        </w:rPr>
        <w:fldChar w:fldCharType="separate"/>
      </w:r>
      <w:r w:rsidR="003324BE" w:rsidRPr="006644A1">
        <w:rPr>
          <w:b w:val="0"/>
          <w:noProof/>
          <w:sz w:val="18"/>
          <w:lang w:val="en-GB"/>
        </w:rPr>
        <w:t>(Ciofalo et al., 2019)</w:t>
      </w:r>
      <w:r w:rsidR="003324BE" w:rsidRPr="006644A1">
        <w:rPr>
          <w:b w:val="0"/>
          <w:sz w:val="18"/>
          <w:lang w:val="en-GB"/>
        </w:rPr>
        <w:fldChar w:fldCharType="end"/>
      </w:r>
      <w:r w:rsidRPr="006644A1">
        <w:rPr>
          <w:b w:val="0"/>
          <w:sz w:val="18"/>
          <w:lang w:val="en-GB"/>
        </w:rPr>
        <w:t xml:space="preserve"> </w:t>
      </w:r>
      <w:r w:rsidR="00237F77" w:rsidRPr="006644A1">
        <w:rPr>
          <w:b w:val="0"/>
          <w:sz w:val="18"/>
          <w:lang w:val="en-GB"/>
        </w:rPr>
        <w:t>have been</w:t>
      </w:r>
      <w:r w:rsidRPr="006644A1">
        <w:rPr>
          <w:b w:val="0"/>
          <w:sz w:val="18"/>
          <w:lang w:val="en-GB"/>
        </w:rPr>
        <w:t xml:space="preserve"> used. The AB-FB must be optimised </w:t>
      </w:r>
      <w:proofErr w:type="gramStart"/>
      <w:r w:rsidRPr="006644A1">
        <w:rPr>
          <w:b w:val="0"/>
          <w:sz w:val="18"/>
          <w:lang w:val="en-GB"/>
        </w:rPr>
        <w:t>in order to</w:t>
      </w:r>
      <w:proofErr w:type="gramEnd"/>
      <w:r w:rsidRPr="006644A1">
        <w:rPr>
          <w:b w:val="0"/>
          <w:sz w:val="18"/>
          <w:lang w:val="en-GB"/>
        </w:rPr>
        <w:t xml:space="preserve"> boost the battery competitiveness. </w:t>
      </w:r>
      <w:r w:rsidR="000E030D" w:rsidRPr="006644A1">
        <w:rPr>
          <w:b w:val="0"/>
          <w:sz w:val="18"/>
          <w:lang w:val="en-GB"/>
        </w:rPr>
        <w:t>Different</w:t>
      </w:r>
      <w:r w:rsidRPr="006644A1">
        <w:rPr>
          <w:b w:val="0"/>
          <w:sz w:val="18"/>
          <w:lang w:val="en-GB"/>
        </w:rPr>
        <w:t xml:space="preserve"> combinations of operating and design characteristics considerably affect the performance of the unit during both phases (i.e., charge and discharge)</w:t>
      </w:r>
      <w:r w:rsidR="00237F77" w:rsidRPr="006644A1">
        <w:rPr>
          <w:b w:val="0"/>
          <w:sz w:val="18"/>
          <w:lang w:val="en-GB"/>
        </w:rPr>
        <w:t>, and</w:t>
      </w:r>
      <w:r w:rsidRPr="006644A1">
        <w:rPr>
          <w:b w:val="0"/>
          <w:sz w:val="18"/>
          <w:lang w:val="en-GB"/>
        </w:rPr>
        <w:t xml:space="preserve"> </w:t>
      </w:r>
      <w:r w:rsidR="00237F77" w:rsidRPr="006644A1">
        <w:rPr>
          <w:b w:val="0"/>
          <w:sz w:val="18"/>
          <w:lang w:val="en-GB"/>
        </w:rPr>
        <w:t>t</w:t>
      </w:r>
      <w:r w:rsidRPr="006644A1">
        <w:rPr>
          <w:b w:val="0"/>
          <w:sz w:val="18"/>
          <w:lang w:val="en-GB"/>
        </w:rPr>
        <w:t xml:space="preserve">hese settings may potentially have opposing effects on performance. The </w:t>
      </w:r>
      <w:proofErr w:type="gramStart"/>
      <w:r w:rsidRPr="006644A1">
        <w:rPr>
          <w:b w:val="0"/>
          <w:sz w:val="18"/>
          <w:lang w:val="en-GB"/>
        </w:rPr>
        <w:t>Round Trip</w:t>
      </w:r>
      <w:proofErr w:type="gramEnd"/>
      <w:r w:rsidRPr="006644A1">
        <w:rPr>
          <w:b w:val="0"/>
          <w:sz w:val="18"/>
          <w:lang w:val="en-GB"/>
        </w:rPr>
        <w:t xml:space="preserve"> Efficiency and average </w:t>
      </w:r>
      <w:r w:rsidR="00A65278" w:rsidRPr="006644A1">
        <w:rPr>
          <w:b w:val="0"/>
          <w:sz w:val="18"/>
          <w:lang w:val="en-GB"/>
        </w:rPr>
        <w:t xml:space="preserve">net discharge </w:t>
      </w:r>
      <w:r w:rsidRPr="006644A1">
        <w:rPr>
          <w:b w:val="0"/>
          <w:sz w:val="18"/>
          <w:lang w:val="en-GB"/>
        </w:rPr>
        <w:t xml:space="preserve">power density are the primary performance indicators of an </w:t>
      </w:r>
      <w:r w:rsidR="00237F77" w:rsidRPr="006644A1">
        <w:rPr>
          <w:b w:val="0"/>
          <w:sz w:val="18"/>
          <w:lang w:val="en-GB"/>
        </w:rPr>
        <w:t xml:space="preserve">AB-FB. </w:t>
      </w:r>
      <w:r w:rsidRPr="006644A1">
        <w:rPr>
          <w:b w:val="0"/>
          <w:sz w:val="18"/>
          <w:lang w:val="en-GB"/>
        </w:rPr>
        <w:t xml:space="preserve">Furthermore, pumping power may be relevant in terms of energy consumption, particularly during the discharge phase, when maximising the energy </w:t>
      </w:r>
      <w:r w:rsidR="00FF4AF8" w:rsidRPr="006644A1">
        <w:rPr>
          <w:b w:val="0"/>
          <w:sz w:val="18"/>
          <w:lang w:val="en-GB"/>
        </w:rPr>
        <w:t xml:space="preserve">delivery </w:t>
      </w:r>
      <w:r w:rsidRPr="006644A1">
        <w:rPr>
          <w:b w:val="0"/>
          <w:sz w:val="18"/>
          <w:lang w:val="en-GB"/>
        </w:rPr>
        <w:t>is critical. As a result, power losses must</w:t>
      </w:r>
      <w:r w:rsidR="00237F77" w:rsidRPr="006644A1">
        <w:rPr>
          <w:b w:val="0"/>
          <w:sz w:val="18"/>
          <w:lang w:val="en-GB"/>
        </w:rPr>
        <w:t xml:space="preserve"> be</w:t>
      </w:r>
      <w:r w:rsidRPr="006644A1">
        <w:rPr>
          <w:b w:val="0"/>
          <w:sz w:val="18"/>
          <w:lang w:val="en-GB"/>
        </w:rPr>
        <w:t xml:space="preserve"> </w:t>
      </w:r>
      <w:r w:rsidR="00237F77" w:rsidRPr="006644A1">
        <w:rPr>
          <w:b w:val="0"/>
          <w:sz w:val="18"/>
          <w:lang w:val="en-GB"/>
        </w:rPr>
        <w:t>minimised</w:t>
      </w:r>
      <w:r w:rsidRPr="006644A1">
        <w:rPr>
          <w:b w:val="0"/>
          <w:sz w:val="18"/>
          <w:lang w:val="en-GB"/>
        </w:rPr>
        <w:t xml:space="preserve">. A previously validated AB-FB multi-scale model </w:t>
      </w:r>
      <w:r w:rsidR="00F26193" w:rsidRPr="006644A1">
        <w:rPr>
          <w:b w:val="0"/>
          <w:sz w:val="18"/>
          <w:lang w:val="en-GB"/>
        </w:rPr>
        <w:fldChar w:fldCharType="begin" w:fldLock="1"/>
      </w:r>
      <w:r w:rsidR="00C7343A" w:rsidRPr="006644A1">
        <w:rPr>
          <w:b w:val="0"/>
          <w:sz w:val="18"/>
          <w:lang w:val="en-GB"/>
        </w:rPr>
        <w:instrText>ADDIN CSL_CITATION {"citationItems":[{"id":"ITEM-1","itemData":{"DOI":"10.3303/CET2186232","ISBN":"978-88-95608-84-6","ISSN":"2283-9216","abstract":"In the context of renewable energy sources, storage systems have been proposed as a solution to the issues related to fluctuations in the production and consumption of electric power. The EU funded BAoBaB project is aimed at developing the Acid/Base Flow battery (AB-FB), an environment-friendly, cost-competitive, grid-scale battery storage system based on the cyclic coupling of Bipolar Membrane ElectroDialysis (BMED) and its reverse, the Bipolar Membrane Reverse ElectroDialysis (BMRED) (Pärnamäe et al., 2020). Bipolar membranes promote catalytically water dissociation, thus allowing the storage of electric power in the form of acidic and alkaline solutions (pH gradient), obtained from their corresponding salt (charging mode-BMED), which are then recombined to provide electrical power (discharging mode-BMRED). The membranes are key elements for the process performance; however, the energy conversion efficiency is also affected by the operating parameters of the process and the design features of the stack. In this work, we performed a sensitivity analysis by a mathematical multi-scale model previously developed (Culcasi et al., 2020a). The performance of AB-FB systems was predicted, focusing on the Round Trip Efficiency. Results showed that proper design features made the effect of parasitic currents negligible. Moreover, proper operating conditions maximized the RTE up to 66%.","author":[{"dropping-particle":"","family":"Culcasi","given":"Andrea","non-dropping-particle":"","parse-names":false,"suffix":""},{"dropping-particle":"","family":"Gurreri","given":"Luigi","non-dropping-particle":"","parse-names":false,"suffix":""},{"dropping-particle":"","family":"Tamburini","given":"Alessandro","non-dropping-particle":"","parse-names":false,"suffix":""},{"dropping-particle":"","family":"Cipollina","given":"Andrea","non-dropping-particle":"","parse-names":false,"suffix":""},{"dropping-particle":"","family":"Micale","given":"Giorgio","non-dropping-particle":"","parse-names":false,"suffix":""}],"container-title":"Chemical Engineering Transactions","id":"ITEM-1","issue":"April","issued":{"date-parts":[["2021"]]},"page":"1387-1392","title":"Effect of Design Features and Operating Conditions on the Performance of a Bipolar Membrane-Based Acid/Base Flow Battery","type":"article-journal","volume":"86"},"uris":["http://www.mendeley.com/documents/?uuid=6389505f-3649-412b-ae73-110c00916040"]}],"mendeley":{"formattedCitation":"(Culcasi et al., 2021b)","plainTextFormattedCitation":"(Culcasi et al., 2021b)","previouslyFormattedCitation":"(Culcasi et al., 2021b)"},"properties":{"noteIndex":0},"schema":"https://github.com/citation-style-language/schema/raw/master/csl-citation.json"}</w:instrText>
      </w:r>
      <w:r w:rsidR="00F26193" w:rsidRPr="006644A1">
        <w:rPr>
          <w:b w:val="0"/>
          <w:sz w:val="18"/>
          <w:lang w:val="en-GB"/>
        </w:rPr>
        <w:fldChar w:fldCharType="separate"/>
      </w:r>
      <w:r w:rsidR="00F26193" w:rsidRPr="006644A1">
        <w:rPr>
          <w:b w:val="0"/>
          <w:noProof/>
          <w:sz w:val="18"/>
          <w:lang w:val="en-GB"/>
        </w:rPr>
        <w:t>(Culcasi et al., 2021b)</w:t>
      </w:r>
      <w:r w:rsidR="00F26193" w:rsidRPr="006644A1">
        <w:rPr>
          <w:b w:val="0"/>
          <w:sz w:val="18"/>
          <w:lang w:val="en-GB"/>
        </w:rPr>
        <w:fldChar w:fldCharType="end"/>
      </w:r>
      <w:r w:rsidRPr="006644A1">
        <w:rPr>
          <w:b w:val="0"/>
          <w:sz w:val="18"/>
          <w:lang w:val="en-GB"/>
        </w:rPr>
        <w:t xml:space="preserve"> </w:t>
      </w:r>
      <w:r w:rsidR="00FF4AF8" w:rsidRPr="006644A1">
        <w:rPr>
          <w:b w:val="0"/>
          <w:sz w:val="18"/>
          <w:lang w:val="en-GB"/>
        </w:rPr>
        <w:t xml:space="preserve">was employed </w:t>
      </w:r>
      <w:r w:rsidRPr="006644A1">
        <w:rPr>
          <w:b w:val="0"/>
          <w:sz w:val="18"/>
          <w:lang w:val="en-GB"/>
        </w:rPr>
        <w:t xml:space="preserve">in this work to </w:t>
      </w:r>
      <w:r w:rsidR="00FF4AF8" w:rsidRPr="006644A1">
        <w:rPr>
          <w:b w:val="0"/>
          <w:sz w:val="18"/>
          <w:lang w:val="en-GB"/>
        </w:rPr>
        <w:t>carry out</w:t>
      </w:r>
      <w:r w:rsidRPr="006644A1">
        <w:rPr>
          <w:b w:val="0"/>
          <w:sz w:val="18"/>
          <w:lang w:val="en-GB"/>
        </w:rPr>
        <w:t xml:space="preserve"> a bi-objective optimisation study of the system. Up to eight operating and design decision variables were </w:t>
      </w:r>
      <w:r w:rsidR="00BC5820" w:rsidRPr="006644A1">
        <w:rPr>
          <w:b w:val="0"/>
          <w:sz w:val="18"/>
          <w:lang w:val="en-GB"/>
        </w:rPr>
        <w:t xml:space="preserve">simultaneously </w:t>
      </w:r>
      <w:r w:rsidRPr="006644A1">
        <w:rPr>
          <w:b w:val="0"/>
          <w:sz w:val="18"/>
          <w:lang w:val="en-GB"/>
        </w:rPr>
        <w:t>var</w:t>
      </w:r>
      <w:r w:rsidR="00AE338E" w:rsidRPr="006644A1">
        <w:rPr>
          <w:b w:val="0"/>
          <w:sz w:val="18"/>
          <w:lang w:val="en-GB"/>
        </w:rPr>
        <w:t>ied</w:t>
      </w:r>
      <w:r w:rsidRPr="006644A1">
        <w:rPr>
          <w:b w:val="0"/>
          <w:sz w:val="18"/>
          <w:lang w:val="en-GB"/>
        </w:rPr>
        <w:t xml:space="preserve"> </w:t>
      </w:r>
      <w:proofErr w:type="gramStart"/>
      <w:r w:rsidRPr="006644A1">
        <w:rPr>
          <w:b w:val="0"/>
          <w:sz w:val="18"/>
          <w:lang w:val="en-GB"/>
        </w:rPr>
        <w:t>in order to</w:t>
      </w:r>
      <w:proofErr w:type="gramEnd"/>
      <w:r w:rsidRPr="006644A1">
        <w:rPr>
          <w:b w:val="0"/>
          <w:sz w:val="18"/>
          <w:lang w:val="en-GB"/>
        </w:rPr>
        <w:t xml:space="preserve"> maximise</w:t>
      </w:r>
      <w:r w:rsidR="00BB26EC" w:rsidRPr="006644A1">
        <w:rPr>
          <w:b w:val="0"/>
          <w:sz w:val="18"/>
          <w:lang w:val="en-GB"/>
        </w:rPr>
        <w:t xml:space="preserve"> </w:t>
      </w:r>
      <w:r w:rsidR="00F072C5" w:rsidRPr="006644A1">
        <w:rPr>
          <w:b w:val="0"/>
          <w:sz w:val="18"/>
          <w:lang w:val="en-GB"/>
        </w:rPr>
        <w:t>the net Round Trip Efficiency and the average net discharge power density.</w:t>
      </w:r>
    </w:p>
    <w:p w14:paraId="5741900F" w14:textId="0786BF19" w:rsidR="00453E24" w:rsidRPr="006644A1" w:rsidRDefault="00E87AF9" w:rsidP="00B41FE7">
      <w:pPr>
        <w:pStyle w:val="CETHeading1"/>
      </w:pPr>
      <w:r w:rsidRPr="006644A1">
        <w:t>Method</w:t>
      </w:r>
    </w:p>
    <w:p w14:paraId="63B7303B" w14:textId="37470F5E" w:rsidR="001521FB" w:rsidRPr="006644A1" w:rsidRDefault="0028212B" w:rsidP="001521FB">
      <w:r w:rsidRPr="006644A1">
        <w:t xml:space="preserve">The operation of the AB-FB is influenced by a variety of </w:t>
      </w:r>
      <w:r w:rsidR="00BC5820" w:rsidRPr="006644A1">
        <w:t xml:space="preserve">detrimental </w:t>
      </w:r>
      <w:r w:rsidRPr="006644A1">
        <w:t xml:space="preserve">phenomena </w:t>
      </w:r>
      <w:r w:rsidR="00BC5820" w:rsidRPr="006644A1">
        <w:t xml:space="preserve">which </w:t>
      </w:r>
      <w:r w:rsidRPr="006644A1">
        <w:t xml:space="preserve">must be </w:t>
      </w:r>
      <w:r w:rsidR="00BC5820" w:rsidRPr="006644A1">
        <w:t>suitably</w:t>
      </w:r>
      <w:r w:rsidRPr="006644A1">
        <w:t xml:space="preserve"> minimised.</w:t>
      </w:r>
      <w:r w:rsidR="001521FB" w:rsidRPr="006644A1">
        <w:t xml:space="preserve"> These include the transport of co-ions due to the non-ideal behaviour</w:t>
      </w:r>
      <w:r w:rsidRPr="006644A1">
        <w:t xml:space="preserve"> of the membranes</w:t>
      </w:r>
      <w:r w:rsidR="001521FB" w:rsidRPr="006644A1">
        <w:t>. The osmotic and electro-osmotic flow</w:t>
      </w:r>
      <w:r w:rsidRPr="006644A1">
        <w:t>s</w:t>
      </w:r>
      <w:r w:rsidR="001521FB" w:rsidRPr="006644A1">
        <w:t xml:space="preserve"> are other </w:t>
      </w:r>
      <w:r w:rsidRPr="006644A1">
        <w:t>deleterious</w:t>
      </w:r>
      <w:r w:rsidR="001521FB" w:rsidRPr="006644A1">
        <w:t xml:space="preserve"> phenomena associated with water transport. Another phenomenon is concentration polarisation in the boundary layer, which results in different </w:t>
      </w:r>
      <w:r w:rsidR="00BC5820" w:rsidRPr="006644A1">
        <w:t>ion</w:t>
      </w:r>
      <w:r w:rsidR="001521FB" w:rsidRPr="006644A1">
        <w:t xml:space="preserve"> concentrations at </w:t>
      </w:r>
      <w:r w:rsidRPr="006644A1">
        <w:t xml:space="preserve">the </w:t>
      </w:r>
      <w:r w:rsidR="001521FB" w:rsidRPr="006644A1">
        <w:t>solution-membrane interfaces</w:t>
      </w:r>
      <w:r w:rsidRPr="006644A1">
        <w:t xml:space="preserve"> compared to the bulk concentrations</w:t>
      </w:r>
      <w:r w:rsidR="001521FB" w:rsidRPr="006644A1">
        <w:t xml:space="preserve">. Furthermore, shunt currents via manifolds have a significant impact on </w:t>
      </w:r>
      <w:r w:rsidR="00BC5820" w:rsidRPr="006644A1">
        <w:t xml:space="preserve">the </w:t>
      </w:r>
      <w:r w:rsidR="001521FB" w:rsidRPr="006644A1">
        <w:t xml:space="preserve">performance. To accurately predict the energy efficiency of an AB-FB, the energy </w:t>
      </w:r>
      <w:r w:rsidRPr="006644A1">
        <w:t>required</w:t>
      </w:r>
      <w:r w:rsidR="001521FB" w:rsidRPr="006644A1">
        <w:t xml:space="preserve"> to pump the electrolytic solutions </w:t>
      </w:r>
      <w:r w:rsidRPr="006644A1">
        <w:t xml:space="preserve">through the battery </w:t>
      </w:r>
      <w:r w:rsidR="001521FB" w:rsidRPr="006644A1">
        <w:t xml:space="preserve">must be considered, particularly during the battery discharge phase. The model used in this work was </w:t>
      </w:r>
      <w:r w:rsidR="008D22C0" w:rsidRPr="006644A1">
        <w:t>developed</w:t>
      </w:r>
      <w:r w:rsidR="001521FB" w:rsidRPr="006644A1">
        <w:t xml:space="preserve"> with a multi-scale structure, specifically</w:t>
      </w:r>
      <w:r w:rsidR="008D22C0" w:rsidRPr="006644A1">
        <w:t xml:space="preserve"> with</w:t>
      </w:r>
      <w:r w:rsidR="001521FB" w:rsidRPr="006644A1">
        <w:t xml:space="preserve"> four-dimensional scales. Some scales also include one or more </w:t>
      </w:r>
      <w:r w:rsidR="008D22C0" w:rsidRPr="006644A1">
        <w:t>sub-</w:t>
      </w:r>
      <w:r w:rsidR="001521FB" w:rsidRPr="006644A1">
        <w:t xml:space="preserve">levels that aim to simulate </w:t>
      </w:r>
      <w:r w:rsidR="001521FB" w:rsidRPr="006644A1">
        <w:lastRenderedPageBreak/>
        <w:t xml:space="preserve">specific battery components. </w:t>
      </w:r>
      <w:r w:rsidR="008D22C0" w:rsidRPr="006644A1">
        <w:t>T</w:t>
      </w:r>
      <w:r w:rsidR="001521FB" w:rsidRPr="006644A1">
        <w:t>his model requires membrane properties and battery design characteristics</w:t>
      </w:r>
      <w:r w:rsidR="008D22C0" w:rsidRPr="006644A1">
        <w:t xml:space="preserve"> as input</w:t>
      </w:r>
      <w:r w:rsidR="001521FB" w:rsidRPr="006644A1">
        <w:t xml:space="preserve">. </w:t>
      </w:r>
      <w:r w:rsidR="008D22C0" w:rsidRPr="006644A1">
        <w:t xml:space="preserve">In our previous work, we </w:t>
      </w:r>
      <w:r w:rsidR="001521FB" w:rsidRPr="006644A1">
        <w:t>presented</w:t>
      </w:r>
      <w:r w:rsidR="008D22C0" w:rsidRPr="006644A1">
        <w:t xml:space="preserve"> this model</w:t>
      </w:r>
      <w:r w:rsidR="001521FB" w:rsidRPr="006644A1">
        <w:t xml:space="preserve"> and experimentally validated </w:t>
      </w:r>
      <w:r w:rsidR="008D22C0" w:rsidRPr="006644A1">
        <w:t xml:space="preserve">it </w:t>
      </w:r>
      <w:r w:rsidR="001521FB" w:rsidRPr="006644A1">
        <w:t xml:space="preserve">under various operating conditions. A bi-objective optimisation study was carried out in this work </w:t>
      </w:r>
      <w:proofErr w:type="gramStart"/>
      <w:r w:rsidR="001521FB" w:rsidRPr="006644A1">
        <w:t>in order to</w:t>
      </w:r>
      <w:proofErr w:type="gramEnd"/>
      <w:r w:rsidR="001521FB" w:rsidRPr="006644A1">
        <w:t xml:space="preserve"> maximise the net Round </w:t>
      </w:r>
      <w:r w:rsidR="00CE5E99" w:rsidRPr="006644A1">
        <w:rPr>
          <w:lang w:val="en-US"/>
        </w:rPr>
        <w:t>Trip Efficiency (</w:t>
      </w:r>
      <w:proofErr w:type="spellStart"/>
      <w:r w:rsidR="00CE5E99" w:rsidRPr="006644A1">
        <w:rPr>
          <w:lang w:val="en-US"/>
        </w:rPr>
        <w:t>RTE</w:t>
      </w:r>
      <w:r w:rsidR="00CE5E99" w:rsidRPr="006644A1">
        <w:rPr>
          <w:vertAlign w:val="subscript"/>
          <w:lang w:val="en-US"/>
        </w:rPr>
        <w:t>net</w:t>
      </w:r>
      <w:proofErr w:type="spellEnd"/>
      <w:r w:rsidR="00CE5E99" w:rsidRPr="006644A1">
        <w:rPr>
          <w:lang w:val="en-US"/>
        </w:rPr>
        <w:t>) and the average net discharge power density (</w:t>
      </w:r>
      <w:proofErr w:type="spellStart"/>
      <w:r w:rsidR="00CE5E99" w:rsidRPr="006644A1">
        <w:rPr>
          <w:lang w:val="en-US"/>
        </w:rPr>
        <w:t>NPD</w:t>
      </w:r>
      <w:r w:rsidR="00CE5E99" w:rsidRPr="006644A1">
        <w:rPr>
          <w:vertAlign w:val="subscript"/>
          <w:lang w:val="en-US"/>
        </w:rPr>
        <w:t>d</w:t>
      </w:r>
      <w:proofErr w:type="spellEnd"/>
      <w:r w:rsidR="00CE5E99" w:rsidRPr="006644A1">
        <w:rPr>
          <w:lang w:val="en-US"/>
        </w:rPr>
        <w:t xml:space="preserve">). The net quantities accounted for </w:t>
      </w:r>
      <w:r w:rsidR="001521FB" w:rsidRPr="006644A1">
        <w:t xml:space="preserve">the power consumed in pumping the solutions. The optimisation study was conducted using the </w:t>
      </w:r>
      <w:proofErr w:type="spellStart"/>
      <w:r w:rsidR="001521FB" w:rsidRPr="006644A1">
        <w:t>gPROMS</w:t>
      </w:r>
      <w:proofErr w:type="spellEnd"/>
      <w:r w:rsidR="001521FB" w:rsidRPr="006644A1">
        <w:t xml:space="preserve"> Model Builder® platform. The objective functions were computed using the </w:t>
      </w:r>
      <w:r w:rsidR="008D22C0" w:rsidRPr="006644A1">
        <w:t xml:space="preserve">following </w:t>
      </w:r>
      <w:r w:rsidR="001521FB" w:rsidRPr="006644A1">
        <w:t>equations</w:t>
      </w:r>
      <w:r w:rsidR="008D22C0" w:rsidRPr="006644A1">
        <w:t>:</w:t>
      </w:r>
    </w:p>
    <w:tbl>
      <w:tblPr>
        <w:tblStyle w:val="Grigliatabella"/>
        <w:tblW w:w="50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7601"/>
        <w:gridCol w:w="617"/>
      </w:tblGrid>
      <w:tr w:rsidR="001521FB" w:rsidRPr="006644A1" w14:paraId="274676AB" w14:textId="77777777" w:rsidTr="00C7343A">
        <w:trPr>
          <w:trHeight w:val="274"/>
          <w:jc w:val="center"/>
        </w:trPr>
        <w:tc>
          <w:tcPr>
            <w:tcW w:w="350" w:type="pct"/>
          </w:tcPr>
          <w:p w14:paraId="5ED41438" w14:textId="77777777" w:rsidR="001521FB" w:rsidRPr="006644A1" w:rsidRDefault="001521FB" w:rsidP="00790C78"/>
        </w:tc>
        <w:tc>
          <w:tcPr>
            <w:tcW w:w="4301" w:type="pct"/>
          </w:tcPr>
          <w:p w14:paraId="0918A328" w14:textId="77777777" w:rsidR="001521FB" w:rsidRPr="006644A1" w:rsidRDefault="001521FB" w:rsidP="00790C78">
            <w:pPr>
              <w:jc w:val="center"/>
            </w:pPr>
            <m:oMathPara>
              <m:oMathParaPr>
                <m:jc m:val="center"/>
              </m:oMathParaPr>
              <m:oMath>
                <m:r>
                  <w:rPr>
                    <w:rFonts w:ascii="Cambria Math" w:hAnsi="Cambria Math"/>
                    <w:spacing w:val="-3"/>
                    <w:lang w:val="en-US"/>
                  </w:rPr>
                  <m:t>NPD=GPD±PPD</m:t>
                </m:r>
              </m:oMath>
            </m:oMathPara>
          </w:p>
        </w:tc>
        <w:tc>
          <w:tcPr>
            <w:tcW w:w="350" w:type="pct"/>
            <w:vAlign w:val="center"/>
          </w:tcPr>
          <w:p w14:paraId="1137DDD9" w14:textId="074C3639" w:rsidR="001521FB" w:rsidRPr="006644A1" w:rsidRDefault="001521FB" w:rsidP="00217905">
            <w:pPr>
              <w:jc w:val="right"/>
            </w:pPr>
            <w:r w:rsidRPr="006644A1">
              <w:t>(</w:t>
            </w:r>
            <w:r w:rsidRPr="006644A1">
              <w:fldChar w:fldCharType="begin"/>
            </w:r>
            <w:r w:rsidRPr="006644A1">
              <w:instrText xml:space="preserve"> SEQ Equazione \* ARABIC </w:instrText>
            </w:r>
            <w:r w:rsidRPr="006644A1">
              <w:fldChar w:fldCharType="separate"/>
            </w:r>
            <w:r w:rsidRPr="006644A1">
              <w:rPr>
                <w:noProof/>
              </w:rPr>
              <w:t>1</w:t>
            </w:r>
            <w:r w:rsidRPr="006644A1">
              <w:fldChar w:fldCharType="end"/>
            </w:r>
            <w:r w:rsidRPr="006644A1">
              <w:t>)</w:t>
            </w:r>
          </w:p>
        </w:tc>
      </w:tr>
      <w:tr w:rsidR="001521FB" w:rsidRPr="006644A1" w14:paraId="1B1332CD" w14:textId="77777777" w:rsidTr="00C7343A">
        <w:trPr>
          <w:trHeight w:val="754"/>
          <w:jc w:val="center"/>
        </w:trPr>
        <w:tc>
          <w:tcPr>
            <w:tcW w:w="350" w:type="pct"/>
          </w:tcPr>
          <w:p w14:paraId="554357BC" w14:textId="77777777" w:rsidR="001521FB" w:rsidRPr="006644A1" w:rsidRDefault="001521FB" w:rsidP="00790C78"/>
        </w:tc>
        <w:tc>
          <w:tcPr>
            <w:tcW w:w="4301" w:type="pct"/>
          </w:tcPr>
          <w:p w14:paraId="1389AA6E" w14:textId="77777777" w:rsidR="001521FB" w:rsidRPr="006644A1" w:rsidRDefault="00000000" w:rsidP="00790C78">
            <m:oMathPara>
              <m:oMathParaPr>
                <m:jc m:val="center"/>
              </m:oMathParaPr>
              <m:oMath>
                <m:sSub>
                  <m:sSubPr>
                    <m:ctrlPr>
                      <w:rPr>
                        <w:rFonts w:ascii="Cambria Math" w:hAnsi="Cambria Math"/>
                        <w:i/>
                      </w:rPr>
                    </m:ctrlPr>
                  </m:sSubPr>
                  <m:e>
                    <m:r>
                      <w:rPr>
                        <w:rFonts w:ascii="Cambria Math" w:hAnsi="Cambria Math"/>
                      </w:rPr>
                      <m:t>RTE</m:t>
                    </m:r>
                  </m:e>
                  <m:sub>
                    <m:r>
                      <w:rPr>
                        <w:rFonts w:ascii="Cambria Math" w:hAnsi="Cambria Math"/>
                      </w:rPr>
                      <m:t>net</m:t>
                    </m:r>
                  </m:sub>
                </m:sSub>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t</m:t>
                            </m:r>
                          </m:e>
                          <m:sub>
                            <m:r>
                              <w:rPr>
                                <w:rFonts w:ascii="Cambria Math" w:hAnsi="Cambria Math"/>
                              </w:rPr>
                              <m:t>d</m:t>
                            </m:r>
                          </m:sub>
                        </m:sSub>
                      </m:sup>
                      <m:e>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GPD</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PPD</m:t>
                                </m:r>
                              </m:e>
                              <m:sub>
                                <m:r>
                                  <w:rPr>
                                    <w:rFonts w:ascii="Cambria Math" w:hAnsi="Cambria Math"/>
                                  </w:rPr>
                                  <m:t>d</m:t>
                                </m:r>
                              </m:sub>
                            </m:sSub>
                          </m:e>
                        </m:d>
                      </m:e>
                    </m:nary>
                    <m:r>
                      <w:rPr>
                        <w:rFonts w:ascii="Cambria Math" w:hAnsi="Cambria Math"/>
                      </w:rPr>
                      <m:t>dt</m:t>
                    </m:r>
                  </m:num>
                  <m:den>
                    <m:nary>
                      <m:naryPr>
                        <m:limLoc m:val="subSup"/>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t</m:t>
                            </m:r>
                          </m:e>
                          <m:sub>
                            <m:r>
                              <w:rPr>
                                <w:rFonts w:ascii="Cambria Math" w:hAnsi="Cambria Math"/>
                              </w:rPr>
                              <m:t>c</m:t>
                            </m:r>
                          </m:sub>
                        </m:sSub>
                      </m:sup>
                      <m:e>
                        <m:d>
                          <m:dPr>
                            <m:ctrlPr>
                              <w:rPr>
                                <w:rFonts w:ascii="Cambria Math" w:hAnsi="Cambria Math"/>
                                <w:i/>
                              </w:rPr>
                            </m:ctrlPr>
                          </m:dPr>
                          <m:e>
                            <m:sSub>
                              <m:sSubPr>
                                <m:ctrlPr>
                                  <w:rPr>
                                    <w:rFonts w:ascii="Cambria Math" w:hAnsi="Cambria Math"/>
                                    <w:i/>
                                  </w:rPr>
                                </m:ctrlPr>
                              </m:sSubPr>
                              <m:e>
                                <m:r>
                                  <w:rPr>
                                    <w:rFonts w:ascii="Cambria Math" w:hAnsi="Cambria Math"/>
                                  </w:rPr>
                                  <m:t>GPD</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PPD</m:t>
                                </m:r>
                              </m:e>
                              <m:sub>
                                <m:r>
                                  <w:rPr>
                                    <w:rFonts w:ascii="Cambria Math" w:hAnsi="Cambria Math"/>
                                  </w:rPr>
                                  <m:t>c</m:t>
                                </m:r>
                              </m:sub>
                            </m:sSub>
                          </m:e>
                        </m:d>
                      </m:e>
                    </m:nary>
                    <m:r>
                      <w:rPr>
                        <w:rFonts w:ascii="Cambria Math" w:hAnsi="Cambria Math"/>
                      </w:rPr>
                      <m:t>dt</m:t>
                    </m:r>
                  </m:den>
                </m:f>
              </m:oMath>
            </m:oMathPara>
          </w:p>
        </w:tc>
        <w:tc>
          <w:tcPr>
            <w:tcW w:w="350" w:type="pct"/>
            <w:vAlign w:val="center"/>
          </w:tcPr>
          <w:p w14:paraId="235BFD5A" w14:textId="61914A4C" w:rsidR="001521FB" w:rsidRPr="006644A1" w:rsidRDefault="001521FB" w:rsidP="00217905">
            <w:pPr>
              <w:jc w:val="right"/>
            </w:pPr>
            <w:r w:rsidRPr="006644A1">
              <w:t>(</w:t>
            </w:r>
            <w:r w:rsidRPr="006644A1">
              <w:fldChar w:fldCharType="begin"/>
            </w:r>
            <w:r w:rsidRPr="006644A1">
              <w:instrText xml:space="preserve"> SEQ Equazione \* ARABIC </w:instrText>
            </w:r>
            <w:r w:rsidRPr="006644A1">
              <w:fldChar w:fldCharType="separate"/>
            </w:r>
            <w:r w:rsidRPr="006644A1">
              <w:rPr>
                <w:noProof/>
              </w:rPr>
              <w:t>2</w:t>
            </w:r>
            <w:r w:rsidRPr="006644A1">
              <w:fldChar w:fldCharType="end"/>
            </w:r>
            <w:r w:rsidRPr="006644A1">
              <w:t>)</w:t>
            </w:r>
          </w:p>
        </w:tc>
      </w:tr>
    </w:tbl>
    <w:p w14:paraId="26DAE22F" w14:textId="35D816BF" w:rsidR="001521FB" w:rsidRPr="006644A1" w:rsidRDefault="001521FB" w:rsidP="001521FB">
      <w:pPr>
        <w:rPr>
          <w:lang w:val="en-US"/>
        </w:rPr>
      </w:pPr>
      <w:r w:rsidRPr="006644A1">
        <w:rPr>
          <w:lang w:val="en-US"/>
        </w:rPr>
        <w:t>where GPD is the gross power density (W m</w:t>
      </w:r>
      <w:r w:rsidRPr="006644A1">
        <w:rPr>
          <w:vertAlign w:val="superscript"/>
          <w:lang w:val="en-US"/>
        </w:rPr>
        <w:t>-2</w:t>
      </w:r>
      <w:r w:rsidRPr="006644A1">
        <w:rPr>
          <w:lang w:val="en-US"/>
        </w:rPr>
        <w:t>), PPD is the pumping power density (W m</w:t>
      </w:r>
      <w:r w:rsidRPr="006644A1">
        <w:rPr>
          <w:vertAlign w:val="superscript"/>
          <w:lang w:val="en-US"/>
        </w:rPr>
        <w:t>-2</w:t>
      </w:r>
      <w:r w:rsidRPr="006644A1">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6644A1">
        <w:rPr>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6644A1">
        <w:rPr>
          <w:lang w:val="en-US"/>
        </w:rPr>
        <w:t xml:space="preserve"> are the discharge and charge time, respectively.</w:t>
      </w:r>
      <w:r w:rsidR="006F6484" w:rsidRPr="006644A1">
        <w:rPr>
          <w:lang w:val="en-US"/>
        </w:rPr>
        <w:t xml:space="preserve"> The sign </w:t>
      </w:r>
      <m:oMath>
        <m:r>
          <w:rPr>
            <w:rFonts w:ascii="Cambria Math" w:hAnsi="Cambria Math"/>
            <w:spacing w:val="-3"/>
            <w:lang w:val="en-US"/>
          </w:rPr>
          <m:t>±</m:t>
        </m:r>
      </m:oMath>
      <w:r w:rsidR="006F6484" w:rsidRPr="006644A1">
        <w:rPr>
          <w:lang w:val="en-US"/>
        </w:rPr>
        <w:t xml:space="preserve"> in Equation 1 depends on the battery phase, </w:t>
      </w:r>
      <w:proofErr w:type="gramStart"/>
      <w:r w:rsidR="006F6484" w:rsidRPr="006644A1">
        <w:rPr>
          <w:lang w:val="en-US"/>
        </w:rPr>
        <w:t>i.e.</w:t>
      </w:r>
      <w:proofErr w:type="gramEnd"/>
      <w:r w:rsidR="006F6484" w:rsidRPr="006644A1">
        <w:rPr>
          <w:lang w:val="en-US"/>
        </w:rPr>
        <w:t xml:space="preserve"> </w:t>
      </w:r>
      <m:oMath>
        <m:r>
          <w:rPr>
            <w:rFonts w:ascii="Cambria Math" w:hAnsi="Cambria Math"/>
          </w:rPr>
          <m:t>+</m:t>
        </m:r>
      </m:oMath>
      <w:r w:rsidR="006F6484" w:rsidRPr="006644A1">
        <w:t xml:space="preserve"> for the charge phase and </w:t>
      </w:r>
      <m:oMath>
        <m:r>
          <w:rPr>
            <w:rFonts w:ascii="Cambria Math" w:hAnsi="Cambria Math"/>
          </w:rPr>
          <m:t>-</m:t>
        </m:r>
      </m:oMath>
      <w:r w:rsidR="006F6484" w:rsidRPr="006644A1">
        <w:t xml:space="preserve"> for the discharge phase.</w:t>
      </w:r>
    </w:p>
    <w:p w14:paraId="30E4506B" w14:textId="09F38E4E" w:rsidR="00AB3A38" w:rsidRPr="006644A1" w:rsidRDefault="001521FB" w:rsidP="001521FB">
      <w:pPr>
        <w:rPr>
          <w:lang w:val="en-US"/>
        </w:rPr>
      </w:pPr>
      <w:r w:rsidRPr="006644A1">
        <w:rPr>
          <w:lang w:val="en-US"/>
        </w:rPr>
        <w:t xml:space="preserve">The objective </w:t>
      </w:r>
      <w:r w:rsidR="008D22C0" w:rsidRPr="006644A1">
        <w:rPr>
          <w:lang w:val="en-US"/>
        </w:rPr>
        <w:t>was</w:t>
      </w:r>
      <w:r w:rsidRPr="006644A1">
        <w:rPr>
          <w:lang w:val="en-US"/>
        </w:rPr>
        <w:t xml:space="preserve"> to </w:t>
      </w:r>
      <w:proofErr w:type="spellStart"/>
      <w:r w:rsidRPr="006644A1">
        <w:rPr>
          <w:lang w:val="en-US"/>
        </w:rPr>
        <w:t>maximise</w:t>
      </w:r>
      <w:proofErr w:type="spellEnd"/>
      <w:r w:rsidRPr="006644A1">
        <w:rPr>
          <w:lang w:val="en-US"/>
        </w:rPr>
        <w:t xml:space="preserve"> both the</w:t>
      </w:r>
      <w:r w:rsidR="00EF371F" w:rsidRPr="006644A1">
        <w:rPr>
          <w:lang w:val="en-US"/>
        </w:rPr>
        <w:t xml:space="preserve"> average</w:t>
      </w:r>
      <w:r w:rsidRPr="006644A1">
        <w:rPr>
          <w:lang w:val="en-US"/>
        </w:rPr>
        <w:t xml:space="preserve"> </w:t>
      </w:r>
      <w:proofErr w:type="spellStart"/>
      <w:r w:rsidRPr="006644A1">
        <w:rPr>
          <w:lang w:val="en-US"/>
        </w:rPr>
        <w:t>NPD</w:t>
      </w:r>
      <w:r w:rsidR="00EE2F7A" w:rsidRPr="006644A1">
        <w:rPr>
          <w:vertAlign w:val="subscript"/>
          <w:lang w:val="en-US"/>
        </w:rPr>
        <w:t>d</w:t>
      </w:r>
      <w:proofErr w:type="spellEnd"/>
      <w:r w:rsidRPr="006644A1">
        <w:rPr>
          <w:lang w:val="en-US"/>
        </w:rPr>
        <w:t xml:space="preserve"> and the net RTE</w:t>
      </w:r>
      <w:r w:rsidR="00A27941" w:rsidRPr="006644A1">
        <w:rPr>
          <w:lang w:val="en-US"/>
        </w:rPr>
        <w:t>,</w:t>
      </w:r>
      <w:r w:rsidR="008D22C0" w:rsidRPr="006644A1">
        <w:rPr>
          <w:lang w:val="en-US"/>
        </w:rPr>
        <w:t xml:space="preserve"> and b</w:t>
      </w:r>
      <w:r w:rsidRPr="006644A1">
        <w:rPr>
          <w:lang w:val="en-US"/>
        </w:rPr>
        <w:t>oth</w:t>
      </w:r>
      <w:r w:rsidR="008D22C0" w:rsidRPr="006644A1">
        <w:rPr>
          <w:lang w:val="en-US"/>
        </w:rPr>
        <w:t xml:space="preserve"> these</w:t>
      </w:r>
      <w:r w:rsidRPr="006644A1">
        <w:rPr>
          <w:lang w:val="en-US"/>
        </w:rPr>
        <w:t xml:space="preserve"> objective functions </w:t>
      </w:r>
      <w:r w:rsidR="00A27941" w:rsidRPr="006644A1">
        <w:rPr>
          <w:lang w:val="en-US"/>
        </w:rPr>
        <w:t>had to</w:t>
      </w:r>
      <w:r w:rsidRPr="006644A1">
        <w:rPr>
          <w:lang w:val="en-US"/>
        </w:rPr>
        <w:t xml:space="preserve"> be calculated simultaneously. In addition, a solution that </w:t>
      </w:r>
      <w:proofErr w:type="spellStart"/>
      <w:r w:rsidRPr="006644A1">
        <w:rPr>
          <w:lang w:val="en-US"/>
        </w:rPr>
        <w:t>maximises</w:t>
      </w:r>
      <w:proofErr w:type="spellEnd"/>
      <w:r w:rsidRPr="006644A1">
        <w:rPr>
          <w:lang w:val="en-US"/>
        </w:rPr>
        <w:t xml:space="preserve"> one of the two functions may not </w:t>
      </w:r>
      <w:proofErr w:type="spellStart"/>
      <w:r w:rsidRPr="006644A1">
        <w:rPr>
          <w:lang w:val="en-US"/>
        </w:rPr>
        <w:t>maximise</w:t>
      </w:r>
      <w:proofErr w:type="spellEnd"/>
      <w:r w:rsidRPr="006644A1">
        <w:rPr>
          <w:lang w:val="en-US"/>
        </w:rPr>
        <w:t xml:space="preserve"> the other, and </w:t>
      </w:r>
      <w:r w:rsidR="00D062EC" w:rsidRPr="006644A1">
        <w:rPr>
          <w:i/>
          <w:iCs/>
          <w:lang w:val="en-US"/>
        </w:rPr>
        <w:t>vice versa</w:t>
      </w:r>
      <w:r w:rsidRPr="006644A1">
        <w:rPr>
          <w:lang w:val="en-US"/>
        </w:rPr>
        <w:t xml:space="preserve">. As a result, </w:t>
      </w:r>
      <w:r w:rsidR="00A27941" w:rsidRPr="006644A1">
        <w:rPr>
          <w:lang w:val="en-US"/>
        </w:rPr>
        <w:t xml:space="preserve">this model provides a set of </w:t>
      </w:r>
      <w:r w:rsidRPr="006644A1">
        <w:rPr>
          <w:lang w:val="en-US"/>
        </w:rPr>
        <w:t>feasible solutions known as the Pareto front</w:t>
      </w:r>
      <w:r w:rsidR="00A27941" w:rsidRPr="006644A1">
        <w:rPr>
          <w:lang w:val="en-US"/>
        </w:rPr>
        <w:t xml:space="preserve"> rather than one single solution</w:t>
      </w:r>
      <w:r w:rsidRPr="006644A1">
        <w:rPr>
          <w:lang w:val="en-US"/>
        </w:rPr>
        <w:t xml:space="preserve">. </w:t>
      </w:r>
    </w:p>
    <w:p w14:paraId="60CFBE6D" w14:textId="32891B64" w:rsidR="00AB3A38" w:rsidRPr="006644A1" w:rsidRDefault="001521FB" w:rsidP="001521FB">
      <w:pPr>
        <w:rPr>
          <w:lang w:val="en-US"/>
        </w:rPr>
      </w:pPr>
      <w:r w:rsidRPr="006644A1">
        <w:rPr>
          <w:lang w:val="en-US"/>
        </w:rPr>
        <w:t xml:space="preserve">The bi-objective </w:t>
      </w:r>
      <w:proofErr w:type="spellStart"/>
      <w:r w:rsidRPr="006644A1">
        <w:rPr>
          <w:lang w:val="en-US"/>
        </w:rPr>
        <w:t>optimisation</w:t>
      </w:r>
      <w:proofErr w:type="spellEnd"/>
      <w:r w:rsidRPr="006644A1">
        <w:rPr>
          <w:lang w:val="en-US"/>
        </w:rPr>
        <w:t xml:space="preserve"> in this study was carried out using a transformation algorithm known as the </w:t>
      </w:r>
      <w:r w:rsidR="00D062EC" w:rsidRPr="006644A1">
        <w:rPr>
          <w:rFonts w:cs="Arial"/>
          <w:i/>
          <w:iCs/>
          <w:lang w:val="en-US"/>
        </w:rPr>
        <w:t>ε</w:t>
      </w:r>
      <w:r w:rsidRPr="006644A1">
        <w:rPr>
          <w:i/>
          <w:iCs/>
          <w:lang w:val="en-US"/>
        </w:rPr>
        <w:t>-constraint</w:t>
      </w:r>
      <w:r w:rsidRPr="006644A1">
        <w:rPr>
          <w:lang w:val="en-US"/>
        </w:rPr>
        <w:t xml:space="preserve"> method. This </w:t>
      </w:r>
      <w:r w:rsidR="00BC5820" w:rsidRPr="006644A1">
        <w:rPr>
          <w:lang w:val="en-US"/>
        </w:rPr>
        <w:t xml:space="preserve">method </w:t>
      </w:r>
      <w:r w:rsidRPr="006644A1">
        <w:rPr>
          <w:lang w:val="en-US"/>
        </w:rPr>
        <w:t xml:space="preserve">entails converting the multi-objective problem into a series of single-objective </w:t>
      </w:r>
      <w:proofErr w:type="spellStart"/>
      <w:r w:rsidRPr="006644A1">
        <w:rPr>
          <w:lang w:val="en-US"/>
        </w:rPr>
        <w:t>optimisations</w:t>
      </w:r>
      <w:proofErr w:type="spellEnd"/>
      <w:r w:rsidRPr="006644A1">
        <w:rPr>
          <w:lang w:val="en-US"/>
        </w:rPr>
        <w:t xml:space="preserve">. Every single-objective problem corresponds to a different point on the Pareto curve. Furthermore, each objective problem </w:t>
      </w:r>
      <w:r w:rsidR="00A27941" w:rsidRPr="006644A1">
        <w:rPr>
          <w:lang w:val="en-US"/>
        </w:rPr>
        <w:t>involves</w:t>
      </w:r>
      <w:r w:rsidRPr="006644A1">
        <w:rPr>
          <w:lang w:val="en-US"/>
        </w:rPr>
        <w:t xml:space="preserve"> </w:t>
      </w:r>
      <w:proofErr w:type="spellStart"/>
      <w:r w:rsidRPr="006644A1">
        <w:rPr>
          <w:lang w:val="en-US"/>
        </w:rPr>
        <w:t>maximising</w:t>
      </w:r>
      <w:proofErr w:type="spellEnd"/>
      <w:r w:rsidRPr="006644A1">
        <w:rPr>
          <w:lang w:val="en-US"/>
        </w:rPr>
        <w:t xml:space="preserve"> one of the two objective functions (in this case, the RTE) while constraining the second objective function (</w:t>
      </w:r>
      <w:r w:rsidR="00A27941" w:rsidRPr="006644A1">
        <w:rPr>
          <w:lang w:val="en-US"/>
        </w:rPr>
        <w:t xml:space="preserve">i.e., </w:t>
      </w:r>
      <w:r w:rsidR="00EF371F" w:rsidRPr="006644A1">
        <w:rPr>
          <w:lang w:val="en-US"/>
        </w:rPr>
        <w:t xml:space="preserve">average </w:t>
      </w:r>
      <w:proofErr w:type="spellStart"/>
      <w:r w:rsidRPr="006644A1">
        <w:rPr>
          <w:lang w:val="en-US"/>
        </w:rPr>
        <w:t>NPD</w:t>
      </w:r>
      <w:r w:rsidR="00EF371F" w:rsidRPr="006644A1">
        <w:rPr>
          <w:vertAlign w:val="subscript"/>
          <w:lang w:val="en-US"/>
        </w:rPr>
        <w:t>d</w:t>
      </w:r>
      <w:proofErr w:type="spellEnd"/>
      <w:r w:rsidRPr="006644A1">
        <w:rPr>
          <w:lang w:val="en-US"/>
        </w:rPr>
        <w:t xml:space="preserve">) </w:t>
      </w:r>
      <w:r w:rsidR="00A27941" w:rsidRPr="006644A1">
        <w:rPr>
          <w:lang w:val="en-US"/>
        </w:rPr>
        <w:t>at</w:t>
      </w:r>
      <w:r w:rsidRPr="006644A1">
        <w:rPr>
          <w:lang w:val="en-US"/>
        </w:rPr>
        <w:t xml:space="preserve"> a fixed value. </w:t>
      </w:r>
    </w:p>
    <w:p w14:paraId="3623EB0F" w14:textId="232E4113" w:rsidR="001521FB" w:rsidRPr="006644A1" w:rsidRDefault="001521FB" w:rsidP="001521FB">
      <w:pPr>
        <w:rPr>
          <w:lang w:val="en-US"/>
        </w:rPr>
      </w:pPr>
      <w:r w:rsidRPr="006644A1">
        <w:rPr>
          <w:lang w:val="en-US"/>
        </w:rPr>
        <w:t>As a result, the following equations can be used to describe the problem:</w:t>
      </w:r>
    </w:p>
    <w:p w14:paraId="408340C2" w14:textId="77777777" w:rsidR="00F601C5" w:rsidRPr="006644A1" w:rsidRDefault="00F601C5" w:rsidP="001521FB">
      <w:pPr>
        <w:rPr>
          <w:lang w:val="en-US"/>
        </w:rPr>
      </w:pPr>
    </w:p>
    <w:tbl>
      <w:tblPr>
        <w:tblStyle w:val="Grigliatabella"/>
        <w:tblW w:w="91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2"/>
        <w:gridCol w:w="1710"/>
      </w:tblGrid>
      <w:tr w:rsidR="001521FB" w:rsidRPr="006644A1" w14:paraId="08CDB802" w14:textId="77777777" w:rsidTr="00217905">
        <w:tc>
          <w:tcPr>
            <w:tcW w:w="7432" w:type="dxa"/>
          </w:tcPr>
          <w:p w14:paraId="5FA91294" w14:textId="77777777" w:rsidR="001521FB" w:rsidRPr="006644A1" w:rsidRDefault="001521FB" w:rsidP="00BC5820">
            <w:pPr>
              <w:ind w:left="36"/>
              <w:rPr>
                <w:rFonts w:cs="Arial"/>
              </w:rPr>
            </w:pPr>
            <w:r w:rsidRPr="006644A1">
              <w:rPr>
                <w:rFonts w:cs="Arial"/>
              </w:rPr>
              <w:t xml:space="preserve">Objective:             </w:t>
            </w:r>
            <m:oMath>
              <m:r>
                <w:rPr>
                  <w:rFonts w:ascii="Cambria Math" w:hAnsi="Cambria Math" w:cs="Arial"/>
                </w:rPr>
                <m:t xml:space="preserve">Max </m:t>
              </m:r>
              <m:sSub>
                <m:sSubPr>
                  <m:ctrlPr>
                    <w:rPr>
                      <w:rFonts w:ascii="Cambria Math" w:hAnsi="Cambria Math" w:cs="Arial"/>
                      <w:i/>
                    </w:rPr>
                  </m:ctrlPr>
                </m:sSubPr>
                <m:e>
                  <m:r>
                    <w:rPr>
                      <w:rFonts w:ascii="Cambria Math" w:hAnsi="Cambria Math" w:cs="Arial"/>
                    </w:rPr>
                    <m:t>RTE</m:t>
                  </m:r>
                </m:e>
                <m:sub>
                  <m:r>
                    <w:rPr>
                      <w:rFonts w:ascii="Cambria Math" w:hAnsi="Cambria Math" w:cs="Arial"/>
                    </w:rPr>
                    <m:t>net</m:t>
                  </m:r>
                </m:sub>
              </m:sSub>
              <m:r>
                <w:rPr>
                  <w:rFonts w:ascii="Cambria Math" w:hAnsi="Cambria Math" w:cs="Arial"/>
                </w:rPr>
                <m:t>(</m:t>
              </m:r>
              <m:r>
                <m:rPr>
                  <m:sty m:val="bi"/>
                </m:rPr>
                <w:rPr>
                  <w:rFonts w:ascii="Cambria Math" w:hAnsi="Cambria Math" w:cs="Arial"/>
                </w:rPr>
                <m:t>x</m:t>
              </m:r>
              <m:r>
                <w:rPr>
                  <w:rFonts w:ascii="Cambria Math" w:hAnsi="Cambria Math" w:cs="Arial"/>
                </w:rPr>
                <m:t>)</m:t>
              </m:r>
            </m:oMath>
            <w:r w:rsidRPr="006644A1">
              <w:rPr>
                <w:rFonts w:cs="Arial"/>
              </w:rPr>
              <w:t xml:space="preserve"> </w:t>
            </w:r>
          </w:p>
        </w:tc>
        <w:tc>
          <w:tcPr>
            <w:tcW w:w="1710" w:type="dxa"/>
            <w:vAlign w:val="center"/>
          </w:tcPr>
          <w:p w14:paraId="743AA4B5" w14:textId="51CC6EA5" w:rsidR="001521FB" w:rsidRPr="006644A1" w:rsidRDefault="001521FB" w:rsidP="00217905">
            <w:pPr>
              <w:jc w:val="right"/>
              <w:rPr>
                <w:rFonts w:cs="Arial"/>
              </w:rPr>
            </w:pPr>
            <w:r w:rsidRPr="006644A1">
              <w:rPr>
                <w:rFonts w:cs="Arial"/>
              </w:rPr>
              <w:t>(3)</w:t>
            </w:r>
          </w:p>
        </w:tc>
      </w:tr>
      <w:tr w:rsidR="001521FB" w:rsidRPr="006644A1" w14:paraId="26177C3A" w14:textId="77777777" w:rsidTr="00217905">
        <w:tc>
          <w:tcPr>
            <w:tcW w:w="7432" w:type="dxa"/>
          </w:tcPr>
          <w:p w14:paraId="5718C8C4" w14:textId="77777777" w:rsidR="001521FB" w:rsidRPr="006644A1" w:rsidRDefault="001521FB" w:rsidP="00BC5820">
            <w:pPr>
              <w:ind w:left="36"/>
              <w:rPr>
                <w:rFonts w:cs="Arial"/>
              </w:rPr>
            </w:pPr>
            <w:r w:rsidRPr="006644A1">
              <w:rPr>
                <w:rFonts w:cs="Arial"/>
              </w:rPr>
              <w:t xml:space="preserve">Subject to:         </w:t>
            </w:r>
            <m:oMath>
              <m:r>
                <w:rPr>
                  <w:rFonts w:ascii="Cambria Math" w:hAnsi="Cambria Math" w:cs="Arial"/>
                </w:rPr>
                <m:t xml:space="preserve">Av. </m:t>
              </m:r>
              <m:sSub>
                <m:sSubPr>
                  <m:ctrlPr>
                    <w:rPr>
                      <w:rFonts w:ascii="Cambria Math" w:hAnsi="Cambria Math" w:cs="Arial"/>
                      <w:i/>
                    </w:rPr>
                  </m:ctrlPr>
                </m:sSubPr>
                <m:e>
                  <m:r>
                    <w:rPr>
                      <w:rFonts w:ascii="Cambria Math" w:hAnsi="Cambria Math" w:cs="Arial"/>
                    </w:rPr>
                    <m:t>NPD</m:t>
                  </m:r>
                </m:e>
                <m:sub>
                  <m:r>
                    <w:rPr>
                      <w:rFonts w:ascii="Cambria Math" w:hAnsi="Cambria Math" w:cs="Arial"/>
                    </w:rPr>
                    <m:t>d</m:t>
                  </m:r>
                </m:sub>
              </m:sSub>
              <m:r>
                <w:rPr>
                  <w:rFonts w:ascii="Cambria Math" w:hAnsi="Cambria Math" w:cs="Arial"/>
                </w:rPr>
                <m:t>(</m:t>
              </m:r>
              <m:r>
                <m:rPr>
                  <m:sty m:val="bi"/>
                </m:rPr>
                <w:rPr>
                  <w:rFonts w:ascii="Cambria Math" w:hAnsi="Cambria Math" w:cs="Arial"/>
                </w:rPr>
                <m:t>x</m:t>
              </m:r>
              <m:r>
                <w:rPr>
                  <w:rFonts w:ascii="Cambria Math" w:hAnsi="Cambria Math" w:cs="Arial"/>
                </w:rPr>
                <m:t>)≥ε</m:t>
              </m:r>
            </m:oMath>
            <w:r w:rsidRPr="006644A1">
              <w:rPr>
                <w:rFonts w:cs="Arial"/>
              </w:rPr>
              <w:t xml:space="preserve"> </w:t>
            </w:r>
          </w:p>
        </w:tc>
        <w:tc>
          <w:tcPr>
            <w:tcW w:w="1710" w:type="dxa"/>
            <w:vAlign w:val="center"/>
          </w:tcPr>
          <w:p w14:paraId="6CDAEF34" w14:textId="46751725" w:rsidR="001521FB" w:rsidRPr="006644A1" w:rsidRDefault="001521FB" w:rsidP="00217905">
            <w:pPr>
              <w:jc w:val="right"/>
              <w:rPr>
                <w:rFonts w:cs="Arial"/>
              </w:rPr>
            </w:pPr>
            <w:r w:rsidRPr="006644A1">
              <w:rPr>
                <w:rFonts w:cs="Arial"/>
              </w:rPr>
              <w:t>(4)</w:t>
            </w:r>
          </w:p>
        </w:tc>
      </w:tr>
    </w:tbl>
    <w:p w14:paraId="02A6E7C0" w14:textId="77777777" w:rsidR="00F601C5" w:rsidRPr="006644A1" w:rsidRDefault="00F601C5" w:rsidP="00F161F4">
      <w:pPr>
        <w:rPr>
          <w:lang w:val="en-US"/>
        </w:rPr>
      </w:pPr>
    </w:p>
    <w:p w14:paraId="0CA0AEBF" w14:textId="5E62781D" w:rsidR="00B91142" w:rsidRPr="006644A1" w:rsidRDefault="00EE2F7A" w:rsidP="00F161F4">
      <w:pPr>
        <w:rPr>
          <w:lang w:val="en-US"/>
        </w:rPr>
      </w:pPr>
      <w:r w:rsidRPr="006644A1">
        <w:rPr>
          <w:lang w:val="en-US"/>
        </w:rPr>
        <w:t>w</w:t>
      </w:r>
      <w:r w:rsidR="00B91142" w:rsidRPr="006644A1">
        <w:rPr>
          <w:lang w:val="en-US"/>
        </w:rPr>
        <w:t xml:space="preserve">here </w:t>
      </w:r>
      <m:oMath>
        <m:r>
          <m:rPr>
            <m:sty m:val="bi"/>
          </m:rPr>
          <w:rPr>
            <w:rFonts w:ascii="Cambria Math" w:hAnsi="Cambria Math" w:cs="Arial"/>
          </w:rPr>
          <m:t>x</m:t>
        </m:r>
      </m:oMath>
      <w:r w:rsidR="00B91142" w:rsidRPr="006644A1">
        <w:rPr>
          <w:b/>
        </w:rPr>
        <w:t xml:space="preserve"> </w:t>
      </w:r>
      <w:r w:rsidR="00B91142" w:rsidRPr="006644A1">
        <w:rPr>
          <w:bCs/>
        </w:rPr>
        <w:t xml:space="preserve">is </w:t>
      </w:r>
      <w:r w:rsidRPr="006644A1">
        <w:rPr>
          <w:bCs/>
        </w:rPr>
        <w:t>the decision variables vector</w:t>
      </w:r>
      <w:r w:rsidR="00373D51" w:rsidRPr="006644A1">
        <w:rPr>
          <w:bCs/>
        </w:rPr>
        <w:t xml:space="preserve"> and</w:t>
      </w:r>
      <w:r w:rsidRPr="006644A1">
        <w:rPr>
          <w:b/>
        </w:rPr>
        <w:t xml:space="preserve"> </w:t>
      </w:r>
      <m:oMath>
        <m:r>
          <w:rPr>
            <w:rFonts w:ascii="Cambria Math" w:hAnsi="Cambria Math" w:cs="Arial"/>
          </w:rPr>
          <m:t>ε</m:t>
        </m:r>
      </m:oMath>
      <w:r w:rsidR="00373D51" w:rsidRPr="006644A1">
        <w:t xml:space="preserve"> is the constraint used to obtain the Pareto front. Equation 4 is essential to transform the multi-objective problem into a series of single-objective optimisations. </w:t>
      </w:r>
    </w:p>
    <w:p w14:paraId="19C400B1" w14:textId="66212297" w:rsidR="001521FB" w:rsidRPr="006644A1" w:rsidRDefault="001521FB" w:rsidP="00F161F4">
      <w:pPr>
        <w:rPr>
          <w:lang w:val="en-US"/>
        </w:rPr>
      </w:pPr>
      <w:r w:rsidRPr="006644A1">
        <w:rPr>
          <w:lang w:val="en-US"/>
        </w:rPr>
        <w:t xml:space="preserve">The battery was simulated in a closed-loop configuration, with each external tank simulated </w:t>
      </w:r>
      <w:r w:rsidR="00A27941" w:rsidRPr="006644A1">
        <w:rPr>
          <w:lang w:val="en-US"/>
        </w:rPr>
        <w:t>as having</w:t>
      </w:r>
      <w:r w:rsidRPr="006644A1">
        <w:rPr>
          <w:lang w:val="en-US"/>
        </w:rPr>
        <w:t xml:space="preserve"> perfect mixing. The battery charge and discharge phases </w:t>
      </w:r>
      <w:r w:rsidR="00A27941" w:rsidRPr="006644A1">
        <w:rPr>
          <w:lang w:val="en-US"/>
        </w:rPr>
        <w:t>were</w:t>
      </w:r>
      <w:r w:rsidRPr="006644A1">
        <w:rPr>
          <w:lang w:val="en-US"/>
        </w:rPr>
        <w:t xml:space="preserve"> operated until a specific target concentration of HCl in the acid tank </w:t>
      </w:r>
      <w:r w:rsidR="00A27941" w:rsidRPr="006644A1">
        <w:rPr>
          <w:lang w:val="en-US"/>
        </w:rPr>
        <w:t>was</w:t>
      </w:r>
      <w:r w:rsidRPr="006644A1">
        <w:rPr>
          <w:lang w:val="en-US"/>
        </w:rPr>
        <w:t xml:space="preserve"> reached, referred to as </w:t>
      </w:r>
      <m:oMath>
        <m:sSub>
          <m:sSubPr>
            <m:ctrlPr>
              <w:rPr>
                <w:rFonts w:ascii="Cambria Math" w:hAnsi="Cambria Math"/>
                <w:i/>
              </w:rPr>
            </m:ctrlPr>
          </m:sSubPr>
          <m:e>
            <m:r>
              <w:rPr>
                <w:rFonts w:ascii="Cambria Math" w:hAnsi="Cambria Math"/>
              </w:rPr>
              <m:t>C</m:t>
            </m:r>
          </m:e>
          <m:sub>
            <m:r>
              <w:rPr>
                <w:rFonts w:ascii="Cambria Math" w:hAnsi="Cambria Math"/>
              </w:rPr>
              <m:t>target,c</m:t>
            </m:r>
          </m:sub>
        </m:sSub>
      </m:oMath>
      <w:r w:rsidRPr="006644A1">
        <w:rPr>
          <w:lang w:val="en-US"/>
        </w:rPr>
        <w:t xml:space="preserve"> and </w:t>
      </w:r>
      <m:oMath>
        <m:sSub>
          <m:sSubPr>
            <m:ctrlPr>
              <w:rPr>
                <w:rFonts w:ascii="Cambria Math" w:hAnsi="Cambria Math"/>
                <w:i/>
              </w:rPr>
            </m:ctrlPr>
          </m:sSubPr>
          <m:e>
            <m:r>
              <w:rPr>
                <w:rFonts w:ascii="Cambria Math" w:hAnsi="Cambria Math"/>
              </w:rPr>
              <m:t>C</m:t>
            </m:r>
          </m:e>
          <m:sub>
            <m:r>
              <w:rPr>
                <w:rFonts w:ascii="Cambria Math" w:hAnsi="Cambria Math"/>
              </w:rPr>
              <m:t>target,d</m:t>
            </m:r>
          </m:sub>
        </m:sSub>
      </m:oMath>
      <w:r w:rsidRPr="006644A1">
        <w:rPr>
          <w:lang w:val="en-US"/>
        </w:rPr>
        <w:t xml:space="preserve"> for charging and discharging, respectively. The decision variables of the optimization study are shown in </w:t>
      </w:r>
      <w:r w:rsidR="00FE5966" w:rsidRPr="006644A1">
        <w:rPr>
          <w:lang w:val="en-US"/>
        </w:rPr>
        <w:fldChar w:fldCharType="begin"/>
      </w:r>
      <w:r w:rsidR="00FE5966" w:rsidRPr="006644A1">
        <w:rPr>
          <w:lang w:val="en-US"/>
        </w:rPr>
        <w:instrText xml:space="preserve"> REF _Ref104742024 \h </w:instrText>
      </w:r>
      <w:r w:rsidR="00FE5966" w:rsidRPr="006644A1">
        <w:rPr>
          <w:lang w:val="en-US"/>
        </w:rPr>
      </w:r>
      <w:r w:rsidR="006644A1">
        <w:rPr>
          <w:lang w:val="en-US"/>
        </w:rPr>
        <w:instrText xml:space="preserve"> \* MERGEFORMAT </w:instrText>
      </w:r>
      <w:r w:rsidR="00FE5966" w:rsidRPr="006644A1">
        <w:rPr>
          <w:lang w:val="en-US"/>
        </w:rPr>
        <w:fldChar w:fldCharType="separate"/>
      </w:r>
      <w:r w:rsidR="00FE5966" w:rsidRPr="006644A1">
        <w:t xml:space="preserve">Table </w:t>
      </w:r>
      <w:r w:rsidR="00FE5966" w:rsidRPr="006644A1">
        <w:rPr>
          <w:noProof/>
        </w:rPr>
        <w:t>1</w:t>
      </w:r>
      <w:r w:rsidR="00FE5966" w:rsidRPr="006644A1">
        <w:rPr>
          <w:lang w:val="en-US"/>
        </w:rPr>
        <w:fldChar w:fldCharType="end"/>
      </w:r>
      <w:r w:rsidRPr="006644A1">
        <w:rPr>
          <w:lang w:val="en-US"/>
        </w:rPr>
        <w:t>, along with their respective lower and upper bounds.</w:t>
      </w:r>
    </w:p>
    <w:p w14:paraId="4C0B107F" w14:textId="107B1935" w:rsidR="00F161F4" w:rsidRPr="006644A1" w:rsidRDefault="00F161F4" w:rsidP="00F161F4">
      <w:pPr>
        <w:pStyle w:val="CETCaption"/>
      </w:pPr>
      <w:bookmarkStart w:id="1" w:name="_Ref104742024"/>
      <w:r w:rsidRPr="006644A1">
        <w:t xml:space="preserve">Table </w:t>
      </w:r>
      <w:r w:rsidRPr="006644A1">
        <w:fldChar w:fldCharType="begin"/>
      </w:r>
      <w:r w:rsidRPr="006644A1">
        <w:instrText xml:space="preserve"> SEQ Table \* ARABIC </w:instrText>
      </w:r>
      <w:r w:rsidRPr="006644A1">
        <w:fldChar w:fldCharType="separate"/>
      </w:r>
      <w:r w:rsidR="001B49D8" w:rsidRPr="006644A1">
        <w:rPr>
          <w:noProof/>
        </w:rPr>
        <w:t>1</w:t>
      </w:r>
      <w:r w:rsidRPr="006644A1">
        <w:fldChar w:fldCharType="end"/>
      </w:r>
      <w:bookmarkEnd w:id="1"/>
      <w:r w:rsidRPr="006644A1">
        <w:t>. List of the decision variables</w:t>
      </w:r>
      <w:r w:rsidR="002B791B" w:rsidRPr="006644A1">
        <w:t xml:space="preserve"> used in the optimization study</w:t>
      </w:r>
      <w:r w:rsidRPr="006644A1">
        <w:t>.</w:t>
      </w:r>
    </w:p>
    <w:tbl>
      <w:tblPr>
        <w:tblW w:w="861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5"/>
        <w:gridCol w:w="1668"/>
        <w:gridCol w:w="1282"/>
        <w:gridCol w:w="1540"/>
        <w:gridCol w:w="1429"/>
      </w:tblGrid>
      <w:tr w:rsidR="00EF371F" w:rsidRPr="006644A1" w14:paraId="67F166FE" w14:textId="77777777" w:rsidTr="005236DB">
        <w:trPr>
          <w:trHeight w:val="272"/>
        </w:trPr>
        <w:tc>
          <w:tcPr>
            <w:tcW w:w="8614" w:type="dxa"/>
            <w:gridSpan w:val="5"/>
            <w:shd w:val="clear" w:color="auto" w:fill="FFFFFF"/>
          </w:tcPr>
          <w:p w14:paraId="19AB9EA2" w14:textId="57EEF52E" w:rsidR="00EF371F" w:rsidRPr="006644A1" w:rsidRDefault="00EF371F" w:rsidP="008C7A0B">
            <w:pPr>
              <w:pStyle w:val="CETBodytext"/>
              <w:ind w:right="-1"/>
              <w:jc w:val="center"/>
              <w:rPr>
                <w:rFonts w:cs="Arial"/>
                <w:szCs w:val="18"/>
                <w:lang w:val="en-GB"/>
              </w:rPr>
            </w:pPr>
            <w:r w:rsidRPr="006644A1">
              <w:rPr>
                <w:rFonts w:cs="Arial"/>
                <w:szCs w:val="18"/>
                <w:lang w:val="en-GB"/>
              </w:rPr>
              <w:t>Operating variables</w:t>
            </w:r>
          </w:p>
        </w:tc>
      </w:tr>
      <w:tr w:rsidR="00EF371F" w:rsidRPr="006644A1" w14:paraId="3C159467" w14:textId="77777777" w:rsidTr="00EF371F">
        <w:trPr>
          <w:trHeight w:val="381"/>
        </w:trPr>
        <w:tc>
          <w:tcPr>
            <w:tcW w:w="2695" w:type="dxa"/>
            <w:shd w:val="clear" w:color="auto" w:fill="FFFFFF"/>
          </w:tcPr>
          <w:p w14:paraId="2CDA9346" w14:textId="113C1851" w:rsidR="00EF371F" w:rsidRPr="006644A1" w:rsidRDefault="00EF371F" w:rsidP="008C7A0B">
            <w:pPr>
              <w:pStyle w:val="CETBodytext"/>
              <w:jc w:val="center"/>
              <w:rPr>
                <w:lang w:val="en-GB"/>
              </w:rPr>
            </w:pPr>
            <w:r w:rsidRPr="006644A1">
              <w:rPr>
                <w:lang w:val="en-GB"/>
              </w:rPr>
              <w:t>variable name</w:t>
            </w:r>
          </w:p>
        </w:tc>
        <w:tc>
          <w:tcPr>
            <w:tcW w:w="1668" w:type="dxa"/>
            <w:shd w:val="clear" w:color="auto" w:fill="FFFFFF"/>
          </w:tcPr>
          <w:p w14:paraId="059830C7" w14:textId="7AAAEA27" w:rsidR="00EF371F" w:rsidRPr="006644A1" w:rsidRDefault="00EF371F" w:rsidP="008C7A0B">
            <w:pPr>
              <w:pStyle w:val="CETBodytext"/>
              <w:jc w:val="center"/>
              <w:rPr>
                <w:lang w:val="en-GB"/>
              </w:rPr>
            </w:pPr>
            <w:r w:rsidRPr="006644A1">
              <w:rPr>
                <w:lang w:val="en-GB"/>
              </w:rPr>
              <w:t>scenario</w:t>
            </w:r>
          </w:p>
        </w:tc>
        <w:tc>
          <w:tcPr>
            <w:tcW w:w="1282" w:type="dxa"/>
            <w:shd w:val="clear" w:color="auto" w:fill="FFFFFF"/>
          </w:tcPr>
          <w:p w14:paraId="5850AA1D" w14:textId="21EFBFA7" w:rsidR="00EF371F" w:rsidRPr="006644A1" w:rsidRDefault="00EF371F" w:rsidP="008C7A0B">
            <w:pPr>
              <w:pStyle w:val="CETBodytext"/>
              <w:jc w:val="center"/>
              <w:rPr>
                <w:lang w:val="en-GB"/>
              </w:rPr>
            </w:pPr>
            <w:r w:rsidRPr="006644A1">
              <w:rPr>
                <w:lang w:val="en-GB"/>
              </w:rPr>
              <w:t>symbol</w:t>
            </w:r>
          </w:p>
        </w:tc>
        <w:tc>
          <w:tcPr>
            <w:tcW w:w="1540" w:type="dxa"/>
            <w:shd w:val="clear" w:color="auto" w:fill="FFFFFF"/>
          </w:tcPr>
          <w:p w14:paraId="299AF187" w14:textId="34D4DCDD" w:rsidR="00EF371F" w:rsidRPr="006644A1" w:rsidRDefault="00EF371F" w:rsidP="008C7A0B">
            <w:pPr>
              <w:pStyle w:val="CETBodytext"/>
              <w:ind w:right="-1"/>
              <w:jc w:val="center"/>
              <w:rPr>
                <w:rFonts w:cs="Arial"/>
                <w:szCs w:val="18"/>
                <w:lang w:val="en-GB"/>
              </w:rPr>
            </w:pPr>
            <w:r w:rsidRPr="006644A1">
              <w:rPr>
                <w:rFonts w:cs="Arial"/>
                <w:szCs w:val="18"/>
                <w:lang w:val="en-GB"/>
              </w:rPr>
              <w:t>lower bound</w:t>
            </w:r>
          </w:p>
        </w:tc>
        <w:tc>
          <w:tcPr>
            <w:tcW w:w="1429" w:type="dxa"/>
            <w:shd w:val="clear" w:color="auto" w:fill="FFFFFF"/>
          </w:tcPr>
          <w:p w14:paraId="38309D76" w14:textId="12F09380" w:rsidR="00EF371F" w:rsidRPr="006644A1" w:rsidRDefault="00EF371F" w:rsidP="008C7A0B">
            <w:pPr>
              <w:pStyle w:val="CETBodytext"/>
              <w:ind w:right="-1"/>
              <w:jc w:val="center"/>
              <w:rPr>
                <w:rFonts w:cs="Arial"/>
                <w:szCs w:val="18"/>
                <w:lang w:val="en-GB"/>
              </w:rPr>
            </w:pPr>
            <w:r w:rsidRPr="006644A1">
              <w:rPr>
                <w:rFonts w:cs="Arial"/>
                <w:szCs w:val="18"/>
                <w:lang w:val="en-GB"/>
              </w:rPr>
              <w:t>upper bound</w:t>
            </w:r>
          </w:p>
        </w:tc>
      </w:tr>
      <w:tr w:rsidR="00EF371F" w:rsidRPr="006644A1" w14:paraId="64EC5FF4" w14:textId="77777777" w:rsidTr="00EF371F">
        <w:trPr>
          <w:trHeight w:val="272"/>
        </w:trPr>
        <w:tc>
          <w:tcPr>
            <w:tcW w:w="2695" w:type="dxa"/>
            <w:shd w:val="clear" w:color="auto" w:fill="FFFFFF"/>
          </w:tcPr>
          <w:p w14:paraId="55604D7C" w14:textId="7662C833" w:rsidR="00EF371F" w:rsidRPr="006644A1" w:rsidRDefault="00EF371F" w:rsidP="00E55AFE">
            <w:pPr>
              <w:pStyle w:val="CETBodytext"/>
              <w:jc w:val="center"/>
              <w:rPr>
                <w:lang w:val="en-GB"/>
              </w:rPr>
            </w:pPr>
            <w:r w:rsidRPr="006644A1">
              <w:t>charge current density</w:t>
            </w:r>
          </w:p>
        </w:tc>
        <w:tc>
          <w:tcPr>
            <w:tcW w:w="1668" w:type="dxa"/>
            <w:shd w:val="clear" w:color="auto" w:fill="FFFFFF"/>
          </w:tcPr>
          <w:p w14:paraId="5B731F47" w14:textId="3A9E97EA" w:rsidR="00EF371F" w:rsidRPr="006644A1" w:rsidRDefault="00EF371F" w:rsidP="00E55AFE">
            <w:pPr>
              <w:pStyle w:val="CETBodytext"/>
              <w:jc w:val="center"/>
              <w:rPr>
                <w:rFonts w:cs="Arial"/>
                <w:lang w:val="en-GB"/>
              </w:rPr>
            </w:pPr>
            <w:proofErr w:type="gramStart"/>
            <w:r w:rsidRPr="006644A1">
              <w:rPr>
                <w:rFonts w:cs="Arial"/>
                <w:lang w:val="en-GB"/>
              </w:rPr>
              <w:t>A,B</w:t>
            </w:r>
            <w:proofErr w:type="gramEnd"/>
          </w:p>
        </w:tc>
        <w:tc>
          <w:tcPr>
            <w:tcW w:w="1282" w:type="dxa"/>
            <w:shd w:val="clear" w:color="auto" w:fill="FFFFFF"/>
          </w:tcPr>
          <w:p w14:paraId="6A897B71" w14:textId="3A94043B" w:rsidR="00EF371F" w:rsidRPr="006644A1" w:rsidRDefault="00000000" w:rsidP="00E55AFE">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c</m:t>
                    </m:r>
                  </m:sub>
                </m:sSub>
              </m:oMath>
            </m:oMathPara>
          </w:p>
        </w:tc>
        <w:tc>
          <w:tcPr>
            <w:tcW w:w="1540" w:type="dxa"/>
            <w:shd w:val="clear" w:color="auto" w:fill="FFFFFF"/>
          </w:tcPr>
          <w:p w14:paraId="37517F62" w14:textId="1FDC6E25"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30 A m</w:t>
            </w:r>
            <w:r w:rsidRPr="006644A1">
              <w:rPr>
                <w:rFonts w:ascii="Times New Roman" w:hAnsi="Times New Roman"/>
                <w:vertAlign w:val="superscript"/>
                <w:lang w:val="en-GB"/>
              </w:rPr>
              <w:t>-2</w:t>
            </w:r>
          </w:p>
        </w:tc>
        <w:tc>
          <w:tcPr>
            <w:tcW w:w="1429" w:type="dxa"/>
            <w:shd w:val="clear" w:color="auto" w:fill="FFFFFF"/>
          </w:tcPr>
          <w:p w14:paraId="4C90AA91" w14:textId="667A5309"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500 A m</w:t>
            </w:r>
            <w:r w:rsidRPr="006644A1">
              <w:rPr>
                <w:rFonts w:ascii="Times New Roman" w:hAnsi="Times New Roman"/>
                <w:vertAlign w:val="superscript"/>
                <w:lang w:val="en-GB"/>
              </w:rPr>
              <w:t>-2</w:t>
            </w:r>
          </w:p>
        </w:tc>
      </w:tr>
      <w:tr w:rsidR="00EF371F" w:rsidRPr="006644A1" w14:paraId="53E22A4A" w14:textId="77777777" w:rsidTr="00EF371F">
        <w:trPr>
          <w:trHeight w:val="283"/>
        </w:trPr>
        <w:tc>
          <w:tcPr>
            <w:tcW w:w="2695" w:type="dxa"/>
            <w:shd w:val="clear" w:color="auto" w:fill="FFFFFF"/>
          </w:tcPr>
          <w:p w14:paraId="6E55BEF3" w14:textId="46A751F9" w:rsidR="00EF371F" w:rsidRPr="006644A1" w:rsidRDefault="00EF371F" w:rsidP="00E55AFE">
            <w:pPr>
              <w:pStyle w:val="CETBodytext"/>
              <w:jc w:val="center"/>
              <w:rPr>
                <w:lang w:val="en-GB"/>
              </w:rPr>
            </w:pPr>
            <w:r w:rsidRPr="006644A1">
              <w:t>discharge current density</w:t>
            </w:r>
          </w:p>
        </w:tc>
        <w:tc>
          <w:tcPr>
            <w:tcW w:w="1668" w:type="dxa"/>
            <w:shd w:val="clear" w:color="auto" w:fill="FFFFFF"/>
          </w:tcPr>
          <w:p w14:paraId="5CFA6795" w14:textId="5A402ACF" w:rsidR="00EF371F" w:rsidRPr="006644A1" w:rsidRDefault="00EF371F" w:rsidP="00E55AFE">
            <w:pPr>
              <w:pStyle w:val="CETBodytext"/>
              <w:jc w:val="center"/>
              <w:rPr>
                <w:rFonts w:cs="Arial"/>
                <w:lang w:val="en-GB"/>
              </w:rPr>
            </w:pPr>
            <w:proofErr w:type="gramStart"/>
            <w:r w:rsidRPr="006644A1">
              <w:rPr>
                <w:rFonts w:cs="Arial"/>
                <w:lang w:val="en-GB"/>
              </w:rPr>
              <w:t>A,B</w:t>
            </w:r>
            <w:proofErr w:type="gramEnd"/>
          </w:p>
        </w:tc>
        <w:tc>
          <w:tcPr>
            <w:tcW w:w="1282" w:type="dxa"/>
            <w:shd w:val="clear" w:color="auto" w:fill="FFFFFF"/>
          </w:tcPr>
          <w:p w14:paraId="6A8B56B4" w14:textId="6A83CA72" w:rsidR="00EF371F" w:rsidRPr="006644A1" w:rsidRDefault="00000000" w:rsidP="00E55AFE">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d</m:t>
                    </m:r>
                  </m:sub>
                </m:sSub>
              </m:oMath>
            </m:oMathPara>
          </w:p>
        </w:tc>
        <w:tc>
          <w:tcPr>
            <w:tcW w:w="1540" w:type="dxa"/>
            <w:shd w:val="clear" w:color="auto" w:fill="FFFFFF"/>
          </w:tcPr>
          <w:p w14:paraId="7E8A1CEA" w14:textId="7DD0790D"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30 A m</w:t>
            </w:r>
            <w:r w:rsidRPr="006644A1">
              <w:rPr>
                <w:rFonts w:ascii="Times New Roman" w:hAnsi="Times New Roman"/>
                <w:vertAlign w:val="superscript"/>
                <w:lang w:val="en-GB"/>
              </w:rPr>
              <w:t>-2</w:t>
            </w:r>
          </w:p>
        </w:tc>
        <w:tc>
          <w:tcPr>
            <w:tcW w:w="1429" w:type="dxa"/>
            <w:shd w:val="clear" w:color="auto" w:fill="FFFFFF"/>
          </w:tcPr>
          <w:p w14:paraId="138441EF" w14:textId="41C0E06F"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200 A m</w:t>
            </w:r>
            <w:r w:rsidRPr="006644A1">
              <w:rPr>
                <w:rFonts w:ascii="Times New Roman" w:hAnsi="Times New Roman"/>
                <w:vertAlign w:val="superscript"/>
                <w:lang w:val="en-GB"/>
              </w:rPr>
              <w:t>-2</w:t>
            </w:r>
          </w:p>
        </w:tc>
      </w:tr>
      <w:tr w:rsidR="00EF371F" w:rsidRPr="006644A1" w14:paraId="72B1EB4C" w14:textId="77777777" w:rsidTr="00EF371F">
        <w:trPr>
          <w:trHeight w:val="272"/>
        </w:trPr>
        <w:tc>
          <w:tcPr>
            <w:tcW w:w="2695" w:type="dxa"/>
            <w:shd w:val="clear" w:color="auto" w:fill="FFFFFF"/>
          </w:tcPr>
          <w:p w14:paraId="2F6B2E36" w14:textId="1C00AAA1" w:rsidR="00EF371F" w:rsidRPr="006644A1" w:rsidRDefault="00EF371F" w:rsidP="00E55AFE">
            <w:pPr>
              <w:pStyle w:val="CETBodytext"/>
              <w:jc w:val="center"/>
              <w:rPr>
                <w:lang w:val="en-GB"/>
              </w:rPr>
            </w:pPr>
            <w:r w:rsidRPr="006644A1">
              <w:t>charge mean flow velocity</w:t>
            </w:r>
          </w:p>
        </w:tc>
        <w:tc>
          <w:tcPr>
            <w:tcW w:w="1668" w:type="dxa"/>
            <w:shd w:val="clear" w:color="auto" w:fill="FFFFFF"/>
          </w:tcPr>
          <w:p w14:paraId="66D19953" w14:textId="104CF95B" w:rsidR="00EF371F" w:rsidRPr="006644A1" w:rsidRDefault="00EF371F" w:rsidP="00E55AFE">
            <w:pPr>
              <w:pStyle w:val="CETBodytext"/>
              <w:jc w:val="center"/>
              <w:rPr>
                <w:lang w:val="en-GB"/>
              </w:rPr>
            </w:pPr>
            <w:proofErr w:type="gramStart"/>
            <w:r w:rsidRPr="006644A1">
              <w:rPr>
                <w:lang w:val="en-GB"/>
              </w:rPr>
              <w:t>A,B</w:t>
            </w:r>
            <w:proofErr w:type="gramEnd"/>
          </w:p>
        </w:tc>
        <w:tc>
          <w:tcPr>
            <w:tcW w:w="1282" w:type="dxa"/>
            <w:shd w:val="clear" w:color="auto" w:fill="FFFFFF"/>
          </w:tcPr>
          <w:p w14:paraId="3DD8A270" w14:textId="0D6495C0" w:rsidR="00EF371F" w:rsidRPr="006644A1" w:rsidRDefault="00000000" w:rsidP="00E55AFE">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ch,c</m:t>
                    </m:r>
                  </m:sub>
                </m:sSub>
              </m:oMath>
            </m:oMathPara>
          </w:p>
        </w:tc>
        <w:tc>
          <w:tcPr>
            <w:tcW w:w="1540" w:type="dxa"/>
            <w:shd w:val="clear" w:color="auto" w:fill="FFFFFF"/>
          </w:tcPr>
          <w:p w14:paraId="3ADC6DD7" w14:textId="1F6ECDC8"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0.5 cm s</w:t>
            </w:r>
            <w:r w:rsidRPr="006644A1">
              <w:rPr>
                <w:rFonts w:ascii="Times New Roman" w:hAnsi="Times New Roman"/>
                <w:vertAlign w:val="superscript"/>
                <w:lang w:val="en-GB"/>
              </w:rPr>
              <w:t>-1</w:t>
            </w:r>
          </w:p>
        </w:tc>
        <w:tc>
          <w:tcPr>
            <w:tcW w:w="1429" w:type="dxa"/>
            <w:shd w:val="clear" w:color="auto" w:fill="FFFFFF"/>
          </w:tcPr>
          <w:p w14:paraId="356EB210" w14:textId="78D921C2"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5 cm s</w:t>
            </w:r>
            <w:r w:rsidRPr="006644A1">
              <w:rPr>
                <w:rFonts w:ascii="Times New Roman" w:hAnsi="Times New Roman"/>
                <w:vertAlign w:val="superscript"/>
                <w:lang w:val="en-GB"/>
              </w:rPr>
              <w:t>-1</w:t>
            </w:r>
          </w:p>
        </w:tc>
      </w:tr>
      <w:tr w:rsidR="00EF371F" w:rsidRPr="006644A1" w14:paraId="2AAFAAE0" w14:textId="77777777" w:rsidTr="00EF371F">
        <w:trPr>
          <w:trHeight w:val="283"/>
        </w:trPr>
        <w:tc>
          <w:tcPr>
            <w:tcW w:w="2695" w:type="dxa"/>
            <w:shd w:val="clear" w:color="auto" w:fill="FFFFFF"/>
          </w:tcPr>
          <w:p w14:paraId="2F7BBD6A" w14:textId="609EAEEA" w:rsidR="00EF371F" w:rsidRPr="006644A1" w:rsidRDefault="00EF371F" w:rsidP="00E55AFE">
            <w:pPr>
              <w:pStyle w:val="CETBodytext"/>
              <w:jc w:val="center"/>
              <w:rPr>
                <w:lang w:val="en-GB"/>
              </w:rPr>
            </w:pPr>
            <w:r w:rsidRPr="006644A1">
              <w:t>discharge mean flow velocity</w:t>
            </w:r>
          </w:p>
        </w:tc>
        <w:tc>
          <w:tcPr>
            <w:tcW w:w="1668" w:type="dxa"/>
            <w:shd w:val="clear" w:color="auto" w:fill="FFFFFF"/>
          </w:tcPr>
          <w:p w14:paraId="573C7FB9" w14:textId="471971A5" w:rsidR="00EF371F" w:rsidRPr="006644A1" w:rsidRDefault="00EF371F" w:rsidP="00E55AFE">
            <w:pPr>
              <w:pStyle w:val="CETBodytext"/>
              <w:jc w:val="center"/>
              <w:rPr>
                <w:lang w:val="en-GB"/>
              </w:rPr>
            </w:pPr>
            <w:proofErr w:type="gramStart"/>
            <w:r w:rsidRPr="006644A1">
              <w:rPr>
                <w:lang w:val="en-GB"/>
              </w:rPr>
              <w:t>A,B</w:t>
            </w:r>
            <w:proofErr w:type="gramEnd"/>
          </w:p>
        </w:tc>
        <w:tc>
          <w:tcPr>
            <w:tcW w:w="1282" w:type="dxa"/>
            <w:shd w:val="clear" w:color="auto" w:fill="FFFFFF"/>
          </w:tcPr>
          <w:p w14:paraId="391E5E28" w14:textId="11F3F64C" w:rsidR="00EF371F" w:rsidRPr="006644A1" w:rsidRDefault="00000000" w:rsidP="00E55AFE">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ch,d</m:t>
                    </m:r>
                  </m:sub>
                </m:sSub>
              </m:oMath>
            </m:oMathPara>
          </w:p>
        </w:tc>
        <w:tc>
          <w:tcPr>
            <w:tcW w:w="1540" w:type="dxa"/>
            <w:shd w:val="clear" w:color="auto" w:fill="FFFFFF"/>
          </w:tcPr>
          <w:p w14:paraId="5D0EE56B" w14:textId="3CF100D8"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0.5 cm s</w:t>
            </w:r>
            <w:r w:rsidRPr="006644A1">
              <w:rPr>
                <w:rFonts w:ascii="Times New Roman" w:hAnsi="Times New Roman"/>
                <w:vertAlign w:val="superscript"/>
                <w:lang w:val="en-GB"/>
              </w:rPr>
              <w:t>-1</w:t>
            </w:r>
          </w:p>
        </w:tc>
        <w:tc>
          <w:tcPr>
            <w:tcW w:w="1429" w:type="dxa"/>
            <w:shd w:val="clear" w:color="auto" w:fill="FFFFFF"/>
          </w:tcPr>
          <w:p w14:paraId="1F841F40" w14:textId="04BA3191"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5 cm s</w:t>
            </w:r>
            <w:r w:rsidRPr="006644A1">
              <w:rPr>
                <w:rFonts w:ascii="Times New Roman" w:hAnsi="Times New Roman"/>
                <w:vertAlign w:val="superscript"/>
                <w:lang w:val="en-GB"/>
              </w:rPr>
              <w:t>-1</w:t>
            </w:r>
          </w:p>
        </w:tc>
      </w:tr>
      <w:tr w:rsidR="00EF371F" w:rsidRPr="006644A1" w14:paraId="5A48FB7E" w14:textId="77777777" w:rsidTr="00EF371F">
        <w:trPr>
          <w:trHeight w:val="272"/>
        </w:trPr>
        <w:tc>
          <w:tcPr>
            <w:tcW w:w="2695" w:type="dxa"/>
            <w:shd w:val="clear" w:color="auto" w:fill="FFFFFF"/>
          </w:tcPr>
          <w:p w14:paraId="66120D61" w14:textId="42A92B56" w:rsidR="00EF371F" w:rsidRPr="006644A1" w:rsidRDefault="00EF371F" w:rsidP="00E55AFE">
            <w:pPr>
              <w:pStyle w:val="CETBodytext"/>
              <w:jc w:val="center"/>
              <w:rPr>
                <w:lang w:val="en-GB"/>
              </w:rPr>
            </w:pPr>
            <w:r w:rsidRPr="006644A1">
              <w:t>charge target concentration</w:t>
            </w:r>
          </w:p>
        </w:tc>
        <w:tc>
          <w:tcPr>
            <w:tcW w:w="1668" w:type="dxa"/>
            <w:shd w:val="clear" w:color="auto" w:fill="FFFFFF"/>
          </w:tcPr>
          <w:p w14:paraId="6B36759E" w14:textId="362997CA" w:rsidR="00EF371F" w:rsidRPr="006644A1" w:rsidRDefault="00EF371F" w:rsidP="00E55AFE">
            <w:pPr>
              <w:pStyle w:val="CETBodytext"/>
              <w:jc w:val="center"/>
              <w:rPr>
                <w:lang w:val="en-GB"/>
              </w:rPr>
            </w:pPr>
            <w:r w:rsidRPr="006644A1">
              <w:rPr>
                <w:lang w:val="en-GB"/>
              </w:rPr>
              <w:t>B</w:t>
            </w:r>
          </w:p>
        </w:tc>
        <w:tc>
          <w:tcPr>
            <w:tcW w:w="1282" w:type="dxa"/>
            <w:shd w:val="clear" w:color="auto" w:fill="FFFFFF"/>
          </w:tcPr>
          <w:p w14:paraId="5D982F1C" w14:textId="46FCCC4D" w:rsidR="00EF371F" w:rsidRPr="006644A1" w:rsidRDefault="00000000" w:rsidP="00E55AFE">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target,c</m:t>
                    </m:r>
                  </m:sub>
                </m:sSub>
              </m:oMath>
            </m:oMathPara>
          </w:p>
        </w:tc>
        <w:tc>
          <w:tcPr>
            <w:tcW w:w="1540" w:type="dxa"/>
            <w:shd w:val="clear" w:color="auto" w:fill="FFFFFF"/>
          </w:tcPr>
          <w:p w14:paraId="32541C17" w14:textId="760C4C02"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500 mol m</w:t>
            </w:r>
            <w:r w:rsidRPr="006644A1">
              <w:rPr>
                <w:rFonts w:ascii="Times New Roman" w:hAnsi="Times New Roman"/>
                <w:vertAlign w:val="superscript"/>
                <w:lang w:val="en-GB"/>
              </w:rPr>
              <w:t>-3</w:t>
            </w:r>
          </w:p>
        </w:tc>
        <w:tc>
          <w:tcPr>
            <w:tcW w:w="1429" w:type="dxa"/>
            <w:shd w:val="clear" w:color="auto" w:fill="FFFFFF"/>
          </w:tcPr>
          <w:p w14:paraId="5FC66CCE" w14:textId="50CCDBBE"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1000 mol m</w:t>
            </w:r>
            <w:r w:rsidRPr="006644A1">
              <w:rPr>
                <w:rFonts w:ascii="Times New Roman" w:hAnsi="Times New Roman"/>
                <w:vertAlign w:val="superscript"/>
                <w:lang w:val="en-GB"/>
              </w:rPr>
              <w:t>-3</w:t>
            </w:r>
          </w:p>
        </w:tc>
      </w:tr>
      <w:tr w:rsidR="00EF371F" w:rsidRPr="006644A1" w14:paraId="7E00CB31" w14:textId="77777777" w:rsidTr="00EF371F">
        <w:trPr>
          <w:trHeight w:val="272"/>
        </w:trPr>
        <w:tc>
          <w:tcPr>
            <w:tcW w:w="2695" w:type="dxa"/>
            <w:shd w:val="clear" w:color="auto" w:fill="FFFFFF"/>
          </w:tcPr>
          <w:p w14:paraId="36DB05C2" w14:textId="6EF06465" w:rsidR="00EF371F" w:rsidRPr="006644A1" w:rsidRDefault="00EF371F" w:rsidP="00E55AFE">
            <w:pPr>
              <w:pStyle w:val="CETBodytext"/>
              <w:jc w:val="center"/>
              <w:rPr>
                <w:lang w:val="en-GB"/>
              </w:rPr>
            </w:pPr>
            <w:r w:rsidRPr="006644A1">
              <w:t>discharge target concentration</w:t>
            </w:r>
          </w:p>
        </w:tc>
        <w:tc>
          <w:tcPr>
            <w:tcW w:w="1668" w:type="dxa"/>
            <w:shd w:val="clear" w:color="auto" w:fill="FFFFFF"/>
          </w:tcPr>
          <w:p w14:paraId="16C33635" w14:textId="74B0F9D8" w:rsidR="00EF371F" w:rsidRPr="006644A1" w:rsidRDefault="00EF371F" w:rsidP="00E55AFE">
            <w:pPr>
              <w:pStyle w:val="CETBodytext"/>
              <w:jc w:val="center"/>
              <w:rPr>
                <w:lang w:val="en-GB"/>
              </w:rPr>
            </w:pPr>
            <w:r w:rsidRPr="006644A1">
              <w:rPr>
                <w:lang w:val="en-GB"/>
              </w:rPr>
              <w:t>B</w:t>
            </w:r>
          </w:p>
        </w:tc>
        <w:tc>
          <w:tcPr>
            <w:tcW w:w="1282" w:type="dxa"/>
            <w:shd w:val="clear" w:color="auto" w:fill="FFFFFF"/>
          </w:tcPr>
          <w:p w14:paraId="0B78AD6F" w14:textId="234B31D3" w:rsidR="00EF371F" w:rsidRPr="006644A1" w:rsidRDefault="00000000" w:rsidP="00E55AFE">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target,d</m:t>
                    </m:r>
                  </m:sub>
                </m:sSub>
              </m:oMath>
            </m:oMathPara>
          </w:p>
        </w:tc>
        <w:tc>
          <w:tcPr>
            <w:tcW w:w="1540" w:type="dxa"/>
            <w:shd w:val="clear" w:color="auto" w:fill="FFFFFF"/>
          </w:tcPr>
          <w:p w14:paraId="2FA23984" w14:textId="5E16DAF8"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50 mol m</w:t>
            </w:r>
            <w:r w:rsidRPr="006644A1">
              <w:rPr>
                <w:rFonts w:ascii="Times New Roman" w:hAnsi="Times New Roman"/>
                <w:vertAlign w:val="superscript"/>
                <w:lang w:val="en-GB"/>
              </w:rPr>
              <w:t>-3</w:t>
            </w:r>
          </w:p>
        </w:tc>
        <w:tc>
          <w:tcPr>
            <w:tcW w:w="1429" w:type="dxa"/>
            <w:shd w:val="clear" w:color="auto" w:fill="FFFFFF"/>
          </w:tcPr>
          <w:p w14:paraId="7D854DA6" w14:textId="2DDB38DB"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200 mol m</w:t>
            </w:r>
            <w:r w:rsidRPr="006644A1">
              <w:rPr>
                <w:rFonts w:ascii="Times New Roman" w:hAnsi="Times New Roman"/>
                <w:vertAlign w:val="superscript"/>
                <w:lang w:val="en-GB"/>
              </w:rPr>
              <w:t>-3</w:t>
            </w:r>
          </w:p>
        </w:tc>
      </w:tr>
      <w:tr w:rsidR="00EF371F" w:rsidRPr="006644A1" w14:paraId="66E41A0D" w14:textId="77777777" w:rsidTr="00344548">
        <w:trPr>
          <w:trHeight w:val="283"/>
        </w:trPr>
        <w:tc>
          <w:tcPr>
            <w:tcW w:w="8614" w:type="dxa"/>
            <w:gridSpan w:val="5"/>
            <w:shd w:val="clear" w:color="auto" w:fill="FFFFFF"/>
          </w:tcPr>
          <w:p w14:paraId="69867930" w14:textId="5A035ED4" w:rsidR="00EF371F" w:rsidRPr="006644A1" w:rsidRDefault="00EF371F" w:rsidP="008C7A0B">
            <w:pPr>
              <w:pStyle w:val="CETBodytext"/>
              <w:ind w:right="-1"/>
              <w:jc w:val="center"/>
              <w:rPr>
                <w:rFonts w:cs="Arial"/>
                <w:szCs w:val="18"/>
                <w:lang w:val="en-GB"/>
              </w:rPr>
            </w:pPr>
            <w:r w:rsidRPr="006644A1">
              <w:rPr>
                <w:rFonts w:cs="Arial"/>
                <w:szCs w:val="18"/>
                <w:lang w:val="en-GB"/>
              </w:rPr>
              <w:t>Design variables</w:t>
            </w:r>
          </w:p>
        </w:tc>
      </w:tr>
      <w:tr w:rsidR="00EF371F" w:rsidRPr="006644A1" w14:paraId="429A6EE9" w14:textId="77777777" w:rsidTr="00EF371F">
        <w:trPr>
          <w:trHeight w:val="283"/>
        </w:trPr>
        <w:tc>
          <w:tcPr>
            <w:tcW w:w="2695" w:type="dxa"/>
            <w:shd w:val="clear" w:color="auto" w:fill="FFFFFF"/>
          </w:tcPr>
          <w:p w14:paraId="3B2C014F" w14:textId="594F6F4F" w:rsidR="00EF371F" w:rsidRPr="006644A1" w:rsidRDefault="00EF371F" w:rsidP="00E55AFE">
            <w:pPr>
              <w:pStyle w:val="CETBodytext"/>
              <w:jc w:val="center"/>
              <w:rPr>
                <w:lang w:val="en-GB"/>
              </w:rPr>
            </w:pPr>
            <w:r w:rsidRPr="006644A1">
              <w:rPr>
                <w:lang w:val="en-GB"/>
              </w:rPr>
              <w:t>spacer length</w:t>
            </w:r>
          </w:p>
        </w:tc>
        <w:tc>
          <w:tcPr>
            <w:tcW w:w="1668" w:type="dxa"/>
            <w:shd w:val="clear" w:color="auto" w:fill="FFFFFF"/>
          </w:tcPr>
          <w:p w14:paraId="3D4A1D4A" w14:textId="446DCF07" w:rsidR="00EF371F" w:rsidRPr="006644A1" w:rsidRDefault="00EF371F" w:rsidP="00E55AFE">
            <w:pPr>
              <w:pStyle w:val="CETBodytext"/>
              <w:jc w:val="center"/>
              <w:rPr>
                <w:lang w:val="en-GB"/>
              </w:rPr>
            </w:pPr>
            <w:r w:rsidRPr="006644A1">
              <w:rPr>
                <w:lang w:val="en-GB"/>
              </w:rPr>
              <w:t>B</w:t>
            </w:r>
          </w:p>
        </w:tc>
        <w:tc>
          <w:tcPr>
            <w:tcW w:w="1282" w:type="dxa"/>
            <w:shd w:val="clear" w:color="auto" w:fill="FFFFFF"/>
          </w:tcPr>
          <w:p w14:paraId="223B134F" w14:textId="64521DB2" w:rsidR="00EF371F" w:rsidRPr="006644A1" w:rsidRDefault="00EF371F" w:rsidP="00E55AFE">
            <w:pPr>
              <w:pStyle w:val="CETBodytext"/>
              <w:jc w:val="center"/>
              <w:rPr>
                <w:lang w:val="en-GB"/>
              </w:rPr>
            </w:pPr>
            <m:oMathPara>
              <m:oMath>
                <m:r>
                  <w:rPr>
                    <w:rFonts w:ascii="Cambria Math" w:hAnsi="Cambria Math"/>
                    <w:lang w:val="en-GB"/>
                  </w:rPr>
                  <m:t>L</m:t>
                </m:r>
              </m:oMath>
            </m:oMathPara>
          </w:p>
        </w:tc>
        <w:tc>
          <w:tcPr>
            <w:tcW w:w="1540" w:type="dxa"/>
            <w:shd w:val="clear" w:color="auto" w:fill="FFFFFF"/>
          </w:tcPr>
          <w:p w14:paraId="4F608ED9" w14:textId="0741303B"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5 cm</w:t>
            </w:r>
          </w:p>
        </w:tc>
        <w:tc>
          <w:tcPr>
            <w:tcW w:w="1429" w:type="dxa"/>
            <w:shd w:val="clear" w:color="auto" w:fill="FFFFFF"/>
          </w:tcPr>
          <w:p w14:paraId="4654E9CE" w14:textId="6AE400C0"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200 cm</w:t>
            </w:r>
          </w:p>
        </w:tc>
      </w:tr>
      <w:tr w:rsidR="00EF371F" w:rsidRPr="006644A1" w14:paraId="24CDC809" w14:textId="77777777" w:rsidTr="00EF371F">
        <w:trPr>
          <w:trHeight w:val="272"/>
        </w:trPr>
        <w:tc>
          <w:tcPr>
            <w:tcW w:w="2695" w:type="dxa"/>
            <w:shd w:val="clear" w:color="auto" w:fill="FFFFFF"/>
          </w:tcPr>
          <w:p w14:paraId="7F9E0318" w14:textId="3356ADA0" w:rsidR="00EF371F" w:rsidRPr="006644A1" w:rsidRDefault="00EF371F" w:rsidP="00E55AFE">
            <w:pPr>
              <w:pStyle w:val="CETBodytext"/>
              <w:ind w:right="-1"/>
              <w:jc w:val="center"/>
              <w:rPr>
                <w:rFonts w:cs="Arial"/>
                <w:szCs w:val="18"/>
                <w:lang w:val="en-GB"/>
              </w:rPr>
            </w:pPr>
            <w:r w:rsidRPr="006644A1">
              <w:rPr>
                <w:rFonts w:cs="Arial"/>
                <w:szCs w:val="18"/>
                <w:lang w:val="en-GB"/>
              </w:rPr>
              <w:t>spacer thickness</w:t>
            </w:r>
          </w:p>
        </w:tc>
        <w:tc>
          <w:tcPr>
            <w:tcW w:w="1668" w:type="dxa"/>
            <w:shd w:val="clear" w:color="auto" w:fill="FFFFFF"/>
          </w:tcPr>
          <w:p w14:paraId="7B48120A" w14:textId="43AC0740" w:rsidR="00EF371F" w:rsidRPr="006644A1" w:rsidRDefault="00EF371F" w:rsidP="00E55AFE">
            <w:pPr>
              <w:pStyle w:val="CETBodytext"/>
              <w:ind w:right="-1"/>
              <w:jc w:val="center"/>
              <w:rPr>
                <w:lang w:val="en-GB"/>
              </w:rPr>
            </w:pPr>
            <w:r w:rsidRPr="006644A1">
              <w:rPr>
                <w:lang w:val="en-GB"/>
              </w:rPr>
              <w:t>B</w:t>
            </w:r>
          </w:p>
        </w:tc>
        <w:tc>
          <w:tcPr>
            <w:tcW w:w="1282" w:type="dxa"/>
            <w:shd w:val="clear" w:color="auto" w:fill="FFFFFF"/>
          </w:tcPr>
          <w:p w14:paraId="6BE99F49" w14:textId="5F5281BD" w:rsidR="00EF371F" w:rsidRPr="006644A1" w:rsidRDefault="00EF371F" w:rsidP="00E55AFE">
            <w:pPr>
              <w:pStyle w:val="CETBodytext"/>
              <w:ind w:right="-1"/>
              <w:jc w:val="center"/>
              <w:rPr>
                <w:rFonts w:cs="Arial"/>
                <w:szCs w:val="18"/>
                <w:lang w:val="en-GB"/>
              </w:rPr>
            </w:pPr>
            <m:oMathPara>
              <m:oMath>
                <m:r>
                  <w:rPr>
                    <w:rFonts w:ascii="Cambria Math" w:hAnsi="Cambria Math"/>
                    <w:lang w:val="en-GB"/>
                  </w:rPr>
                  <m:t>b</m:t>
                </m:r>
              </m:oMath>
            </m:oMathPara>
          </w:p>
        </w:tc>
        <w:tc>
          <w:tcPr>
            <w:tcW w:w="1540" w:type="dxa"/>
            <w:shd w:val="clear" w:color="auto" w:fill="FFFFFF"/>
          </w:tcPr>
          <w:p w14:paraId="7C909F30" w14:textId="47FDC43B"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50 µm</w:t>
            </w:r>
          </w:p>
        </w:tc>
        <w:tc>
          <w:tcPr>
            <w:tcW w:w="1429" w:type="dxa"/>
            <w:shd w:val="clear" w:color="auto" w:fill="FFFFFF"/>
          </w:tcPr>
          <w:p w14:paraId="5337F563" w14:textId="6D5DD649" w:rsidR="00EF371F" w:rsidRPr="006644A1" w:rsidRDefault="00EF371F" w:rsidP="00E55AFE">
            <w:pPr>
              <w:pStyle w:val="CETBodytext"/>
              <w:ind w:right="-1"/>
              <w:jc w:val="center"/>
              <w:rPr>
                <w:rFonts w:cs="Arial"/>
                <w:szCs w:val="18"/>
                <w:lang w:val="en-GB"/>
              </w:rPr>
            </w:pPr>
            <w:r w:rsidRPr="006644A1">
              <w:rPr>
                <w:rFonts w:ascii="Times New Roman" w:hAnsi="Times New Roman"/>
                <w:lang w:val="en-GB"/>
              </w:rPr>
              <w:t>1000 µm</w:t>
            </w:r>
          </w:p>
        </w:tc>
      </w:tr>
    </w:tbl>
    <w:p w14:paraId="3D2C10DB" w14:textId="1F38D6D5" w:rsidR="0054551B" w:rsidRPr="006644A1" w:rsidRDefault="0054551B" w:rsidP="0054551B">
      <w:pPr>
        <w:pStyle w:val="CETBodytext"/>
      </w:pPr>
      <w:r w:rsidRPr="006644A1">
        <w:t>Two scenarios were studied in this work, which differed in the</w:t>
      </w:r>
      <w:r w:rsidR="00A27941" w:rsidRPr="006644A1">
        <w:t>ir</w:t>
      </w:r>
      <w:r w:rsidRPr="006644A1">
        <w:t xml:space="preserve"> number of decision parameters. </w:t>
      </w:r>
      <w:r w:rsidR="00A27941" w:rsidRPr="006644A1">
        <w:t>Specifically, t</w:t>
      </w:r>
      <w:r w:rsidRPr="006644A1">
        <w:t xml:space="preserve">he Pareto curves </w:t>
      </w:r>
      <w:r w:rsidR="00A27941" w:rsidRPr="006644A1">
        <w:t>are</w:t>
      </w:r>
      <w:r w:rsidRPr="006644A1">
        <w:t xml:space="preserve"> illustrated in the case of four (scenario A) and eight</w:t>
      </w:r>
      <w:r w:rsidR="00B42F10" w:rsidRPr="006644A1">
        <w:t xml:space="preserve"> (scenario B)</w:t>
      </w:r>
      <w:r w:rsidRPr="006644A1">
        <w:t xml:space="preserve"> decision parameters. Current densities and average mean flow velocit</w:t>
      </w:r>
      <w:r w:rsidR="00D67F7D" w:rsidRPr="006644A1">
        <w:t>ies</w:t>
      </w:r>
      <w:r w:rsidRPr="006644A1">
        <w:t xml:space="preserve"> in the channels </w:t>
      </w:r>
      <w:r w:rsidR="00B42F10" w:rsidRPr="006644A1">
        <w:t>were</w:t>
      </w:r>
      <w:r w:rsidRPr="006644A1">
        <w:t xml:space="preserve"> used as decision variables in both the charge and discharge phases in Scenario A. Scenario B include</w:t>
      </w:r>
      <w:r w:rsidR="00B42F10" w:rsidRPr="006644A1">
        <w:t>d</w:t>
      </w:r>
      <w:r w:rsidRPr="006644A1">
        <w:t xml:space="preserve">, in addition to the decision variables mentioned </w:t>
      </w:r>
      <w:r w:rsidR="00D67F7D" w:rsidRPr="006644A1">
        <w:t>for</w:t>
      </w:r>
      <w:r w:rsidRPr="006644A1">
        <w:t xml:space="preserve"> Scenario A, the target concentrations of HCl for both the charge and discharge phases, as well as the length and </w:t>
      </w:r>
      <w:r w:rsidR="0083353D" w:rsidRPr="006644A1">
        <w:t>thickness</w:t>
      </w:r>
      <w:r w:rsidRPr="006644A1">
        <w:t xml:space="preserve"> of the spacer.</w:t>
      </w:r>
    </w:p>
    <w:p w14:paraId="2D4030FC" w14:textId="2038F644" w:rsidR="001521FB" w:rsidRPr="006644A1" w:rsidRDefault="0054551B" w:rsidP="001521FB">
      <w:pPr>
        <w:pStyle w:val="CETBodytext"/>
      </w:pPr>
      <w:r w:rsidRPr="006644A1">
        <w:lastRenderedPageBreak/>
        <w:t xml:space="preserve">The </w:t>
      </w:r>
      <w:r w:rsidR="00B26C27" w:rsidRPr="006644A1">
        <w:t xml:space="preserve">optimization study was </w:t>
      </w:r>
      <w:r w:rsidR="00D67F7D" w:rsidRPr="006644A1">
        <w:t>performed</w:t>
      </w:r>
      <w:r w:rsidRPr="006644A1">
        <w:t xml:space="preserve"> </w:t>
      </w:r>
      <w:r w:rsidR="00B26C27" w:rsidRPr="006644A1">
        <w:t xml:space="preserve">for </w:t>
      </w:r>
      <w:r w:rsidRPr="006644A1">
        <w:t xml:space="preserve">a single battery cycle. </w:t>
      </w:r>
      <w:r w:rsidR="00B42F10" w:rsidRPr="006644A1">
        <w:t>Additionally</w:t>
      </w:r>
      <w:r w:rsidRPr="006644A1">
        <w:t xml:space="preserve">, for these simulations, the AB-FB reference design developed as part of the European project </w:t>
      </w:r>
      <w:proofErr w:type="spellStart"/>
      <w:r w:rsidRPr="006644A1">
        <w:t>BAoBaB</w:t>
      </w:r>
      <w:proofErr w:type="spellEnd"/>
      <w:r w:rsidRPr="006644A1">
        <w:t xml:space="preserve"> </w:t>
      </w:r>
      <w:r w:rsidR="001B49D8" w:rsidRPr="006644A1">
        <w:fldChar w:fldCharType="begin" w:fldLock="1"/>
      </w:r>
      <w:r w:rsidR="006865A5" w:rsidRPr="006644A1">
        <w:instrText>ADDIN CSL_CITATION {"citationItems":[{"id":"ITEM-1","itemData":{"DOI":"10.3390/membranes10120409","ISSN":"2077-0375","abstract":"The increasing share of renewables in electric grids nowadays causes a growing daily and seasonal mismatch between electricity generation and demand. In this regard, novel energy storage systems need to be developed, to allow large-scale storage of the excess electricity during low-demand time, and its distribution during peak demand time. Acid–base flow battery (ABFB) is a novel and environmentally friendly technology based on the reversible water dissociation by bipolar membranes, and it stores electricity in the form of chemical energy in acid and base solutions. The technology has already been demonstrated at the laboratory scale, and the experimental testing of the first 1 kW pilot plant is currently ongoing. This work aims to describe the current development and the perspectives of the ABFB technology. In particular, we discuss the main technical challenges related to the development of battery components (membranes, electrolyte solutions, and stack design), as well as simulated scenarios, to demonstrate the technology at the kW–MW scale. Finally, we present an economic analysis for a first 100 kW commercial unit and suggest future directions for further technology scale-up and commercial deployment.","author":[{"dropping-particle":"","family":"Pärnamäe","given":"Ragne","non-dropping-particle":"","parse-names":false,"suffix":""},{"dropping-particle":"","family":"Gurreri","given":"Luigi","non-dropping-particle":"","parse-names":false,"suffix":""},{"dropping-particle":"","family":"Post","given":"Jan","non-dropping-particle":"","parse-names":false,"suffix":""},{"dropping-particle":"","family":"Egmond","given":"Willem Johannes","non-dropping-particle":"van","parse-names":false,"suffix":""},{"dropping-particle":"","family":"Culcasi","given":"Andrea","non-dropping-particle":"","parse-names":false,"suffix":""},{"dropping-particle":"","family":"Saakes","given":"Michel","non-dropping-particle":"","parse-names":false,"suffix":""},{"dropping-particle":"","family":"Cen","given":"Jiajun","non-dropping-particle":"","parse-names":false,"suffix":""},{"dropping-particle":"","family":"Goosen","given":"Emil","non-dropping-particle":"","parse-names":false,"suffix":""},{"dropping-particle":"","family":"Tamburini","given":"Alessandro","non-dropping-particle":"","parse-names":false,"suffix":""},{"dropping-particle":"","family":"Vermaas","given":"David A.","non-dropping-particle":"","parse-names":false,"suffix":""},{"dropping-particle":"","family":"Tedesco","given":"Michele","non-dropping-particle":"","parse-names":false,"suffix":""}],"container-title":"Membranes","id":"ITEM-1","issue":"12","issued":{"date-parts":[["2020","12","10"]]},"page":"409","publisher":"Multidisciplinary Digital Publishing Institute","title":"The Acid–Base Flow Battery: Sustainable Energy Storage via Reversible Water Dissociation with Bipolar Membranes","type":"article-journal","volume":"10"},"uris":["http://www.mendeley.com/documents/?uuid=79998324-ebf5-3a5d-a138-a77e950399b6"]}],"mendeley":{"formattedCitation":"(Pärnamäe et al., 2020)","plainTextFormattedCitation":"(Pärnamäe et al., 2020)","previouslyFormattedCitation":"(Pärnamäe et al., 2020)"},"properties":{"noteIndex":0},"schema":"https://github.com/citation-style-language/schema/raw/master/csl-citation.json"}</w:instrText>
      </w:r>
      <w:r w:rsidR="001B49D8" w:rsidRPr="006644A1">
        <w:fldChar w:fldCharType="separate"/>
      </w:r>
      <w:r w:rsidR="001B49D8" w:rsidRPr="006644A1">
        <w:rPr>
          <w:noProof/>
        </w:rPr>
        <w:t>(Pärnamäe et al., 2020)</w:t>
      </w:r>
      <w:r w:rsidR="001B49D8" w:rsidRPr="006644A1">
        <w:fldChar w:fldCharType="end"/>
      </w:r>
      <w:r w:rsidRPr="006644A1">
        <w:t xml:space="preserve"> was used, </w:t>
      </w:r>
      <w:r w:rsidR="00D67F7D" w:rsidRPr="006644A1">
        <w:t xml:space="preserve">whose sizes </w:t>
      </w:r>
      <w:r w:rsidRPr="006644A1">
        <w:t xml:space="preserve">are shown in </w:t>
      </w:r>
      <w:r w:rsidR="001B49D8" w:rsidRPr="006644A1">
        <w:fldChar w:fldCharType="begin"/>
      </w:r>
      <w:r w:rsidR="001B49D8" w:rsidRPr="006644A1">
        <w:instrText xml:space="preserve"> REF _Ref104742258 \h </w:instrText>
      </w:r>
      <w:r w:rsidR="006644A1">
        <w:instrText xml:space="preserve"> \* MERGEFORMAT </w:instrText>
      </w:r>
      <w:r w:rsidR="001B49D8" w:rsidRPr="006644A1">
        <w:fldChar w:fldCharType="separate"/>
      </w:r>
      <w:r w:rsidR="001B49D8" w:rsidRPr="006644A1">
        <w:t xml:space="preserve">Table </w:t>
      </w:r>
      <w:r w:rsidR="001B49D8" w:rsidRPr="006644A1">
        <w:rPr>
          <w:noProof/>
        </w:rPr>
        <w:t>2</w:t>
      </w:r>
      <w:r w:rsidR="001B49D8" w:rsidRPr="006644A1">
        <w:fldChar w:fldCharType="end"/>
      </w:r>
      <w:r w:rsidRPr="006644A1">
        <w:t xml:space="preserve">. This design </w:t>
      </w:r>
      <w:proofErr w:type="spellStart"/>
      <w:r w:rsidRPr="006644A1">
        <w:t>minimises</w:t>
      </w:r>
      <w:proofErr w:type="spellEnd"/>
      <w:r w:rsidRPr="006644A1">
        <w:t xml:space="preserve"> battery-detrimental phenomena, particularly shunt currents. </w:t>
      </w:r>
      <w:r w:rsidR="00B33C33" w:rsidRPr="006644A1">
        <w:t>This reference design comprises a pile of eight stacks, each containing seven triplets. Since</w:t>
      </w:r>
      <w:r w:rsidRPr="006644A1">
        <w:t xml:space="preserve"> each stack represents a repetitive unit, only one stack </w:t>
      </w:r>
      <w:r w:rsidR="00B33C33" w:rsidRPr="006644A1">
        <w:t>was</w:t>
      </w:r>
      <w:r w:rsidRPr="006644A1">
        <w:t xml:space="preserve"> simulated, and the results are representative of the entire pile. The charge transfer reactions, the electromotive force of the electrode reactions, and the ohmic resistances of the end-membrane and electrolyte solutions were simulated as a lumped parameter called blank resistance</w:t>
      </w:r>
      <w:r w:rsidR="00B33C33" w:rsidRPr="006644A1">
        <w:t>, which was p</w:t>
      </w:r>
      <w:r w:rsidRPr="006644A1">
        <w:t xml:space="preserve">urposefully measured experimentally at the electrodes. </w:t>
      </w:r>
    </w:p>
    <w:p w14:paraId="078837F6" w14:textId="0A468789" w:rsidR="001B49D8" w:rsidRPr="006644A1" w:rsidRDefault="001B49D8" w:rsidP="001B49D8">
      <w:pPr>
        <w:pStyle w:val="CETCaption"/>
      </w:pPr>
      <w:bookmarkStart w:id="2" w:name="_Ref104742258"/>
      <w:r w:rsidRPr="006644A1">
        <w:t xml:space="preserve">Table </w:t>
      </w:r>
      <w:r w:rsidRPr="006644A1">
        <w:fldChar w:fldCharType="begin"/>
      </w:r>
      <w:r w:rsidRPr="006644A1">
        <w:instrText xml:space="preserve"> SEQ Table \* ARABIC </w:instrText>
      </w:r>
      <w:r w:rsidRPr="006644A1">
        <w:fldChar w:fldCharType="separate"/>
      </w:r>
      <w:r w:rsidRPr="006644A1">
        <w:rPr>
          <w:noProof/>
        </w:rPr>
        <w:t>2</w:t>
      </w:r>
      <w:r w:rsidRPr="006644A1">
        <w:fldChar w:fldCharType="end"/>
      </w:r>
      <w:bookmarkEnd w:id="2"/>
      <w:r w:rsidRPr="006644A1">
        <w:t xml:space="preserve">. </w:t>
      </w:r>
      <w:r w:rsidR="00500C6C" w:rsidRPr="006644A1">
        <w:t>M</w:t>
      </w:r>
      <w:proofErr w:type="spellStart"/>
      <w:r w:rsidRPr="006644A1">
        <w:rPr>
          <w:lang w:val="en-US"/>
        </w:rPr>
        <w:t>ulti</w:t>
      </w:r>
      <w:proofErr w:type="spellEnd"/>
      <w:r w:rsidRPr="006644A1">
        <w:rPr>
          <w:lang w:val="en-US"/>
        </w:rPr>
        <w:t>-scale model</w:t>
      </w:r>
      <w:r w:rsidR="00500C6C" w:rsidRPr="006644A1">
        <w:rPr>
          <w:lang w:val="en-US"/>
        </w:rPr>
        <w:t xml:space="preserve"> input</w:t>
      </w:r>
      <w:r w:rsidRPr="006644A1">
        <w:rPr>
          <w:lang w:val="en-US"/>
        </w:rPr>
        <w:t xml:space="preserve"> for the </w:t>
      </w:r>
      <w:r w:rsidR="00500C6C" w:rsidRPr="006644A1">
        <w:rPr>
          <w:lang w:val="en-US"/>
        </w:rPr>
        <w:t>optimization study</w:t>
      </w:r>
      <w:r w:rsidR="001540C6" w:rsidRPr="006644A1">
        <w:rPr>
          <w:lang w:val="en-US"/>
        </w:rPr>
        <w:t xml:space="preserve"> adapted from</w:t>
      </w:r>
      <w:r w:rsidRPr="006644A1">
        <w:rPr>
          <w:lang w:val="en-US"/>
        </w:rPr>
        <w:t xml:space="preserve"> </w:t>
      </w:r>
      <w:r w:rsidR="006865A5" w:rsidRPr="006644A1">
        <w:rPr>
          <w:lang w:val="en-US"/>
        </w:rPr>
        <w:fldChar w:fldCharType="begin" w:fldLock="1"/>
      </w:r>
      <w:r w:rsidR="00C7343A" w:rsidRPr="006644A1">
        <w:rPr>
          <w:lang w:val="en-US"/>
        </w:rPr>
        <w:instrText>ADDIN CSL_CITATION {"citationItems":[{"id":"ITEM-1","itemData":{"DOI":"10.3303/CET2186232","ISBN":"978-88-95608-84-6","ISSN":"2283-9216","abstract":"In the context of renewable energy sources, storage systems have been proposed as a solution to the issues related to fluctuations in the production and consumption of electric power. The EU funded BAoBaB project is aimed at developing the Acid/Base Flow battery (AB-FB), an environment-friendly, cost-competitive, grid-scale battery storage system based on the cyclic coupling of Bipolar Membrane ElectroDialysis (BMED) and its reverse, the Bipolar Membrane Reverse ElectroDialysis (BMRED) (Pärnamäe et al., 2020). Bipolar membranes promote catalytically water dissociation, thus allowing the storage of electric power in the form of acidic and alkaline solutions (pH gradient), obtained from their corresponding salt (charging mode-BMED), which are then recombined to provide electrical power (discharging mode-BMRED). The membranes are key elements for the process performance; however, the energy conversion efficiency is also affected by the operating parameters of the process and the design features of the stack. In this work, we performed a sensitivity analysis by a mathematical multi-scale model previously developed (Culcasi et al., 2020a). The performance of AB-FB systems was predicted, focusing on the Round Trip Efficiency. Results showed that proper design features made the effect of parasitic currents negligible. Moreover, proper operating conditions maximized the RTE up to 66%.","author":[{"dropping-particle":"","family":"Culcasi","given":"Andrea","non-dropping-particle":"","parse-names":false,"suffix":""},{"dropping-particle":"","family":"Gurreri","given":"Luigi","non-dropping-particle":"","parse-names":false,"suffix":""},{"dropping-particle":"","family":"Tamburini","given":"Alessandro","non-dropping-particle":"","parse-names":false,"suffix":""},{"dropping-particle":"","family":"Cipollina","given":"Andrea","non-dropping-particle":"","parse-names":false,"suffix":""},{"dropping-particle":"","family":"Micale","given":"Giorgio","non-dropping-particle":"","parse-names":false,"suffix":""}],"container-title":"Chemical Engineering Transactions","id":"ITEM-1","issue":"April","issued":{"date-parts":[["2021"]]},"page":"1387-1392","title":"Effect of Design Features and Operating Conditions on the Performance of a Bipolar Membrane-Based Acid/Base Flow Battery","type":"article-journal","volume":"86"},"uris":["http://www.mendeley.com/documents/?uuid=6389505f-3649-412b-ae73-110c00916040"]}],"mendeley":{"formattedCitation":"(Culcasi et al., 2021b)","plainTextFormattedCitation":"(Culcasi et al., 2021b)","previouslyFormattedCitation":"(Culcasi et al., 2021b)"},"properties":{"noteIndex":0},"schema":"https://github.com/citation-style-language/schema/raw/master/csl-citation.json"}</w:instrText>
      </w:r>
      <w:r w:rsidR="006865A5" w:rsidRPr="006644A1">
        <w:rPr>
          <w:lang w:val="en-US"/>
        </w:rPr>
        <w:fldChar w:fldCharType="separate"/>
      </w:r>
      <w:r w:rsidR="006865A5" w:rsidRPr="006644A1">
        <w:rPr>
          <w:i w:val="0"/>
          <w:noProof/>
          <w:lang w:val="en-US"/>
        </w:rPr>
        <w:t>(Culcasi et al., 2021b)</w:t>
      </w:r>
      <w:r w:rsidR="006865A5" w:rsidRPr="006644A1">
        <w:rPr>
          <w:lang w:val="en-US"/>
        </w:rPr>
        <w:fldChar w:fldCharType="end"/>
      </w:r>
      <w:r w:rsidRPr="006644A1">
        <w:rPr>
          <w:lang w:val="en-US"/>
        </w:rPr>
        <w:t>.</w:t>
      </w:r>
    </w:p>
    <w:tbl>
      <w:tblPr>
        <w:tblW w:w="986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90"/>
        <w:gridCol w:w="1178"/>
        <w:gridCol w:w="993"/>
        <w:gridCol w:w="1417"/>
        <w:gridCol w:w="1134"/>
        <w:gridCol w:w="1134"/>
        <w:gridCol w:w="992"/>
        <w:gridCol w:w="1134"/>
        <w:gridCol w:w="792"/>
      </w:tblGrid>
      <w:tr w:rsidR="002E4AD8" w:rsidRPr="006644A1" w14:paraId="131D6594" w14:textId="77777777" w:rsidTr="002107EC">
        <w:trPr>
          <w:trHeight w:val="214"/>
        </w:trPr>
        <w:tc>
          <w:tcPr>
            <w:tcW w:w="9864" w:type="dxa"/>
            <w:gridSpan w:val="9"/>
            <w:tcBorders>
              <w:top w:val="single" w:sz="12" w:space="0" w:color="008000"/>
              <w:bottom w:val="single" w:sz="6" w:space="0" w:color="008000"/>
            </w:tcBorders>
            <w:shd w:val="clear" w:color="auto" w:fill="FFFFFF"/>
          </w:tcPr>
          <w:p w14:paraId="394E7CFA" w14:textId="6BF1CA1B" w:rsidR="002E4AD8" w:rsidRPr="006644A1" w:rsidRDefault="002E4AD8" w:rsidP="00790C78">
            <w:pPr>
              <w:pStyle w:val="CETBodytext"/>
              <w:ind w:right="-1"/>
              <w:jc w:val="center"/>
              <w:rPr>
                <w:lang w:val="en-GB"/>
              </w:rPr>
            </w:pPr>
            <w:r w:rsidRPr="006644A1">
              <w:rPr>
                <w:lang w:val="en-GB"/>
              </w:rPr>
              <w:t>Membrane properties</w:t>
            </w:r>
          </w:p>
        </w:tc>
      </w:tr>
      <w:tr w:rsidR="007B7860" w:rsidRPr="006644A1" w14:paraId="41391522" w14:textId="77777777" w:rsidTr="00CE0E20">
        <w:trPr>
          <w:trHeight w:val="214"/>
        </w:trPr>
        <w:tc>
          <w:tcPr>
            <w:tcW w:w="1090" w:type="dxa"/>
            <w:tcBorders>
              <w:top w:val="single" w:sz="6" w:space="0" w:color="008000"/>
            </w:tcBorders>
            <w:shd w:val="clear" w:color="auto" w:fill="FFFFFF"/>
          </w:tcPr>
          <w:p w14:paraId="69CEA1AD" w14:textId="77777777" w:rsidR="007B7860" w:rsidRPr="006644A1" w:rsidRDefault="007B7860" w:rsidP="00790C78">
            <w:pPr>
              <w:pStyle w:val="CETBodytext"/>
              <w:rPr>
                <w:lang w:val="en-GB"/>
              </w:rPr>
            </w:pPr>
          </w:p>
        </w:tc>
        <w:tc>
          <w:tcPr>
            <w:tcW w:w="1178" w:type="dxa"/>
            <w:tcBorders>
              <w:top w:val="single" w:sz="6" w:space="0" w:color="008000"/>
            </w:tcBorders>
            <w:shd w:val="clear" w:color="auto" w:fill="FFFFFF"/>
          </w:tcPr>
          <w:p w14:paraId="371D4B8E" w14:textId="77777777" w:rsidR="007B7860" w:rsidRPr="006644A1" w:rsidRDefault="007B7860" w:rsidP="00790C78">
            <w:pPr>
              <w:pStyle w:val="CETBodytext"/>
              <w:rPr>
                <w:lang w:val="en-GB"/>
              </w:rPr>
            </w:pPr>
          </w:p>
        </w:tc>
        <w:tc>
          <w:tcPr>
            <w:tcW w:w="993" w:type="dxa"/>
            <w:tcBorders>
              <w:top w:val="single" w:sz="6" w:space="0" w:color="008000"/>
            </w:tcBorders>
            <w:shd w:val="clear" w:color="auto" w:fill="FFFFFF"/>
          </w:tcPr>
          <w:p w14:paraId="79E85B07" w14:textId="77777777" w:rsidR="007B7860" w:rsidRPr="006644A1" w:rsidRDefault="007B7860" w:rsidP="00790C78">
            <w:pPr>
              <w:pStyle w:val="CETBodytext"/>
              <w:rPr>
                <w:lang w:val="en-GB"/>
              </w:rPr>
            </w:pPr>
          </w:p>
        </w:tc>
        <w:tc>
          <w:tcPr>
            <w:tcW w:w="1417" w:type="dxa"/>
            <w:tcBorders>
              <w:top w:val="single" w:sz="6" w:space="0" w:color="008000"/>
            </w:tcBorders>
            <w:shd w:val="clear" w:color="auto" w:fill="FFFFFF"/>
          </w:tcPr>
          <w:p w14:paraId="61F91094" w14:textId="77777777" w:rsidR="007B7860" w:rsidRPr="006644A1" w:rsidRDefault="007B7860" w:rsidP="00790C78">
            <w:pPr>
              <w:pStyle w:val="CETBodytext"/>
              <w:ind w:right="-1"/>
              <w:rPr>
                <w:rFonts w:cs="Arial"/>
                <w:szCs w:val="18"/>
                <w:lang w:val="en-GB"/>
              </w:rPr>
            </w:pPr>
            <w:r w:rsidRPr="006644A1">
              <w:rPr>
                <w:rFonts w:cs="Arial"/>
                <w:szCs w:val="18"/>
                <w:lang w:val="en-GB"/>
              </w:rPr>
              <w:t>units</w:t>
            </w:r>
          </w:p>
        </w:tc>
        <w:tc>
          <w:tcPr>
            <w:tcW w:w="1134" w:type="dxa"/>
            <w:tcBorders>
              <w:top w:val="single" w:sz="6" w:space="0" w:color="008000"/>
            </w:tcBorders>
            <w:shd w:val="clear" w:color="auto" w:fill="FFFFFF"/>
          </w:tcPr>
          <w:p w14:paraId="2AFDF37B" w14:textId="77777777" w:rsidR="007B7860" w:rsidRPr="006644A1" w:rsidRDefault="007B7860" w:rsidP="00790C78">
            <w:pPr>
              <w:pStyle w:val="CETBodytext"/>
              <w:ind w:right="-1"/>
              <w:rPr>
                <w:rFonts w:cs="Arial"/>
                <w:szCs w:val="18"/>
                <w:lang w:val="en-GB"/>
              </w:rPr>
            </w:pPr>
            <w:r w:rsidRPr="006644A1">
              <w:rPr>
                <w:rFonts w:cs="Arial"/>
                <w:szCs w:val="18"/>
                <w:lang w:val="en-GB"/>
              </w:rPr>
              <w:t>AEM</w:t>
            </w:r>
          </w:p>
        </w:tc>
        <w:tc>
          <w:tcPr>
            <w:tcW w:w="1134" w:type="dxa"/>
            <w:tcBorders>
              <w:top w:val="single" w:sz="6" w:space="0" w:color="008000"/>
            </w:tcBorders>
            <w:shd w:val="clear" w:color="auto" w:fill="FFFFFF"/>
          </w:tcPr>
          <w:p w14:paraId="6B7276DE" w14:textId="77777777" w:rsidR="007B7860" w:rsidRPr="006644A1" w:rsidRDefault="007B7860" w:rsidP="00790C78">
            <w:pPr>
              <w:pStyle w:val="CETBodytext"/>
              <w:ind w:right="-1"/>
              <w:rPr>
                <w:rFonts w:cs="Arial"/>
                <w:szCs w:val="18"/>
                <w:lang w:val="en-GB"/>
              </w:rPr>
            </w:pPr>
            <w:r w:rsidRPr="006644A1">
              <w:rPr>
                <w:rFonts w:cs="Arial"/>
                <w:szCs w:val="18"/>
                <w:lang w:val="en-GB"/>
              </w:rPr>
              <w:t>CEM</w:t>
            </w:r>
          </w:p>
        </w:tc>
        <w:tc>
          <w:tcPr>
            <w:tcW w:w="992" w:type="dxa"/>
            <w:tcBorders>
              <w:top w:val="single" w:sz="6" w:space="0" w:color="008000"/>
            </w:tcBorders>
            <w:shd w:val="clear" w:color="auto" w:fill="FFFFFF"/>
          </w:tcPr>
          <w:p w14:paraId="198BD0B1" w14:textId="47B9CCBD" w:rsidR="007B7860" w:rsidRPr="006644A1" w:rsidRDefault="007B7860" w:rsidP="00790C78">
            <w:pPr>
              <w:pStyle w:val="CETBodytext"/>
              <w:ind w:right="-1"/>
              <w:rPr>
                <w:rFonts w:cs="Arial"/>
                <w:szCs w:val="18"/>
                <w:lang w:val="en-GB"/>
              </w:rPr>
            </w:pPr>
            <w:r w:rsidRPr="006644A1">
              <w:rPr>
                <w:rFonts w:cs="Arial"/>
                <w:szCs w:val="18"/>
                <w:lang w:val="en-GB"/>
              </w:rPr>
              <w:t>AEL</w:t>
            </w:r>
          </w:p>
        </w:tc>
        <w:tc>
          <w:tcPr>
            <w:tcW w:w="1134" w:type="dxa"/>
            <w:tcBorders>
              <w:top w:val="single" w:sz="6" w:space="0" w:color="008000"/>
            </w:tcBorders>
            <w:shd w:val="clear" w:color="auto" w:fill="FFFFFF"/>
          </w:tcPr>
          <w:p w14:paraId="64E170E0" w14:textId="05D07A15" w:rsidR="007B7860" w:rsidRPr="006644A1" w:rsidRDefault="007B7860" w:rsidP="00790C78">
            <w:pPr>
              <w:pStyle w:val="CETBodytext"/>
              <w:ind w:right="-1"/>
              <w:rPr>
                <w:rFonts w:cs="Arial"/>
                <w:szCs w:val="18"/>
                <w:lang w:val="en-GB"/>
              </w:rPr>
            </w:pPr>
            <w:r w:rsidRPr="006644A1">
              <w:rPr>
                <w:rFonts w:cs="Arial"/>
                <w:szCs w:val="18"/>
                <w:lang w:val="en-GB"/>
              </w:rPr>
              <w:t>CEL</w:t>
            </w:r>
          </w:p>
        </w:tc>
        <w:tc>
          <w:tcPr>
            <w:tcW w:w="792" w:type="dxa"/>
            <w:tcBorders>
              <w:top w:val="single" w:sz="6" w:space="0" w:color="008000"/>
            </w:tcBorders>
            <w:shd w:val="clear" w:color="auto" w:fill="FFFFFF"/>
          </w:tcPr>
          <w:p w14:paraId="214723E7" w14:textId="6C2F1264" w:rsidR="007B7860" w:rsidRPr="006644A1" w:rsidRDefault="007B7860" w:rsidP="00790C78">
            <w:pPr>
              <w:pStyle w:val="CETBodytext"/>
              <w:ind w:right="-1"/>
              <w:rPr>
                <w:rFonts w:cs="Arial"/>
                <w:szCs w:val="18"/>
                <w:lang w:val="en-GB"/>
              </w:rPr>
            </w:pPr>
            <w:r w:rsidRPr="006644A1">
              <w:rPr>
                <w:rFonts w:cs="Arial"/>
                <w:szCs w:val="18"/>
                <w:lang w:val="en-GB"/>
              </w:rPr>
              <w:t>BPM</w:t>
            </w:r>
          </w:p>
        </w:tc>
      </w:tr>
      <w:tr w:rsidR="007B7860" w:rsidRPr="006644A1" w14:paraId="75779B71" w14:textId="77777777" w:rsidTr="00CE0E20">
        <w:trPr>
          <w:trHeight w:val="206"/>
        </w:trPr>
        <w:tc>
          <w:tcPr>
            <w:tcW w:w="3261" w:type="dxa"/>
            <w:gridSpan w:val="3"/>
            <w:shd w:val="clear" w:color="auto" w:fill="FFFFFF"/>
          </w:tcPr>
          <w:p w14:paraId="45EC8661" w14:textId="77777777" w:rsidR="007B7860" w:rsidRPr="006644A1" w:rsidRDefault="007B7860" w:rsidP="00790C78">
            <w:pPr>
              <w:pStyle w:val="CETBodytext"/>
              <w:rPr>
                <w:lang w:val="en-GB"/>
              </w:rPr>
            </w:pPr>
            <w:r w:rsidRPr="006644A1">
              <w:rPr>
                <w:lang w:val="en-GB"/>
              </w:rPr>
              <w:t>Thickness</w:t>
            </w:r>
          </w:p>
        </w:tc>
        <w:tc>
          <w:tcPr>
            <w:tcW w:w="1417" w:type="dxa"/>
            <w:shd w:val="clear" w:color="auto" w:fill="FFFFFF"/>
          </w:tcPr>
          <w:p w14:paraId="1DEC0697" w14:textId="77777777" w:rsidR="007B7860" w:rsidRPr="006644A1" w:rsidRDefault="007B7860" w:rsidP="00790C78">
            <w:pPr>
              <w:pStyle w:val="CETBodytext"/>
              <w:ind w:right="-1"/>
              <w:rPr>
                <w:rFonts w:cs="Arial"/>
                <w:szCs w:val="18"/>
                <w:lang w:val="en-GB"/>
              </w:rPr>
            </w:pPr>
            <w:r w:rsidRPr="006644A1">
              <w:rPr>
                <w:rFonts w:cs="Arial"/>
                <w:szCs w:val="18"/>
                <w:lang w:val="en-GB"/>
              </w:rPr>
              <w:t>µm</w:t>
            </w:r>
          </w:p>
        </w:tc>
        <w:tc>
          <w:tcPr>
            <w:tcW w:w="1134" w:type="dxa"/>
            <w:shd w:val="clear" w:color="auto" w:fill="FFFFFF"/>
          </w:tcPr>
          <w:p w14:paraId="02C5900C" w14:textId="77777777" w:rsidR="007B7860" w:rsidRPr="006644A1" w:rsidRDefault="007B7860" w:rsidP="00790C78">
            <w:pPr>
              <w:pStyle w:val="CETBodytext"/>
              <w:ind w:right="-1"/>
              <w:rPr>
                <w:rFonts w:cs="Arial"/>
                <w:szCs w:val="18"/>
                <w:lang w:val="en-GB"/>
              </w:rPr>
            </w:pPr>
            <w:r w:rsidRPr="006644A1">
              <w:rPr>
                <w:rFonts w:cs="Arial"/>
                <w:szCs w:val="18"/>
                <w:lang w:val="en-GB"/>
              </w:rPr>
              <w:t>75</w:t>
            </w:r>
          </w:p>
        </w:tc>
        <w:tc>
          <w:tcPr>
            <w:tcW w:w="1134" w:type="dxa"/>
            <w:shd w:val="clear" w:color="auto" w:fill="FFFFFF"/>
          </w:tcPr>
          <w:p w14:paraId="7033D0E2" w14:textId="77777777" w:rsidR="007B7860" w:rsidRPr="006644A1" w:rsidRDefault="007B7860" w:rsidP="00790C78">
            <w:pPr>
              <w:pStyle w:val="CETBodytext"/>
              <w:ind w:right="-1"/>
              <w:rPr>
                <w:rFonts w:cs="Arial"/>
                <w:szCs w:val="18"/>
                <w:lang w:val="en-GB"/>
              </w:rPr>
            </w:pPr>
            <w:r w:rsidRPr="006644A1">
              <w:rPr>
                <w:rFonts w:cs="Arial"/>
                <w:szCs w:val="18"/>
                <w:lang w:val="en-GB"/>
              </w:rPr>
              <w:t>75</w:t>
            </w:r>
          </w:p>
        </w:tc>
        <w:tc>
          <w:tcPr>
            <w:tcW w:w="992" w:type="dxa"/>
            <w:shd w:val="clear" w:color="auto" w:fill="FFFFFF"/>
          </w:tcPr>
          <w:p w14:paraId="4330BDB7" w14:textId="438B65B5" w:rsidR="007B7860" w:rsidRPr="006644A1" w:rsidRDefault="007B7860" w:rsidP="00790C78">
            <w:pPr>
              <w:pStyle w:val="CETBodytext"/>
              <w:ind w:right="-1"/>
              <w:rPr>
                <w:rFonts w:cs="Arial"/>
                <w:szCs w:val="18"/>
                <w:lang w:val="en-GB"/>
              </w:rPr>
            </w:pPr>
            <w:r w:rsidRPr="006644A1">
              <w:rPr>
                <w:rFonts w:cs="Arial"/>
                <w:szCs w:val="18"/>
                <w:lang w:val="en-GB"/>
              </w:rPr>
              <w:t>60</w:t>
            </w:r>
          </w:p>
        </w:tc>
        <w:tc>
          <w:tcPr>
            <w:tcW w:w="1134" w:type="dxa"/>
            <w:shd w:val="clear" w:color="auto" w:fill="FFFFFF"/>
          </w:tcPr>
          <w:p w14:paraId="1539CAFF" w14:textId="32E4CEF0" w:rsidR="007B7860" w:rsidRPr="006644A1" w:rsidRDefault="007B7860" w:rsidP="00790C78">
            <w:pPr>
              <w:pStyle w:val="CETBodytext"/>
              <w:ind w:right="-1"/>
              <w:rPr>
                <w:rFonts w:cs="Arial"/>
                <w:szCs w:val="18"/>
                <w:lang w:val="en-GB"/>
              </w:rPr>
            </w:pPr>
            <w:r w:rsidRPr="006644A1">
              <w:rPr>
                <w:rFonts w:cs="Arial"/>
                <w:szCs w:val="18"/>
                <w:lang w:val="en-GB"/>
              </w:rPr>
              <w:t>60</w:t>
            </w:r>
          </w:p>
        </w:tc>
        <w:tc>
          <w:tcPr>
            <w:tcW w:w="792" w:type="dxa"/>
            <w:shd w:val="clear" w:color="auto" w:fill="FFFFFF"/>
          </w:tcPr>
          <w:p w14:paraId="0EE1549C" w14:textId="37B4269B" w:rsidR="007B7860" w:rsidRPr="006644A1" w:rsidRDefault="007B7860" w:rsidP="00790C78">
            <w:pPr>
              <w:pStyle w:val="CETBodytext"/>
              <w:ind w:right="-1"/>
              <w:rPr>
                <w:rFonts w:cs="Arial"/>
                <w:szCs w:val="18"/>
                <w:lang w:val="en-GB"/>
              </w:rPr>
            </w:pPr>
            <w:r w:rsidRPr="006644A1">
              <w:rPr>
                <w:rFonts w:cs="Arial"/>
                <w:szCs w:val="18"/>
                <w:lang w:val="en-GB"/>
              </w:rPr>
              <w:t>120</w:t>
            </w:r>
          </w:p>
        </w:tc>
      </w:tr>
      <w:tr w:rsidR="007B7860" w:rsidRPr="006644A1" w14:paraId="58B0797D" w14:textId="77777777" w:rsidTr="00CE0E20">
        <w:trPr>
          <w:trHeight w:val="214"/>
        </w:trPr>
        <w:tc>
          <w:tcPr>
            <w:tcW w:w="3261" w:type="dxa"/>
            <w:gridSpan w:val="3"/>
            <w:shd w:val="clear" w:color="auto" w:fill="FFFFFF"/>
          </w:tcPr>
          <w:p w14:paraId="089335CA" w14:textId="77777777" w:rsidR="007B7860" w:rsidRPr="006644A1" w:rsidRDefault="007B7860" w:rsidP="00790C78">
            <w:pPr>
              <w:pStyle w:val="CETBodytext"/>
              <w:rPr>
                <w:lang w:val="en-GB"/>
              </w:rPr>
            </w:pPr>
            <w:r w:rsidRPr="006644A1">
              <w:rPr>
                <w:lang w:val="en-GB"/>
              </w:rPr>
              <w:t>Areal resistance</w:t>
            </w:r>
          </w:p>
        </w:tc>
        <w:tc>
          <w:tcPr>
            <w:tcW w:w="1417" w:type="dxa"/>
            <w:shd w:val="clear" w:color="auto" w:fill="FFFFFF"/>
          </w:tcPr>
          <w:p w14:paraId="1283440D" w14:textId="77777777" w:rsidR="007B7860" w:rsidRPr="006644A1" w:rsidRDefault="007B7860" w:rsidP="00790C78">
            <w:pPr>
              <w:pStyle w:val="CETBodytext"/>
              <w:ind w:right="-1"/>
              <w:rPr>
                <w:rFonts w:cs="Arial"/>
                <w:szCs w:val="18"/>
                <w:lang w:val="en-GB"/>
              </w:rPr>
            </w:pPr>
            <w:r w:rsidRPr="006644A1">
              <w:rPr>
                <w:rFonts w:cs="Arial"/>
                <w:szCs w:val="18"/>
                <w:lang w:val="en-GB"/>
              </w:rPr>
              <w:t>Ω cm</w:t>
            </w:r>
            <w:r w:rsidRPr="006644A1">
              <w:rPr>
                <w:rFonts w:cs="Arial"/>
                <w:szCs w:val="18"/>
                <w:vertAlign w:val="superscript"/>
                <w:lang w:val="en-GB"/>
              </w:rPr>
              <w:t>2</w:t>
            </w:r>
          </w:p>
        </w:tc>
        <w:tc>
          <w:tcPr>
            <w:tcW w:w="1134" w:type="dxa"/>
            <w:shd w:val="clear" w:color="auto" w:fill="FFFFFF"/>
          </w:tcPr>
          <w:p w14:paraId="50D66D01" w14:textId="5EE32D35" w:rsidR="007B7860" w:rsidRPr="006644A1" w:rsidRDefault="007B7860" w:rsidP="00790C78">
            <w:pPr>
              <w:pStyle w:val="CETBodytext"/>
              <w:ind w:right="-1"/>
              <w:rPr>
                <w:rFonts w:cs="Arial"/>
                <w:szCs w:val="18"/>
                <w:lang w:val="en-GB"/>
              </w:rPr>
            </w:pPr>
            <w:r w:rsidRPr="006644A1">
              <w:rPr>
                <w:rFonts w:cs="Arial"/>
                <w:szCs w:val="18"/>
                <w:lang w:val="en-GB"/>
              </w:rPr>
              <w:t>4</w:t>
            </w:r>
            <w:r w:rsidR="0073106A" w:rsidRPr="006644A1">
              <w:rPr>
                <w:rFonts w:cs="Arial"/>
                <w:szCs w:val="18"/>
                <w:lang w:val="en-GB"/>
              </w:rPr>
              <w:t>.0</w:t>
            </w:r>
          </w:p>
        </w:tc>
        <w:tc>
          <w:tcPr>
            <w:tcW w:w="1134" w:type="dxa"/>
            <w:shd w:val="clear" w:color="auto" w:fill="FFFFFF"/>
          </w:tcPr>
          <w:p w14:paraId="4D20A7BD" w14:textId="77777777" w:rsidR="007B7860" w:rsidRPr="006644A1" w:rsidRDefault="007B7860" w:rsidP="00790C78">
            <w:pPr>
              <w:pStyle w:val="CETBodytext"/>
              <w:ind w:right="-1"/>
              <w:rPr>
                <w:rFonts w:cs="Arial"/>
                <w:szCs w:val="18"/>
                <w:lang w:val="en-GB"/>
              </w:rPr>
            </w:pPr>
            <w:r w:rsidRPr="006644A1">
              <w:rPr>
                <w:rFonts w:cs="Arial"/>
                <w:szCs w:val="18"/>
                <w:lang w:val="en-GB"/>
              </w:rPr>
              <w:t>3.5</w:t>
            </w:r>
          </w:p>
        </w:tc>
        <w:tc>
          <w:tcPr>
            <w:tcW w:w="992" w:type="dxa"/>
            <w:shd w:val="clear" w:color="auto" w:fill="FFFFFF"/>
          </w:tcPr>
          <w:p w14:paraId="30DDE621" w14:textId="29395699" w:rsidR="007B7860" w:rsidRPr="006644A1" w:rsidRDefault="007B7860" w:rsidP="00790C78">
            <w:pPr>
              <w:pStyle w:val="CETBodytext"/>
              <w:ind w:right="-1"/>
              <w:rPr>
                <w:rFonts w:cs="Arial"/>
                <w:szCs w:val="18"/>
                <w:lang w:val="en-GB"/>
              </w:rPr>
            </w:pPr>
            <w:r w:rsidRPr="006644A1">
              <w:rPr>
                <w:rFonts w:cs="Arial"/>
                <w:szCs w:val="18"/>
                <w:lang w:val="en-GB"/>
              </w:rPr>
              <w:t>2.5</w:t>
            </w:r>
          </w:p>
        </w:tc>
        <w:tc>
          <w:tcPr>
            <w:tcW w:w="1134" w:type="dxa"/>
            <w:shd w:val="clear" w:color="auto" w:fill="FFFFFF"/>
          </w:tcPr>
          <w:p w14:paraId="19995A7F" w14:textId="50A260CB" w:rsidR="007B7860" w:rsidRPr="006644A1" w:rsidRDefault="007B7860" w:rsidP="00790C78">
            <w:pPr>
              <w:pStyle w:val="CETBodytext"/>
              <w:ind w:right="-1"/>
              <w:rPr>
                <w:rFonts w:cs="Arial"/>
                <w:szCs w:val="18"/>
                <w:lang w:val="en-GB"/>
              </w:rPr>
            </w:pPr>
            <w:r w:rsidRPr="006644A1">
              <w:rPr>
                <w:rFonts w:cs="Arial"/>
                <w:szCs w:val="18"/>
                <w:lang w:val="en-GB"/>
              </w:rPr>
              <w:t>2.5</w:t>
            </w:r>
          </w:p>
        </w:tc>
        <w:tc>
          <w:tcPr>
            <w:tcW w:w="792" w:type="dxa"/>
            <w:shd w:val="clear" w:color="auto" w:fill="FFFFFF"/>
          </w:tcPr>
          <w:p w14:paraId="78CFD878" w14:textId="578D6DE4" w:rsidR="007B7860" w:rsidRPr="006644A1" w:rsidRDefault="007B7860" w:rsidP="00790C78">
            <w:pPr>
              <w:pStyle w:val="CETBodytext"/>
              <w:ind w:right="-1"/>
              <w:rPr>
                <w:rFonts w:cs="Arial"/>
                <w:szCs w:val="18"/>
                <w:lang w:val="en-GB"/>
              </w:rPr>
            </w:pPr>
            <w:r w:rsidRPr="006644A1">
              <w:rPr>
                <w:rFonts w:cs="Arial"/>
                <w:szCs w:val="18"/>
                <w:lang w:val="en-GB"/>
              </w:rPr>
              <w:t>5</w:t>
            </w:r>
            <w:r w:rsidR="0073106A" w:rsidRPr="006644A1">
              <w:rPr>
                <w:rFonts w:cs="Arial"/>
                <w:szCs w:val="18"/>
                <w:lang w:val="en-GB"/>
              </w:rPr>
              <w:t>.0</w:t>
            </w:r>
          </w:p>
        </w:tc>
      </w:tr>
      <w:tr w:rsidR="00E86DB1" w:rsidRPr="006644A1" w14:paraId="0C4F328C" w14:textId="77777777" w:rsidTr="00CE0E20">
        <w:trPr>
          <w:trHeight w:val="214"/>
        </w:trPr>
        <w:tc>
          <w:tcPr>
            <w:tcW w:w="3261" w:type="dxa"/>
            <w:gridSpan w:val="3"/>
            <w:shd w:val="clear" w:color="auto" w:fill="FFFFFF"/>
          </w:tcPr>
          <w:p w14:paraId="51A0FE39" w14:textId="4904718D" w:rsidR="00E86DB1" w:rsidRPr="006644A1" w:rsidRDefault="00E86DB1" w:rsidP="00790C78">
            <w:pPr>
              <w:pStyle w:val="CETBodytext"/>
              <w:rPr>
                <w:lang w:val="en-GB"/>
              </w:rPr>
            </w:pPr>
            <w:r w:rsidRPr="006644A1">
              <w:rPr>
                <w:lang w:val="en-GB"/>
              </w:rPr>
              <w:t>Water permeability</w:t>
            </w:r>
          </w:p>
        </w:tc>
        <w:tc>
          <w:tcPr>
            <w:tcW w:w="1417" w:type="dxa"/>
            <w:shd w:val="clear" w:color="auto" w:fill="FFFFFF"/>
          </w:tcPr>
          <w:p w14:paraId="2845ABD2" w14:textId="479B6D7A" w:rsidR="00E86DB1" w:rsidRPr="006644A1" w:rsidRDefault="00E86DB1" w:rsidP="00790C78">
            <w:pPr>
              <w:pStyle w:val="CETBodytext"/>
              <w:ind w:right="-1"/>
              <w:rPr>
                <w:rFonts w:cs="Arial"/>
                <w:szCs w:val="18"/>
                <w:lang w:val="en-GB"/>
              </w:rPr>
            </w:pPr>
            <w:r w:rsidRPr="006644A1">
              <w:rPr>
                <w:rFonts w:cs="Arial"/>
                <w:szCs w:val="18"/>
                <w:lang w:val="en-GB"/>
              </w:rPr>
              <w:t>ml bar</w:t>
            </w:r>
            <w:r w:rsidRPr="006644A1">
              <w:rPr>
                <w:rFonts w:cs="Arial"/>
                <w:szCs w:val="18"/>
                <w:vertAlign w:val="superscript"/>
                <w:lang w:val="en-GB"/>
              </w:rPr>
              <w:t>-1</w:t>
            </w:r>
            <w:r w:rsidRPr="006644A1">
              <w:rPr>
                <w:rFonts w:cs="Arial"/>
                <w:szCs w:val="18"/>
                <w:lang w:val="en-GB"/>
              </w:rPr>
              <w:t xml:space="preserve"> h</w:t>
            </w:r>
            <w:r w:rsidRPr="006644A1">
              <w:rPr>
                <w:rFonts w:cs="Arial"/>
                <w:szCs w:val="18"/>
                <w:vertAlign w:val="superscript"/>
                <w:lang w:val="en-GB"/>
              </w:rPr>
              <w:t>-1</w:t>
            </w:r>
            <w:r w:rsidRPr="006644A1">
              <w:rPr>
                <w:rFonts w:cs="Arial"/>
                <w:szCs w:val="18"/>
                <w:lang w:val="en-GB"/>
              </w:rPr>
              <w:t xml:space="preserve"> m</w:t>
            </w:r>
            <w:r w:rsidRPr="006644A1">
              <w:rPr>
                <w:rFonts w:cs="Arial"/>
                <w:szCs w:val="18"/>
                <w:vertAlign w:val="superscript"/>
                <w:lang w:val="en-GB"/>
              </w:rPr>
              <w:t>-2</w:t>
            </w:r>
          </w:p>
        </w:tc>
        <w:tc>
          <w:tcPr>
            <w:tcW w:w="1134" w:type="dxa"/>
            <w:shd w:val="clear" w:color="auto" w:fill="FFFFFF"/>
          </w:tcPr>
          <w:p w14:paraId="13DD6C56" w14:textId="17AB4071" w:rsidR="00E86DB1" w:rsidRPr="006644A1" w:rsidRDefault="003F7238" w:rsidP="00790C78">
            <w:pPr>
              <w:pStyle w:val="CETBodytext"/>
              <w:ind w:right="-1"/>
              <w:rPr>
                <w:rFonts w:cs="Arial"/>
                <w:szCs w:val="18"/>
                <w:lang w:val="en-GB"/>
              </w:rPr>
            </w:pPr>
            <w:r w:rsidRPr="006644A1">
              <w:rPr>
                <w:rFonts w:cs="Arial"/>
                <w:szCs w:val="18"/>
                <w:lang w:val="en-GB"/>
              </w:rPr>
              <w:t>8</w:t>
            </w:r>
          </w:p>
        </w:tc>
        <w:tc>
          <w:tcPr>
            <w:tcW w:w="1134" w:type="dxa"/>
            <w:shd w:val="clear" w:color="auto" w:fill="FFFFFF"/>
          </w:tcPr>
          <w:p w14:paraId="3091D8F0" w14:textId="1FD3E9B9" w:rsidR="00E86DB1" w:rsidRPr="006644A1" w:rsidRDefault="003F7238" w:rsidP="00790C78">
            <w:pPr>
              <w:pStyle w:val="CETBodytext"/>
              <w:ind w:right="-1"/>
              <w:rPr>
                <w:rFonts w:cs="Arial"/>
                <w:szCs w:val="18"/>
                <w:lang w:val="en-GB"/>
              </w:rPr>
            </w:pPr>
            <w:r w:rsidRPr="006644A1">
              <w:rPr>
                <w:rFonts w:cs="Arial"/>
                <w:szCs w:val="18"/>
                <w:lang w:val="en-GB"/>
              </w:rPr>
              <w:t>8</w:t>
            </w:r>
          </w:p>
        </w:tc>
        <w:tc>
          <w:tcPr>
            <w:tcW w:w="992" w:type="dxa"/>
            <w:shd w:val="clear" w:color="auto" w:fill="FFFFFF"/>
          </w:tcPr>
          <w:p w14:paraId="663C43C8" w14:textId="1FBA1A4D" w:rsidR="00E86DB1" w:rsidRPr="006644A1" w:rsidRDefault="003F7238" w:rsidP="00790C78">
            <w:pPr>
              <w:pStyle w:val="CETBodytext"/>
              <w:ind w:right="-1"/>
              <w:rPr>
                <w:rFonts w:cs="Arial"/>
                <w:szCs w:val="18"/>
                <w:lang w:val="en-GB"/>
              </w:rPr>
            </w:pPr>
            <w:r w:rsidRPr="006644A1">
              <w:rPr>
                <w:rFonts w:cs="Arial"/>
                <w:szCs w:val="18"/>
                <w:lang w:val="en-GB"/>
              </w:rPr>
              <w:t>-</w:t>
            </w:r>
          </w:p>
        </w:tc>
        <w:tc>
          <w:tcPr>
            <w:tcW w:w="1134" w:type="dxa"/>
            <w:shd w:val="clear" w:color="auto" w:fill="FFFFFF"/>
          </w:tcPr>
          <w:p w14:paraId="31012C45" w14:textId="418FC960" w:rsidR="00E86DB1" w:rsidRPr="006644A1" w:rsidRDefault="003F7238" w:rsidP="00790C78">
            <w:pPr>
              <w:pStyle w:val="CETBodytext"/>
              <w:ind w:right="-1"/>
              <w:rPr>
                <w:rFonts w:cs="Arial"/>
                <w:szCs w:val="18"/>
                <w:lang w:val="en-GB"/>
              </w:rPr>
            </w:pPr>
            <w:r w:rsidRPr="006644A1">
              <w:rPr>
                <w:rFonts w:cs="Arial"/>
                <w:szCs w:val="18"/>
                <w:lang w:val="en-GB"/>
              </w:rPr>
              <w:t>-</w:t>
            </w:r>
          </w:p>
        </w:tc>
        <w:tc>
          <w:tcPr>
            <w:tcW w:w="792" w:type="dxa"/>
            <w:shd w:val="clear" w:color="auto" w:fill="FFFFFF"/>
          </w:tcPr>
          <w:p w14:paraId="150C1A07" w14:textId="442D33B4" w:rsidR="00E86DB1" w:rsidRPr="006644A1" w:rsidRDefault="003F7238" w:rsidP="00790C78">
            <w:pPr>
              <w:pStyle w:val="CETBodytext"/>
              <w:ind w:right="-1"/>
              <w:rPr>
                <w:rFonts w:cs="Arial"/>
                <w:szCs w:val="18"/>
                <w:lang w:val="en-GB"/>
              </w:rPr>
            </w:pPr>
            <w:r w:rsidRPr="006644A1">
              <w:rPr>
                <w:rFonts w:cs="Arial"/>
                <w:szCs w:val="18"/>
                <w:lang w:val="en-GB"/>
              </w:rPr>
              <w:t>-</w:t>
            </w:r>
          </w:p>
        </w:tc>
      </w:tr>
      <w:tr w:rsidR="007B7860" w:rsidRPr="006644A1" w14:paraId="3EAF65D0" w14:textId="77777777" w:rsidTr="00CE0E20">
        <w:trPr>
          <w:trHeight w:val="214"/>
        </w:trPr>
        <w:tc>
          <w:tcPr>
            <w:tcW w:w="3261" w:type="dxa"/>
            <w:gridSpan w:val="3"/>
            <w:shd w:val="clear" w:color="auto" w:fill="FFFFFF"/>
          </w:tcPr>
          <w:p w14:paraId="0531A108" w14:textId="77777777" w:rsidR="007B7860" w:rsidRPr="006644A1" w:rsidRDefault="007B7860" w:rsidP="00790C78">
            <w:pPr>
              <w:pStyle w:val="CETBodytext"/>
              <w:rPr>
                <w:lang w:val="en-GB"/>
              </w:rPr>
            </w:pPr>
            <w:r w:rsidRPr="006644A1">
              <w:rPr>
                <w:lang w:val="en-GB"/>
              </w:rPr>
              <w:t>H+ diffusivity</w:t>
            </w:r>
          </w:p>
        </w:tc>
        <w:tc>
          <w:tcPr>
            <w:tcW w:w="1417" w:type="dxa"/>
            <w:shd w:val="clear" w:color="auto" w:fill="FFFFFF"/>
          </w:tcPr>
          <w:p w14:paraId="5BFB639B" w14:textId="77777777" w:rsidR="007B7860" w:rsidRPr="006644A1" w:rsidRDefault="007B7860" w:rsidP="00790C78">
            <w:pPr>
              <w:pStyle w:val="CETBodytext"/>
              <w:ind w:right="-1"/>
              <w:rPr>
                <w:rFonts w:cs="Arial"/>
                <w:szCs w:val="18"/>
                <w:lang w:val="en-GB"/>
              </w:rPr>
            </w:pPr>
            <w:r w:rsidRPr="006644A1">
              <w:rPr>
                <w:rFonts w:cs="Arial"/>
                <w:szCs w:val="18"/>
                <w:lang w:val="en-GB"/>
              </w:rPr>
              <w:t>m</w:t>
            </w:r>
            <w:r w:rsidRPr="006644A1">
              <w:rPr>
                <w:rFonts w:cs="Arial"/>
                <w:szCs w:val="18"/>
                <w:vertAlign w:val="superscript"/>
                <w:lang w:val="en-GB"/>
              </w:rPr>
              <w:t>2</w:t>
            </w:r>
            <w:r w:rsidRPr="006644A1">
              <w:rPr>
                <w:rFonts w:cs="Arial"/>
                <w:szCs w:val="18"/>
                <w:lang w:val="en-GB"/>
              </w:rPr>
              <w:t xml:space="preserve"> s</w:t>
            </w:r>
            <w:r w:rsidRPr="006644A1">
              <w:rPr>
                <w:rFonts w:cs="Arial"/>
                <w:szCs w:val="18"/>
                <w:vertAlign w:val="superscript"/>
                <w:lang w:val="en-GB"/>
              </w:rPr>
              <w:t>-1</w:t>
            </w:r>
          </w:p>
        </w:tc>
        <w:tc>
          <w:tcPr>
            <w:tcW w:w="1134" w:type="dxa"/>
            <w:shd w:val="clear" w:color="auto" w:fill="FFFFFF"/>
          </w:tcPr>
          <w:p w14:paraId="562917E2" w14:textId="7A4B1206" w:rsidR="007B7860" w:rsidRPr="006644A1" w:rsidRDefault="007B7860" w:rsidP="00790C78">
            <w:pPr>
              <w:pStyle w:val="CETBodytext"/>
              <w:ind w:right="-1"/>
              <w:rPr>
                <w:rFonts w:cs="Arial"/>
                <w:szCs w:val="18"/>
                <w:lang w:val="en-GB"/>
              </w:rPr>
            </w:pPr>
            <w:r w:rsidRPr="006644A1">
              <w:rPr>
                <w:rFonts w:cs="Arial"/>
                <w:szCs w:val="18"/>
                <w:lang w:val="en-GB"/>
              </w:rPr>
              <w:t>2</w:t>
            </w:r>
            <w:r w:rsidR="0073106A" w:rsidRPr="006644A1">
              <w:rPr>
                <w:rFonts w:cs="Arial"/>
                <w:szCs w:val="18"/>
                <w:lang w:val="en-GB"/>
              </w:rPr>
              <w:t>.0</w:t>
            </w:r>
            <w:r w:rsidRPr="006644A1">
              <w:rPr>
                <w:rFonts w:cs="Arial"/>
                <w:szCs w:val="18"/>
                <w:lang w:val="en-GB"/>
              </w:rPr>
              <w:t>×10</w:t>
            </w:r>
            <w:r w:rsidRPr="006644A1">
              <w:rPr>
                <w:rFonts w:cs="Arial"/>
                <w:szCs w:val="18"/>
                <w:vertAlign w:val="superscript"/>
                <w:lang w:val="en-GB"/>
              </w:rPr>
              <w:t>-11</w:t>
            </w:r>
          </w:p>
        </w:tc>
        <w:tc>
          <w:tcPr>
            <w:tcW w:w="1134" w:type="dxa"/>
            <w:shd w:val="clear" w:color="auto" w:fill="FFFFFF"/>
          </w:tcPr>
          <w:p w14:paraId="01862C7F" w14:textId="77777777" w:rsidR="007B7860" w:rsidRPr="006644A1" w:rsidRDefault="007B7860" w:rsidP="00790C78">
            <w:pPr>
              <w:pStyle w:val="CETBodytext"/>
              <w:ind w:right="-1"/>
              <w:rPr>
                <w:rFonts w:cs="Arial"/>
                <w:szCs w:val="18"/>
                <w:lang w:val="en-GB"/>
              </w:rPr>
            </w:pPr>
            <w:r w:rsidRPr="006644A1">
              <w:rPr>
                <w:rFonts w:cs="Arial"/>
                <w:szCs w:val="18"/>
                <w:lang w:val="en-GB"/>
              </w:rPr>
              <w:t>0.7×10</w:t>
            </w:r>
            <w:r w:rsidRPr="006644A1">
              <w:rPr>
                <w:rFonts w:cs="Arial"/>
                <w:szCs w:val="18"/>
                <w:vertAlign w:val="superscript"/>
                <w:lang w:val="en-GB"/>
              </w:rPr>
              <w:t>-11</w:t>
            </w:r>
          </w:p>
        </w:tc>
        <w:tc>
          <w:tcPr>
            <w:tcW w:w="992" w:type="dxa"/>
            <w:shd w:val="clear" w:color="auto" w:fill="FFFFFF"/>
          </w:tcPr>
          <w:p w14:paraId="5DC4A318" w14:textId="271729BB" w:rsidR="007B7860" w:rsidRPr="006644A1" w:rsidRDefault="007B7860" w:rsidP="00790C78">
            <w:pPr>
              <w:pStyle w:val="CETBodytext"/>
              <w:ind w:right="-1"/>
              <w:rPr>
                <w:rFonts w:cs="Arial"/>
                <w:szCs w:val="18"/>
                <w:lang w:val="en-GB"/>
              </w:rPr>
            </w:pPr>
            <w:r w:rsidRPr="006644A1">
              <w:rPr>
                <w:rFonts w:cs="Arial"/>
                <w:szCs w:val="18"/>
                <w:lang w:val="en-GB"/>
              </w:rPr>
              <w:t>2.0×10</w:t>
            </w:r>
            <w:r w:rsidRPr="006644A1">
              <w:rPr>
                <w:rFonts w:cs="Arial"/>
                <w:szCs w:val="18"/>
                <w:vertAlign w:val="superscript"/>
                <w:lang w:val="en-GB"/>
              </w:rPr>
              <w:t>-11</w:t>
            </w:r>
          </w:p>
        </w:tc>
        <w:tc>
          <w:tcPr>
            <w:tcW w:w="1134" w:type="dxa"/>
            <w:shd w:val="clear" w:color="auto" w:fill="FFFFFF"/>
          </w:tcPr>
          <w:p w14:paraId="262F44B4" w14:textId="71D05332" w:rsidR="007B7860" w:rsidRPr="006644A1" w:rsidRDefault="007B7860" w:rsidP="00790C78">
            <w:pPr>
              <w:pStyle w:val="CETBodytext"/>
              <w:ind w:right="-1"/>
              <w:rPr>
                <w:rFonts w:cs="Arial"/>
                <w:szCs w:val="18"/>
                <w:lang w:val="en-GB"/>
              </w:rPr>
            </w:pPr>
            <w:r w:rsidRPr="006644A1">
              <w:rPr>
                <w:rFonts w:cs="Arial"/>
                <w:szCs w:val="18"/>
                <w:lang w:val="en-GB"/>
              </w:rPr>
              <w:t>0.7×10</w:t>
            </w:r>
            <w:r w:rsidRPr="006644A1">
              <w:rPr>
                <w:rFonts w:cs="Arial"/>
                <w:szCs w:val="18"/>
                <w:vertAlign w:val="superscript"/>
                <w:lang w:val="en-GB"/>
              </w:rPr>
              <w:t>-11</w:t>
            </w:r>
          </w:p>
        </w:tc>
        <w:tc>
          <w:tcPr>
            <w:tcW w:w="792" w:type="dxa"/>
            <w:shd w:val="clear" w:color="auto" w:fill="FFFFFF"/>
          </w:tcPr>
          <w:p w14:paraId="1365AD20" w14:textId="2B3187B0" w:rsidR="007B7860" w:rsidRPr="006644A1" w:rsidRDefault="007B7860" w:rsidP="00790C78">
            <w:pPr>
              <w:pStyle w:val="CETBodytext"/>
              <w:ind w:right="-1"/>
              <w:rPr>
                <w:rFonts w:cs="Arial"/>
                <w:szCs w:val="18"/>
                <w:lang w:val="en-GB"/>
              </w:rPr>
            </w:pPr>
            <w:r w:rsidRPr="006644A1">
              <w:rPr>
                <w:rFonts w:cs="Arial"/>
                <w:szCs w:val="18"/>
                <w:lang w:val="en-GB"/>
              </w:rPr>
              <w:t>-</w:t>
            </w:r>
          </w:p>
        </w:tc>
      </w:tr>
      <w:tr w:rsidR="007B7860" w:rsidRPr="006644A1" w14:paraId="2880A8E0" w14:textId="77777777" w:rsidTr="00CE0E20">
        <w:trPr>
          <w:trHeight w:val="206"/>
        </w:trPr>
        <w:tc>
          <w:tcPr>
            <w:tcW w:w="3261" w:type="dxa"/>
            <w:gridSpan w:val="3"/>
            <w:shd w:val="clear" w:color="auto" w:fill="FFFFFF"/>
          </w:tcPr>
          <w:p w14:paraId="69E1C2F3" w14:textId="77777777" w:rsidR="007B7860" w:rsidRPr="006644A1" w:rsidRDefault="007B7860" w:rsidP="00790C78">
            <w:pPr>
              <w:pStyle w:val="CETBodytext"/>
              <w:rPr>
                <w:lang w:val="en-GB"/>
              </w:rPr>
            </w:pPr>
            <w:r w:rsidRPr="006644A1">
              <w:rPr>
                <w:lang w:val="en-GB"/>
              </w:rPr>
              <w:t>Na+ diffusivity</w:t>
            </w:r>
          </w:p>
        </w:tc>
        <w:tc>
          <w:tcPr>
            <w:tcW w:w="1417" w:type="dxa"/>
            <w:shd w:val="clear" w:color="auto" w:fill="FFFFFF"/>
          </w:tcPr>
          <w:p w14:paraId="1500D978" w14:textId="77777777" w:rsidR="007B7860" w:rsidRPr="006644A1" w:rsidRDefault="007B7860" w:rsidP="00790C78">
            <w:pPr>
              <w:pStyle w:val="CETBodytext"/>
              <w:ind w:right="-1"/>
              <w:rPr>
                <w:rFonts w:cs="Arial"/>
                <w:szCs w:val="18"/>
                <w:lang w:val="en-GB"/>
              </w:rPr>
            </w:pPr>
            <w:r w:rsidRPr="006644A1">
              <w:rPr>
                <w:rFonts w:cs="Arial"/>
                <w:szCs w:val="18"/>
                <w:lang w:val="en-GB"/>
              </w:rPr>
              <w:t>m</w:t>
            </w:r>
            <w:r w:rsidRPr="006644A1">
              <w:rPr>
                <w:rFonts w:cs="Arial"/>
                <w:szCs w:val="18"/>
                <w:vertAlign w:val="superscript"/>
                <w:lang w:val="en-GB"/>
              </w:rPr>
              <w:t>2</w:t>
            </w:r>
            <w:r w:rsidRPr="006644A1">
              <w:rPr>
                <w:rFonts w:cs="Arial"/>
                <w:szCs w:val="18"/>
                <w:lang w:val="en-GB"/>
              </w:rPr>
              <w:t xml:space="preserve"> s</w:t>
            </w:r>
            <w:r w:rsidRPr="006644A1">
              <w:rPr>
                <w:rFonts w:cs="Arial"/>
                <w:szCs w:val="18"/>
                <w:vertAlign w:val="superscript"/>
                <w:lang w:val="en-GB"/>
              </w:rPr>
              <w:t>-1</w:t>
            </w:r>
          </w:p>
        </w:tc>
        <w:tc>
          <w:tcPr>
            <w:tcW w:w="1134" w:type="dxa"/>
            <w:shd w:val="clear" w:color="auto" w:fill="FFFFFF"/>
          </w:tcPr>
          <w:p w14:paraId="5CA3875D" w14:textId="77777777" w:rsidR="007B7860" w:rsidRPr="006644A1" w:rsidRDefault="007B7860" w:rsidP="00790C78">
            <w:pPr>
              <w:pStyle w:val="CETBodytext"/>
              <w:ind w:right="-1"/>
              <w:rPr>
                <w:rFonts w:cs="Arial"/>
                <w:szCs w:val="18"/>
                <w:lang w:val="en-GB"/>
              </w:rPr>
            </w:pPr>
            <w:r w:rsidRPr="006644A1">
              <w:rPr>
                <w:rFonts w:cs="Arial"/>
                <w:szCs w:val="18"/>
                <w:lang w:val="en-GB"/>
              </w:rPr>
              <w:t>1.6×10</w:t>
            </w:r>
            <w:r w:rsidRPr="006644A1">
              <w:rPr>
                <w:rFonts w:cs="Arial"/>
                <w:szCs w:val="18"/>
                <w:vertAlign w:val="superscript"/>
                <w:lang w:val="en-GB"/>
              </w:rPr>
              <w:t>-11</w:t>
            </w:r>
          </w:p>
        </w:tc>
        <w:tc>
          <w:tcPr>
            <w:tcW w:w="1134" w:type="dxa"/>
            <w:shd w:val="clear" w:color="auto" w:fill="FFFFFF"/>
          </w:tcPr>
          <w:p w14:paraId="088CF286" w14:textId="77777777" w:rsidR="007B7860" w:rsidRPr="006644A1" w:rsidRDefault="007B7860" w:rsidP="00790C78">
            <w:pPr>
              <w:pStyle w:val="CETBodytext"/>
              <w:ind w:right="-1"/>
              <w:rPr>
                <w:rFonts w:cs="Arial"/>
                <w:szCs w:val="18"/>
                <w:lang w:val="en-GB"/>
              </w:rPr>
            </w:pPr>
            <w:r w:rsidRPr="006644A1">
              <w:rPr>
                <w:rFonts w:cs="Arial"/>
                <w:szCs w:val="18"/>
                <w:lang w:val="en-GB"/>
              </w:rPr>
              <w:t>0.5×10</w:t>
            </w:r>
            <w:r w:rsidRPr="006644A1">
              <w:rPr>
                <w:rFonts w:cs="Arial"/>
                <w:szCs w:val="18"/>
                <w:vertAlign w:val="superscript"/>
                <w:lang w:val="en-GB"/>
              </w:rPr>
              <w:t>-11</w:t>
            </w:r>
          </w:p>
        </w:tc>
        <w:tc>
          <w:tcPr>
            <w:tcW w:w="992" w:type="dxa"/>
            <w:shd w:val="clear" w:color="auto" w:fill="FFFFFF"/>
          </w:tcPr>
          <w:p w14:paraId="4C3DE80A" w14:textId="62FA08AF" w:rsidR="007B7860" w:rsidRPr="006644A1" w:rsidRDefault="007B7860" w:rsidP="00790C78">
            <w:pPr>
              <w:pStyle w:val="CETBodytext"/>
              <w:ind w:right="-1"/>
              <w:rPr>
                <w:rFonts w:cs="Arial"/>
                <w:szCs w:val="18"/>
                <w:lang w:val="en-GB"/>
              </w:rPr>
            </w:pPr>
            <w:r w:rsidRPr="006644A1">
              <w:rPr>
                <w:rFonts w:cs="Arial"/>
                <w:szCs w:val="18"/>
                <w:lang w:val="en-GB"/>
              </w:rPr>
              <w:t>1.6×10</w:t>
            </w:r>
            <w:r w:rsidRPr="006644A1">
              <w:rPr>
                <w:rFonts w:cs="Arial"/>
                <w:szCs w:val="18"/>
                <w:vertAlign w:val="superscript"/>
                <w:lang w:val="en-GB"/>
              </w:rPr>
              <w:t>-11</w:t>
            </w:r>
          </w:p>
        </w:tc>
        <w:tc>
          <w:tcPr>
            <w:tcW w:w="1134" w:type="dxa"/>
            <w:shd w:val="clear" w:color="auto" w:fill="FFFFFF"/>
          </w:tcPr>
          <w:p w14:paraId="7BEB0E3A" w14:textId="7EBF965F" w:rsidR="007B7860" w:rsidRPr="006644A1" w:rsidRDefault="007B7860" w:rsidP="00790C78">
            <w:pPr>
              <w:pStyle w:val="CETBodytext"/>
              <w:ind w:right="-1"/>
              <w:rPr>
                <w:rFonts w:cs="Arial"/>
                <w:szCs w:val="18"/>
                <w:lang w:val="en-GB"/>
              </w:rPr>
            </w:pPr>
            <w:r w:rsidRPr="006644A1">
              <w:rPr>
                <w:rFonts w:cs="Arial"/>
                <w:szCs w:val="18"/>
                <w:lang w:val="en-GB"/>
              </w:rPr>
              <w:t>0.5×10</w:t>
            </w:r>
            <w:r w:rsidRPr="006644A1">
              <w:rPr>
                <w:rFonts w:cs="Arial"/>
                <w:szCs w:val="18"/>
                <w:vertAlign w:val="superscript"/>
                <w:lang w:val="en-GB"/>
              </w:rPr>
              <w:t>-11</w:t>
            </w:r>
          </w:p>
        </w:tc>
        <w:tc>
          <w:tcPr>
            <w:tcW w:w="792" w:type="dxa"/>
            <w:shd w:val="clear" w:color="auto" w:fill="FFFFFF"/>
          </w:tcPr>
          <w:p w14:paraId="2240BC33" w14:textId="7E6B7817" w:rsidR="007B7860" w:rsidRPr="006644A1" w:rsidRDefault="007B7860" w:rsidP="00790C78">
            <w:pPr>
              <w:pStyle w:val="CETBodytext"/>
              <w:ind w:right="-1"/>
              <w:rPr>
                <w:rFonts w:cs="Arial"/>
                <w:szCs w:val="18"/>
                <w:lang w:val="en-GB"/>
              </w:rPr>
            </w:pPr>
            <w:r w:rsidRPr="006644A1">
              <w:rPr>
                <w:rFonts w:cs="Arial"/>
                <w:szCs w:val="18"/>
                <w:lang w:val="en-GB"/>
              </w:rPr>
              <w:t>-</w:t>
            </w:r>
          </w:p>
        </w:tc>
      </w:tr>
      <w:tr w:rsidR="007B7860" w:rsidRPr="006644A1" w14:paraId="5B4CB0AE" w14:textId="77777777" w:rsidTr="00CE0E20">
        <w:trPr>
          <w:trHeight w:val="214"/>
        </w:trPr>
        <w:tc>
          <w:tcPr>
            <w:tcW w:w="3261" w:type="dxa"/>
            <w:gridSpan w:val="3"/>
            <w:shd w:val="clear" w:color="auto" w:fill="FFFFFF"/>
          </w:tcPr>
          <w:p w14:paraId="6ADB63A0" w14:textId="77777777" w:rsidR="007B7860" w:rsidRPr="006644A1" w:rsidRDefault="007B7860" w:rsidP="007B7860">
            <w:pPr>
              <w:pStyle w:val="CETBodytext"/>
              <w:rPr>
                <w:lang w:val="en-GB"/>
              </w:rPr>
            </w:pPr>
            <w:r w:rsidRPr="006644A1">
              <w:rPr>
                <w:lang w:val="en-GB"/>
              </w:rPr>
              <w:t>OH- diffusivity</w:t>
            </w:r>
          </w:p>
        </w:tc>
        <w:tc>
          <w:tcPr>
            <w:tcW w:w="1417" w:type="dxa"/>
            <w:shd w:val="clear" w:color="auto" w:fill="FFFFFF"/>
          </w:tcPr>
          <w:p w14:paraId="7D89F18C" w14:textId="77777777" w:rsidR="007B7860" w:rsidRPr="006644A1" w:rsidRDefault="007B7860" w:rsidP="007B7860">
            <w:pPr>
              <w:pStyle w:val="CETBodytext"/>
              <w:ind w:right="-1"/>
              <w:rPr>
                <w:rFonts w:cs="Arial"/>
                <w:szCs w:val="18"/>
                <w:lang w:val="en-GB"/>
              </w:rPr>
            </w:pPr>
            <w:r w:rsidRPr="006644A1">
              <w:rPr>
                <w:rFonts w:cs="Arial"/>
                <w:szCs w:val="18"/>
                <w:lang w:val="en-GB"/>
              </w:rPr>
              <w:t>m</w:t>
            </w:r>
            <w:r w:rsidRPr="006644A1">
              <w:rPr>
                <w:rFonts w:cs="Arial"/>
                <w:szCs w:val="18"/>
                <w:vertAlign w:val="superscript"/>
                <w:lang w:val="en-GB"/>
              </w:rPr>
              <w:t>2</w:t>
            </w:r>
            <w:r w:rsidRPr="006644A1">
              <w:rPr>
                <w:rFonts w:cs="Arial"/>
                <w:szCs w:val="18"/>
                <w:lang w:val="en-GB"/>
              </w:rPr>
              <w:t xml:space="preserve"> s</w:t>
            </w:r>
            <w:r w:rsidRPr="006644A1">
              <w:rPr>
                <w:rFonts w:cs="Arial"/>
                <w:szCs w:val="18"/>
                <w:vertAlign w:val="superscript"/>
                <w:lang w:val="en-GB"/>
              </w:rPr>
              <w:t>-1</w:t>
            </w:r>
          </w:p>
        </w:tc>
        <w:tc>
          <w:tcPr>
            <w:tcW w:w="1134" w:type="dxa"/>
            <w:shd w:val="clear" w:color="auto" w:fill="FFFFFF"/>
          </w:tcPr>
          <w:p w14:paraId="300494F3" w14:textId="77777777" w:rsidR="007B7860" w:rsidRPr="006644A1" w:rsidRDefault="007B7860" w:rsidP="007B7860">
            <w:pPr>
              <w:pStyle w:val="CETBodytext"/>
              <w:ind w:right="-1"/>
              <w:rPr>
                <w:rFonts w:cs="Arial"/>
                <w:szCs w:val="18"/>
                <w:lang w:val="en-GB"/>
              </w:rPr>
            </w:pPr>
            <w:r w:rsidRPr="006644A1">
              <w:rPr>
                <w:rFonts w:cs="Arial"/>
                <w:szCs w:val="18"/>
                <w:lang w:val="en-GB"/>
              </w:rPr>
              <w:t>1.9×10</w:t>
            </w:r>
            <w:r w:rsidRPr="006644A1">
              <w:rPr>
                <w:rFonts w:cs="Arial"/>
                <w:szCs w:val="18"/>
                <w:vertAlign w:val="superscript"/>
                <w:lang w:val="en-GB"/>
              </w:rPr>
              <w:t>-11</w:t>
            </w:r>
          </w:p>
        </w:tc>
        <w:tc>
          <w:tcPr>
            <w:tcW w:w="1134" w:type="dxa"/>
            <w:shd w:val="clear" w:color="auto" w:fill="FFFFFF"/>
          </w:tcPr>
          <w:p w14:paraId="3AD30951" w14:textId="77777777" w:rsidR="007B7860" w:rsidRPr="006644A1" w:rsidRDefault="007B7860" w:rsidP="007B7860">
            <w:pPr>
              <w:pStyle w:val="CETBodytext"/>
              <w:ind w:right="-1"/>
              <w:rPr>
                <w:rFonts w:cs="Arial"/>
                <w:szCs w:val="18"/>
                <w:lang w:val="en-GB"/>
              </w:rPr>
            </w:pPr>
            <w:r w:rsidRPr="006644A1">
              <w:rPr>
                <w:rFonts w:cs="Arial"/>
                <w:szCs w:val="18"/>
                <w:lang w:val="en-GB"/>
              </w:rPr>
              <w:t>0.6×10</w:t>
            </w:r>
            <w:r w:rsidRPr="006644A1">
              <w:rPr>
                <w:rFonts w:cs="Arial"/>
                <w:szCs w:val="18"/>
                <w:vertAlign w:val="superscript"/>
                <w:lang w:val="en-GB"/>
              </w:rPr>
              <w:t>-11</w:t>
            </w:r>
          </w:p>
        </w:tc>
        <w:tc>
          <w:tcPr>
            <w:tcW w:w="992" w:type="dxa"/>
            <w:shd w:val="clear" w:color="auto" w:fill="FFFFFF"/>
          </w:tcPr>
          <w:p w14:paraId="3ADB8035" w14:textId="0591D7BB" w:rsidR="007B7860" w:rsidRPr="006644A1" w:rsidRDefault="007B7860" w:rsidP="007B7860">
            <w:pPr>
              <w:pStyle w:val="CETBodytext"/>
              <w:ind w:right="-1"/>
              <w:rPr>
                <w:rFonts w:cs="Arial"/>
                <w:szCs w:val="18"/>
                <w:lang w:val="en-GB"/>
              </w:rPr>
            </w:pPr>
            <w:r w:rsidRPr="006644A1">
              <w:rPr>
                <w:rFonts w:cs="Arial"/>
                <w:szCs w:val="18"/>
                <w:lang w:val="en-GB"/>
              </w:rPr>
              <w:t>1.9×10</w:t>
            </w:r>
            <w:r w:rsidRPr="006644A1">
              <w:rPr>
                <w:rFonts w:cs="Arial"/>
                <w:szCs w:val="18"/>
                <w:vertAlign w:val="superscript"/>
                <w:lang w:val="en-GB"/>
              </w:rPr>
              <w:t>-11</w:t>
            </w:r>
          </w:p>
        </w:tc>
        <w:tc>
          <w:tcPr>
            <w:tcW w:w="1134" w:type="dxa"/>
            <w:shd w:val="clear" w:color="auto" w:fill="FFFFFF"/>
          </w:tcPr>
          <w:p w14:paraId="6F56AEDE" w14:textId="79584947" w:rsidR="007B7860" w:rsidRPr="006644A1" w:rsidRDefault="007B7860" w:rsidP="007B7860">
            <w:pPr>
              <w:pStyle w:val="CETBodytext"/>
              <w:ind w:right="-1"/>
              <w:rPr>
                <w:rFonts w:cs="Arial"/>
                <w:szCs w:val="18"/>
                <w:lang w:val="en-GB"/>
              </w:rPr>
            </w:pPr>
            <w:r w:rsidRPr="006644A1">
              <w:rPr>
                <w:rFonts w:cs="Arial"/>
                <w:szCs w:val="18"/>
                <w:lang w:val="en-GB"/>
              </w:rPr>
              <w:t>0.6×10</w:t>
            </w:r>
            <w:r w:rsidRPr="006644A1">
              <w:rPr>
                <w:rFonts w:cs="Arial"/>
                <w:szCs w:val="18"/>
                <w:vertAlign w:val="superscript"/>
                <w:lang w:val="en-GB"/>
              </w:rPr>
              <w:t>-11</w:t>
            </w:r>
          </w:p>
        </w:tc>
        <w:tc>
          <w:tcPr>
            <w:tcW w:w="792" w:type="dxa"/>
            <w:shd w:val="clear" w:color="auto" w:fill="FFFFFF"/>
          </w:tcPr>
          <w:p w14:paraId="4D193680" w14:textId="038DBB4A" w:rsidR="007B7860" w:rsidRPr="006644A1" w:rsidRDefault="007B7860" w:rsidP="007B7860">
            <w:pPr>
              <w:pStyle w:val="CETBodytext"/>
              <w:ind w:right="-1"/>
              <w:rPr>
                <w:rFonts w:cs="Arial"/>
                <w:szCs w:val="18"/>
                <w:lang w:val="en-GB"/>
              </w:rPr>
            </w:pPr>
            <w:r w:rsidRPr="006644A1">
              <w:rPr>
                <w:rFonts w:cs="Arial"/>
                <w:szCs w:val="18"/>
                <w:lang w:val="en-GB"/>
              </w:rPr>
              <w:t>-</w:t>
            </w:r>
          </w:p>
        </w:tc>
      </w:tr>
      <w:tr w:rsidR="007B7860" w:rsidRPr="006644A1" w14:paraId="75DB6BED" w14:textId="77777777" w:rsidTr="00CE0E20">
        <w:trPr>
          <w:trHeight w:val="214"/>
        </w:trPr>
        <w:tc>
          <w:tcPr>
            <w:tcW w:w="3261" w:type="dxa"/>
            <w:gridSpan w:val="3"/>
            <w:shd w:val="clear" w:color="auto" w:fill="FFFFFF"/>
          </w:tcPr>
          <w:p w14:paraId="2822D76F" w14:textId="77777777" w:rsidR="007B7860" w:rsidRPr="006644A1" w:rsidRDefault="007B7860" w:rsidP="007B7860">
            <w:pPr>
              <w:pStyle w:val="CETBodytext"/>
              <w:rPr>
                <w:lang w:val="en-GB"/>
              </w:rPr>
            </w:pPr>
            <w:r w:rsidRPr="006644A1">
              <w:rPr>
                <w:lang w:val="en-GB"/>
              </w:rPr>
              <w:t>Cl- diffusivity</w:t>
            </w:r>
          </w:p>
        </w:tc>
        <w:tc>
          <w:tcPr>
            <w:tcW w:w="1417" w:type="dxa"/>
            <w:shd w:val="clear" w:color="auto" w:fill="FFFFFF"/>
          </w:tcPr>
          <w:p w14:paraId="5BAF7718" w14:textId="77777777" w:rsidR="007B7860" w:rsidRPr="006644A1" w:rsidRDefault="007B7860" w:rsidP="007B7860">
            <w:pPr>
              <w:pStyle w:val="CETBodytext"/>
              <w:ind w:right="-1"/>
              <w:rPr>
                <w:rFonts w:cs="Arial"/>
                <w:szCs w:val="18"/>
                <w:lang w:val="en-GB"/>
              </w:rPr>
            </w:pPr>
            <w:r w:rsidRPr="006644A1">
              <w:rPr>
                <w:rFonts w:cs="Arial"/>
                <w:szCs w:val="18"/>
                <w:lang w:val="en-GB"/>
              </w:rPr>
              <w:t>m</w:t>
            </w:r>
            <w:r w:rsidRPr="006644A1">
              <w:rPr>
                <w:rFonts w:cs="Arial"/>
                <w:szCs w:val="18"/>
                <w:vertAlign w:val="superscript"/>
                <w:lang w:val="en-GB"/>
              </w:rPr>
              <w:t>2</w:t>
            </w:r>
            <w:r w:rsidRPr="006644A1">
              <w:rPr>
                <w:rFonts w:cs="Arial"/>
                <w:szCs w:val="18"/>
                <w:lang w:val="en-GB"/>
              </w:rPr>
              <w:t xml:space="preserve"> s</w:t>
            </w:r>
            <w:r w:rsidRPr="006644A1">
              <w:rPr>
                <w:rFonts w:cs="Arial"/>
                <w:szCs w:val="18"/>
                <w:vertAlign w:val="superscript"/>
                <w:lang w:val="en-GB"/>
              </w:rPr>
              <w:t>-1</w:t>
            </w:r>
          </w:p>
        </w:tc>
        <w:tc>
          <w:tcPr>
            <w:tcW w:w="1134" w:type="dxa"/>
            <w:shd w:val="clear" w:color="auto" w:fill="FFFFFF"/>
          </w:tcPr>
          <w:p w14:paraId="7578AF47" w14:textId="77777777" w:rsidR="007B7860" w:rsidRPr="006644A1" w:rsidRDefault="007B7860" w:rsidP="007B7860">
            <w:pPr>
              <w:pStyle w:val="CETBodytext"/>
              <w:ind w:right="-1"/>
              <w:rPr>
                <w:rFonts w:cs="Arial"/>
                <w:szCs w:val="18"/>
                <w:lang w:val="en-GB"/>
              </w:rPr>
            </w:pPr>
            <w:r w:rsidRPr="006644A1">
              <w:rPr>
                <w:rFonts w:cs="Arial"/>
                <w:szCs w:val="18"/>
                <w:lang w:val="en-GB"/>
              </w:rPr>
              <w:t>1.7×10</w:t>
            </w:r>
            <w:r w:rsidRPr="006644A1">
              <w:rPr>
                <w:rFonts w:cs="Arial"/>
                <w:szCs w:val="18"/>
                <w:vertAlign w:val="superscript"/>
                <w:lang w:val="en-GB"/>
              </w:rPr>
              <w:t>-11</w:t>
            </w:r>
          </w:p>
        </w:tc>
        <w:tc>
          <w:tcPr>
            <w:tcW w:w="1134" w:type="dxa"/>
            <w:shd w:val="clear" w:color="auto" w:fill="FFFFFF"/>
          </w:tcPr>
          <w:p w14:paraId="31E935A6" w14:textId="77777777" w:rsidR="007B7860" w:rsidRPr="006644A1" w:rsidRDefault="007B7860" w:rsidP="007B7860">
            <w:pPr>
              <w:pStyle w:val="CETBodytext"/>
              <w:ind w:right="-1"/>
              <w:rPr>
                <w:rFonts w:cs="Arial"/>
                <w:szCs w:val="18"/>
                <w:lang w:val="en-GB"/>
              </w:rPr>
            </w:pPr>
            <w:r w:rsidRPr="006644A1">
              <w:rPr>
                <w:rFonts w:cs="Arial"/>
                <w:szCs w:val="18"/>
                <w:lang w:val="en-GB"/>
              </w:rPr>
              <w:t>0.6×10</w:t>
            </w:r>
            <w:r w:rsidRPr="006644A1">
              <w:rPr>
                <w:rFonts w:cs="Arial"/>
                <w:szCs w:val="18"/>
                <w:vertAlign w:val="superscript"/>
                <w:lang w:val="en-GB"/>
              </w:rPr>
              <w:t>-11</w:t>
            </w:r>
          </w:p>
        </w:tc>
        <w:tc>
          <w:tcPr>
            <w:tcW w:w="992" w:type="dxa"/>
            <w:shd w:val="clear" w:color="auto" w:fill="FFFFFF"/>
          </w:tcPr>
          <w:p w14:paraId="47D79496" w14:textId="09F2B5DE" w:rsidR="007B7860" w:rsidRPr="006644A1" w:rsidRDefault="007B7860" w:rsidP="007B7860">
            <w:pPr>
              <w:pStyle w:val="CETBodytext"/>
              <w:ind w:right="-1"/>
              <w:rPr>
                <w:rFonts w:cs="Arial"/>
                <w:szCs w:val="18"/>
                <w:lang w:val="en-GB"/>
              </w:rPr>
            </w:pPr>
            <w:r w:rsidRPr="006644A1">
              <w:rPr>
                <w:rFonts w:cs="Arial"/>
                <w:szCs w:val="18"/>
                <w:lang w:val="en-GB"/>
              </w:rPr>
              <w:t>1.7×10</w:t>
            </w:r>
            <w:r w:rsidRPr="006644A1">
              <w:rPr>
                <w:rFonts w:cs="Arial"/>
                <w:szCs w:val="18"/>
                <w:vertAlign w:val="superscript"/>
                <w:lang w:val="en-GB"/>
              </w:rPr>
              <w:t>-11</w:t>
            </w:r>
          </w:p>
        </w:tc>
        <w:tc>
          <w:tcPr>
            <w:tcW w:w="1134" w:type="dxa"/>
            <w:shd w:val="clear" w:color="auto" w:fill="FFFFFF"/>
          </w:tcPr>
          <w:p w14:paraId="10E71992" w14:textId="587DCA05" w:rsidR="007B7860" w:rsidRPr="006644A1" w:rsidRDefault="007B7860" w:rsidP="007B7860">
            <w:pPr>
              <w:pStyle w:val="CETBodytext"/>
              <w:ind w:right="-1"/>
              <w:rPr>
                <w:rFonts w:cs="Arial"/>
                <w:szCs w:val="18"/>
                <w:lang w:val="en-GB"/>
              </w:rPr>
            </w:pPr>
            <w:r w:rsidRPr="006644A1">
              <w:rPr>
                <w:rFonts w:cs="Arial"/>
                <w:szCs w:val="18"/>
                <w:lang w:val="en-GB"/>
              </w:rPr>
              <w:t>0.6×10</w:t>
            </w:r>
            <w:r w:rsidRPr="006644A1">
              <w:rPr>
                <w:rFonts w:cs="Arial"/>
                <w:szCs w:val="18"/>
                <w:vertAlign w:val="superscript"/>
                <w:lang w:val="en-GB"/>
              </w:rPr>
              <w:t>-11</w:t>
            </w:r>
          </w:p>
        </w:tc>
        <w:tc>
          <w:tcPr>
            <w:tcW w:w="792" w:type="dxa"/>
            <w:shd w:val="clear" w:color="auto" w:fill="FFFFFF"/>
          </w:tcPr>
          <w:p w14:paraId="5ABBE8B6" w14:textId="6B7F6232" w:rsidR="007B7860" w:rsidRPr="006644A1" w:rsidRDefault="007B7860" w:rsidP="007B7860">
            <w:pPr>
              <w:pStyle w:val="CETBodytext"/>
              <w:ind w:right="-1"/>
              <w:rPr>
                <w:rFonts w:cs="Arial"/>
                <w:szCs w:val="18"/>
                <w:lang w:val="en-GB"/>
              </w:rPr>
            </w:pPr>
            <w:r w:rsidRPr="006644A1">
              <w:rPr>
                <w:rFonts w:cs="Arial"/>
                <w:szCs w:val="18"/>
                <w:lang w:val="en-GB"/>
              </w:rPr>
              <w:t>-</w:t>
            </w:r>
          </w:p>
        </w:tc>
      </w:tr>
      <w:tr w:rsidR="007B7860" w:rsidRPr="006644A1" w14:paraId="36392EEE" w14:textId="77777777" w:rsidTr="00CE0E20">
        <w:trPr>
          <w:trHeight w:val="214"/>
        </w:trPr>
        <w:tc>
          <w:tcPr>
            <w:tcW w:w="3261" w:type="dxa"/>
            <w:gridSpan w:val="3"/>
            <w:tcBorders>
              <w:bottom w:val="single" w:sz="6" w:space="0" w:color="008000"/>
            </w:tcBorders>
            <w:shd w:val="clear" w:color="auto" w:fill="FFFFFF"/>
          </w:tcPr>
          <w:p w14:paraId="7DC84CD1" w14:textId="77777777" w:rsidR="007B7860" w:rsidRPr="006644A1" w:rsidRDefault="007B7860" w:rsidP="00790C78">
            <w:pPr>
              <w:pStyle w:val="CETBodytext"/>
              <w:rPr>
                <w:lang w:val="en-GB"/>
              </w:rPr>
            </w:pPr>
            <w:r w:rsidRPr="006644A1">
              <w:rPr>
                <w:lang w:val="en-GB"/>
              </w:rPr>
              <w:t>Fixed charge group</w:t>
            </w:r>
          </w:p>
        </w:tc>
        <w:tc>
          <w:tcPr>
            <w:tcW w:w="1417" w:type="dxa"/>
            <w:tcBorders>
              <w:bottom w:val="single" w:sz="6" w:space="0" w:color="008000"/>
            </w:tcBorders>
            <w:shd w:val="clear" w:color="auto" w:fill="FFFFFF"/>
          </w:tcPr>
          <w:p w14:paraId="0837F985" w14:textId="77777777" w:rsidR="007B7860" w:rsidRPr="006644A1" w:rsidRDefault="007B7860" w:rsidP="00790C78">
            <w:pPr>
              <w:pStyle w:val="CETBodytext"/>
              <w:ind w:right="-1"/>
              <w:rPr>
                <w:rFonts w:cs="Arial"/>
                <w:szCs w:val="18"/>
                <w:lang w:val="en-GB"/>
              </w:rPr>
            </w:pPr>
            <w:r w:rsidRPr="006644A1">
              <w:rPr>
                <w:rFonts w:cs="Arial"/>
                <w:szCs w:val="18"/>
                <w:lang w:val="en-GB"/>
              </w:rPr>
              <w:t>mol m</w:t>
            </w:r>
            <w:r w:rsidRPr="006644A1">
              <w:rPr>
                <w:rFonts w:cs="Arial"/>
                <w:szCs w:val="18"/>
                <w:vertAlign w:val="superscript"/>
                <w:lang w:val="en-GB"/>
              </w:rPr>
              <w:t>-3</w:t>
            </w:r>
          </w:p>
        </w:tc>
        <w:tc>
          <w:tcPr>
            <w:tcW w:w="1134" w:type="dxa"/>
            <w:tcBorders>
              <w:bottom w:val="single" w:sz="6" w:space="0" w:color="008000"/>
            </w:tcBorders>
            <w:shd w:val="clear" w:color="auto" w:fill="FFFFFF"/>
          </w:tcPr>
          <w:p w14:paraId="666C2613" w14:textId="77777777" w:rsidR="007B7860" w:rsidRPr="006644A1" w:rsidRDefault="007B7860" w:rsidP="00790C78">
            <w:pPr>
              <w:pStyle w:val="CETBodytext"/>
              <w:ind w:right="-1"/>
              <w:rPr>
                <w:rFonts w:cs="Arial"/>
                <w:szCs w:val="18"/>
                <w:lang w:val="en-GB"/>
              </w:rPr>
            </w:pPr>
            <w:r w:rsidRPr="006644A1">
              <w:rPr>
                <w:rFonts w:cs="Arial"/>
                <w:szCs w:val="18"/>
                <w:lang w:val="en-GB"/>
              </w:rPr>
              <w:t>5,000</w:t>
            </w:r>
          </w:p>
        </w:tc>
        <w:tc>
          <w:tcPr>
            <w:tcW w:w="1134" w:type="dxa"/>
            <w:tcBorders>
              <w:bottom w:val="single" w:sz="6" w:space="0" w:color="008000"/>
            </w:tcBorders>
            <w:shd w:val="clear" w:color="auto" w:fill="FFFFFF"/>
          </w:tcPr>
          <w:p w14:paraId="5DFDA109" w14:textId="77777777" w:rsidR="007B7860" w:rsidRPr="006644A1" w:rsidRDefault="007B7860" w:rsidP="00790C78">
            <w:pPr>
              <w:pStyle w:val="CETBodytext"/>
              <w:ind w:right="-1"/>
              <w:rPr>
                <w:rFonts w:cs="Arial"/>
                <w:szCs w:val="18"/>
                <w:lang w:val="en-GB"/>
              </w:rPr>
            </w:pPr>
            <w:r w:rsidRPr="006644A1">
              <w:rPr>
                <w:rFonts w:cs="Arial"/>
                <w:szCs w:val="18"/>
                <w:lang w:val="en-GB"/>
              </w:rPr>
              <w:t>5,000</w:t>
            </w:r>
          </w:p>
        </w:tc>
        <w:tc>
          <w:tcPr>
            <w:tcW w:w="992" w:type="dxa"/>
            <w:tcBorders>
              <w:bottom w:val="single" w:sz="6" w:space="0" w:color="008000"/>
            </w:tcBorders>
            <w:shd w:val="clear" w:color="auto" w:fill="FFFFFF"/>
          </w:tcPr>
          <w:p w14:paraId="312ACF59" w14:textId="5F9C171B" w:rsidR="007B7860" w:rsidRPr="006644A1" w:rsidRDefault="007B7860" w:rsidP="00790C78">
            <w:pPr>
              <w:pStyle w:val="CETBodytext"/>
              <w:ind w:right="-1"/>
              <w:rPr>
                <w:rFonts w:cs="Arial"/>
                <w:szCs w:val="18"/>
                <w:lang w:val="en-GB"/>
              </w:rPr>
            </w:pPr>
            <w:r w:rsidRPr="006644A1">
              <w:rPr>
                <w:rFonts w:cs="Arial"/>
                <w:szCs w:val="18"/>
                <w:lang w:val="en-GB"/>
              </w:rPr>
              <w:t>5,000</w:t>
            </w:r>
          </w:p>
        </w:tc>
        <w:tc>
          <w:tcPr>
            <w:tcW w:w="1134" w:type="dxa"/>
            <w:tcBorders>
              <w:bottom w:val="single" w:sz="6" w:space="0" w:color="008000"/>
            </w:tcBorders>
            <w:shd w:val="clear" w:color="auto" w:fill="FFFFFF"/>
          </w:tcPr>
          <w:p w14:paraId="20CF92CD" w14:textId="022F5DA6" w:rsidR="007B7860" w:rsidRPr="006644A1" w:rsidRDefault="007B7860" w:rsidP="00790C78">
            <w:pPr>
              <w:pStyle w:val="CETBodytext"/>
              <w:ind w:right="-1"/>
              <w:rPr>
                <w:rFonts w:cs="Arial"/>
                <w:szCs w:val="18"/>
                <w:lang w:val="en-GB"/>
              </w:rPr>
            </w:pPr>
            <w:r w:rsidRPr="006644A1">
              <w:rPr>
                <w:rFonts w:cs="Arial"/>
                <w:szCs w:val="18"/>
                <w:lang w:val="en-GB"/>
              </w:rPr>
              <w:t>5,000</w:t>
            </w:r>
          </w:p>
        </w:tc>
        <w:tc>
          <w:tcPr>
            <w:tcW w:w="792" w:type="dxa"/>
            <w:tcBorders>
              <w:bottom w:val="single" w:sz="6" w:space="0" w:color="008000"/>
            </w:tcBorders>
            <w:shd w:val="clear" w:color="auto" w:fill="FFFFFF"/>
          </w:tcPr>
          <w:p w14:paraId="6617B2F4" w14:textId="0CCC9DD4" w:rsidR="007B7860" w:rsidRPr="006644A1" w:rsidRDefault="007B7860" w:rsidP="00790C78">
            <w:pPr>
              <w:pStyle w:val="CETBodytext"/>
              <w:ind w:right="-1"/>
              <w:rPr>
                <w:rFonts w:cs="Arial"/>
                <w:szCs w:val="18"/>
                <w:lang w:val="en-GB"/>
              </w:rPr>
            </w:pPr>
            <w:r w:rsidRPr="006644A1">
              <w:rPr>
                <w:rFonts w:cs="Arial"/>
                <w:szCs w:val="18"/>
                <w:lang w:val="en-GB"/>
              </w:rPr>
              <w:t>-</w:t>
            </w:r>
          </w:p>
        </w:tc>
      </w:tr>
      <w:tr w:rsidR="002E4AD8" w:rsidRPr="006644A1" w14:paraId="4AA173DA" w14:textId="77777777" w:rsidTr="00C5113B">
        <w:trPr>
          <w:trHeight w:val="206"/>
        </w:trPr>
        <w:tc>
          <w:tcPr>
            <w:tcW w:w="9864" w:type="dxa"/>
            <w:gridSpan w:val="9"/>
            <w:tcBorders>
              <w:top w:val="single" w:sz="6" w:space="0" w:color="008000"/>
              <w:bottom w:val="single" w:sz="6" w:space="0" w:color="008000"/>
            </w:tcBorders>
            <w:shd w:val="clear" w:color="auto" w:fill="FFFFFF"/>
          </w:tcPr>
          <w:p w14:paraId="4ACA36B4" w14:textId="563F9292" w:rsidR="002E4AD8" w:rsidRPr="006644A1" w:rsidRDefault="002E4AD8" w:rsidP="00790C78">
            <w:pPr>
              <w:pStyle w:val="CETBodytext"/>
              <w:ind w:right="-1"/>
              <w:jc w:val="center"/>
              <w:rPr>
                <w:rFonts w:cs="Arial"/>
                <w:szCs w:val="18"/>
                <w:lang w:val="en-GB"/>
              </w:rPr>
            </w:pPr>
            <w:r w:rsidRPr="006644A1">
              <w:rPr>
                <w:rFonts w:cs="Arial"/>
                <w:szCs w:val="18"/>
                <w:lang w:val="en-GB"/>
              </w:rPr>
              <w:t>Design parameters</w:t>
            </w:r>
          </w:p>
        </w:tc>
      </w:tr>
      <w:tr w:rsidR="007B7860" w:rsidRPr="006644A1" w14:paraId="4D1A0C27" w14:textId="77777777" w:rsidTr="00CE0E20">
        <w:trPr>
          <w:trHeight w:val="214"/>
        </w:trPr>
        <w:tc>
          <w:tcPr>
            <w:tcW w:w="3261" w:type="dxa"/>
            <w:gridSpan w:val="3"/>
            <w:shd w:val="clear" w:color="auto" w:fill="FFFFFF"/>
          </w:tcPr>
          <w:p w14:paraId="2EE65195" w14:textId="77777777" w:rsidR="007B7860" w:rsidRPr="006644A1" w:rsidRDefault="007B7860" w:rsidP="00790C78">
            <w:pPr>
              <w:pStyle w:val="CETBodytext"/>
              <w:rPr>
                <w:lang w:val="en-GB"/>
              </w:rPr>
            </w:pPr>
          </w:p>
        </w:tc>
        <w:tc>
          <w:tcPr>
            <w:tcW w:w="1417" w:type="dxa"/>
            <w:shd w:val="clear" w:color="auto" w:fill="FFFFFF"/>
          </w:tcPr>
          <w:p w14:paraId="54D47D5F" w14:textId="77777777" w:rsidR="007B7860" w:rsidRPr="006644A1" w:rsidRDefault="007B7860" w:rsidP="00790C78">
            <w:pPr>
              <w:pStyle w:val="CETBodytext"/>
              <w:ind w:right="-1"/>
              <w:rPr>
                <w:rFonts w:cs="Arial"/>
                <w:szCs w:val="18"/>
                <w:lang w:val="en-GB"/>
              </w:rPr>
            </w:pPr>
            <w:r w:rsidRPr="006644A1">
              <w:rPr>
                <w:rFonts w:cs="Arial"/>
                <w:szCs w:val="18"/>
                <w:lang w:val="en-GB"/>
              </w:rPr>
              <w:t>units</w:t>
            </w:r>
          </w:p>
        </w:tc>
        <w:tc>
          <w:tcPr>
            <w:tcW w:w="1134" w:type="dxa"/>
            <w:shd w:val="clear" w:color="auto" w:fill="FFFFFF"/>
          </w:tcPr>
          <w:p w14:paraId="76DA80D9" w14:textId="221642A2" w:rsidR="007B7860" w:rsidRPr="006644A1" w:rsidRDefault="001B500F" w:rsidP="00790C78">
            <w:pPr>
              <w:pStyle w:val="CETBodytext"/>
              <w:ind w:right="-1"/>
              <w:rPr>
                <w:rFonts w:cs="Arial"/>
                <w:szCs w:val="18"/>
                <w:lang w:val="en-GB"/>
              </w:rPr>
            </w:pPr>
            <w:r w:rsidRPr="006644A1">
              <w:rPr>
                <w:rFonts w:cs="Arial"/>
                <w:szCs w:val="18"/>
                <w:lang w:val="en-GB"/>
              </w:rPr>
              <w:t>reference</w:t>
            </w:r>
          </w:p>
        </w:tc>
        <w:tc>
          <w:tcPr>
            <w:tcW w:w="1134" w:type="dxa"/>
            <w:shd w:val="clear" w:color="auto" w:fill="FFFFFF"/>
          </w:tcPr>
          <w:p w14:paraId="378DEEC8" w14:textId="6E285FED" w:rsidR="007B7860" w:rsidRPr="006644A1" w:rsidRDefault="007B7860" w:rsidP="00790C78">
            <w:pPr>
              <w:pStyle w:val="CETBodytext"/>
              <w:ind w:right="-1"/>
              <w:rPr>
                <w:rFonts w:cs="Arial"/>
                <w:szCs w:val="18"/>
                <w:lang w:val="en-GB"/>
              </w:rPr>
            </w:pPr>
          </w:p>
        </w:tc>
        <w:tc>
          <w:tcPr>
            <w:tcW w:w="992" w:type="dxa"/>
            <w:shd w:val="clear" w:color="auto" w:fill="FFFFFF"/>
          </w:tcPr>
          <w:p w14:paraId="2AE92222"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20B90ECE"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5B0E4280" w14:textId="341B91E7" w:rsidR="007B7860" w:rsidRPr="006644A1" w:rsidRDefault="007B7860" w:rsidP="00790C78">
            <w:pPr>
              <w:pStyle w:val="CETBodytext"/>
              <w:ind w:right="-1"/>
              <w:rPr>
                <w:rFonts w:cs="Arial"/>
                <w:szCs w:val="18"/>
                <w:lang w:val="en-GB"/>
              </w:rPr>
            </w:pPr>
          </w:p>
        </w:tc>
      </w:tr>
      <w:tr w:rsidR="007B7860" w:rsidRPr="006644A1" w14:paraId="4A5BB0DE" w14:textId="77777777" w:rsidTr="00CE0E20">
        <w:trPr>
          <w:trHeight w:val="214"/>
        </w:trPr>
        <w:tc>
          <w:tcPr>
            <w:tcW w:w="3261" w:type="dxa"/>
            <w:gridSpan w:val="3"/>
            <w:shd w:val="clear" w:color="auto" w:fill="FFFFFF"/>
          </w:tcPr>
          <w:p w14:paraId="7B512455" w14:textId="77777777" w:rsidR="007B7860" w:rsidRPr="006644A1" w:rsidRDefault="007B7860" w:rsidP="00790C78">
            <w:pPr>
              <w:pStyle w:val="CETBodytext"/>
              <w:rPr>
                <w:lang w:val="en-GB"/>
              </w:rPr>
            </w:pPr>
            <w:r w:rsidRPr="006644A1">
              <w:rPr>
                <w:lang w:val="en-GB"/>
              </w:rPr>
              <w:t>Number of triplets</w:t>
            </w:r>
          </w:p>
        </w:tc>
        <w:tc>
          <w:tcPr>
            <w:tcW w:w="1417" w:type="dxa"/>
            <w:shd w:val="clear" w:color="auto" w:fill="FFFFFF"/>
          </w:tcPr>
          <w:p w14:paraId="72EBCDDB" w14:textId="77777777" w:rsidR="007B7860" w:rsidRPr="006644A1" w:rsidRDefault="007B7860" w:rsidP="00790C78">
            <w:pPr>
              <w:pStyle w:val="CETBodytext"/>
              <w:ind w:right="-1"/>
              <w:rPr>
                <w:rFonts w:cs="Arial"/>
                <w:szCs w:val="18"/>
                <w:lang w:val="en-GB"/>
              </w:rPr>
            </w:pPr>
            <w:r w:rsidRPr="006644A1">
              <w:rPr>
                <w:rFonts w:cs="Arial"/>
                <w:szCs w:val="18"/>
                <w:lang w:val="en-GB"/>
              </w:rPr>
              <w:t>-</w:t>
            </w:r>
          </w:p>
        </w:tc>
        <w:tc>
          <w:tcPr>
            <w:tcW w:w="1134" w:type="dxa"/>
            <w:shd w:val="clear" w:color="auto" w:fill="FFFFFF"/>
          </w:tcPr>
          <w:p w14:paraId="5B4549DC" w14:textId="77777777" w:rsidR="007B7860" w:rsidRPr="006644A1" w:rsidRDefault="007B7860" w:rsidP="00790C78">
            <w:pPr>
              <w:pStyle w:val="CETBodytext"/>
              <w:ind w:right="-1"/>
              <w:rPr>
                <w:rFonts w:cs="Arial"/>
                <w:szCs w:val="18"/>
                <w:lang w:val="en-GB"/>
              </w:rPr>
            </w:pPr>
            <w:r w:rsidRPr="006644A1">
              <w:rPr>
                <w:rFonts w:cs="Arial"/>
                <w:szCs w:val="18"/>
                <w:lang w:val="en-GB"/>
              </w:rPr>
              <w:t>7</w:t>
            </w:r>
          </w:p>
        </w:tc>
        <w:tc>
          <w:tcPr>
            <w:tcW w:w="1134" w:type="dxa"/>
            <w:shd w:val="clear" w:color="auto" w:fill="FFFFFF"/>
          </w:tcPr>
          <w:p w14:paraId="0C2F6E24" w14:textId="77777777" w:rsidR="007B7860" w:rsidRPr="006644A1" w:rsidRDefault="007B7860" w:rsidP="00790C78">
            <w:pPr>
              <w:pStyle w:val="CETBodytext"/>
              <w:ind w:right="-1"/>
              <w:rPr>
                <w:rFonts w:cs="Arial"/>
                <w:szCs w:val="18"/>
                <w:lang w:val="en-GB"/>
              </w:rPr>
            </w:pPr>
          </w:p>
        </w:tc>
        <w:tc>
          <w:tcPr>
            <w:tcW w:w="992" w:type="dxa"/>
            <w:shd w:val="clear" w:color="auto" w:fill="FFFFFF"/>
          </w:tcPr>
          <w:p w14:paraId="47ECE27F"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377C713B"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12A1202A" w14:textId="7679BE0A" w:rsidR="007B7860" w:rsidRPr="006644A1" w:rsidRDefault="007B7860" w:rsidP="00790C78">
            <w:pPr>
              <w:pStyle w:val="CETBodytext"/>
              <w:ind w:right="-1"/>
              <w:rPr>
                <w:rFonts w:cs="Arial"/>
                <w:szCs w:val="18"/>
                <w:lang w:val="en-GB"/>
              </w:rPr>
            </w:pPr>
          </w:p>
        </w:tc>
      </w:tr>
      <w:tr w:rsidR="007B7860" w:rsidRPr="006644A1" w14:paraId="0107EDFD" w14:textId="77777777" w:rsidTr="00CE0E20">
        <w:trPr>
          <w:trHeight w:val="206"/>
        </w:trPr>
        <w:tc>
          <w:tcPr>
            <w:tcW w:w="3261" w:type="dxa"/>
            <w:gridSpan w:val="3"/>
            <w:shd w:val="clear" w:color="auto" w:fill="FFFFFF"/>
          </w:tcPr>
          <w:p w14:paraId="3A9D04AC" w14:textId="77777777" w:rsidR="007B7860" w:rsidRPr="006644A1" w:rsidRDefault="007B7860" w:rsidP="00790C78">
            <w:pPr>
              <w:pStyle w:val="CETBodytext"/>
              <w:rPr>
                <w:lang w:val="en-GB"/>
              </w:rPr>
            </w:pPr>
            <w:r w:rsidRPr="006644A1">
              <w:rPr>
                <w:lang w:val="en-GB"/>
              </w:rPr>
              <w:t>Spacer length, L</w:t>
            </w:r>
          </w:p>
        </w:tc>
        <w:tc>
          <w:tcPr>
            <w:tcW w:w="1417" w:type="dxa"/>
            <w:shd w:val="clear" w:color="auto" w:fill="FFFFFF"/>
          </w:tcPr>
          <w:p w14:paraId="34C91406" w14:textId="77777777" w:rsidR="007B7860" w:rsidRPr="006644A1" w:rsidRDefault="007B7860" w:rsidP="00790C78">
            <w:pPr>
              <w:pStyle w:val="CETBodytext"/>
              <w:ind w:right="-1"/>
              <w:rPr>
                <w:rFonts w:cs="Arial"/>
                <w:szCs w:val="18"/>
                <w:lang w:val="en-GB"/>
              </w:rPr>
            </w:pPr>
            <w:r w:rsidRPr="006644A1">
              <w:rPr>
                <w:rFonts w:cs="Arial"/>
                <w:szCs w:val="18"/>
                <w:lang w:val="en-GB"/>
              </w:rPr>
              <w:t>m</w:t>
            </w:r>
          </w:p>
        </w:tc>
        <w:tc>
          <w:tcPr>
            <w:tcW w:w="1134" w:type="dxa"/>
            <w:shd w:val="clear" w:color="auto" w:fill="FFFFFF"/>
          </w:tcPr>
          <w:p w14:paraId="21120658" w14:textId="77777777" w:rsidR="007B7860" w:rsidRPr="006644A1" w:rsidRDefault="007B7860" w:rsidP="00790C78">
            <w:pPr>
              <w:pStyle w:val="CETBodytext"/>
              <w:ind w:right="-1"/>
              <w:rPr>
                <w:rFonts w:cs="Arial"/>
                <w:szCs w:val="18"/>
                <w:lang w:val="en-GB"/>
              </w:rPr>
            </w:pPr>
            <w:r w:rsidRPr="006644A1">
              <w:rPr>
                <w:rFonts w:cs="Arial"/>
                <w:szCs w:val="18"/>
                <w:lang w:val="en-GB"/>
              </w:rPr>
              <w:t>0.44</w:t>
            </w:r>
          </w:p>
        </w:tc>
        <w:tc>
          <w:tcPr>
            <w:tcW w:w="1134" w:type="dxa"/>
            <w:shd w:val="clear" w:color="auto" w:fill="FFFFFF"/>
          </w:tcPr>
          <w:p w14:paraId="4B8A217B" w14:textId="1DF4F0E7" w:rsidR="007B7860" w:rsidRPr="006644A1" w:rsidRDefault="007B7860" w:rsidP="00790C78">
            <w:pPr>
              <w:pStyle w:val="CETBodytext"/>
              <w:ind w:right="-1"/>
              <w:rPr>
                <w:rFonts w:cs="Arial"/>
                <w:szCs w:val="18"/>
                <w:lang w:val="en-GB"/>
              </w:rPr>
            </w:pPr>
          </w:p>
        </w:tc>
        <w:tc>
          <w:tcPr>
            <w:tcW w:w="992" w:type="dxa"/>
            <w:shd w:val="clear" w:color="auto" w:fill="FFFFFF"/>
          </w:tcPr>
          <w:p w14:paraId="2DFE3539"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686EDFF6"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0D33386A" w14:textId="3C10B7FB" w:rsidR="007B7860" w:rsidRPr="006644A1" w:rsidRDefault="007B7860" w:rsidP="00790C78">
            <w:pPr>
              <w:pStyle w:val="CETBodytext"/>
              <w:ind w:right="-1"/>
              <w:rPr>
                <w:rFonts w:cs="Arial"/>
                <w:szCs w:val="18"/>
                <w:lang w:val="en-GB"/>
              </w:rPr>
            </w:pPr>
          </w:p>
        </w:tc>
      </w:tr>
      <w:tr w:rsidR="007B7860" w:rsidRPr="006644A1" w14:paraId="1C4751ED" w14:textId="77777777" w:rsidTr="00CE0E20">
        <w:trPr>
          <w:trHeight w:val="214"/>
        </w:trPr>
        <w:tc>
          <w:tcPr>
            <w:tcW w:w="3261" w:type="dxa"/>
            <w:gridSpan w:val="3"/>
            <w:shd w:val="clear" w:color="auto" w:fill="FFFFFF"/>
          </w:tcPr>
          <w:p w14:paraId="2841AE38" w14:textId="77777777" w:rsidR="007B7860" w:rsidRPr="006644A1" w:rsidRDefault="007B7860" w:rsidP="00790C78">
            <w:pPr>
              <w:pStyle w:val="CETBodytext"/>
              <w:rPr>
                <w:lang w:val="en-GB"/>
              </w:rPr>
            </w:pPr>
            <w:r w:rsidRPr="006644A1">
              <w:rPr>
                <w:lang w:val="en-GB"/>
              </w:rPr>
              <w:t>Spacer width, b</w:t>
            </w:r>
          </w:p>
        </w:tc>
        <w:tc>
          <w:tcPr>
            <w:tcW w:w="1417" w:type="dxa"/>
            <w:shd w:val="clear" w:color="auto" w:fill="FFFFFF"/>
          </w:tcPr>
          <w:p w14:paraId="7AC573BB" w14:textId="77777777" w:rsidR="007B7860" w:rsidRPr="006644A1" w:rsidRDefault="007B7860" w:rsidP="00790C78">
            <w:pPr>
              <w:pStyle w:val="CETBodytext"/>
              <w:ind w:right="-1"/>
              <w:rPr>
                <w:rFonts w:cs="Arial"/>
                <w:szCs w:val="18"/>
                <w:lang w:val="en-GB"/>
              </w:rPr>
            </w:pPr>
            <w:r w:rsidRPr="006644A1">
              <w:rPr>
                <w:rFonts w:cs="Arial"/>
                <w:szCs w:val="18"/>
                <w:lang w:val="en-GB"/>
              </w:rPr>
              <w:t>m</w:t>
            </w:r>
          </w:p>
        </w:tc>
        <w:tc>
          <w:tcPr>
            <w:tcW w:w="1134" w:type="dxa"/>
            <w:shd w:val="clear" w:color="auto" w:fill="FFFFFF"/>
          </w:tcPr>
          <w:p w14:paraId="03F5CD07" w14:textId="77777777" w:rsidR="007B7860" w:rsidRPr="006644A1" w:rsidRDefault="007B7860" w:rsidP="00790C78">
            <w:pPr>
              <w:pStyle w:val="CETBodytext"/>
              <w:ind w:right="-1"/>
              <w:rPr>
                <w:rFonts w:cs="Arial"/>
                <w:szCs w:val="18"/>
                <w:lang w:val="en-GB"/>
              </w:rPr>
            </w:pPr>
            <w:r w:rsidRPr="006644A1">
              <w:rPr>
                <w:rFonts w:cs="Arial"/>
                <w:szCs w:val="18"/>
                <w:lang w:val="en-GB"/>
              </w:rPr>
              <w:t>0.476</w:t>
            </w:r>
          </w:p>
        </w:tc>
        <w:tc>
          <w:tcPr>
            <w:tcW w:w="1134" w:type="dxa"/>
            <w:shd w:val="clear" w:color="auto" w:fill="FFFFFF"/>
          </w:tcPr>
          <w:p w14:paraId="07C7399F" w14:textId="77777777" w:rsidR="007B7860" w:rsidRPr="006644A1" w:rsidRDefault="007B7860" w:rsidP="00790C78">
            <w:pPr>
              <w:pStyle w:val="CETBodytext"/>
              <w:ind w:right="-1"/>
              <w:rPr>
                <w:rFonts w:cs="Arial"/>
                <w:szCs w:val="18"/>
                <w:lang w:val="en-GB"/>
              </w:rPr>
            </w:pPr>
          </w:p>
        </w:tc>
        <w:tc>
          <w:tcPr>
            <w:tcW w:w="992" w:type="dxa"/>
            <w:shd w:val="clear" w:color="auto" w:fill="FFFFFF"/>
          </w:tcPr>
          <w:p w14:paraId="70B77D37"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1DCF51F0"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00FA4575" w14:textId="0092E106" w:rsidR="007B7860" w:rsidRPr="006644A1" w:rsidRDefault="007B7860" w:rsidP="00790C78">
            <w:pPr>
              <w:pStyle w:val="CETBodytext"/>
              <w:ind w:right="-1"/>
              <w:rPr>
                <w:rFonts w:cs="Arial"/>
                <w:szCs w:val="18"/>
                <w:lang w:val="en-GB"/>
              </w:rPr>
            </w:pPr>
          </w:p>
        </w:tc>
      </w:tr>
      <w:tr w:rsidR="007B7860" w:rsidRPr="006644A1" w14:paraId="47C00C49" w14:textId="77777777" w:rsidTr="00CE0E20">
        <w:trPr>
          <w:trHeight w:val="214"/>
        </w:trPr>
        <w:tc>
          <w:tcPr>
            <w:tcW w:w="3261" w:type="dxa"/>
            <w:gridSpan w:val="3"/>
            <w:shd w:val="clear" w:color="auto" w:fill="FFFFFF"/>
          </w:tcPr>
          <w:p w14:paraId="771EC251" w14:textId="77777777" w:rsidR="007B7860" w:rsidRPr="006644A1" w:rsidRDefault="007B7860" w:rsidP="00790C78">
            <w:pPr>
              <w:pStyle w:val="CETBodytext"/>
              <w:rPr>
                <w:lang w:val="en-GB"/>
              </w:rPr>
            </w:pPr>
            <w:r w:rsidRPr="006644A1">
              <w:rPr>
                <w:lang w:val="en-GB"/>
              </w:rPr>
              <w:t>Spacer thickness, H</w:t>
            </w:r>
          </w:p>
        </w:tc>
        <w:tc>
          <w:tcPr>
            <w:tcW w:w="1417" w:type="dxa"/>
            <w:shd w:val="clear" w:color="auto" w:fill="FFFFFF"/>
          </w:tcPr>
          <w:p w14:paraId="7211A53B" w14:textId="77777777" w:rsidR="007B7860" w:rsidRPr="006644A1" w:rsidRDefault="007B7860" w:rsidP="00790C78">
            <w:pPr>
              <w:pStyle w:val="CETBodytext"/>
              <w:ind w:right="-1"/>
              <w:rPr>
                <w:rFonts w:cs="Arial"/>
                <w:szCs w:val="18"/>
                <w:lang w:val="en-GB"/>
              </w:rPr>
            </w:pPr>
            <w:r w:rsidRPr="006644A1">
              <w:rPr>
                <w:rFonts w:cs="Arial"/>
                <w:szCs w:val="18"/>
                <w:lang w:val="en-GB"/>
              </w:rPr>
              <w:t>µm</w:t>
            </w:r>
          </w:p>
        </w:tc>
        <w:tc>
          <w:tcPr>
            <w:tcW w:w="1134" w:type="dxa"/>
            <w:shd w:val="clear" w:color="auto" w:fill="FFFFFF"/>
          </w:tcPr>
          <w:p w14:paraId="29FCBE26" w14:textId="77777777" w:rsidR="007B7860" w:rsidRPr="006644A1" w:rsidRDefault="007B7860" w:rsidP="00790C78">
            <w:pPr>
              <w:pStyle w:val="CETBodytext"/>
              <w:ind w:right="-1"/>
              <w:rPr>
                <w:rFonts w:cs="Arial"/>
                <w:szCs w:val="18"/>
                <w:lang w:val="en-GB"/>
              </w:rPr>
            </w:pPr>
            <w:r w:rsidRPr="006644A1">
              <w:rPr>
                <w:rFonts w:cs="Arial"/>
                <w:szCs w:val="18"/>
                <w:lang w:val="en-GB"/>
              </w:rPr>
              <w:t>475</w:t>
            </w:r>
          </w:p>
        </w:tc>
        <w:tc>
          <w:tcPr>
            <w:tcW w:w="1134" w:type="dxa"/>
            <w:shd w:val="clear" w:color="auto" w:fill="FFFFFF"/>
          </w:tcPr>
          <w:p w14:paraId="60177911" w14:textId="58CA8464" w:rsidR="007B7860" w:rsidRPr="006644A1" w:rsidRDefault="007B7860" w:rsidP="00790C78">
            <w:pPr>
              <w:pStyle w:val="CETBodytext"/>
              <w:ind w:right="-1"/>
              <w:rPr>
                <w:rFonts w:cs="Arial"/>
                <w:szCs w:val="18"/>
                <w:lang w:val="en-GB"/>
              </w:rPr>
            </w:pPr>
          </w:p>
        </w:tc>
        <w:tc>
          <w:tcPr>
            <w:tcW w:w="992" w:type="dxa"/>
            <w:shd w:val="clear" w:color="auto" w:fill="FFFFFF"/>
          </w:tcPr>
          <w:p w14:paraId="4F5D15A8"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1C9D9B2C"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7F8C6307" w14:textId="358724DA" w:rsidR="007B7860" w:rsidRPr="006644A1" w:rsidRDefault="007B7860" w:rsidP="00790C78">
            <w:pPr>
              <w:pStyle w:val="CETBodytext"/>
              <w:ind w:right="-1"/>
              <w:rPr>
                <w:rFonts w:cs="Arial"/>
                <w:szCs w:val="18"/>
                <w:lang w:val="en-GB"/>
              </w:rPr>
            </w:pPr>
          </w:p>
        </w:tc>
      </w:tr>
      <w:tr w:rsidR="007B7860" w:rsidRPr="006644A1" w14:paraId="6E7D6A69" w14:textId="77777777" w:rsidTr="002E4AD8">
        <w:trPr>
          <w:trHeight w:val="88"/>
        </w:trPr>
        <w:tc>
          <w:tcPr>
            <w:tcW w:w="3261" w:type="dxa"/>
            <w:gridSpan w:val="3"/>
            <w:tcBorders>
              <w:bottom w:val="single" w:sz="6" w:space="0" w:color="008000"/>
            </w:tcBorders>
            <w:shd w:val="clear" w:color="auto" w:fill="FFFFFF"/>
          </w:tcPr>
          <w:p w14:paraId="2DA43964" w14:textId="77777777" w:rsidR="007B7860" w:rsidRPr="006644A1" w:rsidRDefault="007B7860" w:rsidP="00790C78">
            <w:pPr>
              <w:pStyle w:val="CETBodytext"/>
              <w:rPr>
                <w:lang w:val="en-GB"/>
              </w:rPr>
            </w:pPr>
            <w:r w:rsidRPr="006644A1">
              <w:rPr>
                <w:lang w:val="en-GB"/>
              </w:rPr>
              <w:t>Manifold area</w:t>
            </w:r>
          </w:p>
        </w:tc>
        <w:tc>
          <w:tcPr>
            <w:tcW w:w="1417" w:type="dxa"/>
            <w:tcBorders>
              <w:bottom w:val="single" w:sz="6" w:space="0" w:color="008000"/>
            </w:tcBorders>
            <w:shd w:val="clear" w:color="auto" w:fill="FFFFFF"/>
          </w:tcPr>
          <w:p w14:paraId="103A8840" w14:textId="77777777" w:rsidR="007B7860" w:rsidRPr="006644A1" w:rsidRDefault="007B7860" w:rsidP="00790C78">
            <w:pPr>
              <w:pStyle w:val="CETBodytext"/>
              <w:ind w:right="-1"/>
              <w:rPr>
                <w:rFonts w:cs="Arial"/>
                <w:szCs w:val="18"/>
                <w:lang w:val="en-GB"/>
              </w:rPr>
            </w:pPr>
            <w:r w:rsidRPr="006644A1">
              <w:rPr>
                <w:rFonts w:cs="Arial"/>
                <w:szCs w:val="18"/>
                <w:lang w:val="en-GB"/>
              </w:rPr>
              <w:t>mm</w:t>
            </w:r>
            <w:r w:rsidRPr="006644A1">
              <w:rPr>
                <w:rFonts w:cs="Arial"/>
                <w:szCs w:val="18"/>
                <w:vertAlign w:val="superscript"/>
                <w:lang w:val="en-GB"/>
              </w:rPr>
              <w:t>2</w:t>
            </w:r>
            <w:r w:rsidRPr="006644A1">
              <w:rPr>
                <w:rFonts w:cs="Arial"/>
                <w:szCs w:val="18"/>
                <w:lang w:val="en-GB"/>
              </w:rPr>
              <w:t xml:space="preserve"> </w:t>
            </w:r>
          </w:p>
        </w:tc>
        <w:tc>
          <w:tcPr>
            <w:tcW w:w="1134" w:type="dxa"/>
            <w:tcBorders>
              <w:bottom w:val="single" w:sz="6" w:space="0" w:color="008000"/>
            </w:tcBorders>
            <w:shd w:val="clear" w:color="auto" w:fill="FFFFFF"/>
          </w:tcPr>
          <w:p w14:paraId="3089A757" w14:textId="77777777" w:rsidR="007B7860" w:rsidRPr="006644A1" w:rsidRDefault="007B7860" w:rsidP="00790C78">
            <w:pPr>
              <w:pStyle w:val="CETBodytext"/>
              <w:ind w:right="-1"/>
              <w:rPr>
                <w:rFonts w:cs="Arial"/>
                <w:szCs w:val="18"/>
                <w:lang w:val="en-GB"/>
              </w:rPr>
            </w:pPr>
            <w:r w:rsidRPr="006644A1">
              <w:rPr>
                <w:rFonts w:cs="Arial"/>
                <w:szCs w:val="18"/>
                <w:lang w:val="en-GB"/>
              </w:rPr>
              <w:t>400</w:t>
            </w:r>
          </w:p>
        </w:tc>
        <w:tc>
          <w:tcPr>
            <w:tcW w:w="1134" w:type="dxa"/>
            <w:tcBorders>
              <w:bottom w:val="single" w:sz="6" w:space="0" w:color="008000"/>
            </w:tcBorders>
            <w:shd w:val="clear" w:color="auto" w:fill="FFFFFF"/>
          </w:tcPr>
          <w:p w14:paraId="2BE56EE7" w14:textId="77777777" w:rsidR="007B7860" w:rsidRPr="006644A1" w:rsidRDefault="007B7860" w:rsidP="00790C78">
            <w:pPr>
              <w:pStyle w:val="CETBodytext"/>
              <w:ind w:right="-1"/>
              <w:rPr>
                <w:rFonts w:cs="Arial"/>
                <w:szCs w:val="18"/>
                <w:lang w:val="en-GB"/>
              </w:rPr>
            </w:pPr>
          </w:p>
        </w:tc>
        <w:tc>
          <w:tcPr>
            <w:tcW w:w="992" w:type="dxa"/>
            <w:tcBorders>
              <w:bottom w:val="single" w:sz="6" w:space="0" w:color="008000"/>
            </w:tcBorders>
            <w:shd w:val="clear" w:color="auto" w:fill="FFFFFF"/>
          </w:tcPr>
          <w:p w14:paraId="512DFF89" w14:textId="77777777" w:rsidR="007B7860" w:rsidRPr="006644A1" w:rsidRDefault="007B7860" w:rsidP="00790C78">
            <w:pPr>
              <w:pStyle w:val="CETBodytext"/>
              <w:ind w:right="-1"/>
              <w:rPr>
                <w:rFonts w:cs="Arial"/>
                <w:szCs w:val="18"/>
                <w:lang w:val="en-GB"/>
              </w:rPr>
            </w:pPr>
          </w:p>
        </w:tc>
        <w:tc>
          <w:tcPr>
            <w:tcW w:w="1134" w:type="dxa"/>
            <w:tcBorders>
              <w:bottom w:val="single" w:sz="6" w:space="0" w:color="008000"/>
            </w:tcBorders>
            <w:shd w:val="clear" w:color="auto" w:fill="FFFFFF"/>
          </w:tcPr>
          <w:p w14:paraId="4919B3E3" w14:textId="77777777" w:rsidR="007B7860" w:rsidRPr="006644A1" w:rsidRDefault="007B7860" w:rsidP="00790C78">
            <w:pPr>
              <w:pStyle w:val="CETBodytext"/>
              <w:ind w:right="-1"/>
              <w:rPr>
                <w:rFonts w:cs="Arial"/>
                <w:szCs w:val="18"/>
                <w:lang w:val="en-GB"/>
              </w:rPr>
            </w:pPr>
          </w:p>
        </w:tc>
        <w:tc>
          <w:tcPr>
            <w:tcW w:w="792" w:type="dxa"/>
            <w:tcBorders>
              <w:bottom w:val="single" w:sz="6" w:space="0" w:color="008000"/>
            </w:tcBorders>
            <w:shd w:val="clear" w:color="auto" w:fill="FFFFFF"/>
          </w:tcPr>
          <w:p w14:paraId="1BDC5389" w14:textId="6556AC37" w:rsidR="007B7860" w:rsidRPr="006644A1" w:rsidRDefault="007B7860" w:rsidP="00790C78">
            <w:pPr>
              <w:pStyle w:val="CETBodytext"/>
              <w:ind w:right="-1"/>
              <w:rPr>
                <w:rFonts w:cs="Arial"/>
                <w:szCs w:val="18"/>
                <w:lang w:val="en-GB"/>
              </w:rPr>
            </w:pPr>
          </w:p>
        </w:tc>
      </w:tr>
      <w:tr w:rsidR="002E4AD8" w:rsidRPr="006644A1" w14:paraId="23CB497F" w14:textId="77777777" w:rsidTr="00046391">
        <w:trPr>
          <w:trHeight w:val="206"/>
        </w:trPr>
        <w:tc>
          <w:tcPr>
            <w:tcW w:w="9864" w:type="dxa"/>
            <w:gridSpan w:val="9"/>
            <w:tcBorders>
              <w:top w:val="single" w:sz="6" w:space="0" w:color="008000"/>
              <w:bottom w:val="single" w:sz="6" w:space="0" w:color="008000"/>
            </w:tcBorders>
            <w:shd w:val="clear" w:color="auto" w:fill="FFFFFF"/>
          </w:tcPr>
          <w:p w14:paraId="5C682E76" w14:textId="7A16F99B" w:rsidR="002E4AD8" w:rsidRPr="006644A1" w:rsidRDefault="002E4AD8" w:rsidP="00790C78">
            <w:pPr>
              <w:pStyle w:val="CETBodytext"/>
              <w:ind w:right="-1"/>
              <w:jc w:val="center"/>
              <w:rPr>
                <w:rFonts w:cs="Arial"/>
                <w:szCs w:val="18"/>
                <w:lang w:val="en-GB"/>
              </w:rPr>
            </w:pPr>
            <w:r w:rsidRPr="006644A1">
              <w:rPr>
                <w:rFonts w:cs="Arial"/>
                <w:szCs w:val="18"/>
                <w:lang w:val="en-GB"/>
              </w:rPr>
              <w:t>Operating conditions at the beginning of the charge</w:t>
            </w:r>
          </w:p>
        </w:tc>
      </w:tr>
      <w:tr w:rsidR="007B7860" w:rsidRPr="006644A1" w14:paraId="59544E2A" w14:textId="77777777" w:rsidTr="00CE0E20">
        <w:trPr>
          <w:trHeight w:val="420"/>
        </w:trPr>
        <w:tc>
          <w:tcPr>
            <w:tcW w:w="3261" w:type="dxa"/>
            <w:gridSpan w:val="3"/>
            <w:tcBorders>
              <w:top w:val="single" w:sz="6" w:space="0" w:color="008000"/>
            </w:tcBorders>
            <w:shd w:val="clear" w:color="auto" w:fill="FFFFFF"/>
          </w:tcPr>
          <w:p w14:paraId="48CF64CD" w14:textId="77777777" w:rsidR="007B7860" w:rsidRPr="006644A1" w:rsidRDefault="007B7860" w:rsidP="00790C78">
            <w:pPr>
              <w:pStyle w:val="CETBodytext"/>
              <w:rPr>
                <w:lang w:val="en-GB"/>
              </w:rPr>
            </w:pPr>
            <w:r w:rsidRPr="006644A1">
              <w:rPr>
                <w:lang w:val="en-GB"/>
              </w:rPr>
              <w:t>HCl concentration in the acid tank</w:t>
            </w:r>
          </w:p>
        </w:tc>
        <w:tc>
          <w:tcPr>
            <w:tcW w:w="1417" w:type="dxa"/>
            <w:tcBorders>
              <w:top w:val="single" w:sz="6" w:space="0" w:color="008000"/>
            </w:tcBorders>
            <w:shd w:val="clear" w:color="auto" w:fill="FFFFFF"/>
          </w:tcPr>
          <w:p w14:paraId="575AFA3E" w14:textId="77777777" w:rsidR="007B7860" w:rsidRPr="006644A1" w:rsidRDefault="007B7860" w:rsidP="00790C78">
            <w:pPr>
              <w:pStyle w:val="CETBodytext"/>
              <w:ind w:right="-1"/>
              <w:rPr>
                <w:rFonts w:cs="Arial"/>
                <w:szCs w:val="18"/>
                <w:lang w:val="en-GB"/>
              </w:rPr>
            </w:pPr>
            <w:r w:rsidRPr="006644A1">
              <w:rPr>
                <w:rFonts w:cs="Arial"/>
                <w:szCs w:val="18"/>
                <w:lang w:val="en-GB"/>
              </w:rPr>
              <w:t>mol m</w:t>
            </w:r>
            <w:r w:rsidRPr="006644A1">
              <w:rPr>
                <w:rFonts w:cs="Arial"/>
                <w:szCs w:val="18"/>
                <w:vertAlign w:val="superscript"/>
                <w:lang w:val="en-GB"/>
              </w:rPr>
              <w:t>-3</w:t>
            </w:r>
          </w:p>
        </w:tc>
        <w:tc>
          <w:tcPr>
            <w:tcW w:w="1134" w:type="dxa"/>
            <w:tcBorders>
              <w:top w:val="single" w:sz="6" w:space="0" w:color="008000"/>
            </w:tcBorders>
            <w:shd w:val="clear" w:color="auto" w:fill="FFFFFF"/>
          </w:tcPr>
          <w:p w14:paraId="583EFA55" w14:textId="77777777" w:rsidR="007B7860" w:rsidRPr="006644A1" w:rsidRDefault="007B7860" w:rsidP="00790C78">
            <w:pPr>
              <w:pStyle w:val="CETBodytext"/>
              <w:ind w:right="-1"/>
              <w:rPr>
                <w:rFonts w:cs="Arial"/>
                <w:szCs w:val="18"/>
                <w:lang w:val="en-GB"/>
              </w:rPr>
            </w:pPr>
            <w:r w:rsidRPr="006644A1">
              <w:rPr>
                <w:rFonts w:cs="Arial"/>
                <w:szCs w:val="18"/>
                <w:lang w:val="en-GB"/>
              </w:rPr>
              <w:t>50</w:t>
            </w:r>
          </w:p>
        </w:tc>
        <w:tc>
          <w:tcPr>
            <w:tcW w:w="1134" w:type="dxa"/>
            <w:tcBorders>
              <w:top w:val="single" w:sz="6" w:space="0" w:color="008000"/>
            </w:tcBorders>
            <w:shd w:val="clear" w:color="auto" w:fill="FFFFFF"/>
          </w:tcPr>
          <w:p w14:paraId="0316789B" w14:textId="77777777" w:rsidR="007B7860" w:rsidRPr="006644A1" w:rsidRDefault="007B7860" w:rsidP="00790C78">
            <w:pPr>
              <w:pStyle w:val="CETBodytext"/>
              <w:ind w:right="-1"/>
              <w:rPr>
                <w:rFonts w:cs="Arial"/>
                <w:szCs w:val="18"/>
                <w:lang w:val="en-GB"/>
              </w:rPr>
            </w:pPr>
          </w:p>
        </w:tc>
        <w:tc>
          <w:tcPr>
            <w:tcW w:w="992" w:type="dxa"/>
            <w:tcBorders>
              <w:top w:val="single" w:sz="6" w:space="0" w:color="008000"/>
            </w:tcBorders>
            <w:shd w:val="clear" w:color="auto" w:fill="FFFFFF"/>
          </w:tcPr>
          <w:p w14:paraId="5282796E" w14:textId="77777777" w:rsidR="007B7860" w:rsidRPr="006644A1" w:rsidRDefault="007B7860" w:rsidP="00790C78">
            <w:pPr>
              <w:pStyle w:val="CETBodytext"/>
              <w:ind w:right="-1"/>
              <w:rPr>
                <w:rFonts w:cs="Arial"/>
                <w:szCs w:val="18"/>
                <w:lang w:val="en-GB"/>
              </w:rPr>
            </w:pPr>
          </w:p>
        </w:tc>
        <w:tc>
          <w:tcPr>
            <w:tcW w:w="1134" w:type="dxa"/>
            <w:tcBorders>
              <w:top w:val="single" w:sz="6" w:space="0" w:color="008000"/>
            </w:tcBorders>
            <w:shd w:val="clear" w:color="auto" w:fill="FFFFFF"/>
          </w:tcPr>
          <w:p w14:paraId="40DA6CF2" w14:textId="77777777" w:rsidR="007B7860" w:rsidRPr="006644A1" w:rsidRDefault="007B7860" w:rsidP="00790C78">
            <w:pPr>
              <w:pStyle w:val="CETBodytext"/>
              <w:ind w:right="-1"/>
              <w:rPr>
                <w:rFonts w:cs="Arial"/>
                <w:szCs w:val="18"/>
                <w:lang w:val="en-GB"/>
              </w:rPr>
            </w:pPr>
          </w:p>
        </w:tc>
        <w:tc>
          <w:tcPr>
            <w:tcW w:w="792" w:type="dxa"/>
            <w:tcBorders>
              <w:top w:val="single" w:sz="6" w:space="0" w:color="008000"/>
            </w:tcBorders>
            <w:shd w:val="clear" w:color="auto" w:fill="FFFFFF"/>
          </w:tcPr>
          <w:p w14:paraId="101D911A" w14:textId="70D5458F" w:rsidR="007B7860" w:rsidRPr="006644A1" w:rsidRDefault="007B7860" w:rsidP="00790C78">
            <w:pPr>
              <w:pStyle w:val="CETBodytext"/>
              <w:ind w:right="-1"/>
              <w:rPr>
                <w:rFonts w:cs="Arial"/>
                <w:szCs w:val="18"/>
                <w:lang w:val="en-GB"/>
              </w:rPr>
            </w:pPr>
          </w:p>
        </w:tc>
      </w:tr>
      <w:tr w:rsidR="007B7860" w:rsidRPr="006644A1" w14:paraId="7706698F" w14:textId="77777777" w:rsidTr="00CE0E20">
        <w:trPr>
          <w:trHeight w:val="428"/>
        </w:trPr>
        <w:tc>
          <w:tcPr>
            <w:tcW w:w="3261" w:type="dxa"/>
            <w:gridSpan w:val="3"/>
            <w:shd w:val="clear" w:color="auto" w:fill="FFFFFF"/>
          </w:tcPr>
          <w:p w14:paraId="12478930" w14:textId="77777777" w:rsidR="007B7860" w:rsidRPr="006644A1" w:rsidRDefault="007B7860" w:rsidP="00790C78">
            <w:pPr>
              <w:pStyle w:val="CETBodytext"/>
              <w:rPr>
                <w:lang w:val="en-GB"/>
              </w:rPr>
            </w:pPr>
            <w:r w:rsidRPr="006644A1">
              <w:rPr>
                <w:lang w:val="en-GB"/>
              </w:rPr>
              <w:t>NaCl concentration in the acid tank</w:t>
            </w:r>
          </w:p>
        </w:tc>
        <w:tc>
          <w:tcPr>
            <w:tcW w:w="1417" w:type="dxa"/>
            <w:shd w:val="clear" w:color="auto" w:fill="FFFFFF"/>
          </w:tcPr>
          <w:p w14:paraId="5D66A770" w14:textId="77777777" w:rsidR="007B7860" w:rsidRPr="006644A1" w:rsidRDefault="007B7860" w:rsidP="00790C78">
            <w:pPr>
              <w:pStyle w:val="CETBodytext"/>
              <w:ind w:right="-1"/>
              <w:rPr>
                <w:rFonts w:cs="Arial"/>
                <w:szCs w:val="18"/>
                <w:lang w:val="en-GB"/>
              </w:rPr>
            </w:pPr>
            <w:r w:rsidRPr="006644A1">
              <w:rPr>
                <w:rFonts w:cs="Arial"/>
                <w:szCs w:val="18"/>
                <w:lang w:val="en-GB"/>
              </w:rPr>
              <w:t>mol m</w:t>
            </w:r>
            <w:r w:rsidRPr="006644A1">
              <w:rPr>
                <w:rFonts w:cs="Arial"/>
                <w:szCs w:val="18"/>
                <w:vertAlign w:val="superscript"/>
                <w:lang w:val="en-GB"/>
              </w:rPr>
              <w:t>-3</w:t>
            </w:r>
          </w:p>
        </w:tc>
        <w:tc>
          <w:tcPr>
            <w:tcW w:w="1134" w:type="dxa"/>
            <w:shd w:val="clear" w:color="auto" w:fill="FFFFFF"/>
          </w:tcPr>
          <w:p w14:paraId="46326BF3" w14:textId="77777777" w:rsidR="007B7860" w:rsidRPr="006644A1" w:rsidRDefault="007B7860" w:rsidP="00790C78">
            <w:pPr>
              <w:pStyle w:val="CETBodytext"/>
              <w:ind w:right="-1"/>
              <w:rPr>
                <w:rFonts w:cs="Arial"/>
                <w:szCs w:val="18"/>
                <w:lang w:val="en-GB"/>
              </w:rPr>
            </w:pPr>
            <w:r w:rsidRPr="006644A1">
              <w:rPr>
                <w:rFonts w:cs="Arial"/>
                <w:szCs w:val="18"/>
                <w:lang w:val="en-GB"/>
              </w:rPr>
              <w:t>250</w:t>
            </w:r>
          </w:p>
        </w:tc>
        <w:tc>
          <w:tcPr>
            <w:tcW w:w="1134" w:type="dxa"/>
            <w:shd w:val="clear" w:color="auto" w:fill="FFFFFF"/>
          </w:tcPr>
          <w:p w14:paraId="17641136" w14:textId="77777777" w:rsidR="007B7860" w:rsidRPr="006644A1" w:rsidRDefault="007B7860" w:rsidP="00790C78">
            <w:pPr>
              <w:pStyle w:val="CETBodytext"/>
              <w:ind w:right="-1"/>
              <w:rPr>
                <w:rFonts w:cs="Arial"/>
                <w:szCs w:val="18"/>
                <w:lang w:val="en-GB"/>
              </w:rPr>
            </w:pPr>
          </w:p>
        </w:tc>
        <w:tc>
          <w:tcPr>
            <w:tcW w:w="992" w:type="dxa"/>
            <w:shd w:val="clear" w:color="auto" w:fill="FFFFFF"/>
          </w:tcPr>
          <w:p w14:paraId="3317A20F"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0584AA11"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74F5067A" w14:textId="16924C45" w:rsidR="007B7860" w:rsidRPr="006644A1" w:rsidRDefault="007B7860" w:rsidP="00790C78">
            <w:pPr>
              <w:pStyle w:val="CETBodytext"/>
              <w:ind w:right="-1"/>
              <w:rPr>
                <w:rFonts w:cs="Arial"/>
                <w:szCs w:val="18"/>
                <w:lang w:val="en-GB"/>
              </w:rPr>
            </w:pPr>
          </w:p>
        </w:tc>
      </w:tr>
      <w:tr w:rsidR="007B7860" w:rsidRPr="006644A1" w14:paraId="51C6FDCB" w14:textId="77777777" w:rsidTr="00CE0E20">
        <w:trPr>
          <w:trHeight w:val="420"/>
        </w:trPr>
        <w:tc>
          <w:tcPr>
            <w:tcW w:w="3261" w:type="dxa"/>
            <w:gridSpan w:val="3"/>
            <w:shd w:val="clear" w:color="auto" w:fill="FFFFFF"/>
          </w:tcPr>
          <w:p w14:paraId="4C0C7AE0" w14:textId="77777777" w:rsidR="007B7860" w:rsidRPr="006644A1" w:rsidRDefault="007B7860" w:rsidP="00790C78">
            <w:pPr>
              <w:pStyle w:val="CETBodytext"/>
              <w:rPr>
                <w:lang w:val="en-GB"/>
              </w:rPr>
            </w:pPr>
            <w:r w:rsidRPr="006644A1">
              <w:rPr>
                <w:lang w:val="en-GB"/>
              </w:rPr>
              <w:t>HCl concentration in the salt tank</w:t>
            </w:r>
          </w:p>
        </w:tc>
        <w:tc>
          <w:tcPr>
            <w:tcW w:w="1417" w:type="dxa"/>
            <w:shd w:val="clear" w:color="auto" w:fill="FFFFFF"/>
          </w:tcPr>
          <w:p w14:paraId="15D2BAD2" w14:textId="77777777" w:rsidR="007B7860" w:rsidRPr="006644A1" w:rsidRDefault="007B7860" w:rsidP="00790C78">
            <w:pPr>
              <w:pStyle w:val="CETBodytext"/>
              <w:ind w:right="-1"/>
              <w:rPr>
                <w:rFonts w:cs="Arial"/>
                <w:szCs w:val="18"/>
                <w:lang w:val="en-GB"/>
              </w:rPr>
            </w:pPr>
            <w:r w:rsidRPr="006644A1">
              <w:rPr>
                <w:rFonts w:cs="Arial"/>
                <w:szCs w:val="18"/>
                <w:lang w:val="en-GB"/>
              </w:rPr>
              <w:t>mol m</w:t>
            </w:r>
            <w:r w:rsidRPr="006644A1">
              <w:rPr>
                <w:rFonts w:cs="Arial"/>
                <w:szCs w:val="18"/>
                <w:vertAlign w:val="superscript"/>
                <w:lang w:val="en-GB"/>
              </w:rPr>
              <w:t>-3</w:t>
            </w:r>
          </w:p>
        </w:tc>
        <w:tc>
          <w:tcPr>
            <w:tcW w:w="1134" w:type="dxa"/>
            <w:shd w:val="clear" w:color="auto" w:fill="FFFFFF"/>
          </w:tcPr>
          <w:p w14:paraId="5055BCCA" w14:textId="77777777" w:rsidR="007B7860" w:rsidRPr="006644A1" w:rsidRDefault="007B7860" w:rsidP="00790C78">
            <w:pPr>
              <w:pStyle w:val="CETBodytext"/>
              <w:ind w:right="-1"/>
              <w:rPr>
                <w:rFonts w:cs="Arial"/>
                <w:szCs w:val="18"/>
                <w:lang w:val="en-GB"/>
              </w:rPr>
            </w:pPr>
            <w:r w:rsidRPr="006644A1">
              <w:rPr>
                <w:rFonts w:cs="Arial"/>
                <w:szCs w:val="18"/>
                <w:lang w:val="en-GB"/>
              </w:rPr>
              <w:t>10</w:t>
            </w:r>
          </w:p>
        </w:tc>
        <w:tc>
          <w:tcPr>
            <w:tcW w:w="1134" w:type="dxa"/>
            <w:shd w:val="clear" w:color="auto" w:fill="FFFFFF"/>
          </w:tcPr>
          <w:p w14:paraId="04387B8F" w14:textId="77777777" w:rsidR="007B7860" w:rsidRPr="006644A1" w:rsidRDefault="007B7860" w:rsidP="00790C78">
            <w:pPr>
              <w:pStyle w:val="CETBodytext"/>
              <w:ind w:right="-1"/>
              <w:rPr>
                <w:rFonts w:cs="Arial"/>
                <w:szCs w:val="18"/>
                <w:lang w:val="en-GB"/>
              </w:rPr>
            </w:pPr>
          </w:p>
        </w:tc>
        <w:tc>
          <w:tcPr>
            <w:tcW w:w="992" w:type="dxa"/>
            <w:shd w:val="clear" w:color="auto" w:fill="FFFFFF"/>
          </w:tcPr>
          <w:p w14:paraId="1933496C"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51925FDF"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05E8DF31" w14:textId="4D7D0E17" w:rsidR="007B7860" w:rsidRPr="006644A1" w:rsidRDefault="007B7860" w:rsidP="00790C78">
            <w:pPr>
              <w:pStyle w:val="CETBodytext"/>
              <w:ind w:right="-1"/>
              <w:rPr>
                <w:rFonts w:cs="Arial"/>
                <w:szCs w:val="18"/>
                <w:lang w:val="en-GB"/>
              </w:rPr>
            </w:pPr>
          </w:p>
        </w:tc>
      </w:tr>
      <w:tr w:rsidR="007B7860" w:rsidRPr="006644A1" w14:paraId="1CEAFB33" w14:textId="77777777" w:rsidTr="00CE0E20">
        <w:trPr>
          <w:trHeight w:val="428"/>
        </w:trPr>
        <w:tc>
          <w:tcPr>
            <w:tcW w:w="3261" w:type="dxa"/>
            <w:gridSpan w:val="3"/>
            <w:shd w:val="clear" w:color="auto" w:fill="FFFFFF"/>
          </w:tcPr>
          <w:p w14:paraId="5A0327EA" w14:textId="77777777" w:rsidR="007B7860" w:rsidRPr="006644A1" w:rsidRDefault="007B7860" w:rsidP="00790C78">
            <w:pPr>
              <w:pStyle w:val="CETBodytext"/>
              <w:rPr>
                <w:lang w:val="en-GB"/>
              </w:rPr>
            </w:pPr>
            <w:r w:rsidRPr="006644A1">
              <w:rPr>
                <w:lang w:val="en-GB"/>
              </w:rPr>
              <w:t>NaCl concentration in the salt tank</w:t>
            </w:r>
          </w:p>
        </w:tc>
        <w:tc>
          <w:tcPr>
            <w:tcW w:w="1417" w:type="dxa"/>
            <w:shd w:val="clear" w:color="auto" w:fill="FFFFFF"/>
          </w:tcPr>
          <w:p w14:paraId="461F2DAD" w14:textId="77777777" w:rsidR="007B7860" w:rsidRPr="006644A1" w:rsidRDefault="007B7860" w:rsidP="00790C78">
            <w:pPr>
              <w:pStyle w:val="CETBodytext"/>
              <w:ind w:right="-1"/>
              <w:rPr>
                <w:rFonts w:cs="Arial"/>
                <w:szCs w:val="18"/>
                <w:lang w:val="en-GB"/>
              </w:rPr>
            </w:pPr>
            <w:r w:rsidRPr="006644A1">
              <w:rPr>
                <w:rFonts w:cs="Arial"/>
                <w:szCs w:val="18"/>
                <w:lang w:val="en-GB"/>
              </w:rPr>
              <w:t>mol m</w:t>
            </w:r>
            <w:r w:rsidRPr="006644A1">
              <w:rPr>
                <w:rFonts w:cs="Arial"/>
                <w:szCs w:val="18"/>
                <w:vertAlign w:val="superscript"/>
                <w:lang w:val="en-GB"/>
              </w:rPr>
              <w:t>-3</w:t>
            </w:r>
          </w:p>
        </w:tc>
        <w:tc>
          <w:tcPr>
            <w:tcW w:w="1134" w:type="dxa"/>
            <w:shd w:val="clear" w:color="auto" w:fill="FFFFFF"/>
          </w:tcPr>
          <w:p w14:paraId="35280E61" w14:textId="77FC1BC8" w:rsidR="007B7860" w:rsidRPr="006644A1" w:rsidRDefault="007B7860" w:rsidP="00790C78">
            <w:pPr>
              <w:pStyle w:val="CETBodytext"/>
              <w:ind w:right="-1"/>
              <w:rPr>
                <w:rFonts w:cs="Arial"/>
                <w:szCs w:val="18"/>
                <w:lang w:val="en-GB"/>
              </w:rPr>
            </w:pPr>
            <w:r w:rsidRPr="006644A1">
              <w:rPr>
                <w:rFonts w:cs="Arial"/>
                <w:szCs w:val="18"/>
                <w:lang w:val="en-GB"/>
              </w:rPr>
              <w:t>250</w:t>
            </w:r>
          </w:p>
        </w:tc>
        <w:tc>
          <w:tcPr>
            <w:tcW w:w="1134" w:type="dxa"/>
            <w:shd w:val="clear" w:color="auto" w:fill="FFFFFF"/>
          </w:tcPr>
          <w:p w14:paraId="5CBC727B" w14:textId="77777777" w:rsidR="007B7860" w:rsidRPr="006644A1" w:rsidRDefault="007B7860" w:rsidP="00790C78">
            <w:pPr>
              <w:pStyle w:val="CETBodytext"/>
              <w:ind w:right="-1"/>
              <w:rPr>
                <w:rFonts w:cs="Arial"/>
                <w:szCs w:val="18"/>
                <w:lang w:val="en-GB"/>
              </w:rPr>
            </w:pPr>
          </w:p>
        </w:tc>
        <w:tc>
          <w:tcPr>
            <w:tcW w:w="992" w:type="dxa"/>
            <w:shd w:val="clear" w:color="auto" w:fill="FFFFFF"/>
          </w:tcPr>
          <w:p w14:paraId="5E13237E"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5709BD85"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4480D151" w14:textId="7774CDD8" w:rsidR="007B7860" w:rsidRPr="006644A1" w:rsidRDefault="007B7860" w:rsidP="00790C78">
            <w:pPr>
              <w:pStyle w:val="CETBodytext"/>
              <w:ind w:right="-1"/>
              <w:rPr>
                <w:rFonts w:cs="Arial"/>
                <w:szCs w:val="18"/>
                <w:lang w:val="en-GB"/>
              </w:rPr>
            </w:pPr>
          </w:p>
        </w:tc>
      </w:tr>
      <w:tr w:rsidR="007B7860" w:rsidRPr="006644A1" w14:paraId="5C5385E3" w14:textId="77777777" w:rsidTr="00CE0E20">
        <w:trPr>
          <w:trHeight w:val="428"/>
        </w:trPr>
        <w:tc>
          <w:tcPr>
            <w:tcW w:w="3261" w:type="dxa"/>
            <w:gridSpan w:val="3"/>
            <w:shd w:val="clear" w:color="auto" w:fill="FFFFFF"/>
          </w:tcPr>
          <w:p w14:paraId="7DB3A725" w14:textId="77777777" w:rsidR="007B7860" w:rsidRPr="006644A1" w:rsidRDefault="007B7860" w:rsidP="00790C78">
            <w:pPr>
              <w:pStyle w:val="CETBodytext"/>
              <w:rPr>
                <w:lang w:val="en-GB"/>
              </w:rPr>
            </w:pPr>
            <w:r w:rsidRPr="006644A1">
              <w:rPr>
                <w:lang w:val="en-GB"/>
              </w:rPr>
              <w:t>NaOH concentration in the base tank</w:t>
            </w:r>
          </w:p>
        </w:tc>
        <w:tc>
          <w:tcPr>
            <w:tcW w:w="1417" w:type="dxa"/>
            <w:shd w:val="clear" w:color="auto" w:fill="FFFFFF"/>
          </w:tcPr>
          <w:p w14:paraId="70202B8D" w14:textId="77777777" w:rsidR="007B7860" w:rsidRPr="006644A1" w:rsidRDefault="007B7860" w:rsidP="00790C78">
            <w:pPr>
              <w:pStyle w:val="CETBodytext"/>
              <w:ind w:right="-1"/>
              <w:rPr>
                <w:rFonts w:cs="Arial"/>
                <w:szCs w:val="18"/>
                <w:lang w:val="en-GB"/>
              </w:rPr>
            </w:pPr>
            <w:r w:rsidRPr="006644A1">
              <w:rPr>
                <w:rFonts w:cs="Arial"/>
                <w:szCs w:val="18"/>
                <w:lang w:val="en-GB"/>
              </w:rPr>
              <w:t>mol m</w:t>
            </w:r>
            <w:r w:rsidRPr="006644A1">
              <w:rPr>
                <w:rFonts w:cs="Arial"/>
                <w:szCs w:val="18"/>
                <w:vertAlign w:val="superscript"/>
                <w:lang w:val="en-GB"/>
              </w:rPr>
              <w:t>-3</w:t>
            </w:r>
          </w:p>
        </w:tc>
        <w:tc>
          <w:tcPr>
            <w:tcW w:w="1134" w:type="dxa"/>
            <w:shd w:val="clear" w:color="auto" w:fill="FFFFFF"/>
          </w:tcPr>
          <w:p w14:paraId="1D33BCD5" w14:textId="77777777" w:rsidR="007B7860" w:rsidRPr="006644A1" w:rsidRDefault="007B7860" w:rsidP="00790C78">
            <w:pPr>
              <w:pStyle w:val="CETBodytext"/>
              <w:ind w:right="-1"/>
              <w:rPr>
                <w:rFonts w:cs="Arial"/>
                <w:szCs w:val="18"/>
                <w:lang w:val="en-GB"/>
              </w:rPr>
            </w:pPr>
            <w:r w:rsidRPr="006644A1">
              <w:rPr>
                <w:rFonts w:cs="Arial"/>
                <w:szCs w:val="18"/>
                <w:lang w:val="en-GB"/>
              </w:rPr>
              <w:t>50</w:t>
            </w:r>
          </w:p>
        </w:tc>
        <w:tc>
          <w:tcPr>
            <w:tcW w:w="1134" w:type="dxa"/>
            <w:shd w:val="clear" w:color="auto" w:fill="FFFFFF"/>
          </w:tcPr>
          <w:p w14:paraId="64DFED8D" w14:textId="77777777" w:rsidR="007B7860" w:rsidRPr="006644A1" w:rsidRDefault="007B7860" w:rsidP="00790C78">
            <w:pPr>
              <w:pStyle w:val="CETBodytext"/>
              <w:ind w:right="-1"/>
              <w:rPr>
                <w:rFonts w:cs="Arial"/>
                <w:szCs w:val="18"/>
                <w:lang w:val="en-GB"/>
              </w:rPr>
            </w:pPr>
          </w:p>
        </w:tc>
        <w:tc>
          <w:tcPr>
            <w:tcW w:w="992" w:type="dxa"/>
            <w:shd w:val="clear" w:color="auto" w:fill="FFFFFF"/>
          </w:tcPr>
          <w:p w14:paraId="463F4339"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602442D2"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7DA92092" w14:textId="2BB88071" w:rsidR="007B7860" w:rsidRPr="006644A1" w:rsidRDefault="007B7860" w:rsidP="00790C78">
            <w:pPr>
              <w:pStyle w:val="CETBodytext"/>
              <w:ind w:right="-1"/>
              <w:rPr>
                <w:rFonts w:cs="Arial"/>
                <w:szCs w:val="18"/>
                <w:lang w:val="en-GB"/>
              </w:rPr>
            </w:pPr>
          </w:p>
        </w:tc>
      </w:tr>
      <w:tr w:rsidR="007B7860" w:rsidRPr="006644A1" w14:paraId="2D9FD3C9" w14:textId="77777777" w:rsidTr="00CE0E20">
        <w:trPr>
          <w:trHeight w:val="420"/>
        </w:trPr>
        <w:tc>
          <w:tcPr>
            <w:tcW w:w="3261" w:type="dxa"/>
            <w:gridSpan w:val="3"/>
            <w:shd w:val="clear" w:color="auto" w:fill="FFFFFF"/>
          </w:tcPr>
          <w:p w14:paraId="0B443141" w14:textId="77777777" w:rsidR="007B7860" w:rsidRPr="006644A1" w:rsidRDefault="007B7860" w:rsidP="00790C78">
            <w:pPr>
              <w:pStyle w:val="CETBodytext"/>
              <w:rPr>
                <w:lang w:val="en-GB"/>
              </w:rPr>
            </w:pPr>
            <w:r w:rsidRPr="006644A1">
              <w:rPr>
                <w:lang w:val="en-GB"/>
              </w:rPr>
              <w:t>NaCl concentration in the base tank</w:t>
            </w:r>
          </w:p>
        </w:tc>
        <w:tc>
          <w:tcPr>
            <w:tcW w:w="1417" w:type="dxa"/>
            <w:shd w:val="clear" w:color="auto" w:fill="FFFFFF"/>
          </w:tcPr>
          <w:p w14:paraId="522251A5" w14:textId="77777777" w:rsidR="007B7860" w:rsidRPr="006644A1" w:rsidRDefault="007B7860" w:rsidP="00790C78">
            <w:pPr>
              <w:pStyle w:val="CETBodytext"/>
              <w:ind w:right="-1"/>
              <w:rPr>
                <w:rFonts w:cs="Arial"/>
                <w:szCs w:val="18"/>
                <w:lang w:val="en-GB"/>
              </w:rPr>
            </w:pPr>
            <w:r w:rsidRPr="006644A1">
              <w:rPr>
                <w:rFonts w:cs="Arial"/>
                <w:szCs w:val="18"/>
                <w:lang w:val="en-GB"/>
              </w:rPr>
              <w:t>mol m</w:t>
            </w:r>
            <w:r w:rsidRPr="006644A1">
              <w:rPr>
                <w:rFonts w:cs="Arial"/>
                <w:szCs w:val="18"/>
                <w:vertAlign w:val="superscript"/>
                <w:lang w:val="en-GB"/>
              </w:rPr>
              <w:t>-3</w:t>
            </w:r>
          </w:p>
        </w:tc>
        <w:tc>
          <w:tcPr>
            <w:tcW w:w="1134" w:type="dxa"/>
            <w:shd w:val="clear" w:color="auto" w:fill="FFFFFF"/>
          </w:tcPr>
          <w:p w14:paraId="09A30847" w14:textId="77777777" w:rsidR="007B7860" w:rsidRPr="006644A1" w:rsidRDefault="007B7860" w:rsidP="00790C78">
            <w:pPr>
              <w:pStyle w:val="CETBodytext"/>
              <w:ind w:right="-1"/>
              <w:rPr>
                <w:rFonts w:cs="Arial"/>
                <w:szCs w:val="18"/>
                <w:lang w:val="en-GB"/>
              </w:rPr>
            </w:pPr>
            <w:r w:rsidRPr="006644A1">
              <w:rPr>
                <w:rFonts w:cs="Arial"/>
                <w:szCs w:val="18"/>
                <w:lang w:val="en-GB"/>
              </w:rPr>
              <w:t>250</w:t>
            </w:r>
          </w:p>
        </w:tc>
        <w:tc>
          <w:tcPr>
            <w:tcW w:w="1134" w:type="dxa"/>
            <w:shd w:val="clear" w:color="auto" w:fill="FFFFFF"/>
          </w:tcPr>
          <w:p w14:paraId="4E813D65" w14:textId="77777777" w:rsidR="007B7860" w:rsidRPr="006644A1" w:rsidRDefault="007B7860" w:rsidP="00790C78">
            <w:pPr>
              <w:pStyle w:val="CETBodytext"/>
              <w:ind w:right="-1"/>
              <w:rPr>
                <w:rFonts w:cs="Arial"/>
                <w:szCs w:val="18"/>
                <w:lang w:val="en-GB"/>
              </w:rPr>
            </w:pPr>
          </w:p>
        </w:tc>
        <w:tc>
          <w:tcPr>
            <w:tcW w:w="992" w:type="dxa"/>
            <w:shd w:val="clear" w:color="auto" w:fill="FFFFFF"/>
          </w:tcPr>
          <w:p w14:paraId="7A48DFDA"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0DF69AC0"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4F1D2EF9" w14:textId="6A244EF9" w:rsidR="007B7860" w:rsidRPr="006644A1" w:rsidRDefault="007B7860" w:rsidP="00790C78">
            <w:pPr>
              <w:pStyle w:val="CETBodytext"/>
              <w:ind w:right="-1"/>
              <w:rPr>
                <w:rFonts w:cs="Arial"/>
                <w:szCs w:val="18"/>
                <w:lang w:val="en-GB"/>
              </w:rPr>
            </w:pPr>
          </w:p>
        </w:tc>
      </w:tr>
      <w:tr w:rsidR="002E4AD8" w:rsidRPr="006644A1" w14:paraId="15B8B0CF" w14:textId="77777777" w:rsidTr="000B67D3">
        <w:trPr>
          <w:trHeight w:val="214"/>
        </w:trPr>
        <w:tc>
          <w:tcPr>
            <w:tcW w:w="9864" w:type="dxa"/>
            <w:gridSpan w:val="9"/>
            <w:tcBorders>
              <w:top w:val="single" w:sz="6" w:space="0" w:color="008000"/>
              <w:bottom w:val="single" w:sz="6" w:space="0" w:color="008000"/>
            </w:tcBorders>
            <w:shd w:val="clear" w:color="auto" w:fill="FFFFFF"/>
          </w:tcPr>
          <w:p w14:paraId="678C8AE0" w14:textId="489B67A1" w:rsidR="002E4AD8" w:rsidRPr="006644A1" w:rsidRDefault="002E4AD8" w:rsidP="00790C78">
            <w:pPr>
              <w:pStyle w:val="CETBodytext"/>
              <w:ind w:right="-1"/>
              <w:jc w:val="center"/>
              <w:rPr>
                <w:rFonts w:cs="Arial"/>
                <w:szCs w:val="18"/>
                <w:lang w:val="en-GB"/>
              </w:rPr>
            </w:pPr>
            <w:r w:rsidRPr="006644A1">
              <w:rPr>
                <w:rFonts w:cs="Arial"/>
                <w:szCs w:val="18"/>
                <w:lang w:val="en-GB"/>
              </w:rPr>
              <w:t>Target concentrations and fluid velocity</w:t>
            </w:r>
          </w:p>
        </w:tc>
      </w:tr>
      <w:tr w:rsidR="007B7860" w:rsidRPr="006644A1" w14:paraId="4EA90BFC" w14:textId="77777777" w:rsidTr="00CE0E20">
        <w:trPr>
          <w:trHeight w:val="420"/>
        </w:trPr>
        <w:tc>
          <w:tcPr>
            <w:tcW w:w="3261" w:type="dxa"/>
            <w:gridSpan w:val="3"/>
            <w:shd w:val="clear" w:color="auto" w:fill="FFFFFF"/>
          </w:tcPr>
          <w:p w14:paraId="6963AB38" w14:textId="77777777" w:rsidR="007B7860" w:rsidRPr="006644A1" w:rsidRDefault="007B7860" w:rsidP="00790C78">
            <w:pPr>
              <w:pStyle w:val="CETBodytext"/>
              <w:rPr>
                <w:lang w:val="en-GB"/>
              </w:rPr>
            </w:pPr>
            <w:r w:rsidRPr="006644A1">
              <w:rPr>
                <w:lang w:val="en-GB"/>
              </w:rPr>
              <w:t>HCl target at the end of the charge</w:t>
            </w:r>
          </w:p>
        </w:tc>
        <w:tc>
          <w:tcPr>
            <w:tcW w:w="1417" w:type="dxa"/>
            <w:shd w:val="clear" w:color="auto" w:fill="FFFFFF"/>
          </w:tcPr>
          <w:p w14:paraId="2FAC8220" w14:textId="77777777" w:rsidR="007B7860" w:rsidRPr="006644A1" w:rsidRDefault="007B7860" w:rsidP="00790C78">
            <w:pPr>
              <w:pStyle w:val="CETBodytext"/>
              <w:ind w:right="-1"/>
              <w:rPr>
                <w:rFonts w:cs="Arial"/>
                <w:szCs w:val="18"/>
                <w:lang w:val="en-GB"/>
              </w:rPr>
            </w:pPr>
            <w:r w:rsidRPr="006644A1">
              <w:rPr>
                <w:rFonts w:cs="Arial"/>
                <w:szCs w:val="18"/>
                <w:lang w:val="en-GB"/>
              </w:rPr>
              <w:t>mol m</w:t>
            </w:r>
            <w:r w:rsidRPr="006644A1">
              <w:rPr>
                <w:rFonts w:cs="Arial"/>
                <w:szCs w:val="18"/>
                <w:vertAlign w:val="superscript"/>
                <w:lang w:val="en-GB"/>
              </w:rPr>
              <w:t>-3</w:t>
            </w:r>
          </w:p>
        </w:tc>
        <w:tc>
          <w:tcPr>
            <w:tcW w:w="1134" w:type="dxa"/>
            <w:shd w:val="clear" w:color="auto" w:fill="FFFFFF"/>
          </w:tcPr>
          <w:p w14:paraId="0808C5FE" w14:textId="77777777" w:rsidR="007B7860" w:rsidRPr="006644A1" w:rsidRDefault="007B7860" w:rsidP="00790C78">
            <w:pPr>
              <w:pStyle w:val="CETBodytext"/>
              <w:ind w:right="-1"/>
              <w:rPr>
                <w:rFonts w:cs="Arial"/>
                <w:szCs w:val="18"/>
                <w:lang w:val="en-GB"/>
              </w:rPr>
            </w:pPr>
            <w:r w:rsidRPr="006644A1">
              <w:rPr>
                <w:rFonts w:cs="Arial"/>
                <w:szCs w:val="18"/>
                <w:lang w:val="en-GB"/>
              </w:rPr>
              <w:t>1000</w:t>
            </w:r>
          </w:p>
        </w:tc>
        <w:tc>
          <w:tcPr>
            <w:tcW w:w="1134" w:type="dxa"/>
            <w:shd w:val="clear" w:color="auto" w:fill="FFFFFF"/>
          </w:tcPr>
          <w:p w14:paraId="53A055DF" w14:textId="1DC2C9A9" w:rsidR="007B7860" w:rsidRPr="006644A1" w:rsidRDefault="007B7860" w:rsidP="00790C78">
            <w:pPr>
              <w:pStyle w:val="CETBodytext"/>
              <w:ind w:right="-1"/>
              <w:rPr>
                <w:rFonts w:cs="Arial"/>
                <w:szCs w:val="18"/>
                <w:lang w:val="en-GB"/>
              </w:rPr>
            </w:pPr>
          </w:p>
        </w:tc>
        <w:tc>
          <w:tcPr>
            <w:tcW w:w="992" w:type="dxa"/>
            <w:shd w:val="clear" w:color="auto" w:fill="FFFFFF"/>
          </w:tcPr>
          <w:p w14:paraId="0E88BDA3"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277A9A01"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490B397B" w14:textId="0B17B4AA" w:rsidR="007B7860" w:rsidRPr="006644A1" w:rsidRDefault="007B7860" w:rsidP="00790C78">
            <w:pPr>
              <w:pStyle w:val="CETBodytext"/>
              <w:ind w:right="-1"/>
              <w:rPr>
                <w:rFonts w:cs="Arial"/>
                <w:szCs w:val="18"/>
                <w:lang w:val="en-GB"/>
              </w:rPr>
            </w:pPr>
          </w:p>
        </w:tc>
      </w:tr>
      <w:tr w:rsidR="007B7860" w:rsidRPr="006644A1" w14:paraId="71938824" w14:textId="77777777" w:rsidTr="00CE0E20">
        <w:trPr>
          <w:trHeight w:val="420"/>
        </w:trPr>
        <w:tc>
          <w:tcPr>
            <w:tcW w:w="3261" w:type="dxa"/>
            <w:gridSpan w:val="3"/>
            <w:shd w:val="clear" w:color="auto" w:fill="FFFFFF"/>
          </w:tcPr>
          <w:p w14:paraId="463D9664" w14:textId="77777777" w:rsidR="007B7860" w:rsidRPr="006644A1" w:rsidRDefault="007B7860" w:rsidP="00790C78">
            <w:pPr>
              <w:pStyle w:val="CETBodytext"/>
              <w:rPr>
                <w:lang w:val="en-GB"/>
              </w:rPr>
            </w:pPr>
            <w:r w:rsidRPr="006644A1">
              <w:rPr>
                <w:lang w:val="en-GB"/>
              </w:rPr>
              <w:t>HCl target at the end of the discharge</w:t>
            </w:r>
          </w:p>
        </w:tc>
        <w:tc>
          <w:tcPr>
            <w:tcW w:w="1417" w:type="dxa"/>
            <w:shd w:val="clear" w:color="auto" w:fill="FFFFFF"/>
          </w:tcPr>
          <w:p w14:paraId="43BF5DFC" w14:textId="77777777" w:rsidR="007B7860" w:rsidRPr="006644A1" w:rsidRDefault="007B7860" w:rsidP="00790C78">
            <w:pPr>
              <w:pStyle w:val="CETBodytext"/>
              <w:ind w:right="-1"/>
              <w:rPr>
                <w:rFonts w:cs="Arial"/>
                <w:szCs w:val="18"/>
                <w:lang w:val="en-GB"/>
              </w:rPr>
            </w:pPr>
            <w:r w:rsidRPr="006644A1">
              <w:rPr>
                <w:rFonts w:cs="Arial"/>
                <w:szCs w:val="18"/>
                <w:lang w:val="en-GB"/>
              </w:rPr>
              <w:t>mol m</w:t>
            </w:r>
            <w:r w:rsidRPr="006644A1">
              <w:rPr>
                <w:rFonts w:cs="Arial"/>
                <w:szCs w:val="18"/>
                <w:vertAlign w:val="superscript"/>
                <w:lang w:val="en-GB"/>
              </w:rPr>
              <w:t>-3</w:t>
            </w:r>
          </w:p>
        </w:tc>
        <w:tc>
          <w:tcPr>
            <w:tcW w:w="1134" w:type="dxa"/>
            <w:shd w:val="clear" w:color="auto" w:fill="FFFFFF"/>
          </w:tcPr>
          <w:p w14:paraId="1F85565B" w14:textId="77777777" w:rsidR="007B7860" w:rsidRPr="006644A1" w:rsidRDefault="007B7860" w:rsidP="00790C78">
            <w:pPr>
              <w:pStyle w:val="CETBodytext"/>
              <w:ind w:right="-1"/>
              <w:rPr>
                <w:rFonts w:cs="Arial"/>
                <w:szCs w:val="18"/>
                <w:lang w:val="en-GB"/>
              </w:rPr>
            </w:pPr>
            <w:r w:rsidRPr="006644A1">
              <w:rPr>
                <w:rFonts w:cs="Arial"/>
                <w:szCs w:val="18"/>
                <w:lang w:val="en-GB"/>
              </w:rPr>
              <w:t>50</w:t>
            </w:r>
          </w:p>
        </w:tc>
        <w:tc>
          <w:tcPr>
            <w:tcW w:w="1134" w:type="dxa"/>
            <w:shd w:val="clear" w:color="auto" w:fill="FFFFFF"/>
          </w:tcPr>
          <w:p w14:paraId="594E9150" w14:textId="54BF1190" w:rsidR="007B7860" w:rsidRPr="006644A1" w:rsidRDefault="007B7860" w:rsidP="00790C78">
            <w:pPr>
              <w:pStyle w:val="CETBodytext"/>
              <w:ind w:right="-1"/>
              <w:rPr>
                <w:rFonts w:cs="Arial"/>
                <w:szCs w:val="18"/>
                <w:lang w:val="en-GB"/>
              </w:rPr>
            </w:pPr>
          </w:p>
        </w:tc>
        <w:tc>
          <w:tcPr>
            <w:tcW w:w="992" w:type="dxa"/>
            <w:shd w:val="clear" w:color="auto" w:fill="FFFFFF"/>
          </w:tcPr>
          <w:p w14:paraId="5A51FC95"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403C4631"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36298301" w14:textId="2572CD57" w:rsidR="007B7860" w:rsidRPr="006644A1" w:rsidRDefault="007B7860" w:rsidP="00790C78">
            <w:pPr>
              <w:pStyle w:val="CETBodytext"/>
              <w:ind w:right="-1"/>
              <w:rPr>
                <w:rFonts w:cs="Arial"/>
                <w:szCs w:val="18"/>
                <w:lang w:val="en-GB"/>
              </w:rPr>
            </w:pPr>
          </w:p>
        </w:tc>
      </w:tr>
      <w:tr w:rsidR="007B7860" w:rsidRPr="006644A1" w14:paraId="0F7104A6" w14:textId="77777777" w:rsidTr="00CE0E20">
        <w:trPr>
          <w:trHeight w:val="428"/>
        </w:trPr>
        <w:tc>
          <w:tcPr>
            <w:tcW w:w="3261" w:type="dxa"/>
            <w:gridSpan w:val="3"/>
            <w:shd w:val="clear" w:color="auto" w:fill="FFFFFF"/>
          </w:tcPr>
          <w:p w14:paraId="43DAB18F" w14:textId="77777777" w:rsidR="007B7860" w:rsidRPr="006644A1" w:rsidRDefault="007B7860" w:rsidP="00790C78">
            <w:pPr>
              <w:pStyle w:val="CETBodytext"/>
              <w:rPr>
                <w:lang w:val="en-GB"/>
              </w:rPr>
            </w:pPr>
            <w:r w:rsidRPr="006644A1">
              <w:rPr>
                <w:lang w:val="en-GB"/>
              </w:rPr>
              <w:t>Mean flow velocity during charge</w:t>
            </w:r>
          </w:p>
        </w:tc>
        <w:tc>
          <w:tcPr>
            <w:tcW w:w="1417" w:type="dxa"/>
            <w:shd w:val="clear" w:color="auto" w:fill="FFFFFF"/>
          </w:tcPr>
          <w:p w14:paraId="37DA84C1" w14:textId="77777777" w:rsidR="007B7860" w:rsidRPr="006644A1" w:rsidRDefault="007B7860" w:rsidP="00790C78">
            <w:pPr>
              <w:pStyle w:val="CETBodytext"/>
              <w:ind w:right="-1"/>
              <w:rPr>
                <w:rFonts w:cs="Arial"/>
                <w:szCs w:val="18"/>
                <w:lang w:val="en-GB"/>
              </w:rPr>
            </w:pPr>
            <w:r w:rsidRPr="006644A1">
              <w:rPr>
                <w:rFonts w:cs="Arial"/>
                <w:szCs w:val="18"/>
                <w:lang w:val="en-GB"/>
              </w:rPr>
              <w:t>cm s</w:t>
            </w:r>
            <w:r w:rsidRPr="006644A1">
              <w:rPr>
                <w:rFonts w:cs="Arial"/>
                <w:szCs w:val="18"/>
                <w:vertAlign w:val="superscript"/>
                <w:lang w:val="en-GB"/>
              </w:rPr>
              <w:t>-1</w:t>
            </w:r>
          </w:p>
        </w:tc>
        <w:tc>
          <w:tcPr>
            <w:tcW w:w="1134" w:type="dxa"/>
            <w:shd w:val="clear" w:color="auto" w:fill="FFFFFF"/>
          </w:tcPr>
          <w:p w14:paraId="5523B6BB" w14:textId="1FB6979E" w:rsidR="007B7860" w:rsidRPr="006644A1" w:rsidRDefault="007B7860" w:rsidP="00790C78">
            <w:pPr>
              <w:pStyle w:val="CETBodytext"/>
              <w:ind w:right="-1"/>
              <w:rPr>
                <w:rFonts w:cs="Arial"/>
                <w:szCs w:val="18"/>
                <w:lang w:val="en-GB"/>
              </w:rPr>
            </w:pPr>
            <w:r w:rsidRPr="006644A1">
              <w:rPr>
                <w:rFonts w:cs="Arial"/>
                <w:szCs w:val="18"/>
                <w:lang w:val="en-GB"/>
              </w:rPr>
              <w:t>1.0</w:t>
            </w:r>
          </w:p>
        </w:tc>
        <w:tc>
          <w:tcPr>
            <w:tcW w:w="1134" w:type="dxa"/>
            <w:shd w:val="clear" w:color="auto" w:fill="FFFFFF"/>
          </w:tcPr>
          <w:p w14:paraId="5625FCDF" w14:textId="5ABE77AB" w:rsidR="007B7860" w:rsidRPr="006644A1" w:rsidRDefault="007B7860" w:rsidP="00790C78">
            <w:pPr>
              <w:pStyle w:val="CETBodytext"/>
              <w:ind w:right="-1"/>
              <w:rPr>
                <w:rFonts w:cs="Arial"/>
                <w:szCs w:val="18"/>
                <w:lang w:val="en-GB"/>
              </w:rPr>
            </w:pPr>
          </w:p>
        </w:tc>
        <w:tc>
          <w:tcPr>
            <w:tcW w:w="992" w:type="dxa"/>
            <w:shd w:val="clear" w:color="auto" w:fill="FFFFFF"/>
          </w:tcPr>
          <w:p w14:paraId="28E664AB" w14:textId="77777777" w:rsidR="007B7860" w:rsidRPr="006644A1" w:rsidRDefault="007B7860" w:rsidP="00790C78">
            <w:pPr>
              <w:pStyle w:val="CETBodytext"/>
              <w:ind w:right="-1"/>
              <w:rPr>
                <w:rFonts w:cs="Arial"/>
                <w:szCs w:val="18"/>
                <w:lang w:val="en-GB"/>
              </w:rPr>
            </w:pPr>
          </w:p>
        </w:tc>
        <w:tc>
          <w:tcPr>
            <w:tcW w:w="1134" w:type="dxa"/>
            <w:shd w:val="clear" w:color="auto" w:fill="FFFFFF"/>
          </w:tcPr>
          <w:p w14:paraId="18D672DB" w14:textId="77777777" w:rsidR="007B7860" w:rsidRPr="006644A1" w:rsidRDefault="007B7860" w:rsidP="00790C78">
            <w:pPr>
              <w:pStyle w:val="CETBodytext"/>
              <w:ind w:right="-1"/>
              <w:rPr>
                <w:rFonts w:cs="Arial"/>
                <w:szCs w:val="18"/>
                <w:lang w:val="en-GB"/>
              </w:rPr>
            </w:pPr>
          </w:p>
        </w:tc>
        <w:tc>
          <w:tcPr>
            <w:tcW w:w="792" w:type="dxa"/>
            <w:shd w:val="clear" w:color="auto" w:fill="FFFFFF"/>
          </w:tcPr>
          <w:p w14:paraId="0A62E828" w14:textId="635D997E" w:rsidR="007B7860" w:rsidRPr="006644A1" w:rsidRDefault="007B7860" w:rsidP="00790C78">
            <w:pPr>
              <w:pStyle w:val="CETBodytext"/>
              <w:ind w:right="-1"/>
              <w:rPr>
                <w:rFonts w:cs="Arial"/>
                <w:szCs w:val="18"/>
                <w:lang w:val="en-GB"/>
              </w:rPr>
            </w:pPr>
          </w:p>
        </w:tc>
      </w:tr>
      <w:tr w:rsidR="007B7860" w:rsidRPr="006644A1" w14:paraId="3CD5F894" w14:textId="77777777" w:rsidTr="00CE0E20">
        <w:trPr>
          <w:trHeight w:val="420"/>
        </w:trPr>
        <w:tc>
          <w:tcPr>
            <w:tcW w:w="3261" w:type="dxa"/>
            <w:gridSpan w:val="3"/>
            <w:tcBorders>
              <w:bottom w:val="single" w:sz="6" w:space="0" w:color="008000"/>
            </w:tcBorders>
            <w:shd w:val="clear" w:color="auto" w:fill="FFFFFF"/>
          </w:tcPr>
          <w:p w14:paraId="7DCC1E08" w14:textId="67BDB8B7" w:rsidR="007B7860" w:rsidRPr="006644A1" w:rsidRDefault="007B7860" w:rsidP="00790C78">
            <w:pPr>
              <w:pStyle w:val="CETBodytext"/>
              <w:rPr>
                <w:lang w:val="en-GB"/>
              </w:rPr>
            </w:pPr>
            <w:r w:rsidRPr="006644A1">
              <w:rPr>
                <w:lang w:val="en-GB"/>
              </w:rPr>
              <w:t>Mean flow velocity during discharge</w:t>
            </w:r>
            <w:r w:rsidR="0073106A" w:rsidRPr="006644A1">
              <w:rPr>
                <w:lang w:val="en-GB"/>
              </w:rPr>
              <w:t xml:space="preserve"> </w:t>
            </w:r>
          </w:p>
        </w:tc>
        <w:tc>
          <w:tcPr>
            <w:tcW w:w="1417" w:type="dxa"/>
            <w:tcBorders>
              <w:bottom w:val="single" w:sz="6" w:space="0" w:color="008000"/>
            </w:tcBorders>
            <w:shd w:val="clear" w:color="auto" w:fill="FFFFFF"/>
          </w:tcPr>
          <w:p w14:paraId="1AA90EEC" w14:textId="77777777" w:rsidR="007B7860" w:rsidRPr="006644A1" w:rsidRDefault="007B7860" w:rsidP="00790C78">
            <w:pPr>
              <w:pStyle w:val="CETBodytext"/>
              <w:ind w:right="-1"/>
              <w:rPr>
                <w:rFonts w:cs="Arial"/>
                <w:szCs w:val="18"/>
                <w:lang w:val="en-GB"/>
              </w:rPr>
            </w:pPr>
            <w:r w:rsidRPr="006644A1">
              <w:rPr>
                <w:rFonts w:cs="Arial"/>
                <w:szCs w:val="18"/>
                <w:lang w:val="en-GB"/>
              </w:rPr>
              <w:t>cm s</w:t>
            </w:r>
            <w:r w:rsidRPr="006644A1">
              <w:rPr>
                <w:rFonts w:cs="Arial"/>
                <w:szCs w:val="18"/>
                <w:vertAlign w:val="superscript"/>
                <w:lang w:val="en-GB"/>
              </w:rPr>
              <w:t>-1</w:t>
            </w:r>
          </w:p>
        </w:tc>
        <w:tc>
          <w:tcPr>
            <w:tcW w:w="1134" w:type="dxa"/>
            <w:tcBorders>
              <w:bottom w:val="single" w:sz="6" w:space="0" w:color="008000"/>
            </w:tcBorders>
            <w:shd w:val="clear" w:color="auto" w:fill="FFFFFF"/>
          </w:tcPr>
          <w:p w14:paraId="62AE2A81" w14:textId="715B6855" w:rsidR="007B7860" w:rsidRPr="006644A1" w:rsidRDefault="007B7860" w:rsidP="00790C78">
            <w:pPr>
              <w:pStyle w:val="CETBodytext"/>
              <w:ind w:right="-1"/>
              <w:rPr>
                <w:rFonts w:cs="Arial"/>
                <w:szCs w:val="18"/>
                <w:lang w:val="en-GB"/>
              </w:rPr>
            </w:pPr>
            <w:r w:rsidRPr="006644A1">
              <w:rPr>
                <w:rFonts w:cs="Arial"/>
                <w:szCs w:val="18"/>
                <w:lang w:val="en-GB"/>
              </w:rPr>
              <w:t>1.0</w:t>
            </w:r>
          </w:p>
        </w:tc>
        <w:tc>
          <w:tcPr>
            <w:tcW w:w="1134" w:type="dxa"/>
            <w:tcBorders>
              <w:bottom w:val="single" w:sz="6" w:space="0" w:color="008000"/>
            </w:tcBorders>
            <w:shd w:val="clear" w:color="auto" w:fill="FFFFFF"/>
          </w:tcPr>
          <w:p w14:paraId="4EA18E99" w14:textId="5801BF73" w:rsidR="007B7860" w:rsidRPr="006644A1" w:rsidRDefault="007B7860" w:rsidP="00790C78">
            <w:pPr>
              <w:pStyle w:val="CETBodytext"/>
              <w:ind w:right="-1"/>
              <w:rPr>
                <w:rFonts w:cs="Arial"/>
                <w:szCs w:val="18"/>
                <w:lang w:val="en-GB"/>
              </w:rPr>
            </w:pPr>
          </w:p>
        </w:tc>
        <w:tc>
          <w:tcPr>
            <w:tcW w:w="992" w:type="dxa"/>
            <w:tcBorders>
              <w:bottom w:val="single" w:sz="6" w:space="0" w:color="008000"/>
            </w:tcBorders>
            <w:shd w:val="clear" w:color="auto" w:fill="FFFFFF"/>
          </w:tcPr>
          <w:p w14:paraId="7B287295" w14:textId="77777777" w:rsidR="007B7860" w:rsidRPr="006644A1" w:rsidRDefault="007B7860" w:rsidP="00790C78">
            <w:pPr>
              <w:pStyle w:val="CETBodytext"/>
              <w:ind w:right="-1"/>
              <w:rPr>
                <w:rFonts w:cs="Arial"/>
                <w:szCs w:val="18"/>
                <w:lang w:val="en-GB"/>
              </w:rPr>
            </w:pPr>
          </w:p>
        </w:tc>
        <w:tc>
          <w:tcPr>
            <w:tcW w:w="1134" w:type="dxa"/>
            <w:tcBorders>
              <w:bottom w:val="single" w:sz="6" w:space="0" w:color="008000"/>
            </w:tcBorders>
            <w:shd w:val="clear" w:color="auto" w:fill="FFFFFF"/>
          </w:tcPr>
          <w:p w14:paraId="2173C92E" w14:textId="77777777" w:rsidR="007B7860" w:rsidRPr="006644A1" w:rsidRDefault="007B7860" w:rsidP="00790C78">
            <w:pPr>
              <w:pStyle w:val="CETBodytext"/>
              <w:ind w:right="-1"/>
              <w:rPr>
                <w:rFonts w:cs="Arial"/>
                <w:szCs w:val="18"/>
                <w:lang w:val="en-GB"/>
              </w:rPr>
            </w:pPr>
          </w:p>
        </w:tc>
        <w:tc>
          <w:tcPr>
            <w:tcW w:w="792" w:type="dxa"/>
            <w:tcBorders>
              <w:bottom w:val="single" w:sz="6" w:space="0" w:color="008000"/>
            </w:tcBorders>
            <w:shd w:val="clear" w:color="auto" w:fill="FFFFFF"/>
          </w:tcPr>
          <w:p w14:paraId="26E86777" w14:textId="76010D9A" w:rsidR="007B7860" w:rsidRPr="006644A1" w:rsidRDefault="007B7860" w:rsidP="00790C78">
            <w:pPr>
              <w:pStyle w:val="CETBodytext"/>
              <w:ind w:right="-1"/>
              <w:rPr>
                <w:rFonts w:cs="Arial"/>
                <w:szCs w:val="18"/>
                <w:lang w:val="en-GB"/>
              </w:rPr>
            </w:pPr>
          </w:p>
        </w:tc>
      </w:tr>
      <w:tr w:rsidR="002E4AD8" w:rsidRPr="006644A1" w14:paraId="6BA969E1" w14:textId="77777777" w:rsidTr="00FF5A98">
        <w:trPr>
          <w:trHeight w:val="214"/>
        </w:trPr>
        <w:tc>
          <w:tcPr>
            <w:tcW w:w="9864" w:type="dxa"/>
            <w:gridSpan w:val="9"/>
            <w:tcBorders>
              <w:top w:val="single" w:sz="6" w:space="0" w:color="008000"/>
              <w:bottom w:val="nil"/>
            </w:tcBorders>
            <w:shd w:val="clear" w:color="auto" w:fill="FFFFFF"/>
          </w:tcPr>
          <w:p w14:paraId="77AE1004" w14:textId="71F9A37A" w:rsidR="002E4AD8" w:rsidRPr="006644A1" w:rsidRDefault="002E4AD8" w:rsidP="00790C78">
            <w:pPr>
              <w:pStyle w:val="CETBodytext"/>
              <w:ind w:right="-1"/>
              <w:jc w:val="center"/>
              <w:rPr>
                <w:rFonts w:cs="Arial"/>
                <w:szCs w:val="18"/>
                <w:lang w:val="en-GB"/>
              </w:rPr>
            </w:pPr>
            <w:r w:rsidRPr="006644A1">
              <w:rPr>
                <w:rFonts w:cs="Arial"/>
                <w:szCs w:val="18"/>
                <w:lang w:val="en-GB"/>
              </w:rPr>
              <w:t>Electrode compartments and external electric circuit</w:t>
            </w:r>
          </w:p>
        </w:tc>
      </w:tr>
      <w:tr w:rsidR="007B7860" w:rsidRPr="006644A1" w14:paraId="222A774D" w14:textId="77777777" w:rsidTr="00CE0E20">
        <w:trPr>
          <w:trHeight w:val="206"/>
        </w:trPr>
        <w:tc>
          <w:tcPr>
            <w:tcW w:w="3261" w:type="dxa"/>
            <w:gridSpan w:val="3"/>
            <w:tcBorders>
              <w:top w:val="single" w:sz="6" w:space="0" w:color="008000"/>
              <w:bottom w:val="nil"/>
            </w:tcBorders>
            <w:shd w:val="clear" w:color="auto" w:fill="FFFFFF"/>
          </w:tcPr>
          <w:p w14:paraId="5D4FC377" w14:textId="77777777" w:rsidR="007B7860" w:rsidRPr="006644A1" w:rsidRDefault="007B7860" w:rsidP="00790C78">
            <w:pPr>
              <w:pStyle w:val="CETBodytext"/>
              <w:ind w:right="-1"/>
              <w:rPr>
                <w:rFonts w:cs="Arial"/>
                <w:szCs w:val="18"/>
                <w:lang w:val="en-GB"/>
              </w:rPr>
            </w:pPr>
            <w:r w:rsidRPr="006644A1">
              <w:rPr>
                <w:rFonts w:cs="Arial"/>
                <w:szCs w:val="18"/>
                <w:lang w:val="en-GB"/>
              </w:rPr>
              <w:t>Blank resistance</w:t>
            </w:r>
          </w:p>
        </w:tc>
        <w:tc>
          <w:tcPr>
            <w:tcW w:w="1417" w:type="dxa"/>
            <w:tcBorders>
              <w:top w:val="single" w:sz="6" w:space="0" w:color="008000"/>
              <w:bottom w:val="nil"/>
            </w:tcBorders>
            <w:shd w:val="clear" w:color="auto" w:fill="FFFFFF"/>
          </w:tcPr>
          <w:p w14:paraId="580A8744" w14:textId="77777777" w:rsidR="007B7860" w:rsidRPr="006644A1" w:rsidRDefault="007B7860" w:rsidP="00790C78">
            <w:pPr>
              <w:pStyle w:val="CETBodytext"/>
              <w:ind w:right="-1"/>
              <w:rPr>
                <w:rFonts w:cs="Arial"/>
                <w:szCs w:val="18"/>
                <w:lang w:val="en-GB"/>
              </w:rPr>
            </w:pPr>
            <w:r w:rsidRPr="006644A1">
              <w:rPr>
                <w:rFonts w:cs="Arial"/>
                <w:szCs w:val="18"/>
                <w:lang w:val="en-GB"/>
              </w:rPr>
              <w:t>Ω cm</w:t>
            </w:r>
            <w:r w:rsidRPr="006644A1">
              <w:rPr>
                <w:rFonts w:cs="Arial"/>
                <w:szCs w:val="18"/>
                <w:vertAlign w:val="superscript"/>
                <w:lang w:val="en-GB"/>
              </w:rPr>
              <w:t>2</w:t>
            </w:r>
          </w:p>
        </w:tc>
        <w:tc>
          <w:tcPr>
            <w:tcW w:w="1134" w:type="dxa"/>
            <w:tcBorders>
              <w:top w:val="single" w:sz="6" w:space="0" w:color="008000"/>
              <w:bottom w:val="nil"/>
            </w:tcBorders>
            <w:shd w:val="clear" w:color="auto" w:fill="FFFFFF"/>
          </w:tcPr>
          <w:p w14:paraId="26F43025" w14:textId="77777777" w:rsidR="007B7860" w:rsidRPr="006644A1" w:rsidRDefault="007B7860" w:rsidP="00790C78">
            <w:pPr>
              <w:pStyle w:val="CETBodytext"/>
              <w:ind w:right="-1"/>
              <w:rPr>
                <w:rFonts w:cs="Arial"/>
                <w:szCs w:val="18"/>
                <w:lang w:val="en-GB"/>
              </w:rPr>
            </w:pPr>
            <w:r w:rsidRPr="006644A1">
              <w:rPr>
                <w:rFonts w:cs="Arial"/>
                <w:szCs w:val="18"/>
                <w:lang w:val="en-GB"/>
              </w:rPr>
              <w:t>12</w:t>
            </w:r>
          </w:p>
        </w:tc>
        <w:tc>
          <w:tcPr>
            <w:tcW w:w="1134" w:type="dxa"/>
            <w:tcBorders>
              <w:top w:val="single" w:sz="6" w:space="0" w:color="008000"/>
              <w:bottom w:val="nil"/>
            </w:tcBorders>
            <w:shd w:val="clear" w:color="auto" w:fill="FFFFFF"/>
          </w:tcPr>
          <w:p w14:paraId="00E7B943" w14:textId="77777777" w:rsidR="007B7860" w:rsidRPr="006644A1" w:rsidRDefault="007B7860" w:rsidP="00790C78">
            <w:pPr>
              <w:pStyle w:val="CETBodytext"/>
              <w:ind w:right="-1"/>
              <w:rPr>
                <w:rFonts w:cs="Arial"/>
                <w:szCs w:val="18"/>
                <w:lang w:val="en-GB"/>
              </w:rPr>
            </w:pPr>
          </w:p>
        </w:tc>
        <w:tc>
          <w:tcPr>
            <w:tcW w:w="992" w:type="dxa"/>
            <w:tcBorders>
              <w:top w:val="single" w:sz="6" w:space="0" w:color="008000"/>
              <w:bottom w:val="nil"/>
            </w:tcBorders>
            <w:shd w:val="clear" w:color="auto" w:fill="FFFFFF"/>
          </w:tcPr>
          <w:p w14:paraId="35134D87" w14:textId="77777777" w:rsidR="007B7860" w:rsidRPr="006644A1" w:rsidRDefault="007B7860" w:rsidP="00790C78">
            <w:pPr>
              <w:pStyle w:val="CETBodytext"/>
              <w:ind w:right="-1"/>
              <w:rPr>
                <w:rFonts w:cs="Arial"/>
                <w:szCs w:val="18"/>
                <w:lang w:val="en-GB"/>
              </w:rPr>
            </w:pPr>
          </w:p>
        </w:tc>
        <w:tc>
          <w:tcPr>
            <w:tcW w:w="1134" w:type="dxa"/>
            <w:tcBorders>
              <w:top w:val="single" w:sz="6" w:space="0" w:color="008000"/>
              <w:bottom w:val="nil"/>
            </w:tcBorders>
            <w:shd w:val="clear" w:color="auto" w:fill="FFFFFF"/>
          </w:tcPr>
          <w:p w14:paraId="767ADE4F" w14:textId="77777777" w:rsidR="007B7860" w:rsidRPr="006644A1" w:rsidRDefault="007B7860" w:rsidP="00790C78">
            <w:pPr>
              <w:pStyle w:val="CETBodytext"/>
              <w:ind w:right="-1"/>
              <w:rPr>
                <w:rFonts w:cs="Arial"/>
                <w:szCs w:val="18"/>
                <w:lang w:val="en-GB"/>
              </w:rPr>
            </w:pPr>
          </w:p>
        </w:tc>
        <w:tc>
          <w:tcPr>
            <w:tcW w:w="792" w:type="dxa"/>
            <w:tcBorders>
              <w:top w:val="single" w:sz="6" w:space="0" w:color="008000"/>
              <w:bottom w:val="nil"/>
            </w:tcBorders>
            <w:shd w:val="clear" w:color="auto" w:fill="FFFFFF"/>
          </w:tcPr>
          <w:p w14:paraId="54BAED32" w14:textId="01C82688" w:rsidR="007B7860" w:rsidRPr="006644A1" w:rsidRDefault="007B7860" w:rsidP="00790C78">
            <w:pPr>
              <w:pStyle w:val="CETBodytext"/>
              <w:ind w:right="-1"/>
              <w:rPr>
                <w:rFonts w:cs="Arial"/>
                <w:szCs w:val="18"/>
                <w:lang w:val="en-GB"/>
              </w:rPr>
            </w:pPr>
          </w:p>
        </w:tc>
      </w:tr>
      <w:tr w:rsidR="007B7860" w:rsidRPr="006644A1" w14:paraId="273AEB14" w14:textId="77777777" w:rsidTr="00CE0E20">
        <w:trPr>
          <w:trHeight w:val="214"/>
        </w:trPr>
        <w:tc>
          <w:tcPr>
            <w:tcW w:w="3261" w:type="dxa"/>
            <w:gridSpan w:val="3"/>
            <w:tcBorders>
              <w:top w:val="nil"/>
              <w:bottom w:val="nil"/>
            </w:tcBorders>
            <w:shd w:val="clear" w:color="auto" w:fill="FFFFFF"/>
          </w:tcPr>
          <w:p w14:paraId="522F85A3" w14:textId="77777777" w:rsidR="007B7860" w:rsidRPr="006644A1" w:rsidRDefault="007B7860" w:rsidP="00790C78">
            <w:pPr>
              <w:pStyle w:val="CETBodytext"/>
              <w:ind w:right="-1"/>
              <w:rPr>
                <w:rFonts w:cs="Arial"/>
                <w:szCs w:val="18"/>
                <w:lang w:val="en-GB"/>
              </w:rPr>
            </w:pPr>
            <w:r w:rsidRPr="006644A1">
              <w:rPr>
                <w:rFonts w:cs="Arial"/>
                <w:szCs w:val="18"/>
                <w:lang w:val="en-GB"/>
              </w:rPr>
              <w:t>Charge current density</w:t>
            </w:r>
          </w:p>
        </w:tc>
        <w:tc>
          <w:tcPr>
            <w:tcW w:w="1417" w:type="dxa"/>
            <w:tcBorders>
              <w:top w:val="nil"/>
              <w:bottom w:val="nil"/>
            </w:tcBorders>
            <w:shd w:val="clear" w:color="auto" w:fill="FFFFFF"/>
          </w:tcPr>
          <w:p w14:paraId="04268EB1" w14:textId="77777777" w:rsidR="007B7860" w:rsidRPr="006644A1" w:rsidRDefault="007B7860" w:rsidP="00790C78">
            <w:pPr>
              <w:pStyle w:val="CETBodytext"/>
              <w:ind w:right="-1"/>
              <w:rPr>
                <w:rFonts w:cs="Arial"/>
                <w:szCs w:val="18"/>
                <w:lang w:val="en-GB"/>
              </w:rPr>
            </w:pPr>
            <w:r w:rsidRPr="006644A1">
              <w:rPr>
                <w:rFonts w:cs="Arial"/>
                <w:szCs w:val="18"/>
                <w:lang w:val="en-GB"/>
              </w:rPr>
              <w:t>A m</w:t>
            </w:r>
            <w:r w:rsidRPr="006644A1">
              <w:rPr>
                <w:rFonts w:cs="Arial"/>
                <w:szCs w:val="18"/>
                <w:vertAlign w:val="superscript"/>
                <w:lang w:val="en-GB"/>
              </w:rPr>
              <w:t>-2</w:t>
            </w:r>
          </w:p>
        </w:tc>
        <w:tc>
          <w:tcPr>
            <w:tcW w:w="1134" w:type="dxa"/>
            <w:tcBorders>
              <w:top w:val="nil"/>
              <w:bottom w:val="nil"/>
            </w:tcBorders>
            <w:shd w:val="clear" w:color="auto" w:fill="FFFFFF"/>
          </w:tcPr>
          <w:p w14:paraId="563CD2EC" w14:textId="77777777" w:rsidR="007B7860" w:rsidRPr="006644A1" w:rsidRDefault="007B7860" w:rsidP="00790C78">
            <w:pPr>
              <w:pStyle w:val="CETBodytext"/>
              <w:ind w:right="-1"/>
              <w:rPr>
                <w:rFonts w:cs="Arial"/>
                <w:szCs w:val="18"/>
                <w:lang w:val="en-GB"/>
              </w:rPr>
            </w:pPr>
            <w:r w:rsidRPr="006644A1">
              <w:rPr>
                <w:rFonts w:cs="Arial"/>
                <w:szCs w:val="18"/>
                <w:lang w:val="en-GB"/>
              </w:rPr>
              <w:t>100</w:t>
            </w:r>
          </w:p>
        </w:tc>
        <w:tc>
          <w:tcPr>
            <w:tcW w:w="1134" w:type="dxa"/>
            <w:tcBorders>
              <w:top w:val="nil"/>
              <w:bottom w:val="nil"/>
            </w:tcBorders>
            <w:shd w:val="clear" w:color="auto" w:fill="FFFFFF"/>
          </w:tcPr>
          <w:p w14:paraId="76749188" w14:textId="561A80EF" w:rsidR="007B7860" w:rsidRPr="006644A1" w:rsidRDefault="007B7860" w:rsidP="00790C78">
            <w:pPr>
              <w:pStyle w:val="CETBodytext"/>
              <w:ind w:right="-1"/>
              <w:rPr>
                <w:rFonts w:cs="Arial"/>
                <w:szCs w:val="18"/>
                <w:lang w:val="en-GB"/>
              </w:rPr>
            </w:pPr>
          </w:p>
        </w:tc>
        <w:tc>
          <w:tcPr>
            <w:tcW w:w="992" w:type="dxa"/>
            <w:tcBorders>
              <w:top w:val="nil"/>
              <w:bottom w:val="nil"/>
            </w:tcBorders>
            <w:shd w:val="clear" w:color="auto" w:fill="FFFFFF"/>
          </w:tcPr>
          <w:p w14:paraId="3EDAC0E3" w14:textId="77777777" w:rsidR="007B7860" w:rsidRPr="006644A1" w:rsidRDefault="007B7860" w:rsidP="00790C78">
            <w:pPr>
              <w:pStyle w:val="CETBodytext"/>
              <w:ind w:right="-1"/>
              <w:rPr>
                <w:rFonts w:cs="Arial"/>
                <w:szCs w:val="18"/>
                <w:lang w:val="en-GB"/>
              </w:rPr>
            </w:pPr>
          </w:p>
        </w:tc>
        <w:tc>
          <w:tcPr>
            <w:tcW w:w="1134" w:type="dxa"/>
            <w:tcBorders>
              <w:top w:val="nil"/>
              <w:bottom w:val="nil"/>
            </w:tcBorders>
            <w:shd w:val="clear" w:color="auto" w:fill="FFFFFF"/>
          </w:tcPr>
          <w:p w14:paraId="7FA865FD" w14:textId="77777777" w:rsidR="007B7860" w:rsidRPr="006644A1" w:rsidRDefault="007B7860" w:rsidP="00790C78">
            <w:pPr>
              <w:pStyle w:val="CETBodytext"/>
              <w:ind w:right="-1"/>
              <w:rPr>
                <w:rFonts w:cs="Arial"/>
                <w:szCs w:val="18"/>
                <w:lang w:val="en-GB"/>
              </w:rPr>
            </w:pPr>
          </w:p>
        </w:tc>
        <w:tc>
          <w:tcPr>
            <w:tcW w:w="792" w:type="dxa"/>
            <w:tcBorders>
              <w:top w:val="nil"/>
              <w:bottom w:val="nil"/>
            </w:tcBorders>
            <w:shd w:val="clear" w:color="auto" w:fill="FFFFFF"/>
          </w:tcPr>
          <w:p w14:paraId="70FFFA86" w14:textId="62AF71AA" w:rsidR="007B7860" w:rsidRPr="006644A1" w:rsidRDefault="007B7860" w:rsidP="00790C78">
            <w:pPr>
              <w:pStyle w:val="CETBodytext"/>
              <w:ind w:right="-1"/>
              <w:rPr>
                <w:rFonts w:cs="Arial"/>
                <w:szCs w:val="18"/>
                <w:lang w:val="en-GB"/>
              </w:rPr>
            </w:pPr>
          </w:p>
        </w:tc>
      </w:tr>
      <w:tr w:rsidR="007B7860" w:rsidRPr="006644A1" w14:paraId="0ACBE9C4" w14:textId="77777777" w:rsidTr="00CE0E20">
        <w:trPr>
          <w:trHeight w:val="214"/>
        </w:trPr>
        <w:tc>
          <w:tcPr>
            <w:tcW w:w="3261" w:type="dxa"/>
            <w:gridSpan w:val="3"/>
            <w:tcBorders>
              <w:top w:val="nil"/>
            </w:tcBorders>
            <w:shd w:val="clear" w:color="auto" w:fill="FFFFFF"/>
          </w:tcPr>
          <w:p w14:paraId="1A59369C" w14:textId="77777777" w:rsidR="007B7860" w:rsidRPr="006644A1" w:rsidRDefault="007B7860" w:rsidP="00790C78">
            <w:pPr>
              <w:pStyle w:val="CETBodytext"/>
              <w:ind w:right="-1"/>
              <w:rPr>
                <w:rFonts w:cs="Arial"/>
                <w:szCs w:val="18"/>
                <w:lang w:val="en-GB"/>
              </w:rPr>
            </w:pPr>
            <w:r w:rsidRPr="006644A1">
              <w:rPr>
                <w:rFonts w:cs="Arial"/>
                <w:szCs w:val="18"/>
                <w:lang w:val="en-GB"/>
              </w:rPr>
              <w:t>Discharge current density</w:t>
            </w:r>
          </w:p>
        </w:tc>
        <w:tc>
          <w:tcPr>
            <w:tcW w:w="1417" w:type="dxa"/>
            <w:tcBorders>
              <w:top w:val="nil"/>
            </w:tcBorders>
            <w:shd w:val="clear" w:color="auto" w:fill="FFFFFF"/>
          </w:tcPr>
          <w:p w14:paraId="6B90B811" w14:textId="77777777" w:rsidR="007B7860" w:rsidRPr="006644A1" w:rsidRDefault="007B7860" w:rsidP="00790C78">
            <w:pPr>
              <w:pStyle w:val="CETBodytext"/>
              <w:ind w:right="-1"/>
              <w:rPr>
                <w:rFonts w:cs="Arial"/>
                <w:szCs w:val="18"/>
                <w:lang w:val="en-GB"/>
              </w:rPr>
            </w:pPr>
            <w:r w:rsidRPr="006644A1">
              <w:rPr>
                <w:rFonts w:cs="Arial"/>
                <w:szCs w:val="18"/>
                <w:lang w:val="en-GB"/>
              </w:rPr>
              <w:t>A m</w:t>
            </w:r>
            <w:r w:rsidRPr="006644A1">
              <w:rPr>
                <w:rFonts w:cs="Arial"/>
                <w:szCs w:val="18"/>
                <w:vertAlign w:val="superscript"/>
                <w:lang w:val="en-GB"/>
              </w:rPr>
              <w:t>-2</w:t>
            </w:r>
          </w:p>
        </w:tc>
        <w:tc>
          <w:tcPr>
            <w:tcW w:w="1134" w:type="dxa"/>
            <w:tcBorders>
              <w:top w:val="nil"/>
            </w:tcBorders>
            <w:shd w:val="clear" w:color="auto" w:fill="FFFFFF"/>
          </w:tcPr>
          <w:p w14:paraId="29F24343" w14:textId="77777777" w:rsidR="007B7860" w:rsidRPr="006644A1" w:rsidRDefault="007B7860" w:rsidP="00790C78">
            <w:pPr>
              <w:pStyle w:val="CETBodytext"/>
              <w:ind w:right="-1"/>
              <w:rPr>
                <w:rFonts w:cs="Arial"/>
                <w:szCs w:val="18"/>
                <w:lang w:val="en-GB"/>
              </w:rPr>
            </w:pPr>
            <w:r w:rsidRPr="006644A1">
              <w:rPr>
                <w:rFonts w:cs="Arial"/>
                <w:szCs w:val="18"/>
                <w:lang w:val="en-GB"/>
              </w:rPr>
              <w:t>30</w:t>
            </w:r>
          </w:p>
        </w:tc>
        <w:tc>
          <w:tcPr>
            <w:tcW w:w="1134" w:type="dxa"/>
            <w:tcBorders>
              <w:top w:val="nil"/>
            </w:tcBorders>
            <w:shd w:val="clear" w:color="auto" w:fill="FFFFFF"/>
          </w:tcPr>
          <w:p w14:paraId="4E0B2826" w14:textId="51D128B7" w:rsidR="007B7860" w:rsidRPr="006644A1" w:rsidRDefault="007B7860" w:rsidP="00790C78">
            <w:pPr>
              <w:pStyle w:val="CETBodytext"/>
              <w:ind w:right="-1"/>
              <w:rPr>
                <w:rFonts w:cs="Arial"/>
                <w:szCs w:val="18"/>
                <w:lang w:val="en-GB"/>
              </w:rPr>
            </w:pPr>
          </w:p>
        </w:tc>
        <w:tc>
          <w:tcPr>
            <w:tcW w:w="992" w:type="dxa"/>
            <w:tcBorders>
              <w:top w:val="nil"/>
            </w:tcBorders>
            <w:shd w:val="clear" w:color="auto" w:fill="FFFFFF"/>
          </w:tcPr>
          <w:p w14:paraId="06552D63" w14:textId="77777777" w:rsidR="007B7860" w:rsidRPr="006644A1" w:rsidRDefault="007B7860" w:rsidP="00790C78">
            <w:pPr>
              <w:pStyle w:val="CETBodytext"/>
              <w:ind w:right="-1"/>
              <w:rPr>
                <w:rFonts w:cs="Arial"/>
                <w:szCs w:val="18"/>
                <w:lang w:val="en-GB"/>
              </w:rPr>
            </w:pPr>
          </w:p>
        </w:tc>
        <w:tc>
          <w:tcPr>
            <w:tcW w:w="1134" w:type="dxa"/>
            <w:tcBorders>
              <w:top w:val="nil"/>
            </w:tcBorders>
            <w:shd w:val="clear" w:color="auto" w:fill="FFFFFF"/>
          </w:tcPr>
          <w:p w14:paraId="734E2247" w14:textId="77777777" w:rsidR="007B7860" w:rsidRPr="006644A1" w:rsidRDefault="007B7860" w:rsidP="00790C78">
            <w:pPr>
              <w:pStyle w:val="CETBodytext"/>
              <w:ind w:right="-1"/>
              <w:rPr>
                <w:rFonts w:cs="Arial"/>
                <w:szCs w:val="18"/>
                <w:lang w:val="en-GB"/>
              </w:rPr>
            </w:pPr>
          </w:p>
        </w:tc>
        <w:tc>
          <w:tcPr>
            <w:tcW w:w="792" w:type="dxa"/>
            <w:tcBorders>
              <w:top w:val="nil"/>
            </w:tcBorders>
            <w:shd w:val="clear" w:color="auto" w:fill="FFFFFF"/>
          </w:tcPr>
          <w:p w14:paraId="1D10063C" w14:textId="7A5D95F0" w:rsidR="007B7860" w:rsidRPr="006644A1" w:rsidRDefault="007B7860" w:rsidP="00790C78">
            <w:pPr>
              <w:pStyle w:val="CETBodytext"/>
              <w:ind w:right="-1"/>
              <w:rPr>
                <w:rFonts w:cs="Arial"/>
                <w:szCs w:val="18"/>
                <w:lang w:val="en-GB"/>
              </w:rPr>
            </w:pPr>
          </w:p>
        </w:tc>
      </w:tr>
    </w:tbl>
    <w:p w14:paraId="274A0D7F" w14:textId="25FB77F0" w:rsidR="00797B1E" w:rsidRPr="006644A1" w:rsidRDefault="00797B1E" w:rsidP="00600535">
      <w:pPr>
        <w:pStyle w:val="CETHeading1"/>
        <w:rPr>
          <w:lang w:val="en-GB"/>
        </w:rPr>
      </w:pPr>
      <w:r w:rsidRPr="006644A1">
        <w:rPr>
          <w:lang w:val="en-GB"/>
        </w:rPr>
        <w:lastRenderedPageBreak/>
        <w:t>Results and discussion</w:t>
      </w:r>
    </w:p>
    <w:p w14:paraId="09081B72" w14:textId="444C4866" w:rsidR="00430503" w:rsidRPr="006644A1" w:rsidRDefault="00A4390B" w:rsidP="00430503">
      <w:pPr>
        <w:pStyle w:val="CETBodytext"/>
        <w:keepNext/>
      </w:pPr>
      <w:r w:rsidRPr="006644A1">
        <w:t>The first case studied (scenario A) involves the use of four decision variables, namely the current density and mean flow velocity during the charg</w:t>
      </w:r>
      <w:r w:rsidR="005B1BE8" w:rsidRPr="006644A1">
        <w:t>e</w:t>
      </w:r>
      <w:r w:rsidRPr="006644A1">
        <w:t xml:space="preserve"> and dischar</w:t>
      </w:r>
      <w:r w:rsidR="005B1BE8" w:rsidRPr="006644A1">
        <w:t>ge</w:t>
      </w:r>
      <w:r w:rsidRPr="006644A1">
        <w:t xml:space="preserve"> phases of the battery (</w:t>
      </w:r>
      <w:r w:rsidR="004422B7" w:rsidRPr="006644A1">
        <w:fldChar w:fldCharType="begin"/>
      </w:r>
      <w:r w:rsidR="004422B7" w:rsidRPr="006644A1">
        <w:instrText xml:space="preserve"> REF _Ref104742414 \h </w:instrText>
      </w:r>
      <w:r w:rsidR="006644A1">
        <w:instrText xml:space="preserve"> \* MERGEFORMAT </w:instrText>
      </w:r>
      <w:r w:rsidR="004422B7" w:rsidRPr="006644A1">
        <w:fldChar w:fldCharType="separate"/>
      </w:r>
      <w:r w:rsidR="00E64D71" w:rsidRPr="006644A1">
        <w:t xml:space="preserve">Figure </w:t>
      </w:r>
      <w:r w:rsidR="00E64D71" w:rsidRPr="006644A1">
        <w:rPr>
          <w:noProof/>
        </w:rPr>
        <w:t>2</w:t>
      </w:r>
      <w:r w:rsidR="004422B7" w:rsidRPr="006644A1">
        <w:fldChar w:fldCharType="end"/>
      </w:r>
      <w:r w:rsidRPr="006644A1">
        <w:t>).</w:t>
      </w:r>
      <w:r w:rsidR="007168E8" w:rsidRPr="006644A1">
        <w:rPr>
          <w:noProof/>
        </w:rPr>
        <w:drawing>
          <wp:inline distT="0" distB="0" distL="0" distR="0" wp14:anchorId="6FFB4CC2" wp14:editId="648EFDE0">
            <wp:extent cx="5538157" cy="2124000"/>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8157" cy="2124000"/>
                    </a:xfrm>
                    <a:prstGeom prst="rect">
                      <a:avLst/>
                    </a:prstGeom>
                    <a:noFill/>
                    <a:ln>
                      <a:noFill/>
                    </a:ln>
                  </pic:spPr>
                </pic:pic>
              </a:graphicData>
            </a:graphic>
          </wp:inline>
        </w:drawing>
      </w:r>
    </w:p>
    <w:p w14:paraId="1EE59650" w14:textId="2932BCBB" w:rsidR="00821497" w:rsidRPr="006644A1" w:rsidRDefault="00430503" w:rsidP="00704069">
      <w:pPr>
        <w:pStyle w:val="CETCaption"/>
      </w:pPr>
      <w:bookmarkStart w:id="3" w:name="_Ref104742414"/>
      <w:r w:rsidRPr="006644A1">
        <w:t xml:space="preserve">Figure </w:t>
      </w:r>
      <w:r w:rsidRPr="006644A1">
        <w:fldChar w:fldCharType="begin"/>
      </w:r>
      <w:r w:rsidRPr="006644A1">
        <w:instrText xml:space="preserve"> SEQ Figure \* ARABIC </w:instrText>
      </w:r>
      <w:r w:rsidRPr="006644A1">
        <w:fldChar w:fldCharType="separate"/>
      </w:r>
      <w:r w:rsidR="00E64D71" w:rsidRPr="006644A1">
        <w:rPr>
          <w:noProof/>
        </w:rPr>
        <w:t>2</w:t>
      </w:r>
      <w:r w:rsidRPr="006644A1">
        <w:fldChar w:fldCharType="end"/>
      </w:r>
      <w:bookmarkEnd w:id="3"/>
      <w:r w:rsidRPr="006644A1">
        <w:t xml:space="preserve">. </w:t>
      </w:r>
      <w:r w:rsidR="005704A2" w:rsidRPr="006644A1">
        <w:t>Pareto fronts of net Round Trip Efficiency (</w:t>
      </w:r>
      <w:proofErr w:type="spellStart"/>
      <w:r w:rsidR="005704A2" w:rsidRPr="006644A1">
        <w:t>RTE</w:t>
      </w:r>
      <w:r w:rsidR="005704A2" w:rsidRPr="006644A1">
        <w:rPr>
          <w:vertAlign w:val="subscript"/>
        </w:rPr>
        <w:t>net</w:t>
      </w:r>
      <w:proofErr w:type="spellEnd"/>
      <w:r w:rsidR="005704A2" w:rsidRPr="006644A1">
        <w:t>) as a fu</w:t>
      </w:r>
      <w:r w:rsidR="005256B8" w:rsidRPr="006644A1">
        <w:t>n</w:t>
      </w:r>
      <w:r w:rsidR="005704A2" w:rsidRPr="006644A1">
        <w:t xml:space="preserve">ction of the average </w:t>
      </w:r>
      <w:r w:rsidR="00FF601C" w:rsidRPr="006644A1">
        <w:t>n</w:t>
      </w:r>
      <w:r w:rsidR="005704A2" w:rsidRPr="006644A1">
        <w:t xml:space="preserve">et </w:t>
      </w:r>
      <w:r w:rsidR="00FF601C" w:rsidRPr="006644A1">
        <w:t>discharge p</w:t>
      </w:r>
      <w:r w:rsidR="005704A2" w:rsidRPr="006644A1">
        <w:t xml:space="preserve">ower </w:t>
      </w:r>
      <w:r w:rsidR="00FF601C" w:rsidRPr="006644A1">
        <w:t>d</w:t>
      </w:r>
      <w:r w:rsidR="005704A2" w:rsidRPr="006644A1">
        <w:t>ensity (</w:t>
      </w:r>
      <w:proofErr w:type="spellStart"/>
      <w:r w:rsidR="005704A2" w:rsidRPr="006644A1">
        <w:t>NPD</w:t>
      </w:r>
      <w:r w:rsidR="00F8571B" w:rsidRPr="006644A1">
        <w:rPr>
          <w:vertAlign w:val="subscript"/>
        </w:rPr>
        <w:t>d</w:t>
      </w:r>
      <w:proofErr w:type="spellEnd"/>
      <w:r w:rsidR="005704A2" w:rsidRPr="006644A1">
        <w:t xml:space="preserve">) in the scenario of a) four decision variables and b) eight decision variables. </w:t>
      </w:r>
    </w:p>
    <w:p w14:paraId="3A19E133" w14:textId="3D8245A6" w:rsidR="00430503" w:rsidRPr="006644A1" w:rsidRDefault="005B1BE8" w:rsidP="005F4F51">
      <w:pPr>
        <w:pStyle w:val="CETBodytext"/>
        <w:rPr>
          <w:lang w:val="en-GB"/>
        </w:rPr>
      </w:pPr>
      <w:r w:rsidRPr="006644A1">
        <w:rPr>
          <w:lang w:val="en-GB"/>
        </w:rPr>
        <w:t xml:space="preserve">As shown in </w:t>
      </w:r>
      <w:r w:rsidR="00E64D71" w:rsidRPr="006644A1">
        <w:rPr>
          <w:lang w:val="en-GB"/>
        </w:rPr>
        <w:fldChar w:fldCharType="begin"/>
      </w:r>
      <w:r w:rsidR="00E64D71" w:rsidRPr="006644A1">
        <w:rPr>
          <w:lang w:val="en-GB"/>
        </w:rPr>
        <w:instrText xml:space="preserve"> REF _Ref104742414 \h </w:instrText>
      </w:r>
      <w:r w:rsidR="00E64D71" w:rsidRPr="006644A1">
        <w:rPr>
          <w:lang w:val="en-GB"/>
        </w:rPr>
      </w:r>
      <w:r w:rsidR="006644A1">
        <w:rPr>
          <w:lang w:val="en-GB"/>
        </w:rPr>
        <w:instrText xml:space="preserve"> \* MERGEFORMAT </w:instrText>
      </w:r>
      <w:r w:rsidR="00E64D71" w:rsidRPr="006644A1">
        <w:rPr>
          <w:lang w:val="en-GB"/>
        </w:rPr>
        <w:fldChar w:fldCharType="separate"/>
      </w:r>
      <w:r w:rsidR="00E64D71" w:rsidRPr="006644A1">
        <w:t xml:space="preserve">Figure </w:t>
      </w:r>
      <w:r w:rsidR="00E64D71" w:rsidRPr="006644A1">
        <w:rPr>
          <w:noProof/>
        </w:rPr>
        <w:t>2</w:t>
      </w:r>
      <w:r w:rsidR="00E64D71" w:rsidRPr="006644A1">
        <w:rPr>
          <w:lang w:val="en-GB"/>
        </w:rPr>
        <w:fldChar w:fldCharType="end"/>
      </w:r>
      <w:r w:rsidRPr="006644A1">
        <w:rPr>
          <w:lang w:val="en-GB"/>
        </w:rPr>
        <w:t>a, t</w:t>
      </w:r>
      <w:r w:rsidR="0066747C" w:rsidRPr="006644A1">
        <w:rPr>
          <w:lang w:val="en-GB"/>
        </w:rPr>
        <w:t xml:space="preserve">he Pareto front has a maximum </w:t>
      </w:r>
      <w:proofErr w:type="spellStart"/>
      <w:r w:rsidR="0066747C" w:rsidRPr="006644A1">
        <w:rPr>
          <w:lang w:val="en-GB"/>
        </w:rPr>
        <w:t>RTE</w:t>
      </w:r>
      <w:r w:rsidR="00397777" w:rsidRPr="006644A1">
        <w:rPr>
          <w:vertAlign w:val="subscript"/>
          <w:lang w:val="en-GB"/>
        </w:rPr>
        <w:t>net</w:t>
      </w:r>
      <w:proofErr w:type="spellEnd"/>
      <w:r w:rsidR="0066747C" w:rsidRPr="006644A1">
        <w:rPr>
          <w:lang w:val="en-GB"/>
        </w:rPr>
        <w:t xml:space="preserve"> of 51</w:t>
      </w:r>
      <w:r w:rsidR="00B62C60" w:rsidRPr="006644A1">
        <w:rPr>
          <w:lang w:val="en-GB"/>
        </w:rPr>
        <w:t>.0</w:t>
      </w:r>
      <w:r w:rsidR="0066747C" w:rsidRPr="006644A1">
        <w:rPr>
          <w:lang w:val="en-GB"/>
        </w:rPr>
        <w:t xml:space="preserve">% and an average </w:t>
      </w:r>
      <w:proofErr w:type="spellStart"/>
      <w:r w:rsidR="0066747C" w:rsidRPr="006644A1">
        <w:rPr>
          <w:lang w:val="en-GB"/>
        </w:rPr>
        <w:t>NPD</w:t>
      </w:r>
      <w:r w:rsidR="00F8571B" w:rsidRPr="006644A1">
        <w:rPr>
          <w:vertAlign w:val="subscript"/>
          <w:lang w:val="en-GB"/>
        </w:rPr>
        <w:t>d</w:t>
      </w:r>
      <w:proofErr w:type="spellEnd"/>
      <w:r w:rsidR="0066747C" w:rsidRPr="006644A1">
        <w:rPr>
          <w:lang w:val="en-GB"/>
        </w:rPr>
        <w:t xml:space="preserve"> of 5.8 W</w:t>
      </w:r>
      <w:r w:rsidR="004F2BD7" w:rsidRPr="006644A1">
        <w:rPr>
          <w:lang w:val="en-GB"/>
        </w:rPr>
        <w:t xml:space="preserve"> </w:t>
      </w:r>
      <w:r w:rsidR="0066747C" w:rsidRPr="006644A1">
        <w:rPr>
          <w:lang w:val="en-GB"/>
        </w:rPr>
        <w:t>m</w:t>
      </w:r>
      <w:r w:rsidR="004F2BD7" w:rsidRPr="006644A1">
        <w:rPr>
          <w:vertAlign w:val="superscript"/>
          <w:lang w:val="en-GB"/>
        </w:rPr>
        <w:t>-</w:t>
      </w:r>
      <w:r w:rsidR="0066747C" w:rsidRPr="006644A1">
        <w:rPr>
          <w:vertAlign w:val="superscript"/>
          <w:lang w:val="en-GB"/>
        </w:rPr>
        <w:t>2</w:t>
      </w:r>
      <w:r w:rsidR="0066747C" w:rsidRPr="006644A1">
        <w:rPr>
          <w:lang w:val="en-GB"/>
        </w:rPr>
        <w:t xml:space="preserve">. As the </w:t>
      </w:r>
      <w:proofErr w:type="spellStart"/>
      <w:r w:rsidR="0066747C" w:rsidRPr="006644A1">
        <w:rPr>
          <w:lang w:val="en-GB"/>
        </w:rPr>
        <w:t>NPD</w:t>
      </w:r>
      <w:r w:rsidR="00F8571B" w:rsidRPr="006644A1">
        <w:rPr>
          <w:vertAlign w:val="subscript"/>
          <w:lang w:val="en-GB"/>
        </w:rPr>
        <w:t>d</w:t>
      </w:r>
      <w:proofErr w:type="spellEnd"/>
      <w:r w:rsidR="0066747C" w:rsidRPr="006644A1">
        <w:rPr>
          <w:lang w:val="en-GB"/>
        </w:rPr>
        <w:t xml:space="preserve"> rises, the </w:t>
      </w:r>
      <w:proofErr w:type="spellStart"/>
      <w:r w:rsidR="0066747C" w:rsidRPr="006644A1">
        <w:rPr>
          <w:lang w:val="en-GB"/>
        </w:rPr>
        <w:t>RTE</w:t>
      </w:r>
      <w:r w:rsidR="0066747C" w:rsidRPr="006644A1">
        <w:rPr>
          <w:vertAlign w:val="subscript"/>
          <w:lang w:val="en-GB"/>
        </w:rPr>
        <w:t>net</w:t>
      </w:r>
      <w:proofErr w:type="spellEnd"/>
      <w:r w:rsidR="0066747C" w:rsidRPr="006644A1">
        <w:rPr>
          <w:lang w:val="en-GB"/>
        </w:rPr>
        <w:t xml:space="preserve"> shows a decreasing trend. Furthermore, the maximum </w:t>
      </w:r>
      <w:proofErr w:type="spellStart"/>
      <w:r w:rsidR="00F8571B" w:rsidRPr="006644A1">
        <w:rPr>
          <w:lang w:val="en-GB"/>
        </w:rPr>
        <w:t>NPD</w:t>
      </w:r>
      <w:r w:rsidR="00F8571B" w:rsidRPr="006644A1">
        <w:rPr>
          <w:vertAlign w:val="subscript"/>
          <w:lang w:val="en-GB"/>
        </w:rPr>
        <w:t>d</w:t>
      </w:r>
      <w:proofErr w:type="spellEnd"/>
      <w:r w:rsidR="00F8571B" w:rsidRPr="006644A1">
        <w:rPr>
          <w:lang w:val="en-GB"/>
        </w:rPr>
        <w:t xml:space="preserve"> </w:t>
      </w:r>
      <w:r w:rsidR="0066747C" w:rsidRPr="006644A1">
        <w:rPr>
          <w:lang w:val="en-GB"/>
        </w:rPr>
        <w:t>value is 14.5 W</w:t>
      </w:r>
      <w:r w:rsidR="004F2BD7" w:rsidRPr="006644A1">
        <w:rPr>
          <w:lang w:val="en-GB"/>
        </w:rPr>
        <w:t xml:space="preserve"> </w:t>
      </w:r>
      <w:r w:rsidR="0066747C" w:rsidRPr="006644A1">
        <w:rPr>
          <w:lang w:val="en-GB"/>
        </w:rPr>
        <w:t>m</w:t>
      </w:r>
      <w:r w:rsidR="004F2BD7" w:rsidRPr="006644A1">
        <w:rPr>
          <w:vertAlign w:val="superscript"/>
          <w:lang w:val="en-GB"/>
        </w:rPr>
        <w:t>-</w:t>
      </w:r>
      <w:r w:rsidR="0066747C" w:rsidRPr="006644A1">
        <w:rPr>
          <w:vertAlign w:val="superscript"/>
          <w:lang w:val="en-GB"/>
        </w:rPr>
        <w:t>2</w:t>
      </w:r>
      <w:r w:rsidR="0066747C" w:rsidRPr="006644A1">
        <w:rPr>
          <w:lang w:val="en-GB"/>
        </w:rPr>
        <w:t>, which corresponds to a minimum of 32.1</w:t>
      </w:r>
      <w:r w:rsidR="004F2BD7" w:rsidRPr="006644A1">
        <w:rPr>
          <w:lang w:val="en-GB"/>
        </w:rPr>
        <w:t>%</w:t>
      </w:r>
      <w:r w:rsidR="0066747C" w:rsidRPr="006644A1">
        <w:rPr>
          <w:lang w:val="en-GB"/>
        </w:rPr>
        <w:t xml:space="preserve"> </w:t>
      </w:r>
      <w:proofErr w:type="spellStart"/>
      <w:r w:rsidR="0066747C" w:rsidRPr="006644A1">
        <w:rPr>
          <w:lang w:val="en-GB"/>
        </w:rPr>
        <w:t>RTE</w:t>
      </w:r>
      <w:r w:rsidR="0066747C" w:rsidRPr="006644A1">
        <w:rPr>
          <w:vertAlign w:val="subscript"/>
          <w:lang w:val="en-GB"/>
        </w:rPr>
        <w:t>net</w:t>
      </w:r>
      <w:proofErr w:type="spellEnd"/>
      <w:r w:rsidR="0066747C" w:rsidRPr="006644A1">
        <w:rPr>
          <w:lang w:val="en-GB"/>
        </w:rPr>
        <w:t xml:space="preserve">. </w:t>
      </w:r>
      <w:bookmarkStart w:id="4" w:name="_Hlk104906256"/>
      <w:r w:rsidR="00063371" w:rsidRPr="006644A1">
        <w:rPr>
          <w:lang w:val="en-GB"/>
        </w:rPr>
        <w:t xml:space="preserve">The HCl concentration rises from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target,d</m:t>
            </m:r>
          </m:sub>
        </m:sSub>
      </m:oMath>
      <w:r w:rsidR="00063371" w:rsidRPr="006644A1">
        <w:rPr>
          <w:lang w:val="en-GB"/>
        </w:rPr>
        <w:t xml:space="preserve"> to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target,c</m:t>
            </m:r>
          </m:sub>
        </m:sSub>
      </m:oMath>
      <w:r w:rsidR="00063371" w:rsidRPr="006644A1">
        <w:rPr>
          <w:lang w:val="en-GB"/>
        </w:rPr>
        <w:t xml:space="preserve"> after the charge phase</w:t>
      </w:r>
      <w:bookmarkEnd w:id="4"/>
      <w:r w:rsidR="00063371" w:rsidRPr="006644A1">
        <w:rPr>
          <w:lang w:val="en-GB"/>
        </w:rPr>
        <w:t xml:space="preserve"> and </w:t>
      </w:r>
      <w:r w:rsidR="0066747C" w:rsidRPr="006644A1">
        <w:rPr>
          <w:lang w:val="en-GB"/>
        </w:rPr>
        <w:t>the</w:t>
      </w:r>
      <w:r w:rsidR="00063371" w:rsidRPr="006644A1">
        <w:rPr>
          <w:lang w:val="en-GB"/>
        </w:rPr>
        <w:t xml:space="preserve"> resulting</w:t>
      </w:r>
      <w:r w:rsidR="0066747C" w:rsidRPr="006644A1">
        <w:rPr>
          <w:lang w:val="en-GB"/>
        </w:rPr>
        <w:t xml:space="preserve"> theoretical energy density is 20.1 kWh</w:t>
      </w:r>
      <w:r w:rsidR="004F2BD7" w:rsidRPr="006644A1">
        <w:rPr>
          <w:lang w:val="en-GB"/>
        </w:rPr>
        <w:t xml:space="preserve"> m</w:t>
      </w:r>
      <w:r w:rsidR="004F2BD7" w:rsidRPr="006644A1">
        <w:rPr>
          <w:vertAlign w:val="superscript"/>
          <w:lang w:val="en-GB"/>
        </w:rPr>
        <w:t>-3</w:t>
      </w:r>
      <w:r w:rsidR="0066747C" w:rsidRPr="006644A1">
        <w:rPr>
          <w:lang w:val="en-GB"/>
        </w:rPr>
        <w:t>. Along the Pareto front, this value remains constant</w:t>
      </w:r>
      <w:r w:rsidRPr="006644A1">
        <w:rPr>
          <w:lang w:val="en-GB"/>
        </w:rPr>
        <w:t xml:space="preserve"> because</w:t>
      </w:r>
      <w:r w:rsidR="0066747C" w:rsidRPr="006644A1">
        <w:rPr>
          <w:lang w:val="en-GB"/>
        </w:rPr>
        <w:t xml:space="preserve"> the target concentrations are not included in the decision variables in scenario A. In this case,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target,d</m:t>
            </m:r>
          </m:sub>
        </m:sSub>
      </m:oMath>
      <w:r w:rsidR="0066747C" w:rsidRPr="006644A1">
        <w:rPr>
          <w:lang w:val="en-GB"/>
        </w:rPr>
        <w:t xml:space="preserve"> and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target,c</m:t>
            </m:r>
          </m:sub>
        </m:sSub>
      </m:oMath>
      <w:r w:rsidR="0066747C" w:rsidRPr="006644A1">
        <w:rPr>
          <w:lang w:val="en-GB"/>
        </w:rPr>
        <w:t xml:space="preserve"> are equal to 0.05M HCl and 1M HCl, respectively. However, due to</w:t>
      </w:r>
      <w:r w:rsidR="004623B2" w:rsidRPr="006644A1">
        <w:rPr>
          <w:lang w:val="en-GB"/>
        </w:rPr>
        <w:t xml:space="preserve"> non-ideal</w:t>
      </w:r>
      <w:r w:rsidR="0066747C" w:rsidRPr="006644A1">
        <w:rPr>
          <w:lang w:val="en-GB"/>
        </w:rPr>
        <w:t xml:space="preserve"> process </w:t>
      </w:r>
      <w:r w:rsidR="004623B2" w:rsidRPr="006644A1">
        <w:rPr>
          <w:lang w:val="en-GB"/>
        </w:rPr>
        <w:t>phenomena</w:t>
      </w:r>
      <w:r w:rsidR="0066747C" w:rsidRPr="006644A1">
        <w:rPr>
          <w:lang w:val="en-GB"/>
        </w:rPr>
        <w:t xml:space="preserve">, the energy density obtained during the discharge phase </w:t>
      </w:r>
      <w:r w:rsidR="004623B2" w:rsidRPr="006644A1">
        <w:rPr>
          <w:lang w:val="en-GB"/>
        </w:rPr>
        <w:t>is</w:t>
      </w:r>
      <w:r w:rsidR="0066747C" w:rsidRPr="006644A1">
        <w:rPr>
          <w:lang w:val="en-GB"/>
        </w:rPr>
        <w:t xml:space="preserve"> only a fraction of the theoretical </w:t>
      </w:r>
      <w:r w:rsidR="004623B2" w:rsidRPr="006644A1">
        <w:rPr>
          <w:lang w:val="en-GB"/>
        </w:rPr>
        <w:t>value</w:t>
      </w:r>
      <w:r w:rsidR="0066747C" w:rsidRPr="006644A1">
        <w:rPr>
          <w:lang w:val="en-GB"/>
        </w:rPr>
        <w:t xml:space="preserve"> and depend</w:t>
      </w:r>
      <w:r w:rsidR="004623B2" w:rsidRPr="006644A1">
        <w:rPr>
          <w:lang w:val="en-GB"/>
        </w:rPr>
        <w:t>s</w:t>
      </w:r>
      <w:r w:rsidR="0066747C" w:rsidRPr="006644A1">
        <w:rPr>
          <w:lang w:val="en-GB"/>
        </w:rPr>
        <w:t xml:space="preserve"> on the battery discharge</w:t>
      </w:r>
      <w:r w:rsidR="004623B2" w:rsidRPr="006644A1">
        <w:rPr>
          <w:lang w:val="en-GB"/>
        </w:rPr>
        <w:t xml:space="preserve"> efficiency</w:t>
      </w:r>
      <w:r w:rsidR="0066747C" w:rsidRPr="006644A1">
        <w:rPr>
          <w:lang w:val="en-GB"/>
        </w:rPr>
        <w:t xml:space="preserve">. At the maximum </w:t>
      </w:r>
      <w:proofErr w:type="spellStart"/>
      <w:r w:rsidR="0066747C" w:rsidRPr="006644A1">
        <w:rPr>
          <w:lang w:val="en-GB"/>
        </w:rPr>
        <w:t>RTE</w:t>
      </w:r>
      <w:r w:rsidR="004F2BD7" w:rsidRPr="006644A1">
        <w:rPr>
          <w:vertAlign w:val="subscript"/>
          <w:lang w:val="en-GB"/>
        </w:rPr>
        <w:t>net</w:t>
      </w:r>
      <w:proofErr w:type="spellEnd"/>
      <w:r w:rsidR="0066747C" w:rsidRPr="006644A1">
        <w:rPr>
          <w:lang w:val="en-GB"/>
        </w:rPr>
        <w:t xml:space="preserve"> and</w:t>
      </w:r>
      <w:r w:rsidR="00063371" w:rsidRPr="006644A1">
        <w:rPr>
          <w:lang w:val="en-GB"/>
        </w:rPr>
        <w:t xml:space="preserve"> average</w:t>
      </w:r>
      <w:r w:rsidR="0066747C" w:rsidRPr="006644A1">
        <w:rPr>
          <w:lang w:val="en-GB"/>
        </w:rPr>
        <w:t xml:space="preserve"> </w:t>
      </w:r>
      <w:proofErr w:type="spellStart"/>
      <w:r w:rsidR="00F8571B" w:rsidRPr="006644A1">
        <w:rPr>
          <w:lang w:val="en-GB"/>
        </w:rPr>
        <w:t>NPD</w:t>
      </w:r>
      <w:r w:rsidR="00F8571B" w:rsidRPr="006644A1">
        <w:rPr>
          <w:vertAlign w:val="subscript"/>
          <w:lang w:val="en-GB"/>
        </w:rPr>
        <w:t>d</w:t>
      </w:r>
      <w:proofErr w:type="spellEnd"/>
      <w:r w:rsidR="0066747C" w:rsidRPr="006644A1">
        <w:rPr>
          <w:lang w:val="en-GB"/>
        </w:rPr>
        <w:t xml:space="preserve">, the </w:t>
      </w:r>
      <w:r w:rsidR="00063371" w:rsidRPr="006644A1">
        <w:rPr>
          <w:lang w:val="en-GB"/>
        </w:rPr>
        <w:t>produced</w:t>
      </w:r>
      <w:r w:rsidR="0066747C" w:rsidRPr="006644A1">
        <w:rPr>
          <w:lang w:val="en-GB"/>
        </w:rPr>
        <w:t xml:space="preserve"> energy densit</w:t>
      </w:r>
      <w:r w:rsidR="004623B2" w:rsidRPr="006644A1">
        <w:rPr>
          <w:lang w:val="en-GB"/>
        </w:rPr>
        <w:t>ies</w:t>
      </w:r>
      <w:r w:rsidR="0066747C" w:rsidRPr="006644A1">
        <w:rPr>
          <w:lang w:val="en-GB"/>
        </w:rPr>
        <w:t xml:space="preserve"> at the two ends of the Pareto curve </w:t>
      </w:r>
      <w:r w:rsidR="004623B2" w:rsidRPr="006644A1">
        <w:rPr>
          <w:lang w:val="en-GB"/>
        </w:rPr>
        <w:t>are</w:t>
      </w:r>
      <w:r w:rsidR="0066747C" w:rsidRPr="006644A1">
        <w:rPr>
          <w:lang w:val="en-GB"/>
        </w:rPr>
        <w:t xml:space="preserve"> 19.7 kWh</w:t>
      </w:r>
      <w:r w:rsidR="004F2BD7" w:rsidRPr="006644A1">
        <w:rPr>
          <w:lang w:val="en-GB"/>
        </w:rPr>
        <w:t xml:space="preserve"> </w:t>
      </w:r>
      <w:r w:rsidR="0066747C" w:rsidRPr="006644A1">
        <w:rPr>
          <w:lang w:val="en-GB"/>
        </w:rPr>
        <w:t>m</w:t>
      </w:r>
      <w:r w:rsidR="004F2BD7" w:rsidRPr="006644A1">
        <w:rPr>
          <w:vertAlign w:val="superscript"/>
          <w:lang w:val="en-GB"/>
        </w:rPr>
        <w:t>-</w:t>
      </w:r>
      <w:r w:rsidR="0066747C" w:rsidRPr="006644A1">
        <w:rPr>
          <w:vertAlign w:val="superscript"/>
          <w:lang w:val="en-GB"/>
        </w:rPr>
        <w:t>3</w:t>
      </w:r>
      <w:r w:rsidR="0066747C" w:rsidRPr="006644A1">
        <w:rPr>
          <w:lang w:val="en-GB"/>
        </w:rPr>
        <w:t xml:space="preserve"> and 12.9 kWh</w:t>
      </w:r>
      <w:r w:rsidR="004F2BD7" w:rsidRPr="006644A1">
        <w:rPr>
          <w:lang w:val="en-GB"/>
        </w:rPr>
        <w:t xml:space="preserve"> </w:t>
      </w:r>
      <w:r w:rsidR="0066747C" w:rsidRPr="006644A1">
        <w:rPr>
          <w:lang w:val="en-GB"/>
        </w:rPr>
        <w:t>m</w:t>
      </w:r>
      <w:r w:rsidR="004F2BD7" w:rsidRPr="006644A1">
        <w:rPr>
          <w:vertAlign w:val="superscript"/>
          <w:lang w:val="en-GB"/>
        </w:rPr>
        <w:t>-3</w:t>
      </w:r>
      <w:r w:rsidR="0066747C" w:rsidRPr="006644A1">
        <w:rPr>
          <w:lang w:val="en-GB"/>
        </w:rPr>
        <w:t>, respectively. Indeed, the energy efficiency</w:t>
      </w:r>
      <w:r w:rsidR="004623B2" w:rsidRPr="006644A1">
        <w:rPr>
          <w:lang w:val="en-GB"/>
        </w:rPr>
        <w:t xml:space="preserve"> during discharge</w:t>
      </w:r>
      <w:r w:rsidR="0066747C" w:rsidRPr="006644A1">
        <w:rPr>
          <w:lang w:val="en-GB"/>
        </w:rPr>
        <w:t xml:space="preserve"> is higher</w:t>
      </w:r>
      <w:r w:rsidR="004623B2" w:rsidRPr="006644A1">
        <w:rPr>
          <w:lang w:val="en-GB"/>
        </w:rPr>
        <w:t>,</w:t>
      </w:r>
      <w:r w:rsidR="0066747C" w:rsidRPr="006644A1">
        <w:rPr>
          <w:lang w:val="en-GB"/>
        </w:rPr>
        <w:t xml:space="preserve"> </w:t>
      </w:r>
      <w:r w:rsidR="00595622" w:rsidRPr="006644A1">
        <w:rPr>
          <w:lang w:val="en-GB"/>
        </w:rPr>
        <w:t xml:space="preserve">with the value of 97.8%, </w:t>
      </w:r>
      <w:r w:rsidR="0066747C" w:rsidRPr="006644A1">
        <w:rPr>
          <w:lang w:val="en-GB"/>
        </w:rPr>
        <w:t>at maximum RTE</w:t>
      </w:r>
      <w:r w:rsidR="00595622" w:rsidRPr="006644A1">
        <w:rPr>
          <w:lang w:val="en-GB"/>
        </w:rPr>
        <w:t xml:space="preserve">, </w:t>
      </w:r>
      <w:r w:rsidR="0066747C" w:rsidRPr="006644A1">
        <w:rPr>
          <w:lang w:val="en-GB"/>
        </w:rPr>
        <w:t xml:space="preserve">whereas at maximum </w:t>
      </w:r>
      <w:proofErr w:type="spellStart"/>
      <w:r w:rsidR="0066747C" w:rsidRPr="006644A1">
        <w:rPr>
          <w:lang w:val="en-GB"/>
        </w:rPr>
        <w:t>NPD</w:t>
      </w:r>
      <w:r w:rsidR="00585625" w:rsidRPr="006644A1">
        <w:rPr>
          <w:vertAlign w:val="subscript"/>
          <w:lang w:val="en-GB"/>
        </w:rPr>
        <w:t>d</w:t>
      </w:r>
      <w:proofErr w:type="spellEnd"/>
      <w:r w:rsidR="0066747C" w:rsidRPr="006644A1">
        <w:rPr>
          <w:lang w:val="en-GB"/>
        </w:rPr>
        <w:t>, the efficiency is reduced to 64</w:t>
      </w:r>
      <w:r w:rsidR="004F2BD7" w:rsidRPr="006644A1">
        <w:rPr>
          <w:lang w:val="en-GB"/>
        </w:rPr>
        <w:t>%</w:t>
      </w:r>
      <w:r w:rsidR="0066747C" w:rsidRPr="006644A1">
        <w:rPr>
          <w:lang w:val="en-GB"/>
        </w:rPr>
        <w:t xml:space="preserve">. The high energy efficiency of the discharge at maximum </w:t>
      </w:r>
      <w:proofErr w:type="spellStart"/>
      <w:r w:rsidR="0066747C" w:rsidRPr="006644A1">
        <w:rPr>
          <w:lang w:val="en-GB"/>
        </w:rPr>
        <w:t>RTE</w:t>
      </w:r>
      <w:r w:rsidR="0066747C" w:rsidRPr="006644A1">
        <w:rPr>
          <w:vertAlign w:val="subscript"/>
          <w:lang w:val="en-GB"/>
        </w:rPr>
        <w:t>net</w:t>
      </w:r>
      <w:proofErr w:type="spellEnd"/>
      <w:r w:rsidR="0066747C" w:rsidRPr="006644A1">
        <w:rPr>
          <w:lang w:val="en-GB"/>
        </w:rPr>
        <w:t xml:space="preserve"> is due to its proximity to open circuit conditions, which increases the electrical efficiency of the discharge phase. </w:t>
      </w:r>
      <w:r w:rsidR="004F2BD7" w:rsidRPr="006644A1">
        <w:rPr>
          <w:lang w:val="en-GB"/>
        </w:rPr>
        <w:fldChar w:fldCharType="begin"/>
      </w:r>
      <w:r w:rsidR="004F2BD7" w:rsidRPr="006644A1">
        <w:rPr>
          <w:lang w:val="en-GB"/>
        </w:rPr>
        <w:instrText xml:space="preserve"> REF _Ref104742414 \h </w:instrText>
      </w:r>
      <w:r w:rsidR="00E26314" w:rsidRPr="006644A1">
        <w:rPr>
          <w:lang w:val="en-GB"/>
        </w:rPr>
        <w:instrText xml:space="preserve"> \* MERGEFORMAT </w:instrText>
      </w:r>
      <w:r w:rsidR="004F2BD7" w:rsidRPr="006644A1">
        <w:rPr>
          <w:lang w:val="en-GB"/>
        </w:rPr>
      </w:r>
      <w:r w:rsidR="004F2BD7" w:rsidRPr="006644A1">
        <w:rPr>
          <w:lang w:val="en-GB"/>
        </w:rPr>
        <w:fldChar w:fldCharType="separate"/>
      </w:r>
      <w:r w:rsidR="00E64D71" w:rsidRPr="006644A1">
        <w:t xml:space="preserve">Figure </w:t>
      </w:r>
      <w:r w:rsidR="00E64D71" w:rsidRPr="006644A1">
        <w:rPr>
          <w:noProof/>
        </w:rPr>
        <w:t>2</w:t>
      </w:r>
      <w:r w:rsidR="004F2BD7" w:rsidRPr="006644A1">
        <w:rPr>
          <w:lang w:val="en-GB"/>
        </w:rPr>
        <w:fldChar w:fldCharType="end"/>
      </w:r>
      <w:r w:rsidR="0066747C" w:rsidRPr="006644A1">
        <w:rPr>
          <w:lang w:val="en-GB"/>
        </w:rPr>
        <w:t>b depicts the Pareto front for Scenario B, which has eight decision variables. Scenario B, in particular, adds the target concentrations in the two battery phases, as well as two design variables,</w:t>
      </w:r>
      <w:r w:rsidR="005444E4" w:rsidRPr="006644A1">
        <w:rPr>
          <w:lang w:val="en-GB"/>
        </w:rPr>
        <w:t xml:space="preserve"> </w:t>
      </w:r>
      <w:proofErr w:type="gramStart"/>
      <w:r w:rsidR="005444E4" w:rsidRPr="006644A1">
        <w:rPr>
          <w:lang w:val="en-GB"/>
        </w:rPr>
        <w:t>i.e.</w:t>
      </w:r>
      <w:proofErr w:type="gramEnd"/>
      <w:r w:rsidR="0066747C" w:rsidRPr="006644A1">
        <w:rPr>
          <w:lang w:val="en-GB"/>
        </w:rPr>
        <w:t xml:space="preserve"> the length and width of the spacer, to the four parameters of </w:t>
      </w:r>
      <w:r w:rsidR="00235AC0" w:rsidRPr="006644A1">
        <w:rPr>
          <w:lang w:val="en-GB"/>
        </w:rPr>
        <w:t>S</w:t>
      </w:r>
      <w:r w:rsidR="0066747C" w:rsidRPr="006644A1">
        <w:rPr>
          <w:lang w:val="en-GB"/>
        </w:rPr>
        <w:t>cenario A. As the Pareto front shifts upward</w:t>
      </w:r>
      <w:r w:rsidR="00235AC0" w:rsidRPr="006644A1">
        <w:rPr>
          <w:lang w:val="en-GB"/>
        </w:rPr>
        <w:t>s</w:t>
      </w:r>
      <w:r w:rsidR="0066747C" w:rsidRPr="006644A1">
        <w:rPr>
          <w:lang w:val="en-GB"/>
        </w:rPr>
        <w:t>, the results show a significant increase in battery performance</w:t>
      </w:r>
      <w:r w:rsidR="00235AC0" w:rsidRPr="006644A1">
        <w:rPr>
          <w:lang w:val="en-GB"/>
        </w:rPr>
        <w:t>.</w:t>
      </w:r>
      <w:r w:rsidR="0066747C" w:rsidRPr="006644A1">
        <w:rPr>
          <w:lang w:val="en-GB"/>
        </w:rPr>
        <w:t xml:space="preserve"> </w:t>
      </w:r>
      <w:r w:rsidR="00235AC0" w:rsidRPr="006644A1">
        <w:rPr>
          <w:lang w:val="en-GB"/>
        </w:rPr>
        <w:t xml:space="preserve">Specifically, </w:t>
      </w:r>
      <w:r w:rsidR="0066747C" w:rsidRPr="006644A1">
        <w:rPr>
          <w:lang w:val="en-GB"/>
        </w:rPr>
        <w:t xml:space="preserve">the maximum </w:t>
      </w:r>
      <w:proofErr w:type="spellStart"/>
      <w:r w:rsidR="0066747C" w:rsidRPr="006644A1">
        <w:rPr>
          <w:lang w:val="en-GB"/>
        </w:rPr>
        <w:t>RTE</w:t>
      </w:r>
      <w:r w:rsidR="004F2BD7" w:rsidRPr="006644A1">
        <w:rPr>
          <w:vertAlign w:val="subscript"/>
          <w:lang w:val="en-GB"/>
        </w:rPr>
        <w:t>net</w:t>
      </w:r>
      <w:proofErr w:type="spellEnd"/>
      <w:r w:rsidR="0066747C" w:rsidRPr="006644A1">
        <w:rPr>
          <w:lang w:val="en-GB"/>
        </w:rPr>
        <w:t xml:space="preserve"> is 64% with an </w:t>
      </w:r>
      <w:proofErr w:type="spellStart"/>
      <w:r w:rsidR="0066747C" w:rsidRPr="006644A1">
        <w:rPr>
          <w:lang w:val="en-GB"/>
        </w:rPr>
        <w:t>NPD</w:t>
      </w:r>
      <w:r w:rsidR="00585625" w:rsidRPr="006644A1">
        <w:rPr>
          <w:vertAlign w:val="subscript"/>
          <w:lang w:val="en-GB"/>
        </w:rPr>
        <w:t>d</w:t>
      </w:r>
      <w:proofErr w:type="spellEnd"/>
      <w:r w:rsidR="0066747C" w:rsidRPr="006644A1">
        <w:rPr>
          <w:lang w:val="en-GB"/>
        </w:rPr>
        <w:t xml:space="preserve"> of slightly less than 3.9 W</w:t>
      </w:r>
      <w:r w:rsidR="004F2BD7" w:rsidRPr="006644A1">
        <w:rPr>
          <w:lang w:val="en-GB"/>
        </w:rPr>
        <w:t xml:space="preserve"> </w:t>
      </w:r>
      <w:r w:rsidR="0066747C" w:rsidRPr="006644A1">
        <w:rPr>
          <w:lang w:val="en-GB"/>
        </w:rPr>
        <w:t>m</w:t>
      </w:r>
      <w:r w:rsidR="004F2BD7" w:rsidRPr="006644A1">
        <w:rPr>
          <w:vertAlign w:val="superscript"/>
          <w:lang w:val="en-GB"/>
        </w:rPr>
        <w:t>-</w:t>
      </w:r>
      <w:r w:rsidR="0066747C" w:rsidRPr="006644A1">
        <w:rPr>
          <w:vertAlign w:val="superscript"/>
          <w:lang w:val="en-GB"/>
        </w:rPr>
        <w:t>2</w:t>
      </w:r>
      <w:r w:rsidR="0066747C" w:rsidRPr="006644A1">
        <w:rPr>
          <w:lang w:val="en-GB"/>
        </w:rPr>
        <w:t xml:space="preserve">, while the maximum </w:t>
      </w:r>
      <w:proofErr w:type="spellStart"/>
      <w:r w:rsidR="0066747C" w:rsidRPr="006644A1">
        <w:rPr>
          <w:lang w:val="en-GB"/>
        </w:rPr>
        <w:t>NPD</w:t>
      </w:r>
      <w:r w:rsidR="00585625" w:rsidRPr="006644A1">
        <w:rPr>
          <w:vertAlign w:val="subscript"/>
          <w:lang w:val="en-GB"/>
        </w:rPr>
        <w:t>d</w:t>
      </w:r>
      <w:proofErr w:type="spellEnd"/>
      <w:r w:rsidR="0066747C" w:rsidRPr="006644A1">
        <w:rPr>
          <w:lang w:val="en-GB"/>
        </w:rPr>
        <w:t xml:space="preserve"> is 19.5 W</w:t>
      </w:r>
      <w:r w:rsidR="004F2BD7" w:rsidRPr="006644A1">
        <w:rPr>
          <w:lang w:val="en-GB"/>
        </w:rPr>
        <w:t xml:space="preserve"> </w:t>
      </w:r>
      <w:r w:rsidR="0066747C" w:rsidRPr="006644A1">
        <w:rPr>
          <w:lang w:val="en-GB"/>
        </w:rPr>
        <w:t>m</w:t>
      </w:r>
      <w:r w:rsidR="004F2BD7" w:rsidRPr="006644A1">
        <w:rPr>
          <w:vertAlign w:val="superscript"/>
          <w:lang w:val="en-GB"/>
        </w:rPr>
        <w:t>-</w:t>
      </w:r>
      <w:r w:rsidR="0066747C" w:rsidRPr="006644A1">
        <w:rPr>
          <w:vertAlign w:val="superscript"/>
          <w:lang w:val="en-GB"/>
        </w:rPr>
        <w:t>2</w:t>
      </w:r>
      <w:r w:rsidR="0066747C" w:rsidRPr="006644A1">
        <w:rPr>
          <w:lang w:val="en-GB"/>
        </w:rPr>
        <w:t xml:space="preserve"> with an </w:t>
      </w:r>
      <w:proofErr w:type="spellStart"/>
      <w:r w:rsidR="0066747C" w:rsidRPr="006644A1">
        <w:rPr>
          <w:lang w:val="en-GB"/>
        </w:rPr>
        <w:t>RTE</w:t>
      </w:r>
      <w:r w:rsidR="0066747C" w:rsidRPr="006644A1">
        <w:rPr>
          <w:vertAlign w:val="subscript"/>
          <w:lang w:val="en-GB"/>
        </w:rPr>
        <w:t>net</w:t>
      </w:r>
      <w:proofErr w:type="spellEnd"/>
      <w:r w:rsidR="0066747C" w:rsidRPr="006644A1">
        <w:rPr>
          <w:lang w:val="en-GB"/>
        </w:rPr>
        <w:t xml:space="preserve"> of 31.6</w:t>
      </w:r>
      <w:r w:rsidR="004F2BD7" w:rsidRPr="006644A1">
        <w:rPr>
          <w:lang w:val="en-GB"/>
        </w:rPr>
        <w:t>%</w:t>
      </w:r>
      <w:r w:rsidR="0066747C" w:rsidRPr="006644A1">
        <w:rPr>
          <w:lang w:val="en-GB"/>
        </w:rPr>
        <w:t xml:space="preserve">. As the scenario target concentrations are decision variables, a variation </w:t>
      </w:r>
      <w:r w:rsidR="00235AC0" w:rsidRPr="006644A1">
        <w:rPr>
          <w:lang w:val="en-GB"/>
        </w:rPr>
        <w:t>in</w:t>
      </w:r>
      <w:r w:rsidR="0066747C" w:rsidRPr="006644A1">
        <w:rPr>
          <w:lang w:val="en-GB"/>
        </w:rPr>
        <w:t xml:space="preserve"> the theoretical energy density is observed along the Pareto front. </w:t>
      </w:r>
      <w:r w:rsidR="00235AC0" w:rsidRPr="006644A1">
        <w:rPr>
          <w:lang w:val="en-GB"/>
        </w:rPr>
        <w:t>The t</w:t>
      </w:r>
      <w:r w:rsidR="0066747C" w:rsidRPr="006644A1">
        <w:rPr>
          <w:lang w:val="en-GB"/>
        </w:rPr>
        <w:t xml:space="preserve">heoretical energy densities at maximum </w:t>
      </w:r>
      <w:proofErr w:type="spellStart"/>
      <w:r w:rsidR="0066747C" w:rsidRPr="006644A1">
        <w:rPr>
          <w:lang w:val="en-GB"/>
        </w:rPr>
        <w:t>RTE</w:t>
      </w:r>
      <w:r w:rsidR="004F2BD7" w:rsidRPr="006644A1">
        <w:rPr>
          <w:vertAlign w:val="subscript"/>
          <w:lang w:val="en-GB"/>
        </w:rPr>
        <w:t>net</w:t>
      </w:r>
      <w:proofErr w:type="spellEnd"/>
      <w:r w:rsidR="0066747C" w:rsidRPr="006644A1">
        <w:rPr>
          <w:lang w:val="en-GB"/>
        </w:rPr>
        <w:t xml:space="preserve"> and maximum </w:t>
      </w:r>
      <w:proofErr w:type="spellStart"/>
      <w:r w:rsidR="0066747C" w:rsidRPr="006644A1">
        <w:rPr>
          <w:lang w:val="en-GB"/>
        </w:rPr>
        <w:t>NPD</w:t>
      </w:r>
      <w:r w:rsidR="00585625" w:rsidRPr="006644A1">
        <w:rPr>
          <w:vertAlign w:val="subscript"/>
          <w:lang w:val="en-GB"/>
        </w:rPr>
        <w:t>d</w:t>
      </w:r>
      <w:proofErr w:type="spellEnd"/>
      <w:r w:rsidR="0066747C" w:rsidRPr="006644A1">
        <w:rPr>
          <w:lang w:val="en-GB"/>
        </w:rPr>
        <w:t xml:space="preserve"> are 7.25 kWh</w:t>
      </w:r>
      <w:r w:rsidR="004F2BD7" w:rsidRPr="006644A1">
        <w:rPr>
          <w:lang w:val="en-GB"/>
        </w:rPr>
        <w:t xml:space="preserve"> </w:t>
      </w:r>
      <w:r w:rsidR="0066747C" w:rsidRPr="006644A1">
        <w:rPr>
          <w:lang w:val="en-GB"/>
        </w:rPr>
        <w:t>m</w:t>
      </w:r>
      <w:r w:rsidR="004F2BD7" w:rsidRPr="006644A1">
        <w:rPr>
          <w:vertAlign w:val="superscript"/>
          <w:lang w:val="en-GB"/>
        </w:rPr>
        <w:t>-</w:t>
      </w:r>
      <w:r w:rsidR="0066747C" w:rsidRPr="006644A1">
        <w:rPr>
          <w:vertAlign w:val="superscript"/>
          <w:lang w:val="en-GB"/>
        </w:rPr>
        <w:t>3</w:t>
      </w:r>
      <w:r w:rsidR="0066747C" w:rsidRPr="006644A1">
        <w:rPr>
          <w:lang w:val="en-GB"/>
        </w:rPr>
        <w:t xml:space="preserve"> and 17.1 kWh</w:t>
      </w:r>
      <w:r w:rsidR="004F2BD7" w:rsidRPr="006644A1">
        <w:rPr>
          <w:lang w:val="en-GB"/>
        </w:rPr>
        <w:t xml:space="preserve"> </w:t>
      </w:r>
      <w:r w:rsidR="0066747C" w:rsidRPr="006644A1">
        <w:rPr>
          <w:lang w:val="en-GB"/>
        </w:rPr>
        <w:t>m</w:t>
      </w:r>
      <w:r w:rsidR="004F2BD7" w:rsidRPr="006644A1">
        <w:rPr>
          <w:vertAlign w:val="superscript"/>
          <w:lang w:val="en-GB"/>
        </w:rPr>
        <w:t>-3</w:t>
      </w:r>
      <w:r w:rsidR="0066747C" w:rsidRPr="006644A1">
        <w:rPr>
          <w:lang w:val="en-GB"/>
        </w:rPr>
        <w:t xml:space="preserve">, respectively. As a result, higher energy density can be achieved at the expense of lower electrical efficiency. Indeed, </w:t>
      </w:r>
      <w:proofErr w:type="gramStart"/>
      <w:r w:rsidR="0066747C" w:rsidRPr="006644A1">
        <w:rPr>
          <w:lang w:val="en-GB"/>
        </w:rPr>
        <w:t>similar to</w:t>
      </w:r>
      <w:proofErr w:type="gramEnd"/>
      <w:r w:rsidR="0066747C" w:rsidRPr="006644A1">
        <w:rPr>
          <w:lang w:val="en-GB"/>
        </w:rPr>
        <w:t xml:space="preserve"> the previous </w:t>
      </w:r>
      <w:r w:rsidR="00235AC0" w:rsidRPr="006644A1">
        <w:rPr>
          <w:lang w:val="en-GB"/>
        </w:rPr>
        <w:t>S</w:t>
      </w:r>
      <w:r w:rsidR="0066747C" w:rsidRPr="006644A1">
        <w:rPr>
          <w:lang w:val="en-GB"/>
        </w:rPr>
        <w:t xml:space="preserve">cenario A, at maximum </w:t>
      </w:r>
      <w:proofErr w:type="spellStart"/>
      <w:r w:rsidR="0066747C" w:rsidRPr="006644A1">
        <w:rPr>
          <w:lang w:val="en-GB"/>
        </w:rPr>
        <w:t>NPD</w:t>
      </w:r>
      <w:r w:rsidR="00585625" w:rsidRPr="006644A1">
        <w:rPr>
          <w:vertAlign w:val="subscript"/>
          <w:lang w:val="en-GB"/>
        </w:rPr>
        <w:t>d</w:t>
      </w:r>
      <w:proofErr w:type="spellEnd"/>
      <w:r w:rsidR="0066747C" w:rsidRPr="006644A1">
        <w:rPr>
          <w:lang w:val="en-GB"/>
        </w:rPr>
        <w:t xml:space="preserve">, the battery operates at higher charge and discharge current densities than when operating at maximum </w:t>
      </w:r>
      <w:proofErr w:type="spellStart"/>
      <w:r w:rsidR="0066747C" w:rsidRPr="006644A1">
        <w:rPr>
          <w:lang w:val="en-GB"/>
        </w:rPr>
        <w:t>RTE</w:t>
      </w:r>
      <w:r w:rsidR="004E09D1" w:rsidRPr="006644A1">
        <w:rPr>
          <w:vertAlign w:val="subscript"/>
          <w:lang w:val="en-GB"/>
        </w:rPr>
        <w:t>net</w:t>
      </w:r>
      <w:proofErr w:type="spellEnd"/>
      <w:r w:rsidR="0066747C" w:rsidRPr="006644A1">
        <w:rPr>
          <w:lang w:val="en-GB"/>
        </w:rPr>
        <w:t xml:space="preserve">, </w:t>
      </w:r>
      <w:r w:rsidR="00235AC0" w:rsidRPr="006644A1">
        <w:rPr>
          <w:lang w:val="en-GB"/>
        </w:rPr>
        <w:t xml:space="preserve">thus </w:t>
      </w:r>
      <w:r w:rsidR="0066747C" w:rsidRPr="006644A1">
        <w:rPr>
          <w:lang w:val="en-GB"/>
        </w:rPr>
        <w:t xml:space="preserve">reducing energy efficiency. </w:t>
      </w:r>
      <w:r w:rsidR="00235AC0" w:rsidRPr="006644A1">
        <w:rPr>
          <w:lang w:val="en-GB"/>
        </w:rPr>
        <w:t>Finally, w</w:t>
      </w:r>
      <w:r w:rsidR="0066747C" w:rsidRPr="006644A1">
        <w:rPr>
          <w:lang w:val="en-GB"/>
        </w:rPr>
        <w:t xml:space="preserve">hen maximising the </w:t>
      </w:r>
      <w:proofErr w:type="spellStart"/>
      <w:r w:rsidR="0066747C" w:rsidRPr="006644A1">
        <w:rPr>
          <w:lang w:val="en-GB"/>
        </w:rPr>
        <w:t>RTE</w:t>
      </w:r>
      <w:r w:rsidR="004E09D1" w:rsidRPr="006644A1">
        <w:rPr>
          <w:vertAlign w:val="subscript"/>
          <w:lang w:val="en-GB"/>
        </w:rPr>
        <w:t>net</w:t>
      </w:r>
      <w:proofErr w:type="spellEnd"/>
      <w:r w:rsidR="0066747C" w:rsidRPr="006644A1">
        <w:rPr>
          <w:lang w:val="en-GB"/>
        </w:rPr>
        <w:t xml:space="preserve"> and </w:t>
      </w:r>
      <w:proofErr w:type="spellStart"/>
      <w:r w:rsidR="0066747C" w:rsidRPr="006644A1">
        <w:rPr>
          <w:lang w:val="en-GB"/>
        </w:rPr>
        <w:t>NPD</w:t>
      </w:r>
      <w:r w:rsidR="00907E9F" w:rsidRPr="006644A1">
        <w:rPr>
          <w:vertAlign w:val="subscript"/>
          <w:lang w:val="en-GB"/>
        </w:rPr>
        <w:t>d</w:t>
      </w:r>
      <w:proofErr w:type="spellEnd"/>
      <w:r w:rsidR="0066747C" w:rsidRPr="006644A1">
        <w:rPr>
          <w:lang w:val="en-GB"/>
        </w:rPr>
        <w:t xml:space="preserve">, the energy efficiencies of the discharge in </w:t>
      </w:r>
      <w:r w:rsidR="00235AC0" w:rsidRPr="006644A1">
        <w:rPr>
          <w:lang w:val="en-GB"/>
        </w:rPr>
        <w:t>S</w:t>
      </w:r>
      <w:r w:rsidR="0066747C" w:rsidRPr="006644A1">
        <w:rPr>
          <w:lang w:val="en-GB"/>
        </w:rPr>
        <w:t>cenario B are 87</w:t>
      </w:r>
      <w:r w:rsidR="004E09D1" w:rsidRPr="006644A1">
        <w:rPr>
          <w:lang w:val="en-GB"/>
        </w:rPr>
        <w:t>%</w:t>
      </w:r>
      <w:r w:rsidR="0066747C" w:rsidRPr="006644A1">
        <w:rPr>
          <w:lang w:val="en-GB"/>
        </w:rPr>
        <w:t xml:space="preserve"> and </w:t>
      </w:r>
      <w:r w:rsidR="004E09D1" w:rsidRPr="006644A1">
        <w:rPr>
          <w:lang w:val="en-GB"/>
        </w:rPr>
        <w:t>~</w:t>
      </w:r>
      <w:r w:rsidR="0066747C" w:rsidRPr="006644A1">
        <w:rPr>
          <w:lang w:val="en-GB"/>
        </w:rPr>
        <w:t>63</w:t>
      </w:r>
      <w:r w:rsidR="004E09D1" w:rsidRPr="006644A1">
        <w:rPr>
          <w:lang w:val="en-GB"/>
        </w:rPr>
        <w:t>%</w:t>
      </w:r>
      <w:r w:rsidR="0066747C" w:rsidRPr="006644A1">
        <w:rPr>
          <w:lang w:val="en-GB"/>
        </w:rPr>
        <w:t>, respectively.</w:t>
      </w:r>
    </w:p>
    <w:p w14:paraId="68D26B83" w14:textId="10F87916" w:rsidR="00600535" w:rsidRPr="006644A1" w:rsidRDefault="00600535" w:rsidP="00600535">
      <w:pPr>
        <w:pStyle w:val="CETHeading1"/>
        <w:rPr>
          <w:lang w:val="en-GB"/>
        </w:rPr>
      </w:pPr>
      <w:r w:rsidRPr="006644A1">
        <w:rPr>
          <w:lang w:val="en-GB"/>
        </w:rPr>
        <w:t>Conclusions</w:t>
      </w:r>
    </w:p>
    <w:p w14:paraId="7AE23377" w14:textId="2D68EC90" w:rsidR="00430503" w:rsidRPr="006644A1" w:rsidRDefault="00ED3913" w:rsidP="00ED3913">
      <w:pPr>
        <w:pStyle w:val="CETBodytext"/>
        <w:rPr>
          <w:lang w:val="en-GB"/>
        </w:rPr>
      </w:pPr>
      <w:r w:rsidRPr="006644A1">
        <w:rPr>
          <w:lang w:val="en-GB"/>
        </w:rPr>
        <w:t xml:space="preserve">A bi-objective optimization study for an Acid/Base Flow battery was performed in this work using a comprehensive multi-scale mathematical model. This study demonstrates how changing the decision variables improves performance in terms of </w:t>
      </w:r>
      <w:proofErr w:type="spellStart"/>
      <w:r w:rsidRPr="006644A1">
        <w:rPr>
          <w:lang w:val="en-GB"/>
        </w:rPr>
        <w:t>RTE</w:t>
      </w:r>
      <w:r w:rsidR="0063477D" w:rsidRPr="006644A1">
        <w:rPr>
          <w:vertAlign w:val="subscript"/>
          <w:lang w:val="en-GB"/>
        </w:rPr>
        <w:t>net</w:t>
      </w:r>
      <w:proofErr w:type="spellEnd"/>
      <w:r w:rsidRPr="006644A1">
        <w:rPr>
          <w:lang w:val="en-GB"/>
        </w:rPr>
        <w:t xml:space="preserve"> and </w:t>
      </w:r>
      <w:r w:rsidR="00BD386A" w:rsidRPr="006644A1">
        <w:rPr>
          <w:lang w:val="en-GB"/>
        </w:rPr>
        <w:t xml:space="preserve">average </w:t>
      </w:r>
      <w:proofErr w:type="spellStart"/>
      <w:r w:rsidRPr="006644A1">
        <w:rPr>
          <w:lang w:val="en-GB"/>
        </w:rPr>
        <w:t>NPD</w:t>
      </w:r>
      <w:r w:rsidR="00BD386A" w:rsidRPr="006644A1">
        <w:rPr>
          <w:vertAlign w:val="subscript"/>
          <w:lang w:val="en-GB"/>
        </w:rPr>
        <w:t>d</w:t>
      </w:r>
      <w:proofErr w:type="spellEnd"/>
      <w:r w:rsidRPr="006644A1">
        <w:rPr>
          <w:lang w:val="en-GB"/>
        </w:rPr>
        <w:t xml:space="preserve">. </w:t>
      </w:r>
      <w:r w:rsidR="00C63928" w:rsidRPr="006644A1">
        <w:rPr>
          <w:lang w:val="en-GB"/>
        </w:rPr>
        <w:t>Since</w:t>
      </w:r>
      <w:r w:rsidRPr="006644A1">
        <w:rPr>
          <w:lang w:val="en-GB"/>
        </w:rPr>
        <w:t xml:space="preserve"> the objective functions used </w:t>
      </w:r>
      <w:r w:rsidR="00C63928" w:rsidRPr="006644A1">
        <w:rPr>
          <w:lang w:val="en-GB"/>
        </w:rPr>
        <w:t>have</w:t>
      </w:r>
      <w:r w:rsidRPr="006644A1">
        <w:rPr>
          <w:lang w:val="en-GB"/>
        </w:rPr>
        <w:t xml:space="preserve"> contradictory</w:t>
      </w:r>
      <w:r w:rsidR="00C63928" w:rsidRPr="006644A1">
        <w:rPr>
          <w:lang w:val="en-GB"/>
        </w:rPr>
        <w:t xml:space="preserve"> effects</w:t>
      </w:r>
      <w:r w:rsidRPr="006644A1">
        <w:rPr>
          <w:lang w:val="en-GB"/>
        </w:rPr>
        <w:t>, it is not possible to obtain a single optimal solution, but rather a set of optimal conditions known as the Pareto front. Overall, a maximum RTE of 64</w:t>
      </w:r>
      <w:r w:rsidR="0063477D" w:rsidRPr="006644A1">
        <w:rPr>
          <w:lang w:val="en-GB"/>
        </w:rPr>
        <w:t>%</w:t>
      </w:r>
      <w:r w:rsidRPr="006644A1">
        <w:rPr>
          <w:lang w:val="en-GB"/>
        </w:rPr>
        <w:t xml:space="preserve"> was obtained in a scenario with </w:t>
      </w:r>
      <w:r w:rsidR="00C63928" w:rsidRPr="006644A1">
        <w:rPr>
          <w:lang w:val="en-GB"/>
        </w:rPr>
        <w:t>eight</w:t>
      </w:r>
      <w:r w:rsidRPr="006644A1">
        <w:rPr>
          <w:lang w:val="en-GB"/>
        </w:rPr>
        <w:t xml:space="preserve"> decision parameters and an</w:t>
      </w:r>
      <w:r w:rsidR="00BD386A" w:rsidRPr="006644A1">
        <w:rPr>
          <w:lang w:val="en-GB"/>
        </w:rPr>
        <w:t xml:space="preserve"> average</w:t>
      </w:r>
      <w:r w:rsidRPr="006644A1">
        <w:rPr>
          <w:lang w:val="en-GB"/>
        </w:rPr>
        <w:t xml:space="preserve"> </w:t>
      </w:r>
      <w:proofErr w:type="spellStart"/>
      <w:r w:rsidRPr="006644A1">
        <w:rPr>
          <w:lang w:val="en-GB"/>
        </w:rPr>
        <w:t>NPD</w:t>
      </w:r>
      <w:r w:rsidR="00BD386A" w:rsidRPr="006644A1">
        <w:rPr>
          <w:vertAlign w:val="subscript"/>
          <w:lang w:val="en-GB"/>
        </w:rPr>
        <w:t>d</w:t>
      </w:r>
      <w:proofErr w:type="spellEnd"/>
      <w:r w:rsidRPr="006644A1">
        <w:rPr>
          <w:lang w:val="en-GB"/>
        </w:rPr>
        <w:t xml:space="preserve"> of 3.9 W</w:t>
      </w:r>
      <w:r w:rsidR="0063477D" w:rsidRPr="006644A1">
        <w:rPr>
          <w:lang w:val="en-GB"/>
        </w:rPr>
        <w:t xml:space="preserve"> </w:t>
      </w:r>
      <w:r w:rsidRPr="006644A1">
        <w:rPr>
          <w:lang w:val="en-GB"/>
        </w:rPr>
        <w:t>m</w:t>
      </w:r>
      <w:r w:rsidR="0063477D" w:rsidRPr="006644A1">
        <w:rPr>
          <w:vertAlign w:val="superscript"/>
          <w:lang w:val="en-GB"/>
        </w:rPr>
        <w:t>-</w:t>
      </w:r>
      <w:r w:rsidRPr="006644A1">
        <w:rPr>
          <w:vertAlign w:val="superscript"/>
          <w:lang w:val="en-GB"/>
        </w:rPr>
        <w:t>2</w:t>
      </w:r>
      <w:r w:rsidRPr="006644A1">
        <w:rPr>
          <w:lang w:val="en-GB"/>
        </w:rPr>
        <w:t xml:space="preserve">, while </w:t>
      </w:r>
      <w:r w:rsidR="00C63928" w:rsidRPr="006644A1">
        <w:rPr>
          <w:lang w:val="en-GB"/>
        </w:rPr>
        <w:t>a</w:t>
      </w:r>
      <w:r w:rsidRPr="006644A1">
        <w:rPr>
          <w:lang w:val="en-GB"/>
        </w:rPr>
        <w:t xml:space="preserve"> maximum </w:t>
      </w:r>
      <w:r w:rsidR="00BD386A" w:rsidRPr="006644A1">
        <w:rPr>
          <w:lang w:val="en-GB"/>
        </w:rPr>
        <w:t xml:space="preserve">average </w:t>
      </w:r>
      <w:proofErr w:type="spellStart"/>
      <w:r w:rsidRPr="006644A1">
        <w:rPr>
          <w:lang w:val="en-GB"/>
        </w:rPr>
        <w:t>NPD</w:t>
      </w:r>
      <w:r w:rsidR="00BD386A" w:rsidRPr="006644A1">
        <w:rPr>
          <w:vertAlign w:val="subscript"/>
          <w:lang w:val="en-GB"/>
        </w:rPr>
        <w:t>d</w:t>
      </w:r>
      <w:proofErr w:type="spellEnd"/>
      <w:r w:rsidRPr="006644A1">
        <w:rPr>
          <w:lang w:val="en-GB"/>
        </w:rPr>
        <w:t xml:space="preserve"> </w:t>
      </w:r>
      <w:r w:rsidR="00C63928" w:rsidRPr="006644A1">
        <w:rPr>
          <w:lang w:val="en-GB"/>
        </w:rPr>
        <w:t>of</w:t>
      </w:r>
      <w:r w:rsidRPr="006644A1">
        <w:rPr>
          <w:lang w:val="en-GB"/>
        </w:rPr>
        <w:t xml:space="preserve"> 19.5 W m</w:t>
      </w:r>
      <w:r w:rsidR="0063477D" w:rsidRPr="006644A1">
        <w:rPr>
          <w:vertAlign w:val="superscript"/>
          <w:lang w:val="en-GB"/>
        </w:rPr>
        <w:t>-</w:t>
      </w:r>
      <w:r w:rsidRPr="006644A1">
        <w:rPr>
          <w:vertAlign w:val="superscript"/>
          <w:lang w:val="en-GB"/>
        </w:rPr>
        <w:t>2</w:t>
      </w:r>
      <w:r w:rsidRPr="006644A1">
        <w:rPr>
          <w:lang w:val="en-GB"/>
        </w:rPr>
        <w:t xml:space="preserve"> and an </w:t>
      </w:r>
      <w:proofErr w:type="spellStart"/>
      <w:r w:rsidRPr="006644A1">
        <w:rPr>
          <w:lang w:val="en-GB"/>
        </w:rPr>
        <w:t>RTE</w:t>
      </w:r>
      <w:r w:rsidR="0063477D" w:rsidRPr="006644A1">
        <w:rPr>
          <w:vertAlign w:val="subscript"/>
          <w:lang w:val="en-GB"/>
        </w:rPr>
        <w:t>net</w:t>
      </w:r>
      <w:proofErr w:type="spellEnd"/>
      <w:r w:rsidRPr="006644A1">
        <w:rPr>
          <w:lang w:val="en-GB"/>
        </w:rPr>
        <w:t xml:space="preserve"> of 31.6</w:t>
      </w:r>
      <w:r w:rsidR="0063477D" w:rsidRPr="006644A1">
        <w:rPr>
          <w:lang w:val="en-GB"/>
        </w:rPr>
        <w:t>%</w:t>
      </w:r>
      <w:r w:rsidRPr="006644A1">
        <w:rPr>
          <w:lang w:val="en-GB"/>
        </w:rPr>
        <w:t xml:space="preserve"> </w:t>
      </w:r>
      <w:r w:rsidR="00C63928" w:rsidRPr="006644A1">
        <w:rPr>
          <w:lang w:val="en-GB"/>
        </w:rPr>
        <w:t>were</w:t>
      </w:r>
      <w:r w:rsidRPr="006644A1">
        <w:rPr>
          <w:lang w:val="en-GB"/>
        </w:rPr>
        <w:t xml:space="preserve"> obtained. This study </w:t>
      </w:r>
      <w:r w:rsidR="00C63928" w:rsidRPr="006644A1">
        <w:rPr>
          <w:lang w:val="en-GB"/>
        </w:rPr>
        <w:t>demonstrates</w:t>
      </w:r>
      <w:r w:rsidRPr="006644A1">
        <w:rPr>
          <w:lang w:val="en-GB"/>
        </w:rPr>
        <w:t xml:space="preserve"> how </w:t>
      </w:r>
      <w:r w:rsidR="00C63928" w:rsidRPr="006644A1">
        <w:rPr>
          <w:lang w:val="en-GB"/>
        </w:rPr>
        <w:t>the</w:t>
      </w:r>
      <w:r w:rsidRPr="006644A1">
        <w:rPr>
          <w:lang w:val="en-GB"/>
        </w:rPr>
        <w:t xml:space="preserve"> appropriate selection of operational and design variables can make this </w:t>
      </w:r>
      <w:r w:rsidR="005444E4" w:rsidRPr="006644A1">
        <w:rPr>
          <w:lang w:val="en-GB"/>
        </w:rPr>
        <w:t xml:space="preserve">novel </w:t>
      </w:r>
      <w:r w:rsidRPr="006644A1">
        <w:rPr>
          <w:lang w:val="en-GB"/>
        </w:rPr>
        <w:t xml:space="preserve">battery competitive. This optimization study can be expanded in the future by analysing scenarios with different process configurations and membrane </w:t>
      </w:r>
      <w:r w:rsidR="005444E4" w:rsidRPr="006644A1">
        <w:rPr>
          <w:lang w:val="en-GB"/>
        </w:rPr>
        <w:t>features</w:t>
      </w:r>
      <w:r w:rsidRPr="006644A1">
        <w:rPr>
          <w:lang w:val="en-GB"/>
        </w:rPr>
        <w:t xml:space="preserve">. </w:t>
      </w:r>
    </w:p>
    <w:p w14:paraId="459D05E6" w14:textId="77777777" w:rsidR="00600535" w:rsidRPr="006644A1" w:rsidRDefault="00600535" w:rsidP="00600535">
      <w:pPr>
        <w:pStyle w:val="CETAcknowledgementstitle"/>
      </w:pPr>
      <w:r w:rsidRPr="006644A1">
        <w:lastRenderedPageBreak/>
        <w:t>Acknowledgments</w:t>
      </w:r>
    </w:p>
    <w:p w14:paraId="284238F5" w14:textId="77777777" w:rsidR="00145D21" w:rsidRPr="006644A1" w:rsidRDefault="00145D21" w:rsidP="00145D21">
      <w:pPr>
        <w:pStyle w:val="CETBodytext"/>
        <w:rPr>
          <w:b/>
        </w:rPr>
      </w:pPr>
      <w:r w:rsidRPr="006644A1">
        <w:t xml:space="preserve">This work was performed in the framework of the </w:t>
      </w:r>
      <w:proofErr w:type="spellStart"/>
      <w:r w:rsidRPr="006644A1">
        <w:t>BAoBaB</w:t>
      </w:r>
      <w:proofErr w:type="spellEnd"/>
      <w:r w:rsidRPr="006644A1">
        <w:t xml:space="preserve"> project (Blue Acid/Base Battery: Storage and recovery of renewable electrical energy by reversible </w:t>
      </w:r>
      <w:proofErr w:type="gramStart"/>
      <w:r w:rsidRPr="006644A1">
        <w:t>salt water</w:t>
      </w:r>
      <w:proofErr w:type="gramEnd"/>
      <w:r w:rsidRPr="006644A1">
        <w:t xml:space="preserve"> dissociation). The </w:t>
      </w:r>
      <w:proofErr w:type="spellStart"/>
      <w:r w:rsidRPr="006644A1">
        <w:t>BAoBaB</w:t>
      </w:r>
      <w:proofErr w:type="spellEnd"/>
      <w:r w:rsidRPr="006644A1">
        <w:t xml:space="preserve"> project has received funding from the European Union’s Horizon 2020 Research and Innovation program under Grant Agreement no. 731187 (www.baobabproject.eu).</w:t>
      </w:r>
    </w:p>
    <w:p w14:paraId="4F1327F8" w14:textId="77777777" w:rsidR="00600535" w:rsidRPr="006644A1" w:rsidRDefault="00600535" w:rsidP="00600535">
      <w:pPr>
        <w:pStyle w:val="CETReference"/>
        <w:rPr>
          <w:lang w:val="en-US"/>
        </w:rPr>
      </w:pPr>
      <w:r w:rsidRPr="006644A1">
        <w:rPr>
          <w:lang w:val="en-US"/>
        </w:rPr>
        <w:t>References</w:t>
      </w:r>
    </w:p>
    <w:p w14:paraId="4F8631E7" w14:textId="1D9C36DB" w:rsidR="0085345B" w:rsidRPr="006644A1" w:rsidRDefault="00145D21" w:rsidP="0085345B">
      <w:pPr>
        <w:widowControl w:val="0"/>
        <w:autoSpaceDE w:val="0"/>
        <w:autoSpaceDN w:val="0"/>
        <w:adjustRightInd w:val="0"/>
        <w:spacing w:line="240" w:lineRule="auto"/>
        <w:ind w:left="480" w:hanging="480"/>
        <w:rPr>
          <w:rFonts w:cs="Arial"/>
          <w:noProof/>
          <w:szCs w:val="24"/>
        </w:rPr>
      </w:pPr>
      <w:r w:rsidRPr="006644A1">
        <w:fldChar w:fldCharType="begin" w:fldLock="1"/>
      </w:r>
      <w:r w:rsidRPr="006644A1">
        <w:rPr>
          <w:lang w:val="en-US"/>
        </w:rPr>
        <w:instrText xml:space="preserve">ADDIN Mendeley Bibliography CSL_BIBLIOGRAPHY </w:instrText>
      </w:r>
      <w:r w:rsidRPr="006644A1">
        <w:fldChar w:fldCharType="separate"/>
      </w:r>
      <w:r w:rsidR="0085345B" w:rsidRPr="006644A1">
        <w:rPr>
          <w:rFonts w:cs="Arial"/>
          <w:noProof/>
          <w:szCs w:val="24"/>
        </w:rPr>
        <w:t>Chindapan, N., Sablani, S.S., Chiewchan, N., Devahastin, S., 2013. Modeling and Optimization of Electrodialytic Desalination of Fish Sauce Using Artificial Neural Networks and Genetic Algorithm. Food Bioprocess Technol. 6, 2695–2707. https://doi.org/10.1007/s11947-012-0914-6</w:t>
      </w:r>
    </w:p>
    <w:p w14:paraId="6A355850"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Ciofalo, M., La Cerva, M., Di Liberto, M., Gurreri, L., Cipollina, A., Micale, G., 2019. Optimization of net power density in Reverse Electrodialysis. Energy 181, 576–588. https://doi.org/https://doi.org/10.1016/j.energy.2019.05.183</w:t>
      </w:r>
    </w:p>
    <w:p w14:paraId="1B89D666"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Culcasi, A., Gurreri, L., Cipollina, A., Tamburini, A., Micale, G., 2022. A comprehensive multi-scale model for bipolar membrane electrodialysis (BMED). Chem. Eng. J. 437, 135317. https://doi.org/10.1016/j.cej.2022.135317</w:t>
      </w:r>
    </w:p>
    <w:p w14:paraId="11F2B8A9"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Culcasi, A., Gurreri, L., Micale, G., Tamburini, A., 2021a. Bipolar membrane reverse electrodialysis for the sustainable recovery of energy from pH gradients of industrial wastewater: Performance prediction by a validated process model. J. Environ. Manage. 287, 112319. https://doi.org/10.1016/j.jenvman.2021.112319</w:t>
      </w:r>
    </w:p>
    <w:p w14:paraId="27A2E850"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Culcasi, A., Gurreri, L., Tamburini, A., Cipollina, A., Micale, G., 2021b. Effect of Design Features and Operating Conditions on the Performance of a Bipolar Membrane-Based Acid/Base Flow Battery. Chem. Eng. Trans. 86, 1387–1392. https://doi.org/10.3303/CET2186232</w:t>
      </w:r>
    </w:p>
    <w:p w14:paraId="2FB71264"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Culcasi, A., Gurreri, L., Zaffora, A., Cosenza, A., Tamburini, A., Micale, G., 2020. On the modelling of an Acid/Base Flow Battery: An innovative electrical energy storage device based on pH and salinity gradients. Appl. Energy 277, 115576. https://doi.org/10.1016/j.apenergy.2020.115576</w:t>
      </w:r>
    </w:p>
    <w:p w14:paraId="1D494B31"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Guesmi, F., Louati, I., Hannachi, C., Hamrouni, B., 2020. Optimization of boron removal from water by electrodialysis using response surface methodology. Water Sci. Technol. 81, 293–300. https://doi.org/10.2166/wst.2020.105</w:t>
      </w:r>
    </w:p>
    <w:p w14:paraId="1FD64782"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Herrero-Gonzalez, M., Diaz-Guridi, P., Dominguez-Ramos, A., Irabien, A., Ibañez, R., 2020. Highly concentrated HCl and NaOH from brines using electrodialysis with bipolar membranes. Sep. Purif. Technol. 242, 116785. https://doi.org/10.1016/j.seppur.2020.116785</w:t>
      </w:r>
    </w:p>
    <w:p w14:paraId="7A81FC3F"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Long, R., Li, B., Liu, Z., Liu, W., 2018. Performance analysis of reverse electrodialysis stacks: Channel geometry and flow rate optimization. Energy 158, 427–436. https://doi.org/10.1016/j.energy.2018.06.067</w:t>
      </w:r>
    </w:p>
    <w:p w14:paraId="67B6FBAA"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Pärnamäe, R., Gurreri, L., Post, J., van Egmond, W.J., Culcasi, A., Saakes, M., Cen, J., Goosen, E., Tamburini, A., Vermaas, D.A., Tedesco, M., 2020. The Acid–Base Flow Battery: Sustainable Energy Storage via Reversible Water Dissociation with Bipolar Membranes. Membranes (Basel). 10, 409. https://doi.org/10.3390/membranes10120409</w:t>
      </w:r>
    </w:p>
    <w:p w14:paraId="71E18F7B"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Rohman, F.S., Aziz, N., 2021. Performance metrics analysis of dynamic multi-objective optimization for energy consumption and productivity improvement in batch electrodialysis. Chem. Eng. Commun. 208, 517–529. https://doi.org/10.1080/00986445.2019.1674817</w:t>
      </w:r>
    </w:p>
    <w:p w14:paraId="754A6302"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van Egmond, W.J., Saakes, M., Noor, I., Porada, S., Buisman, C.J.N., Hamelers, H.V.M., 2018. Performance of an environmentally benign acid base flow battery at high energy density. Int. J. Energy Res. 42, 1524–1535. https://doi.org/10.1002/er.3941</w:t>
      </w:r>
    </w:p>
    <w:p w14:paraId="41C53159" w14:textId="77777777" w:rsidR="0085345B" w:rsidRPr="006644A1" w:rsidRDefault="0085345B" w:rsidP="0085345B">
      <w:pPr>
        <w:widowControl w:val="0"/>
        <w:autoSpaceDE w:val="0"/>
        <w:autoSpaceDN w:val="0"/>
        <w:adjustRightInd w:val="0"/>
        <w:spacing w:line="240" w:lineRule="auto"/>
        <w:ind w:left="480" w:hanging="480"/>
        <w:rPr>
          <w:rFonts w:cs="Arial"/>
          <w:noProof/>
          <w:szCs w:val="24"/>
        </w:rPr>
      </w:pPr>
      <w:r w:rsidRPr="006644A1">
        <w:rPr>
          <w:rFonts w:cs="Arial"/>
          <w:noProof/>
          <w:szCs w:val="24"/>
        </w:rPr>
        <w:t>Wright, N.C., Shah, S.R., Amrose, S.E., Winter, A.G., 2018. A robust model of brackish water electrodialysis desalination with experimental comparison at different size scales. Desalination 443, 27–43. https://doi.org/10.1016/j.desal.2018.04.018</w:t>
      </w:r>
    </w:p>
    <w:p w14:paraId="4502F348" w14:textId="77777777" w:rsidR="0085345B" w:rsidRPr="006644A1" w:rsidRDefault="0085345B" w:rsidP="0085345B">
      <w:pPr>
        <w:widowControl w:val="0"/>
        <w:autoSpaceDE w:val="0"/>
        <w:autoSpaceDN w:val="0"/>
        <w:adjustRightInd w:val="0"/>
        <w:spacing w:line="240" w:lineRule="auto"/>
        <w:ind w:left="480" w:hanging="480"/>
        <w:rPr>
          <w:rFonts w:cs="Arial"/>
          <w:noProof/>
        </w:rPr>
      </w:pPr>
      <w:r w:rsidRPr="006644A1">
        <w:rPr>
          <w:rFonts w:cs="Arial"/>
          <w:noProof/>
          <w:szCs w:val="24"/>
        </w:rPr>
        <w:t>Zaffora, A., Culcasi, A., Gurreri, L., Cosenza, A., Tamburini, A., Santamaria, M., Micale, G., 2020. Energy Harvesting by Waste Acid/Base Neutralization via Bipolar Membrane Reverse Electrodialysis. Energies 13, 5510. https://doi.org/10.3390/en13205510</w:t>
      </w:r>
    </w:p>
    <w:p w14:paraId="00BA3D4F" w14:textId="5BB233F5" w:rsidR="00C52C3C" w:rsidRDefault="00145D21" w:rsidP="00E65B91">
      <w:pPr>
        <w:pStyle w:val="CETReferencetext"/>
      </w:pPr>
      <w:r w:rsidRPr="006644A1">
        <w:fldChar w:fldCharType="end"/>
      </w:r>
    </w:p>
    <w:sectPr w:rsidR="00C52C3C" w:rsidSect="006644A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DF5B" w14:textId="77777777" w:rsidR="00BA5024" w:rsidRDefault="00BA5024" w:rsidP="004F5E36">
      <w:r>
        <w:separator/>
      </w:r>
    </w:p>
  </w:endnote>
  <w:endnote w:type="continuationSeparator" w:id="0">
    <w:p w14:paraId="46A47ECB" w14:textId="77777777" w:rsidR="00BA5024" w:rsidRDefault="00BA502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827D" w14:textId="77777777" w:rsidR="00BA5024" w:rsidRDefault="00BA5024" w:rsidP="004F5E36">
      <w:r>
        <w:separator/>
      </w:r>
    </w:p>
  </w:footnote>
  <w:footnote w:type="continuationSeparator" w:id="0">
    <w:p w14:paraId="2733F723" w14:textId="77777777" w:rsidR="00BA5024" w:rsidRDefault="00BA502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A572864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4096441">
    <w:abstractNumId w:val="10"/>
  </w:num>
  <w:num w:numId="2" w16cid:durableId="879127189">
    <w:abstractNumId w:val="8"/>
  </w:num>
  <w:num w:numId="3" w16cid:durableId="1071922694">
    <w:abstractNumId w:val="3"/>
  </w:num>
  <w:num w:numId="4" w16cid:durableId="997342090">
    <w:abstractNumId w:val="2"/>
  </w:num>
  <w:num w:numId="5" w16cid:durableId="918055891">
    <w:abstractNumId w:val="1"/>
  </w:num>
  <w:num w:numId="6" w16cid:durableId="1589576878">
    <w:abstractNumId w:val="0"/>
  </w:num>
  <w:num w:numId="7" w16cid:durableId="1764498156">
    <w:abstractNumId w:val="9"/>
  </w:num>
  <w:num w:numId="8" w16cid:durableId="566721090">
    <w:abstractNumId w:val="7"/>
  </w:num>
  <w:num w:numId="9" w16cid:durableId="614097935">
    <w:abstractNumId w:val="6"/>
  </w:num>
  <w:num w:numId="10" w16cid:durableId="180516887">
    <w:abstractNumId w:val="5"/>
  </w:num>
  <w:num w:numId="11" w16cid:durableId="1929924153">
    <w:abstractNumId w:val="4"/>
  </w:num>
  <w:num w:numId="12" w16cid:durableId="1315599186">
    <w:abstractNumId w:val="17"/>
  </w:num>
  <w:num w:numId="13" w16cid:durableId="1638415276">
    <w:abstractNumId w:val="12"/>
  </w:num>
  <w:num w:numId="14" w16cid:durableId="1864587440">
    <w:abstractNumId w:val="18"/>
  </w:num>
  <w:num w:numId="15" w16cid:durableId="1116094273">
    <w:abstractNumId w:val="20"/>
  </w:num>
  <w:num w:numId="16" w16cid:durableId="1518542518">
    <w:abstractNumId w:val="19"/>
  </w:num>
  <w:num w:numId="17" w16cid:durableId="1605459275">
    <w:abstractNumId w:val="11"/>
  </w:num>
  <w:num w:numId="18" w16cid:durableId="1649554366">
    <w:abstractNumId w:val="12"/>
    <w:lvlOverride w:ilvl="0">
      <w:startOverride w:val="1"/>
    </w:lvlOverride>
  </w:num>
  <w:num w:numId="19" w16cid:durableId="1755278618">
    <w:abstractNumId w:val="16"/>
  </w:num>
  <w:num w:numId="20" w16cid:durableId="1153643295">
    <w:abstractNumId w:val="15"/>
  </w:num>
  <w:num w:numId="21" w16cid:durableId="1930845321">
    <w:abstractNumId w:val="14"/>
  </w:num>
  <w:num w:numId="22" w16cid:durableId="2542151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3BAE"/>
    <w:rsid w:val="000052FB"/>
    <w:rsid w:val="000117CB"/>
    <w:rsid w:val="00021AA4"/>
    <w:rsid w:val="00027E6C"/>
    <w:rsid w:val="0003148D"/>
    <w:rsid w:val="00031EEC"/>
    <w:rsid w:val="00051566"/>
    <w:rsid w:val="00061AC1"/>
    <w:rsid w:val="00062A9A"/>
    <w:rsid w:val="00063371"/>
    <w:rsid w:val="00065058"/>
    <w:rsid w:val="0007311E"/>
    <w:rsid w:val="000846EE"/>
    <w:rsid w:val="00086C39"/>
    <w:rsid w:val="000A03B2"/>
    <w:rsid w:val="000D0268"/>
    <w:rsid w:val="000D34BE"/>
    <w:rsid w:val="000E030D"/>
    <w:rsid w:val="000E102F"/>
    <w:rsid w:val="000E36F1"/>
    <w:rsid w:val="000E3A73"/>
    <w:rsid w:val="000E414A"/>
    <w:rsid w:val="000E5D13"/>
    <w:rsid w:val="000F093C"/>
    <w:rsid w:val="000F787B"/>
    <w:rsid w:val="00100BF2"/>
    <w:rsid w:val="0011431C"/>
    <w:rsid w:val="0012091F"/>
    <w:rsid w:val="00126BC2"/>
    <w:rsid w:val="001308B6"/>
    <w:rsid w:val="0013121F"/>
    <w:rsid w:val="00131FE6"/>
    <w:rsid w:val="0013263F"/>
    <w:rsid w:val="001331DF"/>
    <w:rsid w:val="00134DE4"/>
    <w:rsid w:val="0014034D"/>
    <w:rsid w:val="00144D16"/>
    <w:rsid w:val="00145D21"/>
    <w:rsid w:val="00150E59"/>
    <w:rsid w:val="001521FB"/>
    <w:rsid w:val="00152DE3"/>
    <w:rsid w:val="001540C6"/>
    <w:rsid w:val="00154237"/>
    <w:rsid w:val="00156FF4"/>
    <w:rsid w:val="00164CF9"/>
    <w:rsid w:val="001667A6"/>
    <w:rsid w:val="0018309A"/>
    <w:rsid w:val="00184AD6"/>
    <w:rsid w:val="001A4AF7"/>
    <w:rsid w:val="001B0349"/>
    <w:rsid w:val="001B1E93"/>
    <w:rsid w:val="001B49D8"/>
    <w:rsid w:val="001B500F"/>
    <w:rsid w:val="001B65C1"/>
    <w:rsid w:val="001B6BE7"/>
    <w:rsid w:val="001C684B"/>
    <w:rsid w:val="001D0CFB"/>
    <w:rsid w:val="001D21AF"/>
    <w:rsid w:val="001D4ED0"/>
    <w:rsid w:val="001D53FC"/>
    <w:rsid w:val="001E3E61"/>
    <w:rsid w:val="001F42A5"/>
    <w:rsid w:val="001F69B6"/>
    <w:rsid w:val="001F756C"/>
    <w:rsid w:val="001F7B9D"/>
    <w:rsid w:val="00201C93"/>
    <w:rsid w:val="00216FE1"/>
    <w:rsid w:val="00217905"/>
    <w:rsid w:val="002224B4"/>
    <w:rsid w:val="0022716C"/>
    <w:rsid w:val="00235AC0"/>
    <w:rsid w:val="00237F77"/>
    <w:rsid w:val="002447EF"/>
    <w:rsid w:val="00245A3C"/>
    <w:rsid w:val="00251550"/>
    <w:rsid w:val="00263B05"/>
    <w:rsid w:val="002659EA"/>
    <w:rsid w:val="0027221A"/>
    <w:rsid w:val="00275B61"/>
    <w:rsid w:val="00280FAF"/>
    <w:rsid w:val="0028212B"/>
    <w:rsid w:val="00282656"/>
    <w:rsid w:val="00296B83"/>
    <w:rsid w:val="002A4647"/>
    <w:rsid w:val="002B4015"/>
    <w:rsid w:val="002B78CE"/>
    <w:rsid w:val="002B791B"/>
    <w:rsid w:val="002C2FB6"/>
    <w:rsid w:val="002C4A81"/>
    <w:rsid w:val="002E4AD8"/>
    <w:rsid w:val="002E5FA7"/>
    <w:rsid w:val="002F3309"/>
    <w:rsid w:val="003008CE"/>
    <w:rsid w:val="003009B7"/>
    <w:rsid w:val="00300E56"/>
    <w:rsid w:val="0030469C"/>
    <w:rsid w:val="00321CA6"/>
    <w:rsid w:val="00323763"/>
    <w:rsid w:val="003324BE"/>
    <w:rsid w:val="00332E40"/>
    <w:rsid w:val="00334C09"/>
    <w:rsid w:val="003723D4"/>
    <w:rsid w:val="00373D51"/>
    <w:rsid w:val="00381905"/>
    <w:rsid w:val="00384CC8"/>
    <w:rsid w:val="003871FD"/>
    <w:rsid w:val="00397777"/>
    <w:rsid w:val="003A1E30"/>
    <w:rsid w:val="003A2829"/>
    <w:rsid w:val="003A7D1C"/>
    <w:rsid w:val="003B304B"/>
    <w:rsid w:val="003B3146"/>
    <w:rsid w:val="003D04E0"/>
    <w:rsid w:val="003E4DC1"/>
    <w:rsid w:val="003F015E"/>
    <w:rsid w:val="003F7238"/>
    <w:rsid w:val="00400414"/>
    <w:rsid w:val="00407196"/>
    <w:rsid w:val="0041446B"/>
    <w:rsid w:val="00430503"/>
    <w:rsid w:val="0044071E"/>
    <w:rsid w:val="004422B7"/>
    <w:rsid w:val="0044329C"/>
    <w:rsid w:val="00453E24"/>
    <w:rsid w:val="00457456"/>
    <w:rsid w:val="004577FE"/>
    <w:rsid w:val="00457B9C"/>
    <w:rsid w:val="0046164A"/>
    <w:rsid w:val="004623B2"/>
    <w:rsid w:val="004628D2"/>
    <w:rsid w:val="00462DCD"/>
    <w:rsid w:val="00463187"/>
    <w:rsid w:val="004648AD"/>
    <w:rsid w:val="004703A9"/>
    <w:rsid w:val="004760DE"/>
    <w:rsid w:val="004763D7"/>
    <w:rsid w:val="00484967"/>
    <w:rsid w:val="004A004E"/>
    <w:rsid w:val="004A24CF"/>
    <w:rsid w:val="004C3D1D"/>
    <w:rsid w:val="004C3D84"/>
    <w:rsid w:val="004C7913"/>
    <w:rsid w:val="004D74A8"/>
    <w:rsid w:val="004E09D1"/>
    <w:rsid w:val="004E4DD6"/>
    <w:rsid w:val="004F2BD7"/>
    <w:rsid w:val="004F5E36"/>
    <w:rsid w:val="00500C6C"/>
    <w:rsid w:val="00501528"/>
    <w:rsid w:val="00507B47"/>
    <w:rsid w:val="00507BEF"/>
    <w:rsid w:val="00507CC9"/>
    <w:rsid w:val="005119A5"/>
    <w:rsid w:val="005256B8"/>
    <w:rsid w:val="005278B7"/>
    <w:rsid w:val="00532016"/>
    <w:rsid w:val="005346C8"/>
    <w:rsid w:val="005437F6"/>
    <w:rsid w:val="00543DD7"/>
    <w:rsid w:val="00543E7D"/>
    <w:rsid w:val="005444E4"/>
    <w:rsid w:val="0054551B"/>
    <w:rsid w:val="00547A68"/>
    <w:rsid w:val="005531C9"/>
    <w:rsid w:val="005704A2"/>
    <w:rsid w:val="00570C43"/>
    <w:rsid w:val="00585625"/>
    <w:rsid w:val="00595622"/>
    <w:rsid w:val="005B1BE8"/>
    <w:rsid w:val="005B2110"/>
    <w:rsid w:val="005B61E6"/>
    <w:rsid w:val="005C77E1"/>
    <w:rsid w:val="005D668A"/>
    <w:rsid w:val="005D6A2F"/>
    <w:rsid w:val="005E1A82"/>
    <w:rsid w:val="005E794C"/>
    <w:rsid w:val="005F0A28"/>
    <w:rsid w:val="005F0E5E"/>
    <w:rsid w:val="005F4F51"/>
    <w:rsid w:val="00600535"/>
    <w:rsid w:val="00610CD6"/>
    <w:rsid w:val="00620DEE"/>
    <w:rsid w:val="00621F92"/>
    <w:rsid w:val="0062280A"/>
    <w:rsid w:val="00625639"/>
    <w:rsid w:val="00631B33"/>
    <w:rsid w:val="0063477D"/>
    <w:rsid w:val="0064184D"/>
    <w:rsid w:val="006422CC"/>
    <w:rsid w:val="0065003C"/>
    <w:rsid w:val="00660E3E"/>
    <w:rsid w:val="00662E74"/>
    <w:rsid w:val="006644A1"/>
    <w:rsid w:val="0066747C"/>
    <w:rsid w:val="00680C23"/>
    <w:rsid w:val="006865A5"/>
    <w:rsid w:val="006909D7"/>
    <w:rsid w:val="00693766"/>
    <w:rsid w:val="006A3281"/>
    <w:rsid w:val="006B4888"/>
    <w:rsid w:val="006C2E45"/>
    <w:rsid w:val="006C359C"/>
    <w:rsid w:val="006C5579"/>
    <w:rsid w:val="006D6E8B"/>
    <w:rsid w:val="006E737D"/>
    <w:rsid w:val="006F6484"/>
    <w:rsid w:val="00704069"/>
    <w:rsid w:val="00712CDA"/>
    <w:rsid w:val="00713973"/>
    <w:rsid w:val="007168E8"/>
    <w:rsid w:val="00720A24"/>
    <w:rsid w:val="0072650C"/>
    <w:rsid w:val="0073106A"/>
    <w:rsid w:val="00732386"/>
    <w:rsid w:val="0073514D"/>
    <w:rsid w:val="00740D99"/>
    <w:rsid w:val="007447F3"/>
    <w:rsid w:val="0075499F"/>
    <w:rsid w:val="00765560"/>
    <w:rsid w:val="007661C8"/>
    <w:rsid w:val="00770524"/>
    <w:rsid w:val="0077098D"/>
    <w:rsid w:val="007931FA"/>
    <w:rsid w:val="00797B1E"/>
    <w:rsid w:val="007A4861"/>
    <w:rsid w:val="007A7BBA"/>
    <w:rsid w:val="007B0C50"/>
    <w:rsid w:val="007B48F9"/>
    <w:rsid w:val="007B6CF8"/>
    <w:rsid w:val="007B7860"/>
    <w:rsid w:val="007C1A43"/>
    <w:rsid w:val="007F4FF9"/>
    <w:rsid w:val="0080013E"/>
    <w:rsid w:val="00813288"/>
    <w:rsid w:val="008168FC"/>
    <w:rsid w:val="00821497"/>
    <w:rsid w:val="00830996"/>
    <w:rsid w:val="0083353D"/>
    <w:rsid w:val="008345F1"/>
    <w:rsid w:val="0085345B"/>
    <w:rsid w:val="0086297F"/>
    <w:rsid w:val="00865B07"/>
    <w:rsid w:val="008667EA"/>
    <w:rsid w:val="0087637F"/>
    <w:rsid w:val="00880A61"/>
    <w:rsid w:val="0088140A"/>
    <w:rsid w:val="00892AD5"/>
    <w:rsid w:val="008A1512"/>
    <w:rsid w:val="008B7128"/>
    <w:rsid w:val="008C7A0B"/>
    <w:rsid w:val="008D22C0"/>
    <w:rsid w:val="008D32B9"/>
    <w:rsid w:val="008D433B"/>
    <w:rsid w:val="008D4A16"/>
    <w:rsid w:val="008E566E"/>
    <w:rsid w:val="008F4BDA"/>
    <w:rsid w:val="0090161A"/>
    <w:rsid w:val="00901EB6"/>
    <w:rsid w:val="00904C62"/>
    <w:rsid w:val="00905D2B"/>
    <w:rsid w:val="00907E9F"/>
    <w:rsid w:val="00922BA8"/>
    <w:rsid w:val="00924DAC"/>
    <w:rsid w:val="00927058"/>
    <w:rsid w:val="00942750"/>
    <w:rsid w:val="009449EF"/>
    <w:rsid w:val="009450CE"/>
    <w:rsid w:val="00947179"/>
    <w:rsid w:val="009471AD"/>
    <w:rsid w:val="0095164B"/>
    <w:rsid w:val="00954090"/>
    <w:rsid w:val="009573E7"/>
    <w:rsid w:val="00963E05"/>
    <w:rsid w:val="00964A45"/>
    <w:rsid w:val="00967843"/>
    <w:rsid w:val="00967D54"/>
    <w:rsid w:val="00971028"/>
    <w:rsid w:val="00993B84"/>
    <w:rsid w:val="00996483"/>
    <w:rsid w:val="00996F5A"/>
    <w:rsid w:val="009A6E95"/>
    <w:rsid w:val="009B041A"/>
    <w:rsid w:val="009B51C5"/>
    <w:rsid w:val="009C37C3"/>
    <w:rsid w:val="009C7C86"/>
    <w:rsid w:val="009D2FF7"/>
    <w:rsid w:val="009E7884"/>
    <w:rsid w:val="009E788A"/>
    <w:rsid w:val="009F0E08"/>
    <w:rsid w:val="009F4DFE"/>
    <w:rsid w:val="00A1763D"/>
    <w:rsid w:val="00A17CEC"/>
    <w:rsid w:val="00A27941"/>
    <w:rsid w:val="00A27EF0"/>
    <w:rsid w:val="00A42361"/>
    <w:rsid w:val="00A4390B"/>
    <w:rsid w:val="00A50B20"/>
    <w:rsid w:val="00A51390"/>
    <w:rsid w:val="00A57E36"/>
    <w:rsid w:val="00A60D13"/>
    <w:rsid w:val="00A65278"/>
    <w:rsid w:val="00A7223D"/>
    <w:rsid w:val="00A72745"/>
    <w:rsid w:val="00A76EFC"/>
    <w:rsid w:val="00A91010"/>
    <w:rsid w:val="00A97F29"/>
    <w:rsid w:val="00AA702E"/>
    <w:rsid w:val="00AB0964"/>
    <w:rsid w:val="00AB2261"/>
    <w:rsid w:val="00AB3A38"/>
    <w:rsid w:val="00AB5011"/>
    <w:rsid w:val="00AC7368"/>
    <w:rsid w:val="00AD08E7"/>
    <w:rsid w:val="00AD16B9"/>
    <w:rsid w:val="00AE338E"/>
    <w:rsid w:val="00AE377D"/>
    <w:rsid w:val="00AF0EBA"/>
    <w:rsid w:val="00AF2BBB"/>
    <w:rsid w:val="00B020BC"/>
    <w:rsid w:val="00B02C8A"/>
    <w:rsid w:val="00B17FBD"/>
    <w:rsid w:val="00B26C27"/>
    <w:rsid w:val="00B315A6"/>
    <w:rsid w:val="00B31813"/>
    <w:rsid w:val="00B33365"/>
    <w:rsid w:val="00B33C33"/>
    <w:rsid w:val="00B41FE7"/>
    <w:rsid w:val="00B42F10"/>
    <w:rsid w:val="00B52732"/>
    <w:rsid w:val="00B57B36"/>
    <w:rsid w:val="00B57E6F"/>
    <w:rsid w:val="00B62C60"/>
    <w:rsid w:val="00B74CE4"/>
    <w:rsid w:val="00B8686D"/>
    <w:rsid w:val="00B91142"/>
    <w:rsid w:val="00B93F69"/>
    <w:rsid w:val="00BA5024"/>
    <w:rsid w:val="00BB1DDC"/>
    <w:rsid w:val="00BB26EC"/>
    <w:rsid w:val="00BC30C9"/>
    <w:rsid w:val="00BC5820"/>
    <w:rsid w:val="00BD077D"/>
    <w:rsid w:val="00BD386A"/>
    <w:rsid w:val="00BE3E58"/>
    <w:rsid w:val="00BF6348"/>
    <w:rsid w:val="00C01616"/>
    <w:rsid w:val="00C0162B"/>
    <w:rsid w:val="00C068ED"/>
    <w:rsid w:val="00C22E0C"/>
    <w:rsid w:val="00C25B30"/>
    <w:rsid w:val="00C345B1"/>
    <w:rsid w:val="00C40142"/>
    <w:rsid w:val="00C52C3C"/>
    <w:rsid w:val="00C57182"/>
    <w:rsid w:val="00C57863"/>
    <w:rsid w:val="00C63928"/>
    <w:rsid w:val="00C640AF"/>
    <w:rsid w:val="00C655FD"/>
    <w:rsid w:val="00C7343A"/>
    <w:rsid w:val="00C75407"/>
    <w:rsid w:val="00C870A8"/>
    <w:rsid w:val="00C94434"/>
    <w:rsid w:val="00CA0D75"/>
    <w:rsid w:val="00CA1C95"/>
    <w:rsid w:val="00CA5A9C"/>
    <w:rsid w:val="00CC4C20"/>
    <w:rsid w:val="00CD3517"/>
    <w:rsid w:val="00CD5FE2"/>
    <w:rsid w:val="00CE0E20"/>
    <w:rsid w:val="00CE5E99"/>
    <w:rsid w:val="00CE7C68"/>
    <w:rsid w:val="00D02B4C"/>
    <w:rsid w:val="00D040C4"/>
    <w:rsid w:val="00D062EC"/>
    <w:rsid w:val="00D20AD1"/>
    <w:rsid w:val="00D435A8"/>
    <w:rsid w:val="00D46B7E"/>
    <w:rsid w:val="00D57C84"/>
    <w:rsid w:val="00D6057D"/>
    <w:rsid w:val="00D67F7D"/>
    <w:rsid w:val="00D71640"/>
    <w:rsid w:val="00D836C5"/>
    <w:rsid w:val="00D84576"/>
    <w:rsid w:val="00DA1399"/>
    <w:rsid w:val="00DA24C6"/>
    <w:rsid w:val="00DA4D7B"/>
    <w:rsid w:val="00DB3647"/>
    <w:rsid w:val="00DC3DF1"/>
    <w:rsid w:val="00DD271C"/>
    <w:rsid w:val="00DE264A"/>
    <w:rsid w:val="00DE2C01"/>
    <w:rsid w:val="00DF5072"/>
    <w:rsid w:val="00E02D18"/>
    <w:rsid w:val="00E041E7"/>
    <w:rsid w:val="00E23CA1"/>
    <w:rsid w:val="00E26314"/>
    <w:rsid w:val="00E409A8"/>
    <w:rsid w:val="00E50C12"/>
    <w:rsid w:val="00E55AFE"/>
    <w:rsid w:val="00E64D71"/>
    <w:rsid w:val="00E65B91"/>
    <w:rsid w:val="00E7209D"/>
    <w:rsid w:val="00E72EAD"/>
    <w:rsid w:val="00E77223"/>
    <w:rsid w:val="00E8213E"/>
    <w:rsid w:val="00E8528B"/>
    <w:rsid w:val="00E85B94"/>
    <w:rsid w:val="00E86DB1"/>
    <w:rsid w:val="00E87AF9"/>
    <w:rsid w:val="00E978D0"/>
    <w:rsid w:val="00EA0BF9"/>
    <w:rsid w:val="00EA4613"/>
    <w:rsid w:val="00EA7F91"/>
    <w:rsid w:val="00EB1523"/>
    <w:rsid w:val="00EC0E49"/>
    <w:rsid w:val="00EC101F"/>
    <w:rsid w:val="00EC1D9F"/>
    <w:rsid w:val="00ED3913"/>
    <w:rsid w:val="00EE0131"/>
    <w:rsid w:val="00EE17B0"/>
    <w:rsid w:val="00EE2F7A"/>
    <w:rsid w:val="00EE743C"/>
    <w:rsid w:val="00EF06D9"/>
    <w:rsid w:val="00EF371F"/>
    <w:rsid w:val="00F072C5"/>
    <w:rsid w:val="00F073F9"/>
    <w:rsid w:val="00F161F4"/>
    <w:rsid w:val="00F26193"/>
    <w:rsid w:val="00F30C64"/>
    <w:rsid w:val="00F32BA2"/>
    <w:rsid w:val="00F32CDB"/>
    <w:rsid w:val="00F37BA4"/>
    <w:rsid w:val="00F565FE"/>
    <w:rsid w:val="00F601C5"/>
    <w:rsid w:val="00F63A70"/>
    <w:rsid w:val="00F7534E"/>
    <w:rsid w:val="00F754A3"/>
    <w:rsid w:val="00F815EB"/>
    <w:rsid w:val="00F8571B"/>
    <w:rsid w:val="00FA1802"/>
    <w:rsid w:val="00FA21D0"/>
    <w:rsid w:val="00FA5DE6"/>
    <w:rsid w:val="00FA5F5F"/>
    <w:rsid w:val="00FB730C"/>
    <w:rsid w:val="00FC1EFE"/>
    <w:rsid w:val="00FC2695"/>
    <w:rsid w:val="00FC3E03"/>
    <w:rsid w:val="00FC3FC1"/>
    <w:rsid w:val="00FE5966"/>
    <w:rsid w:val="00FF4A2B"/>
    <w:rsid w:val="00FF4AF8"/>
    <w:rsid w:val="00FF601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65003C"/>
    <w:rPr>
      <w:color w:val="605E5C"/>
      <w:shd w:val="clear" w:color="auto" w:fill="E1DFDD"/>
    </w:rPr>
  </w:style>
  <w:style w:type="character" w:styleId="Numeroriga">
    <w:name w:val="line number"/>
    <w:basedOn w:val="Carpredefinitoparagrafo"/>
    <w:uiPriority w:val="99"/>
    <w:semiHidden/>
    <w:unhideWhenUsed/>
    <w:rsid w:val="00944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11284</Words>
  <Characters>64324</Characters>
  <Application>Microsoft Office Word</Application>
  <DocSecurity>0</DocSecurity>
  <Lines>536</Lines>
  <Paragraphs>150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LUIGI GURRERI</cp:lastModifiedBy>
  <cp:revision>8</cp:revision>
  <cp:lastPrinted>2015-05-12T18:31:00Z</cp:lastPrinted>
  <dcterms:created xsi:type="dcterms:W3CDTF">2022-07-18T17:05:00Z</dcterms:created>
  <dcterms:modified xsi:type="dcterms:W3CDTF">2022-08-11T15:25:00Z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7faffa2a-885b-3200-9e9a-15ae2a6da491</vt:lpwstr>
  </property>
  <property fmtid="{D5CDD505-2E9C-101B-9397-08002B2CF9AE}" pid="6" name="Mendeley Citation Style_1">
    <vt:lpwstr>http://www.zotero.org/styles/journal-of-cleaner-production</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http://www.zotero.org/styles/chicago-author-date</vt:lpwstr>
  </property>
  <property fmtid="{D5CDD505-2E9C-101B-9397-08002B2CF9AE}" pid="12" name="Mendeley Recent Style Name 2_1">
    <vt:lpwstr>Chicago Manual of Style 17th edition (author-date)</vt:lpwstr>
  </property>
  <property fmtid="{D5CDD505-2E9C-101B-9397-08002B2CF9AE}" pid="13" name="Mendeley Recent Style Id 3_1">
    <vt:lpwstr>http://www.zotero.org/styles/harvard-cite-them-right</vt:lpwstr>
  </property>
  <property fmtid="{D5CDD505-2E9C-101B-9397-08002B2CF9AE}" pid="14" name="Mendeley Recent Style Name 3_1">
    <vt:lpwstr>Cite Them Right 10th edition - Harvard</vt:lpwstr>
  </property>
  <property fmtid="{D5CDD505-2E9C-101B-9397-08002B2CF9AE}" pid="15" name="Mendeley Recent Style Id 4_1">
    <vt:lpwstr>http://www.zotero.org/styles/desalination</vt:lpwstr>
  </property>
  <property fmtid="{D5CDD505-2E9C-101B-9397-08002B2CF9AE}" pid="16" name="Mendeley Recent Style Name 4_1">
    <vt:lpwstr>Desalination</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http://www.zotero.org/styles/journal-of-cleaner-production</vt:lpwstr>
  </property>
  <property fmtid="{D5CDD505-2E9C-101B-9397-08002B2CF9AE}" pid="20" name="Mendeley Recent Style Name 6_1">
    <vt:lpwstr>Journal of Cleaner Production</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http://csl.mendeley.com/styles/509108461/harvard-cite-them-right-modified</vt:lpwstr>
  </property>
  <property fmtid="{D5CDD505-2E9C-101B-9397-08002B2CF9AE}" pid="26" name="Mendeley Recent Style Name 9_1">
    <vt:lpwstr>etal-nodoi - Andrea Culcasi</vt:lpwstr>
  </property>
</Properties>
</file>