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555610">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ABE30D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4C3D84">
              <w:rPr>
                <w:rFonts w:cs="Arial"/>
                <w:b/>
                <w:bCs/>
                <w:i/>
                <w:iCs/>
                <w:color w:val="000066"/>
                <w:sz w:val="22"/>
                <w:szCs w:val="22"/>
                <w:lang w:eastAsia="it-IT"/>
              </w:rPr>
              <w:t>6</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555610">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555610">
        <w:trPr>
          <w:trHeight w:val="68"/>
          <w:jc w:val="center"/>
        </w:trPr>
        <w:tc>
          <w:tcPr>
            <w:tcW w:w="8782" w:type="dxa"/>
            <w:gridSpan w:val="2"/>
          </w:tcPr>
          <w:p w14:paraId="4B0BB442" w14:textId="2E218E1D"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4C3D84" w:rsidRPr="00A7223D">
              <w:rPr>
                <w:sz w:val="14"/>
                <w:szCs w:val="14"/>
                <w:lang w:val="it-IT"/>
              </w:rPr>
              <w:t xml:space="preserve">David </w:t>
            </w:r>
            <w:proofErr w:type="spellStart"/>
            <w:r w:rsidR="004C3D84" w:rsidRPr="00A7223D">
              <w:rPr>
                <w:sz w:val="14"/>
                <w:szCs w:val="14"/>
                <w:lang w:val="it-IT"/>
              </w:rPr>
              <w:t>Bogle</w:t>
            </w:r>
            <w:proofErr w:type="spellEnd"/>
            <w:r w:rsidR="004C3D84" w:rsidRPr="00A7223D">
              <w:rPr>
                <w:sz w:val="14"/>
                <w:szCs w:val="14"/>
                <w:lang w:val="it-IT"/>
              </w:rPr>
              <w:t>, Flavio Manenti, Piero Salatino</w:t>
            </w:r>
          </w:p>
          <w:p w14:paraId="1B0F1814" w14:textId="17CEC68E"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8D4A16">
              <w:rPr>
                <w:rFonts w:ascii="Tahoma" w:hAnsi="Tahoma" w:cs="Tahoma"/>
                <w:sz w:val="14"/>
                <w:szCs w:val="14"/>
              </w:rPr>
              <w:t>5</w:t>
            </w:r>
            <w:r w:rsidR="00D46B7E">
              <w:rPr>
                <w:rFonts w:ascii="Tahoma" w:hAnsi="Tahoma" w:cs="Tahoma"/>
                <w:sz w:val="14"/>
                <w:szCs w:val="14"/>
              </w:rPr>
              <w:t>-</w:t>
            </w:r>
            <w:r w:rsidR="008D4A16">
              <w:rPr>
                <w:rFonts w:ascii="Tahoma" w:hAnsi="Tahoma" w:cs="Tahoma"/>
                <w:sz w:val="14"/>
                <w:szCs w:val="14"/>
              </w:rPr>
              <w:t>2</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C86FFFC" w14:textId="0828C84C" w:rsidR="00555610" w:rsidRDefault="00555610" w:rsidP="000720AF">
      <w:pPr>
        <w:pStyle w:val="CETAuthors"/>
        <w:spacing w:before="480"/>
        <w:rPr>
          <w:noProof w:val="0"/>
          <w:sz w:val="32"/>
        </w:rPr>
      </w:pPr>
      <w:r w:rsidRPr="00555610">
        <w:rPr>
          <w:noProof w:val="0"/>
          <w:sz w:val="32"/>
        </w:rPr>
        <w:t xml:space="preserve">Modelling and </w:t>
      </w:r>
      <w:r w:rsidR="00353A7D">
        <w:rPr>
          <w:noProof w:val="0"/>
          <w:sz w:val="32"/>
        </w:rPr>
        <w:t>A</w:t>
      </w:r>
      <w:r w:rsidR="00353A7D" w:rsidRPr="00555610">
        <w:rPr>
          <w:noProof w:val="0"/>
          <w:sz w:val="32"/>
        </w:rPr>
        <w:t xml:space="preserve">nalysis </w:t>
      </w:r>
      <w:r w:rsidRPr="00555610">
        <w:rPr>
          <w:noProof w:val="0"/>
          <w:sz w:val="32"/>
        </w:rPr>
        <w:t xml:space="preserve">of </w:t>
      </w:r>
      <w:r w:rsidR="00353A7D">
        <w:rPr>
          <w:noProof w:val="0"/>
          <w:sz w:val="32"/>
        </w:rPr>
        <w:t>D</w:t>
      </w:r>
      <w:r w:rsidR="00353A7D" w:rsidRPr="00555610">
        <w:rPr>
          <w:noProof w:val="0"/>
          <w:sz w:val="32"/>
        </w:rPr>
        <w:t xml:space="preserve">irect </w:t>
      </w:r>
      <w:r w:rsidR="00353A7D">
        <w:rPr>
          <w:noProof w:val="0"/>
          <w:sz w:val="32"/>
        </w:rPr>
        <w:t>A</w:t>
      </w:r>
      <w:r w:rsidR="00353A7D" w:rsidRPr="00555610">
        <w:rPr>
          <w:noProof w:val="0"/>
          <w:sz w:val="32"/>
        </w:rPr>
        <w:t xml:space="preserve">ir </w:t>
      </w:r>
      <w:r w:rsidR="00353A7D">
        <w:rPr>
          <w:noProof w:val="0"/>
          <w:sz w:val="32"/>
        </w:rPr>
        <w:t>C</w:t>
      </w:r>
      <w:r w:rsidR="00353A7D" w:rsidRPr="00555610">
        <w:rPr>
          <w:noProof w:val="0"/>
          <w:sz w:val="32"/>
        </w:rPr>
        <w:t xml:space="preserve">apture </w:t>
      </w:r>
      <w:r w:rsidR="00353A7D">
        <w:rPr>
          <w:noProof w:val="0"/>
          <w:sz w:val="32"/>
        </w:rPr>
        <w:t>S</w:t>
      </w:r>
      <w:r w:rsidR="00353A7D" w:rsidRPr="00555610">
        <w:rPr>
          <w:noProof w:val="0"/>
          <w:sz w:val="32"/>
        </w:rPr>
        <w:t xml:space="preserve">ystems </w:t>
      </w:r>
      <w:r w:rsidRPr="00555610">
        <w:rPr>
          <w:noProof w:val="0"/>
          <w:sz w:val="32"/>
        </w:rPr>
        <w:t xml:space="preserve">in </w:t>
      </w:r>
      <w:r w:rsidR="00353A7D">
        <w:rPr>
          <w:noProof w:val="0"/>
          <w:sz w:val="32"/>
        </w:rPr>
        <w:t>D</w:t>
      </w:r>
      <w:r w:rsidR="00353A7D" w:rsidRPr="00555610">
        <w:rPr>
          <w:noProof w:val="0"/>
          <w:sz w:val="32"/>
        </w:rPr>
        <w:t xml:space="preserve">ifferent </w:t>
      </w:r>
      <w:r w:rsidR="00353A7D">
        <w:rPr>
          <w:noProof w:val="0"/>
          <w:sz w:val="32"/>
        </w:rPr>
        <w:t>L</w:t>
      </w:r>
      <w:r w:rsidR="00353A7D" w:rsidRPr="00555610">
        <w:rPr>
          <w:noProof w:val="0"/>
          <w:sz w:val="32"/>
        </w:rPr>
        <w:t>ocations</w:t>
      </w:r>
    </w:p>
    <w:p w14:paraId="0488FED2" w14:textId="7A7F729F" w:rsidR="00B57E6F" w:rsidRPr="00555610" w:rsidRDefault="00555610" w:rsidP="00160259">
      <w:pPr>
        <w:pStyle w:val="CETAuthors"/>
        <w:jc w:val="left"/>
        <w:rPr>
          <w:lang w:val="it-IT"/>
        </w:rPr>
      </w:pPr>
      <w:r w:rsidRPr="00555610">
        <w:rPr>
          <w:lang w:val="it-IT"/>
        </w:rPr>
        <w:t>Grazia Leonzio*, Paul S. Fennell</w:t>
      </w:r>
      <w:r w:rsidR="00B57E6F" w:rsidRPr="00555610">
        <w:rPr>
          <w:lang w:val="it-IT"/>
        </w:rPr>
        <w:t xml:space="preserve">, </w:t>
      </w:r>
      <w:r w:rsidRPr="00555610">
        <w:rPr>
          <w:lang w:val="it-IT"/>
        </w:rPr>
        <w:t>Nilay Shah</w:t>
      </w:r>
    </w:p>
    <w:p w14:paraId="6B2D21B3" w14:textId="476C9DDA" w:rsidR="00B57E6F" w:rsidRPr="00B57B36" w:rsidRDefault="00555610" w:rsidP="00B57E6F">
      <w:pPr>
        <w:pStyle w:val="CETAddress"/>
      </w:pPr>
      <w:r w:rsidRPr="00555610">
        <w:t>Department of Chemical Engineering, Imperial College London, South Kensington, London SW7 2AZ, UK</w:t>
      </w:r>
      <w:r w:rsidR="00B57E6F" w:rsidRPr="00B57B36">
        <w:t xml:space="preserve"> </w:t>
      </w:r>
    </w:p>
    <w:p w14:paraId="73F1267A" w14:textId="2CF085B8" w:rsidR="00B57E6F" w:rsidRPr="00B57B36" w:rsidRDefault="00555610" w:rsidP="00B57E6F">
      <w:pPr>
        <w:pStyle w:val="CETemail"/>
      </w:pPr>
      <w:r w:rsidRPr="00555610">
        <w:t xml:space="preserve">g.leonzio20@imperial.ac.uk </w:t>
      </w:r>
    </w:p>
    <w:p w14:paraId="37A61FCE" w14:textId="31186BD4" w:rsidR="00DA24C6" w:rsidRDefault="001B5C72" w:rsidP="001B5C72">
      <w:pPr>
        <w:pStyle w:val="CETListbullets"/>
        <w:ind w:left="0" w:firstLine="0"/>
      </w:pPr>
      <w:r>
        <w:t>Direct air capture is an important negative emission technology with the aim to reduce carbon dioxide emissions in the atmosphere</w:t>
      </w:r>
      <w:r w:rsidR="00500007">
        <w:t xml:space="preserve"> and to face the current environmental problems such as</w:t>
      </w:r>
      <w:r w:rsidR="00BE4399">
        <w:t xml:space="preserve"> </w:t>
      </w:r>
      <w:r w:rsidR="006A472E">
        <w:t>global warming and climate change</w:t>
      </w:r>
      <w:r>
        <w:t>. This emerging technology can be based on an adsorption system affected by the used sorbent (</w:t>
      </w:r>
      <w:proofErr w:type="spellStart"/>
      <w:r>
        <w:t>physisorbents</w:t>
      </w:r>
      <w:proofErr w:type="spellEnd"/>
      <w:r>
        <w:t xml:space="preserve"> or </w:t>
      </w:r>
      <w:proofErr w:type="spellStart"/>
      <w:r>
        <w:t>chemisorbents</w:t>
      </w:r>
      <w:proofErr w:type="spellEnd"/>
      <w:r>
        <w:t xml:space="preserve">). Efficiencies can be measured through the use of key performance indicators that allow a comparison among different processes. </w:t>
      </w:r>
    </w:p>
    <w:p w14:paraId="74334BC4" w14:textId="613BBBE4" w:rsidR="00B6185A" w:rsidRDefault="00B6185A" w:rsidP="001B5C72">
      <w:pPr>
        <w:pStyle w:val="CETListbullets"/>
        <w:ind w:left="0" w:firstLine="0"/>
      </w:pPr>
      <w:r>
        <w:t>An independent analysis was conducted in our previous research to evaluate key performance indicators (total cost, energy consumption, environmental impact and capture capacity) for a direct air capture system based on adsorption using different sorbents (three</w:t>
      </w:r>
      <w:r w:rsidR="00EA6B3A">
        <w:t xml:space="preserve"> metal organic frameworks and t</w:t>
      </w:r>
      <w:r>
        <w:t>w</w:t>
      </w:r>
      <w:r w:rsidR="00EA6B3A">
        <w:t>o</w:t>
      </w:r>
      <w:r>
        <w:t xml:space="preserve"> amine functionalized sorbents). </w:t>
      </w:r>
    </w:p>
    <w:p w14:paraId="46440187" w14:textId="00BCCA2A" w:rsidR="00B6185A" w:rsidRDefault="00B6185A" w:rsidP="001B5C72">
      <w:pPr>
        <w:pStyle w:val="CETListbullets"/>
        <w:ind w:left="0" w:firstLine="0"/>
      </w:pPr>
      <w:r>
        <w:t xml:space="preserve">In this research, </w:t>
      </w:r>
      <w:r w:rsidR="00AA3D31">
        <w:t>the same an</w:t>
      </w:r>
      <w:r w:rsidR="00BE4399">
        <w:t>alysis was extended to several C</w:t>
      </w:r>
      <w:r w:rsidR="00AA3D31">
        <w:t xml:space="preserve">ountries around the world, changing the ambient </w:t>
      </w:r>
      <w:r w:rsidR="002872E5">
        <w:t xml:space="preserve">air </w:t>
      </w:r>
      <w:r w:rsidR="00AA3D31">
        <w:t xml:space="preserve">temperature according to the yearly average value of the location. </w:t>
      </w:r>
    </w:p>
    <w:p w14:paraId="7A2292F0" w14:textId="67CD7AF2" w:rsidR="00AA3D31" w:rsidRDefault="0019533B" w:rsidP="001B5C72">
      <w:pPr>
        <w:pStyle w:val="CETListbullets"/>
        <w:ind w:left="0" w:firstLine="0"/>
      </w:pPr>
      <w:r w:rsidRPr="0019533B">
        <w:t xml:space="preserve">Results show that by increasing the air temperature, the adsorption capacity decreases, in a more significant way for </w:t>
      </w:r>
      <w:r>
        <w:t>metal organic frameworks</w:t>
      </w:r>
      <w:r w:rsidRPr="0019533B">
        <w:t xml:space="preserve"> compared to amine functionalized sorbents. An opposite effect is for energy consumption. </w:t>
      </w:r>
      <w:r>
        <w:t xml:space="preserve">Moreover, by increasing </w:t>
      </w:r>
      <w:r w:rsidRPr="0019533B">
        <w:t xml:space="preserve">the ambient air temperature, a higher environmental impact (in terms of climate change) is present. </w:t>
      </w:r>
      <w:r>
        <w:t xml:space="preserve">A trend with the air temperature was not found for total costs. </w:t>
      </w:r>
      <w:r w:rsidRPr="0019533B">
        <w:t xml:space="preserve">Overall, locations with lower ambient </w:t>
      </w:r>
      <w:r w:rsidR="00951EC2">
        <w:t xml:space="preserve">air </w:t>
      </w:r>
      <w:r w:rsidRPr="0019533B">
        <w:t>temperatures are preferred due to a lower environmental impact and energy consumption.</w:t>
      </w:r>
    </w:p>
    <w:p w14:paraId="1BF3FF84" w14:textId="77777777" w:rsidR="00F26054" w:rsidRDefault="00600535" w:rsidP="00F26054">
      <w:pPr>
        <w:pStyle w:val="CETHeading1"/>
        <w:rPr>
          <w:lang w:val="en-GB"/>
        </w:rPr>
      </w:pPr>
      <w:r w:rsidRPr="00B57B36">
        <w:rPr>
          <w:lang w:val="en-GB"/>
        </w:rPr>
        <w:t>Introduction</w:t>
      </w:r>
    </w:p>
    <w:p w14:paraId="29786F71" w14:textId="07A704F3" w:rsidR="00703EB9" w:rsidRDefault="00F26054" w:rsidP="000A6852">
      <w:pPr>
        <w:pStyle w:val="CETHeading1"/>
        <w:numPr>
          <w:ilvl w:val="0"/>
          <w:numId w:val="0"/>
        </w:numPr>
        <w:spacing w:after="0"/>
        <w:jc w:val="both"/>
        <w:rPr>
          <w:b w:val="0"/>
          <w:sz w:val="18"/>
          <w:lang w:val="en-GB"/>
        </w:rPr>
      </w:pPr>
      <w:r w:rsidRPr="00F26054">
        <w:rPr>
          <w:b w:val="0"/>
          <w:sz w:val="18"/>
          <w:lang w:val="en-GB"/>
        </w:rPr>
        <w:t>Carbon dioxide (CO</w:t>
      </w:r>
      <w:r w:rsidRPr="00F26054">
        <w:rPr>
          <w:b w:val="0"/>
          <w:sz w:val="18"/>
          <w:vertAlign w:val="subscript"/>
          <w:lang w:val="en-GB"/>
        </w:rPr>
        <w:t>2</w:t>
      </w:r>
      <w:r w:rsidRPr="00F26054">
        <w:rPr>
          <w:b w:val="0"/>
          <w:sz w:val="18"/>
          <w:lang w:val="en-GB"/>
        </w:rPr>
        <w:t xml:space="preserve">) emissions in the world were more than 33 </w:t>
      </w:r>
      <w:proofErr w:type="spellStart"/>
      <w:r w:rsidRPr="00F26054">
        <w:rPr>
          <w:b w:val="0"/>
          <w:sz w:val="18"/>
          <w:lang w:val="en-GB"/>
        </w:rPr>
        <w:t>Gton</w:t>
      </w:r>
      <w:proofErr w:type="spellEnd"/>
      <w:r w:rsidRPr="00F26054">
        <w:rPr>
          <w:b w:val="0"/>
          <w:sz w:val="18"/>
          <w:lang w:val="en-GB"/>
        </w:rPr>
        <w:t xml:space="preserve"> in 2018 (IEA, 2020). Studies </w:t>
      </w:r>
      <w:r w:rsidR="00B5467E">
        <w:rPr>
          <w:b w:val="0"/>
          <w:sz w:val="18"/>
          <w:lang w:val="en-GB"/>
        </w:rPr>
        <w:t xml:space="preserve">have </w:t>
      </w:r>
      <w:r w:rsidRPr="00F26054">
        <w:rPr>
          <w:b w:val="0"/>
          <w:sz w:val="18"/>
          <w:lang w:val="en-GB"/>
        </w:rPr>
        <w:t>confirm</w:t>
      </w:r>
      <w:r w:rsidR="00B5467E">
        <w:rPr>
          <w:b w:val="0"/>
          <w:sz w:val="18"/>
          <w:lang w:val="en-GB"/>
        </w:rPr>
        <w:t>ed</w:t>
      </w:r>
      <w:r w:rsidRPr="00F26054">
        <w:rPr>
          <w:b w:val="0"/>
          <w:sz w:val="18"/>
          <w:lang w:val="en-GB"/>
        </w:rPr>
        <w:t xml:space="preserve"> that mitigation actions, meaning </w:t>
      </w:r>
      <w:r w:rsidR="00B5467E">
        <w:rPr>
          <w:b w:val="0"/>
          <w:sz w:val="18"/>
          <w:lang w:val="en-GB"/>
        </w:rPr>
        <w:t>the</w:t>
      </w:r>
      <w:r w:rsidRPr="00F26054">
        <w:rPr>
          <w:b w:val="0"/>
          <w:sz w:val="18"/>
          <w:lang w:val="en-GB"/>
        </w:rPr>
        <w:t xml:space="preserve"> reduction of CO</w:t>
      </w:r>
      <w:r w:rsidRPr="00F26054">
        <w:rPr>
          <w:b w:val="0"/>
          <w:sz w:val="18"/>
          <w:vertAlign w:val="subscript"/>
          <w:lang w:val="en-GB"/>
        </w:rPr>
        <w:t>2</w:t>
      </w:r>
      <w:r w:rsidRPr="00F26054">
        <w:rPr>
          <w:b w:val="0"/>
          <w:sz w:val="18"/>
          <w:lang w:val="en-GB"/>
        </w:rPr>
        <w:t xml:space="preserve"> emissions, might be not enough to achieve what is defined in the International Environmental Agreements. Instead, the removal of CO</w:t>
      </w:r>
      <w:r w:rsidRPr="00F26054">
        <w:rPr>
          <w:b w:val="0"/>
          <w:sz w:val="18"/>
          <w:vertAlign w:val="subscript"/>
          <w:lang w:val="en-GB"/>
        </w:rPr>
        <w:t>2</w:t>
      </w:r>
      <w:r w:rsidRPr="00F26054">
        <w:rPr>
          <w:b w:val="0"/>
          <w:sz w:val="18"/>
          <w:lang w:val="en-GB"/>
        </w:rPr>
        <w:t xml:space="preserve"> has been suggested by researchers through the use of Negative Emission Technologies (NETs) also known as Carbon Dioxide Removal (CDR) technologies (Lackner, 2015). Among these, due to particular advantages, much attention has been focused on Direct Air Capture (DAC), as underlined by the increasing research papers of these last years. In DAC, CO</w:t>
      </w:r>
      <w:r w:rsidRPr="00F26054">
        <w:rPr>
          <w:b w:val="0"/>
          <w:sz w:val="18"/>
          <w:vertAlign w:val="subscript"/>
          <w:lang w:val="en-GB"/>
        </w:rPr>
        <w:t>2</w:t>
      </w:r>
      <w:r w:rsidRPr="00F26054">
        <w:rPr>
          <w:b w:val="0"/>
          <w:sz w:val="18"/>
          <w:lang w:val="en-GB"/>
        </w:rPr>
        <w:t xml:space="preserve"> is captured from the air with several methodologies. Absorption and adsorption are the most investigated in the literature and important DAC companies are based on them (</w:t>
      </w:r>
      <w:proofErr w:type="gramStart"/>
      <w:r w:rsidRPr="00F26054">
        <w:rPr>
          <w:b w:val="0"/>
          <w:sz w:val="18"/>
          <w:lang w:val="en-GB"/>
        </w:rPr>
        <w:t>e.g.</w:t>
      </w:r>
      <w:proofErr w:type="gramEnd"/>
      <w:r w:rsidRPr="00F26054">
        <w:rPr>
          <w:b w:val="0"/>
          <w:sz w:val="18"/>
          <w:lang w:val="en-GB"/>
        </w:rPr>
        <w:t xml:space="preserve"> Carbon Engineering and </w:t>
      </w:r>
      <w:proofErr w:type="spellStart"/>
      <w:r w:rsidRPr="00F26054">
        <w:rPr>
          <w:b w:val="0"/>
          <w:sz w:val="18"/>
          <w:lang w:val="en-GB"/>
        </w:rPr>
        <w:t>Climeworks</w:t>
      </w:r>
      <w:proofErr w:type="spellEnd"/>
      <w:r w:rsidRPr="00F26054">
        <w:rPr>
          <w:b w:val="0"/>
          <w:sz w:val="18"/>
          <w:lang w:val="en-GB"/>
        </w:rPr>
        <w:t xml:space="preserve"> use respectively absorption and adsorption processes) (</w:t>
      </w:r>
      <w:proofErr w:type="spellStart"/>
      <w:r w:rsidRPr="00F26054">
        <w:rPr>
          <w:b w:val="0"/>
          <w:sz w:val="18"/>
          <w:lang w:val="en-GB"/>
        </w:rPr>
        <w:t>Sanz-Pérez</w:t>
      </w:r>
      <w:proofErr w:type="spellEnd"/>
      <w:r w:rsidRPr="00F26054">
        <w:rPr>
          <w:b w:val="0"/>
          <w:sz w:val="18"/>
          <w:lang w:val="en-GB"/>
        </w:rPr>
        <w:t xml:space="preserve"> et al., 2016). </w:t>
      </w:r>
    </w:p>
    <w:p w14:paraId="18078F89" w14:textId="74CFF5DC" w:rsidR="00703EB9" w:rsidRDefault="00703EB9" w:rsidP="00703EB9">
      <w:pPr>
        <w:pStyle w:val="CETBodytext"/>
        <w:rPr>
          <w:lang w:val="en-GB"/>
        </w:rPr>
      </w:pPr>
      <w:r>
        <w:rPr>
          <w:lang w:val="en-GB"/>
        </w:rPr>
        <w:t xml:space="preserve">The adsorption process </w:t>
      </w:r>
      <w:r w:rsidR="00E80182">
        <w:rPr>
          <w:lang w:val="en-GB"/>
        </w:rPr>
        <w:t xml:space="preserve">exhibiting modularity </w:t>
      </w:r>
      <w:r>
        <w:rPr>
          <w:lang w:val="en-GB"/>
        </w:rPr>
        <w:t xml:space="preserve">is characterized by a simpler process scheme </w:t>
      </w:r>
      <w:r w:rsidR="00E80182">
        <w:rPr>
          <w:lang w:val="en-GB"/>
        </w:rPr>
        <w:t>compared to the absorption system also with the possibility to exploit low grade heat for the regeneration stage. For these reasons</w:t>
      </w:r>
      <w:r w:rsidR="000A6852">
        <w:rPr>
          <w:lang w:val="en-GB"/>
        </w:rPr>
        <w:t xml:space="preserve">, this work </w:t>
      </w:r>
      <w:r w:rsidR="009A6DC4">
        <w:rPr>
          <w:lang w:val="en-GB"/>
        </w:rPr>
        <w:t>wa</w:t>
      </w:r>
      <w:r w:rsidR="000A6852">
        <w:rPr>
          <w:lang w:val="en-GB"/>
        </w:rPr>
        <w:t xml:space="preserve">s focused on the DAC adsorption. </w:t>
      </w:r>
      <w:r w:rsidR="00E80182">
        <w:rPr>
          <w:lang w:val="en-GB"/>
        </w:rPr>
        <w:t xml:space="preserve">  </w:t>
      </w:r>
    </w:p>
    <w:p w14:paraId="3C3C1737" w14:textId="1233A228" w:rsidR="00A61E1C" w:rsidRDefault="000A6852" w:rsidP="00F26054">
      <w:pPr>
        <w:pStyle w:val="CETBodytext"/>
        <w:rPr>
          <w:lang w:val="en-GB"/>
        </w:rPr>
      </w:pPr>
      <w:r>
        <w:rPr>
          <w:lang w:val="en-GB"/>
        </w:rPr>
        <w:t xml:space="preserve">In the literature, several </w:t>
      </w:r>
      <w:r w:rsidR="0069269A">
        <w:rPr>
          <w:lang w:val="en-GB"/>
        </w:rPr>
        <w:t>research works have</w:t>
      </w:r>
      <w:r>
        <w:rPr>
          <w:lang w:val="en-GB"/>
        </w:rPr>
        <w:t xml:space="preserve"> been conducted </w:t>
      </w:r>
      <w:r w:rsidR="0029504D">
        <w:rPr>
          <w:lang w:val="en-GB"/>
        </w:rPr>
        <w:t>changing the operating parameters (</w:t>
      </w:r>
      <w:proofErr w:type="spellStart"/>
      <w:r w:rsidR="0029504D" w:rsidRPr="0029504D">
        <w:rPr>
          <w:lang w:val="en-GB"/>
        </w:rPr>
        <w:t>Schellevis</w:t>
      </w:r>
      <w:proofErr w:type="spellEnd"/>
      <w:r w:rsidR="0029504D">
        <w:rPr>
          <w:lang w:val="en-GB"/>
        </w:rPr>
        <w:t xml:space="preserve"> et al., 2021; Miao et al., 2021</w:t>
      </w:r>
      <w:r w:rsidR="00797516">
        <w:rPr>
          <w:lang w:val="en-GB"/>
        </w:rPr>
        <w:t>) or</w:t>
      </w:r>
      <w:r w:rsidR="0029504D">
        <w:rPr>
          <w:lang w:val="en-GB"/>
        </w:rPr>
        <w:t xml:space="preserve"> proposing new regeneration methods (van </w:t>
      </w:r>
      <w:proofErr w:type="spellStart"/>
      <w:r w:rsidR="0029504D">
        <w:rPr>
          <w:lang w:val="en-GB"/>
        </w:rPr>
        <w:t>Schagen</w:t>
      </w:r>
      <w:proofErr w:type="spellEnd"/>
      <w:r w:rsidR="0029504D">
        <w:rPr>
          <w:lang w:val="en-GB"/>
        </w:rPr>
        <w:t xml:space="preserve"> et al., 2022) and adsorbent beds (</w:t>
      </w:r>
      <w:r w:rsidR="0029504D">
        <w:t>Drechsler and Agar, 2019</w:t>
      </w:r>
      <w:r w:rsidR="0029504D">
        <w:rPr>
          <w:lang w:val="en-GB"/>
        </w:rPr>
        <w:t xml:space="preserve">). </w:t>
      </w:r>
      <w:r w:rsidR="00F80CE1">
        <w:rPr>
          <w:lang w:val="en-GB"/>
        </w:rPr>
        <w:t>However,</w:t>
      </w:r>
      <w:r w:rsidR="00CB124F">
        <w:rPr>
          <w:lang w:val="en-GB"/>
        </w:rPr>
        <w:t xml:space="preserve"> most</w:t>
      </w:r>
      <w:r w:rsidR="0029504D">
        <w:rPr>
          <w:lang w:val="en-GB"/>
        </w:rPr>
        <w:t xml:space="preserve"> studies are about the evaluation of capture capacities, energy consumptions,</w:t>
      </w:r>
      <w:r w:rsidR="00797516">
        <w:rPr>
          <w:lang w:val="en-GB"/>
        </w:rPr>
        <w:t xml:space="preserve"> costs and environmental impact</w:t>
      </w:r>
      <w:r w:rsidR="00FF7823">
        <w:rPr>
          <w:lang w:val="en-GB"/>
        </w:rPr>
        <w:t>s</w:t>
      </w:r>
      <w:r w:rsidR="00797516">
        <w:rPr>
          <w:lang w:val="en-GB"/>
        </w:rPr>
        <w:t>, as the most important Key Performance Indicators (KPIs) investigated in t</w:t>
      </w:r>
      <w:r w:rsidR="00A61E1C">
        <w:rPr>
          <w:lang w:val="en-GB"/>
        </w:rPr>
        <w:t xml:space="preserve">he literature for this process. </w:t>
      </w:r>
      <w:r w:rsidR="00EA6B3A">
        <w:rPr>
          <w:lang w:val="en-GB"/>
        </w:rPr>
        <w:t xml:space="preserve">In </w:t>
      </w:r>
      <w:proofErr w:type="spellStart"/>
      <w:r w:rsidR="00EA6B3A">
        <w:rPr>
          <w:lang w:val="en-GB"/>
        </w:rPr>
        <w:t>Fasihi</w:t>
      </w:r>
      <w:proofErr w:type="spellEnd"/>
      <w:r w:rsidR="00EA6B3A">
        <w:rPr>
          <w:lang w:val="en-GB"/>
        </w:rPr>
        <w:t xml:space="preserve"> et al. (2019), the electrical </w:t>
      </w:r>
      <w:r w:rsidR="00B5467E">
        <w:rPr>
          <w:lang w:val="en-GB"/>
        </w:rPr>
        <w:t xml:space="preserve">energy </w:t>
      </w:r>
      <w:r w:rsidR="00EA6B3A">
        <w:rPr>
          <w:lang w:val="en-GB"/>
        </w:rPr>
        <w:t xml:space="preserve">consumption for systems based on </w:t>
      </w:r>
      <w:r w:rsidR="004576F6">
        <w:rPr>
          <w:lang w:val="en-GB"/>
        </w:rPr>
        <w:t>amine functionalized sorbents has been reported</w:t>
      </w:r>
      <w:r w:rsidR="00EA6B3A">
        <w:rPr>
          <w:lang w:val="en-GB"/>
        </w:rPr>
        <w:t xml:space="preserve"> betwee</w:t>
      </w:r>
      <w:r w:rsidR="006156E4">
        <w:rPr>
          <w:lang w:val="en-GB"/>
        </w:rPr>
        <w:t xml:space="preserve">n 150 and </w:t>
      </w:r>
      <w:r w:rsidR="00EA6B3A">
        <w:rPr>
          <w:lang w:val="en-GB"/>
        </w:rPr>
        <w:t xml:space="preserve">300 </w:t>
      </w:r>
      <w:proofErr w:type="spellStart"/>
      <w:r w:rsidR="00EA6B3A">
        <w:rPr>
          <w:lang w:val="en-GB"/>
        </w:rPr>
        <w:t>kWh</w:t>
      </w:r>
      <w:r w:rsidR="00EA6B3A" w:rsidRPr="00EA6B3A">
        <w:rPr>
          <w:vertAlign w:val="subscript"/>
          <w:lang w:val="en-GB"/>
        </w:rPr>
        <w:t>el</w:t>
      </w:r>
      <w:proofErr w:type="spellEnd"/>
      <w:r w:rsidR="00DF12C5">
        <w:rPr>
          <w:lang w:val="en-GB"/>
        </w:rPr>
        <w:t>/t</w:t>
      </w:r>
      <w:r w:rsidR="00EA6B3A">
        <w:rPr>
          <w:lang w:val="en-GB"/>
        </w:rPr>
        <w:t>CO</w:t>
      </w:r>
      <w:r w:rsidR="00EA6B3A" w:rsidRPr="00EA6B3A">
        <w:rPr>
          <w:vertAlign w:val="subscript"/>
          <w:lang w:val="en-GB"/>
        </w:rPr>
        <w:t>2</w:t>
      </w:r>
      <w:r w:rsidR="00EA6B3A">
        <w:rPr>
          <w:vertAlign w:val="subscript"/>
          <w:lang w:val="en-GB"/>
        </w:rPr>
        <w:t xml:space="preserve"> </w:t>
      </w:r>
      <w:r w:rsidR="00EA6B3A">
        <w:rPr>
          <w:lang w:val="en-GB"/>
        </w:rPr>
        <w:t xml:space="preserve">while, processes based on Metal Organic Frameworks (MOFs) can have an electrical </w:t>
      </w:r>
      <w:r w:rsidR="00B5467E">
        <w:rPr>
          <w:lang w:val="en-GB"/>
        </w:rPr>
        <w:t xml:space="preserve">energy </w:t>
      </w:r>
      <w:r w:rsidR="00EA6B3A">
        <w:rPr>
          <w:lang w:val="en-GB"/>
        </w:rPr>
        <w:t xml:space="preserve">consumption up to 1420 </w:t>
      </w:r>
      <w:proofErr w:type="spellStart"/>
      <w:r w:rsidR="00EA6B3A">
        <w:rPr>
          <w:lang w:val="en-GB"/>
        </w:rPr>
        <w:t>kWh</w:t>
      </w:r>
      <w:r w:rsidR="00EA6B3A" w:rsidRPr="00EA6B3A">
        <w:rPr>
          <w:vertAlign w:val="subscript"/>
          <w:lang w:val="en-GB"/>
        </w:rPr>
        <w:t>el</w:t>
      </w:r>
      <w:proofErr w:type="spellEnd"/>
      <w:r w:rsidR="00DF12C5">
        <w:rPr>
          <w:lang w:val="en-GB"/>
        </w:rPr>
        <w:t>/t</w:t>
      </w:r>
      <w:r w:rsidR="00EA6B3A">
        <w:rPr>
          <w:lang w:val="en-GB"/>
        </w:rPr>
        <w:t>CO</w:t>
      </w:r>
      <w:r w:rsidR="00EA6B3A" w:rsidRPr="00EA6B3A">
        <w:rPr>
          <w:vertAlign w:val="subscript"/>
          <w:lang w:val="en-GB"/>
        </w:rPr>
        <w:t>2</w:t>
      </w:r>
      <w:r w:rsidR="00EA6B3A">
        <w:rPr>
          <w:lang w:val="en-GB"/>
        </w:rPr>
        <w:t xml:space="preserve">. </w:t>
      </w:r>
      <w:r w:rsidR="00AB5190">
        <w:rPr>
          <w:lang w:val="en-GB"/>
        </w:rPr>
        <w:t xml:space="preserve">Thermal energy consumptions </w:t>
      </w:r>
      <w:r w:rsidR="00FF7823">
        <w:rPr>
          <w:lang w:val="en-GB"/>
        </w:rPr>
        <w:t xml:space="preserve">for </w:t>
      </w:r>
      <w:proofErr w:type="spellStart"/>
      <w:r w:rsidR="00FF7823">
        <w:rPr>
          <w:lang w:val="en-GB"/>
        </w:rPr>
        <w:t>chemisorbent</w:t>
      </w:r>
      <w:proofErr w:type="spellEnd"/>
      <w:r w:rsidR="00FF7823">
        <w:rPr>
          <w:lang w:val="en-GB"/>
        </w:rPr>
        <w:t xml:space="preserve"> based systems </w:t>
      </w:r>
      <w:r w:rsidR="004576F6">
        <w:rPr>
          <w:lang w:val="en-GB"/>
        </w:rPr>
        <w:t xml:space="preserve">have been evaluated </w:t>
      </w:r>
      <w:r w:rsidR="00AB5190">
        <w:rPr>
          <w:lang w:val="en-GB"/>
        </w:rPr>
        <w:t xml:space="preserve">between </w:t>
      </w:r>
      <w:r w:rsidR="00AB5190" w:rsidRPr="00AB5190">
        <w:rPr>
          <w:lang w:val="en-GB"/>
        </w:rPr>
        <w:t>1170 and</w:t>
      </w:r>
      <w:r w:rsidR="00AB5190">
        <w:rPr>
          <w:lang w:val="en-GB"/>
        </w:rPr>
        <w:t xml:space="preserve"> 2000 </w:t>
      </w:r>
      <w:proofErr w:type="spellStart"/>
      <w:r w:rsidR="00AB5190">
        <w:rPr>
          <w:lang w:val="en-GB"/>
        </w:rPr>
        <w:t>kWh</w:t>
      </w:r>
      <w:r w:rsidR="00AB5190" w:rsidRPr="00AB5190">
        <w:rPr>
          <w:vertAlign w:val="subscript"/>
          <w:lang w:val="en-GB"/>
        </w:rPr>
        <w:t>th</w:t>
      </w:r>
      <w:proofErr w:type="spellEnd"/>
      <w:r w:rsidR="00DF12C5">
        <w:rPr>
          <w:lang w:val="en-GB"/>
        </w:rPr>
        <w:t>/t</w:t>
      </w:r>
      <w:r w:rsidR="00AB5190">
        <w:rPr>
          <w:lang w:val="en-GB"/>
        </w:rPr>
        <w:t>CO</w:t>
      </w:r>
      <w:r w:rsidR="00AB5190" w:rsidRPr="00AB5190">
        <w:rPr>
          <w:vertAlign w:val="subscript"/>
          <w:lang w:val="en-GB"/>
        </w:rPr>
        <w:t>2</w:t>
      </w:r>
      <w:r w:rsidR="00AB5190">
        <w:rPr>
          <w:lang w:val="en-GB"/>
        </w:rPr>
        <w:t xml:space="preserve">. </w:t>
      </w:r>
    </w:p>
    <w:p w14:paraId="5B93C415" w14:textId="5992B473" w:rsidR="00A61E1C" w:rsidRDefault="00EF7F96" w:rsidP="00F26054">
      <w:pPr>
        <w:pStyle w:val="CETBodytext"/>
      </w:pPr>
      <w:r>
        <w:lastRenderedPageBreak/>
        <w:t>A wider range fo</w:t>
      </w:r>
      <w:r w:rsidR="00DF12C5">
        <w:t>r total costs up to 1000 $/t</w:t>
      </w:r>
      <w:r>
        <w:t>CO</w:t>
      </w:r>
      <w:r w:rsidRPr="00EF7F96">
        <w:rPr>
          <w:vertAlign w:val="subscript"/>
        </w:rPr>
        <w:t>2</w:t>
      </w:r>
      <w:r>
        <w:t xml:space="preserve"> has been reported</w:t>
      </w:r>
      <w:r w:rsidR="004A2068">
        <w:t xml:space="preserve"> (House et al., 2011)</w:t>
      </w:r>
      <w:r>
        <w:t xml:space="preserve">. </w:t>
      </w:r>
      <w:r w:rsidR="00A61E1C">
        <w:t xml:space="preserve">On the other hand, other studies based on </w:t>
      </w:r>
      <w:r w:rsidR="00FF7823">
        <w:t>different assumptions for input</w:t>
      </w:r>
      <w:r w:rsidR="00A61E1C">
        <w:t xml:space="preserve"> and output conditions suggested total costs of </w:t>
      </w:r>
      <w:r w:rsidR="00FF7823">
        <w:t xml:space="preserve">a </w:t>
      </w:r>
      <w:r w:rsidR="00A61E1C">
        <w:t>few hundred dollars</w:t>
      </w:r>
      <w:r w:rsidR="00D775A5">
        <w:t xml:space="preserve"> (</w:t>
      </w:r>
      <w:r w:rsidR="00195F94">
        <w:t>Zhang et al., 2014</w:t>
      </w:r>
      <w:r w:rsidR="00F214D4">
        <w:t xml:space="preserve">; </w:t>
      </w:r>
      <w:r w:rsidR="00F214D4" w:rsidRPr="00F214D4">
        <w:t>Sinha et al</w:t>
      </w:r>
      <w:r w:rsidR="00F214D4">
        <w:t>., 2017</w:t>
      </w:r>
      <w:r w:rsidR="00195F94">
        <w:t xml:space="preserve">; Kulkarni and </w:t>
      </w:r>
      <w:proofErr w:type="spellStart"/>
      <w:r w:rsidR="00195F94">
        <w:t>Sholl</w:t>
      </w:r>
      <w:proofErr w:type="spellEnd"/>
      <w:r w:rsidR="00195F94">
        <w:t>, 2012</w:t>
      </w:r>
      <w:r w:rsidR="00D775A5">
        <w:t>)</w:t>
      </w:r>
      <w:r w:rsidR="00A61E1C">
        <w:t xml:space="preserve">. </w:t>
      </w:r>
    </w:p>
    <w:p w14:paraId="0BC345C9" w14:textId="14ACCBAA" w:rsidR="00A61E1C" w:rsidRPr="00A61E1C" w:rsidRDefault="004576F6" w:rsidP="00F26054">
      <w:pPr>
        <w:pStyle w:val="CETBodytext"/>
        <w:rPr>
          <w:lang w:val="en-GB"/>
        </w:rPr>
      </w:pPr>
      <w:r>
        <w:t xml:space="preserve">In </w:t>
      </w:r>
      <w:r w:rsidR="00A61E1C" w:rsidRPr="00A609F1">
        <w:t xml:space="preserve">Kulkarni and </w:t>
      </w:r>
      <w:proofErr w:type="spellStart"/>
      <w:r w:rsidR="00A61E1C" w:rsidRPr="00A609F1">
        <w:t>Sholl</w:t>
      </w:r>
      <w:proofErr w:type="spellEnd"/>
      <w:r w:rsidR="00A61E1C" w:rsidRPr="00A609F1">
        <w:t xml:space="preserve"> </w:t>
      </w:r>
      <w:r w:rsidR="00FD063B">
        <w:t>(2012)</w:t>
      </w:r>
      <w:r w:rsidR="00A61E1C" w:rsidRPr="00A609F1">
        <w:t xml:space="preserve"> a cost of CO</w:t>
      </w:r>
      <w:r w:rsidR="00A61E1C" w:rsidRPr="00A609F1">
        <w:rPr>
          <w:vertAlign w:val="subscript"/>
        </w:rPr>
        <w:t>2</w:t>
      </w:r>
      <w:r w:rsidR="00A61E1C" w:rsidRPr="00A609F1">
        <w:t xml:space="preserve"> capture </w:t>
      </w:r>
      <w:r>
        <w:t xml:space="preserve">between 43 and </w:t>
      </w:r>
      <w:r w:rsidR="00DF12C5">
        <w:t>494 $/t</w:t>
      </w:r>
      <w:r w:rsidR="00A61E1C" w:rsidRPr="00A609F1">
        <w:t>CO</w:t>
      </w:r>
      <w:r w:rsidR="00A61E1C" w:rsidRPr="00A609F1">
        <w:rPr>
          <w:vertAlign w:val="subscript"/>
        </w:rPr>
        <w:t>2</w:t>
      </w:r>
      <w:r>
        <w:rPr>
          <w:vertAlign w:val="subscript"/>
        </w:rPr>
        <w:t xml:space="preserve"> </w:t>
      </w:r>
      <w:r w:rsidRPr="004576F6">
        <w:t>has been reported</w:t>
      </w:r>
      <w:r w:rsidR="00A61E1C" w:rsidRPr="00A609F1">
        <w:rPr>
          <w:vertAlign w:val="subscript"/>
        </w:rPr>
        <w:t xml:space="preserve">, </w:t>
      </w:r>
      <w:r w:rsidR="00FD063B">
        <w:t>while Zhang et al. (2014)</w:t>
      </w:r>
      <w:r w:rsidR="00A61E1C" w:rsidRPr="00A609F1">
        <w:t xml:space="preserve"> suggest</w:t>
      </w:r>
      <w:r>
        <w:t>ed</w:t>
      </w:r>
      <w:r w:rsidR="00DF12C5">
        <w:t xml:space="preserve"> a cost between 91 and 227 $/t</w:t>
      </w:r>
      <w:r w:rsidR="00A61E1C" w:rsidRPr="00A609F1">
        <w:t>CO</w:t>
      </w:r>
      <w:r w:rsidR="00A61E1C" w:rsidRPr="00A609F1">
        <w:rPr>
          <w:vertAlign w:val="subscript"/>
        </w:rPr>
        <w:t xml:space="preserve">2 </w:t>
      </w:r>
      <w:r w:rsidR="00C31CDC">
        <w:t xml:space="preserve">but </w:t>
      </w:r>
      <w:r>
        <w:t>without considering capital costs</w:t>
      </w:r>
      <w:r w:rsidR="00A61E1C" w:rsidRPr="00A609F1">
        <w:rPr>
          <w:vertAlign w:val="subscript"/>
        </w:rPr>
        <w:t xml:space="preserve">. </w:t>
      </w:r>
      <w:r w:rsidR="00A61E1C" w:rsidRPr="00A609F1">
        <w:t xml:space="preserve">Sinha et al. </w:t>
      </w:r>
      <w:r w:rsidR="008E3FC5">
        <w:t>(2017)</w:t>
      </w:r>
      <w:r w:rsidR="00A61E1C" w:rsidRPr="00A609F1">
        <w:t xml:space="preserve"> </w:t>
      </w:r>
      <w:r>
        <w:t>evaluated</w:t>
      </w:r>
      <w:r w:rsidR="00A61E1C" w:rsidRPr="00A609F1">
        <w:t xml:space="preserve"> a </w:t>
      </w:r>
      <w:r>
        <w:t xml:space="preserve">lower </w:t>
      </w:r>
      <w:r w:rsidR="00A61E1C" w:rsidRPr="00A609F1">
        <w:t xml:space="preserve">cost of capture </w:t>
      </w:r>
      <w:r>
        <w:t xml:space="preserve">between 60 and </w:t>
      </w:r>
      <w:r w:rsidR="00DF12C5">
        <w:t>190 $/t</w:t>
      </w:r>
      <w:r w:rsidR="00A61E1C" w:rsidRPr="00A609F1">
        <w:t>CO</w:t>
      </w:r>
      <w:r w:rsidR="00A61E1C" w:rsidRPr="00A609F1">
        <w:rPr>
          <w:vertAlign w:val="subscript"/>
        </w:rPr>
        <w:t xml:space="preserve">2 </w:t>
      </w:r>
      <w:r w:rsidRPr="004576F6">
        <w:t>but</w:t>
      </w:r>
      <w:r>
        <w:rPr>
          <w:vertAlign w:val="subscript"/>
        </w:rPr>
        <w:t xml:space="preserve"> </w:t>
      </w:r>
      <w:r w:rsidR="00C31CDC" w:rsidRPr="00C31CDC">
        <w:t>cash flows were not discounted.</w:t>
      </w:r>
      <w:r w:rsidR="00C31CDC">
        <w:rPr>
          <w:vertAlign w:val="subscript"/>
        </w:rPr>
        <w:t xml:space="preserve"> </w:t>
      </w:r>
    </w:p>
    <w:p w14:paraId="182170DA" w14:textId="7BBD79AC" w:rsidR="00A61E1C" w:rsidRDefault="00C31CDC" w:rsidP="00F26054">
      <w:pPr>
        <w:pStyle w:val="CETBodytext"/>
      </w:pPr>
      <w:r>
        <w:t>In order to verify the KPI ranges suggested in the literature, an independent analysis has been conducted in Leonzio et al. (2022</w:t>
      </w:r>
      <w:proofErr w:type="gramStart"/>
      <w:r>
        <w:t>a,b</w:t>
      </w:r>
      <w:proofErr w:type="gramEnd"/>
      <w:r>
        <w:t>) for an adsorption process capturing CO</w:t>
      </w:r>
      <w:r w:rsidRPr="00964EA4">
        <w:rPr>
          <w:vertAlign w:val="subscript"/>
        </w:rPr>
        <w:t>2</w:t>
      </w:r>
      <w:r w:rsidR="00964EA4">
        <w:t xml:space="preserve"> from the air and designed</w:t>
      </w:r>
      <w:r>
        <w:t xml:space="preserve"> according to the </w:t>
      </w:r>
      <w:proofErr w:type="spellStart"/>
      <w:r>
        <w:t>Climeworks</w:t>
      </w:r>
      <w:proofErr w:type="spellEnd"/>
      <w:r>
        <w:t xml:space="preserve"> plant</w:t>
      </w:r>
      <w:r w:rsidR="00964EA4">
        <w:t xml:space="preserve">. Costs, adsorption capacities, energy consumptions and environmental impacts were evaluated for different systems based on different sorbents, </w:t>
      </w:r>
      <w:r w:rsidR="002872E5">
        <w:t xml:space="preserve">such as </w:t>
      </w:r>
      <w:r w:rsidR="00964EA4">
        <w:t xml:space="preserve">two amine functionalized sorbents (SI-AEATPMS </w:t>
      </w:r>
      <w:r w:rsidR="00964EA4" w:rsidRPr="00A609F1">
        <w:t>([N-(2-aminoethyl)-3-</w:t>
      </w:r>
      <w:proofErr w:type="gramStart"/>
      <w:r w:rsidR="00964EA4" w:rsidRPr="00A609F1">
        <w:t>aminopropyl]</w:t>
      </w:r>
      <w:proofErr w:type="spellStart"/>
      <w:r w:rsidR="00964EA4" w:rsidRPr="00A609F1">
        <w:t>trimethoxysilane</w:t>
      </w:r>
      <w:proofErr w:type="spellEnd"/>
      <w:proofErr w:type="gramEnd"/>
      <w:r w:rsidR="00964EA4" w:rsidRPr="00A609F1">
        <w:t xml:space="preserve"> (AEATPMS) grafted on silica gel)</w:t>
      </w:r>
      <w:r w:rsidR="00964EA4">
        <w:t xml:space="preserve"> and APDES-NFC-FD </w:t>
      </w:r>
      <w:r w:rsidR="00964EA4" w:rsidRPr="00A609F1">
        <w:t xml:space="preserve">(3-aminopropylmethyldiethoxysilane (APDES) on </w:t>
      </w:r>
      <w:proofErr w:type="spellStart"/>
      <w:r w:rsidR="00964EA4" w:rsidRPr="00A609F1">
        <w:t>nanofibrillated</w:t>
      </w:r>
      <w:proofErr w:type="spellEnd"/>
      <w:r w:rsidR="00964EA4" w:rsidRPr="00A609F1">
        <w:t xml:space="preserve"> cellulose (NFC)</w:t>
      </w:r>
      <w:r w:rsidR="00964EA4">
        <w:t>) and three MOFs (MIL-101, MOF-177, MOF-5).</w:t>
      </w:r>
    </w:p>
    <w:p w14:paraId="45BD34A4" w14:textId="09BB941B" w:rsidR="00F26054" w:rsidRDefault="00964EA4" w:rsidP="00F26054">
      <w:pPr>
        <w:pStyle w:val="CETBodytext"/>
      </w:pPr>
      <w:r>
        <w:t xml:space="preserve">In this work, the previous independent analysis </w:t>
      </w:r>
      <w:r w:rsidR="00E118FD">
        <w:t>was</w:t>
      </w:r>
      <w:r>
        <w:t xml:space="preserve"> extended to several </w:t>
      </w:r>
      <w:r w:rsidR="00FF7823">
        <w:t>C</w:t>
      </w:r>
      <w:r>
        <w:t xml:space="preserve">ountries around the world with the aim to find the best location for the </w:t>
      </w:r>
      <w:r w:rsidR="00F80CE1">
        <w:t>DAC plant at</w:t>
      </w:r>
      <w:r>
        <w:t xml:space="preserve"> different ambient air temperatures. </w:t>
      </w:r>
      <w:r w:rsidR="002872E5">
        <w:t xml:space="preserve">The comparison </w:t>
      </w:r>
      <w:r w:rsidR="00E118FD">
        <w:t>was</w:t>
      </w:r>
      <w:r w:rsidR="002872E5">
        <w:t xml:space="preserve"> conducted evaluating the total cost, adsorption capacity, thermal and electrical energy consumptions and global warming. </w:t>
      </w:r>
    </w:p>
    <w:p w14:paraId="5741900F" w14:textId="0E4E28EB" w:rsidR="00453E24" w:rsidRDefault="009F6AC5" w:rsidP="00F26054">
      <w:pPr>
        <w:pStyle w:val="CETHeading1"/>
      </w:pPr>
      <w:r>
        <w:t>Mathematical modelling</w:t>
      </w:r>
    </w:p>
    <w:p w14:paraId="0636B784" w14:textId="3B63BFAC" w:rsidR="00453E24" w:rsidRDefault="00215EDD" w:rsidP="00453E24">
      <w:pPr>
        <w:pStyle w:val="CETheadingx"/>
      </w:pPr>
      <w:r>
        <w:t>Adsorbent bed and model equations</w:t>
      </w:r>
    </w:p>
    <w:p w14:paraId="29D35BF8" w14:textId="03A3A1C5" w:rsidR="00DF7603" w:rsidRDefault="009A6DC4" w:rsidP="00DF12C5">
      <w:pPr>
        <w:pStyle w:val="CETBodytext"/>
      </w:pPr>
      <w:r>
        <w:t xml:space="preserve">The adsorbent bed design was based on the </w:t>
      </w:r>
      <w:proofErr w:type="spellStart"/>
      <w:r>
        <w:t>Climeworks</w:t>
      </w:r>
      <w:proofErr w:type="spellEnd"/>
      <w:r>
        <w:t xml:space="preserve"> plant</w:t>
      </w:r>
      <w:r w:rsidR="00DF7603">
        <w:t xml:space="preserve"> located in Switzerland (</w:t>
      </w:r>
      <w:proofErr w:type="spellStart"/>
      <w:r w:rsidR="00DF7603">
        <w:t>Hinwil</w:t>
      </w:r>
      <w:proofErr w:type="spellEnd"/>
      <w:r w:rsidR="00DF7603">
        <w:t>)</w:t>
      </w:r>
      <w:r>
        <w:t>, consisting o</w:t>
      </w:r>
      <w:r w:rsidR="00117211">
        <w:t>f</w:t>
      </w:r>
      <w:r>
        <w:t xml:space="preserve"> </w:t>
      </w:r>
      <w:proofErr w:type="gramStart"/>
      <w:r>
        <w:t>18</w:t>
      </w:r>
      <w:r w:rsidR="00C57C2A">
        <w:t> </w:t>
      </w:r>
      <w:r>
        <w:t>unit</w:t>
      </w:r>
      <w:proofErr w:type="gramEnd"/>
      <w:r>
        <w:t xml:space="preserve"> beds placed in 3 rows of 6 beds working simultaneously capturing and releasing CO</w:t>
      </w:r>
      <w:r w:rsidRPr="009A6DC4">
        <w:rPr>
          <w:vertAlign w:val="subscript"/>
        </w:rPr>
        <w:t>2</w:t>
      </w:r>
      <w:r>
        <w:t xml:space="preserve"> from the air. In this work, only a single adsorption bed was modelled with an area footprint excl</w:t>
      </w:r>
      <w:r w:rsidR="00945D3B">
        <w:t>uded</w:t>
      </w:r>
      <w:r>
        <w:t xml:space="preserve"> options of 20 m</w:t>
      </w:r>
      <w:r w:rsidRPr="009A6DC4">
        <w:rPr>
          <w:vertAlign w:val="superscript"/>
        </w:rPr>
        <w:t>2</w:t>
      </w:r>
      <w:r>
        <w:t>, a height of 3.2 m and treating 2.86 m</w:t>
      </w:r>
      <w:r w:rsidRPr="009A6DC4">
        <w:rPr>
          <w:vertAlign w:val="superscript"/>
        </w:rPr>
        <w:t>3</w:t>
      </w:r>
      <w:r>
        <w:t>/s of air with a CO</w:t>
      </w:r>
      <w:r w:rsidRPr="009A6DC4">
        <w:rPr>
          <w:vertAlign w:val="subscript"/>
        </w:rPr>
        <w:t>2</w:t>
      </w:r>
      <w:r>
        <w:t xml:space="preserve"> concentration of 400 ppm. </w:t>
      </w:r>
      <w:r w:rsidR="0053575C">
        <w:t xml:space="preserve">The </w:t>
      </w:r>
      <w:r w:rsidR="00DF7603">
        <w:t xml:space="preserve">operating principle of the bed </w:t>
      </w:r>
      <w:r w:rsidR="00DA1E51">
        <w:t>i</w:t>
      </w:r>
      <w:r w:rsidR="0053575C">
        <w:t>s based on the Temperature Swing Adsorption</w:t>
      </w:r>
      <w:r w:rsidR="00DF7603">
        <w:t xml:space="preserve"> (TSA)</w:t>
      </w:r>
      <w:r w:rsidR="0053575C">
        <w:t xml:space="preserve">: the regeneration stage </w:t>
      </w:r>
      <w:r w:rsidR="00DA1E51">
        <w:t>i</w:t>
      </w:r>
      <w:r w:rsidR="0053575C">
        <w:t xml:space="preserve">s ensured by increasing </w:t>
      </w:r>
      <w:r w:rsidR="00DF7603">
        <w:t xml:space="preserve">the </w:t>
      </w:r>
      <w:r w:rsidR="0053575C">
        <w:t xml:space="preserve">temperature at 110 °C for the system using the </w:t>
      </w:r>
      <w:r w:rsidR="00DF7603">
        <w:t xml:space="preserve">silica </w:t>
      </w:r>
      <w:proofErr w:type="gramStart"/>
      <w:r w:rsidR="00DF7603">
        <w:t>gel based</w:t>
      </w:r>
      <w:proofErr w:type="gramEnd"/>
      <w:r w:rsidR="00DF7603">
        <w:t xml:space="preserve"> sorbent and</w:t>
      </w:r>
      <w:r w:rsidR="0053575C">
        <w:t xml:space="preserve"> 100 °C for systems using all other sorbents. </w:t>
      </w:r>
      <w:r w:rsidR="00DF7603">
        <w:t xml:space="preserve">The working adsorption temperature </w:t>
      </w:r>
      <w:r w:rsidR="00DA1E51">
        <w:t>i</w:t>
      </w:r>
      <w:r w:rsidR="00DF7603">
        <w:t xml:space="preserve">s </w:t>
      </w:r>
      <w:r w:rsidR="00F10F62">
        <w:t>set by the air temperature</w:t>
      </w:r>
      <w:r w:rsidR="00DF7603">
        <w:t xml:space="preserve">. Thermal and electrical energies </w:t>
      </w:r>
      <w:r w:rsidR="00DA1E51">
        <w:t>a</w:t>
      </w:r>
      <w:r w:rsidR="00DF7603">
        <w:t xml:space="preserve">re supplied by a Municipal Waste Incinerator (MWI), as for </w:t>
      </w:r>
      <w:proofErr w:type="spellStart"/>
      <w:r w:rsidR="00DF7603">
        <w:t>Climeworks</w:t>
      </w:r>
      <w:proofErr w:type="spellEnd"/>
      <w:r w:rsidR="00DF7603">
        <w:t xml:space="preserve">. </w:t>
      </w:r>
    </w:p>
    <w:p w14:paraId="50347638" w14:textId="4B020937" w:rsidR="006441D6" w:rsidRDefault="006441D6" w:rsidP="00DF12C5">
      <w:pPr>
        <w:pStyle w:val="CETBodytext"/>
      </w:pPr>
      <w:r>
        <w:t>Some assumptions were considered to develop the mathematical model: ideal conditions for the gas phase, isothermal conditions for the bed neglecting radial gradients, negligible nitrogen (N</w:t>
      </w:r>
      <w:r w:rsidRPr="006441D6">
        <w:rPr>
          <w:vertAlign w:val="subscript"/>
        </w:rPr>
        <w:t>2</w:t>
      </w:r>
      <w:r>
        <w:t>) and water (H</w:t>
      </w:r>
      <w:r w:rsidRPr="006441D6">
        <w:rPr>
          <w:vertAlign w:val="subscript"/>
        </w:rPr>
        <w:t>2</w:t>
      </w:r>
      <w:r>
        <w:t xml:space="preserve">O) adsorption, linear driving force (LDF) for the adsorption kinetic. </w:t>
      </w:r>
    </w:p>
    <w:p w14:paraId="66935E78" w14:textId="12DBA4A6" w:rsidR="006441D6" w:rsidRDefault="00DA1E51" w:rsidP="00DF12C5">
      <w:pPr>
        <w:pStyle w:val="CETBodytext"/>
      </w:pPr>
      <w:r>
        <w:t xml:space="preserve">The mathematical model used to describe the single adsorbent bed has </w:t>
      </w:r>
      <w:r w:rsidRPr="00DA1E51">
        <w:t>gas phase and adsorbed phase material balance</w:t>
      </w:r>
      <w:r>
        <w:t xml:space="preserve"> equations respectively as a partial differential equation and </w:t>
      </w:r>
      <w:r w:rsidR="006441D6">
        <w:t xml:space="preserve">ordinal differential equations. </w:t>
      </w:r>
      <w:r w:rsidR="00257F82">
        <w:t>Maple softwa</w:t>
      </w:r>
      <w:r w:rsidR="003A7C65">
        <w:t xml:space="preserve">re was used for its resolution and its detailed description has been reported in Leonzio et al. (2022a). Langmuir adsorption equilibrium isothermals were used for MOFs, the Toth model was </w:t>
      </w:r>
      <w:r w:rsidR="002D2C27">
        <w:t xml:space="preserve">used for the APDES-NFC-FD sorbent, while for SI-AEATPMS a regression of the adsorption equilibrium isothermal was made from literature data in order to have an expression as a function of temperature. </w:t>
      </w:r>
    </w:p>
    <w:p w14:paraId="0F482666" w14:textId="4F2C7452" w:rsidR="00B4255D" w:rsidRDefault="00B4255D" w:rsidP="00DF12C5">
      <w:pPr>
        <w:pStyle w:val="CETBodytext"/>
      </w:pPr>
      <w:r>
        <w:t xml:space="preserve">Different locations around the world were considered for the DAC plant changing the ambient air temperature according to the </w:t>
      </w:r>
      <w:r w:rsidR="00AA1172">
        <w:t xml:space="preserve">yearly average value of the location </w:t>
      </w:r>
      <w:r>
        <w:t>as follows: Finland (2.52 °C), China (7.1 °C), Austria (7.25 °C), USA (7.63 °C), Poland (8.85 °C), UK (9.07 °C), Germany (9.63 °C), The Netherlands (10.4 °C), Japan (11.13 °C), France (11.69 °C), Italy (12.81 °C), Spain (13.93 °C), Australia (21.94 °C), India (24.68 °C), Denmark (8.76 °C), Brazil (25.51 °C), Slove</w:t>
      </w:r>
      <w:r w:rsidR="002D5D61">
        <w:t>nia (9.58 °C)</w:t>
      </w:r>
      <w:r>
        <w:t xml:space="preserve"> and Switzerland (6.08 °C)</w:t>
      </w:r>
      <w:r w:rsidR="00F10F62">
        <w:t xml:space="preserve"> (</w:t>
      </w:r>
      <w:proofErr w:type="spellStart"/>
      <w:r w:rsidR="00F10F62">
        <w:t>ListFit</w:t>
      </w:r>
      <w:proofErr w:type="spellEnd"/>
      <w:r w:rsidR="00F10F62">
        <w:t>, 2021)</w:t>
      </w:r>
      <w:r>
        <w:t xml:space="preserve">.   </w:t>
      </w:r>
    </w:p>
    <w:p w14:paraId="18BAFA6F" w14:textId="7FCB1E31" w:rsidR="00453E24" w:rsidRDefault="00215EDD" w:rsidP="00453E24">
      <w:pPr>
        <w:pStyle w:val="CETheadingx"/>
      </w:pPr>
      <w:r>
        <w:t>Energy consumption, economic and environmental analysis</w:t>
      </w:r>
    </w:p>
    <w:p w14:paraId="26AD6A73" w14:textId="7CC5597E" w:rsidR="00DF12C5" w:rsidRDefault="00D3407C" w:rsidP="00DF12C5">
      <w:pPr>
        <w:pStyle w:val="CETBodytext"/>
      </w:pPr>
      <w:r>
        <w:t xml:space="preserve">While the adsorption capacity was obtained by solving the mathematical model, electrical (to move fans) and thermal (for the regeneration stage of the bed) energy consumptions were evaluated by </w:t>
      </w:r>
      <w:r w:rsidR="00DC6A47">
        <w:t>Equations</w:t>
      </w:r>
      <w:r>
        <w:t xml:space="preserve"> </w:t>
      </w:r>
      <w:r w:rsidR="00DC6A47">
        <w:t>21-22-23 of Leonzio et al. (2022a).</w:t>
      </w:r>
    </w:p>
    <w:p w14:paraId="316859AA" w14:textId="78C40866" w:rsidR="00D3407C" w:rsidRDefault="00DC6A47" w:rsidP="00DF12C5">
      <w:pPr>
        <w:pStyle w:val="CETBodytext"/>
      </w:pPr>
      <w:r>
        <w:t>The economic analysis was conducted estimating operating (OPEX) and capital (CAPEX) costs as detailed explained in Leonzio et al. (2022a)</w:t>
      </w:r>
      <w:r w:rsidR="00D50846">
        <w:t xml:space="preserve">, considering a cost for electrical and thermal energies respectively of </w:t>
      </w:r>
      <w:r w:rsidR="002F1D90">
        <w:t>0.1 $/kWh and 0.024 $/kWh</w:t>
      </w:r>
      <w:r>
        <w:t xml:space="preserve">. </w:t>
      </w:r>
      <w:r w:rsidR="00FD17C4">
        <w:t>A</w:t>
      </w:r>
      <w:r>
        <w:t xml:space="preserve"> location factor was considered starting from the literature data (</w:t>
      </w:r>
      <w:r w:rsidR="00FD17C4">
        <w:t xml:space="preserve">Perry, 1999; </w:t>
      </w:r>
      <w:proofErr w:type="spellStart"/>
      <w:r w:rsidR="00FD17C4">
        <w:t>Towler</w:t>
      </w:r>
      <w:proofErr w:type="spellEnd"/>
      <w:r w:rsidR="00FD17C4">
        <w:t xml:space="preserve"> and Sinnott, 2012</w:t>
      </w:r>
      <w:r>
        <w:t>)</w:t>
      </w:r>
      <w:r w:rsidR="00FD17C4">
        <w:t xml:space="preserve"> and </w:t>
      </w:r>
      <w:r w:rsidR="004B5C38">
        <w:t xml:space="preserve">it was </w:t>
      </w:r>
      <w:r w:rsidR="00FD17C4">
        <w:t>updated with the</w:t>
      </w:r>
      <w:r w:rsidR="00117211">
        <w:t xml:space="preserve"> current</w:t>
      </w:r>
      <w:r w:rsidR="00FD17C4">
        <w:t xml:space="preserve"> exchange rates (</w:t>
      </w:r>
      <w:proofErr w:type="spellStart"/>
      <w:r w:rsidR="00FD17C4">
        <w:t>PoundSterlingLive</w:t>
      </w:r>
      <w:proofErr w:type="spellEnd"/>
      <w:r w:rsidR="00FD17C4">
        <w:t>, 2021)</w:t>
      </w:r>
      <w:r>
        <w:t xml:space="preserve"> for all Countries: Finland (0.88), Switzerland (0.94), China (1.12), Austria (0.85), USA (1), Denmark (0.85), Poland (0.95), UK (0.76), Slovenia (1.01)</w:t>
      </w:r>
      <w:r w:rsidR="002D5D61">
        <w:t>, Germany (0.86)</w:t>
      </w:r>
      <w:r>
        <w:t>, The Netherlands (1.19), Japan (1.46), France (0.73), Italy (1.14), Spain (0.8</w:t>
      </w:r>
      <w:r w:rsidR="004B5C38">
        <w:t>3), Australia (1.04), India (0.</w:t>
      </w:r>
      <w:r>
        <w:t xml:space="preserve">8), Brazil (1.14).  </w:t>
      </w:r>
    </w:p>
    <w:p w14:paraId="783706B0" w14:textId="29BA150C" w:rsidR="007E2F2C" w:rsidRDefault="007E2F2C" w:rsidP="00DF12C5">
      <w:pPr>
        <w:pStyle w:val="CETBodytext"/>
      </w:pPr>
      <w:r>
        <w:t xml:space="preserve">The environmental analysis </w:t>
      </w:r>
      <w:r w:rsidR="00561839">
        <w:t xml:space="preserve">according to the principle of the life cycle assessment (LCA) </w:t>
      </w:r>
      <w:r>
        <w:t xml:space="preserve">was carried out </w:t>
      </w:r>
      <w:r w:rsidR="000362C5">
        <w:t xml:space="preserve">in </w:t>
      </w:r>
      <w:proofErr w:type="spellStart"/>
      <w:r w:rsidR="000362C5">
        <w:t>SimaPro</w:t>
      </w:r>
      <w:proofErr w:type="spellEnd"/>
      <w:r w:rsidR="000362C5">
        <w:t xml:space="preserve"> software </w:t>
      </w:r>
      <w:r>
        <w:t>as explained in Leonzio et al. (2022b)</w:t>
      </w:r>
      <w:r w:rsidR="000362C5">
        <w:t>,</w:t>
      </w:r>
      <w:r>
        <w:t xml:space="preserve"> considering a cradle-to-gate analysis</w:t>
      </w:r>
      <w:r w:rsidR="000362C5">
        <w:t xml:space="preserve"> for the DAC </w:t>
      </w:r>
      <w:r w:rsidR="000362C5">
        <w:lastRenderedPageBreak/>
        <w:t>process that uses a MWI for the energy need. The impact category climate change (kgCO</w:t>
      </w:r>
      <w:r w:rsidR="000362C5" w:rsidRPr="000362C5">
        <w:rPr>
          <w:vertAlign w:val="subscript"/>
        </w:rPr>
        <w:t>2eq</w:t>
      </w:r>
      <w:r w:rsidR="000362C5">
        <w:t>/tCO</w:t>
      </w:r>
      <w:r w:rsidR="000362C5" w:rsidRPr="000362C5">
        <w:rPr>
          <w:vertAlign w:val="subscript"/>
        </w:rPr>
        <w:t>2</w:t>
      </w:r>
      <w:r w:rsidR="000362C5">
        <w:t xml:space="preserve"> captured) was measured and compared in all Countries. </w:t>
      </w:r>
    </w:p>
    <w:p w14:paraId="677EBFF0" w14:textId="27F27C86" w:rsidR="00600535" w:rsidRDefault="00DF12C5" w:rsidP="00600535">
      <w:pPr>
        <w:pStyle w:val="CETHeading1"/>
        <w:tabs>
          <w:tab w:val="clear" w:pos="360"/>
          <w:tab w:val="right" w:pos="7100"/>
        </w:tabs>
        <w:jc w:val="both"/>
        <w:rPr>
          <w:lang w:val="en-GB"/>
        </w:rPr>
      </w:pPr>
      <w:r>
        <w:rPr>
          <w:lang w:val="en-GB"/>
        </w:rPr>
        <w:t>Results and discussion</w:t>
      </w:r>
    </w:p>
    <w:p w14:paraId="63C07B9A" w14:textId="08A9E42D" w:rsidR="001E0CB7" w:rsidRPr="003D40D2" w:rsidRDefault="000B1171" w:rsidP="00411408">
      <w:pPr>
        <w:pStyle w:val="CETBodytext"/>
        <w:rPr>
          <w:lang w:val="en-GB"/>
        </w:rPr>
      </w:pPr>
      <w:r>
        <w:rPr>
          <w:lang w:val="en-GB"/>
        </w:rPr>
        <w:t>Figure</w:t>
      </w:r>
      <w:r>
        <w:rPr>
          <w:lang w:val="en-GB"/>
        </w:rPr>
        <w:t xml:space="preserve"> </w:t>
      </w:r>
      <w:r w:rsidR="005E37DF">
        <w:rPr>
          <w:lang w:val="en-GB"/>
        </w:rPr>
        <w:t>1 shows the CO</w:t>
      </w:r>
      <w:r w:rsidR="005E37DF" w:rsidRPr="005E37DF">
        <w:rPr>
          <w:vertAlign w:val="subscript"/>
          <w:lang w:val="en-GB"/>
        </w:rPr>
        <w:t>2</w:t>
      </w:r>
      <w:r w:rsidR="005E37DF">
        <w:rPr>
          <w:lang w:val="en-GB"/>
        </w:rPr>
        <w:t xml:space="preserve"> capture capacity of DAC plants around the world and using different sorbents. By increasing the ambient air temperature, the amount of captured CO</w:t>
      </w:r>
      <w:r w:rsidR="005E37DF" w:rsidRPr="00093D2A">
        <w:rPr>
          <w:vertAlign w:val="subscript"/>
          <w:lang w:val="en-GB"/>
        </w:rPr>
        <w:t>2</w:t>
      </w:r>
      <w:r w:rsidR="000B730C">
        <w:rPr>
          <w:lang w:val="en-GB"/>
        </w:rPr>
        <w:t xml:space="preserve"> decreases</w:t>
      </w:r>
      <w:r w:rsidR="005E37DF">
        <w:rPr>
          <w:lang w:val="en-GB"/>
        </w:rPr>
        <w:t xml:space="preserve"> for systems based on MOFs. A DAC plant in Finland </w:t>
      </w:r>
      <w:r w:rsidR="00093D2A">
        <w:rPr>
          <w:lang w:val="en-GB"/>
        </w:rPr>
        <w:t xml:space="preserve">(air temperature of 2.52 °C) </w:t>
      </w:r>
      <w:r w:rsidR="005E37DF">
        <w:rPr>
          <w:lang w:val="en-GB"/>
        </w:rPr>
        <w:t>has a CO</w:t>
      </w:r>
      <w:r w:rsidR="005E37DF" w:rsidRPr="00093D2A">
        <w:rPr>
          <w:vertAlign w:val="subscript"/>
          <w:lang w:val="en-GB"/>
        </w:rPr>
        <w:t>2</w:t>
      </w:r>
      <w:r w:rsidR="005E37DF">
        <w:rPr>
          <w:lang w:val="en-GB"/>
        </w:rPr>
        <w:t xml:space="preserve"> capture capacity of 96.47, 80.42 and 81.74 kgCO</w:t>
      </w:r>
      <w:r w:rsidR="005E37DF" w:rsidRPr="00093D2A">
        <w:rPr>
          <w:vertAlign w:val="subscript"/>
          <w:lang w:val="en-GB"/>
        </w:rPr>
        <w:t>2</w:t>
      </w:r>
      <w:r w:rsidR="005E37DF">
        <w:rPr>
          <w:lang w:val="en-GB"/>
        </w:rPr>
        <w:t>/day i</w:t>
      </w:r>
      <w:r w:rsidR="00093D2A">
        <w:rPr>
          <w:lang w:val="en-GB"/>
        </w:rPr>
        <w:t>f</w:t>
      </w:r>
      <w:r w:rsidR="005E37DF">
        <w:rPr>
          <w:lang w:val="en-GB"/>
        </w:rPr>
        <w:t xml:space="preserve"> MOF-5, MOF-177 and MIL-101 are respectively used. </w:t>
      </w:r>
      <w:r w:rsidR="00093D2A">
        <w:rPr>
          <w:lang w:val="en-GB"/>
        </w:rPr>
        <w:t>On the other hand, a DAC plant in Brazil (air temperature of 25.51 °C) captures 68.29, 65.34 and 70.11 kgCO</w:t>
      </w:r>
      <w:r w:rsidR="00093D2A" w:rsidRPr="00093D2A">
        <w:rPr>
          <w:vertAlign w:val="subscript"/>
          <w:lang w:val="en-GB"/>
        </w:rPr>
        <w:t>2</w:t>
      </w:r>
      <w:r w:rsidR="00093D2A">
        <w:rPr>
          <w:lang w:val="en-GB"/>
        </w:rPr>
        <w:t xml:space="preserve">/day if MOF-5, MOF-177 or MIL-101 are respectively utilized. </w:t>
      </w:r>
      <w:r w:rsidR="001175B9">
        <w:rPr>
          <w:lang w:val="en-GB"/>
        </w:rPr>
        <w:t xml:space="preserve">The decreasing trend of capture capacity with the increase of </w:t>
      </w:r>
      <w:r w:rsidR="000B730C">
        <w:rPr>
          <w:lang w:val="en-GB"/>
        </w:rPr>
        <w:t xml:space="preserve">the </w:t>
      </w:r>
      <w:r w:rsidR="001175B9">
        <w:rPr>
          <w:lang w:val="en-GB"/>
        </w:rPr>
        <w:t>air temperature is less significant for systems based on amine functionalized sorbents.</w:t>
      </w:r>
      <w:r w:rsidR="003D40D2">
        <w:rPr>
          <w:lang w:val="en-GB"/>
        </w:rPr>
        <w:t xml:space="preserve"> </w:t>
      </w:r>
      <w:r w:rsidR="00CD52CF">
        <w:rPr>
          <w:lang w:val="en-GB"/>
        </w:rPr>
        <w:t>Figure</w:t>
      </w:r>
      <w:r w:rsidR="00CD52CF">
        <w:rPr>
          <w:lang w:val="en-GB"/>
        </w:rPr>
        <w:t xml:space="preserve"> </w:t>
      </w:r>
      <w:r w:rsidR="001175B9">
        <w:rPr>
          <w:lang w:val="en-GB"/>
        </w:rPr>
        <w:t>2 reports the electrical energy consumption for the analysed processes</w:t>
      </w:r>
      <w:r w:rsidR="00DF6DF3">
        <w:rPr>
          <w:lang w:val="en-GB"/>
        </w:rPr>
        <w:t xml:space="preserve"> in different places</w:t>
      </w:r>
      <w:r w:rsidR="001175B9">
        <w:rPr>
          <w:lang w:val="en-GB"/>
        </w:rPr>
        <w:t xml:space="preserve">. </w:t>
      </w:r>
    </w:p>
    <w:p w14:paraId="75960D96" w14:textId="77777777" w:rsidR="003D40D2" w:rsidRPr="003D40D2" w:rsidRDefault="003D40D2" w:rsidP="00411408">
      <w:pPr>
        <w:pStyle w:val="CETBodytext"/>
        <w:rPr>
          <w:b/>
          <w:sz w:val="20"/>
          <w:lang w:val="en-GB"/>
        </w:rPr>
      </w:pPr>
    </w:p>
    <w:p w14:paraId="3043D1FF" w14:textId="77777777" w:rsidR="001E0CB7" w:rsidRDefault="001E0CB7" w:rsidP="003D40D2">
      <w:pPr>
        <w:pStyle w:val="CETBodytext"/>
        <w:keepNext/>
        <w:jc w:val="center"/>
      </w:pPr>
      <w:r>
        <w:rPr>
          <w:noProof/>
        </w:rPr>
        <w:drawing>
          <wp:inline distT="0" distB="0" distL="0" distR="0" wp14:anchorId="5CB32D8E" wp14:editId="75BA8B59">
            <wp:extent cx="5541645" cy="2973788"/>
            <wp:effectExtent l="0" t="0" r="1905" b="17145"/>
            <wp:docPr id="1" name="Grafico 1">
              <a:extLst xmlns:a="http://schemas.openxmlformats.org/drawingml/2006/main">
                <a:ext uri="{FF2B5EF4-FFF2-40B4-BE49-F238E27FC236}">
                  <a16:creationId xmlns:a16="http://schemas.microsoft.com/office/drawing/2014/main" id="{BA8C2D82-0E93-58E5-3489-BFEC331F16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CE77049" w14:textId="0D328027" w:rsidR="001E0CB7" w:rsidRPr="003D40D2" w:rsidRDefault="001E0CB7" w:rsidP="000720AF">
      <w:pPr>
        <w:pStyle w:val="Didascalia"/>
        <w:rPr>
          <w:b w:val="0"/>
          <w:bCs w:val="0"/>
          <w:color w:val="000000" w:themeColor="text1"/>
        </w:rPr>
      </w:pPr>
      <w:r w:rsidRPr="003D40D2">
        <w:rPr>
          <w:b w:val="0"/>
          <w:bCs w:val="0"/>
          <w:color w:val="000000" w:themeColor="text1"/>
        </w:rPr>
        <w:t xml:space="preserve">Figure </w:t>
      </w:r>
      <w:r w:rsidRPr="003D40D2">
        <w:rPr>
          <w:b w:val="0"/>
          <w:bCs w:val="0"/>
          <w:color w:val="000000" w:themeColor="text1"/>
        </w:rPr>
        <w:fldChar w:fldCharType="begin"/>
      </w:r>
      <w:r w:rsidRPr="003D40D2">
        <w:rPr>
          <w:b w:val="0"/>
          <w:bCs w:val="0"/>
          <w:color w:val="000000" w:themeColor="text1"/>
        </w:rPr>
        <w:instrText xml:space="preserve"> SEQ Figure \* ARABIC </w:instrText>
      </w:r>
      <w:r w:rsidRPr="003D40D2">
        <w:rPr>
          <w:b w:val="0"/>
          <w:bCs w:val="0"/>
          <w:color w:val="000000" w:themeColor="text1"/>
        </w:rPr>
        <w:fldChar w:fldCharType="separate"/>
      </w:r>
      <w:r w:rsidR="00263ABB" w:rsidRPr="003D40D2">
        <w:rPr>
          <w:b w:val="0"/>
          <w:bCs w:val="0"/>
          <w:noProof/>
          <w:color w:val="000000" w:themeColor="text1"/>
        </w:rPr>
        <w:t>1</w:t>
      </w:r>
      <w:r w:rsidRPr="003D40D2">
        <w:rPr>
          <w:b w:val="0"/>
          <w:bCs w:val="0"/>
          <w:color w:val="000000" w:themeColor="text1"/>
        </w:rPr>
        <w:fldChar w:fldCharType="end"/>
      </w:r>
      <w:r w:rsidRPr="003D40D2">
        <w:rPr>
          <w:b w:val="0"/>
          <w:bCs w:val="0"/>
          <w:color w:val="000000" w:themeColor="text1"/>
        </w:rPr>
        <w:t xml:space="preserve"> CO</w:t>
      </w:r>
      <w:r w:rsidRPr="003D40D2">
        <w:rPr>
          <w:b w:val="0"/>
          <w:bCs w:val="0"/>
          <w:color w:val="000000" w:themeColor="text1"/>
          <w:vertAlign w:val="subscript"/>
        </w:rPr>
        <w:t>2</w:t>
      </w:r>
      <w:r w:rsidRPr="003D40D2">
        <w:rPr>
          <w:b w:val="0"/>
          <w:bCs w:val="0"/>
          <w:color w:val="000000" w:themeColor="text1"/>
        </w:rPr>
        <w:t xml:space="preserve"> capture capacity </w:t>
      </w:r>
      <w:r w:rsidRPr="003D40D2">
        <w:rPr>
          <w:b w:val="0"/>
          <w:bCs w:val="0"/>
          <w:color w:val="000000" w:themeColor="text1"/>
        </w:rPr>
        <w:t>of DAC plants in different Countries</w:t>
      </w:r>
    </w:p>
    <w:p w14:paraId="16894A71" w14:textId="77777777" w:rsidR="001E0CB7" w:rsidRDefault="001E0CB7" w:rsidP="00411408">
      <w:pPr>
        <w:pStyle w:val="CETBodytext"/>
        <w:rPr>
          <w:lang w:val="en-GB"/>
        </w:rPr>
      </w:pPr>
    </w:p>
    <w:p w14:paraId="479897CF" w14:textId="77777777" w:rsidR="005F2BF5" w:rsidRDefault="005F2BF5" w:rsidP="000720AF">
      <w:pPr>
        <w:pStyle w:val="CETBodytext"/>
        <w:keepNext/>
      </w:pPr>
      <w:r>
        <w:rPr>
          <w:noProof/>
        </w:rPr>
        <w:drawing>
          <wp:inline distT="0" distB="0" distL="0" distR="0" wp14:anchorId="567CA98C" wp14:editId="322FFAF0">
            <wp:extent cx="5540375" cy="2973600"/>
            <wp:effectExtent l="0" t="0" r="3175" b="17780"/>
            <wp:docPr id="2" name="Grafico 2">
              <a:extLst xmlns:a="http://schemas.openxmlformats.org/drawingml/2006/main">
                <a:ext uri="{FF2B5EF4-FFF2-40B4-BE49-F238E27FC236}">
                  <a16:creationId xmlns:a16="http://schemas.microsoft.com/office/drawing/2014/main" id="{B70FE66B-78D4-30CD-DECD-6523597D11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3947135" w14:textId="3869005C" w:rsidR="001E0CB7" w:rsidRPr="00C36241" w:rsidRDefault="005F2BF5" w:rsidP="00C36241">
      <w:pPr>
        <w:pStyle w:val="Didascalia"/>
        <w:rPr>
          <w:b w:val="0"/>
          <w:bCs w:val="0"/>
          <w:color w:val="000000" w:themeColor="text1"/>
        </w:rPr>
      </w:pPr>
      <w:r w:rsidRPr="003D40D2">
        <w:rPr>
          <w:b w:val="0"/>
          <w:bCs w:val="0"/>
          <w:color w:val="000000" w:themeColor="text1"/>
        </w:rPr>
        <w:t xml:space="preserve">Figure </w:t>
      </w:r>
      <w:r w:rsidRPr="003D40D2">
        <w:rPr>
          <w:b w:val="0"/>
          <w:bCs w:val="0"/>
          <w:color w:val="000000" w:themeColor="text1"/>
        </w:rPr>
        <w:fldChar w:fldCharType="begin"/>
      </w:r>
      <w:r w:rsidRPr="003D40D2">
        <w:rPr>
          <w:b w:val="0"/>
          <w:bCs w:val="0"/>
          <w:color w:val="000000" w:themeColor="text1"/>
        </w:rPr>
        <w:instrText xml:space="preserve"> SEQ Figure \* ARABIC </w:instrText>
      </w:r>
      <w:r w:rsidRPr="003D40D2">
        <w:rPr>
          <w:b w:val="0"/>
          <w:bCs w:val="0"/>
          <w:color w:val="000000" w:themeColor="text1"/>
        </w:rPr>
        <w:fldChar w:fldCharType="separate"/>
      </w:r>
      <w:r w:rsidR="00263ABB" w:rsidRPr="003D40D2">
        <w:rPr>
          <w:b w:val="0"/>
          <w:bCs w:val="0"/>
          <w:noProof/>
          <w:color w:val="000000" w:themeColor="text1"/>
        </w:rPr>
        <w:t>2</w:t>
      </w:r>
      <w:r w:rsidRPr="003D40D2">
        <w:rPr>
          <w:b w:val="0"/>
          <w:bCs w:val="0"/>
          <w:color w:val="000000" w:themeColor="text1"/>
        </w:rPr>
        <w:fldChar w:fldCharType="end"/>
      </w:r>
      <w:r w:rsidRPr="003D40D2">
        <w:rPr>
          <w:b w:val="0"/>
          <w:bCs w:val="0"/>
          <w:color w:val="000000" w:themeColor="text1"/>
        </w:rPr>
        <w:t xml:space="preserve"> </w:t>
      </w:r>
      <w:r w:rsidRPr="003D40D2">
        <w:rPr>
          <w:b w:val="0"/>
          <w:bCs w:val="0"/>
          <w:color w:val="000000" w:themeColor="text1"/>
        </w:rPr>
        <w:t>Electrical energy consumption of DAC plants in different Countries</w:t>
      </w:r>
    </w:p>
    <w:p w14:paraId="60F41633" w14:textId="77777777" w:rsidR="005F2BF5" w:rsidRDefault="005F2BF5" w:rsidP="000720AF">
      <w:pPr>
        <w:pStyle w:val="CETBodytext"/>
        <w:keepNext/>
      </w:pPr>
      <w:r>
        <w:rPr>
          <w:noProof/>
        </w:rPr>
        <w:lastRenderedPageBreak/>
        <w:drawing>
          <wp:inline distT="0" distB="0" distL="0" distR="0" wp14:anchorId="20A13070" wp14:editId="1C4F04FA">
            <wp:extent cx="5540400" cy="2973600"/>
            <wp:effectExtent l="0" t="0" r="3175" b="17780"/>
            <wp:docPr id="4" name="Grafico 4">
              <a:extLst xmlns:a="http://schemas.openxmlformats.org/drawingml/2006/main">
                <a:ext uri="{FF2B5EF4-FFF2-40B4-BE49-F238E27FC236}">
                  <a16:creationId xmlns:a16="http://schemas.microsoft.com/office/drawing/2014/main" id="{81F65258-0133-A59C-E479-A59C9561CC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FD460AD" w14:textId="050A26E0" w:rsidR="001E0CB7" w:rsidRPr="003D40D2" w:rsidRDefault="005F2BF5" w:rsidP="000720AF">
      <w:pPr>
        <w:pStyle w:val="Didascalia"/>
        <w:rPr>
          <w:b w:val="0"/>
          <w:bCs w:val="0"/>
          <w:color w:val="000000" w:themeColor="text1"/>
        </w:rPr>
      </w:pPr>
      <w:r w:rsidRPr="003D40D2">
        <w:rPr>
          <w:b w:val="0"/>
          <w:bCs w:val="0"/>
          <w:color w:val="000000" w:themeColor="text1"/>
        </w:rPr>
        <w:t xml:space="preserve">Figure </w:t>
      </w:r>
      <w:r w:rsidRPr="003D40D2">
        <w:rPr>
          <w:b w:val="0"/>
          <w:bCs w:val="0"/>
          <w:color w:val="000000" w:themeColor="text1"/>
        </w:rPr>
        <w:fldChar w:fldCharType="begin"/>
      </w:r>
      <w:r w:rsidRPr="003D40D2">
        <w:rPr>
          <w:b w:val="0"/>
          <w:bCs w:val="0"/>
          <w:color w:val="000000" w:themeColor="text1"/>
        </w:rPr>
        <w:instrText xml:space="preserve"> SEQ Figure \* ARABIC </w:instrText>
      </w:r>
      <w:r w:rsidRPr="003D40D2">
        <w:rPr>
          <w:b w:val="0"/>
          <w:bCs w:val="0"/>
          <w:color w:val="000000" w:themeColor="text1"/>
        </w:rPr>
        <w:fldChar w:fldCharType="separate"/>
      </w:r>
      <w:r w:rsidR="00263ABB" w:rsidRPr="003D40D2">
        <w:rPr>
          <w:b w:val="0"/>
          <w:bCs w:val="0"/>
          <w:noProof/>
          <w:color w:val="000000" w:themeColor="text1"/>
        </w:rPr>
        <w:t>3</w:t>
      </w:r>
      <w:r w:rsidRPr="003D40D2">
        <w:rPr>
          <w:b w:val="0"/>
          <w:bCs w:val="0"/>
          <w:color w:val="000000" w:themeColor="text1"/>
        </w:rPr>
        <w:fldChar w:fldCharType="end"/>
      </w:r>
      <w:r w:rsidRPr="003D40D2">
        <w:rPr>
          <w:b w:val="0"/>
          <w:bCs w:val="0"/>
          <w:color w:val="000000" w:themeColor="text1"/>
        </w:rPr>
        <w:t xml:space="preserve"> </w:t>
      </w:r>
      <w:r w:rsidRPr="003D40D2">
        <w:rPr>
          <w:b w:val="0"/>
          <w:bCs w:val="0"/>
          <w:color w:val="000000" w:themeColor="text1"/>
        </w:rPr>
        <w:t>Thermal energy consumption of DAC plants in different Countries</w:t>
      </w:r>
    </w:p>
    <w:p w14:paraId="293085EA" w14:textId="44EC1E7B" w:rsidR="005F2BF5" w:rsidRDefault="005F2BF5" w:rsidP="00411408">
      <w:pPr>
        <w:pStyle w:val="CETBodytext"/>
        <w:rPr>
          <w:lang w:val="en-GB"/>
        </w:rPr>
      </w:pPr>
    </w:p>
    <w:p w14:paraId="7EC5F35D" w14:textId="71008CF8" w:rsidR="00263ABB" w:rsidRDefault="00263ABB" w:rsidP="00411408">
      <w:pPr>
        <w:pStyle w:val="CETBodytext"/>
        <w:rPr>
          <w:lang w:val="en-GB"/>
        </w:rPr>
      </w:pPr>
    </w:p>
    <w:p w14:paraId="192B9246" w14:textId="77777777" w:rsidR="00263ABB" w:rsidRDefault="00263ABB" w:rsidP="000720AF">
      <w:pPr>
        <w:pStyle w:val="CETBodytext"/>
        <w:keepNext/>
      </w:pPr>
      <w:r>
        <w:rPr>
          <w:noProof/>
        </w:rPr>
        <w:drawing>
          <wp:inline distT="0" distB="0" distL="0" distR="0" wp14:anchorId="12DCD62F" wp14:editId="11CB7D01">
            <wp:extent cx="5540400" cy="2973600"/>
            <wp:effectExtent l="0" t="0" r="3175" b="17780"/>
            <wp:docPr id="7" name="Grafico 7">
              <a:extLst xmlns:a="http://schemas.openxmlformats.org/drawingml/2006/main">
                <a:ext uri="{FF2B5EF4-FFF2-40B4-BE49-F238E27FC236}">
                  <a16:creationId xmlns:a16="http://schemas.microsoft.com/office/drawing/2014/main" id="{AFCF0B35-B05C-549F-A152-DCD5AB6A0B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D2D0792" w14:textId="2E386610" w:rsidR="00263ABB" w:rsidRPr="000720AF" w:rsidRDefault="00263ABB" w:rsidP="000720AF">
      <w:pPr>
        <w:pStyle w:val="Didascalia"/>
        <w:rPr>
          <w:b w:val="0"/>
          <w:bCs w:val="0"/>
          <w:color w:val="000000" w:themeColor="text1"/>
        </w:rPr>
      </w:pPr>
      <w:r w:rsidRPr="000720AF">
        <w:rPr>
          <w:b w:val="0"/>
          <w:bCs w:val="0"/>
          <w:color w:val="000000" w:themeColor="text1"/>
        </w:rPr>
        <w:t xml:space="preserve">Figure </w:t>
      </w:r>
      <w:r w:rsidRPr="000720AF">
        <w:rPr>
          <w:b w:val="0"/>
          <w:bCs w:val="0"/>
          <w:color w:val="000000" w:themeColor="text1"/>
        </w:rPr>
        <w:fldChar w:fldCharType="begin"/>
      </w:r>
      <w:r w:rsidRPr="000720AF">
        <w:rPr>
          <w:b w:val="0"/>
          <w:bCs w:val="0"/>
          <w:color w:val="000000" w:themeColor="text1"/>
        </w:rPr>
        <w:instrText xml:space="preserve"> SEQ Figure \* ARABIC </w:instrText>
      </w:r>
      <w:r w:rsidRPr="000720AF">
        <w:rPr>
          <w:b w:val="0"/>
          <w:bCs w:val="0"/>
          <w:color w:val="000000" w:themeColor="text1"/>
        </w:rPr>
        <w:fldChar w:fldCharType="separate"/>
      </w:r>
      <w:r w:rsidRPr="000720AF">
        <w:rPr>
          <w:b w:val="0"/>
          <w:bCs w:val="0"/>
          <w:noProof/>
          <w:color w:val="000000" w:themeColor="text1"/>
        </w:rPr>
        <w:t>4</w:t>
      </w:r>
      <w:r w:rsidRPr="000720AF">
        <w:rPr>
          <w:b w:val="0"/>
          <w:bCs w:val="0"/>
          <w:color w:val="000000" w:themeColor="text1"/>
        </w:rPr>
        <w:fldChar w:fldCharType="end"/>
      </w:r>
      <w:r w:rsidRPr="000720AF">
        <w:rPr>
          <w:b w:val="0"/>
          <w:bCs w:val="0"/>
          <w:color w:val="000000" w:themeColor="text1"/>
        </w:rPr>
        <w:t xml:space="preserve"> </w:t>
      </w:r>
      <w:r w:rsidRPr="000720AF">
        <w:rPr>
          <w:b w:val="0"/>
          <w:bCs w:val="0"/>
          <w:color w:val="000000" w:themeColor="text1"/>
        </w:rPr>
        <w:t>Total costs of DAC plants in different Countries</w:t>
      </w:r>
    </w:p>
    <w:p w14:paraId="3CB4A5B8" w14:textId="79465CDB" w:rsidR="00263ABB" w:rsidRDefault="00263ABB" w:rsidP="00411408">
      <w:pPr>
        <w:pStyle w:val="CETBodytext"/>
        <w:rPr>
          <w:lang w:val="en-GB"/>
        </w:rPr>
      </w:pPr>
    </w:p>
    <w:p w14:paraId="1B6535AC" w14:textId="14C8C18F" w:rsidR="00263ABB" w:rsidRDefault="00263ABB" w:rsidP="00411408">
      <w:pPr>
        <w:pStyle w:val="CETBodytext"/>
        <w:rPr>
          <w:lang w:val="en-GB"/>
        </w:rPr>
      </w:pPr>
    </w:p>
    <w:p w14:paraId="63152DA8" w14:textId="44CF74EF" w:rsidR="00093D2A" w:rsidRDefault="00196C53" w:rsidP="00411408">
      <w:pPr>
        <w:pStyle w:val="CETBodytext"/>
        <w:rPr>
          <w:lang w:val="en-GB"/>
        </w:rPr>
      </w:pPr>
      <w:r>
        <w:rPr>
          <w:lang w:val="en-GB"/>
        </w:rPr>
        <w:t>Regarding the electrical energy consumption</w:t>
      </w:r>
      <w:r w:rsidR="004646A5">
        <w:rPr>
          <w:lang w:val="en-GB"/>
        </w:rPr>
        <w:t xml:space="preserve"> of</w:t>
      </w:r>
      <w:r>
        <w:rPr>
          <w:lang w:val="en-GB"/>
        </w:rPr>
        <w:t xml:space="preserve"> fans, it is evident that a greater amount of electricity is needed at higher air temperatures for both </w:t>
      </w:r>
      <w:proofErr w:type="spellStart"/>
      <w:r>
        <w:rPr>
          <w:lang w:val="en-GB"/>
        </w:rPr>
        <w:t>physisorbent</w:t>
      </w:r>
      <w:proofErr w:type="spellEnd"/>
      <w:r>
        <w:rPr>
          <w:lang w:val="en-GB"/>
        </w:rPr>
        <w:t xml:space="preserve"> and </w:t>
      </w:r>
      <w:proofErr w:type="spellStart"/>
      <w:r>
        <w:rPr>
          <w:lang w:val="en-GB"/>
        </w:rPr>
        <w:t>chemisorbent</w:t>
      </w:r>
      <w:proofErr w:type="spellEnd"/>
      <w:r>
        <w:rPr>
          <w:lang w:val="en-GB"/>
        </w:rPr>
        <w:t xml:space="preserve"> based systems, although a higher variation </w:t>
      </w:r>
      <w:r w:rsidR="004646A5">
        <w:rPr>
          <w:lang w:val="en-GB"/>
        </w:rPr>
        <w:t xml:space="preserve">between the minimum and maximum air temperature </w:t>
      </w:r>
      <w:r>
        <w:rPr>
          <w:lang w:val="en-GB"/>
        </w:rPr>
        <w:t xml:space="preserve">is present for processes using MOFs. The highest electrical energy consumption (1420 </w:t>
      </w:r>
      <w:proofErr w:type="spellStart"/>
      <w:r>
        <w:rPr>
          <w:lang w:val="en-GB"/>
        </w:rPr>
        <w:t>kWh</w:t>
      </w:r>
      <w:r w:rsidRPr="00196C53">
        <w:rPr>
          <w:vertAlign w:val="subscript"/>
          <w:lang w:val="en-GB"/>
        </w:rPr>
        <w:t>el</w:t>
      </w:r>
      <w:proofErr w:type="spellEnd"/>
      <w:r>
        <w:rPr>
          <w:lang w:val="en-GB"/>
        </w:rPr>
        <w:t>/tCO</w:t>
      </w:r>
      <w:r w:rsidRPr="00196C53">
        <w:rPr>
          <w:vertAlign w:val="subscript"/>
          <w:lang w:val="en-GB"/>
        </w:rPr>
        <w:t>2</w:t>
      </w:r>
      <w:r>
        <w:rPr>
          <w:lang w:val="en-GB"/>
        </w:rPr>
        <w:t xml:space="preserve"> captured) is for plant using MIL-101 located in Brazil. </w:t>
      </w:r>
      <w:r w:rsidR="004646A5">
        <w:rPr>
          <w:lang w:val="en-GB"/>
        </w:rPr>
        <w:t>The</w:t>
      </w:r>
      <w:r w:rsidR="00917B9E">
        <w:rPr>
          <w:lang w:val="en-GB"/>
        </w:rPr>
        <w:t xml:space="preserve"> lowest value of electrical</w:t>
      </w:r>
      <w:r w:rsidR="00D048D2">
        <w:rPr>
          <w:lang w:val="en-GB"/>
        </w:rPr>
        <w:t xml:space="preserve"> need (237 </w:t>
      </w:r>
      <w:proofErr w:type="spellStart"/>
      <w:r w:rsidR="00D048D2">
        <w:rPr>
          <w:lang w:val="en-GB"/>
        </w:rPr>
        <w:t>kWh</w:t>
      </w:r>
      <w:r w:rsidR="00D048D2" w:rsidRPr="00D048D2">
        <w:rPr>
          <w:vertAlign w:val="subscript"/>
          <w:lang w:val="en-GB"/>
        </w:rPr>
        <w:t>el</w:t>
      </w:r>
      <w:proofErr w:type="spellEnd"/>
      <w:r w:rsidR="00D048D2">
        <w:rPr>
          <w:lang w:val="en-GB"/>
        </w:rPr>
        <w:t>/tCO</w:t>
      </w:r>
      <w:r w:rsidR="00D048D2" w:rsidRPr="00D048D2">
        <w:rPr>
          <w:vertAlign w:val="subscript"/>
          <w:lang w:val="en-GB"/>
        </w:rPr>
        <w:t>2</w:t>
      </w:r>
      <w:r w:rsidR="00D048D2">
        <w:rPr>
          <w:lang w:val="en-GB"/>
        </w:rPr>
        <w:t xml:space="preserve"> captured)</w:t>
      </w:r>
      <w:r w:rsidR="004646A5">
        <w:rPr>
          <w:lang w:val="en-GB"/>
        </w:rPr>
        <w:t xml:space="preserve"> is obtained for </w:t>
      </w:r>
      <w:r w:rsidR="00917B9E">
        <w:rPr>
          <w:lang w:val="en-GB"/>
        </w:rPr>
        <w:t xml:space="preserve">the </w:t>
      </w:r>
      <w:r w:rsidR="004646A5" w:rsidRPr="00196C53">
        <w:rPr>
          <w:rFonts w:cs="Arial"/>
          <w:szCs w:val="18"/>
        </w:rPr>
        <w:t>APDES-NFC-FD</w:t>
      </w:r>
      <w:r w:rsidR="004646A5">
        <w:rPr>
          <w:lang w:val="en-GB"/>
        </w:rPr>
        <w:t xml:space="preserve"> based system located in Finland. Overall, these values are comparable with those reported in the literature by </w:t>
      </w:r>
      <w:proofErr w:type="spellStart"/>
      <w:r w:rsidR="004646A5">
        <w:rPr>
          <w:lang w:val="en-GB"/>
        </w:rPr>
        <w:t>Fasihi</w:t>
      </w:r>
      <w:proofErr w:type="spellEnd"/>
      <w:r w:rsidR="004646A5">
        <w:rPr>
          <w:lang w:val="en-GB"/>
        </w:rPr>
        <w:t xml:space="preserve"> et al. (2019) and, as also reported in Leonzio et al. (2022a) MOF based systems are chara</w:t>
      </w:r>
      <w:r w:rsidR="00D048D2">
        <w:rPr>
          <w:lang w:val="en-GB"/>
        </w:rPr>
        <w:t>cterized by a higher electrical</w:t>
      </w:r>
      <w:r w:rsidR="004646A5">
        <w:rPr>
          <w:lang w:val="en-GB"/>
        </w:rPr>
        <w:t xml:space="preserve"> need.</w:t>
      </w:r>
    </w:p>
    <w:p w14:paraId="038A4C24" w14:textId="32E8B708" w:rsidR="00AD67A8" w:rsidRDefault="00D53606" w:rsidP="000720AF">
      <w:pPr>
        <w:pStyle w:val="CETBodytext"/>
      </w:pPr>
      <w:r>
        <w:rPr>
          <w:lang w:val="en-GB"/>
        </w:rPr>
        <w:t xml:space="preserve">Thermal energy consumptions for DAC systems around the world are shown in </w:t>
      </w:r>
      <w:r w:rsidR="00CD52CF">
        <w:rPr>
          <w:lang w:val="en-GB"/>
        </w:rPr>
        <w:t>Figure</w:t>
      </w:r>
      <w:r w:rsidR="00CD52CF">
        <w:rPr>
          <w:lang w:val="en-GB"/>
        </w:rPr>
        <w:t xml:space="preserve"> </w:t>
      </w:r>
      <w:r>
        <w:rPr>
          <w:lang w:val="en-GB"/>
        </w:rPr>
        <w:t>3. As for the electrical energy consumption, a greater amount of heat is required at higher air temperatures</w:t>
      </w:r>
      <w:r w:rsidR="00917B9E">
        <w:rPr>
          <w:lang w:val="en-GB"/>
        </w:rPr>
        <w:t xml:space="preserve"> </w:t>
      </w:r>
      <w:r w:rsidR="00D048D2">
        <w:rPr>
          <w:lang w:val="en-GB"/>
        </w:rPr>
        <w:t>in processes</w:t>
      </w:r>
      <w:r w:rsidR="00917B9E">
        <w:rPr>
          <w:lang w:val="en-GB"/>
        </w:rPr>
        <w:t xml:space="preserve"> using </w:t>
      </w:r>
      <w:proofErr w:type="spellStart"/>
      <w:r w:rsidR="00917B9E">
        <w:rPr>
          <w:lang w:val="en-GB"/>
        </w:rPr>
        <w:lastRenderedPageBreak/>
        <w:t>physisorbents</w:t>
      </w:r>
      <w:proofErr w:type="spellEnd"/>
      <w:r w:rsidR="00917B9E">
        <w:rPr>
          <w:lang w:val="en-GB"/>
        </w:rPr>
        <w:t xml:space="preserve"> and </w:t>
      </w:r>
      <w:proofErr w:type="spellStart"/>
      <w:r w:rsidR="00917B9E">
        <w:rPr>
          <w:lang w:val="en-GB"/>
        </w:rPr>
        <w:t>chemisorbents</w:t>
      </w:r>
      <w:proofErr w:type="spellEnd"/>
      <w:r>
        <w:rPr>
          <w:lang w:val="en-GB"/>
        </w:rPr>
        <w:t xml:space="preserve">. As found in Leonzio et al. (2022a) the use of MOFs </w:t>
      </w:r>
      <w:r w:rsidR="00917B9E">
        <w:rPr>
          <w:lang w:val="en-GB"/>
        </w:rPr>
        <w:t>requires</w:t>
      </w:r>
      <w:r>
        <w:rPr>
          <w:lang w:val="en-GB"/>
        </w:rPr>
        <w:t xml:space="preserve"> a huge amount of heat for the regeneration stage, due to a very low working capacity that makes impracticable these kind</w:t>
      </w:r>
      <w:r w:rsidR="00D048D2">
        <w:rPr>
          <w:lang w:val="en-GB"/>
        </w:rPr>
        <w:t>s</w:t>
      </w:r>
      <w:r>
        <w:rPr>
          <w:lang w:val="en-GB"/>
        </w:rPr>
        <w:t xml:space="preserve"> of syst</w:t>
      </w:r>
      <w:r w:rsidR="00917B9E">
        <w:rPr>
          <w:lang w:val="en-GB"/>
        </w:rPr>
        <w:t xml:space="preserve">ems. The </w:t>
      </w:r>
      <w:r w:rsidR="00D048D2">
        <w:rPr>
          <w:lang w:val="en-GB"/>
        </w:rPr>
        <w:t>plant using</w:t>
      </w:r>
      <w:r w:rsidR="00917B9E">
        <w:rPr>
          <w:lang w:val="en-GB"/>
        </w:rPr>
        <w:t xml:space="preserve"> MOF-177 </w:t>
      </w:r>
      <w:r w:rsidR="00D048D2">
        <w:rPr>
          <w:lang w:val="en-GB"/>
        </w:rPr>
        <w:t xml:space="preserve">and </w:t>
      </w:r>
      <w:r w:rsidR="00917B9E">
        <w:rPr>
          <w:lang w:val="en-GB"/>
        </w:rPr>
        <w:t xml:space="preserve">located in Brazil needs the highest value of thermal energy (1,300,000 </w:t>
      </w:r>
      <w:proofErr w:type="spellStart"/>
      <w:r w:rsidR="00917B9E">
        <w:rPr>
          <w:lang w:val="en-GB"/>
        </w:rPr>
        <w:t>kWh</w:t>
      </w:r>
      <w:r w:rsidR="00917B9E" w:rsidRPr="00917B9E">
        <w:rPr>
          <w:vertAlign w:val="subscript"/>
          <w:lang w:val="en-GB"/>
        </w:rPr>
        <w:t>th</w:t>
      </w:r>
      <w:proofErr w:type="spellEnd"/>
      <w:r w:rsidR="00917B9E">
        <w:rPr>
          <w:lang w:val="en-GB"/>
        </w:rPr>
        <w:t>/tCO</w:t>
      </w:r>
      <w:r w:rsidR="00917B9E" w:rsidRPr="00917B9E">
        <w:rPr>
          <w:vertAlign w:val="subscript"/>
          <w:lang w:val="en-GB"/>
        </w:rPr>
        <w:t>2</w:t>
      </w:r>
      <w:r w:rsidR="00AD67A8">
        <w:rPr>
          <w:vertAlign w:val="subscript"/>
          <w:lang w:val="en-GB"/>
        </w:rPr>
        <w:t xml:space="preserve"> </w:t>
      </w:r>
      <w:r w:rsidR="00AD67A8">
        <w:rPr>
          <w:lang w:val="en-GB"/>
        </w:rPr>
        <w:t>captured</w:t>
      </w:r>
      <w:r w:rsidR="005E5DEC">
        <w:rPr>
          <w:lang w:val="en-GB"/>
        </w:rPr>
        <w:t xml:space="preserve">). </w:t>
      </w:r>
      <w:r w:rsidR="005E5DEC" w:rsidRPr="00A609F1">
        <w:t xml:space="preserve">For amine functionalized sorbents values similar to those reported by </w:t>
      </w:r>
      <w:proofErr w:type="spellStart"/>
      <w:r w:rsidR="005E5DEC" w:rsidRPr="00A609F1">
        <w:t>Fasihi</w:t>
      </w:r>
      <w:proofErr w:type="spellEnd"/>
      <w:r w:rsidR="005E5DEC" w:rsidRPr="00A609F1">
        <w:t xml:space="preserve"> et al. </w:t>
      </w:r>
      <w:r w:rsidR="005E5DEC">
        <w:t>(2019)</w:t>
      </w:r>
      <w:r w:rsidR="005E5DEC" w:rsidRPr="00A609F1">
        <w:t xml:space="preserve">, Elfving et al. </w:t>
      </w:r>
      <w:r w:rsidR="005E5DEC">
        <w:t>(2021)</w:t>
      </w:r>
      <w:r w:rsidR="005E5DEC" w:rsidRPr="00A609F1">
        <w:t xml:space="preserve"> and </w:t>
      </w:r>
      <w:proofErr w:type="spellStart"/>
      <w:r w:rsidR="005E5DEC" w:rsidRPr="00A609F1">
        <w:t>Wijesiri</w:t>
      </w:r>
      <w:proofErr w:type="spellEnd"/>
      <w:r w:rsidR="005E5DEC">
        <w:t xml:space="preserve"> et al. (2019) </w:t>
      </w:r>
      <w:r w:rsidR="005E5DEC" w:rsidRPr="00A609F1">
        <w:t>are obtained</w:t>
      </w:r>
      <w:r w:rsidR="005E5DEC">
        <w:t xml:space="preserve">. </w:t>
      </w:r>
      <w:r w:rsidR="00AD67A8">
        <w:t>In Brazil</w:t>
      </w:r>
      <w:r w:rsidR="00D048D2">
        <w:t>,</w:t>
      </w:r>
      <w:r w:rsidR="00AD67A8">
        <w:t xml:space="preserve"> the system using the silica </w:t>
      </w:r>
      <w:proofErr w:type="gramStart"/>
      <w:r w:rsidR="00AD67A8">
        <w:t>gel based</w:t>
      </w:r>
      <w:proofErr w:type="gramEnd"/>
      <w:r w:rsidR="00AD67A8">
        <w:t xml:space="preserve"> sorbent requires an amount of heat of 2,440 </w:t>
      </w:r>
      <w:proofErr w:type="spellStart"/>
      <w:r w:rsidR="00AD67A8">
        <w:t>kWh</w:t>
      </w:r>
      <w:r w:rsidR="00AD67A8" w:rsidRPr="00AD67A8">
        <w:rPr>
          <w:vertAlign w:val="subscript"/>
        </w:rPr>
        <w:t>th</w:t>
      </w:r>
      <w:proofErr w:type="spellEnd"/>
      <w:r w:rsidR="00AD67A8">
        <w:t>/tCO</w:t>
      </w:r>
      <w:r w:rsidR="00AD67A8" w:rsidRPr="00AD67A8">
        <w:rPr>
          <w:vertAlign w:val="subscript"/>
        </w:rPr>
        <w:t>2</w:t>
      </w:r>
      <w:r w:rsidR="00AD67A8">
        <w:t xml:space="preserve"> captured, while the process using the cellulose based sorbent needs 1,410 </w:t>
      </w:r>
      <w:proofErr w:type="spellStart"/>
      <w:r w:rsidR="00AD67A8">
        <w:t>kWh</w:t>
      </w:r>
      <w:r w:rsidR="00AD67A8" w:rsidRPr="00AD67A8">
        <w:rPr>
          <w:vertAlign w:val="subscript"/>
        </w:rPr>
        <w:t>th</w:t>
      </w:r>
      <w:proofErr w:type="spellEnd"/>
      <w:r w:rsidR="00AD67A8">
        <w:t>/tCO</w:t>
      </w:r>
      <w:r w:rsidR="00AD67A8" w:rsidRPr="00AD67A8">
        <w:rPr>
          <w:vertAlign w:val="subscript"/>
        </w:rPr>
        <w:t>2</w:t>
      </w:r>
      <w:r w:rsidR="00AD67A8">
        <w:t xml:space="preserve"> captured.</w:t>
      </w:r>
    </w:p>
    <w:p w14:paraId="24C29899" w14:textId="0EDCB282" w:rsidR="00AD67A8" w:rsidRDefault="00874945" w:rsidP="00411408">
      <w:pPr>
        <w:pStyle w:val="CETBodytext"/>
      </w:pPr>
      <w:r>
        <w:t xml:space="preserve">Total costs of DAC plants in different Countries are reported in </w:t>
      </w:r>
      <w:r w:rsidR="00CD52CF">
        <w:t>Figure</w:t>
      </w:r>
      <w:r w:rsidR="00CD52CF">
        <w:t xml:space="preserve"> </w:t>
      </w:r>
      <w:r>
        <w:t>4: a trend with the ambient air temperature is not present, as they are related to the location factor. However, higher total costs are for processes based on MOFs, as found by Leonzio et al. (2022a). The use of MIL-101 can cause a cost of the process up to 110,000 $/tCO</w:t>
      </w:r>
      <w:r w:rsidRPr="00874945">
        <w:rPr>
          <w:vertAlign w:val="subscript"/>
        </w:rPr>
        <w:t>2</w:t>
      </w:r>
      <w:r>
        <w:t xml:space="preserve"> captured, underli</w:t>
      </w:r>
      <w:r w:rsidR="002C438D">
        <w:t>ni</w:t>
      </w:r>
      <w:r w:rsidR="00297A2B">
        <w:t xml:space="preserve">ng how </w:t>
      </w:r>
      <w:proofErr w:type="spellStart"/>
      <w:r w:rsidR="00297A2B">
        <w:t>physisorbents</w:t>
      </w:r>
      <w:proofErr w:type="spellEnd"/>
      <w:r w:rsidR="00297A2B">
        <w:t xml:space="preserve"> make the plant</w:t>
      </w:r>
      <w:r w:rsidR="003A796B">
        <w:t xml:space="preserve"> unfeasible from</w:t>
      </w:r>
      <w:r>
        <w:t xml:space="preserve"> an economic point of view as well. </w:t>
      </w:r>
      <w:r w:rsidR="00297A2B">
        <w:t>Total costs of systems based on amine fu</w:t>
      </w:r>
      <w:r w:rsidR="003A796B">
        <w:t>nctionalized sorbents are in</w:t>
      </w:r>
      <w:r w:rsidR="00297A2B">
        <w:t xml:space="preserve"> most cases in agreement with value</w:t>
      </w:r>
      <w:r w:rsidR="009708E0">
        <w:t>s</w:t>
      </w:r>
      <w:r w:rsidR="00297A2B">
        <w:t xml:space="preserve"> reported in the literature (</w:t>
      </w:r>
      <w:proofErr w:type="gramStart"/>
      <w:r w:rsidR="00297A2B">
        <w:t>e.g.</w:t>
      </w:r>
      <w:proofErr w:type="gramEnd"/>
      <w:r w:rsidR="00297A2B">
        <w:t xml:space="preserve"> up to 1000 $/tCO</w:t>
      </w:r>
      <w:r w:rsidR="00297A2B" w:rsidRPr="00297A2B">
        <w:rPr>
          <w:vertAlign w:val="subscript"/>
        </w:rPr>
        <w:t>2</w:t>
      </w:r>
      <w:r w:rsidR="00297A2B">
        <w:t xml:space="preserve"> captured). However, a higher cost is obtained for some locations (Brazil, India, Italy, Japan, The Netherland and Poland</w:t>
      </w:r>
      <w:r w:rsidR="00BA4261">
        <w:t xml:space="preserve"> when APDES-NFC-FD is used and Brazil, India, Australia, Spain, Italy, Japan, The Netherlands, Slovenia, Poland, USA when SI-AEATPMS is used</w:t>
      </w:r>
      <w:r w:rsidR="00297A2B">
        <w:t>): the construction of a DAC plant here is not suggested. Switzerland is the most preferred place where to build an adsorption plant for CO</w:t>
      </w:r>
      <w:r w:rsidR="00297A2B" w:rsidRPr="00297A2B">
        <w:rPr>
          <w:vertAlign w:val="subscript"/>
        </w:rPr>
        <w:t>2</w:t>
      </w:r>
      <w:r w:rsidR="00297A2B">
        <w:t xml:space="preserve"> capture from the air, using the </w:t>
      </w:r>
      <w:proofErr w:type="gramStart"/>
      <w:r w:rsidR="00297A2B">
        <w:t>cellulose based</w:t>
      </w:r>
      <w:proofErr w:type="gramEnd"/>
      <w:r w:rsidR="00297A2B">
        <w:t xml:space="preserve"> amine functionalized sorbent: total costs</w:t>
      </w:r>
      <w:r w:rsidR="003D40D2">
        <w:t xml:space="preserve"> </w:t>
      </w:r>
      <w:r w:rsidR="00297A2B">
        <w:t>are 577 $/tCO</w:t>
      </w:r>
      <w:r w:rsidR="00297A2B" w:rsidRPr="00297A2B">
        <w:rPr>
          <w:vertAlign w:val="subscript"/>
        </w:rPr>
        <w:t>2</w:t>
      </w:r>
      <w:r w:rsidR="00297A2B">
        <w:t xml:space="preserve"> captured. This value is comparable with that suggested by the </w:t>
      </w:r>
      <w:proofErr w:type="spellStart"/>
      <w:r w:rsidR="00297A2B">
        <w:t>Climeworks</w:t>
      </w:r>
      <w:proofErr w:type="spellEnd"/>
      <w:r w:rsidR="00297A2B">
        <w:t xml:space="preserve"> company (</w:t>
      </w:r>
      <w:proofErr w:type="gramStart"/>
      <w:r w:rsidR="00297A2B">
        <w:t>e.g.</w:t>
      </w:r>
      <w:proofErr w:type="gramEnd"/>
      <w:r w:rsidR="00297A2B">
        <w:t xml:space="preserve"> 600 $/tCO</w:t>
      </w:r>
      <w:r w:rsidR="00297A2B" w:rsidRPr="00297A2B">
        <w:rPr>
          <w:vertAlign w:val="subscript"/>
        </w:rPr>
        <w:t>2</w:t>
      </w:r>
      <w:r w:rsidR="00297A2B">
        <w:t xml:space="preserve"> captured)</w:t>
      </w:r>
      <w:r w:rsidR="00BA4261">
        <w:t xml:space="preserve"> (</w:t>
      </w:r>
      <w:proofErr w:type="spellStart"/>
      <w:r w:rsidR="00BA4261">
        <w:t>Climeworks</w:t>
      </w:r>
      <w:proofErr w:type="spellEnd"/>
      <w:r w:rsidR="00BA4261">
        <w:t>, 2020)</w:t>
      </w:r>
      <w:r w:rsidR="00297A2B">
        <w:t xml:space="preserve">. </w:t>
      </w:r>
    </w:p>
    <w:p w14:paraId="5BAF9AE1" w14:textId="58992DB0" w:rsidR="001C03AC" w:rsidRPr="00AD67A8" w:rsidRDefault="000B1171" w:rsidP="00411408">
      <w:pPr>
        <w:pStyle w:val="CETBodytext"/>
      </w:pPr>
      <w:r>
        <w:t>Figure</w:t>
      </w:r>
      <w:r>
        <w:t xml:space="preserve"> </w:t>
      </w:r>
      <w:r w:rsidR="001C03AC">
        <w:t>5 shows the values of climate change for DAC plants in different Countries and with different sorbents.</w:t>
      </w:r>
      <w:r w:rsidR="0017416B">
        <w:t xml:space="preserve"> A lower environmental impact is present at a lower air temperature, while only the APDES-NFC-FD sorbent ensures a negative value of climate change. </w:t>
      </w:r>
      <w:r w:rsidR="00D12E16">
        <w:t xml:space="preserve">Due to the huge energy consumption, systems with MOF sorbents are characterized by a </w:t>
      </w:r>
      <w:r w:rsidR="00E13F60">
        <w:t>significant</w:t>
      </w:r>
      <w:r w:rsidR="00D12E16">
        <w:t xml:space="preserve"> value of climate chang</w:t>
      </w:r>
      <w:r w:rsidR="00E13F60">
        <w:t>e.</w:t>
      </w:r>
    </w:p>
    <w:p w14:paraId="275540BC" w14:textId="01AC6D38" w:rsidR="00263ABB" w:rsidRDefault="00263ABB" w:rsidP="00411408">
      <w:pPr>
        <w:pStyle w:val="CETBodytext"/>
        <w:rPr>
          <w:lang w:val="en-GB"/>
        </w:rPr>
      </w:pPr>
    </w:p>
    <w:p w14:paraId="143C1C8B" w14:textId="510652CB" w:rsidR="00263ABB" w:rsidRDefault="00263ABB" w:rsidP="00411408">
      <w:pPr>
        <w:pStyle w:val="CETBodytext"/>
        <w:rPr>
          <w:lang w:val="en-GB"/>
        </w:rPr>
      </w:pPr>
    </w:p>
    <w:p w14:paraId="7DB47612" w14:textId="77777777" w:rsidR="00263ABB" w:rsidRDefault="00263ABB" w:rsidP="000720AF">
      <w:pPr>
        <w:pStyle w:val="CETBodytext"/>
        <w:keepNext/>
      </w:pPr>
      <w:r>
        <w:rPr>
          <w:noProof/>
        </w:rPr>
        <w:drawing>
          <wp:inline distT="0" distB="0" distL="0" distR="0" wp14:anchorId="2AA45E96" wp14:editId="74EC8ED2">
            <wp:extent cx="5540400" cy="2973600"/>
            <wp:effectExtent l="0" t="0" r="3175" b="17780"/>
            <wp:docPr id="8" name="Grafico 8">
              <a:extLst xmlns:a="http://schemas.openxmlformats.org/drawingml/2006/main">
                <a:ext uri="{FF2B5EF4-FFF2-40B4-BE49-F238E27FC236}">
                  <a16:creationId xmlns:a16="http://schemas.microsoft.com/office/drawing/2014/main" id="{527F65F0-2BCF-708F-E270-7096EA15E8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A0534EA" w14:textId="529A5CE6" w:rsidR="00263ABB" w:rsidRPr="00C36241" w:rsidRDefault="00263ABB" w:rsidP="00C36241">
      <w:pPr>
        <w:pStyle w:val="Didascalia"/>
        <w:rPr>
          <w:b w:val="0"/>
          <w:bCs w:val="0"/>
          <w:color w:val="000000" w:themeColor="text1"/>
        </w:rPr>
      </w:pPr>
      <w:r w:rsidRPr="000720AF">
        <w:rPr>
          <w:b w:val="0"/>
          <w:bCs w:val="0"/>
          <w:color w:val="000000" w:themeColor="text1"/>
        </w:rPr>
        <w:t xml:space="preserve">Figure </w:t>
      </w:r>
      <w:r w:rsidRPr="000720AF">
        <w:rPr>
          <w:b w:val="0"/>
          <w:bCs w:val="0"/>
          <w:color w:val="000000" w:themeColor="text1"/>
        </w:rPr>
        <w:fldChar w:fldCharType="begin"/>
      </w:r>
      <w:r w:rsidRPr="000720AF">
        <w:rPr>
          <w:b w:val="0"/>
          <w:bCs w:val="0"/>
          <w:color w:val="000000" w:themeColor="text1"/>
        </w:rPr>
        <w:instrText xml:space="preserve"> SEQ Figure \* ARABIC </w:instrText>
      </w:r>
      <w:r w:rsidRPr="000720AF">
        <w:rPr>
          <w:b w:val="0"/>
          <w:bCs w:val="0"/>
          <w:color w:val="000000" w:themeColor="text1"/>
        </w:rPr>
        <w:fldChar w:fldCharType="separate"/>
      </w:r>
      <w:r w:rsidRPr="000720AF">
        <w:rPr>
          <w:b w:val="0"/>
          <w:bCs w:val="0"/>
          <w:noProof/>
          <w:color w:val="000000" w:themeColor="text1"/>
        </w:rPr>
        <w:t>5</w:t>
      </w:r>
      <w:r w:rsidRPr="000720AF">
        <w:rPr>
          <w:b w:val="0"/>
          <w:bCs w:val="0"/>
          <w:color w:val="000000" w:themeColor="text1"/>
        </w:rPr>
        <w:fldChar w:fldCharType="end"/>
      </w:r>
      <w:r w:rsidRPr="000720AF">
        <w:rPr>
          <w:b w:val="0"/>
          <w:bCs w:val="0"/>
          <w:color w:val="000000" w:themeColor="text1"/>
        </w:rPr>
        <w:t xml:space="preserve"> Climate change of DAC plants in different Countries</w:t>
      </w:r>
    </w:p>
    <w:p w14:paraId="6DDCE997" w14:textId="2B6E2657" w:rsidR="00411408" w:rsidRPr="00411408" w:rsidRDefault="00600535" w:rsidP="00411408">
      <w:pPr>
        <w:pStyle w:val="CETHeading1"/>
        <w:rPr>
          <w:lang w:val="en-GB"/>
        </w:rPr>
      </w:pPr>
      <w:r w:rsidRPr="00B57B36">
        <w:rPr>
          <w:lang w:val="en-GB"/>
        </w:rPr>
        <w:t>Conclusions</w:t>
      </w:r>
    </w:p>
    <w:p w14:paraId="47067273" w14:textId="12DC3C91" w:rsidR="005A2A91" w:rsidRDefault="005A2A91" w:rsidP="00600535">
      <w:pPr>
        <w:pStyle w:val="CETBodytext"/>
        <w:rPr>
          <w:lang w:val="en-GB"/>
        </w:rPr>
      </w:pPr>
      <w:r>
        <w:rPr>
          <w:lang w:val="en-GB"/>
        </w:rPr>
        <w:t>The analysis of a DAC</w:t>
      </w:r>
      <w:r w:rsidR="00A37E8B">
        <w:rPr>
          <w:lang w:val="en-GB"/>
        </w:rPr>
        <w:t xml:space="preserve"> adsorption </w:t>
      </w:r>
      <w:r w:rsidR="006A1802">
        <w:rPr>
          <w:lang w:val="en-GB"/>
        </w:rPr>
        <w:t xml:space="preserve">process </w:t>
      </w:r>
      <w:r>
        <w:rPr>
          <w:lang w:val="en-GB"/>
        </w:rPr>
        <w:t>was conducted in different Countries around the world</w:t>
      </w:r>
      <w:r w:rsidR="008C3D68">
        <w:rPr>
          <w:lang w:val="en-GB"/>
        </w:rPr>
        <w:t>,</w:t>
      </w:r>
      <w:r>
        <w:rPr>
          <w:lang w:val="en-GB"/>
        </w:rPr>
        <w:t xml:space="preserve"> changing the ambient air temperature according to the yearly average value</w:t>
      </w:r>
      <w:r w:rsidR="008C3D68">
        <w:rPr>
          <w:lang w:val="en-GB"/>
        </w:rPr>
        <w:t xml:space="preserve"> of the considered location</w:t>
      </w:r>
      <w:r>
        <w:rPr>
          <w:lang w:val="en-GB"/>
        </w:rPr>
        <w:t>. A similar analysis has not been carried out in the literature before</w:t>
      </w:r>
      <w:r w:rsidR="00E866DA">
        <w:rPr>
          <w:lang w:val="en-GB"/>
        </w:rPr>
        <w:t>,</w:t>
      </w:r>
      <w:r>
        <w:rPr>
          <w:lang w:val="en-GB"/>
        </w:rPr>
        <w:t xml:space="preserve"> underlining the novelty of this research</w:t>
      </w:r>
      <w:r w:rsidR="008C3D68">
        <w:rPr>
          <w:lang w:val="en-GB"/>
        </w:rPr>
        <w:t xml:space="preserve"> about an emerging topic</w:t>
      </w:r>
      <w:r>
        <w:rPr>
          <w:lang w:val="en-GB"/>
        </w:rPr>
        <w:t xml:space="preserve">. </w:t>
      </w:r>
    </w:p>
    <w:p w14:paraId="260C3967" w14:textId="23802B9C" w:rsidR="00E866DA" w:rsidRDefault="00E866DA" w:rsidP="00600535">
      <w:pPr>
        <w:pStyle w:val="CETBodytext"/>
        <w:rPr>
          <w:lang w:val="en-GB"/>
        </w:rPr>
      </w:pPr>
      <w:r>
        <w:rPr>
          <w:lang w:val="en-GB"/>
        </w:rPr>
        <w:t>For the DAC system, using three MOFs and two amine functionalized sorbents, KPIs such as</w:t>
      </w:r>
      <w:r w:rsidR="0017416B">
        <w:rPr>
          <w:lang w:val="en-GB"/>
        </w:rPr>
        <w:t xml:space="preserve"> the</w:t>
      </w:r>
      <w:r>
        <w:rPr>
          <w:lang w:val="en-GB"/>
        </w:rPr>
        <w:t xml:space="preserve"> adsorption capacity, thermal and electrical energy consumption</w:t>
      </w:r>
      <w:r w:rsidR="00B55780">
        <w:rPr>
          <w:lang w:val="en-GB"/>
        </w:rPr>
        <w:t>s</w:t>
      </w:r>
      <w:r>
        <w:rPr>
          <w:lang w:val="en-GB"/>
        </w:rPr>
        <w:t>, total costs and climate change w</w:t>
      </w:r>
      <w:r w:rsidR="0017416B">
        <w:rPr>
          <w:lang w:val="en-GB"/>
        </w:rPr>
        <w:t>ere</w:t>
      </w:r>
      <w:r>
        <w:rPr>
          <w:lang w:val="en-GB"/>
        </w:rPr>
        <w:t xml:space="preserve"> evaluated</w:t>
      </w:r>
      <w:r w:rsidR="00B55780">
        <w:rPr>
          <w:lang w:val="en-GB"/>
        </w:rPr>
        <w:t>.</w:t>
      </w:r>
    </w:p>
    <w:p w14:paraId="213945F3" w14:textId="161E70F5" w:rsidR="00B55780" w:rsidRDefault="00B55780" w:rsidP="00600535">
      <w:pPr>
        <w:pStyle w:val="CETBodytext"/>
        <w:rPr>
          <w:lang w:val="en-GB"/>
        </w:rPr>
      </w:pPr>
      <w:r>
        <w:rPr>
          <w:lang w:val="en-GB"/>
        </w:rPr>
        <w:t>Results show that</w:t>
      </w:r>
      <w:r w:rsidRPr="00B55780">
        <w:rPr>
          <w:lang w:val="en-GB"/>
        </w:rPr>
        <w:t xml:space="preserve"> locations with lower ambient temperatures are preferred due to a lower environmental impact and energy consumption</w:t>
      </w:r>
      <w:r w:rsidR="005B27EF">
        <w:rPr>
          <w:lang w:val="en-GB"/>
        </w:rPr>
        <w:t>s</w:t>
      </w:r>
      <w:r w:rsidRPr="00B55780">
        <w:rPr>
          <w:lang w:val="en-GB"/>
        </w:rPr>
        <w:t>.</w:t>
      </w:r>
      <w:r w:rsidR="005B27EF">
        <w:rPr>
          <w:lang w:val="en-GB"/>
        </w:rPr>
        <w:t xml:space="preserve"> For a DAC plant located in Finland (ambient air temperature of 2.52 °C) and using the APDES-NFC-FD sorbent, the climate change is -161 kgCO</w:t>
      </w:r>
      <w:r w:rsidR="005B27EF" w:rsidRPr="005B27EF">
        <w:rPr>
          <w:vertAlign w:val="subscript"/>
          <w:lang w:val="en-GB"/>
        </w:rPr>
        <w:t>2eq</w:t>
      </w:r>
      <w:r w:rsidR="005B27EF">
        <w:rPr>
          <w:lang w:val="en-GB"/>
        </w:rPr>
        <w:t>/tCO</w:t>
      </w:r>
      <w:r w:rsidR="005B27EF" w:rsidRPr="005B27EF">
        <w:rPr>
          <w:vertAlign w:val="subscript"/>
          <w:lang w:val="en-GB"/>
        </w:rPr>
        <w:t>2</w:t>
      </w:r>
      <w:r w:rsidR="005B27EF">
        <w:rPr>
          <w:lang w:val="en-GB"/>
        </w:rPr>
        <w:t xml:space="preserve"> captures, thermal and electrical energy </w:t>
      </w:r>
      <w:r w:rsidR="005B27EF">
        <w:rPr>
          <w:lang w:val="en-GB"/>
        </w:rPr>
        <w:lastRenderedPageBreak/>
        <w:t xml:space="preserve">consumptions are respectively of 1,290 </w:t>
      </w:r>
      <w:proofErr w:type="spellStart"/>
      <w:r w:rsidR="005B27EF">
        <w:rPr>
          <w:lang w:val="en-GB"/>
        </w:rPr>
        <w:t>kWh</w:t>
      </w:r>
      <w:r w:rsidR="005B27EF" w:rsidRPr="005B27EF">
        <w:rPr>
          <w:vertAlign w:val="subscript"/>
          <w:lang w:val="en-GB"/>
        </w:rPr>
        <w:t>th</w:t>
      </w:r>
      <w:proofErr w:type="spellEnd"/>
      <w:r w:rsidR="005B27EF">
        <w:rPr>
          <w:lang w:val="en-GB"/>
        </w:rPr>
        <w:t>/tCO</w:t>
      </w:r>
      <w:r w:rsidR="005B27EF" w:rsidRPr="005B27EF">
        <w:rPr>
          <w:vertAlign w:val="subscript"/>
          <w:lang w:val="en-GB"/>
        </w:rPr>
        <w:t>2</w:t>
      </w:r>
      <w:r w:rsidR="005B27EF">
        <w:rPr>
          <w:lang w:val="en-GB"/>
        </w:rPr>
        <w:t xml:space="preserve"> captured and 237 </w:t>
      </w:r>
      <w:proofErr w:type="spellStart"/>
      <w:r w:rsidR="005B27EF">
        <w:rPr>
          <w:lang w:val="en-GB"/>
        </w:rPr>
        <w:t>kWh</w:t>
      </w:r>
      <w:r w:rsidR="005B27EF" w:rsidRPr="005B27EF">
        <w:rPr>
          <w:vertAlign w:val="subscript"/>
          <w:lang w:val="en-GB"/>
        </w:rPr>
        <w:t>el</w:t>
      </w:r>
      <w:proofErr w:type="spellEnd"/>
      <w:r w:rsidR="005B27EF">
        <w:rPr>
          <w:lang w:val="en-GB"/>
        </w:rPr>
        <w:t>/tCO</w:t>
      </w:r>
      <w:r w:rsidR="005B27EF" w:rsidRPr="005B27EF">
        <w:rPr>
          <w:vertAlign w:val="subscript"/>
          <w:lang w:val="en-GB"/>
        </w:rPr>
        <w:t>2</w:t>
      </w:r>
      <w:r w:rsidR="005B27EF">
        <w:rPr>
          <w:lang w:val="en-GB"/>
        </w:rPr>
        <w:t xml:space="preserve"> captured, the adsorption capacity is 137.04 kgCO</w:t>
      </w:r>
      <w:r w:rsidR="005B27EF" w:rsidRPr="005B27EF">
        <w:rPr>
          <w:vertAlign w:val="subscript"/>
          <w:lang w:val="en-GB"/>
        </w:rPr>
        <w:t>2</w:t>
      </w:r>
      <w:r w:rsidR="005B27EF">
        <w:rPr>
          <w:lang w:val="en-GB"/>
        </w:rPr>
        <w:t>/day while total costs are 752 $/tCO</w:t>
      </w:r>
      <w:r w:rsidR="005B27EF" w:rsidRPr="005B27EF">
        <w:rPr>
          <w:vertAlign w:val="subscript"/>
          <w:lang w:val="en-GB"/>
        </w:rPr>
        <w:t>2</w:t>
      </w:r>
      <w:r w:rsidR="005B27EF">
        <w:rPr>
          <w:lang w:val="en-GB"/>
        </w:rPr>
        <w:t xml:space="preserve"> captured. </w:t>
      </w:r>
    </w:p>
    <w:p w14:paraId="6B8D1EF6" w14:textId="77777777" w:rsidR="0017416B" w:rsidRDefault="0017416B" w:rsidP="005B27EF">
      <w:pPr>
        <w:pStyle w:val="CETBodytext"/>
        <w:rPr>
          <w:b/>
        </w:rPr>
      </w:pPr>
    </w:p>
    <w:p w14:paraId="07A6D20F" w14:textId="510C9A6D" w:rsidR="00280FAF" w:rsidRPr="005B27EF" w:rsidRDefault="00280FAF" w:rsidP="005B27EF">
      <w:pPr>
        <w:pStyle w:val="CETBodytext"/>
        <w:rPr>
          <w:b/>
          <w:lang w:val="en-GB"/>
        </w:rPr>
        <w:sectPr w:rsidR="00280FAF" w:rsidRPr="005B27EF" w:rsidSect="00B57E6F">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701" w:right="1418" w:bottom="1701" w:left="1701" w:header="1701" w:footer="0" w:gutter="0"/>
          <w:cols w:space="708"/>
          <w:formProt w:val="0"/>
          <w:titlePg/>
          <w:docGrid w:linePitch="360"/>
        </w:sectPr>
      </w:pPr>
      <w:r w:rsidRPr="005B27EF">
        <w:rPr>
          <w:b/>
        </w:rPr>
        <w:t>Nomenclature</w:t>
      </w:r>
    </w:p>
    <w:p w14:paraId="25D52BD8" w14:textId="39FA43DF" w:rsidR="00280FAF" w:rsidRPr="00280FAF" w:rsidRDefault="0029439E" w:rsidP="00280FAF">
      <w:pPr>
        <w:pStyle w:val="CETBodytext"/>
        <w:jc w:val="left"/>
        <w:rPr>
          <w:rFonts w:eastAsia="SimSun"/>
        </w:rPr>
      </w:pPr>
      <w:r>
        <w:rPr>
          <w:rFonts w:eastAsia="SimSun"/>
        </w:rPr>
        <w:t>CDR</w:t>
      </w:r>
      <w:r w:rsidR="00280FAF" w:rsidRPr="00280FAF">
        <w:rPr>
          <w:rFonts w:eastAsia="SimSun"/>
        </w:rPr>
        <w:t xml:space="preserve"> – </w:t>
      </w:r>
      <w:r>
        <w:rPr>
          <w:rFonts w:eastAsia="SimSun"/>
        </w:rPr>
        <w:t>Carbon Dioxide Removal</w:t>
      </w:r>
    </w:p>
    <w:p w14:paraId="7DFFBF41" w14:textId="77777777" w:rsidR="00280FAF" w:rsidRPr="00280FAF" w:rsidRDefault="00280FAF" w:rsidP="00280FAF">
      <w:pPr>
        <w:pStyle w:val="CETBodytext"/>
        <w:jc w:val="left"/>
        <w:rPr>
          <w:rFonts w:eastAsia="SimSun"/>
        </w:rPr>
        <w:sectPr w:rsidR="00280FAF" w:rsidRPr="00280FAF" w:rsidSect="0077098D">
          <w:type w:val="continuous"/>
          <w:pgSz w:w="11906" w:h="16838" w:code="9"/>
          <w:pgMar w:top="1701" w:right="1418" w:bottom="1701" w:left="1701" w:header="1701" w:footer="0" w:gutter="0"/>
          <w:cols w:space="708"/>
          <w:formProt w:val="0"/>
          <w:titlePg/>
          <w:docGrid w:linePitch="360"/>
        </w:sectPr>
      </w:pPr>
    </w:p>
    <w:p w14:paraId="57590CE2" w14:textId="74BEBB97" w:rsidR="00280FAF" w:rsidRDefault="0029439E" w:rsidP="00280FAF">
      <w:pPr>
        <w:pStyle w:val="CETBodytext"/>
        <w:jc w:val="left"/>
        <w:rPr>
          <w:rFonts w:eastAsia="SimSun"/>
        </w:rPr>
      </w:pPr>
      <w:r>
        <w:rPr>
          <w:rFonts w:eastAsia="SimSun"/>
        </w:rPr>
        <w:t>DAC</w:t>
      </w:r>
      <w:r w:rsidR="00280FAF" w:rsidRPr="00280FAF">
        <w:rPr>
          <w:rFonts w:eastAsia="SimSun"/>
        </w:rPr>
        <w:t xml:space="preserve"> – </w:t>
      </w:r>
      <w:r>
        <w:rPr>
          <w:rFonts w:eastAsia="SimSun"/>
        </w:rPr>
        <w:t>Direct Air Capture</w:t>
      </w:r>
    </w:p>
    <w:p w14:paraId="542F7322" w14:textId="29ED89A8" w:rsidR="0029439E" w:rsidRPr="00280FAF" w:rsidRDefault="0029439E" w:rsidP="00280FAF">
      <w:pPr>
        <w:pStyle w:val="CETBodytext"/>
        <w:jc w:val="left"/>
        <w:rPr>
          <w:rFonts w:eastAsia="SimSun"/>
        </w:rPr>
      </w:pPr>
      <w:r>
        <w:rPr>
          <w:rFonts w:eastAsia="SimSun"/>
        </w:rPr>
        <w:t>LCA – Life Cycle Assessment</w:t>
      </w:r>
    </w:p>
    <w:p w14:paraId="54F0CF31" w14:textId="75480BD3" w:rsidR="0029439E" w:rsidRDefault="0029439E" w:rsidP="00280FAF">
      <w:pPr>
        <w:pStyle w:val="CETBodytext"/>
        <w:jc w:val="left"/>
        <w:rPr>
          <w:rFonts w:eastAsia="SimSun"/>
        </w:rPr>
      </w:pPr>
      <w:r w:rsidRPr="00280FAF">
        <w:rPr>
          <w:rFonts w:eastAsia="SimSun"/>
        </w:rPr>
        <w:t>L</w:t>
      </w:r>
      <w:r w:rsidRPr="0029439E">
        <w:rPr>
          <w:rFonts w:eastAsia="SimSun"/>
        </w:rPr>
        <w:t>DF</w:t>
      </w:r>
      <w:r>
        <w:rPr>
          <w:rFonts w:eastAsia="SimSun"/>
        </w:rPr>
        <w:t xml:space="preserve"> – Linear Driving Force</w:t>
      </w:r>
    </w:p>
    <w:p w14:paraId="0E502614" w14:textId="52CE71CE" w:rsidR="00280FAF" w:rsidRPr="00280FAF" w:rsidRDefault="0029439E" w:rsidP="00280FAF">
      <w:pPr>
        <w:pStyle w:val="CETBodytext"/>
        <w:jc w:val="left"/>
        <w:rPr>
          <w:rFonts w:eastAsia="SimSun"/>
        </w:rPr>
      </w:pPr>
      <w:r>
        <w:rPr>
          <w:rFonts w:eastAsia="SimSun"/>
        </w:rPr>
        <w:t>NET</w:t>
      </w:r>
      <w:r w:rsidR="00280FAF" w:rsidRPr="00280FAF">
        <w:rPr>
          <w:rFonts w:eastAsia="SimSun"/>
        </w:rPr>
        <w:t xml:space="preserve"> – </w:t>
      </w:r>
      <w:r>
        <w:rPr>
          <w:rFonts w:eastAsia="SimSun"/>
        </w:rPr>
        <w:t>Negative Emission Technology</w:t>
      </w:r>
    </w:p>
    <w:p w14:paraId="33D176ED" w14:textId="449D0F47" w:rsidR="00280FAF" w:rsidRPr="00280FAF" w:rsidRDefault="0029439E" w:rsidP="00280FAF">
      <w:pPr>
        <w:pStyle w:val="CETBodytext"/>
        <w:jc w:val="left"/>
        <w:rPr>
          <w:rFonts w:eastAsia="SimSun"/>
        </w:rPr>
      </w:pPr>
      <w:r>
        <w:rPr>
          <w:rFonts w:eastAsia="SimSun"/>
        </w:rPr>
        <w:t>TSA</w:t>
      </w:r>
      <w:r w:rsidR="00280FAF" w:rsidRPr="00280FAF">
        <w:rPr>
          <w:rFonts w:eastAsia="SimSun"/>
        </w:rPr>
        <w:t xml:space="preserve"> – </w:t>
      </w:r>
      <w:r>
        <w:rPr>
          <w:rFonts w:eastAsia="SimSun"/>
        </w:rPr>
        <w:t>Temperature Swing Adsorption</w:t>
      </w:r>
    </w:p>
    <w:p w14:paraId="459D05E6" w14:textId="369C62BA" w:rsidR="00600535" w:rsidRPr="00B57B36" w:rsidRDefault="00600535" w:rsidP="00600535">
      <w:pPr>
        <w:pStyle w:val="CETAcknowledgementstitle"/>
      </w:pPr>
      <w:r w:rsidRPr="00B57B36">
        <w:t>Acknowledgments</w:t>
      </w:r>
    </w:p>
    <w:p w14:paraId="33F8138F" w14:textId="4B7E951A" w:rsidR="00600535" w:rsidRPr="00B57B36" w:rsidRDefault="00F26054" w:rsidP="00600535">
      <w:pPr>
        <w:pStyle w:val="CETBodytext"/>
        <w:rPr>
          <w:lang w:val="en-GB"/>
        </w:rPr>
      </w:pPr>
      <w:r>
        <w:rPr>
          <w:lang w:val="en-GB"/>
        </w:rPr>
        <w:t xml:space="preserve">This work was supported by the </w:t>
      </w:r>
      <w:r w:rsidR="0029439E">
        <w:rPr>
          <w:lang w:val="en-GB"/>
        </w:rPr>
        <w:t>Hedley</w:t>
      </w:r>
      <w:r>
        <w:rPr>
          <w:lang w:val="en-GB"/>
        </w:rPr>
        <w:t xml:space="preserve"> Trust.</w:t>
      </w:r>
    </w:p>
    <w:p w14:paraId="00BA3D4F" w14:textId="1FE9BBA1" w:rsidR="00C52C3C" w:rsidRDefault="0017416B" w:rsidP="0017416B">
      <w:pPr>
        <w:pStyle w:val="CETReference"/>
      </w:pPr>
      <w:r>
        <w:t>References</w:t>
      </w:r>
    </w:p>
    <w:p w14:paraId="6A23C91D" w14:textId="1080BE16" w:rsidR="00BA4261" w:rsidRDefault="00BA4261" w:rsidP="00E65B91">
      <w:pPr>
        <w:pStyle w:val="CETReferencetext"/>
        <w:rPr>
          <w:lang w:val="en-US"/>
        </w:rPr>
      </w:pPr>
      <w:proofErr w:type="spellStart"/>
      <w:r w:rsidRPr="007F03DD">
        <w:rPr>
          <w:lang w:val="en-US"/>
        </w:rPr>
        <w:t>Climeworks</w:t>
      </w:r>
      <w:proofErr w:type="spellEnd"/>
      <w:r w:rsidRPr="007F03DD">
        <w:rPr>
          <w:lang w:val="en-US"/>
        </w:rPr>
        <w:t>, 2020</w:t>
      </w:r>
      <w:r w:rsidR="007F0D32" w:rsidRPr="007F03DD">
        <w:rPr>
          <w:lang w:val="en-US"/>
        </w:rPr>
        <w:t>,</w:t>
      </w:r>
      <w:r w:rsidR="00C36241">
        <w:rPr>
          <w:lang w:val="en-US"/>
        </w:rPr>
        <w:t xml:space="preserve"> </w:t>
      </w:r>
      <w:r w:rsidR="007F03DD" w:rsidRPr="000720AF">
        <w:rPr>
          <w:lang w:val="en-US"/>
        </w:rPr>
        <w:t>&lt;climeworks.com</w:t>
      </w:r>
      <w:r w:rsidR="000720AF" w:rsidRPr="00C36241">
        <w:rPr>
          <w:rStyle w:val="Collegamentoipertestuale"/>
          <w:color w:val="000000" w:themeColor="text1"/>
          <w:u w:val="none"/>
          <w:lang w:val="en-US"/>
        </w:rPr>
        <w:t>&gt;</w:t>
      </w:r>
      <w:r w:rsidR="00D12E16">
        <w:rPr>
          <w:lang w:val="en-US"/>
        </w:rPr>
        <w:t>, accessed 1.12.2020</w:t>
      </w:r>
    </w:p>
    <w:p w14:paraId="03CEA04C" w14:textId="06E068DE" w:rsidR="00C52C3C" w:rsidRDefault="0029504D" w:rsidP="00E65B91">
      <w:pPr>
        <w:pStyle w:val="CETReferencetext"/>
        <w:rPr>
          <w:lang w:val="en-US"/>
        </w:rPr>
      </w:pPr>
      <w:r>
        <w:rPr>
          <w:lang w:val="en-US"/>
        </w:rPr>
        <w:t>Drechsler C., Agar</w:t>
      </w:r>
      <w:r w:rsidRPr="0029504D">
        <w:rPr>
          <w:lang w:val="en-US"/>
        </w:rPr>
        <w:t xml:space="preserve"> D.W. 2019. Simulation and optimization of a novel moving belt adsorber concept for the direct air capture of carbon dioxide, Computers and Chemical Engineering 126, 520–534</w:t>
      </w:r>
    </w:p>
    <w:p w14:paraId="3D285A0A" w14:textId="271E000E" w:rsidR="005E5DEC" w:rsidRDefault="005E5DEC" w:rsidP="00E65B91">
      <w:pPr>
        <w:pStyle w:val="CETReferencetext"/>
        <w:rPr>
          <w:lang w:val="en-US"/>
        </w:rPr>
      </w:pPr>
      <w:r>
        <w:rPr>
          <w:lang w:val="en-US"/>
        </w:rPr>
        <w:t xml:space="preserve">Elfving J., </w:t>
      </w:r>
      <w:proofErr w:type="spellStart"/>
      <w:r>
        <w:rPr>
          <w:lang w:val="en-US"/>
        </w:rPr>
        <w:t>Kauppinena</w:t>
      </w:r>
      <w:proofErr w:type="spellEnd"/>
      <w:r>
        <w:rPr>
          <w:lang w:val="en-US"/>
        </w:rPr>
        <w:t xml:space="preserve"> J., </w:t>
      </w:r>
      <w:proofErr w:type="spellStart"/>
      <w:r>
        <w:rPr>
          <w:lang w:val="en-US"/>
        </w:rPr>
        <w:t>Jegoroffa</w:t>
      </w:r>
      <w:proofErr w:type="spellEnd"/>
      <w:r>
        <w:rPr>
          <w:lang w:val="en-US"/>
        </w:rPr>
        <w:t xml:space="preserve"> M., </w:t>
      </w:r>
      <w:proofErr w:type="spellStart"/>
      <w:r>
        <w:rPr>
          <w:lang w:val="en-US"/>
        </w:rPr>
        <w:t>Ruuskanenb</w:t>
      </w:r>
      <w:proofErr w:type="spellEnd"/>
      <w:r>
        <w:rPr>
          <w:lang w:val="en-US"/>
        </w:rPr>
        <w:t xml:space="preserve"> V., </w:t>
      </w:r>
      <w:proofErr w:type="spellStart"/>
      <w:r>
        <w:rPr>
          <w:lang w:val="en-US"/>
        </w:rPr>
        <w:t>Järvinenb</w:t>
      </w:r>
      <w:proofErr w:type="spellEnd"/>
      <w:r>
        <w:rPr>
          <w:lang w:val="en-US"/>
        </w:rPr>
        <w:t xml:space="preserve"> L., </w:t>
      </w:r>
      <w:proofErr w:type="spellStart"/>
      <w:r>
        <w:rPr>
          <w:lang w:val="en-US"/>
        </w:rPr>
        <w:t>Sainioc</w:t>
      </w:r>
      <w:proofErr w:type="spellEnd"/>
      <w:r w:rsidRPr="005E5DEC">
        <w:rPr>
          <w:lang w:val="en-US"/>
        </w:rPr>
        <w:t xml:space="preserve"> T. 2021. Experimental comparison of regeneration methods for CO</w:t>
      </w:r>
      <w:r w:rsidRPr="000720AF">
        <w:rPr>
          <w:vertAlign w:val="subscript"/>
          <w:lang w:val="en-US"/>
        </w:rPr>
        <w:t>2</w:t>
      </w:r>
      <w:r w:rsidRPr="005E5DEC">
        <w:rPr>
          <w:lang w:val="en-US"/>
        </w:rPr>
        <w:t xml:space="preserve"> concentration from air using amine-based adsorbent, Chemical Engineering Journal 404, 126337</w:t>
      </w:r>
    </w:p>
    <w:p w14:paraId="684D503D" w14:textId="694A9BF0" w:rsidR="00EA6B3A" w:rsidRDefault="00EA6B3A" w:rsidP="00E65B91">
      <w:pPr>
        <w:pStyle w:val="CETReferencetext"/>
        <w:rPr>
          <w:lang w:val="en-US"/>
        </w:rPr>
      </w:pPr>
      <w:proofErr w:type="spellStart"/>
      <w:r>
        <w:rPr>
          <w:lang w:val="it-IT"/>
        </w:rPr>
        <w:t>Fasihi</w:t>
      </w:r>
      <w:proofErr w:type="spellEnd"/>
      <w:r>
        <w:rPr>
          <w:lang w:val="it-IT"/>
        </w:rPr>
        <w:t xml:space="preserve"> M., </w:t>
      </w:r>
      <w:proofErr w:type="spellStart"/>
      <w:r>
        <w:rPr>
          <w:lang w:val="it-IT"/>
        </w:rPr>
        <w:t>Efimova</w:t>
      </w:r>
      <w:proofErr w:type="spellEnd"/>
      <w:r>
        <w:rPr>
          <w:lang w:val="it-IT"/>
        </w:rPr>
        <w:t xml:space="preserve"> O., Breyer</w:t>
      </w:r>
      <w:r w:rsidRPr="00EA6B3A">
        <w:rPr>
          <w:lang w:val="it-IT"/>
        </w:rPr>
        <w:t xml:space="preserve"> C. 2019. </w:t>
      </w:r>
      <w:r w:rsidRPr="00EA6B3A">
        <w:rPr>
          <w:lang w:val="en-US"/>
        </w:rPr>
        <w:t>Techno-economic assessment of CO</w:t>
      </w:r>
      <w:r w:rsidRPr="000720AF">
        <w:rPr>
          <w:vertAlign w:val="subscript"/>
          <w:lang w:val="en-US"/>
        </w:rPr>
        <w:t>2</w:t>
      </w:r>
      <w:r w:rsidRPr="00EA6B3A">
        <w:rPr>
          <w:lang w:val="en-US"/>
        </w:rPr>
        <w:t xml:space="preserve"> direct air capture plants, Jour-</w:t>
      </w:r>
      <w:proofErr w:type="spellStart"/>
      <w:r w:rsidRPr="00EA6B3A">
        <w:rPr>
          <w:lang w:val="en-US"/>
        </w:rPr>
        <w:t>nal</w:t>
      </w:r>
      <w:proofErr w:type="spellEnd"/>
      <w:r w:rsidRPr="00EA6B3A">
        <w:rPr>
          <w:lang w:val="en-US"/>
        </w:rPr>
        <w:t xml:space="preserve"> of Cleaner Production 224, 957-980</w:t>
      </w:r>
    </w:p>
    <w:p w14:paraId="6E4D3AC6" w14:textId="24973C63" w:rsidR="004A2068" w:rsidRPr="004A2068" w:rsidRDefault="004A2068" w:rsidP="004A2068">
      <w:pPr>
        <w:pStyle w:val="CETReferencetext"/>
        <w:rPr>
          <w:lang w:val="en-US"/>
        </w:rPr>
      </w:pPr>
      <w:r>
        <w:rPr>
          <w:lang w:val="en-US"/>
        </w:rPr>
        <w:t xml:space="preserve">House K.Z., </w:t>
      </w:r>
      <w:proofErr w:type="spellStart"/>
      <w:r>
        <w:rPr>
          <w:lang w:val="en-US"/>
        </w:rPr>
        <w:t>Baclig</w:t>
      </w:r>
      <w:proofErr w:type="spellEnd"/>
      <w:r>
        <w:rPr>
          <w:lang w:val="en-US"/>
        </w:rPr>
        <w:t xml:space="preserve"> A.C., Ranjan</w:t>
      </w:r>
      <w:r w:rsidRPr="004A2068">
        <w:rPr>
          <w:lang w:val="en-US"/>
        </w:rPr>
        <w:t xml:space="preserve"> M. and et al., 2011. Economic and energetic analysis of capturing CO</w:t>
      </w:r>
      <w:r w:rsidRPr="000720AF">
        <w:rPr>
          <w:vertAlign w:val="subscript"/>
          <w:lang w:val="en-US"/>
        </w:rPr>
        <w:t>2</w:t>
      </w:r>
      <w:r w:rsidRPr="004A2068">
        <w:rPr>
          <w:lang w:val="en-US"/>
        </w:rPr>
        <w:t xml:space="preserve"> from ambient air,” Proceedings of the National Academy of Sciences.</w:t>
      </w:r>
    </w:p>
    <w:p w14:paraId="05C4ED84" w14:textId="60896B6F" w:rsidR="00F26054" w:rsidRPr="000720AF" w:rsidRDefault="00F26054" w:rsidP="00F26054">
      <w:pPr>
        <w:pStyle w:val="CETReferencetext"/>
        <w:rPr>
          <w:lang w:val="en-US"/>
        </w:rPr>
      </w:pPr>
      <w:r w:rsidRPr="000720AF">
        <w:rPr>
          <w:lang w:val="en-US"/>
        </w:rPr>
        <w:t xml:space="preserve">IEA, 2020, </w:t>
      </w:r>
      <w:hyperlink r:id="rId21" w:history="1">
        <w:r w:rsidR="007F0D32">
          <w:rPr>
            <w:rStyle w:val="Collegamentoipertestuale"/>
          </w:rPr>
          <w:t>&lt;</w:t>
        </w:r>
        <w:r w:rsidRPr="000720AF">
          <w:rPr>
            <w:rStyle w:val="Collegamentoipertestuale"/>
            <w:lang w:val="en-US"/>
          </w:rPr>
          <w:t>iea.org/data-and-statistics/?country=WORLD&amp;fuel=CO2%20emissions&amp;indicator=TotCO2</w:t>
        </w:r>
      </w:hyperlink>
      <w:r w:rsidR="007F0D32" w:rsidRPr="000720AF">
        <w:rPr>
          <w:rStyle w:val="Collegamentoipertestuale"/>
          <w:lang w:val="en-US"/>
        </w:rPr>
        <w:t>&gt;</w:t>
      </w:r>
      <w:r w:rsidRPr="000720AF">
        <w:rPr>
          <w:lang w:val="en-US"/>
        </w:rPr>
        <w:t>, accessed 1.12.2021</w:t>
      </w:r>
    </w:p>
    <w:p w14:paraId="0E06E9F8" w14:textId="2BFC5242" w:rsidR="00FD063B" w:rsidRDefault="00FD063B" w:rsidP="00F26054">
      <w:pPr>
        <w:pStyle w:val="CETReferencetext"/>
      </w:pPr>
      <w:r>
        <w:t xml:space="preserve">Kulkarni A.R., </w:t>
      </w:r>
      <w:proofErr w:type="spellStart"/>
      <w:r>
        <w:t>Sholl</w:t>
      </w:r>
      <w:proofErr w:type="spellEnd"/>
      <w:r w:rsidRPr="00FD063B">
        <w:t xml:space="preserve"> D.S. 2012. Analysis of Equilibrium-Based TSA Processes for Direct Capture of CO</w:t>
      </w:r>
      <w:r w:rsidRPr="000720AF">
        <w:rPr>
          <w:vertAlign w:val="subscript"/>
        </w:rPr>
        <w:t>2</w:t>
      </w:r>
      <w:r w:rsidRPr="00FD063B">
        <w:t xml:space="preserve"> from Air. Ind. Eng. Chem. Res. 51, 8631–8645</w:t>
      </w:r>
    </w:p>
    <w:p w14:paraId="6ED8A18A" w14:textId="2EC31B9C" w:rsidR="00F26054" w:rsidRDefault="00F26054" w:rsidP="00F26054">
      <w:pPr>
        <w:pStyle w:val="CETReferencetext"/>
      </w:pPr>
      <w:r>
        <w:t>Lackner K.S., 2015. Direct air capture, Bull. Am. Phys. Soc. 60</w:t>
      </w:r>
    </w:p>
    <w:p w14:paraId="07BA1B01" w14:textId="71ACA14A" w:rsidR="00F26054" w:rsidRDefault="00F26054" w:rsidP="00F26054">
      <w:pPr>
        <w:pStyle w:val="CETReferencetext"/>
      </w:pPr>
      <w:r w:rsidRPr="00F425DA">
        <w:rPr>
          <w:lang w:val="en-US"/>
        </w:rPr>
        <w:t xml:space="preserve">Leonzio G., Fennell P.S., </w:t>
      </w:r>
      <w:proofErr w:type="spellStart"/>
      <w:r w:rsidRPr="00F425DA">
        <w:rPr>
          <w:lang w:val="en-US"/>
        </w:rPr>
        <w:t>Nilay</w:t>
      </w:r>
      <w:proofErr w:type="spellEnd"/>
      <w:r w:rsidRPr="00F425DA">
        <w:rPr>
          <w:lang w:val="en-US"/>
        </w:rPr>
        <w:t xml:space="preserve"> S. 2022a. </w:t>
      </w:r>
      <w:r>
        <w:t>A comparative study of different sorbents in the context of direct air capture (DAC): evaluation of key performance indicators and comparisons, Appl. Sci.</w:t>
      </w:r>
      <w:r w:rsidRPr="00F26054">
        <w:t>, 12(5), 2618</w:t>
      </w:r>
    </w:p>
    <w:p w14:paraId="09AAB030" w14:textId="7777496C" w:rsidR="00F26054" w:rsidRDefault="00F26054" w:rsidP="00F26054">
      <w:pPr>
        <w:pStyle w:val="CETReferencetext"/>
      </w:pPr>
      <w:r>
        <w:t xml:space="preserve">Leonzio G., </w:t>
      </w:r>
      <w:proofErr w:type="spellStart"/>
      <w:r>
        <w:t>Mwabonje</w:t>
      </w:r>
      <w:proofErr w:type="spellEnd"/>
      <w:r>
        <w:t xml:space="preserve"> O., Fennell P.S., </w:t>
      </w:r>
      <w:proofErr w:type="spellStart"/>
      <w:r>
        <w:t>Nilay</w:t>
      </w:r>
      <w:proofErr w:type="spellEnd"/>
      <w:r>
        <w:t xml:space="preserve"> S. 2022b, Environmental performances of direct air capture systems with different sorbents, Under review.</w:t>
      </w:r>
    </w:p>
    <w:p w14:paraId="3648BA0F" w14:textId="04B494FB" w:rsidR="00F10F62" w:rsidRDefault="00F10F62" w:rsidP="00F26054">
      <w:pPr>
        <w:pStyle w:val="CETReferencetext"/>
      </w:pPr>
      <w:proofErr w:type="spellStart"/>
      <w:r>
        <w:t>ListFit</w:t>
      </w:r>
      <w:proofErr w:type="spellEnd"/>
      <w:r>
        <w:t xml:space="preserve">, 2021, Available at: </w:t>
      </w:r>
      <w:r w:rsidRPr="00F10F62">
        <w:t>https://listfist.com/list-of-countries-by-average-temperature</w:t>
      </w:r>
    </w:p>
    <w:p w14:paraId="39173754" w14:textId="04C12CB1" w:rsidR="0029504D" w:rsidRDefault="0029504D" w:rsidP="00F26054">
      <w:pPr>
        <w:pStyle w:val="CETReferencetext"/>
        <w:rPr>
          <w:lang w:val="en-US"/>
        </w:rPr>
      </w:pPr>
      <w:r>
        <w:rPr>
          <w:lang w:val="en-US"/>
        </w:rPr>
        <w:t xml:space="preserve">Miao Y., He Z., Zhu X., </w:t>
      </w:r>
      <w:proofErr w:type="spellStart"/>
      <w:r>
        <w:rPr>
          <w:lang w:val="en-US"/>
        </w:rPr>
        <w:t>Izikowitz</w:t>
      </w:r>
      <w:proofErr w:type="spellEnd"/>
      <w:r w:rsidRPr="0029504D">
        <w:rPr>
          <w:lang w:val="en-US"/>
        </w:rPr>
        <w:t xml:space="preserve"> D</w:t>
      </w:r>
      <w:r>
        <w:rPr>
          <w:lang w:val="en-US"/>
        </w:rPr>
        <w:t>., Li</w:t>
      </w:r>
      <w:r w:rsidRPr="0029504D">
        <w:rPr>
          <w:lang w:val="en-US"/>
        </w:rPr>
        <w:t xml:space="preserve"> J. 2021. Operating temperatures affect direct air capture of CO</w:t>
      </w:r>
      <w:r w:rsidRPr="00C36241">
        <w:rPr>
          <w:vertAlign w:val="subscript"/>
          <w:lang w:val="en-US"/>
        </w:rPr>
        <w:t>2</w:t>
      </w:r>
      <w:r w:rsidRPr="0029504D">
        <w:rPr>
          <w:lang w:val="en-US"/>
        </w:rPr>
        <w:t xml:space="preserve"> in polyamine-loaded mesoporous silica, Chemical Engineering Journal 426, 131875</w:t>
      </w:r>
    </w:p>
    <w:p w14:paraId="01DC38B4" w14:textId="41510E31" w:rsidR="00FD17C4" w:rsidRDefault="00FD17C4" w:rsidP="00F26054">
      <w:pPr>
        <w:pStyle w:val="CETReferencetext"/>
        <w:rPr>
          <w:lang w:val="en-US"/>
        </w:rPr>
      </w:pPr>
      <w:r w:rsidRPr="00FD17C4">
        <w:rPr>
          <w:lang w:val="en-US"/>
        </w:rPr>
        <w:t xml:space="preserve">Perry, R.H. 1999, Perry’s chemical </w:t>
      </w:r>
      <w:proofErr w:type="spellStart"/>
      <w:r w:rsidRPr="00FD17C4">
        <w:rPr>
          <w:lang w:val="en-US"/>
        </w:rPr>
        <w:t>engineerings</w:t>
      </w:r>
      <w:proofErr w:type="spellEnd"/>
      <w:r w:rsidRPr="00FD17C4">
        <w:rPr>
          <w:lang w:val="en-US"/>
        </w:rPr>
        <w:t>’ handbook, McGraw-Hill.</w:t>
      </w:r>
    </w:p>
    <w:p w14:paraId="5D9A51CB" w14:textId="70AAF563" w:rsidR="00FD17C4" w:rsidRPr="0029504D" w:rsidRDefault="00FD17C4" w:rsidP="00F26054">
      <w:pPr>
        <w:pStyle w:val="CETReferencetext"/>
        <w:rPr>
          <w:lang w:val="en-US"/>
        </w:rPr>
      </w:pPr>
      <w:proofErr w:type="spellStart"/>
      <w:r>
        <w:rPr>
          <w:lang w:val="en-US"/>
        </w:rPr>
        <w:t>PoundSterlingLive</w:t>
      </w:r>
      <w:proofErr w:type="spellEnd"/>
      <w:r>
        <w:rPr>
          <w:lang w:val="en-US"/>
        </w:rPr>
        <w:t xml:space="preserve">, 2021. </w:t>
      </w:r>
      <w:hyperlink r:id="rId22" w:history="1">
        <w:r w:rsidR="007F0D32" w:rsidRPr="007F0D32">
          <w:rPr>
            <w:rStyle w:val="Collegamentoipertestuale"/>
            <w:lang w:val="en-US"/>
          </w:rPr>
          <w:t>&lt;poundsterlinglive.com</w:t>
        </w:r>
      </w:hyperlink>
      <w:r w:rsidR="007F0D32">
        <w:rPr>
          <w:lang w:val="en-US"/>
        </w:rPr>
        <w:t>&gt;</w:t>
      </w:r>
      <w:r w:rsidR="00D12E16">
        <w:rPr>
          <w:lang w:val="en-US"/>
        </w:rPr>
        <w:t>, accessed 1.5.2021</w:t>
      </w:r>
    </w:p>
    <w:p w14:paraId="6FAA4342" w14:textId="40D1B899" w:rsidR="00C52C3C" w:rsidRDefault="00F26054" w:rsidP="0029504D">
      <w:pPr>
        <w:pStyle w:val="CETReferencetext"/>
      </w:pPr>
      <w:proofErr w:type="spellStart"/>
      <w:r>
        <w:t>Sanz-Pérez</w:t>
      </w:r>
      <w:proofErr w:type="spellEnd"/>
      <w:r>
        <w:t xml:space="preserve"> E.S., Murdock C.R., </w:t>
      </w:r>
      <w:proofErr w:type="spellStart"/>
      <w:r>
        <w:t>Didas</w:t>
      </w:r>
      <w:proofErr w:type="spellEnd"/>
      <w:r>
        <w:t xml:space="preserve"> S.A., and Jones C.W. 2016. Direct Capture of CO</w:t>
      </w:r>
      <w:r w:rsidRPr="000720AF">
        <w:rPr>
          <w:vertAlign w:val="subscript"/>
        </w:rPr>
        <w:t>2</w:t>
      </w:r>
      <w:r>
        <w:t xml:space="preserve"> from Ambient Air, Chem. Rev. 116, 11840−11876</w:t>
      </w:r>
    </w:p>
    <w:p w14:paraId="5A13856B" w14:textId="77756F86" w:rsidR="006B4888" w:rsidRDefault="0029504D" w:rsidP="006B4888">
      <w:pPr>
        <w:pStyle w:val="CETReferencetext"/>
      </w:pPr>
      <w:proofErr w:type="spellStart"/>
      <w:r>
        <w:t>Schellevis</w:t>
      </w:r>
      <w:proofErr w:type="spellEnd"/>
      <w:r>
        <w:t xml:space="preserve"> H.M., van </w:t>
      </w:r>
      <w:proofErr w:type="spellStart"/>
      <w:r>
        <w:t>Schagen</w:t>
      </w:r>
      <w:proofErr w:type="spellEnd"/>
      <w:r>
        <w:t xml:space="preserve"> T.N., </w:t>
      </w:r>
      <w:proofErr w:type="spellStart"/>
      <w:r>
        <w:t>Brilman</w:t>
      </w:r>
      <w:proofErr w:type="spellEnd"/>
      <w:r w:rsidRPr="0029504D">
        <w:t xml:space="preserve"> D.W.F. 2021. Process optimization of a fixed bed reactor system for direct air capture, International Journal of Greenhouse Gas Control 110, 103431</w:t>
      </w:r>
    </w:p>
    <w:p w14:paraId="6F4463C2" w14:textId="6E453DE3" w:rsidR="008E3FC5" w:rsidRDefault="008E3FC5" w:rsidP="006B4888">
      <w:pPr>
        <w:pStyle w:val="CETReferencetext"/>
      </w:pPr>
      <w:r>
        <w:t xml:space="preserve">Sinha A., </w:t>
      </w:r>
      <w:proofErr w:type="spellStart"/>
      <w:r>
        <w:t>Darunte</w:t>
      </w:r>
      <w:proofErr w:type="spellEnd"/>
      <w:r>
        <w:t xml:space="preserve"> L.A., Jones C.W., Real M.J., </w:t>
      </w:r>
      <w:proofErr w:type="spellStart"/>
      <w:r>
        <w:t>Kawajiri</w:t>
      </w:r>
      <w:proofErr w:type="spellEnd"/>
      <w:r w:rsidRPr="008E3FC5">
        <w:t xml:space="preserve"> Y. 2017. Systems Design and Economic Analysis of Direct Air Capture of CO2 through Temperature Vacuum Swing Adsorption Using MIL-101(Cr)-PEI-800 and mmen-Mg2(</w:t>
      </w:r>
      <w:proofErr w:type="spellStart"/>
      <w:r w:rsidRPr="008E3FC5">
        <w:t>dobpdc</w:t>
      </w:r>
      <w:proofErr w:type="spellEnd"/>
      <w:r w:rsidRPr="008E3FC5">
        <w:t>) MOF Adsorbents. Ind. Eng. Chem. Res. 56, 750–764.</w:t>
      </w:r>
    </w:p>
    <w:p w14:paraId="716413E4" w14:textId="20944035" w:rsidR="00946BEF" w:rsidRDefault="00946BEF" w:rsidP="00946BEF">
      <w:pPr>
        <w:pStyle w:val="CETReferencetext"/>
      </w:pPr>
      <w:proofErr w:type="spellStart"/>
      <w:r>
        <w:t>Towler</w:t>
      </w:r>
      <w:proofErr w:type="spellEnd"/>
      <w:r>
        <w:t xml:space="preserve"> G., Sinnott R., 2012. Chemical Engineering Design Principles, Practice and Economics of Plant and Process Design Second Edition</w:t>
      </w:r>
    </w:p>
    <w:p w14:paraId="1997BB47" w14:textId="00FF4A7A" w:rsidR="0029504D" w:rsidRDefault="0029504D" w:rsidP="006B4888">
      <w:pPr>
        <w:pStyle w:val="CETReferencetext"/>
      </w:pPr>
      <w:r>
        <w:t xml:space="preserve">van </w:t>
      </w:r>
      <w:proofErr w:type="spellStart"/>
      <w:r>
        <w:t>Schagen</w:t>
      </w:r>
      <w:proofErr w:type="spellEnd"/>
      <w:r>
        <w:t xml:space="preserve"> T.N., van der Wal P.J., </w:t>
      </w:r>
      <w:proofErr w:type="spellStart"/>
      <w:r>
        <w:t>Brilman</w:t>
      </w:r>
      <w:proofErr w:type="spellEnd"/>
      <w:r w:rsidRPr="0029504D">
        <w:t xml:space="preserve"> D.W.F., 2022. Development of a novel, through-flow micro-wave-based regenerator for sorbent-based direct air capture, Chemical Engineering Journal Advances 9, 100187</w:t>
      </w:r>
    </w:p>
    <w:p w14:paraId="5CD8D0AF" w14:textId="21821834" w:rsidR="005E5DEC" w:rsidRDefault="005E5DEC" w:rsidP="006B4888">
      <w:pPr>
        <w:pStyle w:val="CETReferencetext"/>
      </w:pPr>
      <w:proofErr w:type="spellStart"/>
      <w:r>
        <w:t>Wijesiri</w:t>
      </w:r>
      <w:proofErr w:type="spellEnd"/>
      <w:r w:rsidRPr="005E5DEC">
        <w:t xml:space="preserve"> R.P.</w:t>
      </w:r>
      <w:r>
        <w:t xml:space="preserve">, Knowles G.P., </w:t>
      </w:r>
      <w:proofErr w:type="spellStart"/>
      <w:r>
        <w:t>Yeasmin</w:t>
      </w:r>
      <w:proofErr w:type="spellEnd"/>
      <w:r>
        <w:t xml:space="preserve"> H., Hoadley A.F.A., </w:t>
      </w:r>
      <w:proofErr w:type="spellStart"/>
      <w:r>
        <w:t>Chaee</w:t>
      </w:r>
      <w:proofErr w:type="spellEnd"/>
      <w:r>
        <w:t xml:space="preserve"> </w:t>
      </w:r>
      <w:r w:rsidRPr="005E5DEC">
        <w:t>A.L., 2019. Technoeconomic Evaluation of a Process Capturing CO2 Directly from Air, Processes, 7, 503</w:t>
      </w:r>
    </w:p>
    <w:p w14:paraId="67A9BF0D" w14:textId="6E5D0634" w:rsidR="00FD063B" w:rsidRPr="000D56D6" w:rsidRDefault="00FD063B" w:rsidP="006B4888">
      <w:pPr>
        <w:pStyle w:val="CETReferencetext"/>
      </w:pPr>
      <w:r>
        <w:t xml:space="preserve">Zhang W., Liu H., Sun C., </w:t>
      </w:r>
      <w:proofErr w:type="spellStart"/>
      <w:r>
        <w:t>Drage</w:t>
      </w:r>
      <w:proofErr w:type="spellEnd"/>
      <w:r>
        <w:t xml:space="preserve"> T.C., Snape</w:t>
      </w:r>
      <w:r w:rsidRPr="00FD063B">
        <w:t xml:space="preserve"> C.E. 2014. Capturing CO</w:t>
      </w:r>
      <w:r w:rsidRPr="000720AF">
        <w:rPr>
          <w:vertAlign w:val="subscript"/>
        </w:rPr>
        <w:t>2</w:t>
      </w:r>
      <w:r w:rsidRPr="00FD063B">
        <w:t xml:space="preserve"> from ambient air using a </w:t>
      </w:r>
      <w:proofErr w:type="spellStart"/>
      <w:r w:rsidRPr="00FD063B">
        <w:t>polyeth-yleneimine</w:t>
      </w:r>
      <w:proofErr w:type="spellEnd"/>
      <w:r w:rsidRPr="00FD063B">
        <w:t>–silica adsorbent in fluidized beds, Chemical Engineering Science 116, 306–316</w:t>
      </w:r>
    </w:p>
    <w:p w14:paraId="04AEC23D" w14:textId="77777777" w:rsidR="007F0D32" w:rsidRDefault="00A31240" w:rsidP="00A31240">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hAnsi="Courier New" w:cs="Courier New"/>
          <w:color w:val="000000"/>
          <w:sz w:val="20"/>
          <w:lang w:val="en-US" w:eastAsia="it-IT"/>
        </w:rPr>
      </w:pPr>
      <w:r w:rsidRPr="00A31240">
        <w:rPr>
          <w:rFonts w:ascii="Courier New" w:hAnsi="Courier New" w:cs="Courier New"/>
          <w:color w:val="000000"/>
          <w:sz w:val="20"/>
          <w:lang w:val="en-US" w:eastAsia="it-IT"/>
        </w:rPr>
        <w:t xml:space="preserve">  </w:t>
      </w:r>
    </w:p>
    <w:p w14:paraId="2E02FAE8" w14:textId="77777777" w:rsidR="007F0D32" w:rsidRDefault="007F0D32" w:rsidP="00A31240">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hAnsi="Courier New" w:cs="Courier New"/>
          <w:color w:val="000000"/>
          <w:sz w:val="20"/>
          <w:lang w:val="en-US" w:eastAsia="it-IT"/>
        </w:rPr>
      </w:pPr>
    </w:p>
    <w:p w14:paraId="2D4931EE" w14:textId="77777777" w:rsidR="007F0D32" w:rsidRDefault="007F0D32" w:rsidP="00A31240">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hAnsi="Courier New" w:cs="Courier New"/>
          <w:color w:val="000000"/>
          <w:sz w:val="20"/>
          <w:lang w:val="en-US" w:eastAsia="it-IT"/>
        </w:rPr>
      </w:pPr>
    </w:p>
    <w:sectPr w:rsidR="007F0D3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7655E" w14:textId="77777777" w:rsidR="00D21821" w:rsidRDefault="00D21821" w:rsidP="004F5E36">
      <w:r>
        <w:separator/>
      </w:r>
    </w:p>
  </w:endnote>
  <w:endnote w:type="continuationSeparator" w:id="0">
    <w:p w14:paraId="13FB5E2C" w14:textId="77777777" w:rsidR="00D21821" w:rsidRDefault="00D2182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E9D7" w14:textId="77777777" w:rsidR="00DE1807" w:rsidRDefault="00DE180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BB3B" w14:textId="77777777" w:rsidR="00DE1807" w:rsidRDefault="00DE180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40E0" w14:textId="77777777" w:rsidR="00DE1807" w:rsidRDefault="00DE18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CFBDC" w14:textId="77777777" w:rsidR="00D21821" w:rsidRDefault="00D21821" w:rsidP="004F5E36">
      <w:r>
        <w:separator/>
      </w:r>
    </w:p>
  </w:footnote>
  <w:footnote w:type="continuationSeparator" w:id="0">
    <w:p w14:paraId="394814E8" w14:textId="77777777" w:rsidR="00D21821" w:rsidRDefault="00D21821"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EA46A" w14:textId="77777777" w:rsidR="00DE1807" w:rsidRDefault="00DE180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2976" w14:textId="77777777" w:rsidR="00DE1807" w:rsidRDefault="00DE180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4DFF" w14:textId="77777777" w:rsidR="00DE1807" w:rsidRDefault="00DE180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12904272">
    <w:abstractNumId w:val="10"/>
  </w:num>
  <w:num w:numId="2" w16cid:durableId="1938171603">
    <w:abstractNumId w:val="8"/>
  </w:num>
  <w:num w:numId="3" w16cid:durableId="1941644003">
    <w:abstractNumId w:val="3"/>
  </w:num>
  <w:num w:numId="4" w16cid:durableId="757092729">
    <w:abstractNumId w:val="2"/>
  </w:num>
  <w:num w:numId="5" w16cid:durableId="1501193063">
    <w:abstractNumId w:val="1"/>
  </w:num>
  <w:num w:numId="6" w16cid:durableId="1035082886">
    <w:abstractNumId w:val="0"/>
  </w:num>
  <w:num w:numId="7" w16cid:durableId="77868648">
    <w:abstractNumId w:val="9"/>
  </w:num>
  <w:num w:numId="8" w16cid:durableId="1481844404">
    <w:abstractNumId w:val="7"/>
  </w:num>
  <w:num w:numId="9" w16cid:durableId="1430929215">
    <w:abstractNumId w:val="6"/>
  </w:num>
  <w:num w:numId="10" w16cid:durableId="1928298211">
    <w:abstractNumId w:val="5"/>
  </w:num>
  <w:num w:numId="11" w16cid:durableId="1602377689">
    <w:abstractNumId w:val="4"/>
  </w:num>
  <w:num w:numId="12" w16cid:durableId="1932736513">
    <w:abstractNumId w:val="17"/>
  </w:num>
  <w:num w:numId="13" w16cid:durableId="833643125">
    <w:abstractNumId w:val="12"/>
  </w:num>
  <w:num w:numId="14" w16cid:durableId="1363096608">
    <w:abstractNumId w:val="18"/>
  </w:num>
  <w:num w:numId="15" w16cid:durableId="2102143429">
    <w:abstractNumId w:val="20"/>
  </w:num>
  <w:num w:numId="16" w16cid:durableId="791677024">
    <w:abstractNumId w:val="19"/>
  </w:num>
  <w:num w:numId="17" w16cid:durableId="208078339">
    <w:abstractNumId w:val="11"/>
  </w:num>
  <w:num w:numId="18" w16cid:durableId="1863978912">
    <w:abstractNumId w:val="12"/>
    <w:lvlOverride w:ilvl="0">
      <w:startOverride w:val="1"/>
    </w:lvlOverride>
  </w:num>
  <w:num w:numId="19" w16cid:durableId="1820608623">
    <w:abstractNumId w:val="16"/>
  </w:num>
  <w:num w:numId="20" w16cid:durableId="947085716">
    <w:abstractNumId w:val="15"/>
  </w:num>
  <w:num w:numId="21" w16cid:durableId="1209797762">
    <w:abstractNumId w:val="14"/>
  </w:num>
  <w:num w:numId="22" w16cid:durableId="5311152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362C5"/>
    <w:rsid w:val="00051566"/>
    <w:rsid w:val="00062A9A"/>
    <w:rsid w:val="00065058"/>
    <w:rsid w:val="000720AF"/>
    <w:rsid w:val="00086C39"/>
    <w:rsid w:val="00093D2A"/>
    <w:rsid w:val="000A03B2"/>
    <w:rsid w:val="000A6852"/>
    <w:rsid w:val="000B1171"/>
    <w:rsid w:val="000B730C"/>
    <w:rsid w:val="000C15D2"/>
    <w:rsid w:val="000D0268"/>
    <w:rsid w:val="000D34BE"/>
    <w:rsid w:val="000E102F"/>
    <w:rsid w:val="000E36F1"/>
    <w:rsid w:val="000E3A73"/>
    <w:rsid w:val="000E414A"/>
    <w:rsid w:val="000F093C"/>
    <w:rsid w:val="000F787B"/>
    <w:rsid w:val="00117211"/>
    <w:rsid w:val="001175B9"/>
    <w:rsid w:val="0012091F"/>
    <w:rsid w:val="00123C64"/>
    <w:rsid w:val="00126BC2"/>
    <w:rsid w:val="001308B6"/>
    <w:rsid w:val="0013121F"/>
    <w:rsid w:val="00131FE6"/>
    <w:rsid w:val="0013263F"/>
    <w:rsid w:val="001331DF"/>
    <w:rsid w:val="00134DE4"/>
    <w:rsid w:val="0014034D"/>
    <w:rsid w:val="00144D16"/>
    <w:rsid w:val="00150E59"/>
    <w:rsid w:val="00152DE3"/>
    <w:rsid w:val="00160259"/>
    <w:rsid w:val="00164CF9"/>
    <w:rsid w:val="001667A6"/>
    <w:rsid w:val="0017416B"/>
    <w:rsid w:val="00184AD6"/>
    <w:rsid w:val="0019533B"/>
    <w:rsid w:val="00195F94"/>
    <w:rsid w:val="00196C53"/>
    <w:rsid w:val="001A4AF7"/>
    <w:rsid w:val="001B0349"/>
    <w:rsid w:val="001B1E93"/>
    <w:rsid w:val="001B5C72"/>
    <w:rsid w:val="001B65C1"/>
    <w:rsid w:val="001C03AC"/>
    <w:rsid w:val="001C651B"/>
    <w:rsid w:val="001C684B"/>
    <w:rsid w:val="001D0CFB"/>
    <w:rsid w:val="001D21AF"/>
    <w:rsid w:val="001D53FC"/>
    <w:rsid w:val="001E0CB7"/>
    <w:rsid w:val="001F42A5"/>
    <w:rsid w:val="001F7B9D"/>
    <w:rsid w:val="00201C93"/>
    <w:rsid w:val="00215EDD"/>
    <w:rsid w:val="002224B4"/>
    <w:rsid w:val="00243A60"/>
    <w:rsid w:val="002447EF"/>
    <w:rsid w:val="00251550"/>
    <w:rsid w:val="00257B0D"/>
    <w:rsid w:val="00257F82"/>
    <w:rsid w:val="00263ABB"/>
    <w:rsid w:val="00263B05"/>
    <w:rsid w:val="0027221A"/>
    <w:rsid w:val="00275915"/>
    <w:rsid w:val="00275B61"/>
    <w:rsid w:val="00280FAF"/>
    <w:rsid w:val="00282656"/>
    <w:rsid w:val="002872E5"/>
    <w:rsid w:val="0029439E"/>
    <w:rsid w:val="0029504D"/>
    <w:rsid w:val="00296B83"/>
    <w:rsid w:val="00297A2B"/>
    <w:rsid w:val="002B4015"/>
    <w:rsid w:val="002B78CE"/>
    <w:rsid w:val="002C2FB6"/>
    <w:rsid w:val="002C438D"/>
    <w:rsid w:val="002D0FAA"/>
    <w:rsid w:val="002D2C27"/>
    <w:rsid w:val="002D5D61"/>
    <w:rsid w:val="002E5FA7"/>
    <w:rsid w:val="002F1D90"/>
    <w:rsid w:val="002F3309"/>
    <w:rsid w:val="003008CE"/>
    <w:rsid w:val="003009B7"/>
    <w:rsid w:val="00300E56"/>
    <w:rsid w:val="0030469C"/>
    <w:rsid w:val="00321CA6"/>
    <w:rsid w:val="00323763"/>
    <w:rsid w:val="00334C09"/>
    <w:rsid w:val="00334C57"/>
    <w:rsid w:val="00353A7D"/>
    <w:rsid w:val="003723D4"/>
    <w:rsid w:val="00381905"/>
    <w:rsid w:val="00384CC8"/>
    <w:rsid w:val="003871FD"/>
    <w:rsid w:val="003A1E30"/>
    <w:rsid w:val="003A2829"/>
    <w:rsid w:val="003A796B"/>
    <w:rsid w:val="003A7C65"/>
    <w:rsid w:val="003A7D1C"/>
    <w:rsid w:val="003B304B"/>
    <w:rsid w:val="003B3146"/>
    <w:rsid w:val="003D40D2"/>
    <w:rsid w:val="003D56BA"/>
    <w:rsid w:val="003F015E"/>
    <w:rsid w:val="003F7FF5"/>
    <w:rsid w:val="00400414"/>
    <w:rsid w:val="00411408"/>
    <w:rsid w:val="0041446B"/>
    <w:rsid w:val="0044071E"/>
    <w:rsid w:val="0044329C"/>
    <w:rsid w:val="00453E24"/>
    <w:rsid w:val="00457456"/>
    <w:rsid w:val="004576F6"/>
    <w:rsid w:val="004577FE"/>
    <w:rsid w:val="00457B9C"/>
    <w:rsid w:val="0046164A"/>
    <w:rsid w:val="004628D2"/>
    <w:rsid w:val="00462DCD"/>
    <w:rsid w:val="004646A5"/>
    <w:rsid w:val="004648AD"/>
    <w:rsid w:val="004703A9"/>
    <w:rsid w:val="004760DE"/>
    <w:rsid w:val="004763D7"/>
    <w:rsid w:val="0048245F"/>
    <w:rsid w:val="004A004E"/>
    <w:rsid w:val="004A2068"/>
    <w:rsid w:val="004A24CF"/>
    <w:rsid w:val="004B5C38"/>
    <w:rsid w:val="004C3D1D"/>
    <w:rsid w:val="004C3D84"/>
    <w:rsid w:val="004C7913"/>
    <w:rsid w:val="004E4DD6"/>
    <w:rsid w:val="004E557D"/>
    <w:rsid w:val="004F5E36"/>
    <w:rsid w:val="00500007"/>
    <w:rsid w:val="00507B47"/>
    <w:rsid w:val="00507BEF"/>
    <w:rsid w:val="00507CC9"/>
    <w:rsid w:val="005119A5"/>
    <w:rsid w:val="005278B7"/>
    <w:rsid w:val="00532016"/>
    <w:rsid w:val="005346C8"/>
    <w:rsid w:val="0053575C"/>
    <w:rsid w:val="00543E7D"/>
    <w:rsid w:val="00547A68"/>
    <w:rsid w:val="00552B2E"/>
    <w:rsid w:val="005531C9"/>
    <w:rsid w:val="00555610"/>
    <w:rsid w:val="00561839"/>
    <w:rsid w:val="00570C43"/>
    <w:rsid w:val="005A2A91"/>
    <w:rsid w:val="005B2110"/>
    <w:rsid w:val="005B27EF"/>
    <w:rsid w:val="005B61E6"/>
    <w:rsid w:val="005C2A16"/>
    <w:rsid w:val="005C77E1"/>
    <w:rsid w:val="005D668A"/>
    <w:rsid w:val="005D6A2F"/>
    <w:rsid w:val="005E1A82"/>
    <w:rsid w:val="005E37DF"/>
    <w:rsid w:val="005E5DEC"/>
    <w:rsid w:val="005E794C"/>
    <w:rsid w:val="005F0A28"/>
    <w:rsid w:val="005F0E5E"/>
    <w:rsid w:val="005F2BF5"/>
    <w:rsid w:val="00600535"/>
    <w:rsid w:val="00610CD6"/>
    <w:rsid w:val="006156E4"/>
    <w:rsid w:val="00620DEE"/>
    <w:rsid w:val="00621F92"/>
    <w:rsid w:val="0062280A"/>
    <w:rsid w:val="00625639"/>
    <w:rsid w:val="00631B33"/>
    <w:rsid w:val="006363EA"/>
    <w:rsid w:val="0064184D"/>
    <w:rsid w:val="006422CC"/>
    <w:rsid w:val="006441D6"/>
    <w:rsid w:val="00660E3E"/>
    <w:rsid w:val="00662E74"/>
    <w:rsid w:val="00680C23"/>
    <w:rsid w:val="0069269A"/>
    <w:rsid w:val="00693766"/>
    <w:rsid w:val="006A1802"/>
    <w:rsid w:val="006A3281"/>
    <w:rsid w:val="006A39E5"/>
    <w:rsid w:val="006A472E"/>
    <w:rsid w:val="006B1BA2"/>
    <w:rsid w:val="006B4888"/>
    <w:rsid w:val="006C2E45"/>
    <w:rsid w:val="006C359C"/>
    <w:rsid w:val="006C5579"/>
    <w:rsid w:val="006D6E8B"/>
    <w:rsid w:val="006E737D"/>
    <w:rsid w:val="00703EB9"/>
    <w:rsid w:val="0070561F"/>
    <w:rsid w:val="00713973"/>
    <w:rsid w:val="00720A24"/>
    <w:rsid w:val="00732386"/>
    <w:rsid w:val="0073514D"/>
    <w:rsid w:val="007447F3"/>
    <w:rsid w:val="0075499F"/>
    <w:rsid w:val="007661C8"/>
    <w:rsid w:val="00770230"/>
    <w:rsid w:val="0077098D"/>
    <w:rsid w:val="007931FA"/>
    <w:rsid w:val="00797516"/>
    <w:rsid w:val="007A4861"/>
    <w:rsid w:val="007A7BBA"/>
    <w:rsid w:val="007B0C50"/>
    <w:rsid w:val="007B48F9"/>
    <w:rsid w:val="007C1A43"/>
    <w:rsid w:val="007E2D78"/>
    <w:rsid w:val="007E2F2C"/>
    <w:rsid w:val="007F03DD"/>
    <w:rsid w:val="007F0D32"/>
    <w:rsid w:val="0080013E"/>
    <w:rsid w:val="008073BC"/>
    <w:rsid w:val="00813288"/>
    <w:rsid w:val="008168FC"/>
    <w:rsid w:val="00830996"/>
    <w:rsid w:val="00833F8B"/>
    <w:rsid w:val="008345F1"/>
    <w:rsid w:val="00863B58"/>
    <w:rsid w:val="00863BF9"/>
    <w:rsid w:val="00865B07"/>
    <w:rsid w:val="008667EA"/>
    <w:rsid w:val="00874945"/>
    <w:rsid w:val="0087637F"/>
    <w:rsid w:val="00892AD5"/>
    <w:rsid w:val="008A1512"/>
    <w:rsid w:val="008C3D68"/>
    <w:rsid w:val="008D32B9"/>
    <w:rsid w:val="008D433B"/>
    <w:rsid w:val="008D4A16"/>
    <w:rsid w:val="008E35BE"/>
    <w:rsid w:val="008E3FC5"/>
    <w:rsid w:val="008E566E"/>
    <w:rsid w:val="0090161A"/>
    <w:rsid w:val="00901EB6"/>
    <w:rsid w:val="00904C62"/>
    <w:rsid w:val="00917B9E"/>
    <w:rsid w:val="00922BA8"/>
    <w:rsid w:val="00924DAC"/>
    <w:rsid w:val="00927058"/>
    <w:rsid w:val="00942750"/>
    <w:rsid w:val="009450CE"/>
    <w:rsid w:val="00945D3B"/>
    <w:rsid w:val="00946BEF"/>
    <w:rsid w:val="00947179"/>
    <w:rsid w:val="0095164B"/>
    <w:rsid w:val="00951EC2"/>
    <w:rsid w:val="00954090"/>
    <w:rsid w:val="009573E7"/>
    <w:rsid w:val="00963E05"/>
    <w:rsid w:val="00964A45"/>
    <w:rsid w:val="00964EA4"/>
    <w:rsid w:val="00967843"/>
    <w:rsid w:val="00967D54"/>
    <w:rsid w:val="009708E0"/>
    <w:rsid w:val="00971028"/>
    <w:rsid w:val="00974D3E"/>
    <w:rsid w:val="00982047"/>
    <w:rsid w:val="009869CD"/>
    <w:rsid w:val="00993B84"/>
    <w:rsid w:val="00996483"/>
    <w:rsid w:val="00996F5A"/>
    <w:rsid w:val="009A02E9"/>
    <w:rsid w:val="009A6DC4"/>
    <w:rsid w:val="009B041A"/>
    <w:rsid w:val="009C37C3"/>
    <w:rsid w:val="009C7C86"/>
    <w:rsid w:val="009D2FF7"/>
    <w:rsid w:val="009D61CC"/>
    <w:rsid w:val="009E7884"/>
    <w:rsid w:val="009E788A"/>
    <w:rsid w:val="009F0E08"/>
    <w:rsid w:val="009F47F2"/>
    <w:rsid w:val="009F6AC5"/>
    <w:rsid w:val="00A16E9E"/>
    <w:rsid w:val="00A1763D"/>
    <w:rsid w:val="00A17CEC"/>
    <w:rsid w:val="00A27EF0"/>
    <w:rsid w:val="00A31240"/>
    <w:rsid w:val="00A37E8B"/>
    <w:rsid w:val="00A42361"/>
    <w:rsid w:val="00A50B20"/>
    <w:rsid w:val="00A51390"/>
    <w:rsid w:val="00A60D13"/>
    <w:rsid w:val="00A61E1C"/>
    <w:rsid w:val="00A7223D"/>
    <w:rsid w:val="00A72745"/>
    <w:rsid w:val="00A76EFC"/>
    <w:rsid w:val="00A91010"/>
    <w:rsid w:val="00A97F29"/>
    <w:rsid w:val="00AA1172"/>
    <w:rsid w:val="00AA3D31"/>
    <w:rsid w:val="00AA702E"/>
    <w:rsid w:val="00AB0964"/>
    <w:rsid w:val="00AB5011"/>
    <w:rsid w:val="00AB5190"/>
    <w:rsid w:val="00AC7368"/>
    <w:rsid w:val="00AD16B9"/>
    <w:rsid w:val="00AD67A8"/>
    <w:rsid w:val="00AE377D"/>
    <w:rsid w:val="00AF0EBA"/>
    <w:rsid w:val="00AF1D2A"/>
    <w:rsid w:val="00B02C8A"/>
    <w:rsid w:val="00B17FBD"/>
    <w:rsid w:val="00B315A6"/>
    <w:rsid w:val="00B31813"/>
    <w:rsid w:val="00B33365"/>
    <w:rsid w:val="00B4255D"/>
    <w:rsid w:val="00B53B33"/>
    <w:rsid w:val="00B5467E"/>
    <w:rsid w:val="00B55780"/>
    <w:rsid w:val="00B57B36"/>
    <w:rsid w:val="00B57E6F"/>
    <w:rsid w:val="00B6185A"/>
    <w:rsid w:val="00B76B8E"/>
    <w:rsid w:val="00B8686D"/>
    <w:rsid w:val="00B93F69"/>
    <w:rsid w:val="00BA4261"/>
    <w:rsid w:val="00BB1DDC"/>
    <w:rsid w:val="00BC30C9"/>
    <w:rsid w:val="00BD077D"/>
    <w:rsid w:val="00BE247B"/>
    <w:rsid w:val="00BE28F3"/>
    <w:rsid w:val="00BE3E58"/>
    <w:rsid w:val="00BE4399"/>
    <w:rsid w:val="00C01616"/>
    <w:rsid w:val="00C0162B"/>
    <w:rsid w:val="00C068ED"/>
    <w:rsid w:val="00C14199"/>
    <w:rsid w:val="00C22E0C"/>
    <w:rsid w:val="00C31CDC"/>
    <w:rsid w:val="00C33F0A"/>
    <w:rsid w:val="00C345B1"/>
    <w:rsid w:val="00C36241"/>
    <w:rsid w:val="00C40142"/>
    <w:rsid w:val="00C442DD"/>
    <w:rsid w:val="00C52C3C"/>
    <w:rsid w:val="00C57182"/>
    <w:rsid w:val="00C57863"/>
    <w:rsid w:val="00C57C2A"/>
    <w:rsid w:val="00C640AF"/>
    <w:rsid w:val="00C655FD"/>
    <w:rsid w:val="00C75407"/>
    <w:rsid w:val="00C870A8"/>
    <w:rsid w:val="00C94434"/>
    <w:rsid w:val="00CA0D75"/>
    <w:rsid w:val="00CA1C95"/>
    <w:rsid w:val="00CA5A9C"/>
    <w:rsid w:val="00CB124F"/>
    <w:rsid w:val="00CC4C20"/>
    <w:rsid w:val="00CD3517"/>
    <w:rsid w:val="00CD52CF"/>
    <w:rsid w:val="00CD5FE2"/>
    <w:rsid w:val="00CE7C68"/>
    <w:rsid w:val="00CF0F58"/>
    <w:rsid w:val="00D02B4C"/>
    <w:rsid w:val="00D040C4"/>
    <w:rsid w:val="00D048D2"/>
    <w:rsid w:val="00D12E16"/>
    <w:rsid w:val="00D20AD1"/>
    <w:rsid w:val="00D21821"/>
    <w:rsid w:val="00D2425C"/>
    <w:rsid w:val="00D3407C"/>
    <w:rsid w:val="00D459A2"/>
    <w:rsid w:val="00D46B7E"/>
    <w:rsid w:val="00D50846"/>
    <w:rsid w:val="00D53606"/>
    <w:rsid w:val="00D57C84"/>
    <w:rsid w:val="00D6057D"/>
    <w:rsid w:val="00D71640"/>
    <w:rsid w:val="00D775A5"/>
    <w:rsid w:val="00D836C5"/>
    <w:rsid w:val="00D84576"/>
    <w:rsid w:val="00DA1399"/>
    <w:rsid w:val="00DA1E51"/>
    <w:rsid w:val="00DA24C6"/>
    <w:rsid w:val="00DA4D7B"/>
    <w:rsid w:val="00DC6A47"/>
    <w:rsid w:val="00DD271C"/>
    <w:rsid w:val="00DE1807"/>
    <w:rsid w:val="00DE264A"/>
    <w:rsid w:val="00DF12C5"/>
    <w:rsid w:val="00DF5072"/>
    <w:rsid w:val="00DF6DF3"/>
    <w:rsid w:val="00DF7603"/>
    <w:rsid w:val="00E02D18"/>
    <w:rsid w:val="00E041E7"/>
    <w:rsid w:val="00E118FD"/>
    <w:rsid w:val="00E13F60"/>
    <w:rsid w:val="00E23CA1"/>
    <w:rsid w:val="00E409A8"/>
    <w:rsid w:val="00E50C12"/>
    <w:rsid w:val="00E65B91"/>
    <w:rsid w:val="00E7209D"/>
    <w:rsid w:val="00E72EAD"/>
    <w:rsid w:val="00E77223"/>
    <w:rsid w:val="00E77BFF"/>
    <w:rsid w:val="00E80182"/>
    <w:rsid w:val="00E8528B"/>
    <w:rsid w:val="00E85B94"/>
    <w:rsid w:val="00E866DA"/>
    <w:rsid w:val="00E978D0"/>
    <w:rsid w:val="00EA4613"/>
    <w:rsid w:val="00EA6B3A"/>
    <w:rsid w:val="00EA7F91"/>
    <w:rsid w:val="00EB1523"/>
    <w:rsid w:val="00EC0E49"/>
    <w:rsid w:val="00EC101F"/>
    <w:rsid w:val="00EC1D9F"/>
    <w:rsid w:val="00EE0131"/>
    <w:rsid w:val="00EE17B0"/>
    <w:rsid w:val="00EF06D9"/>
    <w:rsid w:val="00EF7F96"/>
    <w:rsid w:val="00F10F62"/>
    <w:rsid w:val="00F214D4"/>
    <w:rsid w:val="00F26054"/>
    <w:rsid w:val="00F30C64"/>
    <w:rsid w:val="00F32BA2"/>
    <w:rsid w:val="00F32CDB"/>
    <w:rsid w:val="00F425DA"/>
    <w:rsid w:val="00F565FE"/>
    <w:rsid w:val="00F63A70"/>
    <w:rsid w:val="00F7534E"/>
    <w:rsid w:val="00F80CE1"/>
    <w:rsid w:val="00FA1802"/>
    <w:rsid w:val="00FA21D0"/>
    <w:rsid w:val="00FA5F5F"/>
    <w:rsid w:val="00FB6E9E"/>
    <w:rsid w:val="00FB730C"/>
    <w:rsid w:val="00FC2695"/>
    <w:rsid w:val="00FC3E03"/>
    <w:rsid w:val="00FC3FC1"/>
    <w:rsid w:val="00FD063B"/>
    <w:rsid w:val="00FD17C4"/>
    <w:rsid w:val="00FF782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styleId="Revisione">
    <w:name w:val="Revision"/>
    <w:hidden/>
    <w:uiPriority w:val="99"/>
    <w:semiHidden/>
    <w:rsid w:val="00160259"/>
    <w:pPr>
      <w:spacing w:after="0" w:line="240" w:lineRule="auto"/>
    </w:pPr>
    <w:rPr>
      <w:rFonts w:ascii="Arial" w:eastAsia="Times New Roman" w:hAnsi="Arial" w:cs="Times New Roman"/>
      <w:sz w:val="18"/>
      <w:szCs w:val="20"/>
      <w:lang w:val="en-GB"/>
    </w:rPr>
  </w:style>
  <w:style w:type="character" w:styleId="Menzionenonrisolta">
    <w:name w:val="Unresolved Mention"/>
    <w:basedOn w:val="Carpredefinitoparagrafo"/>
    <w:uiPriority w:val="99"/>
    <w:semiHidden/>
    <w:unhideWhenUsed/>
    <w:rsid w:val="005C2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8175">
      <w:bodyDiv w:val="1"/>
      <w:marLeft w:val="0"/>
      <w:marRight w:val="0"/>
      <w:marTop w:val="0"/>
      <w:marBottom w:val="0"/>
      <w:divBdr>
        <w:top w:val="none" w:sz="0" w:space="0" w:color="auto"/>
        <w:left w:val="none" w:sz="0" w:space="0" w:color="auto"/>
        <w:bottom w:val="none" w:sz="0" w:space="0" w:color="auto"/>
        <w:right w:val="none" w:sz="0" w:space="0" w:color="auto"/>
      </w:divBdr>
    </w:div>
    <w:div w:id="1401561658">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40210">
      <w:bodyDiv w:val="1"/>
      <w:marLeft w:val="0"/>
      <w:marRight w:val="0"/>
      <w:marTop w:val="0"/>
      <w:marBottom w:val="0"/>
      <w:divBdr>
        <w:top w:val="none" w:sz="0" w:space="0" w:color="auto"/>
        <w:left w:val="none" w:sz="0" w:space="0" w:color="auto"/>
        <w:bottom w:val="none" w:sz="0" w:space="0" w:color="auto"/>
        <w:right w:val="none" w:sz="0" w:space="0" w:color="auto"/>
      </w:divBdr>
    </w:div>
    <w:div w:id="208548700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ea.org/data-and-statistics/?country=WORLD&amp;fuel=CO2%20emissions&amp;indicator=TotCO2"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 Id="rId22" Type="http://schemas.openxmlformats.org/officeDocument/2006/relationships/hyperlink" Target="file:///G:\Imperial_CDR%20project\Oral%20presentations\E2DT\h.%3cpoundsterlinglive.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G:\Imperial_CDR%20project\adsorption%20simulation\simulation%20for%20different%20location\Results\Operating%20conditions_DAC_different%20countri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Imperial_CDR%20project\adsorption%20simulation\simulation%20for%20different%20location\Results\Operating%20conditions_DAC_different%20countri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Imperial_CDR%20project\adsorption%20simulation\simulation%20for%20different%20location\Results\Operating%20conditions_DAC_different%20countri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Imperial_CDR%20project\adsorption%20simulation\simulation%20for%20different%20location\Results\Cost%20DAC_different%20countri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'CO2 captured'!$AC$9</c:f>
              <c:strCache>
                <c:ptCount val="1"/>
                <c:pt idx="0">
                  <c:v>MOF-5 </c:v>
                </c:pt>
              </c:strCache>
            </c:strRef>
          </c:tx>
          <c:spPr>
            <a:solidFill>
              <a:schemeClr val="accent1"/>
            </a:solidFill>
            <a:ln>
              <a:noFill/>
            </a:ln>
            <a:effectLst/>
          </c:spPr>
          <c:invertIfNegative val="0"/>
          <c:cat>
            <c:strRef>
              <c:f>'CO2 captured'!$AB$10:$AB$27</c:f>
              <c:strCache>
                <c:ptCount val="18"/>
                <c:pt idx="0">
                  <c:v>Finland (2.52 °C)</c:v>
                </c:pt>
                <c:pt idx="1">
                  <c:v>Switzerland (6.08°C)</c:v>
                </c:pt>
                <c:pt idx="2">
                  <c:v>China (7.1 °C)</c:v>
                </c:pt>
                <c:pt idx="3">
                  <c:v>Austria (7.25 °C)</c:v>
                </c:pt>
                <c:pt idx="4">
                  <c:v>USA (7.63 °C)</c:v>
                </c:pt>
                <c:pt idx="5">
                  <c:v>Denmark (8.76 °C)</c:v>
                </c:pt>
                <c:pt idx="6">
                  <c:v>Poland (8.85 °C)</c:v>
                </c:pt>
                <c:pt idx="7">
                  <c:v>UK (9.07 °C)</c:v>
                </c:pt>
                <c:pt idx="8">
                  <c:v>Slovenia (9.58 °C)</c:v>
                </c:pt>
                <c:pt idx="9">
                  <c:v>Germany (9.63 °C)</c:v>
                </c:pt>
                <c:pt idx="10">
                  <c:v>The Netherlands (10.4 °C)</c:v>
                </c:pt>
                <c:pt idx="11">
                  <c:v>Japan (11.13 °C)</c:v>
                </c:pt>
                <c:pt idx="12">
                  <c:v>France (11.69 °C)</c:v>
                </c:pt>
                <c:pt idx="13">
                  <c:v>Italy (12.81 °C)</c:v>
                </c:pt>
                <c:pt idx="14">
                  <c:v>Spain (13.93 °C)</c:v>
                </c:pt>
                <c:pt idx="15">
                  <c:v>Australia (21.94 °C)</c:v>
                </c:pt>
                <c:pt idx="16">
                  <c:v>India (24.68 °C)</c:v>
                </c:pt>
                <c:pt idx="17">
                  <c:v>Brazil (25.51 °C)</c:v>
                </c:pt>
              </c:strCache>
            </c:strRef>
          </c:cat>
          <c:val>
            <c:numRef>
              <c:f>'CO2 captured'!$AC$10:$AC$27</c:f>
              <c:numCache>
                <c:formatCode>General</c:formatCode>
                <c:ptCount val="18"/>
                <c:pt idx="0">
                  <c:v>96.47</c:v>
                </c:pt>
                <c:pt idx="1">
                  <c:v>92.18</c:v>
                </c:pt>
                <c:pt idx="2">
                  <c:v>90.79</c:v>
                </c:pt>
                <c:pt idx="3">
                  <c:v>90.65</c:v>
                </c:pt>
                <c:pt idx="4">
                  <c:v>90.06</c:v>
                </c:pt>
                <c:pt idx="5">
                  <c:v>88.81</c:v>
                </c:pt>
                <c:pt idx="6">
                  <c:v>88.74</c:v>
                </c:pt>
                <c:pt idx="7">
                  <c:v>88.44</c:v>
                </c:pt>
                <c:pt idx="8">
                  <c:v>87.86</c:v>
                </c:pt>
                <c:pt idx="9">
                  <c:v>87.82</c:v>
                </c:pt>
                <c:pt idx="10">
                  <c:v>86.79</c:v>
                </c:pt>
                <c:pt idx="11">
                  <c:v>85.98</c:v>
                </c:pt>
                <c:pt idx="12">
                  <c:v>85.4</c:v>
                </c:pt>
                <c:pt idx="13">
                  <c:v>84.02</c:v>
                </c:pt>
                <c:pt idx="14">
                  <c:v>82.7</c:v>
                </c:pt>
                <c:pt idx="15">
                  <c:v>72.819999999999993</c:v>
                </c:pt>
                <c:pt idx="16">
                  <c:v>69.33</c:v>
                </c:pt>
                <c:pt idx="17">
                  <c:v>68.290000000000006</c:v>
                </c:pt>
              </c:numCache>
            </c:numRef>
          </c:val>
          <c:extLst>
            <c:ext xmlns:c16="http://schemas.microsoft.com/office/drawing/2014/chart" uri="{C3380CC4-5D6E-409C-BE32-E72D297353CC}">
              <c16:uniqueId val="{00000000-C94D-4019-A7CA-B043610357A5}"/>
            </c:ext>
          </c:extLst>
        </c:ser>
        <c:ser>
          <c:idx val="1"/>
          <c:order val="1"/>
          <c:tx>
            <c:strRef>
              <c:f>'CO2 captured'!$AD$9</c:f>
              <c:strCache>
                <c:ptCount val="1"/>
                <c:pt idx="0">
                  <c:v>MOF-177 </c:v>
                </c:pt>
              </c:strCache>
            </c:strRef>
          </c:tx>
          <c:spPr>
            <a:solidFill>
              <a:schemeClr val="accent2"/>
            </a:solidFill>
            <a:ln>
              <a:noFill/>
            </a:ln>
            <a:effectLst/>
          </c:spPr>
          <c:invertIfNegative val="0"/>
          <c:cat>
            <c:strRef>
              <c:f>'CO2 captured'!$AB$10:$AB$27</c:f>
              <c:strCache>
                <c:ptCount val="18"/>
                <c:pt idx="0">
                  <c:v>Finland (2.52 °C)</c:v>
                </c:pt>
                <c:pt idx="1">
                  <c:v>Switzerland (6.08°C)</c:v>
                </c:pt>
                <c:pt idx="2">
                  <c:v>China (7.1 °C)</c:v>
                </c:pt>
                <c:pt idx="3">
                  <c:v>Austria (7.25 °C)</c:v>
                </c:pt>
                <c:pt idx="4">
                  <c:v>USA (7.63 °C)</c:v>
                </c:pt>
                <c:pt idx="5">
                  <c:v>Denmark (8.76 °C)</c:v>
                </c:pt>
                <c:pt idx="6">
                  <c:v>Poland (8.85 °C)</c:v>
                </c:pt>
                <c:pt idx="7">
                  <c:v>UK (9.07 °C)</c:v>
                </c:pt>
                <c:pt idx="8">
                  <c:v>Slovenia (9.58 °C)</c:v>
                </c:pt>
                <c:pt idx="9">
                  <c:v>Germany (9.63 °C)</c:v>
                </c:pt>
                <c:pt idx="10">
                  <c:v>The Netherlands (10.4 °C)</c:v>
                </c:pt>
                <c:pt idx="11">
                  <c:v>Japan (11.13 °C)</c:v>
                </c:pt>
                <c:pt idx="12">
                  <c:v>France (11.69 °C)</c:v>
                </c:pt>
                <c:pt idx="13">
                  <c:v>Italy (12.81 °C)</c:v>
                </c:pt>
                <c:pt idx="14">
                  <c:v>Spain (13.93 °C)</c:v>
                </c:pt>
                <c:pt idx="15">
                  <c:v>Australia (21.94 °C)</c:v>
                </c:pt>
                <c:pt idx="16">
                  <c:v>India (24.68 °C)</c:v>
                </c:pt>
                <c:pt idx="17">
                  <c:v>Brazil (25.51 °C)</c:v>
                </c:pt>
              </c:strCache>
            </c:strRef>
          </c:cat>
          <c:val>
            <c:numRef>
              <c:f>'CO2 captured'!$AD$10:$AD$27</c:f>
              <c:numCache>
                <c:formatCode>General</c:formatCode>
                <c:ptCount val="18"/>
                <c:pt idx="0">
                  <c:v>80.42</c:v>
                </c:pt>
                <c:pt idx="1">
                  <c:v>77.62</c:v>
                </c:pt>
                <c:pt idx="2">
                  <c:v>77.010000000000005</c:v>
                </c:pt>
                <c:pt idx="3">
                  <c:v>76.88</c:v>
                </c:pt>
                <c:pt idx="4">
                  <c:v>76.599999999999994</c:v>
                </c:pt>
                <c:pt idx="5">
                  <c:v>75.900000000000006</c:v>
                </c:pt>
                <c:pt idx="6">
                  <c:v>75.849999999999994</c:v>
                </c:pt>
                <c:pt idx="7">
                  <c:v>75.709999999999994</c:v>
                </c:pt>
                <c:pt idx="8">
                  <c:v>75.41</c:v>
                </c:pt>
                <c:pt idx="9">
                  <c:v>75.39</c:v>
                </c:pt>
                <c:pt idx="10">
                  <c:v>74.75</c:v>
                </c:pt>
                <c:pt idx="11">
                  <c:v>74.349999999999994</c:v>
                </c:pt>
                <c:pt idx="12">
                  <c:v>74</c:v>
                </c:pt>
                <c:pt idx="13">
                  <c:v>73.28</c:v>
                </c:pt>
                <c:pt idx="14">
                  <c:v>72.52</c:v>
                </c:pt>
                <c:pt idx="15">
                  <c:v>67.540000000000006</c:v>
                </c:pt>
                <c:pt idx="16">
                  <c:v>65.8</c:v>
                </c:pt>
                <c:pt idx="17">
                  <c:v>65.34</c:v>
                </c:pt>
              </c:numCache>
            </c:numRef>
          </c:val>
          <c:extLst>
            <c:ext xmlns:c16="http://schemas.microsoft.com/office/drawing/2014/chart" uri="{C3380CC4-5D6E-409C-BE32-E72D297353CC}">
              <c16:uniqueId val="{00000001-C94D-4019-A7CA-B043610357A5}"/>
            </c:ext>
          </c:extLst>
        </c:ser>
        <c:ser>
          <c:idx val="2"/>
          <c:order val="2"/>
          <c:tx>
            <c:strRef>
              <c:f>'CO2 captured'!$AE$9</c:f>
              <c:strCache>
                <c:ptCount val="1"/>
                <c:pt idx="0">
                  <c:v>MIL-101 </c:v>
                </c:pt>
              </c:strCache>
            </c:strRef>
          </c:tx>
          <c:spPr>
            <a:solidFill>
              <a:schemeClr val="accent3"/>
            </a:solidFill>
            <a:ln>
              <a:noFill/>
            </a:ln>
            <a:effectLst/>
          </c:spPr>
          <c:invertIfNegative val="0"/>
          <c:cat>
            <c:strRef>
              <c:f>'CO2 captured'!$AB$10:$AB$27</c:f>
              <c:strCache>
                <c:ptCount val="18"/>
                <c:pt idx="0">
                  <c:v>Finland (2.52 °C)</c:v>
                </c:pt>
                <c:pt idx="1">
                  <c:v>Switzerland (6.08°C)</c:v>
                </c:pt>
                <c:pt idx="2">
                  <c:v>China (7.1 °C)</c:v>
                </c:pt>
                <c:pt idx="3">
                  <c:v>Austria (7.25 °C)</c:v>
                </c:pt>
                <c:pt idx="4">
                  <c:v>USA (7.63 °C)</c:v>
                </c:pt>
                <c:pt idx="5">
                  <c:v>Denmark (8.76 °C)</c:v>
                </c:pt>
                <c:pt idx="6">
                  <c:v>Poland (8.85 °C)</c:v>
                </c:pt>
                <c:pt idx="7">
                  <c:v>UK (9.07 °C)</c:v>
                </c:pt>
                <c:pt idx="8">
                  <c:v>Slovenia (9.58 °C)</c:v>
                </c:pt>
                <c:pt idx="9">
                  <c:v>Germany (9.63 °C)</c:v>
                </c:pt>
                <c:pt idx="10">
                  <c:v>The Netherlands (10.4 °C)</c:v>
                </c:pt>
                <c:pt idx="11">
                  <c:v>Japan (11.13 °C)</c:v>
                </c:pt>
                <c:pt idx="12">
                  <c:v>France (11.69 °C)</c:v>
                </c:pt>
                <c:pt idx="13">
                  <c:v>Italy (12.81 °C)</c:v>
                </c:pt>
                <c:pt idx="14">
                  <c:v>Spain (13.93 °C)</c:v>
                </c:pt>
                <c:pt idx="15">
                  <c:v>Australia (21.94 °C)</c:v>
                </c:pt>
                <c:pt idx="16">
                  <c:v>India (24.68 °C)</c:v>
                </c:pt>
                <c:pt idx="17">
                  <c:v>Brazil (25.51 °C)</c:v>
                </c:pt>
              </c:strCache>
            </c:strRef>
          </c:cat>
          <c:val>
            <c:numRef>
              <c:f>'CO2 captured'!$AE$10:$AE$27</c:f>
              <c:numCache>
                <c:formatCode>General</c:formatCode>
                <c:ptCount val="18"/>
                <c:pt idx="0">
                  <c:v>81.739999999999995</c:v>
                </c:pt>
                <c:pt idx="1">
                  <c:v>80.23</c:v>
                </c:pt>
                <c:pt idx="2">
                  <c:v>79.7</c:v>
                </c:pt>
                <c:pt idx="3">
                  <c:v>79.61</c:v>
                </c:pt>
                <c:pt idx="4">
                  <c:v>79.319999999999993</c:v>
                </c:pt>
                <c:pt idx="5">
                  <c:v>78.739999999999995</c:v>
                </c:pt>
                <c:pt idx="6">
                  <c:v>78.69</c:v>
                </c:pt>
                <c:pt idx="7">
                  <c:v>78.58</c:v>
                </c:pt>
                <c:pt idx="8">
                  <c:v>78.349999999999994</c:v>
                </c:pt>
                <c:pt idx="9">
                  <c:v>78.290000000000006</c:v>
                </c:pt>
                <c:pt idx="10">
                  <c:v>77.95</c:v>
                </c:pt>
                <c:pt idx="11">
                  <c:v>77.41</c:v>
                </c:pt>
                <c:pt idx="12">
                  <c:v>77.14</c:v>
                </c:pt>
                <c:pt idx="13">
                  <c:v>76.7</c:v>
                </c:pt>
                <c:pt idx="14">
                  <c:v>76.010000000000005</c:v>
                </c:pt>
                <c:pt idx="15">
                  <c:v>72.27</c:v>
                </c:pt>
                <c:pt idx="16">
                  <c:v>71.19</c:v>
                </c:pt>
                <c:pt idx="17">
                  <c:v>70.11</c:v>
                </c:pt>
              </c:numCache>
            </c:numRef>
          </c:val>
          <c:extLst>
            <c:ext xmlns:c16="http://schemas.microsoft.com/office/drawing/2014/chart" uri="{C3380CC4-5D6E-409C-BE32-E72D297353CC}">
              <c16:uniqueId val="{00000002-C94D-4019-A7CA-B043610357A5}"/>
            </c:ext>
          </c:extLst>
        </c:ser>
        <c:ser>
          <c:idx val="3"/>
          <c:order val="3"/>
          <c:tx>
            <c:strRef>
              <c:f>'CO2 captured'!$AF$9</c:f>
              <c:strCache>
                <c:ptCount val="1"/>
                <c:pt idx="0">
                  <c:v>SI-AEATPMS</c:v>
                </c:pt>
              </c:strCache>
            </c:strRef>
          </c:tx>
          <c:spPr>
            <a:solidFill>
              <a:schemeClr val="accent4"/>
            </a:solidFill>
            <a:ln>
              <a:noFill/>
            </a:ln>
            <a:effectLst/>
          </c:spPr>
          <c:invertIfNegative val="0"/>
          <c:cat>
            <c:strRef>
              <c:f>'CO2 captured'!$AB$10:$AB$27</c:f>
              <c:strCache>
                <c:ptCount val="18"/>
                <c:pt idx="0">
                  <c:v>Finland (2.52 °C)</c:v>
                </c:pt>
                <c:pt idx="1">
                  <c:v>Switzerland (6.08°C)</c:v>
                </c:pt>
                <c:pt idx="2">
                  <c:v>China (7.1 °C)</c:v>
                </c:pt>
                <c:pt idx="3">
                  <c:v>Austria (7.25 °C)</c:v>
                </c:pt>
                <c:pt idx="4">
                  <c:v>USA (7.63 °C)</c:v>
                </c:pt>
                <c:pt idx="5">
                  <c:v>Denmark (8.76 °C)</c:v>
                </c:pt>
                <c:pt idx="6">
                  <c:v>Poland (8.85 °C)</c:v>
                </c:pt>
                <c:pt idx="7">
                  <c:v>UK (9.07 °C)</c:v>
                </c:pt>
                <c:pt idx="8">
                  <c:v>Slovenia (9.58 °C)</c:v>
                </c:pt>
                <c:pt idx="9">
                  <c:v>Germany (9.63 °C)</c:v>
                </c:pt>
                <c:pt idx="10">
                  <c:v>The Netherlands (10.4 °C)</c:v>
                </c:pt>
                <c:pt idx="11">
                  <c:v>Japan (11.13 °C)</c:v>
                </c:pt>
                <c:pt idx="12">
                  <c:v>France (11.69 °C)</c:v>
                </c:pt>
                <c:pt idx="13">
                  <c:v>Italy (12.81 °C)</c:v>
                </c:pt>
                <c:pt idx="14">
                  <c:v>Spain (13.93 °C)</c:v>
                </c:pt>
                <c:pt idx="15">
                  <c:v>Australia (21.94 °C)</c:v>
                </c:pt>
                <c:pt idx="16">
                  <c:v>India (24.68 °C)</c:v>
                </c:pt>
                <c:pt idx="17">
                  <c:v>Brazil (25.51 °C)</c:v>
                </c:pt>
              </c:strCache>
            </c:strRef>
          </c:cat>
          <c:val>
            <c:numRef>
              <c:f>'CO2 captured'!$AF$10:$AF$27</c:f>
              <c:numCache>
                <c:formatCode>General</c:formatCode>
                <c:ptCount val="18"/>
                <c:pt idx="0">
                  <c:v>151.55000000000001</c:v>
                </c:pt>
                <c:pt idx="1">
                  <c:v>151.53</c:v>
                </c:pt>
                <c:pt idx="2">
                  <c:v>151.53</c:v>
                </c:pt>
                <c:pt idx="3">
                  <c:v>151.53</c:v>
                </c:pt>
                <c:pt idx="4">
                  <c:v>151.33000000000001</c:v>
                </c:pt>
                <c:pt idx="5">
                  <c:v>151.27000000000001</c:v>
                </c:pt>
                <c:pt idx="6">
                  <c:v>151.24</c:v>
                </c:pt>
                <c:pt idx="7">
                  <c:v>151.09</c:v>
                </c:pt>
                <c:pt idx="8">
                  <c:v>151.25</c:v>
                </c:pt>
                <c:pt idx="9">
                  <c:v>151.32</c:v>
                </c:pt>
                <c:pt idx="10">
                  <c:v>150.97999999999999</c:v>
                </c:pt>
                <c:pt idx="11">
                  <c:v>151.15</c:v>
                </c:pt>
                <c:pt idx="12">
                  <c:v>150.69</c:v>
                </c:pt>
                <c:pt idx="13">
                  <c:v>151.16</c:v>
                </c:pt>
                <c:pt idx="14">
                  <c:v>151.04</c:v>
                </c:pt>
                <c:pt idx="15">
                  <c:v>150.22999999999999</c:v>
                </c:pt>
                <c:pt idx="16">
                  <c:v>149.97999999999999</c:v>
                </c:pt>
                <c:pt idx="17">
                  <c:v>150</c:v>
                </c:pt>
              </c:numCache>
            </c:numRef>
          </c:val>
          <c:extLst>
            <c:ext xmlns:c16="http://schemas.microsoft.com/office/drawing/2014/chart" uri="{C3380CC4-5D6E-409C-BE32-E72D297353CC}">
              <c16:uniqueId val="{00000003-C94D-4019-A7CA-B043610357A5}"/>
            </c:ext>
          </c:extLst>
        </c:ser>
        <c:ser>
          <c:idx val="4"/>
          <c:order val="4"/>
          <c:tx>
            <c:strRef>
              <c:f>'CO2 captured'!$AG$9</c:f>
              <c:strCache>
                <c:ptCount val="1"/>
                <c:pt idx="0">
                  <c:v>APDES-NFC-FD</c:v>
                </c:pt>
              </c:strCache>
            </c:strRef>
          </c:tx>
          <c:spPr>
            <a:solidFill>
              <a:schemeClr val="accent5"/>
            </a:solidFill>
            <a:ln>
              <a:noFill/>
            </a:ln>
            <a:effectLst/>
          </c:spPr>
          <c:invertIfNegative val="0"/>
          <c:cat>
            <c:strRef>
              <c:f>'CO2 captured'!$AB$10:$AB$27</c:f>
              <c:strCache>
                <c:ptCount val="18"/>
                <c:pt idx="0">
                  <c:v>Finland (2.52 °C)</c:v>
                </c:pt>
                <c:pt idx="1">
                  <c:v>Switzerland (6.08°C)</c:v>
                </c:pt>
                <c:pt idx="2">
                  <c:v>China (7.1 °C)</c:v>
                </c:pt>
                <c:pt idx="3">
                  <c:v>Austria (7.25 °C)</c:v>
                </c:pt>
                <c:pt idx="4">
                  <c:v>USA (7.63 °C)</c:v>
                </c:pt>
                <c:pt idx="5">
                  <c:v>Denmark (8.76 °C)</c:v>
                </c:pt>
                <c:pt idx="6">
                  <c:v>Poland (8.85 °C)</c:v>
                </c:pt>
                <c:pt idx="7">
                  <c:v>UK (9.07 °C)</c:v>
                </c:pt>
                <c:pt idx="8">
                  <c:v>Slovenia (9.58 °C)</c:v>
                </c:pt>
                <c:pt idx="9">
                  <c:v>Germany (9.63 °C)</c:v>
                </c:pt>
                <c:pt idx="10">
                  <c:v>The Netherlands (10.4 °C)</c:v>
                </c:pt>
                <c:pt idx="11">
                  <c:v>Japan (11.13 °C)</c:v>
                </c:pt>
                <c:pt idx="12">
                  <c:v>France (11.69 °C)</c:v>
                </c:pt>
                <c:pt idx="13">
                  <c:v>Italy (12.81 °C)</c:v>
                </c:pt>
                <c:pt idx="14">
                  <c:v>Spain (13.93 °C)</c:v>
                </c:pt>
                <c:pt idx="15">
                  <c:v>Australia (21.94 °C)</c:v>
                </c:pt>
                <c:pt idx="16">
                  <c:v>India (24.68 °C)</c:v>
                </c:pt>
                <c:pt idx="17">
                  <c:v>Brazil (25.51 °C)</c:v>
                </c:pt>
              </c:strCache>
            </c:strRef>
          </c:cat>
          <c:val>
            <c:numRef>
              <c:f>'CO2 captured'!$AG$10:$AG$27</c:f>
              <c:numCache>
                <c:formatCode>General</c:formatCode>
                <c:ptCount val="18"/>
                <c:pt idx="0">
                  <c:v>137.04</c:v>
                </c:pt>
                <c:pt idx="1">
                  <c:v>137.22999999999999</c:v>
                </c:pt>
                <c:pt idx="2">
                  <c:v>136.85</c:v>
                </c:pt>
                <c:pt idx="3">
                  <c:v>136.81</c:v>
                </c:pt>
                <c:pt idx="4">
                  <c:v>136.88999999999999</c:v>
                </c:pt>
                <c:pt idx="5">
                  <c:v>136.81</c:v>
                </c:pt>
                <c:pt idx="6">
                  <c:v>136.69</c:v>
                </c:pt>
                <c:pt idx="7">
                  <c:v>136.61000000000001</c:v>
                </c:pt>
                <c:pt idx="8">
                  <c:v>136.69</c:v>
                </c:pt>
                <c:pt idx="9">
                  <c:v>136.81</c:v>
                </c:pt>
                <c:pt idx="10">
                  <c:v>136.55000000000001</c:v>
                </c:pt>
                <c:pt idx="11">
                  <c:v>136.44</c:v>
                </c:pt>
                <c:pt idx="12">
                  <c:v>136.19999999999999</c:v>
                </c:pt>
                <c:pt idx="13">
                  <c:v>135.94999999999999</c:v>
                </c:pt>
                <c:pt idx="14">
                  <c:v>136.16</c:v>
                </c:pt>
                <c:pt idx="15">
                  <c:v>133.91</c:v>
                </c:pt>
                <c:pt idx="16">
                  <c:v>132.94</c:v>
                </c:pt>
                <c:pt idx="17">
                  <c:v>132.74</c:v>
                </c:pt>
              </c:numCache>
            </c:numRef>
          </c:val>
          <c:extLst>
            <c:ext xmlns:c16="http://schemas.microsoft.com/office/drawing/2014/chart" uri="{C3380CC4-5D6E-409C-BE32-E72D297353CC}">
              <c16:uniqueId val="{00000004-C94D-4019-A7CA-B043610357A5}"/>
            </c:ext>
          </c:extLst>
        </c:ser>
        <c:dLbls>
          <c:showLegendKey val="0"/>
          <c:showVal val="0"/>
          <c:showCatName val="0"/>
          <c:showSerName val="0"/>
          <c:showPercent val="0"/>
          <c:showBubbleSize val="0"/>
        </c:dLbls>
        <c:gapWidth val="182"/>
        <c:axId val="2089916431"/>
        <c:axId val="2089929327"/>
      </c:barChart>
      <c:catAx>
        <c:axId val="2089916431"/>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it-IT"/>
                  <a:t>Country/Air temperature</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crossAx val="2089929327"/>
        <c:crosses val="autoZero"/>
        <c:auto val="1"/>
        <c:lblAlgn val="ctr"/>
        <c:lblOffset val="100"/>
        <c:noMultiLvlLbl val="0"/>
      </c:catAx>
      <c:valAx>
        <c:axId val="208992932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it-IT"/>
                  <a:t>Capture capacity (kgCO</a:t>
                </a:r>
                <a:r>
                  <a:rPr lang="it-IT" baseline="-25000"/>
                  <a:t>2</a:t>
                </a:r>
                <a:r>
                  <a:rPr lang="it-IT"/>
                  <a:t>/day)</a:t>
                </a:r>
              </a:p>
            </c:rich>
          </c:tx>
          <c:layout>
            <c:manualLayout>
              <c:xMode val="edge"/>
              <c:yMode val="edge"/>
              <c:x val="0.44776472537743023"/>
              <c:y val="0.9104935623645014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crossAx val="208991643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'Energy consumption'!$W$37</c:f>
              <c:strCache>
                <c:ptCount val="1"/>
                <c:pt idx="0">
                  <c:v>MOF-5 </c:v>
                </c:pt>
              </c:strCache>
            </c:strRef>
          </c:tx>
          <c:spPr>
            <a:solidFill>
              <a:schemeClr val="accent1"/>
            </a:solidFill>
            <a:ln>
              <a:noFill/>
            </a:ln>
            <a:effectLst/>
          </c:spPr>
          <c:invertIfNegative val="0"/>
          <c:cat>
            <c:strRef>
              <c:f>'Energy consumption'!$V$38:$V$55</c:f>
              <c:strCache>
                <c:ptCount val="18"/>
                <c:pt idx="0">
                  <c:v>Finland (2.52 °C)</c:v>
                </c:pt>
                <c:pt idx="1">
                  <c:v>Switzerland (6.08°C)</c:v>
                </c:pt>
                <c:pt idx="2">
                  <c:v>China (7.1 °C)</c:v>
                </c:pt>
                <c:pt idx="3">
                  <c:v>Austria (7.25 °C)</c:v>
                </c:pt>
                <c:pt idx="4">
                  <c:v>USA (7.63 °C)</c:v>
                </c:pt>
                <c:pt idx="5">
                  <c:v>Denmark (8.76 °C)</c:v>
                </c:pt>
                <c:pt idx="6">
                  <c:v>Poland (8.85 °C)</c:v>
                </c:pt>
                <c:pt idx="7">
                  <c:v>UK (9.07 °C)</c:v>
                </c:pt>
                <c:pt idx="8">
                  <c:v>Slovenia (9.58 °C)</c:v>
                </c:pt>
                <c:pt idx="9">
                  <c:v>Germany (9.63 °C)</c:v>
                </c:pt>
                <c:pt idx="10">
                  <c:v>The Netherlands (10.4 °C)</c:v>
                </c:pt>
                <c:pt idx="11">
                  <c:v>Japan (11.13 °C)</c:v>
                </c:pt>
                <c:pt idx="12">
                  <c:v>France (11.69 °C)</c:v>
                </c:pt>
                <c:pt idx="13">
                  <c:v>Italy (12.81 °C)</c:v>
                </c:pt>
                <c:pt idx="14">
                  <c:v>Spain (13.93 °C)</c:v>
                </c:pt>
                <c:pt idx="15">
                  <c:v>Australia (21.94 °C)</c:v>
                </c:pt>
                <c:pt idx="16">
                  <c:v>India (24.68 °C)</c:v>
                </c:pt>
                <c:pt idx="17">
                  <c:v>Brazil (25.51 °C)</c:v>
                </c:pt>
              </c:strCache>
            </c:strRef>
          </c:cat>
          <c:val>
            <c:numRef>
              <c:f>'Energy consumption'!$W$38:$W$55</c:f>
              <c:numCache>
                <c:formatCode>General</c:formatCode>
                <c:ptCount val="18"/>
                <c:pt idx="0">
                  <c:v>1010</c:v>
                </c:pt>
                <c:pt idx="1">
                  <c:v>1070</c:v>
                </c:pt>
                <c:pt idx="2">
                  <c:v>1080</c:v>
                </c:pt>
                <c:pt idx="3">
                  <c:v>1090</c:v>
                </c:pt>
                <c:pt idx="4">
                  <c:v>1090</c:v>
                </c:pt>
                <c:pt idx="5">
                  <c:v>1110</c:v>
                </c:pt>
                <c:pt idx="6">
                  <c:v>1110</c:v>
                </c:pt>
                <c:pt idx="7">
                  <c:v>1110</c:v>
                </c:pt>
                <c:pt idx="8">
                  <c:v>1120</c:v>
                </c:pt>
                <c:pt idx="9">
                  <c:v>1120</c:v>
                </c:pt>
                <c:pt idx="10">
                  <c:v>1130</c:v>
                </c:pt>
                <c:pt idx="11">
                  <c:v>1140</c:v>
                </c:pt>
                <c:pt idx="12">
                  <c:v>1150</c:v>
                </c:pt>
                <c:pt idx="13">
                  <c:v>1170</c:v>
                </c:pt>
                <c:pt idx="14">
                  <c:v>1190</c:v>
                </c:pt>
                <c:pt idx="15">
                  <c:v>1330</c:v>
                </c:pt>
                <c:pt idx="16">
                  <c:v>1390</c:v>
                </c:pt>
                <c:pt idx="17">
                  <c:v>1400</c:v>
                </c:pt>
              </c:numCache>
            </c:numRef>
          </c:val>
          <c:extLst>
            <c:ext xmlns:c16="http://schemas.microsoft.com/office/drawing/2014/chart" uri="{C3380CC4-5D6E-409C-BE32-E72D297353CC}">
              <c16:uniqueId val="{00000000-5342-4033-9CD2-3BF0A1AD3068}"/>
            </c:ext>
          </c:extLst>
        </c:ser>
        <c:ser>
          <c:idx val="1"/>
          <c:order val="1"/>
          <c:tx>
            <c:strRef>
              <c:f>'Energy consumption'!$X$37</c:f>
              <c:strCache>
                <c:ptCount val="1"/>
                <c:pt idx="0">
                  <c:v>MOF-177 </c:v>
                </c:pt>
              </c:strCache>
            </c:strRef>
          </c:tx>
          <c:spPr>
            <a:solidFill>
              <a:schemeClr val="accent2"/>
            </a:solidFill>
            <a:ln>
              <a:noFill/>
            </a:ln>
            <a:effectLst/>
          </c:spPr>
          <c:invertIfNegative val="0"/>
          <c:cat>
            <c:strRef>
              <c:f>'Energy consumption'!$V$38:$V$55</c:f>
              <c:strCache>
                <c:ptCount val="18"/>
                <c:pt idx="0">
                  <c:v>Finland (2.52 °C)</c:v>
                </c:pt>
                <c:pt idx="1">
                  <c:v>Switzerland (6.08°C)</c:v>
                </c:pt>
                <c:pt idx="2">
                  <c:v>China (7.1 °C)</c:v>
                </c:pt>
                <c:pt idx="3">
                  <c:v>Austria (7.25 °C)</c:v>
                </c:pt>
                <c:pt idx="4">
                  <c:v>USA (7.63 °C)</c:v>
                </c:pt>
                <c:pt idx="5">
                  <c:v>Denmark (8.76 °C)</c:v>
                </c:pt>
                <c:pt idx="6">
                  <c:v>Poland (8.85 °C)</c:v>
                </c:pt>
                <c:pt idx="7">
                  <c:v>UK (9.07 °C)</c:v>
                </c:pt>
                <c:pt idx="8">
                  <c:v>Slovenia (9.58 °C)</c:v>
                </c:pt>
                <c:pt idx="9">
                  <c:v>Germany (9.63 °C)</c:v>
                </c:pt>
                <c:pt idx="10">
                  <c:v>The Netherlands (10.4 °C)</c:v>
                </c:pt>
                <c:pt idx="11">
                  <c:v>Japan (11.13 °C)</c:v>
                </c:pt>
                <c:pt idx="12">
                  <c:v>France (11.69 °C)</c:v>
                </c:pt>
                <c:pt idx="13">
                  <c:v>Italy (12.81 °C)</c:v>
                </c:pt>
                <c:pt idx="14">
                  <c:v>Spain (13.93 °C)</c:v>
                </c:pt>
                <c:pt idx="15">
                  <c:v>Australia (21.94 °C)</c:v>
                </c:pt>
                <c:pt idx="16">
                  <c:v>India (24.68 °C)</c:v>
                </c:pt>
                <c:pt idx="17">
                  <c:v>Brazil (25.51 °C)</c:v>
                </c:pt>
              </c:strCache>
            </c:strRef>
          </c:cat>
          <c:val>
            <c:numRef>
              <c:f>'Energy consumption'!$X$38:$X$55</c:f>
              <c:numCache>
                <c:formatCode>General</c:formatCode>
                <c:ptCount val="18"/>
                <c:pt idx="0">
                  <c:v>958</c:v>
                </c:pt>
                <c:pt idx="1">
                  <c:v>1000</c:v>
                </c:pt>
                <c:pt idx="2">
                  <c:v>1010</c:v>
                </c:pt>
                <c:pt idx="3">
                  <c:v>1020</c:v>
                </c:pt>
                <c:pt idx="4">
                  <c:v>1020</c:v>
                </c:pt>
                <c:pt idx="5">
                  <c:v>1030</c:v>
                </c:pt>
                <c:pt idx="6">
                  <c:v>1030</c:v>
                </c:pt>
                <c:pt idx="7">
                  <c:v>1030</c:v>
                </c:pt>
                <c:pt idx="8">
                  <c:v>1040</c:v>
                </c:pt>
                <c:pt idx="9">
                  <c:v>1040</c:v>
                </c:pt>
                <c:pt idx="10">
                  <c:v>1050</c:v>
                </c:pt>
                <c:pt idx="11">
                  <c:v>1060</c:v>
                </c:pt>
                <c:pt idx="12">
                  <c:v>1060</c:v>
                </c:pt>
                <c:pt idx="13">
                  <c:v>1080</c:v>
                </c:pt>
                <c:pt idx="14">
                  <c:v>1090</c:v>
                </c:pt>
                <c:pt idx="15">
                  <c:v>1190</c:v>
                </c:pt>
                <c:pt idx="16">
                  <c:v>1230</c:v>
                </c:pt>
                <c:pt idx="17">
                  <c:v>1230</c:v>
                </c:pt>
              </c:numCache>
            </c:numRef>
          </c:val>
          <c:extLst>
            <c:ext xmlns:c16="http://schemas.microsoft.com/office/drawing/2014/chart" uri="{C3380CC4-5D6E-409C-BE32-E72D297353CC}">
              <c16:uniqueId val="{00000001-5342-4033-9CD2-3BF0A1AD3068}"/>
            </c:ext>
          </c:extLst>
        </c:ser>
        <c:ser>
          <c:idx val="2"/>
          <c:order val="2"/>
          <c:tx>
            <c:strRef>
              <c:f>'Energy consumption'!$Y$37</c:f>
              <c:strCache>
                <c:ptCount val="1"/>
                <c:pt idx="0">
                  <c:v>MIL-101 </c:v>
                </c:pt>
              </c:strCache>
            </c:strRef>
          </c:tx>
          <c:spPr>
            <a:solidFill>
              <a:schemeClr val="accent3"/>
            </a:solidFill>
            <a:ln>
              <a:noFill/>
            </a:ln>
            <a:effectLst/>
          </c:spPr>
          <c:invertIfNegative val="0"/>
          <c:cat>
            <c:strRef>
              <c:f>'Energy consumption'!$V$38:$V$55</c:f>
              <c:strCache>
                <c:ptCount val="18"/>
                <c:pt idx="0">
                  <c:v>Finland (2.52 °C)</c:v>
                </c:pt>
                <c:pt idx="1">
                  <c:v>Switzerland (6.08°C)</c:v>
                </c:pt>
                <c:pt idx="2">
                  <c:v>China (7.1 °C)</c:v>
                </c:pt>
                <c:pt idx="3">
                  <c:v>Austria (7.25 °C)</c:v>
                </c:pt>
                <c:pt idx="4">
                  <c:v>USA (7.63 °C)</c:v>
                </c:pt>
                <c:pt idx="5">
                  <c:v>Denmark (8.76 °C)</c:v>
                </c:pt>
                <c:pt idx="6">
                  <c:v>Poland (8.85 °C)</c:v>
                </c:pt>
                <c:pt idx="7">
                  <c:v>UK (9.07 °C)</c:v>
                </c:pt>
                <c:pt idx="8">
                  <c:v>Slovenia (9.58 °C)</c:v>
                </c:pt>
                <c:pt idx="9">
                  <c:v>Germany (9.63 °C)</c:v>
                </c:pt>
                <c:pt idx="10">
                  <c:v>The Netherlands (10.4 °C)</c:v>
                </c:pt>
                <c:pt idx="11">
                  <c:v>Japan (11.13 °C)</c:v>
                </c:pt>
                <c:pt idx="12">
                  <c:v>France (11.69 °C)</c:v>
                </c:pt>
                <c:pt idx="13">
                  <c:v>Italy (12.81 °C)</c:v>
                </c:pt>
                <c:pt idx="14">
                  <c:v>Spain (13.93 °C)</c:v>
                </c:pt>
                <c:pt idx="15">
                  <c:v>Australia (21.94 °C)</c:v>
                </c:pt>
                <c:pt idx="16">
                  <c:v>India (24.68 °C)</c:v>
                </c:pt>
                <c:pt idx="17">
                  <c:v>Brazil (25.51 °C)</c:v>
                </c:pt>
              </c:strCache>
            </c:strRef>
          </c:cat>
          <c:val>
            <c:numRef>
              <c:f>'Energy consumption'!$Y$38:$Y$55</c:f>
              <c:numCache>
                <c:formatCode>General</c:formatCode>
                <c:ptCount val="18"/>
                <c:pt idx="0">
                  <c:v>1110</c:v>
                </c:pt>
                <c:pt idx="1">
                  <c:v>1150</c:v>
                </c:pt>
                <c:pt idx="2">
                  <c:v>1160</c:v>
                </c:pt>
                <c:pt idx="3">
                  <c:v>1170</c:v>
                </c:pt>
                <c:pt idx="4">
                  <c:v>1170</c:v>
                </c:pt>
                <c:pt idx="5">
                  <c:v>1190</c:v>
                </c:pt>
                <c:pt idx="6">
                  <c:v>1190</c:v>
                </c:pt>
                <c:pt idx="7">
                  <c:v>1190</c:v>
                </c:pt>
                <c:pt idx="8">
                  <c:v>1200</c:v>
                </c:pt>
                <c:pt idx="9">
                  <c:v>1200</c:v>
                </c:pt>
                <c:pt idx="10">
                  <c:v>1210</c:v>
                </c:pt>
                <c:pt idx="11">
                  <c:v>1220</c:v>
                </c:pt>
                <c:pt idx="12">
                  <c:v>1230</c:v>
                </c:pt>
                <c:pt idx="13">
                  <c:v>1240</c:v>
                </c:pt>
                <c:pt idx="14">
                  <c:v>1260</c:v>
                </c:pt>
                <c:pt idx="15">
                  <c:v>1360</c:v>
                </c:pt>
                <c:pt idx="16">
                  <c:v>1400</c:v>
                </c:pt>
                <c:pt idx="17">
                  <c:v>1420</c:v>
                </c:pt>
              </c:numCache>
            </c:numRef>
          </c:val>
          <c:extLst>
            <c:ext xmlns:c16="http://schemas.microsoft.com/office/drawing/2014/chart" uri="{C3380CC4-5D6E-409C-BE32-E72D297353CC}">
              <c16:uniqueId val="{00000002-5342-4033-9CD2-3BF0A1AD3068}"/>
            </c:ext>
          </c:extLst>
        </c:ser>
        <c:ser>
          <c:idx val="3"/>
          <c:order val="3"/>
          <c:tx>
            <c:strRef>
              <c:f>'Energy consumption'!$Z$37</c:f>
              <c:strCache>
                <c:ptCount val="1"/>
                <c:pt idx="0">
                  <c:v>SI-AEATPMS</c:v>
                </c:pt>
              </c:strCache>
            </c:strRef>
          </c:tx>
          <c:spPr>
            <a:solidFill>
              <a:schemeClr val="accent4"/>
            </a:solidFill>
            <a:ln>
              <a:noFill/>
            </a:ln>
            <a:effectLst/>
          </c:spPr>
          <c:invertIfNegative val="0"/>
          <c:cat>
            <c:strRef>
              <c:f>'Energy consumption'!$V$38:$V$55</c:f>
              <c:strCache>
                <c:ptCount val="18"/>
                <c:pt idx="0">
                  <c:v>Finland (2.52 °C)</c:v>
                </c:pt>
                <c:pt idx="1">
                  <c:v>Switzerland (6.08°C)</c:v>
                </c:pt>
                <c:pt idx="2">
                  <c:v>China (7.1 °C)</c:v>
                </c:pt>
                <c:pt idx="3">
                  <c:v>Austria (7.25 °C)</c:v>
                </c:pt>
                <c:pt idx="4">
                  <c:v>USA (7.63 °C)</c:v>
                </c:pt>
                <c:pt idx="5">
                  <c:v>Denmark (8.76 °C)</c:v>
                </c:pt>
                <c:pt idx="6">
                  <c:v>Poland (8.85 °C)</c:v>
                </c:pt>
                <c:pt idx="7">
                  <c:v>UK (9.07 °C)</c:v>
                </c:pt>
                <c:pt idx="8">
                  <c:v>Slovenia (9.58 °C)</c:v>
                </c:pt>
                <c:pt idx="9">
                  <c:v>Germany (9.63 °C)</c:v>
                </c:pt>
                <c:pt idx="10">
                  <c:v>The Netherlands (10.4 °C)</c:v>
                </c:pt>
                <c:pt idx="11">
                  <c:v>Japan (11.13 °C)</c:v>
                </c:pt>
                <c:pt idx="12">
                  <c:v>France (11.69 °C)</c:v>
                </c:pt>
                <c:pt idx="13">
                  <c:v>Italy (12.81 °C)</c:v>
                </c:pt>
                <c:pt idx="14">
                  <c:v>Spain (13.93 °C)</c:v>
                </c:pt>
                <c:pt idx="15">
                  <c:v>Australia (21.94 °C)</c:v>
                </c:pt>
                <c:pt idx="16">
                  <c:v>India (24.68 °C)</c:v>
                </c:pt>
                <c:pt idx="17">
                  <c:v>Brazil (25.51 °C)</c:v>
                </c:pt>
              </c:strCache>
            </c:strRef>
          </c:cat>
          <c:val>
            <c:numRef>
              <c:f>'Energy consumption'!$Z$38:$Z$55</c:f>
              <c:numCache>
                <c:formatCode>General</c:formatCode>
                <c:ptCount val="18"/>
                <c:pt idx="0">
                  <c:v>270</c:v>
                </c:pt>
                <c:pt idx="1">
                  <c:v>278</c:v>
                </c:pt>
                <c:pt idx="2">
                  <c:v>280</c:v>
                </c:pt>
                <c:pt idx="3">
                  <c:v>281</c:v>
                </c:pt>
                <c:pt idx="4">
                  <c:v>282</c:v>
                </c:pt>
                <c:pt idx="5">
                  <c:v>285</c:v>
                </c:pt>
                <c:pt idx="6">
                  <c:v>285</c:v>
                </c:pt>
                <c:pt idx="7">
                  <c:v>285</c:v>
                </c:pt>
                <c:pt idx="8">
                  <c:v>286</c:v>
                </c:pt>
                <c:pt idx="9">
                  <c:v>287</c:v>
                </c:pt>
                <c:pt idx="10">
                  <c:v>289</c:v>
                </c:pt>
                <c:pt idx="11">
                  <c:v>290</c:v>
                </c:pt>
                <c:pt idx="12">
                  <c:v>292</c:v>
                </c:pt>
                <c:pt idx="13">
                  <c:v>294</c:v>
                </c:pt>
                <c:pt idx="14">
                  <c:v>297</c:v>
                </c:pt>
                <c:pt idx="15">
                  <c:v>314</c:v>
                </c:pt>
                <c:pt idx="16">
                  <c:v>325</c:v>
                </c:pt>
                <c:pt idx="17">
                  <c:v>328</c:v>
                </c:pt>
              </c:numCache>
            </c:numRef>
          </c:val>
          <c:extLst>
            <c:ext xmlns:c16="http://schemas.microsoft.com/office/drawing/2014/chart" uri="{C3380CC4-5D6E-409C-BE32-E72D297353CC}">
              <c16:uniqueId val="{00000003-5342-4033-9CD2-3BF0A1AD3068}"/>
            </c:ext>
          </c:extLst>
        </c:ser>
        <c:ser>
          <c:idx val="4"/>
          <c:order val="4"/>
          <c:tx>
            <c:strRef>
              <c:f>'Energy consumption'!$AA$37</c:f>
              <c:strCache>
                <c:ptCount val="1"/>
                <c:pt idx="0">
                  <c:v>APDES-NFC-FD</c:v>
                </c:pt>
              </c:strCache>
            </c:strRef>
          </c:tx>
          <c:spPr>
            <a:solidFill>
              <a:schemeClr val="accent5"/>
            </a:solidFill>
            <a:ln>
              <a:noFill/>
            </a:ln>
            <a:effectLst/>
          </c:spPr>
          <c:invertIfNegative val="0"/>
          <c:cat>
            <c:strRef>
              <c:f>'Energy consumption'!$V$38:$V$55</c:f>
              <c:strCache>
                <c:ptCount val="18"/>
                <c:pt idx="0">
                  <c:v>Finland (2.52 °C)</c:v>
                </c:pt>
                <c:pt idx="1">
                  <c:v>Switzerland (6.08°C)</c:v>
                </c:pt>
                <c:pt idx="2">
                  <c:v>China (7.1 °C)</c:v>
                </c:pt>
                <c:pt idx="3">
                  <c:v>Austria (7.25 °C)</c:v>
                </c:pt>
                <c:pt idx="4">
                  <c:v>USA (7.63 °C)</c:v>
                </c:pt>
                <c:pt idx="5">
                  <c:v>Denmark (8.76 °C)</c:v>
                </c:pt>
                <c:pt idx="6">
                  <c:v>Poland (8.85 °C)</c:v>
                </c:pt>
                <c:pt idx="7">
                  <c:v>UK (9.07 °C)</c:v>
                </c:pt>
                <c:pt idx="8">
                  <c:v>Slovenia (9.58 °C)</c:v>
                </c:pt>
                <c:pt idx="9">
                  <c:v>Germany (9.63 °C)</c:v>
                </c:pt>
                <c:pt idx="10">
                  <c:v>The Netherlands (10.4 °C)</c:v>
                </c:pt>
                <c:pt idx="11">
                  <c:v>Japan (11.13 °C)</c:v>
                </c:pt>
                <c:pt idx="12">
                  <c:v>France (11.69 °C)</c:v>
                </c:pt>
                <c:pt idx="13">
                  <c:v>Italy (12.81 °C)</c:v>
                </c:pt>
                <c:pt idx="14">
                  <c:v>Spain (13.93 °C)</c:v>
                </c:pt>
                <c:pt idx="15">
                  <c:v>Australia (21.94 °C)</c:v>
                </c:pt>
                <c:pt idx="16">
                  <c:v>India (24.68 °C)</c:v>
                </c:pt>
                <c:pt idx="17">
                  <c:v>Brazil (25.51 °C)</c:v>
                </c:pt>
              </c:strCache>
            </c:strRef>
          </c:cat>
          <c:val>
            <c:numRef>
              <c:f>'Energy consumption'!$AA$38:$AA$55</c:f>
              <c:numCache>
                <c:formatCode>General</c:formatCode>
                <c:ptCount val="18"/>
                <c:pt idx="0">
                  <c:v>237</c:v>
                </c:pt>
                <c:pt idx="1">
                  <c:v>243</c:v>
                </c:pt>
                <c:pt idx="2">
                  <c:v>245</c:v>
                </c:pt>
                <c:pt idx="3">
                  <c:v>246</c:v>
                </c:pt>
                <c:pt idx="4">
                  <c:v>246</c:v>
                </c:pt>
                <c:pt idx="5">
                  <c:v>248</c:v>
                </c:pt>
                <c:pt idx="6">
                  <c:v>248</c:v>
                </c:pt>
                <c:pt idx="7">
                  <c:v>249</c:v>
                </c:pt>
                <c:pt idx="8">
                  <c:v>250</c:v>
                </c:pt>
                <c:pt idx="9">
                  <c:v>250</c:v>
                </c:pt>
                <c:pt idx="10">
                  <c:v>251</c:v>
                </c:pt>
                <c:pt idx="11">
                  <c:v>253</c:v>
                </c:pt>
                <c:pt idx="12">
                  <c:v>254</c:v>
                </c:pt>
                <c:pt idx="13">
                  <c:v>256</c:v>
                </c:pt>
                <c:pt idx="14">
                  <c:v>258</c:v>
                </c:pt>
                <c:pt idx="15">
                  <c:v>276</c:v>
                </c:pt>
                <c:pt idx="16">
                  <c:v>282</c:v>
                </c:pt>
                <c:pt idx="17">
                  <c:v>285</c:v>
                </c:pt>
              </c:numCache>
            </c:numRef>
          </c:val>
          <c:extLst>
            <c:ext xmlns:c16="http://schemas.microsoft.com/office/drawing/2014/chart" uri="{C3380CC4-5D6E-409C-BE32-E72D297353CC}">
              <c16:uniqueId val="{00000004-5342-4033-9CD2-3BF0A1AD3068}"/>
            </c:ext>
          </c:extLst>
        </c:ser>
        <c:dLbls>
          <c:showLegendKey val="0"/>
          <c:showVal val="0"/>
          <c:showCatName val="0"/>
          <c:showSerName val="0"/>
          <c:showPercent val="0"/>
          <c:showBubbleSize val="0"/>
        </c:dLbls>
        <c:gapWidth val="182"/>
        <c:axId val="2089930991"/>
        <c:axId val="2089911439"/>
      </c:barChart>
      <c:catAx>
        <c:axId val="2089930991"/>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it-IT" sz="900">
                    <a:solidFill>
                      <a:schemeClr val="tx1"/>
                    </a:solidFill>
                    <a:latin typeface="Arial" panose="020B0604020202020204" pitchFamily="34" charset="0"/>
                    <a:cs typeface="Arial" panose="020B0604020202020204" pitchFamily="34" charset="0"/>
                  </a:rPr>
                  <a:t>Country/Air temperature</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crossAx val="2089911439"/>
        <c:crosses val="autoZero"/>
        <c:auto val="1"/>
        <c:lblAlgn val="ctr"/>
        <c:lblOffset val="100"/>
        <c:noMultiLvlLbl val="0"/>
      </c:catAx>
      <c:valAx>
        <c:axId val="208991143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en-GB" sz="900" b="0" i="0" u="none" strike="noStrike" baseline="0">
                    <a:solidFill>
                      <a:schemeClr val="tx1"/>
                    </a:solidFill>
                    <a:effectLst/>
                    <a:latin typeface="Arial" panose="020B0604020202020204" pitchFamily="34" charset="0"/>
                    <a:cs typeface="Arial" panose="020B0604020202020204" pitchFamily="34" charset="0"/>
                  </a:rPr>
                  <a:t>Electrical energy consumption (kWh</a:t>
                </a:r>
                <a:r>
                  <a:rPr lang="en-GB" sz="900" b="0" i="0" u="none" strike="noStrike" baseline="-25000">
                    <a:solidFill>
                      <a:schemeClr val="tx1"/>
                    </a:solidFill>
                    <a:effectLst/>
                    <a:latin typeface="Arial" panose="020B0604020202020204" pitchFamily="34" charset="0"/>
                    <a:cs typeface="Arial" panose="020B0604020202020204" pitchFamily="34" charset="0"/>
                  </a:rPr>
                  <a:t>el</a:t>
                </a:r>
                <a:r>
                  <a:rPr lang="en-GB" sz="900" b="0" i="0" u="none" strike="noStrike" baseline="0">
                    <a:solidFill>
                      <a:schemeClr val="tx1"/>
                    </a:solidFill>
                    <a:effectLst/>
                    <a:latin typeface="Arial" panose="020B0604020202020204" pitchFamily="34" charset="0"/>
                    <a:cs typeface="Arial" panose="020B0604020202020204" pitchFamily="34" charset="0"/>
                  </a:rPr>
                  <a:t>/tCO</a:t>
                </a:r>
                <a:r>
                  <a:rPr lang="en-GB" sz="900" b="0" i="0" u="none" strike="noStrike" baseline="-25000">
                    <a:solidFill>
                      <a:schemeClr val="tx1"/>
                    </a:solidFill>
                    <a:effectLst/>
                    <a:latin typeface="Arial" panose="020B0604020202020204" pitchFamily="34" charset="0"/>
                    <a:cs typeface="Arial" panose="020B0604020202020204" pitchFamily="34" charset="0"/>
                  </a:rPr>
                  <a:t>2</a:t>
                </a:r>
                <a:r>
                  <a:rPr lang="en-GB" sz="900" b="0" i="0" u="none" strike="noStrike" baseline="0">
                    <a:solidFill>
                      <a:schemeClr val="tx1"/>
                    </a:solidFill>
                    <a:effectLst/>
                    <a:latin typeface="Arial" panose="020B0604020202020204" pitchFamily="34" charset="0"/>
                    <a:cs typeface="Arial" panose="020B0604020202020204" pitchFamily="34" charset="0"/>
                  </a:rPr>
                  <a:t> captured)</a:t>
                </a:r>
                <a:endParaRPr lang="it-IT" sz="900">
                  <a:solidFill>
                    <a:schemeClr val="tx1"/>
                  </a:solidFill>
                  <a:latin typeface="Arial" panose="020B0604020202020204" pitchFamily="34" charset="0"/>
                  <a:cs typeface="Arial" panose="020B0604020202020204" pitchFamily="34" charset="0"/>
                </a:endParaRPr>
              </a:p>
            </c:rich>
          </c:tx>
          <c:layout>
            <c:manualLayout>
              <c:xMode val="edge"/>
              <c:yMode val="edge"/>
              <c:x val="0.31799562303995671"/>
              <c:y val="0.9130925272529741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crossAx val="208993099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57518847187461"/>
          <c:y val="3.6727879799666109E-2"/>
          <c:w val="0.45961992886771708"/>
          <c:h val="0.82122435029511132"/>
        </c:manualLayout>
      </c:layout>
      <c:barChart>
        <c:barDir val="bar"/>
        <c:grouping val="clustered"/>
        <c:varyColors val="0"/>
        <c:ser>
          <c:idx val="0"/>
          <c:order val="0"/>
          <c:tx>
            <c:strRef>
              <c:f>'Energy consumption'!$AE$37</c:f>
              <c:strCache>
                <c:ptCount val="1"/>
                <c:pt idx="0">
                  <c:v>MOF-5 [*100]</c:v>
                </c:pt>
              </c:strCache>
            </c:strRef>
          </c:tx>
          <c:spPr>
            <a:solidFill>
              <a:schemeClr val="accent1"/>
            </a:solidFill>
            <a:ln>
              <a:noFill/>
            </a:ln>
            <a:effectLst/>
          </c:spPr>
          <c:invertIfNegative val="0"/>
          <c:cat>
            <c:strRef>
              <c:f>'Energy consumption'!$AD$38:$AD$55</c:f>
              <c:strCache>
                <c:ptCount val="18"/>
                <c:pt idx="0">
                  <c:v>Finland (2.52 °C)</c:v>
                </c:pt>
                <c:pt idx="1">
                  <c:v>Switzerland (6.08°C)</c:v>
                </c:pt>
                <c:pt idx="2">
                  <c:v>China (7.1 °C)</c:v>
                </c:pt>
                <c:pt idx="3">
                  <c:v>Austria (7.25 °C)</c:v>
                </c:pt>
                <c:pt idx="4">
                  <c:v>USA (7.63 °C)</c:v>
                </c:pt>
                <c:pt idx="5">
                  <c:v>Denmark (8.76 °C)</c:v>
                </c:pt>
                <c:pt idx="6">
                  <c:v>Poland (8.85 °C)</c:v>
                </c:pt>
                <c:pt idx="7">
                  <c:v>UK (9.07 °C)</c:v>
                </c:pt>
                <c:pt idx="8">
                  <c:v>Slovenia (9.58 °C)</c:v>
                </c:pt>
                <c:pt idx="9">
                  <c:v>Germany (9.63 °C)</c:v>
                </c:pt>
                <c:pt idx="10">
                  <c:v>The Netherlands (10.4 °C)</c:v>
                </c:pt>
                <c:pt idx="11">
                  <c:v>Japan (11.13 °C)</c:v>
                </c:pt>
                <c:pt idx="12">
                  <c:v>France (11.69 °C)</c:v>
                </c:pt>
                <c:pt idx="13">
                  <c:v>Italy (12.81 °C)</c:v>
                </c:pt>
                <c:pt idx="14">
                  <c:v>Spain (13.93 °C)</c:v>
                </c:pt>
                <c:pt idx="15">
                  <c:v>Australia (21.94 °C)</c:v>
                </c:pt>
                <c:pt idx="16">
                  <c:v>India (24.68 °C)</c:v>
                </c:pt>
                <c:pt idx="17">
                  <c:v>Brazil (25.51 °C)</c:v>
                </c:pt>
              </c:strCache>
            </c:strRef>
          </c:cat>
          <c:val>
            <c:numRef>
              <c:f>'Energy consumption'!$AE$38:$AE$55</c:f>
              <c:numCache>
                <c:formatCode>General</c:formatCode>
                <c:ptCount val="18"/>
                <c:pt idx="0">
                  <c:v>1950</c:v>
                </c:pt>
                <c:pt idx="1">
                  <c:v>2290</c:v>
                </c:pt>
                <c:pt idx="2">
                  <c:v>2400</c:v>
                </c:pt>
                <c:pt idx="3">
                  <c:v>2410</c:v>
                </c:pt>
                <c:pt idx="4">
                  <c:v>2450</c:v>
                </c:pt>
                <c:pt idx="5">
                  <c:v>2580</c:v>
                </c:pt>
                <c:pt idx="6">
                  <c:v>2590</c:v>
                </c:pt>
                <c:pt idx="7">
                  <c:v>2610</c:v>
                </c:pt>
                <c:pt idx="8">
                  <c:v>2670</c:v>
                </c:pt>
                <c:pt idx="9">
                  <c:v>2680</c:v>
                </c:pt>
                <c:pt idx="10">
                  <c:v>2770</c:v>
                </c:pt>
                <c:pt idx="11">
                  <c:v>2850</c:v>
                </c:pt>
                <c:pt idx="12">
                  <c:v>2920</c:v>
                </c:pt>
                <c:pt idx="13">
                  <c:v>3060</c:v>
                </c:pt>
                <c:pt idx="14">
                  <c:v>3200</c:v>
                </c:pt>
                <c:pt idx="15">
                  <c:v>4380</c:v>
                </c:pt>
                <c:pt idx="16">
                  <c:v>4840</c:v>
                </c:pt>
                <c:pt idx="17">
                  <c:v>4980</c:v>
                </c:pt>
              </c:numCache>
            </c:numRef>
          </c:val>
          <c:extLst>
            <c:ext xmlns:c16="http://schemas.microsoft.com/office/drawing/2014/chart" uri="{C3380CC4-5D6E-409C-BE32-E72D297353CC}">
              <c16:uniqueId val="{00000000-3088-47F0-9EDD-D32653B6B2EF}"/>
            </c:ext>
          </c:extLst>
        </c:ser>
        <c:ser>
          <c:idx val="1"/>
          <c:order val="1"/>
          <c:tx>
            <c:strRef>
              <c:f>'Energy consumption'!$AF$37</c:f>
              <c:strCache>
                <c:ptCount val="1"/>
                <c:pt idx="0">
                  <c:v>MOF-177 [*1000] </c:v>
                </c:pt>
              </c:strCache>
            </c:strRef>
          </c:tx>
          <c:spPr>
            <a:solidFill>
              <a:schemeClr val="accent2"/>
            </a:solidFill>
            <a:ln>
              <a:noFill/>
            </a:ln>
            <a:effectLst/>
          </c:spPr>
          <c:invertIfNegative val="0"/>
          <c:cat>
            <c:strRef>
              <c:f>'Energy consumption'!$AD$38:$AD$55</c:f>
              <c:strCache>
                <c:ptCount val="18"/>
                <c:pt idx="0">
                  <c:v>Finland (2.52 °C)</c:v>
                </c:pt>
                <c:pt idx="1">
                  <c:v>Switzerland (6.08°C)</c:v>
                </c:pt>
                <c:pt idx="2">
                  <c:v>China (7.1 °C)</c:v>
                </c:pt>
                <c:pt idx="3">
                  <c:v>Austria (7.25 °C)</c:v>
                </c:pt>
                <c:pt idx="4">
                  <c:v>USA (7.63 °C)</c:v>
                </c:pt>
                <c:pt idx="5">
                  <c:v>Denmark (8.76 °C)</c:v>
                </c:pt>
                <c:pt idx="6">
                  <c:v>Poland (8.85 °C)</c:v>
                </c:pt>
                <c:pt idx="7">
                  <c:v>UK (9.07 °C)</c:v>
                </c:pt>
                <c:pt idx="8">
                  <c:v>Slovenia (9.58 °C)</c:v>
                </c:pt>
                <c:pt idx="9">
                  <c:v>Germany (9.63 °C)</c:v>
                </c:pt>
                <c:pt idx="10">
                  <c:v>The Netherlands (10.4 °C)</c:v>
                </c:pt>
                <c:pt idx="11">
                  <c:v>Japan (11.13 °C)</c:v>
                </c:pt>
                <c:pt idx="12">
                  <c:v>France (11.69 °C)</c:v>
                </c:pt>
                <c:pt idx="13">
                  <c:v>Italy (12.81 °C)</c:v>
                </c:pt>
                <c:pt idx="14">
                  <c:v>Spain (13.93 °C)</c:v>
                </c:pt>
                <c:pt idx="15">
                  <c:v>Australia (21.94 °C)</c:v>
                </c:pt>
                <c:pt idx="16">
                  <c:v>India (24.68 °C)</c:v>
                </c:pt>
                <c:pt idx="17">
                  <c:v>Brazil (25.51 °C)</c:v>
                </c:pt>
              </c:strCache>
            </c:strRef>
          </c:cat>
          <c:val>
            <c:numRef>
              <c:f>'Energy consumption'!$AF$38:$AF$55</c:f>
              <c:numCache>
                <c:formatCode>General</c:formatCode>
                <c:ptCount val="18"/>
                <c:pt idx="0">
                  <c:v>1000</c:v>
                </c:pt>
                <c:pt idx="1">
                  <c:v>1050</c:v>
                </c:pt>
                <c:pt idx="2">
                  <c:v>1070</c:v>
                </c:pt>
                <c:pt idx="3">
                  <c:v>1070</c:v>
                </c:pt>
                <c:pt idx="4">
                  <c:v>1070</c:v>
                </c:pt>
                <c:pt idx="5">
                  <c:v>1090</c:v>
                </c:pt>
                <c:pt idx="6">
                  <c:v>1090</c:v>
                </c:pt>
                <c:pt idx="7">
                  <c:v>1090</c:v>
                </c:pt>
                <c:pt idx="8">
                  <c:v>1100</c:v>
                </c:pt>
                <c:pt idx="9">
                  <c:v>1100</c:v>
                </c:pt>
                <c:pt idx="10">
                  <c:v>1110</c:v>
                </c:pt>
                <c:pt idx="11">
                  <c:v>1120</c:v>
                </c:pt>
                <c:pt idx="12">
                  <c:v>1130</c:v>
                </c:pt>
                <c:pt idx="13">
                  <c:v>1150</c:v>
                </c:pt>
                <c:pt idx="14">
                  <c:v>1160</c:v>
                </c:pt>
                <c:pt idx="15">
                  <c:v>1260</c:v>
                </c:pt>
                <c:pt idx="16">
                  <c:v>1290</c:v>
                </c:pt>
                <c:pt idx="17">
                  <c:v>1300</c:v>
                </c:pt>
              </c:numCache>
            </c:numRef>
          </c:val>
          <c:extLst>
            <c:ext xmlns:c16="http://schemas.microsoft.com/office/drawing/2014/chart" uri="{C3380CC4-5D6E-409C-BE32-E72D297353CC}">
              <c16:uniqueId val="{00000001-3088-47F0-9EDD-D32653B6B2EF}"/>
            </c:ext>
          </c:extLst>
        </c:ser>
        <c:ser>
          <c:idx val="2"/>
          <c:order val="2"/>
          <c:tx>
            <c:strRef>
              <c:f>'Energy consumption'!$AG$37</c:f>
              <c:strCache>
                <c:ptCount val="1"/>
                <c:pt idx="0">
                  <c:v>MIL-101 [*1000]</c:v>
                </c:pt>
              </c:strCache>
            </c:strRef>
          </c:tx>
          <c:spPr>
            <a:solidFill>
              <a:schemeClr val="accent3"/>
            </a:solidFill>
            <a:ln>
              <a:noFill/>
            </a:ln>
            <a:effectLst/>
          </c:spPr>
          <c:invertIfNegative val="0"/>
          <c:cat>
            <c:strRef>
              <c:f>'Energy consumption'!$AD$38:$AD$55</c:f>
              <c:strCache>
                <c:ptCount val="18"/>
                <c:pt idx="0">
                  <c:v>Finland (2.52 °C)</c:v>
                </c:pt>
                <c:pt idx="1">
                  <c:v>Switzerland (6.08°C)</c:v>
                </c:pt>
                <c:pt idx="2">
                  <c:v>China (7.1 °C)</c:v>
                </c:pt>
                <c:pt idx="3">
                  <c:v>Austria (7.25 °C)</c:v>
                </c:pt>
                <c:pt idx="4">
                  <c:v>USA (7.63 °C)</c:v>
                </c:pt>
                <c:pt idx="5">
                  <c:v>Denmark (8.76 °C)</c:v>
                </c:pt>
                <c:pt idx="6">
                  <c:v>Poland (8.85 °C)</c:v>
                </c:pt>
                <c:pt idx="7">
                  <c:v>UK (9.07 °C)</c:v>
                </c:pt>
                <c:pt idx="8">
                  <c:v>Slovenia (9.58 °C)</c:v>
                </c:pt>
                <c:pt idx="9">
                  <c:v>Germany (9.63 °C)</c:v>
                </c:pt>
                <c:pt idx="10">
                  <c:v>The Netherlands (10.4 °C)</c:v>
                </c:pt>
                <c:pt idx="11">
                  <c:v>Japan (11.13 °C)</c:v>
                </c:pt>
                <c:pt idx="12">
                  <c:v>France (11.69 °C)</c:v>
                </c:pt>
                <c:pt idx="13">
                  <c:v>Italy (12.81 °C)</c:v>
                </c:pt>
                <c:pt idx="14">
                  <c:v>Spain (13.93 °C)</c:v>
                </c:pt>
                <c:pt idx="15">
                  <c:v>Australia (21.94 °C)</c:v>
                </c:pt>
                <c:pt idx="16">
                  <c:v>India (24.68 °C)</c:v>
                </c:pt>
                <c:pt idx="17">
                  <c:v>Brazil (25.51 °C)</c:v>
                </c:pt>
              </c:strCache>
            </c:strRef>
          </c:cat>
          <c:val>
            <c:numRef>
              <c:f>'Energy consumption'!$AG$38:$AG$55</c:f>
              <c:numCache>
                <c:formatCode>General</c:formatCode>
                <c:ptCount val="18"/>
                <c:pt idx="0">
                  <c:v>954</c:v>
                </c:pt>
                <c:pt idx="1">
                  <c:v>1000</c:v>
                </c:pt>
                <c:pt idx="2">
                  <c:v>1010</c:v>
                </c:pt>
                <c:pt idx="3">
                  <c:v>1010</c:v>
                </c:pt>
                <c:pt idx="4">
                  <c:v>1020</c:v>
                </c:pt>
                <c:pt idx="5">
                  <c:v>1030</c:v>
                </c:pt>
                <c:pt idx="6">
                  <c:v>1030</c:v>
                </c:pt>
                <c:pt idx="7">
                  <c:v>1040</c:v>
                </c:pt>
                <c:pt idx="8">
                  <c:v>1040</c:v>
                </c:pt>
                <c:pt idx="9">
                  <c:v>1040</c:v>
                </c:pt>
                <c:pt idx="10">
                  <c:v>1050</c:v>
                </c:pt>
                <c:pt idx="11">
                  <c:v>1060</c:v>
                </c:pt>
                <c:pt idx="12">
                  <c:v>1070</c:v>
                </c:pt>
                <c:pt idx="13">
                  <c:v>1080</c:v>
                </c:pt>
                <c:pt idx="14">
                  <c:v>1100</c:v>
                </c:pt>
                <c:pt idx="15">
                  <c:v>1190</c:v>
                </c:pt>
                <c:pt idx="16">
                  <c:v>1220</c:v>
                </c:pt>
                <c:pt idx="17">
                  <c:v>1230</c:v>
                </c:pt>
              </c:numCache>
            </c:numRef>
          </c:val>
          <c:extLst>
            <c:ext xmlns:c16="http://schemas.microsoft.com/office/drawing/2014/chart" uri="{C3380CC4-5D6E-409C-BE32-E72D297353CC}">
              <c16:uniqueId val="{00000002-3088-47F0-9EDD-D32653B6B2EF}"/>
            </c:ext>
          </c:extLst>
        </c:ser>
        <c:ser>
          <c:idx val="3"/>
          <c:order val="3"/>
          <c:tx>
            <c:strRef>
              <c:f>'Energy consumption'!$AH$37</c:f>
              <c:strCache>
                <c:ptCount val="1"/>
                <c:pt idx="0">
                  <c:v>SI-AEATPMS</c:v>
                </c:pt>
              </c:strCache>
            </c:strRef>
          </c:tx>
          <c:spPr>
            <a:solidFill>
              <a:schemeClr val="accent4"/>
            </a:solidFill>
            <a:ln>
              <a:noFill/>
            </a:ln>
            <a:effectLst/>
          </c:spPr>
          <c:invertIfNegative val="0"/>
          <c:cat>
            <c:strRef>
              <c:f>'Energy consumption'!$AD$38:$AD$55</c:f>
              <c:strCache>
                <c:ptCount val="18"/>
                <c:pt idx="0">
                  <c:v>Finland (2.52 °C)</c:v>
                </c:pt>
                <c:pt idx="1">
                  <c:v>Switzerland (6.08°C)</c:v>
                </c:pt>
                <c:pt idx="2">
                  <c:v>China (7.1 °C)</c:v>
                </c:pt>
                <c:pt idx="3">
                  <c:v>Austria (7.25 °C)</c:v>
                </c:pt>
                <c:pt idx="4">
                  <c:v>USA (7.63 °C)</c:v>
                </c:pt>
                <c:pt idx="5">
                  <c:v>Denmark (8.76 °C)</c:v>
                </c:pt>
                <c:pt idx="6">
                  <c:v>Poland (8.85 °C)</c:v>
                </c:pt>
                <c:pt idx="7">
                  <c:v>UK (9.07 °C)</c:v>
                </c:pt>
                <c:pt idx="8">
                  <c:v>Slovenia (9.58 °C)</c:v>
                </c:pt>
                <c:pt idx="9">
                  <c:v>Germany (9.63 °C)</c:v>
                </c:pt>
                <c:pt idx="10">
                  <c:v>The Netherlands (10.4 °C)</c:v>
                </c:pt>
                <c:pt idx="11">
                  <c:v>Japan (11.13 °C)</c:v>
                </c:pt>
                <c:pt idx="12">
                  <c:v>France (11.69 °C)</c:v>
                </c:pt>
                <c:pt idx="13">
                  <c:v>Italy (12.81 °C)</c:v>
                </c:pt>
                <c:pt idx="14">
                  <c:v>Spain (13.93 °C)</c:v>
                </c:pt>
                <c:pt idx="15">
                  <c:v>Australia (21.94 °C)</c:v>
                </c:pt>
                <c:pt idx="16">
                  <c:v>India (24.68 °C)</c:v>
                </c:pt>
                <c:pt idx="17">
                  <c:v>Brazil (25.51 °C)</c:v>
                </c:pt>
              </c:strCache>
            </c:strRef>
          </c:cat>
          <c:val>
            <c:numRef>
              <c:f>'Energy consumption'!$AH$38:$AH$55</c:f>
              <c:numCache>
                <c:formatCode>0</c:formatCode>
                <c:ptCount val="18"/>
                <c:pt idx="0">
                  <c:v>2030</c:v>
                </c:pt>
                <c:pt idx="1">
                  <c:v>2080</c:v>
                </c:pt>
                <c:pt idx="2">
                  <c:v>2090</c:v>
                </c:pt>
                <c:pt idx="3">
                  <c:v>2090</c:v>
                </c:pt>
                <c:pt idx="4">
                  <c:v>2100</c:v>
                </c:pt>
                <c:pt idx="5">
                  <c:v>2110</c:v>
                </c:pt>
                <c:pt idx="6">
                  <c:v>2110</c:v>
                </c:pt>
                <c:pt idx="7">
                  <c:v>2120</c:v>
                </c:pt>
                <c:pt idx="8">
                  <c:v>2120</c:v>
                </c:pt>
                <c:pt idx="9">
                  <c:v>2120</c:v>
                </c:pt>
                <c:pt idx="10">
                  <c:v>2140</c:v>
                </c:pt>
                <c:pt idx="11">
                  <c:v>2150</c:v>
                </c:pt>
                <c:pt idx="12">
                  <c:v>2160</c:v>
                </c:pt>
                <c:pt idx="13">
                  <c:v>2170</c:v>
                </c:pt>
                <c:pt idx="14">
                  <c:v>2190</c:v>
                </c:pt>
                <c:pt idx="15">
                  <c:v>2350</c:v>
                </c:pt>
                <c:pt idx="16">
                  <c:v>2410</c:v>
                </c:pt>
                <c:pt idx="17">
                  <c:v>2440</c:v>
                </c:pt>
              </c:numCache>
            </c:numRef>
          </c:val>
          <c:extLst>
            <c:ext xmlns:c16="http://schemas.microsoft.com/office/drawing/2014/chart" uri="{C3380CC4-5D6E-409C-BE32-E72D297353CC}">
              <c16:uniqueId val="{00000003-3088-47F0-9EDD-D32653B6B2EF}"/>
            </c:ext>
          </c:extLst>
        </c:ser>
        <c:ser>
          <c:idx val="4"/>
          <c:order val="4"/>
          <c:tx>
            <c:strRef>
              <c:f>'Energy consumption'!$AI$37</c:f>
              <c:strCache>
                <c:ptCount val="1"/>
                <c:pt idx="0">
                  <c:v>APDES-NFC-FD</c:v>
                </c:pt>
              </c:strCache>
            </c:strRef>
          </c:tx>
          <c:spPr>
            <a:solidFill>
              <a:schemeClr val="accent5"/>
            </a:solidFill>
            <a:ln>
              <a:noFill/>
            </a:ln>
            <a:effectLst/>
          </c:spPr>
          <c:invertIfNegative val="0"/>
          <c:cat>
            <c:strRef>
              <c:f>'Energy consumption'!$AD$38:$AD$55</c:f>
              <c:strCache>
                <c:ptCount val="18"/>
                <c:pt idx="0">
                  <c:v>Finland (2.52 °C)</c:v>
                </c:pt>
                <c:pt idx="1">
                  <c:v>Switzerland (6.08°C)</c:v>
                </c:pt>
                <c:pt idx="2">
                  <c:v>China (7.1 °C)</c:v>
                </c:pt>
                <c:pt idx="3">
                  <c:v>Austria (7.25 °C)</c:v>
                </c:pt>
                <c:pt idx="4">
                  <c:v>USA (7.63 °C)</c:v>
                </c:pt>
                <c:pt idx="5">
                  <c:v>Denmark (8.76 °C)</c:v>
                </c:pt>
                <c:pt idx="6">
                  <c:v>Poland (8.85 °C)</c:v>
                </c:pt>
                <c:pt idx="7">
                  <c:v>UK (9.07 °C)</c:v>
                </c:pt>
                <c:pt idx="8">
                  <c:v>Slovenia (9.58 °C)</c:v>
                </c:pt>
                <c:pt idx="9">
                  <c:v>Germany (9.63 °C)</c:v>
                </c:pt>
                <c:pt idx="10">
                  <c:v>The Netherlands (10.4 °C)</c:v>
                </c:pt>
                <c:pt idx="11">
                  <c:v>Japan (11.13 °C)</c:v>
                </c:pt>
                <c:pt idx="12">
                  <c:v>France (11.69 °C)</c:v>
                </c:pt>
                <c:pt idx="13">
                  <c:v>Italy (12.81 °C)</c:v>
                </c:pt>
                <c:pt idx="14">
                  <c:v>Spain (13.93 °C)</c:v>
                </c:pt>
                <c:pt idx="15">
                  <c:v>Australia (21.94 °C)</c:v>
                </c:pt>
                <c:pt idx="16">
                  <c:v>India (24.68 °C)</c:v>
                </c:pt>
                <c:pt idx="17">
                  <c:v>Brazil (25.51 °C)</c:v>
                </c:pt>
              </c:strCache>
            </c:strRef>
          </c:cat>
          <c:val>
            <c:numRef>
              <c:f>'Energy consumption'!$AI$38:$AI$55</c:f>
              <c:numCache>
                <c:formatCode>0</c:formatCode>
                <c:ptCount val="18"/>
                <c:pt idx="0">
                  <c:v>1290</c:v>
                </c:pt>
                <c:pt idx="1">
                  <c:v>1300</c:v>
                </c:pt>
                <c:pt idx="2">
                  <c:v>1300</c:v>
                </c:pt>
                <c:pt idx="3">
                  <c:v>1300</c:v>
                </c:pt>
                <c:pt idx="4">
                  <c:v>1300</c:v>
                </c:pt>
                <c:pt idx="5">
                  <c:v>1310</c:v>
                </c:pt>
                <c:pt idx="6">
                  <c:v>1310</c:v>
                </c:pt>
                <c:pt idx="7">
                  <c:v>1310</c:v>
                </c:pt>
                <c:pt idx="8">
                  <c:v>1310</c:v>
                </c:pt>
                <c:pt idx="9">
                  <c:v>1310</c:v>
                </c:pt>
                <c:pt idx="10">
                  <c:v>1310</c:v>
                </c:pt>
                <c:pt idx="11">
                  <c:v>1320</c:v>
                </c:pt>
                <c:pt idx="12">
                  <c:v>1320</c:v>
                </c:pt>
                <c:pt idx="13">
                  <c:v>1330</c:v>
                </c:pt>
                <c:pt idx="14">
                  <c:v>1330</c:v>
                </c:pt>
                <c:pt idx="15">
                  <c:v>1380</c:v>
                </c:pt>
                <c:pt idx="16">
                  <c:v>1400</c:v>
                </c:pt>
                <c:pt idx="17">
                  <c:v>1410</c:v>
                </c:pt>
              </c:numCache>
            </c:numRef>
          </c:val>
          <c:extLst>
            <c:ext xmlns:c16="http://schemas.microsoft.com/office/drawing/2014/chart" uri="{C3380CC4-5D6E-409C-BE32-E72D297353CC}">
              <c16:uniqueId val="{00000004-3088-47F0-9EDD-D32653B6B2EF}"/>
            </c:ext>
          </c:extLst>
        </c:ser>
        <c:dLbls>
          <c:showLegendKey val="0"/>
          <c:showVal val="0"/>
          <c:showCatName val="0"/>
          <c:showSerName val="0"/>
          <c:showPercent val="0"/>
          <c:showBubbleSize val="0"/>
        </c:dLbls>
        <c:gapWidth val="182"/>
        <c:axId val="1987013455"/>
        <c:axId val="1987011375"/>
      </c:barChart>
      <c:catAx>
        <c:axId val="1987013455"/>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it-IT" sz="900">
                    <a:latin typeface="Arial" panose="020B0604020202020204" pitchFamily="34" charset="0"/>
                    <a:cs typeface="Arial" panose="020B0604020202020204" pitchFamily="34" charset="0"/>
                  </a:rPr>
                  <a:t>Country/Air temperature</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crossAx val="1987011375"/>
        <c:crosses val="autoZero"/>
        <c:auto val="1"/>
        <c:lblAlgn val="ctr"/>
        <c:lblOffset val="100"/>
        <c:noMultiLvlLbl val="0"/>
      </c:catAx>
      <c:valAx>
        <c:axId val="198701137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en-GB" sz="900">
                    <a:latin typeface="Arial" panose="020B0604020202020204" pitchFamily="34" charset="0"/>
                    <a:cs typeface="Arial" panose="020B0604020202020204" pitchFamily="34" charset="0"/>
                  </a:rPr>
                  <a:t>Thermal energy consumption (kWh</a:t>
                </a:r>
                <a:r>
                  <a:rPr lang="en-GB" sz="900" baseline="-25000">
                    <a:latin typeface="Arial" panose="020B0604020202020204" pitchFamily="34" charset="0"/>
                    <a:cs typeface="Arial" panose="020B0604020202020204" pitchFamily="34" charset="0"/>
                  </a:rPr>
                  <a:t>th</a:t>
                </a:r>
                <a:r>
                  <a:rPr lang="en-GB" sz="900">
                    <a:latin typeface="Arial" panose="020B0604020202020204" pitchFamily="34" charset="0"/>
                    <a:cs typeface="Arial" panose="020B0604020202020204" pitchFamily="34" charset="0"/>
                  </a:rPr>
                  <a:t>/tCO</a:t>
                </a:r>
                <a:r>
                  <a:rPr lang="en-GB" sz="900" baseline="-25000">
                    <a:latin typeface="Arial" panose="020B0604020202020204" pitchFamily="34" charset="0"/>
                    <a:cs typeface="Arial" panose="020B0604020202020204" pitchFamily="34" charset="0"/>
                  </a:rPr>
                  <a:t>2</a:t>
                </a:r>
                <a:r>
                  <a:rPr lang="en-GB" sz="900">
                    <a:latin typeface="Arial" panose="020B0604020202020204" pitchFamily="34" charset="0"/>
                    <a:cs typeface="Arial" panose="020B0604020202020204" pitchFamily="34" charset="0"/>
                  </a:rPr>
                  <a:t> captured)</a:t>
                </a:r>
                <a:endParaRPr lang="it-IT" sz="9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t-IT"/>
          </a:p>
        </c:txPr>
        <c:crossAx val="198701345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 (2)'!$Q$11</c:f>
              <c:strCache>
                <c:ptCount val="1"/>
                <c:pt idx="0">
                  <c:v>APDES-NFC-FD</c:v>
                </c:pt>
              </c:strCache>
            </c:strRef>
          </c:tx>
          <c:spPr>
            <a:solidFill>
              <a:schemeClr val="accent1"/>
            </a:solidFill>
            <a:ln>
              <a:noFill/>
            </a:ln>
            <a:effectLst/>
          </c:spPr>
          <c:invertIfNegative val="0"/>
          <c:cat>
            <c:strRef>
              <c:f>'Sheet1 (2)'!$P$12:$P$29</c:f>
              <c:strCache>
                <c:ptCount val="18"/>
                <c:pt idx="0">
                  <c:v>Finland (2.52 °C)</c:v>
                </c:pt>
                <c:pt idx="1">
                  <c:v>Switzerland (6.08°C)</c:v>
                </c:pt>
                <c:pt idx="2">
                  <c:v>China (7.1 °C)</c:v>
                </c:pt>
                <c:pt idx="3">
                  <c:v>Austria (7.25 °C)</c:v>
                </c:pt>
                <c:pt idx="4">
                  <c:v>USA (7.63 °C)</c:v>
                </c:pt>
                <c:pt idx="5">
                  <c:v>Denmark (8.76 °C)</c:v>
                </c:pt>
                <c:pt idx="6">
                  <c:v>Poland (8.85 °C)</c:v>
                </c:pt>
                <c:pt idx="7">
                  <c:v>UK (9.07 °C)</c:v>
                </c:pt>
                <c:pt idx="8">
                  <c:v>Slovenia (9.58 °C)</c:v>
                </c:pt>
                <c:pt idx="9">
                  <c:v>Germany (9.63 °C)</c:v>
                </c:pt>
                <c:pt idx="10">
                  <c:v>The Netherlands (10.4 °C)</c:v>
                </c:pt>
                <c:pt idx="11">
                  <c:v>Japan (11.13 °C)</c:v>
                </c:pt>
                <c:pt idx="12">
                  <c:v>France (11.69 °C)</c:v>
                </c:pt>
                <c:pt idx="13">
                  <c:v>Italy (12.81 °C)</c:v>
                </c:pt>
                <c:pt idx="14">
                  <c:v>Spain (13.93 °C)</c:v>
                </c:pt>
                <c:pt idx="15">
                  <c:v>Australia (21.94 °C)</c:v>
                </c:pt>
                <c:pt idx="16">
                  <c:v>India (24.68 °C)</c:v>
                </c:pt>
                <c:pt idx="17">
                  <c:v>Brazil (25.51 °C)</c:v>
                </c:pt>
              </c:strCache>
            </c:strRef>
          </c:cat>
          <c:val>
            <c:numRef>
              <c:f>'Sheet1 (2)'!$Q$12:$Q$29</c:f>
              <c:numCache>
                <c:formatCode>0</c:formatCode>
                <c:ptCount val="18"/>
                <c:pt idx="0">
                  <c:v>752</c:v>
                </c:pt>
                <c:pt idx="1">
                  <c:v>577</c:v>
                </c:pt>
                <c:pt idx="2">
                  <c:v>872</c:v>
                </c:pt>
                <c:pt idx="3">
                  <c:v>826</c:v>
                </c:pt>
                <c:pt idx="4">
                  <c:v>990</c:v>
                </c:pt>
                <c:pt idx="5">
                  <c:v>797</c:v>
                </c:pt>
                <c:pt idx="6">
                  <c:v>1100</c:v>
                </c:pt>
                <c:pt idx="7">
                  <c:v>837</c:v>
                </c:pt>
                <c:pt idx="8">
                  <c:v>973</c:v>
                </c:pt>
                <c:pt idx="9">
                  <c:v>739</c:v>
                </c:pt>
                <c:pt idx="10">
                  <c:v>1120</c:v>
                </c:pt>
                <c:pt idx="11">
                  <c:v>1370</c:v>
                </c:pt>
                <c:pt idx="12">
                  <c:v>699</c:v>
                </c:pt>
                <c:pt idx="13">
                  <c:v>1080</c:v>
                </c:pt>
                <c:pt idx="14">
                  <c:v>897</c:v>
                </c:pt>
                <c:pt idx="15">
                  <c:v>937</c:v>
                </c:pt>
                <c:pt idx="16">
                  <c:v>1940</c:v>
                </c:pt>
                <c:pt idx="17">
                  <c:v>2000</c:v>
                </c:pt>
              </c:numCache>
            </c:numRef>
          </c:val>
          <c:extLst>
            <c:ext xmlns:c16="http://schemas.microsoft.com/office/drawing/2014/chart" uri="{C3380CC4-5D6E-409C-BE32-E72D297353CC}">
              <c16:uniqueId val="{00000000-358E-4416-B56F-30579DE41D59}"/>
            </c:ext>
          </c:extLst>
        </c:ser>
        <c:ser>
          <c:idx val="1"/>
          <c:order val="1"/>
          <c:tx>
            <c:strRef>
              <c:f>'Sheet1 (2)'!$R$11</c:f>
              <c:strCache>
                <c:ptCount val="1"/>
                <c:pt idx="0">
                  <c:v>SI-AEATPMS </c:v>
                </c:pt>
              </c:strCache>
            </c:strRef>
          </c:tx>
          <c:spPr>
            <a:solidFill>
              <a:schemeClr val="accent2"/>
            </a:solidFill>
            <a:ln>
              <a:noFill/>
            </a:ln>
            <a:effectLst/>
          </c:spPr>
          <c:invertIfNegative val="0"/>
          <c:cat>
            <c:strRef>
              <c:f>'Sheet1 (2)'!$P$12:$P$29</c:f>
              <c:strCache>
                <c:ptCount val="18"/>
                <c:pt idx="0">
                  <c:v>Finland (2.52 °C)</c:v>
                </c:pt>
                <c:pt idx="1">
                  <c:v>Switzerland (6.08°C)</c:v>
                </c:pt>
                <c:pt idx="2">
                  <c:v>China (7.1 °C)</c:v>
                </c:pt>
                <c:pt idx="3">
                  <c:v>Austria (7.25 °C)</c:v>
                </c:pt>
                <c:pt idx="4">
                  <c:v>USA (7.63 °C)</c:v>
                </c:pt>
                <c:pt idx="5">
                  <c:v>Denmark (8.76 °C)</c:v>
                </c:pt>
                <c:pt idx="6">
                  <c:v>Poland (8.85 °C)</c:v>
                </c:pt>
                <c:pt idx="7">
                  <c:v>UK (9.07 °C)</c:v>
                </c:pt>
                <c:pt idx="8">
                  <c:v>Slovenia (9.58 °C)</c:v>
                </c:pt>
                <c:pt idx="9">
                  <c:v>Germany (9.63 °C)</c:v>
                </c:pt>
                <c:pt idx="10">
                  <c:v>The Netherlands (10.4 °C)</c:v>
                </c:pt>
                <c:pt idx="11">
                  <c:v>Japan (11.13 °C)</c:v>
                </c:pt>
                <c:pt idx="12">
                  <c:v>France (11.69 °C)</c:v>
                </c:pt>
                <c:pt idx="13">
                  <c:v>Italy (12.81 °C)</c:v>
                </c:pt>
                <c:pt idx="14">
                  <c:v>Spain (13.93 °C)</c:v>
                </c:pt>
                <c:pt idx="15">
                  <c:v>Australia (21.94 °C)</c:v>
                </c:pt>
                <c:pt idx="16">
                  <c:v>India (24.68 °C)</c:v>
                </c:pt>
                <c:pt idx="17">
                  <c:v>Brazil (25.51 °C)</c:v>
                </c:pt>
              </c:strCache>
            </c:strRef>
          </c:cat>
          <c:val>
            <c:numRef>
              <c:f>'Sheet1 (2)'!$R$12:$R$29</c:f>
              <c:numCache>
                <c:formatCode>0</c:formatCode>
                <c:ptCount val="18"/>
                <c:pt idx="0">
                  <c:v>842</c:v>
                </c:pt>
                <c:pt idx="1">
                  <c:v>624</c:v>
                </c:pt>
                <c:pt idx="2">
                  <c:v>977</c:v>
                </c:pt>
                <c:pt idx="3">
                  <c:v>924</c:v>
                </c:pt>
                <c:pt idx="4">
                  <c:v>1110</c:v>
                </c:pt>
                <c:pt idx="5">
                  <c:v>894</c:v>
                </c:pt>
                <c:pt idx="6">
                  <c:v>1230</c:v>
                </c:pt>
                <c:pt idx="7">
                  <c:v>938</c:v>
                </c:pt>
                <c:pt idx="8">
                  <c:v>1090</c:v>
                </c:pt>
                <c:pt idx="9">
                  <c:v>829</c:v>
                </c:pt>
                <c:pt idx="10">
                  <c:v>1260</c:v>
                </c:pt>
                <c:pt idx="11">
                  <c:v>1540</c:v>
                </c:pt>
                <c:pt idx="12">
                  <c:v>783</c:v>
                </c:pt>
                <c:pt idx="13">
                  <c:v>1210</c:v>
                </c:pt>
                <c:pt idx="14">
                  <c:v>1010</c:v>
                </c:pt>
                <c:pt idx="15">
                  <c:v>1040</c:v>
                </c:pt>
                <c:pt idx="16">
                  <c:v>2150</c:v>
                </c:pt>
                <c:pt idx="17">
                  <c:v>2220</c:v>
                </c:pt>
              </c:numCache>
            </c:numRef>
          </c:val>
          <c:extLst>
            <c:ext xmlns:c16="http://schemas.microsoft.com/office/drawing/2014/chart" uri="{C3380CC4-5D6E-409C-BE32-E72D297353CC}">
              <c16:uniqueId val="{00000001-358E-4416-B56F-30579DE41D59}"/>
            </c:ext>
          </c:extLst>
        </c:ser>
        <c:ser>
          <c:idx val="2"/>
          <c:order val="2"/>
          <c:tx>
            <c:strRef>
              <c:f>'Sheet1 (2)'!$S$11</c:f>
              <c:strCache>
                <c:ptCount val="1"/>
                <c:pt idx="0">
                  <c:v>MIL-101 [*100]</c:v>
                </c:pt>
              </c:strCache>
            </c:strRef>
          </c:tx>
          <c:spPr>
            <a:solidFill>
              <a:schemeClr val="accent3"/>
            </a:solidFill>
            <a:ln>
              <a:noFill/>
            </a:ln>
            <a:effectLst/>
          </c:spPr>
          <c:invertIfNegative val="0"/>
          <c:cat>
            <c:strRef>
              <c:f>'Sheet1 (2)'!$P$12:$P$29</c:f>
              <c:strCache>
                <c:ptCount val="18"/>
                <c:pt idx="0">
                  <c:v>Finland (2.52 °C)</c:v>
                </c:pt>
                <c:pt idx="1">
                  <c:v>Switzerland (6.08°C)</c:v>
                </c:pt>
                <c:pt idx="2">
                  <c:v>China (7.1 °C)</c:v>
                </c:pt>
                <c:pt idx="3">
                  <c:v>Austria (7.25 °C)</c:v>
                </c:pt>
                <c:pt idx="4">
                  <c:v>USA (7.63 °C)</c:v>
                </c:pt>
                <c:pt idx="5">
                  <c:v>Denmark (8.76 °C)</c:v>
                </c:pt>
                <c:pt idx="6">
                  <c:v>Poland (8.85 °C)</c:v>
                </c:pt>
                <c:pt idx="7">
                  <c:v>UK (9.07 °C)</c:v>
                </c:pt>
                <c:pt idx="8">
                  <c:v>Slovenia (9.58 °C)</c:v>
                </c:pt>
                <c:pt idx="9">
                  <c:v>Germany (9.63 °C)</c:v>
                </c:pt>
                <c:pt idx="10">
                  <c:v>The Netherlands (10.4 °C)</c:v>
                </c:pt>
                <c:pt idx="11">
                  <c:v>Japan (11.13 °C)</c:v>
                </c:pt>
                <c:pt idx="12">
                  <c:v>France (11.69 °C)</c:v>
                </c:pt>
                <c:pt idx="13">
                  <c:v>Italy (12.81 °C)</c:v>
                </c:pt>
                <c:pt idx="14">
                  <c:v>Spain (13.93 °C)</c:v>
                </c:pt>
                <c:pt idx="15">
                  <c:v>Australia (21.94 °C)</c:v>
                </c:pt>
                <c:pt idx="16">
                  <c:v>India (24.68 °C)</c:v>
                </c:pt>
                <c:pt idx="17">
                  <c:v>Brazil (25.51 °C)</c:v>
                </c:pt>
              </c:strCache>
            </c:strRef>
          </c:cat>
          <c:val>
            <c:numRef>
              <c:f>'Sheet1 (2)'!$S$12:$S$29</c:f>
              <c:numCache>
                <c:formatCode>0</c:formatCode>
                <c:ptCount val="18"/>
                <c:pt idx="0">
                  <c:v>338</c:v>
                </c:pt>
                <c:pt idx="1">
                  <c:v>271</c:v>
                </c:pt>
                <c:pt idx="2">
                  <c:v>414</c:v>
                </c:pt>
                <c:pt idx="3">
                  <c:v>392</c:v>
                </c:pt>
                <c:pt idx="4">
                  <c:v>473</c:v>
                </c:pt>
                <c:pt idx="5">
                  <c:v>386</c:v>
                </c:pt>
                <c:pt idx="6">
                  <c:v>530</c:v>
                </c:pt>
                <c:pt idx="7">
                  <c:v>406</c:v>
                </c:pt>
                <c:pt idx="8">
                  <c:v>475</c:v>
                </c:pt>
                <c:pt idx="9">
                  <c:v>361</c:v>
                </c:pt>
                <c:pt idx="10">
                  <c:v>551</c:v>
                </c:pt>
                <c:pt idx="11">
                  <c:v>680</c:v>
                </c:pt>
                <c:pt idx="12">
                  <c:v>348</c:v>
                </c:pt>
                <c:pt idx="13">
                  <c:v>542</c:v>
                </c:pt>
                <c:pt idx="14">
                  <c:v>457</c:v>
                </c:pt>
                <c:pt idx="15">
                  <c:v>506</c:v>
                </c:pt>
                <c:pt idx="16">
                  <c:v>1060</c:v>
                </c:pt>
                <c:pt idx="17">
                  <c:v>1100</c:v>
                </c:pt>
              </c:numCache>
            </c:numRef>
          </c:val>
          <c:extLst>
            <c:ext xmlns:c16="http://schemas.microsoft.com/office/drawing/2014/chart" uri="{C3380CC4-5D6E-409C-BE32-E72D297353CC}">
              <c16:uniqueId val="{00000002-358E-4416-B56F-30579DE41D59}"/>
            </c:ext>
          </c:extLst>
        </c:ser>
        <c:ser>
          <c:idx val="3"/>
          <c:order val="3"/>
          <c:tx>
            <c:strRef>
              <c:f>'Sheet1 (2)'!$T$11</c:f>
              <c:strCache>
                <c:ptCount val="1"/>
                <c:pt idx="0">
                  <c:v>MOF-177 [*100]</c:v>
                </c:pt>
              </c:strCache>
            </c:strRef>
          </c:tx>
          <c:spPr>
            <a:solidFill>
              <a:schemeClr val="accent4"/>
            </a:solidFill>
            <a:ln>
              <a:noFill/>
            </a:ln>
            <a:effectLst/>
          </c:spPr>
          <c:invertIfNegative val="0"/>
          <c:cat>
            <c:strRef>
              <c:f>'Sheet1 (2)'!$P$12:$P$29</c:f>
              <c:strCache>
                <c:ptCount val="18"/>
                <c:pt idx="0">
                  <c:v>Finland (2.52 °C)</c:v>
                </c:pt>
                <c:pt idx="1">
                  <c:v>Switzerland (6.08°C)</c:v>
                </c:pt>
                <c:pt idx="2">
                  <c:v>China (7.1 °C)</c:v>
                </c:pt>
                <c:pt idx="3">
                  <c:v>Austria (7.25 °C)</c:v>
                </c:pt>
                <c:pt idx="4">
                  <c:v>USA (7.63 °C)</c:v>
                </c:pt>
                <c:pt idx="5">
                  <c:v>Denmark (8.76 °C)</c:v>
                </c:pt>
                <c:pt idx="6">
                  <c:v>Poland (8.85 °C)</c:v>
                </c:pt>
                <c:pt idx="7">
                  <c:v>UK (9.07 °C)</c:v>
                </c:pt>
                <c:pt idx="8">
                  <c:v>Slovenia (9.58 °C)</c:v>
                </c:pt>
                <c:pt idx="9">
                  <c:v>Germany (9.63 °C)</c:v>
                </c:pt>
                <c:pt idx="10">
                  <c:v>The Netherlands (10.4 °C)</c:v>
                </c:pt>
                <c:pt idx="11">
                  <c:v>Japan (11.13 °C)</c:v>
                </c:pt>
                <c:pt idx="12">
                  <c:v>France (11.69 °C)</c:v>
                </c:pt>
                <c:pt idx="13">
                  <c:v>Italy (12.81 °C)</c:v>
                </c:pt>
                <c:pt idx="14">
                  <c:v>Spain (13.93 °C)</c:v>
                </c:pt>
                <c:pt idx="15">
                  <c:v>Australia (21.94 °C)</c:v>
                </c:pt>
                <c:pt idx="16">
                  <c:v>India (24.68 °C)</c:v>
                </c:pt>
                <c:pt idx="17">
                  <c:v>Brazil (25.51 °C)</c:v>
                </c:pt>
              </c:strCache>
            </c:strRef>
          </c:cat>
          <c:val>
            <c:numRef>
              <c:f>'Sheet1 (2)'!$T$12:$T$29</c:f>
              <c:numCache>
                <c:formatCode>0</c:formatCode>
                <c:ptCount val="18"/>
                <c:pt idx="0">
                  <c:v>196</c:v>
                </c:pt>
                <c:pt idx="1">
                  <c:v>158</c:v>
                </c:pt>
                <c:pt idx="2">
                  <c:v>241</c:v>
                </c:pt>
                <c:pt idx="3">
                  <c:v>229</c:v>
                </c:pt>
                <c:pt idx="4">
                  <c:v>276</c:v>
                </c:pt>
                <c:pt idx="5">
                  <c:v>225</c:v>
                </c:pt>
                <c:pt idx="6">
                  <c:v>309</c:v>
                </c:pt>
                <c:pt idx="7">
                  <c:v>237</c:v>
                </c:pt>
                <c:pt idx="8">
                  <c:v>277</c:v>
                </c:pt>
                <c:pt idx="9">
                  <c:v>211</c:v>
                </c:pt>
                <c:pt idx="10">
                  <c:v>321</c:v>
                </c:pt>
                <c:pt idx="11">
                  <c:v>397</c:v>
                </c:pt>
                <c:pt idx="12">
                  <c:v>203</c:v>
                </c:pt>
                <c:pt idx="13">
                  <c:v>317</c:v>
                </c:pt>
                <c:pt idx="14">
                  <c:v>267</c:v>
                </c:pt>
                <c:pt idx="15">
                  <c:v>296</c:v>
                </c:pt>
                <c:pt idx="16">
                  <c:v>623</c:v>
                </c:pt>
                <c:pt idx="17">
                  <c:v>645</c:v>
                </c:pt>
              </c:numCache>
            </c:numRef>
          </c:val>
          <c:extLst>
            <c:ext xmlns:c16="http://schemas.microsoft.com/office/drawing/2014/chart" uri="{C3380CC4-5D6E-409C-BE32-E72D297353CC}">
              <c16:uniqueId val="{00000003-358E-4416-B56F-30579DE41D59}"/>
            </c:ext>
          </c:extLst>
        </c:ser>
        <c:ser>
          <c:idx val="4"/>
          <c:order val="4"/>
          <c:tx>
            <c:strRef>
              <c:f>'Sheet1 (2)'!$U$11</c:f>
              <c:strCache>
                <c:ptCount val="1"/>
                <c:pt idx="0">
                  <c:v>MOF-5 [*100]</c:v>
                </c:pt>
              </c:strCache>
            </c:strRef>
          </c:tx>
          <c:spPr>
            <a:solidFill>
              <a:schemeClr val="accent5"/>
            </a:solidFill>
            <a:ln>
              <a:noFill/>
            </a:ln>
            <a:effectLst/>
          </c:spPr>
          <c:invertIfNegative val="0"/>
          <c:cat>
            <c:strRef>
              <c:f>'Sheet1 (2)'!$P$12:$P$29</c:f>
              <c:strCache>
                <c:ptCount val="18"/>
                <c:pt idx="0">
                  <c:v>Finland (2.52 °C)</c:v>
                </c:pt>
                <c:pt idx="1">
                  <c:v>Switzerland (6.08°C)</c:v>
                </c:pt>
                <c:pt idx="2">
                  <c:v>China (7.1 °C)</c:v>
                </c:pt>
                <c:pt idx="3">
                  <c:v>Austria (7.25 °C)</c:v>
                </c:pt>
                <c:pt idx="4">
                  <c:v>USA (7.63 °C)</c:v>
                </c:pt>
                <c:pt idx="5">
                  <c:v>Denmark (8.76 °C)</c:v>
                </c:pt>
                <c:pt idx="6">
                  <c:v>Poland (8.85 °C)</c:v>
                </c:pt>
                <c:pt idx="7">
                  <c:v>UK (9.07 °C)</c:v>
                </c:pt>
                <c:pt idx="8">
                  <c:v>Slovenia (9.58 °C)</c:v>
                </c:pt>
                <c:pt idx="9">
                  <c:v>Germany (9.63 °C)</c:v>
                </c:pt>
                <c:pt idx="10">
                  <c:v>The Netherlands (10.4 °C)</c:v>
                </c:pt>
                <c:pt idx="11">
                  <c:v>Japan (11.13 °C)</c:v>
                </c:pt>
                <c:pt idx="12">
                  <c:v>France (11.69 °C)</c:v>
                </c:pt>
                <c:pt idx="13">
                  <c:v>Italy (12.81 °C)</c:v>
                </c:pt>
                <c:pt idx="14">
                  <c:v>Spain (13.93 °C)</c:v>
                </c:pt>
                <c:pt idx="15">
                  <c:v>Australia (21.94 °C)</c:v>
                </c:pt>
                <c:pt idx="16">
                  <c:v>India (24.68 °C)</c:v>
                </c:pt>
                <c:pt idx="17">
                  <c:v>Brazil (25.51 °C)</c:v>
                </c:pt>
              </c:strCache>
            </c:strRef>
          </c:cat>
          <c:val>
            <c:numRef>
              <c:f>'Sheet1 (2)'!$U$12:$U$29</c:f>
              <c:numCache>
                <c:formatCode>0</c:formatCode>
                <c:ptCount val="18"/>
                <c:pt idx="0">
                  <c:v>48.2</c:v>
                </c:pt>
                <c:pt idx="1">
                  <c:v>42.2</c:v>
                </c:pt>
                <c:pt idx="2">
                  <c:v>66</c:v>
                </c:pt>
                <c:pt idx="3">
                  <c:v>62.8</c:v>
                </c:pt>
                <c:pt idx="4">
                  <c:v>76.400000000000006</c:v>
                </c:pt>
                <c:pt idx="5">
                  <c:v>64</c:v>
                </c:pt>
                <c:pt idx="6">
                  <c:v>88.3</c:v>
                </c:pt>
                <c:pt idx="7">
                  <c:v>67.900000000000006</c:v>
                </c:pt>
                <c:pt idx="8">
                  <c:v>80.5</c:v>
                </c:pt>
                <c:pt idx="9">
                  <c:v>61.3</c:v>
                </c:pt>
                <c:pt idx="10">
                  <c:v>95.2</c:v>
                </c:pt>
                <c:pt idx="11">
                  <c:v>120</c:v>
                </c:pt>
                <c:pt idx="12">
                  <c:v>62.1</c:v>
                </c:pt>
                <c:pt idx="13">
                  <c:v>99.4</c:v>
                </c:pt>
                <c:pt idx="14">
                  <c:v>86.2</c:v>
                </c:pt>
                <c:pt idx="15">
                  <c:v>116</c:v>
                </c:pt>
                <c:pt idx="16">
                  <c:v>261</c:v>
                </c:pt>
                <c:pt idx="17">
                  <c:v>276</c:v>
                </c:pt>
              </c:numCache>
            </c:numRef>
          </c:val>
          <c:extLst>
            <c:ext xmlns:c16="http://schemas.microsoft.com/office/drawing/2014/chart" uri="{C3380CC4-5D6E-409C-BE32-E72D297353CC}">
              <c16:uniqueId val="{00000004-358E-4416-B56F-30579DE41D59}"/>
            </c:ext>
          </c:extLst>
        </c:ser>
        <c:dLbls>
          <c:showLegendKey val="0"/>
          <c:showVal val="0"/>
          <c:showCatName val="0"/>
          <c:showSerName val="0"/>
          <c:showPercent val="0"/>
          <c:showBubbleSize val="0"/>
        </c:dLbls>
        <c:gapWidth val="182"/>
        <c:axId val="1808790895"/>
        <c:axId val="1808791727"/>
      </c:barChart>
      <c:catAx>
        <c:axId val="1808790895"/>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it-IT"/>
                  <a:t>Country/Air temperature</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crossAx val="1808791727"/>
        <c:crosses val="autoZero"/>
        <c:auto val="1"/>
        <c:lblAlgn val="ctr"/>
        <c:lblOffset val="100"/>
        <c:noMultiLvlLbl val="0"/>
      </c:catAx>
      <c:valAx>
        <c:axId val="180879172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en-GB"/>
                  <a:t>Total costs ($/tCO</a:t>
                </a:r>
                <a:r>
                  <a:rPr lang="en-GB" baseline="-25000"/>
                  <a:t>2</a:t>
                </a:r>
                <a:r>
                  <a:rPr lang="en-GB"/>
                  <a:t> captured)</a:t>
                </a:r>
                <a:endParaRPr lang="it-IT"/>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crossAx val="180879089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it-I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 (2)'!$S$9</c:f>
              <c:strCache>
                <c:ptCount val="1"/>
                <c:pt idx="0">
                  <c:v>MOF-5 [*1000]</c:v>
                </c:pt>
              </c:strCache>
            </c:strRef>
          </c:tx>
          <c:spPr>
            <a:solidFill>
              <a:schemeClr val="accent1"/>
            </a:solidFill>
            <a:ln>
              <a:noFill/>
            </a:ln>
            <a:effectLst/>
          </c:spPr>
          <c:invertIfNegative val="0"/>
          <c:cat>
            <c:strRef>
              <c:f>'Sheet1 (2)'!$R$10:$R$27</c:f>
              <c:strCache>
                <c:ptCount val="18"/>
                <c:pt idx="0">
                  <c:v>Finland (2.52 °C)</c:v>
                </c:pt>
                <c:pt idx="1">
                  <c:v>Switzerland (6.08°C)</c:v>
                </c:pt>
                <c:pt idx="2">
                  <c:v>China (7.1 °C)</c:v>
                </c:pt>
                <c:pt idx="3">
                  <c:v>Austria (7.25 °C)</c:v>
                </c:pt>
                <c:pt idx="4">
                  <c:v>USA (7.63 °C)</c:v>
                </c:pt>
                <c:pt idx="5">
                  <c:v>Denmark (8.76 °C)</c:v>
                </c:pt>
                <c:pt idx="6">
                  <c:v>Poland (8.85 °C)</c:v>
                </c:pt>
                <c:pt idx="7">
                  <c:v>UK (9.07 °C)</c:v>
                </c:pt>
                <c:pt idx="8">
                  <c:v>Slovenia (9.58 °C)</c:v>
                </c:pt>
                <c:pt idx="9">
                  <c:v>Germany (9.63 °C)</c:v>
                </c:pt>
                <c:pt idx="10">
                  <c:v>The Netherlands (10.4 °C)</c:v>
                </c:pt>
                <c:pt idx="11">
                  <c:v>Japan (11.13 °C)</c:v>
                </c:pt>
                <c:pt idx="12">
                  <c:v>France (11.69 °C)</c:v>
                </c:pt>
                <c:pt idx="13">
                  <c:v>Italy (12.81 °C)</c:v>
                </c:pt>
                <c:pt idx="14">
                  <c:v>Spain (13.93 °C)</c:v>
                </c:pt>
                <c:pt idx="15">
                  <c:v>Australia (21.94 °C)</c:v>
                </c:pt>
                <c:pt idx="16">
                  <c:v>India (24.68 °C)</c:v>
                </c:pt>
                <c:pt idx="17">
                  <c:v>Brazil (25.51 °C)</c:v>
                </c:pt>
              </c:strCache>
            </c:strRef>
          </c:cat>
          <c:val>
            <c:numRef>
              <c:f>'Sheet1 (2)'!$S$10:$S$27</c:f>
              <c:numCache>
                <c:formatCode>General</c:formatCode>
                <c:ptCount val="18"/>
                <c:pt idx="0">
                  <c:v>79.7</c:v>
                </c:pt>
                <c:pt idx="1">
                  <c:v>93.6</c:v>
                </c:pt>
                <c:pt idx="2">
                  <c:v>97.9</c:v>
                </c:pt>
                <c:pt idx="3">
                  <c:v>98.6</c:v>
                </c:pt>
                <c:pt idx="4">
                  <c:v>100</c:v>
                </c:pt>
                <c:pt idx="5">
                  <c:v>105</c:v>
                </c:pt>
                <c:pt idx="6">
                  <c:v>106</c:v>
                </c:pt>
                <c:pt idx="7">
                  <c:v>107</c:v>
                </c:pt>
                <c:pt idx="8">
                  <c:v>109</c:v>
                </c:pt>
                <c:pt idx="9">
                  <c:v>109</c:v>
                </c:pt>
                <c:pt idx="10">
                  <c:v>113</c:v>
                </c:pt>
                <c:pt idx="11">
                  <c:v>116</c:v>
                </c:pt>
                <c:pt idx="12">
                  <c:v>119</c:v>
                </c:pt>
                <c:pt idx="13">
                  <c:v>125</c:v>
                </c:pt>
                <c:pt idx="14">
                  <c:v>131</c:v>
                </c:pt>
                <c:pt idx="15">
                  <c:v>179</c:v>
                </c:pt>
                <c:pt idx="16">
                  <c:v>197</c:v>
                </c:pt>
                <c:pt idx="17">
                  <c:v>203</c:v>
                </c:pt>
              </c:numCache>
            </c:numRef>
          </c:val>
          <c:extLst>
            <c:ext xmlns:c16="http://schemas.microsoft.com/office/drawing/2014/chart" uri="{C3380CC4-5D6E-409C-BE32-E72D297353CC}">
              <c16:uniqueId val="{00000000-3900-4ED5-BAE5-BFF35D7A4177}"/>
            </c:ext>
          </c:extLst>
        </c:ser>
        <c:ser>
          <c:idx val="1"/>
          <c:order val="1"/>
          <c:tx>
            <c:strRef>
              <c:f>'Sheet1 (2)'!$T$9</c:f>
              <c:strCache>
                <c:ptCount val="1"/>
                <c:pt idx="0">
                  <c:v>MOF-177 [*1000]</c:v>
                </c:pt>
              </c:strCache>
            </c:strRef>
          </c:tx>
          <c:spPr>
            <a:solidFill>
              <a:schemeClr val="accent2"/>
            </a:solidFill>
            <a:ln>
              <a:noFill/>
            </a:ln>
            <a:effectLst/>
          </c:spPr>
          <c:invertIfNegative val="0"/>
          <c:cat>
            <c:strRef>
              <c:f>'Sheet1 (2)'!$R$10:$R$27</c:f>
              <c:strCache>
                <c:ptCount val="18"/>
                <c:pt idx="0">
                  <c:v>Finland (2.52 °C)</c:v>
                </c:pt>
                <c:pt idx="1">
                  <c:v>Switzerland (6.08°C)</c:v>
                </c:pt>
                <c:pt idx="2">
                  <c:v>China (7.1 °C)</c:v>
                </c:pt>
                <c:pt idx="3">
                  <c:v>Austria (7.25 °C)</c:v>
                </c:pt>
                <c:pt idx="4">
                  <c:v>USA (7.63 °C)</c:v>
                </c:pt>
                <c:pt idx="5">
                  <c:v>Denmark (8.76 °C)</c:v>
                </c:pt>
                <c:pt idx="6">
                  <c:v>Poland (8.85 °C)</c:v>
                </c:pt>
                <c:pt idx="7">
                  <c:v>UK (9.07 °C)</c:v>
                </c:pt>
                <c:pt idx="8">
                  <c:v>Slovenia (9.58 °C)</c:v>
                </c:pt>
                <c:pt idx="9">
                  <c:v>Germany (9.63 °C)</c:v>
                </c:pt>
                <c:pt idx="10">
                  <c:v>The Netherlands (10.4 °C)</c:v>
                </c:pt>
                <c:pt idx="11">
                  <c:v>Japan (11.13 °C)</c:v>
                </c:pt>
                <c:pt idx="12">
                  <c:v>France (11.69 °C)</c:v>
                </c:pt>
                <c:pt idx="13">
                  <c:v>Italy (12.81 °C)</c:v>
                </c:pt>
                <c:pt idx="14">
                  <c:v>Spain (13.93 °C)</c:v>
                </c:pt>
                <c:pt idx="15">
                  <c:v>Australia (21.94 °C)</c:v>
                </c:pt>
                <c:pt idx="16">
                  <c:v>India (24.68 °C)</c:v>
                </c:pt>
                <c:pt idx="17">
                  <c:v>Brazil (25.51 °C)</c:v>
                </c:pt>
              </c:strCache>
            </c:strRef>
          </c:cat>
          <c:val>
            <c:numRef>
              <c:f>'Sheet1 (2)'!$T$10:$T$27</c:f>
              <c:numCache>
                <c:formatCode>General</c:formatCode>
                <c:ptCount val="18"/>
                <c:pt idx="0">
                  <c:v>410</c:v>
                </c:pt>
                <c:pt idx="1">
                  <c:v>431</c:v>
                </c:pt>
                <c:pt idx="2">
                  <c:v>437</c:v>
                </c:pt>
                <c:pt idx="3">
                  <c:v>438</c:v>
                </c:pt>
                <c:pt idx="4">
                  <c:v>440</c:v>
                </c:pt>
                <c:pt idx="5">
                  <c:v>446</c:v>
                </c:pt>
                <c:pt idx="6">
                  <c:v>447</c:v>
                </c:pt>
                <c:pt idx="7">
                  <c:v>448</c:v>
                </c:pt>
                <c:pt idx="8">
                  <c:v>451</c:v>
                </c:pt>
                <c:pt idx="9">
                  <c:v>451</c:v>
                </c:pt>
                <c:pt idx="10">
                  <c:v>455</c:v>
                </c:pt>
                <c:pt idx="11">
                  <c:v>459</c:v>
                </c:pt>
                <c:pt idx="12">
                  <c:v>462</c:v>
                </c:pt>
                <c:pt idx="13">
                  <c:v>469</c:v>
                </c:pt>
                <c:pt idx="14">
                  <c:v>475</c:v>
                </c:pt>
                <c:pt idx="15">
                  <c:v>516</c:v>
                </c:pt>
                <c:pt idx="16">
                  <c:v>528</c:v>
                </c:pt>
                <c:pt idx="17">
                  <c:v>531</c:v>
                </c:pt>
              </c:numCache>
            </c:numRef>
          </c:val>
          <c:extLst>
            <c:ext xmlns:c16="http://schemas.microsoft.com/office/drawing/2014/chart" uri="{C3380CC4-5D6E-409C-BE32-E72D297353CC}">
              <c16:uniqueId val="{00000001-3900-4ED5-BAE5-BFF35D7A4177}"/>
            </c:ext>
          </c:extLst>
        </c:ser>
        <c:ser>
          <c:idx val="2"/>
          <c:order val="2"/>
          <c:tx>
            <c:strRef>
              <c:f>'Sheet1 (2)'!$U$9</c:f>
              <c:strCache>
                <c:ptCount val="1"/>
                <c:pt idx="0">
                  <c:v>MIL-101 [*1000]</c:v>
                </c:pt>
              </c:strCache>
            </c:strRef>
          </c:tx>
          <c:spPr>
            <a:solidFill>
              <a:schemeClr val="accent3"/>
            </a:solidFill>
            <a:ln>
              <a:noFill/>
            </a:ln>
            <a:effectLst/>
          </c:spPr>
          <c:invertIfNegative val="0"/>
          <c:cat>
            <c:strRef>
              <c:f>'Sheet1 (2)'!$R$10:$R$27</c:f>
              <c:strCache>
                <c:ptCount val="18"/>
                <c:pt idx="0">
                  <c:v>Finland (2.52 °C)</c:v>
                </c:pt>
                <c:pt idx="1">
                  <c:v>Switzerland (6.08°C)</c:v>
                </c:pt>
                <c:pt idx="2">
                  <c:v>China (7.1 °C)</c:v>
                </c:pt>
                <c:pt idx="3">
                  <c:v>Austria (7.25 °C)</c:v>
                </c:pt>
                <c:pt idx="4">
                  <c:v>USA (7.63 °C)</c:v>
                </c:pt>
                <c:pt idx="5">
                  <c:v>Denmark (8.76 °C)</c:v>
                </c:pt>
                <c:pt idx="6">
                  <c:v>Poland (8.85 °C)</c:v>
                </c:pt>
                <c:pt idx="7">
                  <c:v>UK (9.07 °C)</c:v>
                </c:pt>
                <c:pt idx="8">
                  <c:v>Slovenia (9.58 °C)</c:v>
                </c:pt>
                <c:pt idx="9">
                  <c:v>Germany (9.63 °C)</c:v>
                </c:pt>
                <c:pt idx="10">
                  <c:v>The Netherlands (10.4 °C)</c:v>
                </c:pt>
                <c:pt idx="11">
                  <c:v>Japan (11.13 °C)</c:v>
                </c:pt>
                <c:pt idx="12">
                  <c:v>France (11.69 °C)</c:v>
                </c:pt>
                <c:pt idx="13">
                  <c:v>Italy (12.81 °C)</c:v>
                </c:pt>
                <c:pt idx="14">
                  <c:v>Spain (13.93 °C)</c:v>
                </c:pt>
                <c:pt idx="15">
                  <c:v>Australia (21.94 °C)</c:v>
                </c:pt>
                <c:pt idx="16">
                  <c:v>India (24.68 °C)</c:v>
                </c:pt>
                <c:pt idx="17">
                  <c:v>Brazil (25.51 °C)</c:v>
                </c:pt>
              </c:strCache>
            </c:strRef>
          </c:cat>
          <c:val>
            <c:numRef>
              <c:f>'Sheet1 (2)'!$U$10:$U$27</c:f>
              <c:numCache>
                <c:formatCode>General</c:formatCode>
                <c:ptCount val="18"/>
                <c:pt idx="0">
                  <c:v>387</c:v>
                </c:pt>
                <c:pt idx="1">
                  <c:v>405</c:v>
                </c:pt>
                <c:pt idx="2">
                  <c:v>410</c:v>
                </c:pt>
                <c:pt idx="3">
                  <c:v>411</c:v>
                </c:pt>
                <c:pt idx="4">
                  <c:v>413</c:v>
                </c:pt>
                <c:pt idx="5">
                  <c:v>419</c:v>
                </c:pt>
                <c:pt idx="6">
                  <c:v>419</c:v>
                </c:pt>
                <c:pt idx="7">
                  <c:v>420</c:v>
                </c:pt>
                <c:pt idx="8">
                  <c:v>423</c:v>
                </c:pt>
                <c:pt idx="9">
                  <c:v>423</c:v>
                </c:pt>
                <c:pt idx="10">
                  <c:v>427</c:v>
                </c:pt>
                <c:pt idx="11">
                  <c:v>431</c:v>
                </c:pt>
                <c:pt idx="12">
                  <c:v>433</c:v>
                </c:pt>
                <c:pt idx="13">
                  <c:v>439</c:v>
                </c:pt>
                <c:pt idx="14">
                  <c:v>445</c:v>
                </c:pt>
                <c:pt idx="15">
                  <c:v>483</c:v>
                </c:pt>
                <c:pt idx="16">
                  <c:v>494</c:v>
                </c:pt>
                <c:pt idx="17">
                  <c:v>498</c:v>
                </c:pt>
              </c:numCache>
            </c:numRef>
          </c:val>
          <c:extLst>
            <c:ext xmlns:c16="http://schemas.microsoft.com/office/drawing/2014/chart" uri="{C3380CC4-5D6E-409C-BE32-E72D297353CC}">
              <c16:uniqueId val="{00000002-3900-4ED5-BAE5-BFF35D7A4177}"/>
            </c:ext>
          </c:extLst>
        </c:ser>
        <c:ser>
          <c:idx val="3"/>
          <c:order val="3"/>
          <c:tx>
            <c:strRef>
              <c:f>'Sheet1 (2)'!$V$9</c:f>
              <c:strCache>
                <c:ptCount val="1"/>
                <c:pt idx="0">
                  <c:v>SI-AEATPMS</c:v>
                </c:pt>
              </c:strCache>
            </c:strRef>
          </c:tx>
          <c:spPr>
            <a:solidFill>
              <a:schemeClr val="accent4"/>
            </a:solidFill>
            <a:ln>
              <a:noFill/>
            </a:ln>
            <a:effectLst/>
          </c:spPr>
          <c:invertIfNegative val="0"/>
          <c:cat>
            <c:strRef>
              <c:f>'Sheet1 (2)'!$R$10:$R$27</c:f>
              <c:strCache>
                <c:ptCount val="18"/>
                <c:pt idx="0">
                  <c:v>Finland (2.52 °C)</c:v>
                </c:pt>
                <c:pt idx="1">
                  <c:v>Switzerland (6.08°C)</c:v>
                </c:pt>
                <c:pt idx="2">
                  <c:v>China (7.1 °C)</c:v>
                </c:pt>
                <c:pt idx="3">
                  <c:v>Austria (7.25 °C)</c:v>
                </c:pt>
                <c:pt idx="4">
                  <c:v>USA (7.63 °C)</c:v>
                </c:pt>
                <c:pt idx="5">
                  <c:v>Denmark (8.76 °C)</c:v>
                </c:pt>
                <c:pt idx="6">
                  <c:v>Poland (8.85 °C)</c:v>
                </c:pt>
                <c:pt idx="7">
                  <c:v>UK (9.07 °C)</c:v>
                </c:pt>
                <c:pt idx="8">
                  <c:v>Slovenia (9.58 °C)</c:v>
                </c:pt>
                <c:pt idx="9">
                  <c:v>Germany (9.63 °C)</c:v>
                </c:pt>
                <c:pt idx="10">
                  <c:v>The Netherlands (10.4 °C)</c:v>
                </c:pt>
                <c:pt idx="11">
                  <c:v>Japan (11.13 °C)</c:v>
                </c:pt>
                <c:pt idx="12">
                  <c:v>France (11.69 °C)</c:v>
                </c:pt>
                <c:pt idx="13">
                  <c:v>Italy (12.81 °C)</c:v>
                </c:pt>
                <c:pt idx="14">
                  <c:v>Spain (13.93 °C)</c:v>
                </c:pt>
                <c:pt idx="15">
                  <c:v>Australia (21.94 °C)</c:v>
                </c:pt>
                <c:pt idx="16">
                  <c:v>India (24.68 °C)</c:v>
                </c:pt>
                <c:pt idx="17">
                  <c:v>Brazil (25.51 °C)</c:v>
                </c:pt>
              </c:strCache>
            </c:strRef>
          </c:cat>
          <c:val>
            <c:numRef>
              <c:f>'Sheet1 (2)'!$V$10:$V$27</c:f>
              <c:numCache>
                <c:formatCode>General</c:formatCode>
                <c:ptCount val="18"/>
                <c:pt idx="0">
                  <c:v>631</c:v>
                </c:pt>
                <c:pt idx="1">
                  <c:v>649</c:v>
                </c:pt>
                <c:pt idx="2">
                  <c:v>654</c:v>
                </c:pt>
                <c:pt idx="3">
                  <c:v>655</c:v>
                </c:pt>
                <c:pt idx="4">
                  <c:v>659</c:v>
                </c:pt>
                <c:pt idx="5">
                  <c:v>666</c:v>
                </c:pt>
                <c:pt idx="6">
                  <c:v>667</c:v>
                </c:pt>
                <c:pt idx="7">
                  <c:v>670</c:v>
                </c:pt>
                <c:pt idx="8">
                  <c:v>670</c:v>
                </c:pt>
                <c:pt idx="9">
                  <c:v>670</c:v>
                </c:pt>
                <c:pt idx="10">
                  <c:v>678</c:v>
                </c:pt>
                <c:pt idx="11">
                  <c:v>680</c:v>
                </c:pt>
                <c:pt idx="12">
                  <c:v>683</c:v>
                </c:pt>
                <c:pt idx="13">
                  <c:v>690</c:v>
                </c:pt>
                <c:pt idx="14">
                  <c:v>698</c:v>
                </c:pt>
                <c:pt idx="15">
                  <c:v>768</c:v>
                </c:pt>
                <c:pt idx="16">
                  <c:v>797</c:v>
                </c:pt>
                <c:pt idx="17">
                  <c:v>805</c:v>
                </c:pt>
              </c:numCache>
            </c:numRef>
          </c:val>
          <c:extLst>
            <c:ext xmlns:c16="http://schemas.microsoft.com/office/drawing/2014/chart" uri="{C3380CC4-5D6E-409C-BE32-E72D297353CC}">
              <c16:uniqueId val="{00000003-3900-4ED5-BAE5-BFF35D7A4177}"/>
            </c:ext>
          </c:extLst>
        </c:ser>
        <c:ser>
          <c:idx val="4"/>
          <c:order val="4"/>
          <c:tx>
            <c:strRef>
              <c:f>'Sheet1 (2)'!$W$9</c:f>
              <c:strCache>
                <c:ptCount val="1"/>
                <c:pt idx="0">
                  <c:v>APDES-NFC-FD</c:v>
                </c:pt>
              </c:strCache>
            </c:strRef>
          </c:tx>
          <c:spPr>
            <a:solidFill>
              <a:schemeClr val="accent5"/>
            </a:solidFill>
            <a:ln>
              <a:noFill/>
            </a:ln>
            <a:effectLst/>
          </c:spPr>
          <c:invertIfNegative val="0"/>
          <c:cat>
            <c:strRef>
              <c:f>'Sheet1 (2)'!$R$10:$R$27</c:f>
              <c:strCache>
                <c:ptCount val="18"/>
                <c:pt idx="0">
                  <c:v>Finland (2.52 °C)</c:v>
                </c:pt>
                <c:pt idx="1">
                  <c:v>Switzerland (6.08°C)</c:v>
                </c:pt>
                <c:pt idx="2">
                  <c:v>China (7.1 °C)</c:v>
                </c:pt>
                <c:pt idx="3">
                  <c:v>Austria (7.25 °C)</c:v>
                </c:pt>
                <c:pt idx="4">
                  <c:v>USA (7.63 °C)</c:v>
                </c:pt>
                <c:pt idx="5">
                  <c:v>Denmark (8.76 °C)</c:v>
                </c:pt>
                <c:pt idx="6">
                  <c:v>Poland (8.85 °C)</c:v>
                </c:pt>
                <c:pt idx="7">
                  <c:v>UK (9.07 °C)</c:v>
                </c:pt>
                <c:pt idx="8">
                  <c:v>Slovenia (9.58 °C)</c:v>
                </c:pt>
                <c:pt idx="9">
                  <c:v>Germany (9.63 °C)</c:v>
                </c:pt>
                <c:pt idx="10">
                  <c:v>The Netherlands (10.4 °C)</c:v>
                </c:pt>
                <c:pt idx="11">
                  <c:v>Japan (11.13 °C)</c:v>
                </c:pt>
                <c:pt idx="12">
                  <c:v>France (11.69 °C)</c:v>
                </c:pt>
                <c:pt idx="13">
                  <c:v>Italy (12.81 °C)</c:v>
                </c:pt>
                <c:pt idx="14">
                  <c:v>Spain (13.93 °C)</c:v>
                </c:pt>
                <c:pt idx="15">
                  <c:v>Australia (21.94 °C)</c:v>
                </c:pt>
                <c:pt idx="16">
                  <c:v>India (24.68 °C)</c:v>
                </c:pt>
                <c:pt idx="17">
                  <c:v>Brazil (25.51 °C)</c:v>
                </c:pt>
              </c:strCache>
            </c:strRef>
          </c:cat>
          <c:val>
            <c:numRef>
              <c:f>'Sheet1 (2)'!$W$10:$W$27</c:f>
              <c:numCache>
                <c:formatCode>General</c:formatCode>
                <c:ptCount val="18"/>
                <c:pt idx="0">
                  <c:v>-161</c:v>
                </c:pt>
                <c:pt idx="1">
                  <c:v>-138</c:v>
                </c:pt>
                <c:pt idx="2">
                  <c:v>-135</c:v>
                </c:pt>
                <c:pt idx="3">
                  <c:v>-135</c:v>
                </c:pt>
                <c:pt idx="4">
                  <c:v>-135</c:v>
                </c:pt>
                <c:pt idx="5">
                  <c:v>-134</c:v>
                </c:pt>
                <c:pt idx="6">
                  <c:v>-133</c:v>
                </c:pt>
                <c:pt idx="7">
                  <c:v>-133</c:v>
                </c:pt>
                <c:pt idx="8">
                  <c:v>-133</c:v>
                </c:pt>
                <c:pt idx="9">
                  <c:v>-133</c:v>
                </c:pt>
                <c:pt idx="10">
                  <c:v>-131</c:v>
                </c:pt>
                <c:pt idx="11">
                  <c:v>-130</c:v>
                </c:pt>
                <c:pt idx="12">
                  <c:v>-127</c:v>
                </c:pt>
                <c:pt idx="13">
                  <c:v>-126</c:v>
                </c:pt>
                <c:pt idx="14">
                  <c:v>-126</c:v>
                </c:pt>
                <c:pt idx="15">
                  <c:v>-95.8</c:v>
                </c:pt>
                <c:pt idx="16">
                  <c:v>-82.5</c:v>
                </c:pt>
                <c:pt idx="17">
                  <c:v>-79.3</c:v>
                </c:pt>
              </c:numCache>
            </c:numRef>
          </c:val>
          <c:extLst>
            <c:ext xmlns:c16="http://schemas.microsoft.com/office/drawing/2014/chart" uri="{C3380CC4-5D6E-409C-BE32-E72D297353CC}">
              <c16:uniqueId val="{00000004-3900-4ED5-BAE5-BFF35D7A4177}"/>
            </c:ext>
          </c:extLst>
        </c:ser>
        <c:dLbls>
          <c:showLegendKey val="0"/>
          <c:showVal val="0"/>
          <c:showCatName val="0"/>
          <c:showSerName val="0"/>
          <c:showPercent val="0"/>
          <c:showBubbleSize val="0"/>
        </c:dLbls>
        <c:gapWidth val="182"/>
        <c:axId val="1904931711"/>
        <c:axId val="1882009119"/>
      </c:barChart>
      <c:catAx>
        <c:axId val="1904931711"/>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it-IT"/>
                  <a:t>Country/Air temperature</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crossAx val="1882009119"/>
        <c:crosses val="autoZero"/>
        <c:auto val="1"/>
        <c:lblAlgn val="ctr"/>
        <c:lblOffset val="100"/>
        <c:noMultiLvlLbl val="0"/>
      </c:catAx>
      <c:valAx>
        <c:axId val="1882009119"/>
        <c:scaling>
          <c:orientation val="minMax"/>
          <c:min val="-2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en-GB"/>
                  <a:t>Climate Change (kgCO</a:t>
                </a:r>
                <a:r>
                  <a:rPr lang="en-GB" baseline="-25000"/>
                  <a:t>2eq</a:t>
                </a:r>
                <a:r>
                  <a:rPr lang="en-GB"/>
                  <a:t>/tCO</a:t>
                </a:r>
                <a:r>
                  <a:rPr lang="en-GB" baseline="-25000"/>
                  <a:t>2</a:t>
                </a:r>
                <a:r>
                  <a:rPr lang="en-GB"/>
                  <a:t> captured)</a:t>
                </a:r>
                <a:endParaRPr lang="it-IT"/>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crossAx val="190493171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7C694-192D-4DE5-AB72-493B4E71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2803</Words>
  <Characters>15983</Characters>
  <Application>Microsoft Office Word</Application>
  <DocSecurity>0</DocSecurity>
  <Lines>133</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Grazia Leonzio</cp:lastModifiedBy>
  <cp:revision>3</cp:revision>
  <cp:lastPrinted>2015-05-12T18:31:00Z</cp:lastPrinted>
  <dcterms:created xsi:type="dcterms:W3CDTF">2022-07-01T10:08:00Z</dcterms:created>
  <dcterms:modified xsi:type="dcterms:W3CDTF">2022-07-01T10:17:00Z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