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2054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2054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20543">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 xml:space="preserve">David </w:t>
            </w:r>
            <w:proofErr w:type="spellStart"/>
            <w:r w:rsidR="004C3D84" w:rsidRPr="00A7223D">
              <w:rPr>
                <w:sz w:val="14"/>
                <w:szCs w:val="14"/>
                <w:lang w:val="it-IT"/>
              </w:rPr>
              <w:t>Bogle</w:t>
            </w:r>
            <w:proofErr w:type="spellEnd"/>
            <w:r w:rsidR="004C3D84" w:rsidRPr="00A7223D">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2C9E74F5" w:rsidR="00E978D0" w:rsidRPr="00B20543" w:rsidRDefault="00B20543" w:rsidP="00E978D0">
      <w:pPr>
        <w:pStyle w:val="CETTitle"/>
        <w:rPr>
          <w:lang w:val="en-CA"/>
        </w:rPr>
      </w:pPr>
      <w:r w:rsidRPr="00B20543">
        <w:t>SUSTAINABILITY ANALYSIS OF HYDROGEN PRODUCTION PROCESSES: A COMPARISON BASED ON SUSTAINABILITY INDICATORS</w:t>
      </w:r>
    </w:p>
    <w:p w14:paraId="3CFBA1E4" w14:textId="18DA3591" w:rsidR="00B20543" w:rsidRPr="00B20543" w:rsidRDefault="00B20543" w:rsidP="00B57E6F">
      <w:pPr>
        <w:pStyle w:val="CETAuthors"/>
        <w:rPr>
          <w:lang w:val="it-IT"/>
        </w:rPr>
      </w:pPr>
      <w:r w:rsidRPr="00B20543">
        <w:rPr>
          <w:lang w:val="it-IT"/>
        </w:rPr>
        <w:t>Elena Barbera</w:t>
      </w:r>
      <w:r w:rsidRPr="00B20543">
        <w:rPr>
          <w:vertAlign w:val="superscript"/>
          <w:lang w:val="it-IT"/>
        </w:rPr>
        <w:t>a</w:t>
      </w:r>
      <w:r w:rsidRPr="00B20543">
        <w:rPr>
          <w:lang w:val="it-IT"/>
        </w:rPr>
        <w:t>, Andrea Mio</w:t>
      </w:r>
      <w:r w:rsidRPr="00B20543">
        <w:rPr>
          <w:vertAlign w:val="superscript"/>
          <w:lang w:val="it-IT"/>
        </w:rPr>
        <w:t>b,d</w:t>
      </w:r>
      <w:r w:rsidRPr="00B20543">
        <w:rPr>
          <w:lang w:val="it-IT"/>
        </w:rPr>
        <w:t>*, Alessandro Massi Pavan</w:t>
      </w:r>
      <w:r w:rsidRPr="00B20543">
        <w:rPr>
          <w:vertAlign w:val="superscript"/>
          <w:lang w:val="it-IT"/>
        </w:rPr>
        <w:t>b,d</w:t>
      </w:r>
      <w:r w:rsidRPr="00B20543">
        <w:rPr>
          <w:lang w:val="it-IT"/>
        </w:rPr>
        <w:t>, Alberto Bertucco</w:t>
      </w:r>
      <w:r w:rsidRPr="00B20543">
        <w:rPr>
          <w:vertAlign w:val="superscript"/>
          <w:lang w:val="it-IT"/>
        </w:rPr>
        <w:t>a,c</w:t>
      </w:r>
      <w:r w:rsidRPr="00B20543">
        <w:rPr>
          <w:lang w:val="it-IT"/>
        </w:rPr>
        <w:t>, Maurizio Fermeglia</w:t>
      </w:r>
      <w:r w:rsidRPr="00B20543">
        <w:rPr>
          <w:vertAlign w:val="superscript"/>
          <w:lang w:val="it-IT"/>
        </w:rPr>
        <w:t>b,d</w:t>
      </w:r>
    </w:p>
    <w:p w14:paraId="47ECC9C4" w14:textId="77777777" w:rsidR="00B20543" w:rsidRPr="00411BD6" w:rsidRDefault="00B20543" w:rsidP="00B20543">
      <w:pPr>
        <w:pStyle w:val="CETAddress"/>
      </w:pPr>
      <w:r w:rsidRPr="00411BD6">
        <w:t>a. Department of Industrial Engineering (DII), University of Padova, Italy</w:t>
      </w:r>
    </w:p>
    <w:p w14:paraId="62055172" w14:textId="77777777" w:rsidR="00B20543" w:rsidRPr="00411BD6" w:rsidRDefault="00B20543" w:rsidP="00B20543">
      <w:pPr>
        <w:pStyle w:val="CETAddress"/>
        <w:rPr>
          <w:lang w:val="en-US"/>
        </w:rPr>
      </w:pPr>
      <w:r w:rsidRPr="00411BD6">
        <w:t>b. Department of Engineering and Architecture, University of Trieste, Italy</w:t>
      </w:r>
    </w:p>
    <w:p w14:paraId="01127C2D" w14:textId="77777777" w:rsidR="00B20543" w:rsidRPr="00411BD6" w:rsidRDefault="00B20543" w:rsidP="00B20543">
      <w:pPr>
        <w:pStyle w:val="CETAddress"/>
      </w:pPr>
      <w:r w:rsidRPr="00411BD6">
        <w:t>c. Centro Studi “Levi Cases” for Energy Economics and Technology, University of Padova, Italy</w:t>
      </w:r>
    </w:p>
    <w:p w14:paraId="3D328431" w14:textId="77777777" w:rsidR="00B20543" w:rsidRPr="00411BD6" w:rsidRDefault="00B20543" w:rsidP="00B20543">
      <w:pPr>
        <w:pStyle w:val="CETAddress"/>
      </w:pPr>
      <w:r w:rsidRPr="00411BD6">
        <w:t>d. Center for Energy, Environment and Transport Giacomo Ciamician, University of Trieste, Italy</w:t>
      </w:r>
    </w:p>
    <w:p w14:paraId="73F1267A" w14:textId="1FF4CCE1" w:rsidR="00B57E6F" w:rsidRPr="00B57B36" w:rsidRDefault="00B57E6F" w:rsidP="00B20543">
      <w:pPr>
        <w:pStyle w:val="CETAddress"/>
      </w:pPr>
      <w:r>
        <w:t xml:space="preserve"> </w:t>
      </w:r>
      <w:r w:rsidR="00B20543" w:rsidRPr="00411BD6">
        <w:t xml:space="preserve">Corresponding author e-mail: </w:t>
      </w:r>
      <w:hyperlink r:id="rId10" w:history="1">
        <w:r w:rsidR="00B20543" w:rsidRPr="00411BD6">
          <w:rPr>
            <w:rStyle w:val="Collegamentoipertestuale"/>
          </w:rPr>
          <w:t>amio@units.it</w:t>
        </w:r>
      </w:hyperlink>
    </w:p>
    <w:p w14:paraId="1CC06CAC" w14:textId="77777777" w:rsidR="00B20543" w:rsidRDefault="00B20543" w:rsidP="00600535">
      <w:pPr>
        <w:pStyle w:val="CETBodytext"/>
        <w:rPr>
          <w:lang w:val="en-GB"/>
        </w:rPr>
      </w:pPr>
    </w:p>
    <w:p w14:paraId="35FA6D2E" w14:textId="250E006E" w:rsidR="00EB2B1F" w:rsidRPr="00EB2B1F" w:rsidRDefault="00EB2B1F" w:rsidP="00EB2B1F">
      <w:pPr>
        <w:rPr>
          <w:rFonts w:cs="Arial"/>
          <w:spacing w:val="-2"/>
        </w:rPr>
      </w:pPr>
      <w:r>
        <w:t>Hydrogen is a versatile energy carrier and storage medium that may be employed in a variety of applications. It</w:t>
      </w:r>
      <w:r w:rsidRPr="00EB2B1F">
        <w:rPr>
          <w:rFonts w:cs="Arial"/>
          <w:spacing w:val="-2"/>
        </w:rPr>
        <w:t xml:space="preserve"> may be produced using different processes. In this work, process simulation is used to obtain material and energy balances for each process investigated, as well as for the evaluation of capital and maintenance costs. Process simulation outcomes are then used to estimate three key performance indicators focusing on sustainability issues: the energy return of energy invested, the levelized cost of </w:t>
      </w:r>
      <w:r w:rsidR="008D40F7" w:rsidRPr="00EB2B1F">
        <w:rPr>
          <w:rFonts w:cs="Arial"/>
          <w:spacing w:val="-2"/>
        </w:rPr>
        <w:t>hydrogen and</w:t>
      </w:r>
      <w:r w:rsidRPr="00EB2B1F">
        <w:rPr>
          <w:rFonts w:cs="Arial"/>
          <w:spacing w:val="-2"/>
        </w:rPr>
        <w:t xml:space="preserve"> the life cycle assessment. </w:t>
      </w:r>
      <w:r>
        <w:t xml:space="preserve">We compared several hydrogen generation processes, each denoted by a unique </w:t>
      </w:r>
      <w:r w:rsidR="008D40F7">
        <w:t>colour</w:t>
      </w:r>
      <w:r>
        <w:t xml:space="preserve"> code: (</w:t>
      </w:r>
      <w:proofErr w:type="spellStart"/>
      <w:r>
        <w:t>i</w:t>
      </w:r>
      <w:proofErr w:type="spellEnd"/>
      <w:r>
        <w:t>) green hydrogen, produced by electrolysis of water using electricity from renewable sources, (ii)</w:t>
      </w:r>
      <w:r w:rsidRPr="00943965">
        <w:t xml:space="preserve"> </w:t>
      </w:r>
      <w:r w:rsidR="00E37981">
        <w:t xml:space="preserve">grid </w:t>
      </w:r>
      <w:r>
        <w:t xml:space="preserve">hydrogen, produced by electrolysis using grid electricity, (iii) grey hydrogen, produced from natural gas using steam reforming and (iv) blue hydrogen, like grey one, but </w:t>
      </w:r>
      <w:r w:rsidR="00351A3F">
        <w:t xml:space="preserve">coupled </w:t>
      </w:r>
      <w:r>
        <w:t>with carbon capture and s</w:t>
      </w:r>
      <w:r w:rsidR="00F46DE7">
        <w:t>torage</w:t>
      </w:r>
      <w:r>
        <w:t xml:space="preserve">. </w:t>
      </w:r>
      <w:r w:rsidR="00523D5D" w:rsidRPr="00191A17">
        <w:t xml:space="preserve">In conclusion, </w:t>
      </w:r>
      <w:r w:rsidRPr="00191A17">
        <w:rPr>
          <w:rFonts w:cs="Arial"/>
          <w:spacing w:val="-2"/>
        </w:rPr>
        <w:t>the most sustainable hydrogen production method is the green hydrogen, produced by water electrolysis.</w:t>
      </w:r>
    </w:p>
    <w:p w14:paraId="476B2F2E" w14:textId="77777777" w:rsidR="00600535" w:rsidRPr="00B57B36" w:rsidRDefault="00600535" w:rsidP="00600535">
      <w:pPr>
        <w:pStyle w:val="CETHeading1"/>
        <w:rPr>
          <w:lang w:val="en-GB"/>
        </w:rPr>
      </w:pPr>
      <w:r w:rsidRPr="00B57B36">
        <w:rPr>
          <w:lang w:val="en-GB"/>
        </w:rPr>
        <w:t>Introduction</w:t>
      </w:r>
    </w:p>
    <w:p w14:paraId="27F87D50" w14:textId="0DBC51B7" w:rsidR="00EB2B1F" w:rsidRDefault="00EB2B1F" w:rsidP="00EB2B1F">
      <w:bookmarkStart w:id="0" w:name="_Hlk89802145"/>
      <w:r>
        <w:t>Human energy use has increased rapidly over the last few decades, putting growing strain on the energy industry.</w:t>
      </w:r>
      <w:r w:rsidRPr="00C73AD2">
        <w:t xml:space="preserve"> </w:t>
      </w:r>
      <w:r>
        <w:t xml:space="preserve">Recent reports of </w:t>
      </w:r>
      <w:r w:rsidR="0014238C">
        <w:t>the Intergovernmental Panel for Climate Change (</w:t>
      </w:r>
      <w:r>
        <w:t>IPCC</w:t>
      </w:r>
      <w:r w:rsidR="0014238C">
        <w:t>)</w:t>
      </w:r>
      <w:r>
        <w:t xml:space="preserve"> and </w:t>
      </w:r>
      <w:r w:rsidR="0014238C">
        <w:t>the International Energy Agency (IEA)</w:t>
      </w:r>
      <w:r>
        <w:t xml:space="preserve"> indicate that a strong reduction in the usage of fossil fuels must be achieved in order to meet the 2030 greenhouse gases emission targets. Since energy production </w:t>
      </w:r>
      <w:r w:rsidR="008D40F7">
        <w:t>from</w:t>
      </w:r>
      <w:r>
        <w:t xml:space="preserve"> renewable sources </w:t>
      </w:r>
      <w:r w:rsidR="00546F44">
        <w:t>is</w:t>
      </w:r>
      <w:r>
        <w:t xml:space="preserve"> n</w:t>
      </w:r>
      <w:r w:rsidRPr="00236F1D">
        <w:t>ot dispatchable due to their fluctuating nature,</w:t>
      </w:r>
      <w:r>
        <w:t xml:space="preserve"> great attention is given to energy storage and energy carrier systems. Hydrogen is one of the most suitable energy carriers for several applications, mainly in heavy transportation and </w:t>
      </w:r>
      <w:r w:rsidR="008D40F7">
        <w:t>logistics</w:t>
      </w:r>
      <w:r>
        <w:t xml:space="preserve">. </w:t>
      </w:r>
    </w:p>
    <w:bookmarkEnd w:id="0"/>
    <w:p w14:paraId="02EC29A7" w14:textId="586F3336" w:rsidR="00EB2B1F" w:rsidRDefault="00EB2B1F" w:rsidP="00EB2B1F">
      <w:r>
        <w:t>There are several indicators available in the literature that are commonly employed by decision-makers. One of them is the Energy Return on Energy Invested (EROEI</w:t>
      </w:r>
      <w:r w:rsidR="0036289F">
        <w:t>, Hall et al. 2014</w:t>
      </w:r>
      <w:r>
        <w:t>), that relates the amount of net energy stored in the hydrogen produced to the total invested energy</w:t>
      </w:r>
      <w:r w:rsidR="0014238C">
        <w:t xml:space="preserve"> to produce it</w:t>
      </w:r>
      <w:r>
        <w:t xml:space="preserve">. It has recently been proposed as a benchmark tool by IEA in the guideline methodology for the net energy analysis. </w:t>
      </w:r>
    </w:p>
    <w:p w14:paraId="39069900" w14:textId="736D7EE0" w:rsidR="00EB2B1F" w:rsidRDefault="00EB2B1F" w:rsidP="00EB2B1F">
      <w:r>
        <w:t xml:space="preserve">Another key performance indicator, specific for hydrogen, is the Levelized Cost of Hydrogen (LCOH), which considers the cost of hydrogen production process and is calculated as the ratio between the net discounted costs over the amount of produced hydrogen </w:t>
      </w:r>
      <w:r w:rsidR="0036289F">
        <w:t>(</w:t>
      </w:r>
      <w:proofErr w:type="spellStart"/>
      <w:r w:rsidR="0036289F">
        <w:t>Minutillo</w:t>
      </w:r>
      <w:proofErr w:type="spellEnd"/>
      <w:r w:rsidR="0036289F">
        <w:t xml:space="preserve"> et al, 2021).</w:t>
      </w:r>
      <w:r>
        <w:t xml:space="preserve"> Inputs to LCOH include </w:t>
      </w:r>
      <w:r w:rsidRPr="001A0E70">
        <w:t>cost of capital</w:t>
      </w:r>
      <w:r>
        <w:t>, investment costs and plant lifetime.</w:t>
      </w:r>
    </w:p>
    <w:p w14:paraId="4D286AB8" w14:textId="560C2083" w:rsidR="00EB2B1F" w:rsidRDefault="00EB2B1F" w:rsidP="00EB2B1F">
      <w:r>
        <w:t xml:space="preserve">These two indicators focus on hydrogen productions in terms of energy consumption and economic </w:t>
      </w:r>
      <w:proofErr w:type="gramStart"/>
      <w:r>
        <w:t>analysis,</w:t>
      </w:r>
      <w:proofErr w:type="gramEnd"/>
      <w:r>
        <w:t xml:space="preserve"> however, they are insufficient for determining the overall environmental effect of the activities under consideration. We carried out a complete Life Cycle Assessment (LCA) study to achieve this goal</w:t>
      </w:r>
      <w:r w:rsidR="001E5F23">
        <w:t xml:space="preserve"> (Barbera et al., 2022)</w:t>
      </w:r>
      <w:r>
        <w:t>.</w:t>
      </w:r>
    </w:p>
    <w:p w14:paraId="2292FDE5" w14:textId="6869B06D" w:rsidR="00EB2B1F" w:rsidRDefault="00EB2B1F" w:rsidP="00EB2B1F">
      <w:r>
        <w:t xml:space="preserve">This paper aims at providing reliable data for different hydrogen production processes </w:t>
      </w:r>
      <w:r w:rsidR="0014238C">
        <w:t>at</w:t>
      </w:r>
      <w:r>
        <w:t xml:space="preserve"> an early process design stage. </w:t>
      </w:r>
      <w:r w:rsidR="00523D5D">
        <w:t>P</w:t>
      </w:r>
      <w:r>
        <w:t>rocess simulat</w:t>
      </w:r>
      <w:r w:rsidR="0014238C">
        <w:t xml:space="preserve">ions </w:t>
      </w:r>
      <w:r w:rsidR="00523D5D">
        <w:t xml:space="preserve">are used </w:t>
      </w:r>
      <w:r>
        <w:t>for the estimation of the performance indicator</w:t>
      </w:r>
      <w:r w:rsidR="00523D5D">
        <w:t>s</w:t>
      </w:r>
      <w:r w:rsidR="0014238C">
        <w:t xml:space="preserve"> of the following hydrogen production processes</w:t>
      </w:r>
      <w:r w:rsidR="00523D5D">
        <w:t xml:space="preserve">: </w:t>
      </w:r>
      <w:bookmarkStart w:id="1" w:name="_Hlk89802247"/>
      <w:r>
        <w:t>(</w:t>
      </w:r>
      <w:proofErr w:type="spellStart"/>
      <w:r>
        <w:t>i</w:t>
      </w:r>
      <w:proofErr w:type="spellEnd"/>
      <w:r>
        <w:t xml:space="preserve">) green hydrogen, produced by electrolysis of water using electricity from renewable </w:t>
      </w:r>
      <w:r>
        <w:lastRenderedPageBreak/>
        <w:t xml:space="preserve">source, (ii) </w:t>
      </w:r>
      <w:r w:rsidR="00E37981">
        <w:t xml:space="preserve">grid </w:t>
      </w:r>
      <w:r>
        <w:t>hydrogen, produced by electrolysis using grid electricity, (iii) grey hydrogen, produced from natural gas using steam reforming, and (iv) blue hydrogen, like grey one, but with carbon capture and s</w:t>
      </w:r>
      <w:r w:rsidR="00F10804">
        <w:t>torage</w:t>
      </w:r>
      <w:r>
        <w:t xml:space="preserve"> (CCS).</w:t>
      </w:r>
      <w:bookmarkEnd w:id="1"/>
      <w:r w:rsidR="007B5ACA">
        <w:t xml:space="preserve"> The processes considered are normalized for </w:t>
      </w:r>
      <w:r w:rsidR="00E37981">
        <w:t>a</w:t>
      </w:r>
      <w:r w:rsidR="007B5ACA">
        <w:t xml:space="preserve"> hydrogen production of 1</w:t>
      </w:r>
      <w:r w:rsidR="007B2893">
        <w:t>0</w:t>
      </w:r>
      <w:r w:rsidR="007B5ACA">
        <w:t>00 kg/h.</w:t>
      </w:r>
    </w:p>
    <w:p w14:paraId="5741900F" w14:textId="103D8F75" w:rsidR="00453E24" w:rsidRDefault="00EB2B1F" w:rsidP="00453E24">
      <w:pPr>
        <w:pStyle w:val="CETHeading1"/>
      </w:pPr>
      <w:r>
        <w:t>Materials and methods</w:t>
      </w:r>
    </w:p>
    <w:p w14:paraId="10ED44B9" w14:textId="035729D6" w:rsidR="00EB2B1F" w:rsidRDefault="00EB2B1F" w:rsidP="00EB2B1F">
      <w:r>
        <w:t xml:space="preserve">Process simulation </w:t>
      </w:r>
      <w:r w:rsidR="002D0F28">
        <w:t xml:space="preserve">with Aspen Plus v.12 </w:t>
      </w:r>
      <w:r w:rsidR="00AB175F">
        <w:t>was</w:t>
      </w:r>
      <w:r>
        <w:t xml:space="preserve"> used to perform material and energy balances, physical property estimations, design/rating calculations, process optimization, heat integration and economic analysis for a gi</w:t>
      </w:r>
      <w:r w:rsidR="00AB175F">
        <w:t>ven hydrogen production process</w:t>
      </w:r>
      <w:r>
        <w:t xml:space="preserve">. </w:t>
      </w:r>
      <w:r w:rsidR="00057286">
        <w:t xml:space="preserve">Each simulation model has been implemented in terms of thermodynamics, chemistry, physical properties and unit operations and </w:t>
      </w:r>
      <w:r w:rsidR="00AB175F">
        <w:t>was</w:t>
      </w:r>
      <w:r>
        <w:t xml:space="preserve"> finally optimized </w:t>
      </w:r>
      <w:r w:rsidR="001E5F23">
        <w:t>(Petrescu et al. 2021).</w:t>
      </w:r>
      <w:r>
        <w:t xml:space="preserve"> </w:t>
      </w:r>
      <w:r w:rsidR="008D40F7">
        <w:t xml:space="preserve">The following chapters focus on the </w:t>
      </w:r>
      <w:r w:rsidR="00057286">
        <w:t xml:space="preserve">simulated </w:t>
      </w:r>
      <w:r w:rsidR="008D40F7">
        <w:t>processes</w:t>
      </w:r>
      <w:r w:rsidR="00057286">
        <w:t xml:space="preserve">, including </w:t>
      </w:r>
      <w:r w:rsidR="008D40F7">
        <w:t xml:space="preserve">evaluation of the </w:t>
      </w:r>
      <w:r w:rsidR="002C318F">
        <w:t>performance indicators</w:t>
      </w:r>
      <w:r w:rsidR="008D40F7">
        <w:t>.</w:t>
      </w:r>
    </w:p>
    <w:p w14:paraId="3F646A1C" w14:textId="5D0593AC" w:rsidR="00B37388" w:rsidRDefault="00B37388" w:rsidP="00B37388">
      <w:pPr>
        <w:pStyle w:val="CETheadingx"/>
      </w:pPr>
      <w:r w:rsidRPr="009B27A2">
        <w:t xml:space="preserve">Grey hydrogen: methane steam reforming production process. </w:t>
      </w:r>
    </w:p>
    <w:p w14:paraId="4D61CD96" w14:textId="2FE0714B" w:rsidR="007B061D" w:rsidRDefault="00F00F6B" w:rsidP="00F00F6B">
      <w:pPr>
        <w:pStyle w:val="CETBodytext"/>
      </w:pPr>
      <w:r>
        <w:t xml:space="preserve">Grey hydrogen </w:t>
      </w:r>
      <w:r w:rsidR="00102EE0">
        <w:t>identifies</w:t>
      </w:r>
      <w:r>
        <w:t xml:space="preserve"> H</w:t>
      </w:r>
      <w:r w:rsidRPr="007B061D">
        <w:rPr>
          <w:vertAlign w:val="subscript"/>
        </w:rPr>
        <w:t>2</w:t>
      </w:r>
      <w:r>
        <w:t xml:space="preserve"> derived from natural gas using steam </w:t>
      </w:r>
      <w:r w:rsidR="00CA4C9C">
        <w:t xml:space="preserve">methane </w:t>
      </w:r>
      <w:r>
        <w:t>reforming (</w:t>
      </w:r>
      <w:r w:rsidR="00CA4C9C">
        <w:t>SMR</w:t>
      </w:r>
      <w:r>
        <w:t>)</w:t>
      </w:r>
      <w:r w:rsidR="00102EE0">
        <w:t xml:space="preserve">, which </w:t>
      </w:r>
      <w:r w:rsidR="00070D47">
        <w:t>at present</w:t>
      </w:r>
      <w:r w:rsidR="00102EE0">
        <w:t xml:space="preserve"> represents the main pathway used to fulfil the global H</w:t>
      </w:r>
      <w:r w:rsidR="00102EE0" w:rsidRPr="00070D47">
        <w:rPr>
          <w:vertAlign w:val="subscript"/>
        </w:rPr>
        <w:t>2</w:t>
      </w:r>
      <w:r w:rsidR="00102EE0">
        <w:t xml:space="preserve"> demand. </w:t>
      </w:r>
      <w:r w:rsidR="007B061D">
        <w:t>The corresponding Aspen Plus flowsheet is shown in Figure 1. The natural gas feed first undergoes a hydro-desulfurization treatment to remove sulfur, which is poisonous for th</w:t>
      </w:r>
      <w:r w:rsidR="00070D47">
        <w:t>e subsequent reformer catalyst</w:t>
      </w:r>
      <w:r w:rsidR="007B061D">
        <w:t xml:space="preserve">. After sulfur removal, natural gas is reacted with steam in a primary reformer (PREF-T) and subsequently in a secondary reformer (SREF-R), where hot compressed air is also added. The main </w:t>
      </w:r>
      <w:r w:rsidR="00070D47">
        <w:t xml:space="preserve">catalytic </w:t>
      </w:r>
      <w:r w:rsidR="007B061D">
        <w:t>reactions occurring in the reformers, which operat</w:t>
      </w:r>
      <w:r w:rsidR="00070D47">
        <w:t xml:space="preserve">e at pressures </w:t>
      </w:r>
      <w:r w:rsidR="007B061D">
        <w:t>around 30 bar and temperatures between 500°C and 1200°C, are the following:</w:t>
      </w:r>
    </w:p>
    <w:tbl>
      <w:tblPr>
        <w:tblW w:w="8725" w:type="dxa"/>
        <w:tblBorders>
          <w:top w:val="nil"/>
          <w:left w:val="nil"/>
          <w:bottom w:val="nil"/>
          <w:right w:val="nil"/>
          <w:insideH w:val="nil"/>
          <w:insideV w:val="nil"/>
        </w:tblBorders>
        <w:tblLayout w:type="fixed"/>
        <w:tblLook w:val="0400" w:firstRow="0" w:lastRow="0" w:firstColumn="0" w:lastColumn="0" w:noHBand="0" w:noVBand="1"/>
      </w:tblPr>
      <w:tblGrid>
        <w:gridCol w:w="715"/>
        <w:gridCol w:w="7020"/>
        <w:gridCol w:w="990"/>
      </w:tblGrid>
      <w:tr w:rsidR="0014238C" w:rsidRPr="00A945CD" w14:paraId="593F079C" w14:textId="77777777" w:rsidTr="00940DC1">
        <w:tc>
          <w:tcPr>
            <w:tcW w:w="715" w:type="dxa"/>
            <w:vAlign w:val="center"/>
          </w:tcPr>
          <w:p w14:paraId="36B3B828" w14:textId="77777777" w:rsidR="0014238C" w:rsidRPr="00A945CD" w:rsidRDefault="0014238C" w:rsidP="00940DC1"/>
        </w:tc>
        <w:tc>
          <w:tcPr>
            <w:tcW w:w="7020" w:type="dxa"/>
            <w:vAlign w:val="center"/>
          </w:tcPr>
          <w:p w14:paraId="27AC9F23" w14:textId="5EE11C3D" w:rsidR="0014238C" w:rsidRPr="00A945CD" w:rsidRDefault="00481FDD" w:rsidP="00940DC1">
            <w:pPr>
              <w:jc w:val="center"/>
              <w:rPr>
                <w:rFonts w:ascii="Cambria Math" w:eastAsia="Cambria Math" w:hAnsi="Cambria Math" w:cs="Cambria Math"/>
              </w:rPr>
            </w:pPr>
            <w:r>
              <w:t>CH</w:t>
            </w:r>
            <w:r>
              <w:rPr>
                <w:vertAlign w:val="subscript"/>
              </w:rPr>
              <w:t>4</w:t>
            </w:r>
            <w:r>
              <w:t xml:space="preserve"> + H</w:t>
            </w:r>
            <w:r>
              <w:rPr>
                <w:vertAlign w:val="subscript"/>
              </w:rPr>
              <w:t>2</w:t>
            </w:r>
            <w:r>
              <w:t xml:space="preserve">O </w:t>
            </w:r>
            <w:r>
              <w:rPr>
                <w:rFonts w:cs="Arial"/>
              </w:rPr>
              <w:t>→</w:t>
            </w:r>
            <w:r>
              <w:t xml:space="preserve"> CO + 3H</w:t>
            </w:r>
            <w:r>
              <w:rPr>
                <w:vertAlign w:val="subscript"/>
              </w:rPr>
              <w:t>2</w:t>
            </w:r>
          </w:p>
        </w:tc>
        <w:tc>
          <w:tcPr>
            <w:tcW w:w="990" w:type="dxa"/>
            <w:vAlign w:val="center"/>
          </w:tcPr>
          <w:p w14:paraId="2461DBEE" w14:textId="77777777" w:rsidR="0014238C" w:rsidRPr="00A945CD" w:rsidRDefault="0014238C" w:rsidP="00940DC1">
            <w:r w:rsidRPr="00A945CD">
              <w:t>(1)</w:t>
            </w:r>
          </w:p>
        </w:tc>
      </w:tr>
      <w:tr w:rsidR="0014238C" w:rsidRPr="00A945CD" w14:paraId="1BB3CE00" w14:textId="77777777" w:rsidTr="0014238C">
        <w:tc>
          <w:tcPr>
            <w:tcW w:w="715" w:type="dxa"/>
            <w:tcBorders>
              <w:top w:val="nil"/>
              <w:left w:val="nil"/>
              <w:bottom w:val="nil"/>
              <w:right w:val="nil"/>
            </w:tcBorders>
            <w:vAlign w:val="center"/>
          </w:tcPr>
          <w:p w14:paraId="6213D6D1" w14:textId="77777777" w:rsidR="0014238C" w:rsidRPr="00A945CD" w:rsidRDefault="0014238C" w:rsidP="00940DC1"/>
        </w:tc>
        <w:tc>
          <w:tcPr>
            <w:tcW w:w="7020" w:type="dxa"/>
            <w:tcBorders>
              <w:top w:val="nil"/>
              <w:left w:val="nil"/>
              <w:bottom w:val="nil"/>
              <w:right w:val="nil"/>
            </w:tcBorders>
            <w:vAlign w:val="center"/>
          </w:tcPr>
          <w:p w14:paraId="2E250664" w14:textId="37594AFE" w:rsidR="0014238C" w:rsidRPr="0014238C" w:rsidRDefault="00481FDD" w:rsidP="00940DC1">
            <w:pPr>
              <w:jc w:val="center"/>
              <w:rPr>
                <w:rFonts w:ascii="Cambria Math" w:eastAsia="Cambria Math" w:hAnsi="Cambria Math" w:cs="Cambria Math"/>
                <w:oMath/>
              </w:rPr>
            </w:pPr>
            <w:r>
              <w:t>CO + H</w:t>
            </w:r>
            <w:r>
              <w:rPr>
                <w:vertAlign w:val="subscript"/>
              </w:rPr>
              <w:t>2</w:t>
            </w:r>
            <w:r>
              <w:t xml:space="preserve">O </w:t>
            </w:r>
            <w:r>
              <w:rPr>
                <w:rFonts w:cs="Arial"/>
              </w:rPr>
              <w:t>→</w:t>
            </w:r>
            <w:r>
              <w:t xml:space="preserve"> CO</w:t>
            </w:r>
            <w:r>
              <w:rPr>
                <w:vertAlign w:val="subscript"/>
              </w:rPr>
              <w:t>2</w:t>
            </w:r>
            <w:r>
              <w:t xml:space="preserve"> + H</w:t>
            </w:r>
            <w:r>
              <w:rPr>
                <w:vertAlign w:val="subscript"/>
              </w:rPr>
              <w:t>2</w:t>
            </w:r>
          </w:p>
        </w:tc>
        <w:tc>
          <w:tcPr>
            <w:tcW w:w="990" w:type="dxa"/>
            <w:tcBorders>
              <w:top w:val="nil"/>
              <w:left w:val="nil"/>
              <w:bottom w:val="nil"/>
              <w:right w:val="nil"/>
            </w:tcBorders>
            <w:vAlign w:val="center"/>
          </w:tcPr>
          <w:p w14:paraId="5D72E479" w14:textId="216E0D31" w:rsidR="0014238C" w:rsidRPr="00A945CD" w:rsidRDefault="0014238C" w:rsidP="00940DC1">
            <w:r w:rsidRPr="00A945CD">
              <w:t>(</w:t>
            </w:r>
            <w:r w:rsidR="00481FDD">
              <w:t>2</w:t>
            </w:r>
            <w:r w:rsidRPr="00A945CD">
              <w:t>)</w:t>
            </w:r>
          </w:p>
        </w:tc>
      </w:tr>
    </w:tbl>
    <w:p w14:paraId="180EB5F0" w14:textId="5073A0D2" w:rsidR="00B37388" w:rsidRDefault="00070D47" w:rsidP="00B37388">
      <w:r>
        <w:t>After the reformers, the hydrogen yield is increased by means of water-gas shift (WGS), where reaction (2) is carried out. A higher-temperature WGS reactor (T= 380-460°C) is followed by a lower temperature (T = 210-270°C) one. Finally, the product hydrogen is purified in the unit H-PUR</w:t>
      </w:r>
      <w:r w:rsidR="007F6B3C">
        <w:t>, which simulates a PSA unit (H</w:t>
      </w:r>
      <w:r w:rsidR="007F6B3C" w:rsidRPr="0066096A">
        <w:rPr>
          <w:vertAlign w:val="subscript"/>
        </w:rPr>
        <w:t>2</w:t>
      </w:r>
      <w:r w:rsidR="007F6B3C">
        <w:t xml:space="preserve"> purity of 100% is assumed)</w:t>
      </w:r>
      <w:r>
        <w:t xml:space="preserve">. </w:t>
      </w:r>
      <w:r w:rsidR="007F6B3C">
        <w:t xml:space="preserve">The OUT-GAS stream is burnt in a furnace </w:t>
      </w:r>
      <w:r w:rsidR="00A467E7">
        <w:t xml:space="preserve">(modelled as RSTOICH reactor) </w:t>
      </w:r>
      <w:r w:rsidR="007F6B3C">
        <w:t xml:space="preserve">with additional natural gas to provide the heat duty required by the reformers. </w:t>
      </w:r>
      <w:r>
        <w:t>Rigorous kinetics were implemented by means of Fortran subroutines for both reformers and WGS reactors, both of which were modelled as plug-flow reactors.</w:t>
      </w:r>
    </w:p>
    <w:p w14:paraId="076686DE" w14:textId="2C7B58F7" w:rsidR="00B37388" w:rsidRDefault="00B37388" w:rsidP="009E6BB3">
      <w:pPr>
        <w:spacing w:line="240" w:lineRule="auto"/>
      </w:pPr>
      <w:r w:rsidRPr="00CA0117">
        <w:rPr>
          <w:noProof/>
          <w:lang w:val="it-IT" w:eastAsia="it-IT"/>
        </w:rPr>
        <w:drawing>
          <wp:inline distT="0" distB="0" distL="0" distR="0" wp14:anchorId="063E02F9" wp14:editId="5C9ABAE9">
            <wp:extent cx="5413143" cy="1328715"/>
            <wp:effectExtent l="0" t="0" r="0" b="5080"/>
            <wp:docPr id="9" name="Picture 8" descr="Graphical user interface&#10;&#10;Description automatically generated">
              <a:extLst xmlns:a="http://schemas.openxmlformats.org/drawingml/2006/main">
                <a:ext uri="{FF2B5EF4-FFF2-40B4-BE49-F238E27FC236}">
                  <a16:creationId xmlns:a16="http://schemas.microsoft.com/office/drawing/2014/main" id="{13D780CF-670C-492D-BBA4-D3A16A1107AB}"/>
                </a:ext>
              </a:extLst>
            </wp:docPr>
            <wp:cNvGraphicFramePr/>
            <a:graphic xmlns:a="http://schemas.openxmlformats.org/drawingml/2006/main">
              <a:graphicData uri="http://schemas.openxmlformats.org/drawingml/2006/picture">
                <pic:pic xmlns:pic="http://schemas.openxmlformats.org/drawingml/2006/picture">
                  <pic:nvPicPr>
                    <pic:cNvPr id="9" name="Picture 8" descr="Graphical user interface&#10;&#10;Description automatically generated">
                      <a:extLst>
                        <a:ext uri="{FF2B5EF4-FFF2-40B4-BE49-F238E27FC236}">
                          <a16:creationId xmlns:a16="http://schemas.microsoft.com/office/drawing/2014/main" id="{13D780CF-670C-492D-BBA4-D3A16A1107AB}"/>
                        </a:ext>
                      </a:extLst>
                    </pic:cNvPr>
                    <pic:cNvPicPr/>
                  </pic:nvPicPr>
                  <pic:blipFill rotWithShape="1">
                    <a:blip r:embed="rId11"/>
                    <a:srcRect l="17815" t="38177" r="2105" b="36010"/>
                    <a:stretch/>
                  </pic:blipFill>
                  <pic:spPr bwMode="auto">
                    <a:xfrm>
                      <a:off x="0" y="0"/>
                      <a:ext cx="5701738" cy="1399554"/>
                    </a:xfrm>
                    <a:prstGeom prst="rect">
                      <a:avLst/>
                    </a:prstGeom>
                    <a:ln>
                      <a:noFill/>
                    </a:ln>
                    <a:extLst>
                      <a:ext uri="{53640926-AAD7-44D8-BBD7-CCE9431645EC}">
                        <a14:shadowObscured xmlns:a14="http://schemas.microsoft.com/office/drawing/2010/main"/>
                      </a:ext>
                    </a:extLst>
                  </pic:spPr>
                </pic:pic>
              </a:graphicData>
            </a:graphic>
          </wp:inline>
        </w:drawing>
      </w:r>
    </w:p>
    <w:p w14:paraId="1310D652" w14:textId="40FA37A1" w:rsidR="007B061D" w:rsidRDefault="007B061D" w:rsidP="007B061D">
      <w:pPr>
        <w:pStyle w:val="CETCaption"/>
      </w:pPr>
      <w:r>
        <w:t>Figure 1. Aspen Plus flowsheet of the methane steam reforming process.</w:t>
      </w:r>
    </w:p>
    <w:p w14:paraId="4669BDA9" w14:textId="185D90E8" w:rsidR="00B37388" w:rsidRDefault="00B37388" w:rsidP="00B37388">
      <w:pPr>
        <w:pStyle w:val="CETheadingx"/>
      </w:pPr>
      <w:r>
        <w:t>Blue Hydrogen: methane steam reforming with CCS</w:t>
      </w:r>
    </w:p>
    <w:p w14:paraId="074E6ABF" w14:textId="1BF65847" w:rsidR="002372A3" w:rsidRDefault="00934B8E" w:rsidP="00934B8E">
      <w:pPr>
        <w:pStyle w:val="CETBodytext"/>
      </w:pPr>
      <w:r>
        <w:t>Blue hydrogen indicates H</w:t>
      </w:r>
      <w:r w:rsidRPr="007B061D">
        <w:rPr>
          <w:vertAlign w:val="subscript"/>
        </w:rPr>
        <w:t>2</w:t>
      </w:r>
      <w:r>
        <w:t xml:space="preserve"> produced by </w:t>
      </w:r>
      <w:r w:rsidR="00CA4C9C">
        <w:t xml:space="preserve">SMR </w:t>
      </w:r>
      <w:r>
        <w:t>coupled with Carbon Capture and Storage (CCS) to reduce the amount of associated CO</w:t>
      </w:r>
      <w:r w:rsidRPr="00934B8E">
        <w:rPr>
          <w:vertAlign w:val="subscript"/>
        </w:rPr>
        <w:t>2</w:t>
      </w:r>
      <w:r>
        <w:rPr>
          <w:vertAlign w:val="subscript"/>
        </w:rPr>
        <w:t xml:space="preserve"> </w:t>
      </w:r>
      <w:r>
        <w:t>emissions.</w:t>
      </w:r>
      <w:r w:rsidR="001940EB">
        <w:t xml:space="preserve"> </w:t>
      </w:r>
      <w:r w:rsidR="008C29A5">
        <w:t>Several</w:t>
      </w:r>
      <w:r w:rsidR="001940EB">
        <w:t xml:space="preserve"> technologies are being developed for CCS from gaseous streams, however the most mature one today is represented by chemical absorption with amines. Accordingly, a CCS process was designed to capture CO</w:t>
      </w:r>
      <w:r w:rsidR="001940EB" w:rsidRPr="001940EB">
        <w:rPr>
          <w:vertAlign w:val="subscript"/>
        </w:rPr>
        <w:t>2</w:t>
      </w:r>
      <w:r w:rsidR="001940EB">
        <w:t xml:space="preserve"> from the OUT-GAS stream derived from the </w:t>
      </w:r>
      <w:r w:rsidR="00CA4C9C">
        <w:t xml:space="preserve">SMR </w:t>
      </w:r>
      <w:r w:rsidR="001940EB">
        <w:t xml:space="preserve">simulation, using a </w:t>
      </w:r>
      <w:proofErr w:type="spellStart"/>
      <w:r w:rsidR="001940EB">
        <w:t>diglycolamine</w:t>
      </w:r>
      <w:proofErr w:type="spellEnd"/>
      <w:r w:rsidR="001940EB">
        <w:t xml:space="preserve"> (DGA) solution. The process flowsheet developed in Aspen Plus is shown in Figure 2</w:t>
      </w:r>
      <w:r w:rsidR="00FD3386">
        <w:t>a</w:t>
      </w:r>
      <w:r w:rsidR="001940EB">
        <w:t xml:space="preserve">. </w:t>
      </w:r>
      <w:r w:rsidR="002372A3">
        <w:t>The OUT-GAS stream (45 mol% CO</w:t>
      </w:r>
      <w:r w:rsidR="002372A3">
        <w:rPr>
          <w:vertAlign w:val="subscript"/>
        </w:rPr>
        <w:t>2</w:t>
      </w:r>
      <w:r w:rsidR="002372A3">
        <w:t xml:space="preserve">), at 55°C and 1 bar, is fed to the bottom of a packed absorption column, counter-current to the lean amine solution (LEANIN). </w:t>
      </w:r>
      <w:r w:rsidR="008C29A5">
        <w:t>T</w:t>
      </w:r>
      <w:r w:rsidR="002372A3">
        <w:t>o avoid excessive losses of DGA with the clean gases exiting from the top of the absorber, a washing section is added at the top of the column, where water is recirculated. The absorber (with height H = 20 m and diameter D = 4 m) captures 82% of the CO</w:t>
      </w:r>
      <w:r w:rsidR="002372A3" w:rsidRPr="002372A3">
        <w:rPr>
          <w:vertAlign w:val="subscript"/>
        </w:rPr>
        <w:t>2</w:t>
      </w:r>
      <w:r w:rsidR="002372A3">
        <w:rPr>
          <w:vertAlign w:val="subscript"/>
        </w:rPr>
        <w:t xml:space="preserve"> </w:t>
      </w:r>
      <w:r w:rsidR="002372A3">
        <w:t xml:space="preserve">from the inlet gases. The rich solution, after being heated up to a temperature T = 106°C, is regenerated by means of a </w:t>
      </w:r>
      <w:proofErr w:type="spellStart"/>
      <w:r w:rsidR="002372A3">
        <w:t>reboiled</w:t>
      </w:r>
      <w:proofErr w:type="spellEnd"/>
      <w:r w:rsidR="002372A3">
        <w:t xml:space="preserve"> stripper</w:t>
      </w:r>
      <w:r w:rsidR="00F00F6B">
        <w:t xml:space="preserve">, operating at 2 </w:t>
      </w:r>
      <w:proofErr w:type="gramStart"/>
      <w:r w:rsidR="001E5F23">
        <w:t>bar</w:t>
      </w:r>
      <w:proofErr w:type="gramEnd"/>
      <w:r w:rsidR="008C29A5">
        <w:t>, whose heat duty is satisfied exploiting the SMR flue gases.</w:t>
      </w:r>
      <w:r w:rsidR="002372A3">
        <w:t xml:space="preserve"> The</w:t>
      </w:r>
      <w:r w:rsidR="00F00F6B">
        <w:t xml:space="preserve"> CO</w:t>
      </w:r>
      <w:r w:rsidR="00F00F6B" w:rsidRPr="00F00F6B">
        <w:rPr>
          <w:vertAlign w:val="subscript"/>
        </w:rPr>
        <w:t>2</w:t>
      </w:r>
      <w:r w:rsidR="00F00F6B">
        <w:t xml:space="preserve"> is recovered from the top of the column, after gas-liquid separation at a temperature of T=15°C (HX4+FLASH1), at 99 mol% purity.</w:t>
      </w:r>
    </w:p>
    <w:p w14:paraId="4B3A216C" w14:textId="77777777" w:rsidR="007B5ACA" w:rsidRPr="009B27A2" w:rsidRDefault="007B5ACA" w:rsidP="007B5ACA">
      <w:pPr>
        <w:pStyle w:val="CETheadingx"/>
        <w:numPr>
          <w:ilvl w:val="2"/>
          <w:numId w:val="26"/>
        </w:numPr>
      </w:pPr>
      <w:r>
        <w:t>Green Hydrogen: water electrolysis from renewables</w:t>
      </w:r>
    </w:p>
    <w:p w14:paraId="1020F6A4" w14:textId="77777777" w:rsidR="007B5ACA" w:rsidRDefault="007B5ACA" w:rsidP="007B5ACA">
      <w:pPr>
        <w:rPr>
          <w:lang w:val="en-US"/>
        </w:rPr>
      </w:pPr>
      <w:r w:rsidRPr="00AB175F">
        <w:rPr>
          <w:lang w:val="en-US"/>
        </w:rPr>
        <w:t xml:space="preserve">Water electrolysis (WE) consists in the splitting of water into hydrogen and oxygen by applying an electrical voltage. </w:t>
      </w:r>
      <w:r>
        <w:rPr>
          <w:lang w:val="en-US"/>
        </w:rPr>
        <w:t xml:space="preserve">Different types of electrolysis cells exist based on the type of electrolyte employed, namely Alkaline Electrolysis Cells (AEC), Polymer Electrolyte Membrane Electrolysis Cells (PEMEC), and Solid Oxide </w:t>
      </w:r>
      <w:r>
        <w:rPr>
          <w:lang w:val="en-US"/>
        </w:rPr>
        <w:lastRenderedPageBreak/>
        <w:t>Electrolysis cells (SOEC) (</w:t>
      </w:r>
      <w:proofErr w:type="spellStart"/>
      <w:r>
        <w:rPr>
          <w:lang w:val="en-US"/>
        </w:rPr>
        <w:t>Buttler</w:t>
      </w:r>
      <w:proofErr w:type="spellEnd"/>
      <w:r>
        <w:rPr>
          <w:lang w:val="en-US"/>
        </w:rPr>
        <w:t xml:space="preserve"> and </w:t>
      </w:r>
      <w:proofErr w:type="spellStart"/>
      <w:r>
        <w:rPr>
          <w:lang w:val="en-US"/>
        </w:rPr>
        <w:t>Spliethoff</w:t>
      </w:r>
      <w:proofErr w:type="spellEnd"/>
      <w:r>
        <w:rPr>
          <w:lang w:val="en-US"/>
        </w:rPr>
        <w:t xml:space="preserve">, 2018). Currently, AEC represents the most mature technology, already employed at large scale. For this reason, it was chosen as representative for green hydrogen production in this work. The process flowsheet developed in Aspen Plus is shown in Figure 2b. </w:t>
      </w:r>
    </w:p>
    <w:p w14:paraId="2ACEF161" w14:textId="77777777" w:rsidR="00FD3386" w:rsidRDefault="00FD3386" w:rsidP="00FD3386">
      <w:pPr>
        <w:pStyle w:val="CETBodytext"/>
        <w:jc w:val="left"/>
      </w:pPr>
      <w:r w:rsidRPr="00FD3386">
        <w:rPr>
          <w:noProof/>
          <w:lang w:val="en-GB" w:eastAsia="it-IT"/>
        </w:rPr>
        <w:t>a</w:t>
      </w:r>
      <w:r w:rsidRPr="002372A3">
        <w:rPr>
          <w:noProof/>
          <w:lang w:val="it-IT" w:eastAsia="it-IT"/>
        </w:rPr>
        <w:drawing>
          <wp:inline distT="0" distB="0" distL="0" distR="0" wp14:anchorId="385C3E18" wp14:editId="45C6EA2C">
            <wp:extent cx="2694969" cy="1161520"/>
            <wp:effectExtent l="0" t="0" r="0" b="635"/>
            <wp:docPr id="7" name="Immagine 4" descr="C:\Users\barbele06129\Documents\ShareX\Screenshots\2022-05\5WT66tyAm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ele06129\Documents\ShareX\Screenshots\2022-05\5WT66tyAms.tif"/>
                    <pic:cNvPicPr>
                      <a:picLocks noChangeAspect="1" noChangeArrowheads="1"/>
                    </pic:cNvPicPr>
                  </pic:nvPicPr>
                  <pic:blipFill rotWithShape="1">
                    <a:blip r:embed="rId12">
                      <a:extLst>
                        <a:ext uri="{28A0092B-C50C-407E-A947-70E740481C1C}">
                          <a14:useLocalDpi xmlns:a14="http://schemas.microsoft.com/office/drawing/2010/main" val="0"/>
                        </a:ext>
                      </a:extLst>
                    </a:blip>
                    <a:srcRect l="1987" t="4702" r="2953" b="4051"/>
                    <a:stretch/>
                  </pic:blipFill>
                  <pic:spPr bwMode="auto">
                    <a:xfrm>
                      <a:off x="0" y="0"/>
                      <a:ext cx="2756913" cy="1188217"/>
                    </a:xfrm>
                    <a:prstGeom prst="rect">
                      <a:avLst/>
                    </a:prstGeom>
                    <a:noFill/>
                    <a:ln>
                      <a:noFill/>
                    </a:ln>
                    <a:extLst>
                      <a:ext uri="{53640926-AAD7-44D8-BBD7-CCE9431645EC}">
                        <a14:shadowObscured xmlns:a14="http://schemas.microsoft.com/office/drawing/2010/main"/>
                      </a:ext>
                    </a:extLst>
                  </pic:spPr>
                </pic:pic>
              </a:graphicData>
            </a:graphic>
          </wp:inline>
        </w:drawing>
      </w:r>
      <w:r>
        <w:t>b</w:t>
      </w:r>
      <w:r w:rsidRPr="00783D1C">
        <w:rPr>
          <w:noProof/>
          <w:lang w:val="it-IT" w:eastAsia="it-IT"/>
        </w:rPr>
        <w:drawing>
          <wp:inline distT="0" distB="0" distL="0" distR="0" wp14:anchorId="7B127073" wp14:editId="3CDF1DA5">
            <wp:extent cx="2743722" cy="923925"/>
            <wp:effectExtent l="0" t="0" r="0" b="0"/>
            <wp:docPr id="8" name="Immagine 3" descr="C:\Users\barbele06129\Documents\ShareX\Screenshots\2022-05\4Q3gTThnr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ele06129\Documents\ShareX\Screenshots\2022-05\4Q3gTThnr4.tif"/>
                    <pic:cNvPicPr>
                      <a:picLocks noChangeAspect="1" noChangeArrowheads="1"/>
                    </pic:cNvPicPr>
                  </pic:nvPicPr>
                  <pic:blipFill rotWithShape="1">
                    <a:blip r:embed="rId13">
                      <a:extLst>
                        <a:ext uri="{28A0092B-C50C-407E-A947-70E740481C1C}">
                          <a14:useLocalDpi xmlns:a14="http://schemas.microsoft.com/office/drawing/2010/main" val="0"/>
                        </a:ext>
                      </a:extLst>
                    </a:blip>
                    <a:srcRect l="3233" t="4341" b="4509"/>
                    <a:stretch/>
                  </pic:blipFill>
                  <pic:spPr bwMode="auto">
                    <a:xfrm>
                      <a:off x="0" y="0"/>
                      <a:ext cx="2881489" cy="970317"/>
                    </a:xfrm>
                    <a:prstGeom prst="rect">
                      <a:avLst/>
                    </a:prstGeom>
                    <a:noFill/>
                    <a:ln>
                      <a:noFill/>
                    </a:ln>
                    <a:extLst>
                      <a:ext uri="{53640926-AAD7-44D8-BBD7-CCE9431645EC}">
                        <a14:shadowObscured xmlns:a14="http://schemas.microsoft.com/office/drawing/2010/main"/>
                      </a:ext>
                    </a:extLst>
                  </pic:spPr>
                </pic:pic>
              </a:graphicData>
            </a:graphic>
          </wp:inline>
        </w:drawing>
      </w:r>
    </w:p>
    <w:p w14:paraId="600EF1B9" w14:textId="77777777" w:rsidR="00FD3386" w:rsidRDefault="00FD3386" w:rsidP="00FD3386">
      <w:pPr>
        <w:pStyle w:val="CETCaption"/>
        <w:jc w:val="left"/>
      </w:pPr>
      <w:r>
        <w:t xml:space="preserve">Figure 2. Aspen Plus flowsheet of the CCS unit (a) and </w:t>
      </w:r>
      <w:r w:rsidRPr="00783D1C">
        <w:rPr>
          <w:lang w:val="en-US"/>
        </w:rPr>
        <w:t>o</w:t>
      </w:r>
      <w:r>
        <w:rPr>
          <w:lang w:val="en-US"/>
        </w:rPr>
        <w:t>f the alkaline water electrolysis process (b)</w:t>
      </w:r>
      <w:r>
        <w:t>.</w:t>
      </w:r>
    </w:p>
    <w:p w14:paraId="1C8EE368" w14:textId="1AD8DF6B" w:rsidR="00057286" w:rsidRPr="0003558C" w:rsidRDefault="00057286" w:rsidP="00057286">
      <w:pPr>
        <w:rPr>
          <w:lang w:val="en-US"/>
        </w:rPr>
      </w:pPr>
      <w:r>
        <w:rPr>
          <w:lang w:val="en-US"/>
        </w:rPr>
        <w:t>Since electrolytic cells are not implemented in Aspen Plus, a user defined unit model coupled to Excel calculator was used to insert the model equations for the stack. Specifically, material and energy balances were calculated according to the model proposed by S</w:t>
      </w:r>
      <w:r>
        <w:rPr>
          <w:rFonts w:cs="Arial"/>
          <w:lang w:val="en-US"/>
        </w:rPr>
        <w:t>á</w:t>
      </w:r>
      <w:r>
        <w:rPr>
          <w:lang w:val="en-US"/>
        </w:rPr>
        <w:t xml:space="preserve">nchez et al. </w:t>
      </w:r>
      <w:r w:rsidRPr="0003558C">
        <w:rPr>
          <w:lang w:val="en-US"/>
        </w:rPr>
        <w:t>(</w:t>
      </w:r>
      <w:r w:rsidR="001E5F23">
        <w:rPr>
          <w:lang w:val="en-US"/>
        </w:rPr>
        <w:t xml:space="preserve">2020) </w:t>
      </w:r>
      <w:r w:rsidRPr="0003558C">
        <w:rPr>
          <w:lang w:val="en-US"/>
        </w:rPr>
        <w:t>which includes semi-empirical equations to describe the cell voltage</w:t>
      </w:r>
      <w:r>
        <w:rPr>
          <w:lang w:val="en-US"/>
        </w:rPr>
        <w:t>, Faraday efficiency, and gas purity as a function of operating temperature, pressure, and current density.</w:t>
      </w:r>
      <w:r w:rsidRPr="0003558C">
        <w:rPr>
          <w:lang w:val="en-US"/>
        </w:rPr>
        <w:t xml:space="preserve"> </w:t>
      </w:r>
      <w:r>
        <w:rPr>
          <w:lang w:val="en-US"/>
        </w:rPr>
        <w:t xml:space="preserve">An aqueous solution of KOH (35 </w:t>
      </w:r>
      <w:proofErr w:type="spellStart"/>
      <w:r>
        <w:rPr>
          <w:lang w:val="en-US"/>
        </w:rPr>
        <w:t>wt</w:t>
      </w:r>
      <w:proofErr w:type="spellEnd"/>
      <w:r>
        <w:rPr>
          <w:lang w:val="en-US"/>
        </w:rPr>
        <w:t>%) is fed to the cell stack. The oxygen produced at the anode and the hydrogen produced at the cathode are then led with the electrolyte to a series of flash vessels for gas-liquid separation. The electrolyte recovered in FLASH1 and FLASH2 is recycled, after make-up of water (stream H2OFEED), while the produced H</w:t>
      </w:r>
      <w:r w:rsidRPr="007B061D">
        <w:rPr>
          <w:vertAlign w:val="subscript"/>
          <w:lang w:val="en-US"/>
        </w:rPr>
        <w:t>2</w:t>
      </w:r>
      <w:r>
        <w:rPr>
          <w:lang w:val="en-US"/>
        </w:rPr>
        <w:t xml:space="preserve"> is further purified to remove moisture. </w:t>
      </w:r>
    </w:p>
    <w:p w14:paraId="12FB163D" w14:textId="4E31A991" w:rsidR="00B37388" w:rsidRPr="00070D47" w:rsidRDefault="00E37981" w:rsidP="00B37388">
      <w:pPr>
        <w:pStyle w:val="CETheadingx"/>
      </w:pPr>
      <w:r>
        <w:t>Grid</w:t>
      </w:r>
      <w:r w:rsidRPr="00070D47">
        <w:t xml:space="preserve"> </w:t>
      </w:r>
      <w:r w:rsidR="00B37388" w:rsidRPr="00070D47">
        <w:t xml:space="preserve">hydrogen: water electrolysis </w:t>
      </w:r>
      <w:r w:rsidR="00FD5D20">
        <w:t>using electricity from the</w:t>
      </w:r>
      <w:r w:rsidR="00B7640B">
        <w:t xml:space="preserve"> </w:t>
      </w:r>
      <w:r w:rsidR="00B37388" w:rsidRPr="00070D47">
        <w:t>grid</w:t>
      </w:r>
    </w:p>
    <w:p w14:paraId="1D2B4837" w14:textId="3C7672B7" w:rsidR="00FD3386" w:rsidRDefault="00E37981" w:rsidP="00B37388">
      <w:pPr>
        <w:rPr>
          <w:lang w:val="en-US"/>
        </w:rPr>
      </w:pPr>
      <w:r>
        <w:rPr>
          <w:lang w:val="en-US"/>
        </w:rPr>
        <w:t>Grid</w:t>
      </w:r>
      <w:r w:rsidRPr="00514A2E">
        <w:rPr>
          <w:lang w:val="en-US"/>
        </w:rPr>
        <w:t xml:space="preserve"> </w:t>
      </w:r>
      <w:r w:rsidR="00FD5D20" w:rsidRPr="00514A2E">
        <w:rPr>
          <w:lang w:val="en-US"/>
        </w:rPr>
        <w:t xml:space="preserve">hydrogen is produced through electrolysis using electricity from the electrical grid. For this study, the electricity mix of </w:t>
      </w:r>
      <w:r w:rsidR="00F37A08">
        <w:rPr>
          <w:lang w:val="en-US"/>
        </w:rPr>
        <w:t>Italy</w:t>
      </w:r>
      <w:r w:rsidR="00FD5D20" w:rsidRPr="00514A2E">
        <w:rPr>
          <w:lang w:val="en-US"/>
        </w:rPr>
        <w:t xml:space="preserve"> is considered</w:t>
      </w:r>
      <w:r w:rsidR="00FD3386">
        <w:rPr>
          <w:lang w:val="en-US"/>
        </w:rPr>
        <w:t>: renewables (45.04%), nuclear (3.22%), coal (6.34%) natural gas (42.28%) and others (2.64%).</w:t>
      </w:r>
    </w:p>
    <w:p w14:paraId="4540A07A" w14:textId="40DC9A79" w:rsidR="00B37388" w:rsidRDefault="00F4137F" w:rsidP="00B37388">
      <w:pPr>
        <w:pStyle w:val="CETheadingx"/>
      </w:pPr>
      <w:r w:rsidRPr="00B37388">
        <w:t>Energy return on energy invested</w:t>
      </w:r>
    </w:p>
    <w:p w14:paraId="657BC7AF" w14:textId="6CB9CDDE" w:rsidR="00F4137F" w:rsidRPr="00A945CD" w:rsidRDefault="00F4137F" w:rsidP="00F4137F">
      <w:r w:rsidRPr="00436BF7">
        <w:t xml:space="preserve">Several methods and indices can be used to assess the efficiency of </w:t>
      </w:r>
      <w:r w:rsidR="002C318F">
        <w:t xml:space="preserve">a </w:t>
      </w:r>
      <w:r w:rsidRPr="00436BF7">
        <w:t>production process involving the generation of energy carriers (electricity and/or hydrogen), but the best method for comparing different energy production industries is Net Energy Analysis (NEA). The goal of NEA is to calculate whether the energy produced by any production process is greater than the energy required to build, operate and maintain the infrastructure. Among the possible indexes derived from NEA, the most suitable indicator for the processes of interest is the EROEI defined as</w:t>
      </w:r>
      <w:r>
        <w:t>:</w:t>
      </w:r>
      <w:r w:rsidRPr="00A945CD">
        <w:t xml:space="preserve"> </w:t>
      </w:r>
    </w:p>
    <w:tbl>
      <w:tblPr>
        <w:tblW w:w="8725" w:type="dxa"/>
        <w:tblBorders>
          <w:top w:val="nil"/>
          <w:left w:val="nil"/>
          <w:bottom w:val="nil"/>
          <w:right w:val="nil"/>
          <w:insideH w:val="nil"/>
          <w:insideV w:val="nil"/>
        </w:tblBorders>
        <w:tblLayout w:type="fixed"/>
        <w:tblLook w:val="0400" w:firstRow="0" w:lastRow="0" w:firstColumn="0" w:lastColumn="0" w:noHBand="0" w:noVBand="1"/>
      </w:tblPr>
      <w:tblGrid>
        <w:gridCol w:w="715"/>
        <w:gridCol w:w="7020"/>
        <w:gridCol w:w="990"/>
      </w:tblGrid>
      <w:tr w:rsidR="00F4137F" w:rsidRPr="00A945CD" w14:paraId="5806DAC4" w14:textId="77777777" w:rsidTr="004E40C1">
        <w:tc>
          <w:tcPr>
            <w:tcW w:w="715" w:type="dxa"/>
            <w:vAlign w:val="center"/>
          </w:tcPr>
          <w:p w14:paraId="58A86109" w14:textId="77777777" w:rsidR="00F4137F" w:rsidRPr="00A945CD" w:rsidRDefault="00F4137F" w:rsidP="004E40C1"/>
        </w:tc>
        <w:tc>
          <w:tcPr>
            <w:tcW w:w="7020" w:type="dxa"/>
            <w:vAlign w:val="center"/>
          </w:tcPr>
          <w:p w14:paraId="4E9F75A7" w14:textId="77777777" w:rsidR="00F4137F" w:rsidRPr="00A945CD" w:rsidRDefault="00F4137F" w:rsidP="004E40C1">
            <w:pPr>
              <w:jc w:val="center"/>
              <w:rPr>
                <w:rFonts w:ascii="Cambria Math" w:eastAsia="Cambria Math" w:hAnsi="Cambria Math" w:cs="Cambria Math"/>
              </w:rPr>
            </w:pPr>
            <m:oMathPara>
              <m:oMath>
                <m:r>
                  <w:rPr>
                    <w:rFonts w:ascii="Cambria Math" w:eastAsia="Cambria Math" w:hAnsi="Cambria Math" w:cs="Cambria Math"/>
                  </w:rPr>
                  <m:t>EROEI=</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out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in</m:t>
                    </m:r>
                  </m:sub>
                </m:sSub>
                <m:r>
                  <w:rPr>
                    <w:rFonts w:ascii="Cambria Math" w:eastAsia="Cambria Math" w:hAnsi="Cambria Math" w:cs="Cambria Math"/>
                  </w:rPr>
                  <m:t xml:space="preserve"> </m:t>
                </m:r>
              </m:oMath>
            </m:oMathPara>
          </w:p>
        </w:tc>
        <w:tc>
          <w:tcPr>
            <w:tcW w:w="990" w:type="dxa"/>
            <w:vAlign w:val="center"/>
          </w:tcPr>
          <w:p w14:paraId="56716A46" w14:textId="218BF538" w:rsidR="00F4137F" w:rsidRPr="00A945CD" w:rsidRDefault="00F4137F" w:rsidP="004E40C1">
            <w:r w:rsidRPr="00A945CD">
              <w:t>(</w:t>
            </w:r>
            <w:r w:rsidR="00481FDD">
              <w:t>3</w:t>
            </w:r>
            <w:r w:rsidRPr="00A945CD">
              <w:t>)</w:t>
            </w:r>
          </w:p>
        </w:tc>
      </w:tr>
    </w:tbl>
    <w:p w14:paraId="14EE4456" w14:textId="77777777" w:rsidR="00481FDD" w:rsidRDefault="00F4137F" w:rsidP="00F4137F">
      <w:r>
        <w:t>w</w:t>
      </w:r>
      <w:r w:rsidRPr="00A945CD">
        <w:t xml:space="preserve">here </w:t>
      </w:r>
      <w:proofErr w:type="spellStart"/>
      <w:r w:rsidRPr="00A945CD">
        <w:t>E</w:t>
      </w:r>
      <w:r w:rsidRPr="00F4137F">
        <w:rPr>
          <w:vertAlign w:val="subscript"/>
        </w:rPr>
        <w:t>out</w:t>
      </w:r>
      <w:proofErr w:type="spellEnd"/>
      <w:r w:rsidRPr="00A945CD">
        <w:t xml:space="preserve"> is the available electrical energy that the process provides</w:t>
      </w:r>
      <w:r w:rsidR="00481FDD">
        <w:t xml:space="preserve">, </w:t>
      </w:r>
      <w:r>
        <w:t>which for hydrogen is the energy stored in a given quantity of hydrogen</w:t>
      </w:r>
      <w:r w:rsidR="00481FDD">
        <w:t>, and is defined as follows:</w:t>
      </w:r>
    </w:p>
    <w:tbl>
      <w:tblPr>
        <w:tblW w:w="8725" w:type="dxa"/>
        <w:tblBorders>
          <w:top w:val="nil"/>
          <w:left w:val="nil"/>
          <w:bottom w:val="nil"/>
          <w:right w:val="nil"/>
          <w:insideH w:val="nil"/>
          <w:insideV w:val="nil"/>
        </w:tblBorders>
        <w:tblLayout w:type="fixed"/>
        <w:tblLook w:val="0400" w:firstRow="0" w:lastRow="0" w:firstColumn="0" w:lastColumn="0" w:noHBand="0" w:noVBand="1"/>
      </w:tblPr>
      <w:tblGrid>
        <w:gridCol w:w="715"/>
        <w:gridCol w:w="7020"/>
        <w:gridCol w:w="990"/>
      </w:tblGrid>
      <w:tr w:rsidR="00481FDD" w:rsidRPr="00A945CD" w14:paraId="3AAC64CF" w14:textId="77777777" w:rsidTr="00940DC1">
        <w:tc>
          <w:tcPr>
            <w:tcW w:w="715" w:type="dxa"/>
            <w:vAlign w:val="center"/>
          </w:tcPr>
          <w:p w14:paraId="7F830BD6" w14:textId="77777777" w:rsidR="00481FDD" w:rsidRPr="00A945CD" w:rsidRDefault="00481FDD" w:rsidP="00940DC1"/>
        </w:tc>
        <w:tc>
          <w:tcPr>
            <w:tcW w:w="7020" w:type="dxa"/>
            <w:vAlign w:val="center"/>
          </w:tcPr>
          <w:p w14:paraId="616A0075" w14:textId="64A41278" w:rsidR="00481FDD" w:rsidRPr="00A945CD" w:rsidRDefault="00000000" w:rsidP="00940DC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out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H2</m:t>
                    </m:r>
                  </m:sub>
                </m:sSub>
                <m:r>
                  <w:rPr>
                    <w:rFonts w:ascii="Cambria Math" w:eastAsia="Cambria Math" w:hAnsi="Cambria Math" w:cs="Cambria Math"/>
                  </w:rPr>
                  <m:t>∙HHV∙</m:t>
                </m:r>
                <m:d>
                  <m:dPr>
                    <m:ctrlPr>
                      <w:rPr>
                        <w:rFonts w:ascii="Cambria Math" w:eastAsia="Cambria Math" w:hAnsi="Cambria Math" w:cs="Cambria Math"/>
                        <w:i/>
                      </w:rPr>
                    </m:ctrlPr>
                  </m:dPr>
                  <m:e>
                    <m:r>
                      <w:rPr>
                        <w:rFonts w:ascii="Cambria Math" w:eastAsia="Cambria Math" w:hAnsi="Cambria Math" w:cs="Cambria Math"/>
                      </w:rPr>
                      <m:t>1-Aux</m:t>
                    </m:r>
                  </m:e>
                </m:d>
                <m:r>
                  <w:rPr>
                    <w:rFonts w:ascii="Cambria Math" w:eastAsia="Cambria Math" w:hAnsi="Cambria Math" w:cs="Cambria Math"/>
                  </w:rPr>
                  <m:t>∙cf∙L=P∙cf∙L</m:t>
                </m:r>
              </m:oMath>
            </m:oMathPara>
          </w:p>
        </w:tc>
        <w:tc>
          <w:tcPr>
            <w:tcW w:w="990" w:type="dxa"/>
            <w:vAlign w:val="center"/>
          </w:tcPr>
          <w:p w14:paraId="3AA0821D" w14:textId="60B013E2" w:rsidR="00481FDD" w:rsidRPr="00A945CD" w:rsidRDefault="00481FDD" w:rsidP="00940DC1">
            <w:r w:rsidRPr="00A945CD">
              <w:t>(</w:t>
            </w:r>
            <w:r>
              <w:t>4</w:t>
            </w:r>
            <w:r w:rsidRPr="00A945CD">
              <w:t>)</w:t>
            </w:r>
          </w:p>
        </w:tc>
      </w:tr>
    </w:tbl>
    <w:p w14:paraId="573DD5A1" w14:textId="3ED9C303" w:rsidR="00481FDD" w:rsidRDefault="00481FDD" w:rsidP="00F4137F">
      <w:r>
        <w:t>where Q</w:t>
      </w:r>
      <w:r w:rsidRPr="00F37A08">
        <w:rPr>
          <w:vertAlign w:val="subscript"/>
        </w:rPr>
        <w:t>H2</w:t>
      </w:r>
      <w:r>
        <w:t xml:space="preserve"> (kg/h)</w:t>
      </w:r>
      <w:r w:rsidR="00F37A08">
        <w:t xml:space="preserve"> </w:t>
      </w:r>
      <w:r>
        <w:t>is the mass flow rate of hydrogen produced, HHV (k</w:t>
      </w:r>
      <w:r w:rsidR="00F37A08">
        <w:t>W</w:t>
      </w:r>
      <w:r>
        <w:t xml:space="preserve">h/kg) is the higher heating value of hydrogen, Aux is the % of energy used for auxiliaries in the production process, </w:t>
      </w:r>
      <w:proofErr w:type="spellStart"/>
      <w:r>
        <w:t>cf</w:t>
      </w:r>
      <w:proofErr w:type="spellEnd"/>
      <w:r>
        <w:t xml:space="preserve"> is the capacity factor, L (years) is the plant life time and P (kW) is the net power output. </w:t>
      </w:r>
    </w:p>
    <w:p w14:paraId="1A037B28" w14:textId="187337C5" w:rsidR="00F4137F" w:rsidRPr="00A945CD" w:rsidRDefault="00481FDD" w:rsidP="00F4137F">
      <w:r w:rsidRPr="00A945CD">
        <w:t>E</w:t>
      </w:r>
      <w:r w:rsidRPr="00F4137F">
        <w:rPr>
          <w:vertAlign w:val="subscript"/>
        </w:rPr>
        <w:t>in</w:t>
      </w:r>
      <w:r w:rsidRPr="00A945CD">
        <w:t xml:space="preserve"> is the total energy that is provided and consumed during the production </w:t>
      </w:r>
      <w:r>
        <w:t xml:space="preserve">and operations periods </w:t>
      </w:r>
      <w:r w:rsidRPr="00A945CD">
        <w:t xml:space="preserve">of the plant and is made </w:t>
      </w:r>
      <w:r>
        <w:t>up of</w:t>
      </w:r>
      <w:r w:rsidRPr="00D47D12">
        <w:t xml:space="preserve"> </w:t>
      </w:r>
      <w:r w:rsidRPr="00A945CD">
        <w:t xml:space="preserve">three contributions: </w:t>
      </w:r>
      <w:proofErr w:type="spellStart"/>
      <w:r w:rsidRPr="00A945CD">
        <w:t>E</w:t>
      </w:r>
      <w:r w:rsidRPr="00F4137F">
        <w:rPr>
          <w:vertAlign w:val="subscript"/>
        </w:rPr>
        <w:t>cap</w:t>
      </w:r>
      <w:proofErr w:type="spellEnd"/>
      <w:r w:rsidRPr="00A945CD">
        <w:t xml:space="preserve"> is the capital energy embodied in the materials and used for construction and decommissioning of the plant; </w:t>
      </w:r>
      <w:proofErr w:type="spellStart"/>
      <w:r w:rsidRPr="00A945CD">
        <w:t>E</w:t>
      </w:r>
      <w:r w:rsidRPr="00F4137F">
        <w:rPr>
          <w:vertAlign w:val="subscript"/>
        </w:rPr>
        <w:t>o&amp;m</w:t>
      </w:r>
      <w:proofErr w:type="spellEnd"/>
      <w:r w:rsidRPr="00A945CD">
        <w:t xml:space="preserve"> is the energy needed for operating and maintaining the power plant; E</w:t>
      </w:r>
      <w:r w:rsidRPr="00F4137F">
        <w:rPr>
          <w:vertAlign w:val="subscript"/>
        </w:rPr>
        <w:t>f</w:t>
      </w:r>
      <w:r w:rsidRPr="00A945CD">
        <w:t xml:space="preserve"> is the energy needed for procuring and distributing the fuels, which includes also the energy used for extracting, refining and transporting the fuels fr</w:t>
      </w:r>
      <w:r>
        <w:t>o</w:t>
      </w:r>
      <w:r w:rsidRPr="00A945CD">
        <w:t xml:space="preserve">m the production well to the power plant. </w:t>
      </w:r>
    </w:p>
    <w:tbl>
      <w:tblPr>
        <w:tblW w:w="8725" w:type="dxa"/>
        <w:tblBorders>
          <w:top w:val="nil"/>
          <w:left w:val="nil"/>
          <w:bottom w:val="nil"/>
          <w:right w:val="nil"/>
          <w:insideH w:val="nil"/>
          <w:insideV w:val="nil"/>
        </w:tblBorders>
        <w:tblLayout w:type="fixed"/>
        <w:tblLook w:val="0400" w:firstRow="0" w:lastRow="0" w:firstColumn="0" w:lastColumn="0" w:noHBand="0" w:noVBand="1"/>
      </w:tblPr>
      <w:tblGrid>
        <w:gridCol w:w="715"/>
        <w:gridCol w:w="7020"/>
        <w:gridCol w:w="990"/>
      </w:tblGrid>
      <w:tr w:rsidR="00F4137F" w:rsidRPr="00A945CD" w14:paraId="3D250016" w14:textId="77777777" w:rsidTr="004E40C1">
        <w:tc>
          <w:tcPr>
            <w:tcW w:w="715" w:type="dxa"/>
            <w:vAlign w:val="center"/>
          </w:tcPr>
          <w:p w14:paraId="12985ADE" w14:textId="77777777" w:rsidR="00F4137F" w:rsidRPr="00A945CD" w:rsidRDefault="00F4137F" w:rsidP="004E40C1"/>
        </w:tc>
        <w:tc>
          <w:tcPr>
            <w:tcW w:w="7020" w:type="dxa"/>
            <w:vAlign w:val="center"/>
          </w:tcPr>
          <w:p w14:paraId="79E2A600" w14:textId="77777777" w:rsidR="00F4137F" w:rsidRPr="00A945CD" w:rsidRDefault="00000000" w:rsidP="004E40C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in</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cap</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o&amp;m</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f</m:t>
                    </m:r>
                  </m:sub>
                </m:sSub>
                <m:r>
                  <w:rPr>
                    <w:rFonts w:ascii="Cambria Math" w:eastAsia="Cambria Math" w:hAnsi="Cambria Math" w:cs="Cambria Math"/>
                  </w:rPr>
                  <m:t xml:space="preserve"> </m:t>
                </m:r>
              </m:oMath>
            </m:oMathPara>
          </w:p>
        </w:tc>
        <w:tc>
          <w:tcPr>
            <w:tcW w:w="990" w:type="dxa"/>
            <w:vAlign w:val="center"/>
          </w:tcPr>
          <w:p w14:paraId="0707466A" w14:textId="029329F5" w:rsidR="00F4137F" w:rsidRPr="00A945CD" w:rsidRDefault="00F4137F" w:rsidP="004E40C1">
            <w:r w:rsidRPr="00A945CD">
              <w:t>(</w:t>
            </w:r>
            <w:r w:rsidR="00481FDD">
              <w:t>5</w:t>
            </w:r>
            <w:r w:rsidRPr="00A945CD">
              <w:t>)</w:t>
            </w:r>
          </w:p>
        </w:tc>
      </w:tr>
    </w:tbl>
    <w:p w14:paraId="4F8132F1" w14:textId="335C77B1" w:rsidR="00F4137F" w:rsidRPr="00A945CD" w:rsidRDefault="00F4137F" w:rsidP="00F4137F">
      <w:r w:rsidRPr="00D47D12">
        <w:t xml:space="preserve">In </w:t>
      </w:r>
      <w:r>
        <w:t>E</w:t>
      </w:r>
      <w:r w:rsidRPr="00D47D12">
        <w:t>q. (</w:t>
      </w:r>
      <w:r w:rsidR="00735928">
        <w:t>3</w:t>
      </w:r>
      <w:r w:rsidRPr="00D47D12">
        <w:t>)</w:t>
      </w:r>
      <w:r w:rsidRPr="00A945CD">
        <w:t xml:space="preserve"> All terms are expressed in GWh for consistency: the EROEI is thus </w:t>
      </w:r>
      <w:r>
        <w:t>dimensionless</w:t>
      </w:r>
      <w:r w:rsidRPr="00A945CD">
        <w:t xml:space="preserve">. </w:t>
      </w:r>
    </w:p>
    <w:p w14:paraId="22EDED7E" w14:textId="77777777" w:rsidR="00F4137F" w:rsidRPr="00A945CD" w:rsidRDefault="00F4137F" w:rsidP="00F4137F">
      <w:r w:rsidRPr="00A945CD">
        <w:t xml:space="preserve">The capital energy embodied in the materials and used for construction and decommissioning of the plant </w:t>
      </w:r>
      <w:proofErr w:type="spellStart"/>
      <w:r w:rsidRPr="00A945CD">
        <w:t>E</w:t>
      </w:r>
      <w:r w:rsidRPr="00F4137F">
        <w:rPr>
          <w:vertAlign w:val="subscript"/>
        </w:rPr>
        <w:t>cap</w:t>
      </w:r>
      <w:proofErr w:type="spellEnd"/>
      <w:r w:rsidRPr="00A945CD">
        <w:t xml:space="preserve"> is defined as follows:</w:t>
      </w:r>
    </w:p>
    <w:tbl>
      <w:tblPr>
        <w:tblW w:w="8725" w:type="dxa"/>
        <w:tblBorders>
          <w:top w:val="nil"/>
          <w:left w:val="nil"/>
          <w:bottom w:val="nil"/>
          <w:right w:val="nil"/>
          <w:insideH w:val="nil"/>
          <w:insideV w:val="nil"/>
        </w:tblBorders>
        <w:tblLayout w:type="fixed"/>
        <w:tblLook w:val="0400" w:firstRow="0" w:lastRow="0" w:firstColumn="0" w:lastColumn="0" w:noHBand="0" w:noVBand="1"/>
      </w:tblPr>
      <w:tblGrid>
        <w:gridCol w:w="715"/>
        <w:gridCol w:w="7020"/>
        <w:gridCol w:w="990"/>
      </w:tblGrid>
      <w:tr w:rsidR="00F4137F" w:rsidRPr="00A945CD" w14:paraId="3135C68A" w14:textId="77777777" w:rsidTr="004E40C1">
        <w:tc>
          <w:tcPr>
            <w:tcW w:w="715" w:type="dxa"/>
            <w:vAlign w:val="center"/>
          </w:tcPr>
          <w:p w14:paraId="1CBCBB70" w14:textId="77777777" w:rsidR="00F4137F" w:rsidRPr="00A945CD" w:rsidRDefault="00F4137F" w:rsidP="004E40C1"/>
        </w:tc>
        <w:tc>
          <w:tcPr>
            <w:tcW w:w="7020" w:type="dxa"/>
            <w:vAlign w:val="center"/>
          </w:tcPr>
          <w:p w14:paraId="0F6F882A" w14:textId="5CB69B4E" w:rsidR="00F4137F" w:rsidRPr="00A945CD" w:rsidRDefault="00000000" w:rsidP="004E40C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cap</m:t>
                    </m:r>
                  </m:sub>
                </m:sSub>
                <m:r>
                  <w:rPr>
                    <w:rFonts w:ascii="Cambria Math" w:eastAsia="Cambria Math" w:hAnsi="Cambria Math" w:cs="Cambria Math"/>
                  </w:rPr>
                  <m:t>=TPC/</m:t>
                </m:r>
                <m:sSub>
                  <m:sSubPr>
                    <m:ctrlPr>
                      <w:rPr>
                        <w:rFonts w:ascii="Cambria Math" w:eastAsia="Cambria Math" w:hAnsi="Cambria Math" w:cs="Cambria Math"/>
                        <w:i/>
                      </w:rPr>
                    </m:ctrlPr>
                  </m:sSubPr>
                  <m:e>
                    <m:r>
                      <w:rPr>
                        <w:rFonts w:ascii="Cambria Math" w:eastAsia="Cambria Math" w:hAnsi="Cambria Math" w:cs="Cambria Math"/>
                      </w:rPr>
                      <m:t>ε</m:t>
                    </m:r>
                  </m:e>
                  <m:sub>
                    <m:r>
                      <w:rPr>
                        <w:rFonts w:ascii="Cambria Math" w:eastAsia="Cambria Math" w:hAnsi="Cambria Math" w:cs="Cambria Math"/>
                      </w:rPr>
                      <m:t>c</m:t>
                    </m:r>
                  </m:sub>
                </m:sSub>
              </m:oMath>
            </m:oMathPara>
          </w:p>
        </w:tc>
        <w:tc>
          <w:tcPr>
            <w:tcW w:w="990" w:type="dxa"/>
            <w:vAlign w:val="center"/>
          </w:tcPr>
          <w:p w14:paraId="44C769E1" w14:textId="755E4A18" w:rsidR="00F4137F" w:rsidRPr="00680346" w:rsidRDefault="00F4137F" w:rsidP="004E40C1">
            <w:r w:rsidRPr="00680346">
              <w:t>(</w:t>
            </w:r>
            <w:r w:rsidR="00735928" w:rsidRPr="00680346">
              <w:t>6</w:t>
            </w:r>
            <w:r w:rsidRPr="00680346">
              <w:t>)</w:t>
            </w:r>
          </w:p>
        </w:tc>
      </w:tr>
    </w:tbl>
    <w:p w14:paraId="7DCE45C9" w14:textId="24F88979" w:rsidR="00F4137F" w:rsidRPr="00A945CD" w:rsidRDefault="00735928" w:rsidP="00F4137F">
      <w:r>
        <w:t>w</w:t>
      </w:r>
      <w:r w:rsidR="00F4137F" w:rsidRPr="00A945CD">
        <w:t>here</w:t>
      </w:r>
      <w:r>
        <w:t xml:space="preserve"> T</w:t>
      </w:r>
      <w:r w:rsidRPr="00A945CD">
        <w:t xml:space="preserve">PC is the total plant </w:t>
      </w:r>
      <w:r w:rsidRPr="00680346">
        <w:t>cost</w:t>
      </w:r>
      <w:r w:rsidR="00680346">
        <w:t xml:space="preserve">, related to CAPEX, </w:t>
      </w:r>
      <w:r w:rsidRPr="00680346">
        <w:t xml:space="preserve">and </w:t>
      </w:r>
      <m:oMath>
        <m:sSub>
          <m:sSubPr>
            <m:ctrlPr>
              <w:rPr>
                <w:rFonts w:ascii="Cambria Math" w:eastAsia="Cambria Math" w:hAnsi="Cambria Math" w:cs="Cambria Math"/>
              </w:rPr>
            </m:ctrlPr>
          </m:sSubPr>
          <m:e>
            <m:r>
              <w:rPr>
                <w:rFonts w:ascii="Cambria Math" w:hAnsi="Cambria Math"/>
              </w:rPr>
              <m:t>ε</m:t>
            </m:r>
          </m:e>
          <m:sub>
            <m:r>
              <w:rPr>
                <w:rFonts w:ascii="Cambria Math" w:eastAsia="Cambria Math" w:hAnsi="Cambria Math" w:cs="Cambria Math"/>
              </w:rPr>
              <m:t>c</m:t>
            </m:r>
          </m:sub>
        </m:sSub>
      </m:oMath>
      <w:r w:rsidRPr="00680346">
        <w:t xml:space="preserve"> is the proportionality coefficient</w:t>
      </w:r>
      <w:r w:rsidRPr="00A945CD">
        <w:t xml:space="preserve"> between </w:t>
      </w:r>
      <w:r>
        <w:t xml:space="preserve">the </w:t>
      </w:r>
      <w:r w:rsidRPr="00A945CD">
        <w:t>costs of energy and capital costs</w:t>
      </w:r>
      <w:r w:rsidR="00C173C0">
        <w:t xml:space="preserve"> </w:t>
      </w:r>
      <w:r w:rsidR="00680346">
        <w:t>[</w:t>
      </w:r>
      <w:r w:rsidR="00680346" w:rsidRPr="0007782E">
        <w:rPr>
          <w:rFonts w:cs="Arial"/>
          <w:szCs w:val="18"/>
        </w:rPr>
        <w:t>€</w:t>
      </w:r>
      <w:r w:rsidR="00680346">
        <w:rPr>
          <w:rFonts w:cs="Arial"/>
          <w:szCs w:val="18"/>
        </w:rPr>
        <w:t>/kWh</w:t>
      </w:r>
      <w:r w:rsidR="00680346">
        <w:t>]</w:t>
      </w:r>
      <w:r w:rsidRPr="00D47D12">
        <w:t xml:space="preserve">. </w:t>
      </w:r>
      <m:oMath>
        <m:sSub>
          <m:sSubPr>
            <m:ctrlPr>
              <w:rPr>
                <w:rFonts w:ascii="Cambria Math" w:eastAsia="Cambria Math" w:hAnsi="Cambria Math" w:cs="Cambria Math"/>
              </w:rPr>
            </m:ctrlPr>
          </m:sSubPr>
          <m:e>
            <m:r>
              <w:rPr>
                <w:rFonts w:ascii="Cambria Math" w:hAnsi="Cambria Math"/>
              </w:rPr>
              <m:t>ε</m:t>
            </m:r>
          </m:e>
          <m:sub>
            <m:r>
              <w:rPr>
                <w:rFonts w:ascii="Cambria Math" w:eastAsia="Cambria Math" w:hAnsi="Cambria Math" w:cs="Cambria Math"/>
              </w:rPr>
              <m:t>c</m:t>
            </m:r>
          </m:sub>
        </m:sSub>
      </m:oMath>
      <w:r w:rsidRPr="00A945CD">
        <w:t xml:space="preserve"> is evaluated from real plant data</w:t>
      </w:r>
      <w:r>
        <w:t xml:space="preserve"> (Barbera et al. 2022)</w:t>
      </w:r>
      <w:r w:rsidRPr="00A945CD">
        <w:t>.</w:t>
      </w:r>
    </w:p>
    <w:p w14:paraId="702E16C9" w14:textId="77777777" w:rsidR="00F4137F" w:rsidRPr="00A945CD" w:rsidRDefault="00F4137F" w:rsidP="00F4137F">
      <w:r w:rsidRPr="00A945CD">
        <w:t>The energy needed for operating and maintain</w:t>
      </w:r>
      <w:r>
        <w:t>ing</w:t>
      </w:r>
      <w:r w:rsidRPr="00A945CD">
        <w:t xml:space="preserve"> the power plant </w:t>
      </w:r>
      <w:proofErr w:type="spellStart"/>
      <w:r w:rsidRPr="00A945CD">
        <w:t>E</w:t>
      </w:r>
      <w:r w:rsidRPr="00F4137F">
        <w:rPr>
          <w:vertAlign w:val="subscript"/>
        </w:rPr>
        <w:t>o&amp;m</w:t>
      </w:r>
      <w:proofErr w:type="spellEnd"/>
      <w:r w:rsidRPr="00A945CD">
        <w:t xml:space="preserve"> is defined as</w:t>
      </w:r>
      <w:r>
        <w:t>:</w:t>
      </w:r>
    </w:p>
    <w:tbl>
      <w:tblPr>
        <w:tblW w:w="8725" w:type="dxa"/>
        <w:tblBorders>
          <w:top w:val="nil"/>
          <w:left w:val="nil"/>
          <w:bottom w:val="nil"/>
          <w:right w:val="nil"/>
          <w:insideH w:val="nil"/>
          <w:insideV w:val="nil"/>
        </w:tblBorders>
        <w:tblLayout w:type="fixed"/>
        <w:tblLook w:val="0400" w:firstRow="0" w:lastRow="0" w:firstColumn="0" w:lastColumn="0" w:noHBand="0" w:noVBand="1"/>
      </w:tblPr>
      <w:tblGrid>
        <w:gridCol w:w="715"/>
        <w:gridCol w:w="7020"/>
        <w:gridCol w:w="990"/>
      </w:tblGrid>
      <w:tr w:rsidR="00F4137F" w:rsidRPr="00A945CD" w14:paraId="53C1A8E5" w14:textId="77777777" w:rsidTr="004E40C1">
        <w:tc>
          <w:tcPr>
            <w:tcW w:w="715" w:type="dxa"/>
            <w:vAlign w:val="center"/>
          </w:tcPr>
          <w:p w14:paraId="332D14D5" w14:textId="77777777" w:rsidR="00F4137F" w:rsidRPr="00A945CD" w:rsidRDefault="00F4137F" w:rsidP="004E40C1"/>
        </w:tc>
        <w:tc>
          <w:tcPr>
            <w:tcW w:w="7020" w:type="dxa"/>
            <w:vAlign w:val="center"/>
          </w:tcPr>
          <w:p w14:paraId="6384F3F0" w14:textId="2BE53211" w:rsidR="00F4137F" w:rsidRPr="00A945CD" w:rsidRDefault="00000000" w:rsidP="004E40C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o&amp;m</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cap</m:t>
                    </m:r>
                  </m:sub>
                </m:sSub>
                <m:r>
                  <w:rPr>
                    <w:rFonts w:ascii="Cambria Math" w:eastAsia="Cambria Math" w:hAnsi="Cambria Math" w:cs="Cambria Math"/>
                  </w:rPr>
                  <m:t>∙L∙</m:t>
                </m:r>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o&amp;m</m:t>
                    </m:r>
                  </m:sub>
                </m:sSub>
              </m:oMath>
            </m:oMathPara>
          </w:p>
        </w:tc>
        <w:tc>
          <w:tcPr>
            <w:tcW w:w="990" w:type="dxa"/>
            <w:vAlign w:val="center"/>
          </w:tcPr>
          <w:p w14:paraId="7E8F1FBE" w14:textId="4AA2E279" w:rsidR="00F4137F" w:rsidRPr="00A945CD" w:rsidRDefault="00F4137F" w:rsidP="004E40C1">
            <w:r w:rsidRPr="00680346">
              <w:t>(</w:t>
            </w:r>
            <w:r w:rsidR="00735928" w:rsidRPr="00680346">
              <w:t>7</w:t>
            </w:r>
            <w:r w:rsidRPr="00680346">
              <w:t>)</w:t>
            </w:r>
          </w:p>
        </w:tc>
      </w:tr>
    </w:tbl>
    <w:p w14:paraId="0F3A507F" w14:textId="4EE8AE84" w:rsidR="00F4137F" w:rsidRPr="00A945CD" w:rsidRDefault="00F4137F" w:rsidP="00F4137F">
      <w:r>
        <w:t>w</w:t>
      </w:r>
      <w:r w:rsidRPr="00A945CD">
        <w:t xml:space="preserve">here </w:t>
      </w:r>
      <w:proofErr w:type="spellStart"/>
      <w:r w:rsidRPr="00A945CD">
        <w:t>s</w:t>
      </w:r>
      <w:r w:rsidRPr="00F4137F">
        <w:rPr>
          <w:vertAlign w:val="subscript"/>
        </w:rPr>
        <w:t>o&amp;m</w:t>
      </w:r>
      <w:proofErr w:type="spellEnd"/>
      <w:r w:rsidRPr="00A945CD">
        <w:t xml:space="preserve"> is the share of the investment costs dedicated to operation and maintenance</w:t>
      </w:r>
      <w:r w:rsidR="00680346">
        <w:t xml:space="preserve">, related to OPEX. </w:t>
      </w:r>
    </w:p>
    <w:p w14:paraId="4B2ECE4F" w14:textId="5B0C0A04" w:rsidR="00F4137F" w:rsidRDefault="00F4137F" w:rsidP="00F4137F">
      <w:r w:rsidRPr="00A945CD">
        <w:t>The energy needed for procuring and distributing the fuels, E</w:t>
      </w:r>
      <w:r w:rsidRPr="00F4137F">
        <w:rPr>
          <w:vertAlign w:val="subscript"/>
        </w:rPr>
        <w:t>f</w:t>
      </w:r>
      <w:r>
        <w:t xml:space="preserve">, </w:t>
      </w:r>
      <w:r w:rsidRPr="00A945CD">
        <w:t>is defined as</w:t>
      </w:r>
      <w:r>
        <w:t>:</w:t>
      </w:r>
    </w:p>
    <w:tbl>
      <w:tblPr>
        <w:tblW w:w="8725" w:type="dxa"/>
        <w:tblBorders>
          <w:top w:val="nil"/>
          <w:left w:val="nil"/>
          <w:bottom w:val="nil"/>
          <w:right w:val="nil"/>
          <w:insideH w:val="nil"/>
          <w:insideV w:val="nil"/>
        </w:tblBorders>
        <w:tblLayout w:type="fixed"/>
        <w:tblLook w:val="0400" w:firstRow="0" w:lastRow="0" w:firstColumn="0" w:lastColumn="0" w:noHBand="0" w:noVBand="1"/>
      </w:tblPr>
      <w:tblGrid>
        <w:gridCol w:w="715"/>
        <w:gridCol w:w="7020"/>
        <w:gridCol w:w="990"/>
      </w:tblGrid>
      <w:tr w:rsidR="00F4137F" w:rsidRPr="009D775A" w14:paraId="3E32FE28" w14:textId="77777777" w:rsidTr="004E40C1">
        <w:tc>
          <w:tcPr>
            <w:tcW w:w="715" w:type="dxa"/>
            <w:vAlign w:val="center"/>
          </w:tcPr>
          <w:p w14:paraId="5DAD930D" w14:textId="77777777" w:rsidR="00F4137F" w:rsidRPr="00A945CD" w:rsidRDefault="00F4137F" w:rsidP="004E40C1"/>
        </w:tc>
        <w:tc>
          <w:tcPr>
            <w:tcW w:w="7020" w:type="dxa"/>
            <w:vAlign w:val="center"/>
          </w:tcPr>
          <w:p w14:paraId="66EF3835" w14:textId="306453CC" w:rsidR="00F4137F" w:rsidRPr="009D775A" w:rsidRDefault="00000000" w:rsidP="004E40C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f</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out</m:t>
                    </m:r>
                  </m:sub>
                </m:sSub>
                <m:r>
                  <w:rPr>
                    <w:rFonts w:ascii="Cambria Math" w:eastAsia="Cambria Math" w:hAnsi="Cambria Math" w:cs="Cambria Math"/>
                  </w:rPr>
                  <m:t>/(η∙EROE</m:t>
                </m:r>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fuel</m:t>
                    </m:r>
                  </m:sub>
                </m:sSub>
                <m:r>
                  <w:rPr>
                    <w:rFonts w:ascii="Cambria Math" w:eastAsia="Cambria Math" w:hAnsi="Cambria Math" w:cs="Cambria Math"/>
                  </w:rPr>
                  <m:t>)</m:t>
                </m:r>
              </m:oMath>
            </m:oMathPara>
          </w:p>
        </w:tc>
        <w:tc>
          <w:tcPr>
            <w:tcW w:w="990" w:type="dxa"/>
            <w:vAlign w:val="center"/>
          </w:tcPr>
          <w:p w14:paraId="024C24F8" w14:textId="1C4F059C" w:rsidR="00F4137F" w:rsidRPr="009D775A" w:rsidRDefault="00F4137F" w:rsidP="004E40C1">
            <w:r w:rsidRPr="009D775A">
              <w:t>(</w:t>
            </w:r>
            <w:r w:rsidR="00735928">
              <w:t>8</w:t>
            </w:r>
            <w:r w:rsidRPr="009D775A">
              <w:t>)</w:t>
            </w:r>
          </w:p>
        </w:tc>
      </w:tr>
    </w:tbl>
    <w:p w14:paraId="3C509724" w14:textId="7CA94F01" w:rsidR="00F4137F" w:rsidRPr="00F66FBE" w:rsidRDefault="00F4137F" w:rsidP="00F4137F">
      <w:r w:rsidRPr="009D775A">
        <w:t>In Eq. (</w:t>
      </w:r>
      <w:r w:rsidR="00735928">
        <w:t>8</w:t>
      </w:r>
      <w:r w:rsidRPr="009D775A">
        <w:t xml:space="preserve">) the term </w:t>
      </w:r>
      <w:proofErr w:type="spellStart"/>
      <w:r w:rsidRPr="009D775A">
        <w:t>EROEI</w:t>
      </w:r>
      <w:r w:rsidRPr="00F4137F">
        <w:rPr>
          <w:vertAlign w:val="subscript"/>
        </w:rPr>
        <w:t>fuel</w:t>
      </w:r>
      <w:proofErr w:type="spellEnd"/>
      <w:r w:rsidRPr="009D775A">
        <w:t xml:space="preserve"> refers to the energy used to extract, store, refine and transport the fuel</w:t>
      </w:r>
      <w:r w:rsidR="00C67217">
        <w:t xml:space="preserve"> (Hall et al., 2014)</w:t>
      </w:r>
      <w:r w:rsidRPr="009D775A">
        <w:t>, while the other terms are directly related to the plant dimensions and operations.</w:t>
      </w:r>
      <w:r>
        <w:t xml:space="preserve"> </w:t>
      </w:r>
      <w:r w:rsidRPr="00A945CD">
        <w:t xml:space="preserve">Literature values of </w:t>
      </w:r>
      <w:proofErr w:type="spellStart"/>
      <w:r w:rsidRPr="00A945CD">
        <w:t>EROE</w:t>
      </w:r>
      <w:r w:rsidRPr="00C60337">
        <w:t>I</w:t>
      </w:r>
      <w:r w:rsidRPr="00F4137F">
        <w:rPr>
          <w:vertAlign w:val="subscript"/>
        </w:rPr>
        <w:t>fuel</w:t>
      </w:r>
      <w:proofErr w:type="spellEnd"/>
      <w:r w:rsidRPr="00A945CD">
        <w:t xml:space="preserve"> from different sources are reported in </w:t>
      </w:r>
      <w:r w:rsidR="00985B65">
        <w:t xml:space="preserve">Table </w:t>
      </w:r>
      <w:r w:rsidR="009D657C">
        <w:t>1</w:t>
      </w:r>
      <w:r w:rsidRPr="00D95DFB">
        <w:fldChar w:fldCharType="begin"/>
      </w:r>
      <w:r w:rsidRPr="00A945CD">
        <w:instrText xml:space="preserve"> REF _Ref59529158 \h </w:instrText>
      </w:r>
      <w:r>
        <w:instrText xml:space="preserve"> \* MERGEFORMAT </w:instrText>
      </w:r>
      <w:r w:rsidRPr="00D95DFB">
        <w:fldChar w:fldCharType="end"/>
      </w:r>
      <w:r w:rsidRPr="00A945CD">
        <w:t xml:space="preserve">. </w:t>
      </w:r>
      <w:r w:rsidRPr="00D47D12">
        <w:t xml:space="preserve">They </w:t>
      </w:r>
      <w:r w:rsidR="002C318F" w:rsidRPr="00D47D12">
        <w:t>consider</w:t>
      </w:r>
      <w:r w:rsidRPr="00A945CD">
        <w:t xml:space="preserve"> all the boundaries of various types of EROEI analyses and </w:t>
      </w:r>
      <w:r>
        <w:t xml:space="preserve">the </w:t>
      </w:r>
      <w:r w:rsidRPr="00A945CD">
        <w:t>energy losses associated with the processing of fuel as it is transformed from “fuel at the wellhead” to consumer</w:t>
      </w:r>
      <w:r>
        <w:t>-</w:t>
      </w:r>
      <w:r w:rsidRPr="00A945CD">
        <w:t>ready fuels.</w:t>
      </w:r>
    </w:p>
    <w:p w14:paraId="0AC9DED1" w14:textId="1C4CA982" w:rsidR="00F4137F" w:rsidRPr="009D775A" w:rsidRDefault="00F4137F" w:rsidP="00F4137F">
      <w:pPr>
        <w:pStyle w:val="CETTabletitle"/>
      </w:pPr>
      <w:bookmarkStart w:id="2" w:name="_Ref59529158"/>
      <w:r w:rsidRPr="00D47D12">
        <w:t xml:space="preserve">Table </w:t>
      </w:r>
      <w:bookmarkEnd w:id="2"/>
      <w:r w:rsidR="009D657C">
        <w:t>1</w:t>
      </w:r>
      <w:r w:rsidRPr="00D47D12">
        <w:t xml:space="preserve">: Literature </w:t>
      </w:r>
      <w:r w:rsidRPr="009D775A">
        <w:t xml:space="preserve">values of </w:t>
      </w:r>
      <w:proofErr w:type="spellStart"/>
      <w:r w:rsidRPr="009D775A">
        <w:t>EROEI</w:t>
      </w:r>
      <w:r w:rsidRPr="009D775A">
        <w:rPr>
          <w:vertAlign w:val="subscript"/>
        </w:rPr>
        <w:t>fuel</w:t>
      </w:r>
      <w:proofErr w:type="spellEnd"/>
      <w:r w:rsidRPr="009D775A">
        <w:t xml:space="preserve"> for different resources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984"/>
        <w:gridCol w:w="1843"/>
        <w:gridCol w:w="1843"/>
      </w:tblGrid>
      <w:tr w:rsidR="00C67217" w:rsidRPr="00B57B36" w14:paraId="274862E9" w14:textId="77777777" w:rsidTr="0007782E">
        <w:tc>
          <w:tcPr>
            <w:tcW w:w="2127" w:type="dxa"/>
            <w:tcBorders>
              <w:top w:val="single" w:sz="12" w:space="0" w:color="008000"/>
              <w:bottom w:val="single" w:sz="6" w:space="0" w:color="008000"/>
            </w:tcBorders>
            <w:shd w:val="clear" w:color="auto" w:fill="FFFFFF"/>
          </w:tcPr>
          <w:p w14:paraId="628A7F15" w14:textId="640F9981" w:rsidR="00C67217" w:rsidRPr="00B57B36" w:rsidRDefault="00C67217" w:rsidP="00C67217">
            <w:pPr>
              <w:pStyle w:val="CETBodytext"/>
              <w:rPr>
                <w:lang w:val="en-GB"/>
              </w:rPr>
            </w:pPr>
            <w:r w:rsidRPr="00EA7DC4">
              <w:rPr>
                <w:szCs w:val="18"/>
              </w:rPr>
              <w:t>Resource</w:t>
            </w:r>
          </w:p>
        </w:tc>
        <w:tc>
          <w:tcPr>
            <w:tcW w:w="1984" w:type="dxa"/>
            <w:tcBorders>
              <w:top w:val="single" w:sz="12" w:space="0" w:color="008000"/>
              <w:bottom w:val="single" w:sz="6" w:space="0" w:color="008000"/>
            </w:tcBorders>
            <w:shd w:val="clear" w:color="auto" w:fill="FFFFFF"/>
          </w:tcPr>
          <w:p w14:paraId="763A41C9" w14:textId="30AAE131" w:rsidR="00C67217" w:rsidRPr="00B57B36" w:rsidRDefault="00C67217" w:rsidP="00C67217">
            <w:pPr>
              <w:pStyle w:val="CETBodytext"/>
              <w:rPr>
                <w:lang w:val="en-GB"/>
              </w:rPr>
            </w:pPr>
            <w:r w:rsidRPr="000F4102">
              <w:rPr>
                <w:i/>
                <w:szCs w:val="18"/>
              </w:rPr>
              <w:t>Rana et al. 2020</w:t>
            </w:r>
          </w:p>
        </w:tc>
        <w:tc>
          <w:tcPr>
            <w:tcW w:w="1843" w:type="dxa"/>
            <w:tcBorders>
              <w:top w:val="single" w:sz="12" w:space="0" w:color="008000"/>
              <w:bottom w:val="single" w:sz="6" w:space="0" w:color="008000"/>
            </w:tcBorders>
            <w:shd w:val="clear" w:color="auto" w:fill="FFFFFF"/>
          </w:tcPr>
          <w:p w14:paraId="33FAB135" w14:textId="268DE43A" w:rsidR="00C67217" w:rsidRPr="00B57B36" w:rsidRDefault="00C67217" w:rsidP="00C67217">
            <w:pPr>
              <w:pStyle w:val="CETBodytext"/>
              <w:rPr>
                <w:lang w:val="en-GB"/>
              </w:rPr>
            </w:pPr>
            <w:r w:rsidRPr="000F4102">
              <w:rPr>
                <w:i/>
                <w:szCs w:val="18"/>
              </w:rPr>
              <w:t xml:space="preserve">King et al. 2018 </w:t>
            </w:r>
          </w:p>
        </w:tc>
        <w:tc>
          <w:tcPr>
            <w:tcW w:w="1843" w:type="dxa"/>
            <w:tcBorders>
              <w:top w:val="single" w:sz="12" w:space="0" w:color="008000"/>
              <w:bottom w:val="single" w:sz="6" w:space="0" w:color="008000"/>
            </w:tcBorders>
            <w:shd w:val="clear" w:color="auto" w:fill="FFFFFF"/>
          </w:tcPr>
          <w:p w14:paraId="336D1B64" w14:textId="2C794D3A" w:rsidR="00C67217" w:rsidRPr="00B57B36" w:rsidRDefault="00C67217" w:rsidP="00C67217">
            <w:pPr>
              <w:pStyle w:val="CETBodytext"/>
              <w:ind w:right="-1"/>
              <w:rPr>
                <w:rFonts w:cs="Arial"/>
                <w:szCs w:val="18"/>
                <w:lang w:val="en-GB"/>
              </w:rPr>
            </w:pPr>
            <w:r w:rsidRPr="000F4102">
              <w:rPr>
                <w:i/>
                <w:szCs w:val="18"/>
              </w:rPr>
              <w:t xml:space="preserve">Hall et al. 2014 </w:t>
            </w:r>
          </w:p>
        </w:tc>
      </w:tr>
      <w:tr w:rsidR="00C67217" w:rsidRPr="00B57B36" w14:paraId="7F88FDAD" w14:textId="77777777" w:rsidTr="0007782E">
        <w:tc>
          <w:tcPr>
            <w:tcW w:w="2127" w:type="dxa"/>
            <w:shd w:val="clear" w:color="auto" w:fill="FFFFFF"/>
          </w:tcPr>
          <w:p w14:paraId="1A27F790" w14:textId="0A484BEF" w:rsidR="00C67217" w:rsidRPr="00B57B36" w:rsidRDefault="00C67217" w:rsidP="00C67217">
            <w:pPr>
              <w:pStyle w:val="CETBodytext"/>
              <w:ind w:right="-1"/>
              <w:rPr>
                <w:rFonts w:cs="Arial"/>
                <w:szCs w:val="18"/>
                <w:lang w:val="en-GB"/>
              </w:rPr>
            </w:pPr>
            <w:r w:rsidRPr="00EA7DC4">
              <w:rPr>
                <w:szCs w:val="18"/>
              </w:rPr>
              <w:t>Wind</w:t>
            </w:r>
          </w:p>
        </w:tc>
        <w:tc>
          <w:tcPr>
            <w:tcW w:w="1984" w:type="dxa"/>
            <w:shd w:val="clear" w:color="auto" w:fill="FFFFFF"/>
          </w:tcPr>
          <w:p w14:paraId="0A511573" w14:textId="1295B990" w:rsidR="00C67217" w:rsidRPr="00B57B36" w:rsidRDefault="00C67217" w:rsidP="00C67217">
            <w:pPr>
              <w:pStyle w:val="CETBodytext"/>
              <w:ind w:right="-1"/>
              <w:rPr>
                <w:rFonts w:cs="Arial"/>
                <w:szCs w:val="18"/>
                <w:lang w:val="en-GB"/>
              </w:rPr>
            </w:pPr>
            <w:r w:rsidRPr="00EA7DC4">
              <w:rPr>
                <w:szCs w:val="18"/>
              </w:rPr>
              <w:t>16.7 – 17.7</w:t>
            </w:r>
          </w:p>
        </w:tc>
        <w:tc>
          <w:tcPr>
            <w:tcW w:w="1843" w:type="dxa"/>
            <w:shd w:val="clear" w:color="auto" w:fill="FFFFFF"/>
          </w:tcPr>
          <w:p w14:paraId="63B09C5A" w14:textId="14FC8376" w:rsidR="00C67217" w:rsidRPr="00B57B36" w:rsidRDefault="00C67217" w:rsidP="00C67217">
            <w:pPr>
              <w:pStyle w:val="CETBodytext"/>
              <w:ind w:right="-1"/>
              <w:rPr>
                <w:rFonts w:cs="Arial"/>
                <w:szCs w:val="18"/>
                <w:lang w:val="en-GB"/>
              </w:rPr>
            </w:pPr>
            <w:r w:rsidRPr="00EA7DC4">
              <w:rPr>
                <w:szCs w:val="18"/>
              </w:rPr>
              <w:t>5 – 18</w:t>
            </w:r>
          </w:p>
        </w:tc>
        <w:tc>
          <w:tcPr>
            <w:tcW w:w="1843" w:type="dxa"/>
            <w:shd w:val="clear" w:color="auto" w:fill="FFFFFF"/>
          </w:tcPr>
          <w:p w14:paraId="096B1A67" w14:textId="364BF78C" w:rsidR="00C67217" w:rsidRPr="00B57B36" w:rsidRDefault="00C67217" w:rsidP="00C67217">
            <w:pPr>
              <w:pStyle w:val="CETBodytext"/>
              <w:ind w:right="-1"/>
              <w:rPr>
                <w:rFonts w:cs="Arial"/>
                <w:szCs w:val="18"/>
                <w:lang w:val="en-GB"/>
              </w:rPr>
            </w:pPr>
            <w:r w:rsidRPr="00EA7DC4">
              <w:rPr>
                <w:szCs w:val="18"/>
              </w:rPr>
              <w:t>18</w:t>
            </w:r>
          </w:p>
        </w:tc>
      </w:tr>
      <w:tr w:rsidR="00C67217" w:rsidRPr="00B57B36" w14:paraId="6AC6766A" w14:textId="77777777" w:rsidTr="0007782E">
        <w:tc>
          <w:tcPr>
            <w:tcW w:w="2127" w:type="dxa"/>
            <w:shd w:val="clear" w:color="auto" w:fill="FFFFFF"/>
          </w:tcPr>
          <w:p w14:paraId="549BDE48" w14:textId="5AB9C2E2" w:rsidR="00C67217" w:rsidRPr="00EA7DC4" w:rsidRDefault="00C67217" w:rsidP="00C67217">
            <w:pPr>
              <w:pStyle w:val="CETBodytext"/>
              <w:ind w:right="-1"/>
              <w:rPr>
                <w:szCs w:val="18"/>
              </w:rPr>
            </w:pPr>
            <w:r w:rsidRPr="00EA7DC4">
              <w:rPr>
                <w:szCs w:val="18"/>
              </w:rPr>
              <w:t>Solar photovoltaic</w:t>
            </w:r>
          </w:p>
        </w:tc>
        <w:tc>
          <w:tcPr>
            <w:tcW w:w="1984" w:type="dxa"/>
            <w:shd w:val="clear" w:color="auto" w:fill="FFFFFF"/>
          </w:tcPr>
          <w:p w14:paraId="7AAB5348" w14:textId="2376340A" w:rsidR="00C67217" w:rsidRPr="00EA7DC4" w:rsidRDefault="00C67217" w:rsidP="00C67217">
            <w:pPr>
              <w:pStyle w:val="CETBodytext"/>
              <w:ind w:right="-1"/>
              <w:rPr>
                <w:szCs w:val="18"/>
              </w:rPr>
            </w:pPr>
            <w:r w:rsidRPr="00EA7DC4">
              <w:rPr>
                <w:szCs w:val="18"/>
              </w:rPr>
              <w:t>5 – 34</w:t>
            </w:r>
          </w:p>
        </w:tc>
        <w:tc>
          <w:tcPr>
            <w:tcW w:w="1843" w:type="dxa"/>
            <w:shd w:val="clear" w:color="auto" w:fill="FFFFFF"/>
          </w:tcPr>
          <w:p w14:paraId="19A6FD46" w14:textId="08B7389B" w:rsidR="00C67217" w:rsidRPr="00EA7DC4" w:rsidRDefault="00C67217" w:rsidP="00C67217">
            <w:pPr>
              <w:pStyle w:val="CETBodytext"/>
              <w:ind w:right="-1"/>
              <w:rPr>
                <w:szCs w:val="18"/>
              </w:rPr>
            </w:pPr>
            <w:r w:rsidRPr="00EA7DC4">
              <w:rPr>
                <w:szCs w:val="18"/>
              </w:rPr>
              <w:t>4 – 25</w:t>
            </w:r>
          </w:p>
        </w:tc>
        <w:tc>
          <w:tcPr>
            <w:tcW w:w="1843" w:type="dxa"/>
            <w:shd w:val="clear" w:color="auto" w:fill="FFFFFF"/>
          </w:tcPr>
          <w:p w14:paraId="364F33AF" w14:textId="78034508" w:rsidR="00C67217" w:rsidRPr="00EA7DC4" w:rsidRDefault="00C67217" w:rsidP="00C67217">
            <w:pPr>
              <w:pStyle w:val="CETBodytext"/>
              <w:ind w:right="-1"/>
              <w:rPr>
                <w:szCs w:val="18"/>
              </w:rPr>
            </w:pPr>
            <w:r w:rsidRPr="00EA7DC4">
              <w:rPr>
                <w:szCs w:val="18"/>
              </w:rPr>
              <w:t>6 – 12</w:t>
            </w:r>
          </w:p>
        </w:tc>
      </w:tr>
      <w:tr w:rsidR="00C67217" w:rsidRPr="00B57B36" w14:paraId="5163C5A1" w14:textId="77777777" w:rsidTr="0007782E">
        <w:tc>
          <w:tcPr>
            <w:tcW w:w="2127" w:type="dxa"/>
            <w:shd w:val="clear" w:color="auto" w:fill="FFFFFF"/>
          </w:tcPr>
          <w:p w14:paraId="2B75A755" w14:textId="7BA181A9" w:rsidR="00C67217" w:rsidRPr="00EA7DC4" w:rsidRDefault="00C67217" w:rsidP="00C67217">
            <w:pPr>
              <w:pStyle w:val="CETBodytext"/>
              <w:ind w:right="-1"/>
              <w:rPr>
                <w:szCs w:val="18"/>
              </w:rPr>
            </w:pPr>
            <w:r w:rsidRPr="00EA7DC4">
              <w:rPr>
                <w:szCs w:val="18"/>
              </w:rPr>
              <w:t>Hydro</w:t>
            </w:r>
          </w:p>
        </w:tc>
        <w:tc>
          <w:tcPr>
            <w:tcW w:w="1984" w:type="dxa"/>
            <w:shd w:val="clear" w:color="auto" w:fill="FFFFFF"/>
          </w:tcPr>
          <w:p w14:paraId="5BA12CAA" w14:textId="7DF817DE" w:rsidR="00C67217" w:rsidRPr="00EA7DC4" w:rsidRDefault="00C67217" w:rsidP="00C67217">
            <w:pPr>
              <w:pStyle w:val="CETBodytext"/>
              <w:ind w:right="-1"/>
              <w:rPr>
                <w:szCs w:val="18"/>
              </w:rPr>
            </w:pPr>
            <w:r w:rsidRPr="00EA7DC4">
              <w:rPr>
                <w:szCs w:val="18"/>
              </w:rPr>
              <w:t xml:space="preserve"> </w:t>
            </w:r>
          </w:p>
        </w:tc>
        <w:tc>
          <w:tcPr>
            <w:tcW w:w="1843" w:type="dxa"/>
            <w:shd w:val="clear" w:color="auto" w:fill="FFFFFF"/>
          </w:tcPr>
          <w:p w14:paraId="513B5CDC" w14:textId="31B89A02" w:rsidR="00C67217" w:rsidRPr="00EA7DC4" w:rsidRDefault="00C67217" w:rsidP="00C67217">
            <w:pPr>
              <w:pStyle w:val="CETBodytext"/>
              <w:ind w:right="-1"/>
              <w:rPr>
                <w:szCs w:val="18"/>
              </w:rPr>
            </w:pPr>
            <w:r w:rsidRPr="00EA7DC4">
              <w:rPr>
                <w:szCs w:val="18"/>
              </w:rPr>
              <w:t>59 – 84</w:t>
            </w:r>
          </w:p>
        </w:tc>
        <w:tc>
          <w:tcPr>
            <w:tcW w:w="1843" w:type="dxa"/>
            <w:shd w:val="clear" w:color="auto" w:fill="FFFFFF"/>
          </w:tcPr>
          <w:p w14:paraId="6D663B5C" w14:textId="11F90A08" w:rsidR="00C67217" w:rsidRPr="00EA7DC4" w:rsidRDefault="00C67217" w:rsidP="00C67217">
            <w:pPr>
              <w:pStyle w:val="CETBodytext"/>
              <w:ind w:right="-1"/>
              <w:rPr>
                <w:szCs w:val="18"/>
              </w:rPr>
            </w:pPr>
            <w:r w:rsidRPr="00EA7DC4">
              <w:rPr>
                <w:szCs w:val="18"/>
              </w:rPr>
              <w:t>&gt;100</w:t>
            </w:r>
          </w:p>
        </w:tc>
      </w:tr>
      <w:tr w:rsidR="00C67217" w:rsidRPr="00B57B36" w14:paraId="259AD36B" w14:textId="77777777" w:rsidTr="0007782E">
        <w:tc>
          <w:tcPr>
            <w:tcW w:w="2127" w:type="dxa"/>
            <w:shd w:val="clear" w:color="auto" w:fill="FFFFFF"/>
          </w:tcPr>
          <w:p w14:paraId="37447460" w14:textId="3FAD7D92" w:rsidR="00C67217" w:rsidRPr="00EA7DC4" w:rsidRDefault="00C67217" w:rsidP="00C67217">
            <w:pPr>
              <w:pStyle w:val="CETBodytext"/>
              <w:ind w:right="-1"/>
              <w:rPr>
                <w:szCs w:val="18"/>
              </w:rPr>
            </w:pPr>
            <w:r w:rsidRPr="00EA7DC4">
              <w:rPr>
                <w:szCs w:val="18"/>
              </w:rPr>
              <w:t>Nuclear</w:t>
            </w:r>
          </w:p>
        </w:tc>
        <w:tc>
          <w:tcPr>
            <w:tcW w:w="1984" w:type="dxa"/>
            <w:shd w:val="clear" w:color="auto" w:fill="FFFFFF"/>
          </w:tcPr>
          <w:p w14:paraId="5831455D" w14:textId="7DB731BD" w:rsidR="00C67217" w:rsidRPr="00EA7DC4" w:rsidRDefault="00C67217" w:rsidP="00C67217">
            <w:pPr>
              <w:pStyle w:val="CETBodytext"/>
              <w:ind w:right="-1"/>
              <w:rPr>
                <w:szCs w:val="18"/>
              </w:rPr>
            </w:pPr>
            <w:r w:rsidRPr="00EA7DC4">
              <w:rPr>
                <w:szCs w:val="18"/>
              </w:rPr>
              <w:t xml:space="preserve"> </w:t>
            </w:r>
          </w:p>
        </w:tc>
        <w:tc>
          <w:tcPr>
            <w:tcW w:w="1843" w:type="dxa"/>
            <w:shd w:val="clear" w:color="auto" w:fill="FFFFFF"/>
          </w:tcPr>
          <w:p w14:paraId="753EED5A" w14:textId="77FC087B" w:rsidR="00C67217" w:rsidRPr="00EA7DC4" w:rsidRDefault="00C67217" w:rsidP="00C67217">
            <w:pPr>
              <w:pStyle w:val="CETBodytext"/>
              <w:ind w:right="-1"/>
              <w:rPr>
                <w:szCs w:val="18"/>
              </w:rPr>
            </w:pPr>
            <w:r w:rsidRPr="00EA7DC4">
              <w:rPr>
                <w:szCs w:val="18"/>
              </w:rPr>
              <w:t>14</w:t>
            </w:r>
          </w:p>
        </w:tc>
        <w:tc>
          <w:tcPr>
            <w:tcW w:w="1843" w:type="dxa"/>
            <w:shd w:val="clear" w:color="auto" w:fill="FFFFFF"/>
          </w:tcPr>
          <w:p w14:paraId="0A249D78" w14:textId="1ADE5B62" w:rsidR="00C67217" w:rsidRPr="00EA7DC4" w:rsidRDefault="00C67217" w:rsidP="00C67217">
            <w:pPr>
              <w:pStyle w:val="CETBodytext"/>
              <w:ind w:right="-1"/>
              <w:rPr>
                <w:szCs w:val="18"/>
              </w:rPr>
            </w:pPr>
            <w:r w:rsidRPr="00EA7DC4">
              <w:rPr>
                <w:szCs w:val="18"/>
              </w:rPr>
              <w:t>5 – 15</w:t>
            </w:r>
          </w:p>
        </w:tc>
      </w:tr>
      <w:tr w:rsidR="00C67217" w:rsidRPr="00B57B36" w14:paraId="43997334" w14:textId="77777777" w:rsidTr="0007782E">
        <w:tc>
          <w:tcPr>
            <w:tcW w:w="2127" w:type="dxa"/>
            <w:shd w:val="clear" w:color="auto" w:fill="FFFFFF"/>
          </w:tcPr>
          <w:p w14:paraId="1B544097" w14:textId="70E55BEB" w:rsidR="00C67217" w:rsidRPr="00EA7DC4" w:rsidRDefault="00C67217" w:rsidP="00C67217">
            <w:pPr>
              <w:pStyle w:val="CETBodytext"/>
              <w:ind w:right="-1"/>
              <w:rPr>
                <w:szCs w:val="18"/>
              </w:rPr>
            </w:pPr>
            <w:r w:rsidRPr="00EA7DC4">
              <w:rPr>
                <w:szCs w:val="18"/>
              </w:rPr>
              <w:t>Coal</w:t>
            </w:r>
          </w:p>
        </w:tc>
        <w:tc>
          <w:tcPr>
            <w:tcW w:w="1984" w:type="dxa"/>
            <w:shd w:val="clear" w:color="auto" w:fill="FFFFFF"/>
          </w:tcPr>
          <w:p w14:paraId="0A3EA292" w14:textId="2A0431E5" w:rsidR="00C67217" w:rsidRPr="00EA7DC4" w:rsidRDefault="00C67217" w:rsidP="00C67217">
            <w:pPr>
              <w:pStyle w:val="CETBodytext"/>
              <w:ind w:right="-1"/>
              <w:rPr>
                <w:szCs w:val="18"/>
              </w:rPr>
            </w:pPr>
            <w:r w:rsidRPr="00EA7DC4">
              <w:rPr>
                <w:szCs w:val="18"/>
              </w:rPr>
              <w:t xml:space="preserve"> </w:t>
            </w:r>
          </w:p>
        </w:tc>
        <w:tc>
          <w:tcPr>
            <w:tcW w:w="1843" w:type="dxa"/>
            <w:shd w:val="clear" w:color="auto" w:fill="FFFFFF"/>
          </w:tcPr>
          <w:p w14:paraId="1FEF79FB" w14:textId="7DFAEAD7" w:rsidR="00C67217" w:rsidRPr="00EA7DC4" w:rsidRDefault="00C67217" w:rsidP="00C67217">
            <w:pPr>
              <w:pStyle w:val="CETBodytext"/>
              <w:ind w:right="-1"/>
              <w:rPr>
                <w:szCs w:val="18"/>
              </w:rPr>
            </w:pPr>
            <w:r w:rsidRPr="00EA7DC4">
              <w:rPr>
                <w:szCs w:val="18"/>
              </w:rPr>
              <w:t>46</w:t>
            </w:r>
          </w:p>
        </w:tc>
        <w:tc>
          <w:tcPr>
            <w:tcW w:w="1843" w:type="dxa"/>
            <w:shd w:val="clear" w:color="auto" w:fill="FFFFFF"/>
          </w:tcPr>
          <w:p w14:paraId="41275BD7" w14:textId="1E103358" w:rsidR="00C67217" w:rsidRPr="00EA7DC4" w:rsidRDefault="00C67217" w:rsidP="00C67217">
            <w:pPr>
              <w:pStyle w:val="CETBodytext"/>
              <w:ind w:right="-1"/>
              <w:rPr>
                <w:szCs w:val="18"/>
              </w:rPr>
            </w:pPr>
            <w:r w:rsidRPr="00EA7DC4">
              <w:rPr>
                <w:szCs w:val="18"/>
              </w:rPr>
              <w:t>27 – 80</w:t>
            </w:r>
          </w:p>
        </w:tc>
      </w:tr>
      <w:tr w:rsidR="00C67217" w:rsidRPr="00B57B36" w14:paraId="5012E0DF" w14:textId="77777777" w:rsidTr="0007782E">
        <w:tc>
          <w:tcPr>
            <w:tcW w:w="2127" w:type="dxa"/>
            <w:shd w:val="clear" w:color="auto" w:fill="FFFFFF"/>
          </w:tcPr>
          <w:p w14:paraId="6AAF41D0" w14:textId="7F49A047" w:rsidR="00C67217" w:rsidRPr="00EA7DC4" w:rsidRDefault="00C67217" w:rsidP="00C67217">
            <w:pPr>
              <w:pStyle w:val="CETBodytext"/>
              <w:ind w:right="-1"/>
              <w:rPr>
                <w:szCs w:val="18"/>
              </w:rPr>
            </w:pPr>
            <w:r w:rsidRPr="00EA7DC4">
              <w:rPr>
                <w:szCs w:val="18"/>
              </w:rPr>
              <w:t>Oil</w:t>
            </w:r>
          </w:p>
        </w:tc>
        <w:tc>
          <w:tcPr>
            <w:tcW w:w="1984" w:type="dxa"/>
            <w:shd w:val="clear" w:color="auto" w:fill="FFFFFF"/>
          </w:tcPr>
          <w:p w14:paraId="607CB415" w14:textId="4696B8C2" w:rsidR="00C67217" w:rsidRPr="00EA7DC4" w:rsidRDefault="00C67217" w:rsidP="00C67217">
            <w:pPr>
              <w:pStyle w:val="CETBodytext"/>
              <w:ind w:right="-1"/>
              <w:rPr>
                <w:szCs w:val="18"/>
              </w:rPr>
            </w:pPr>
            <w:r w:rsidRPr="00EA7DC4">
              <w:rPr>
                <w:szCs w:val="18"/>
              </w:rPr>
              <w:t xml:space="preserve"> </w:t>
            </w:r>
          </w:p>
        </w:tc>
        <w:tc>
          <w:tcPr>
            <w:tcW w:w="1843" w:type="dxa"/>
            <w:shd w:val="clear" w:color="auto" w:fill="FFFFFF"/>
          </w:tcPr>
          <w:p w14:paraId="2B157C92" w14:textId="1F3AB2C9" w:rsidR="00C67217" w:rsidRPr="00EA7DC4" w:rsidRDefault="00C67217" w:rsidP="00C67217">
            <w:pPr>
              <w:pStyle w:val="CETBodytext"/>
              <w:ind w:right="-1"/>
              <w:rPr>
                <w:szCs w:val="18"/>
              </w:rPr>
            </w:pPr>
            <w:r w:rsidRPr="00EA7DC4">
              <w:rPr>
                <w:szCs w:val="18"/>
              </w:rPr>
              <w:t>19</w:t>
            </w:r>
          </w:p>
        </w:tc>
        <w:tc>
          <w:tcPr>
            <w:tcW w:w="1843" w:type="dxa"/>
            <w:shd w:val="clear" w:color="auto" w:fill="FFFFFF"/>
          </w:tcPr>
          <w:p w14:paraId="7258B8F0" w14:textId="29E9875D" w:rsidR="00C67217" w:rsidRPr="00EA7DC4" w:rsidRDefault="00C67217" w:rsidP="00C67217">
            <w:pPr>
              <w:pStyle w:val="CETBodytext"/>
              <w:ind w:right="-1"/>
              <w:rPr>
                <w:szCs w:val="18"/>
              </w:rPr>
            </w:pPr>
            <w:r w:rsidRPr="00EA7DC4">
              <w:rPr>
                <w:szCs w:val="18"/>
              </w:rPr>
              <w:t>11 – 65</w:t>
            </w:r>
          </w:p>
        </w:tc>
      </w:tr>
      <w:tr w:rsidR="00C67217" w:rsidRPr="00B57B36" w14:paraId="055AD663" w14:textId="77777777" w:rsidTr="0007782E">
        <w:tc>
          <w:tcPr>
            <w:tcW w:w="2127" w:type="dxa"/>
            <w:shd w:val="clear" w:color="auto" w:fill="FFFFFF"/>
          </w:tcPr>
          <w:p w14:paraId="06652137" w14:textId="08DF4C17" w:rsidR="00C67217" w:rsidRPr="00EA7DC4" w:rsidRDefault="00C67217" w:rsidP="00C67217">
            <w:pPr>
              <w:pStyle w:val="CETBodytext"/>
              <w:ind w:right="-1"/>
              <w:rPr>
                <w:szCs w:val="18"/>
              </w:rPr>
            </w:pPr>
            <w:r w:rsidRPr="00EA7DC4">
              <w:rPr>
                <w:szCs w:val="18"/>
              </w:rPr>
              <w:t>Natural gas</w:t>
            </w:r>
          </w:p>
        </w:tc>
        <w:tc>
          <w:tcPr>
            <w:tcW w:w="1984" w:type="dxa"/>
            <w:shd w:val="clear" w:color="auto" w:fill="FFFFFF"/>
          </w:tcPr>
          <w:p w14:paraId="70B7EF81" w14:textId="7976C3B4" w:rsidR="00C67217" w:rsidRPr="00EA7DC4" w:rsidRDefault="00C67217" w:rsidP="00C67217">
            <w:pPr>
              <w:pStyle w:val="CETBodytext"/>
              <w:ind w:right="-1"/>
              <w:rPr>
                <w:szCs w:val="18"/>
              </w:rPr>
            </w:pPr>
            <w:r w:rsidRPr="00EA7DC4">
              <w:rPr>
                <w:szCs w:val="18"/>
              </w:rPr>
              <w:t xml:space="preserve"> </w:t>
            </w:r>
          </w:p>
        </w:tc>
        <w:tc>
          <w:tcPr>
            <w:tcW w:w="1843" w:type="dxa"/>
            <w:shd w:val="clear" w:color="auto" w:fill="FFFFFF"/>
          </w:tcPr>
          <w:p w14:paraId="5B6C0E5D" w14:textId="5C3EB6D1" w:rsidR="00C67217" w:rsidRPr="00EA7DC4" w:rsidRDefault="00C67217" w:rsidP="00C67217">
            <w:pPr>
              <w:pStyle w:val="CETBodytext"/>
              <w:ind w:right="-1"/>
              <w:rPr>
                <w:szCs w:val="18"/>
              </w:rPr>
            </w:pPr>
            <w:r w:rsidRPr="00EA7DC4">
              <w:rPr>
                <w:szCs w:val="18"/>
              </w:rPr>
              <w:t>19</w:t>
            </w:r>
          </w:p>
        </w:tc>
        <w:tc>
          <w:tcPr>
            <w:tcW w:w="1843" w:type="dxa"/>
            <w:shd w:val="clear" w:color="auto" w:fill="FFFFFF"/>
          </w:tcPr>
          <w:p w14:paraId="5B6FF234" w14:textId="6CF85574" w:rsidR="00C67217" w:rsidRPr="00EA7DC4" w:rsidRDefault="00C67217" w:rsidP="00C67217">
            <w:pPr>
              <w:pStyle w:val="CETBodytext"/>
              <w:ind w:right="-1"/>
              <w:rPr>
                <w:szCs w:val="18"/>
              </w:rPr>
            </w:pPr>
            <w:r w:rsidRPr="00EA7DC4">
              <w:rPr>
                <w:szCs w:val="18"/>
              </w:rPr>
              <w:t>20 – 67</w:t>
            </w:r>
          </w:p>
        </w:tc>
      </w:tr>
    </w:tbl>
    <w:p w14:paraId="1BBAA64C" w14:textId="77777777" w:rsidR="000B6C07" w:rsidRDefault="000B6C07" w:rsidP="00F4137F"/>
    <w:p w14:paraId="03308DDC" w14:textId="5BA2B337" w:rsidR="00F4137F" w:rsidRDefault="00F4137F" w:rsidP="00F4137F">
      <w:r w:rsidRPr="00A945CD">
        <w:t xml:space="preserve">When a CCS plant is considered for treating the emission of the production plant, both </w:t>
      </w:r>
      <w:proofErr w:type="spellStart"/>
      <w:r w:rsidRPr="00A945CD">
        <w:t>E</w:t>
      </w:r>
      <w:r w:rsidRPr="00A945CD">
        <w:rPr>
          <w:vertAlign w:val="subscript"/>
        </w:rPr>
        <w:t>out</w:t>
      </w:r>
      <w:proofErr w:type="spellEnd"/>
      <w:r w:rsidRPr="00A945CD">
        <w:t xml:space="preserve"> and E</w:t>
      </w:r>
      <w:r w:rsidRPr="00A945CD">
        <w:rPr>
          <w:vertAlign w:val="subscript"/>
        </w:rPr>
        <w:t>in</w:t>
      </w:r>
      <w:r w:rsidRPr="00A945CD">
        <w:t xml:space="preserve"> </w:t>
      </w:r>
      <w:r w:rsidRPr="00D47D12">
        <w:t>need to be modified to account for</w:t>
      </w:r>
      <w:r w:rsidRPr="00A945CD">
        <w:t xml:space="preserve"> the energy consumed in the CCS process. </w:t>
      </w:r>
      <w:proofErr w:type="spellStart"/>
      <w:r w:rsidRPr="00A945CD">
        <w:t>E</w:t>
      </w:r>
      <w:r w:rsidRPr="00A945CD">
        <w:rPr>
          <w:vertAlign w:val="subscript"/>
        </w:rPr>
        <w:t>out</w:t>
      </w:r>
      <w:proofErr w:type="spellEnd"/>
      <w:r w:rsidRPr="00A945CD">
        <w:t xml:space="preserve"> is reduced due to two effects: (</w:t>
      </w:r>
      <w:proofErr w:type="spellStart"/>
      <w:r w:rsidRPr="00A945CD">
        <w:t>i</w:t>
      </w:r>
      <w:proofErr w:type="spellEnd"/>
      <w:r w:rsidRPr="00A945CD">
        <w:t>) the higher consumption of energy for auxiliary power</w:t>
      </w:r>
      <w:r>
        <w:t xml:space="preserve">, </w:t>
      </w:r>
      <w:r w:rsidRPr="00A945CD">
        <w:t xml:space="preserve">due to </w:t>
      </w:r>
      <w:r>
        <w:t xml:space="preserve">the </w:t>
      </w:r>
      <w:r w:rsidRPr="00A945CD">
        <w:t xml:space="preserve">electrical energy used for pumping and auxiliary </w:t>
      </w:r>
      <w:r>
        <w:t xml:space="preserve">work </w:t>
      </w:r>
      <w:r w:rsidRPr="00A945CD">
        <w:t xml:space="preserve">in the CCS plant and (ii) the thermal energy directly used in the reboiler of the </w:t>
      </w:r>
      <w:r w:rsidRPr="00D47D12">
        <w:t>stripping</w:t>
      </w:r>
      <w:r w:rsidRPr="00A945CD">
        <w:t xml:space="preserve"> column. </w:t>
      </w:r>
      <w:r>
        <w:t>Information on b</w:t>
      </w:r>
      <w:r w:rsidRPr="00A945CD">
        <w:t xml:space="preserve">oth </w:t>
      </w:r>
      <w:r w:rsidRPr="00D47D12">
        <w:t>of</w:t>
      </w:r>
      <w:r w:rsidRPr="00A945CD">
        <w:t xml:space="preserve"> th</w:t>
      </w:r>
      <w:r>
        <w:t>ese</w:t>
      </w:r>
      <w:r w:rsidRPr="00A945CD">
        <w:t xml:space="preserve"> come</w:t>
      </w:r>
      <w:r>
        <w:t>s</w:t>
      </w:r>
      <w:r w:rsidRPr="00A945CD">
        <w:t xml:space="preserve"> from the process simulation of the CCS plant. </w:t>
      </w:r>
      <w:proofErr w:type="spellStart"/>
      <w:r w:rsidRPr="00A945CD">
        <w:t>E</w:t>
      </w:r>
      <w:r w:rsidRPr="00A945CD">
        <w:rPr>
          <w:vertAlign w:val="subscript"/>
        </w:rPr>
        <w:t>out</w:t>
      </w:r>
      <w:proofErr w:type="spellEnd"/>
      <w:r w:rsidRPr="00A945CD">
        <w:t xml:space="preserve"> and E</w:t>
      </w:r>
      <w:r w:rsidRPr="00A945CD">
        <w:rPr>
          <w:vertAlign w:val="subscript"/>
        </w:rPr>
        <w:t>th</w:t>
      </w:r>
      <w:r w:rsidRPr="00A945CD">
        <w:t xml:space="preserve"> are calculated according to Eq. (</w:t>
      </w:r>
      <w:r w:rsidR="00735928">
        <w:t>4</w:t>
      </w:r>
      <w:r w:rsidRPr="00A945CD">
        <w:t>) and (</w:t>
      </w:r>
      <w:r w:rsidR="00735928">
        <w:t>5</w:t>
      </w:r>
      <w:r w:rsidRPr="00A945CD">
        <w:t>). E</w:t>
      </w:r>
      <w:r w:rsidRPr="00A945CD">
        <w:rPr>
          <w:vertAlign w:val="subscript"/>
        </w:rPr>
        <w:t>in</w:t>
      </w:r>
      <w:r w:rsidRPr="00A945CD">
        <w:t xml:space="preserve"> and its components </w:t>
      </w:r>
      <w:proofErr w:type="spellStart"/>
      <w:r w:rsidRPr="00A945CD">
        <w:t>E</w:t>
      </w:r>
      <w:r w:rsidRPr="00A945CD">
        <w:rPr>
          <w:vertAlign w:val="subscript"/>
        </w:rPr>
        <w:t>cap</w:t>
      </w:r>
      <w:proofErr w:type="spellEnd"/>
      <w:r w:rsidRPr="00A945CD">
        <w:t xml:space="preserve">, </w:t>
      </w:r>
      <w:proofErr w:type="spellStart"/>
      <w:r w:rsidRPr="00A945CD">
        <w:t>E</w:t>
      </w:r>
      <w:r w:rsidRPr="00A945CD">
        <w:rPr>
          <w:vertAlign w:val="subscript"/>
        </w:rPr>
        <w:t>o&amp;m</w:t>
      </w:r>
      <w:proofErr w:type="spellEnd"/>
      <w:r w:rsidRPr="00A945CD">
        <w:t xml:space="preserve"> and E</w:t>
      </w:r>
      <w:r w:rsidRPr="00A945CD">
        <w:rPr>
          <w:vertAlign w:val="subscript"/>
        </w:rPr>
        <w:t>f</w:t>
      </w:r>
      <w:r w:rsidRPr="00A945CD">
        <w:t xml:space="preserve"> are calculated according to Eq. (</w:t>
      </w:r>
      <w:r w:rsidR="00735928">
        <w:t>6</w:t>
      </w:r>
      <w:r w:rsidRPr="00A945CD">
        <w:t xml:space="preserve">), (7) and (8) defined above, but the values of the independent variables are now estimated according to the results obtained from the simulation of the CCS processes. </w:t>
      </w:r>
    </w:p>
    <w:p w14:paraId="6FBFE776" w14:textId="6ECEF3AC" w:rsidR="00F4137F" w:rsidRDefault="00F4137F" w:rsidP="00F4137F">
      <w:pPr>
        <w:pStyle w:val="CETheadingx"/>
      </w:pPr>
      <w:r>
        <w:t>L</w:t>
      </w:r>
      <w:r w:rsidR="002C318F">
        <w:t xml:space="preserve">evelized Cost of Hydrogen </w:t>
      </w:r>
    </w:p>
    <w:p w14:paraId="6431EC0E" w14:textId="4C3C3013" w:rsidR="00D367C6" w:rsidRDefault="00F4137F" w:rsidP="001434F2">
      <w:bookmarkStart w:id="3" w:name="_Hlk78880850"/>
      <w:r>
        <w:t xml:space="preserve">The levelized cot of hydrogen is </w:t>
      </w:r>
      <w:r w:rsidR="001434F2">
        <w:t xml:space="preserve">calculated from </w:t>
      </w:r>
      <w:r w:rsidR="00B03993">
        <w:t>Fan et al.</w:t>
      </w:r>
      <w:r w:rsidR="00C67217">
        <w:t xml:space="preserve"> (202</w:t>
      </w:r>
      <w:r w:rsidR="00B03993">
        <w:t>2</w:t>
      </w:r>
      <w:r w:rsidR="00C67217">
        <w:t>)</w:t>
      </w:r>
      <w:r w:rsidR="00D367C6">
        <w:t>:</w:t>
      </w:r>
    </w:p>
    <w:tbl>
      <w:tblPr>
        <w:tblW w:w="8725" w:type="dxa"/>
        <w:tblBorders>
          <w:top w:val="nil"/>
          <w:left w:val="nil"/>
          <w:bottom w:val="nil"/>
          <w:right w:val="nil"/>
          <w:insideH w:val="nil"/>
          <w:insideV w:val="nil"/>
        </w:tblBorders>
        <w:tblLayout w:type="fixed"/>
        <w:tblLook w:val="0400" w:firstRow="0" w:lastRow="0" w:firstColumn="0" w:lastColumn="0" w:noHBand="0" w:noVBand="1"/>
      </w:tblPr>
      <w:tblGrid>
        <w:gridCol w:w="715"/>
        <w:gridCol w:w="7020"/>
        <w:gridCol w:w="990"/>
      </w:tblGrid>
      <w:tr w:rsidR="00F05D41" w:rsidRPr="00A945CD" w14:paraId="193EB4F1" w14:textId="77777777" w:rsidTr="00940DC1">
        <w:tc>
          <w:tcPr>
            <w:tcW w:w="715" w:type="dxa"/>
            <w:vAlign w:val="center"/>
          </w:tcPr>
          <w:p w14:paraId="60FD2D8B" w14:textId="77777777" w:rsidR="00F05D41" w:rsidRPr="00A945CD" w:rsidRDefault="00F05D41" w:rsidP="00940DC1"/>
        </w:tc>
        <w:tc>
          <w:tcPr>
            <w:tcW w:w="7020" w:type="dxa"/>
            <w:vAlign w:val="center"/>
          </w:tcPr>
          <w:p w14:paraId="6BC9247B" w14:textId="4CCCE12B" w:rsidR="00F05D41" w:rsidRPr="00F05D41" w:rsidRDefault="00F05D41" w:rsidP="00F05D41">
            <m:oMathPara>
              <m:oMath>
                <m:r>
                  <w:rPr>
                    <w:rFonts w:ascii="Cambria Math" w:hAnsi="Cambria Math"/>
                  </w:rPr>
                  <m:t>LCOH=</m:t>
                </m:r>
                <m:f>
                  <m:fPr>
                    <m:ctrlPr>
                      <w:rPr>
                        <w:rFonts w:ascii="Cambria Math" w:hAnsi="Cambria Math"/>
                        <w:i/>
                      </w:rPr>
                    </m:ctrlPr>
                  </m:fPr>
                  <m:num>
                    <m:sSub>
                      <m:sSubPr>
                        <m:ctrlPr>
                          <w:rPr>
                            <w:rFonts w:ascii="Cambria Math" w:hAnsi="Cambria Math"/>
                            <w:i/>
                          </w:rPr>
                        </m:ctrlPr>
                      </m:sSubPr>
                      <m:e>
                        <m:r>
                          <w:rPr>
                            <w:rFonts w:ascii="Cambria Math" w:hAnsi="Cambria Math"/>
                          </w:rPr>
                          <m:t>COST</m:t>
                        </m:r>
                      </m:e>
                      <m:sub>
                        <m:r>
                          <w:rPr>
                            <w:rFonts w:ascii="Cambria Math" w:hAnsi="Cambria Math"/>
                          </w:rPr>
                          <m:t>Initial</m:t>
                        </m:r>
                      </m:sub>
                    </m:sSub>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COST</m:t>
                                </m:r>
                              </m:e>
                              <m:sub>
                                <m:r>
                                  <w:rPr>
                                    <w:rFonts w:ascii="Cambria Math" w:hAnsi="Cambria Math"/>
                                  </w:rPr>
                                  <m:t>t</m:t>
                                </m:r>
                              </m:sub>
                            </m:sSub>
                          </m:num>
                          <m:den>
                            <m:sSup>
                              <m:sSupPr>
                                <m:ctrlPr>
                                  <w:rPr>
                                    <w:rFonts w:ascii="Cambria Math" w:hAnsi="Cambria Math"/>
                                    <w:i/>
                                  </w:rPr>
                                </m:ctrlPr>
                              </m:sSupPr>
                              <m:e>
                                <m:r>
                                  <w:rPr>
                                    <w:rFonts w:ascii="Cambria Math" w:hAnsi="Cambria Math"/>
                                  </w:rPr>
                                  <m:t>(1+r)</m:t>
                                </m:r>
                              </m:e>
                              <m:sup>
                                <m:r>
                                  <w:rPr>
                                    <w:rFonts w:ascii="Cambria Math" w:hAnsi="Cambria Math"/>
                                  </w:rPr>
                                  <m:t>t</m:t>
                                </m:r>
                              </m:sup>
                            </m:sSup>
                          </m:den>
                        </m:f>
                      </m:e>
                    </m:nary>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ht</m:t>
                                </m:r>
                              </m:sub>
                            </m:sSub>
                          </m:num>
                          <m:den>
                            <m:sSup>
                              <m:sSupPr>
                                <m:ctrlPr>
                                  <w:rPr>
                                    <w:rFonts w:ascii="Cambria Math" w:hAnsi="Cambria Math"/>
                                    <w:i/>
                                  </w:rPr>
                                </m:ctrlPr>
                              </m:sSupPr>
                              <m:e>
                                <m:r>
                                  <w:rPr>
                                    <w:rFonts w:ascii="Cambria Math" w:hAnsi="Cambria Math"/>
                                  </w:rPr>
                                  <m:t>(1+r)</m:t>
                                </m:r>
                              </m:e>
                              <m:sup>
                                <m:r>
                                  <w:rPr>
                                    <w:rFonts w:ascii="Cambria Math" w:hAnsi="Cambria Math"/>
                                  </w:rPr>
                                  <m:t>t</m:t>
                                </m:r>
                              </m:sup>
                            </m:sSup>
                          </m:den>
                        </m:f>
                      </m:e>
                    </m:nary>
                  </m:den>
                </m:f>
              </m:oMath>
            </m:oMathPara>
          </w:p>
        </w:tc>
        <w:tc>
          <w:tcPr>
            <w:tcW w:w="990" w:type="dxa"/>
            <w:vAlign w:val="center"/>
          </w:tcPr>
          <w:p w14:paraId="1E896D9C" w14:textId="27D49257" w:rsidR="00F05D41" w:rsidRPr="00A945CD" w:rsidRDefault="00F05D41" w:rsidP="00940DC1">
            <w:r w:rsidRPr="00A945CD">
              <w:t>(</w:t>
            </w:r>
            <w:r>
              <w:t>9</w:t>
            </w:r>
            <w:r w:rsidRPr="00A945CD">
              <w:t>)</w:t>
            </w:r>
          </w:p>
        </w:tc>
      </w:tr>
    </w:tbl>
    <w:p w14:paraId="5B934A1A" w14:textId="6B74B901" w:rsidR="00D367C6" w:rsidRPr="00D367C6" w:rsidRDefault="00D367C6" w:rsidP="001434F2">
      <w:r>
        <w:t xml:space="preserve">Where </w:t>
      </w:r>
      <w:proofErr w:type="spellStart"/>
      <w:r w:rsidRPr="00514A2E">
        <w:rPr>
          <w:i/>
        </w:rPr>
        <w:t>COST</w:t>
      </w:r>
      <w:r w:rsidRPr="00514A2E">
        <w:rPr>
          <w:i/>
          <w:vertAlign w:val="subscript"/>
        </w:rPr>
        <w:t>Initial</w:t>
      </w:r>
      <w:proofErr w:type="spellEnd"/>
      <w:r>
        <w:t xml:space="preserve"> [€] is the initial capital investment, </w:t>
      </w:r>
      <w:proofErr w:type="spellStart"/>
      <w:r w:rsidRPr="00514A2E">
        <w:rPr>
          <w:i/>
        </w:rPr>
        <w:t>COST</w:t>
      </w:r>
      <w:r w:rsidRPr="00514A2E">
        <w:rPr>
          <w:i/>
          <w:vertAlign w:val="subscript"/>
        </w:rPr>
        <w:t>t</w:t>
      </w:r>
      <w:proofErr w:type="spellEnd"/>
      <w:r>
        <w:t xml:space="preserve"> [€] is the cost at year t, </w:t>
      </w:r>
      <w:r w:rsidRPr="00514A2E">
        <w:rPr>
          <w:i/>
        </w:rPr>
        <w:t>r</w:t>
      </w:r>
      <w:r>
        <w:t xml:space="preserve"> [%] the discount rate, and </w:t>
      </w:r>
      <w:proofErr w:type="spellStart"/>
      <w:r w:rsidRPr="00514A2E">
        <w:rPr>
          <w:i/>
        </w:rPr>
        <w:t>Q</w:t>
      </w:r>
      <w:r w:rsidRPr="00514A2E">
        <w:rPr>
          <w:i/>
          <w:vertAlign w:val="subscript"/>
        </w:rPr>
        <w:t>ht</w:t>
      </w:r>
      <w:proofErr w:type="spellEnd"/>
      <w:r>
        <w:rPr>
          <w:vertAlign w:val="subscript"/>
        </w:rPr>
        <w:t xml:space="preserve"> </w:t>
      </w:r>
      <w:r>
        <w:t>[t] the hydrogen production.</w:t>
      </w:r>
      <w:r w:rsidR="00735928">
        <w:t xml:space="preserve"> </w:t>
      </w:r>
      <w:proofErr w:type="spellStart"/>
      <w:proofErr w:type="gramStart"/>
      <w:r w:rsidR="00735928" w:rsidRPr="007B5ACA">
        <w:rPr>
          <w:i/>
        </w:rPr>
        <w:t>COST</w:t>
      </w:r>
      <w:r w:rsidR="00735928" w:rsidRPr="007B5ACA">
        <w:rPr>
          <w:i/>
          <w:vertAlign w:val="subscript"/>
        </w:rPr>
        <w:t>Initial</w:t>
      </w:r>
      <w:proofErr w:type="spellEnd"/>
      <w:r w:rsidR="00735928" w:rsidRPr="007B5ACA">
        <w:rPr>
          <w:i/>
          <w:vertAlign w:val="subscript"/>
        </w:rPr>
        <w:t xml:space="preserve"> </w:t>
      </w:r>
      <w:r w:rsidR="00735928" w:rsidRPr="007B5ACA">
        <w:rPr>
          <w:i/>
        </w:rPr>
        <w:t xml:space="preserve"> </w:t>
      </w:r>
      <w:r w:rsidR="00F05D41" w:rsidRPr="007B5ACA">
        <w:rPr>
          <w:i/>
        </w:rPr>
        <w:t>is</w:t>
      </w:r>
      <w:proofErr w:type="gramEnd"/>
      <w:r w:rsidR="00F05D41" w:rsidRPr="007B5ACA">
        <w:rPr>
          <w:i/>
        </w:rPr>
        <w:t xml:space="preserve"> equal to the </w:t>
      </w:r>
      <w:r w:rsidR="007B5ACA" w:rsidRPr="007B5ACA">
        <w:rPr>
          <w:i/>
        </w:rPr>
        <w:t xml:space="preserve">TPC </w:t>
      </w:r>
      <w:r w:rsidR="00F05D41" w:rsidRPr="007B5ACA">
        <w:rPr>
          <w:i/>
        </w:rPr>
        <w:t xml:space="preserve">and </w:t>
      </w:r>
      <w:proofErr w:type="spellStart"/>
      <w:r w:rsidR="00F05D41" w:rsidRPr="007B5ACA">
        <w:rPr>
          <w:i/>
        </w:rPr>
        <w:t>COST</w:t>
      </w:r>
      <w:r w:rsidR="00F05D41" w:rsidRPr="007B5ACA">
        <w:rPr>
          <w:i/>
          <w:vertAlign w:val="subscript"/>
        </w:rPr>
        <w:t>t</w:t>
      </w:r>
      <w:proofErr w:type="spellEnd"/>
      <w:r w:rsidR="00F05D41" w:rsidRPr="007B5ACA">
        <w:rPr>
          <w:i/>
        </w:rPr>
        <w:t xml:space="preserve"> is evaluated from OPEX</w:t>
      </w:r>
      <w:r w:rsidR="007B5ACA" w:rsidRPr="007B5ACA">
        <w:rPr>
          <w:i/>
        </w:rPr>
        <w:t xml:space="preserve"> and </w:t>
      </w:r>
      <w:proofErr w:type="spellStart"/>
      <w:r w:rsidR="007B5ACA" w:rsidRPr="007B5ACA">
        <w:rPr>
          <w:rFonts w:cs="Arial"/>
          <w:szCs w:val="18"/>
        </w:rPr>
        <w:t>s</w:t>
      </w:r>
      <w:r w:rsidR="007B5ACA" w:rsidRPr="007B5ACA">
        <w:rPr>
          <w:rFonts w:cs="Arial"/>
          <w:szCs w:val="18"/>
          <w:vertAlign w:val="subscript"/>
        </w:rPr>
        <w:t>o&amp;m</w:t>
      </w:r>
      <w:proofErr w:type="spellEnd"/>
      <w:r w:rsidR="00F05D41" w:rsidRPr="007B5ACA">
        <w:rPr>
          <w:i/>
        </w:rPr>
        <w:t>.</w:t>
      </w:r>
    </w:p>
    <w:p w14:paraId="38C921C8" w14:textId="018A542B" w:rsidR="00F4137F" w:rsidRDefault="00516194" w:rsidP="00F4137F">
      <w:pPr>
        <w:pStyle w:val="CETheadingx"/>
      </w:pPr>
      <w:bookmarkStart w:id="4" w:name="_heading=h.26in1rg" w:colFirst="0" w:colLast="0"/>
      <w:bookmarkEnd w:id="3"/>
      <w:bookmarkEnd w:id="4"/>
      <w:r>
        <w:t>Life Cycle Assessment</w:t>
      </w:r>
    </w:p>
    <w:p w14:paraId="365DD8D0" w14:textId="5CA116EF" w:rsidR="00905FA1" w:rsidRDefault="00905FA1" w:rsidP="00905FA1">
      <w:pPr>
        <w:rPr>
          <w:rFonts w:ascii="Calibri" w:hAnsi="Calibri"/>
          <w:sz w:val="22"/>
        </w:rPr>
      </w:pPr>
      <w:bookmarkStart w:id="5" w:name="_Hlk102756561"/>
      <w:r>
        <w:t xml:space="preserve">The Life Cycle Assessment (LCA) is a methodology for estimating the emissions of products during their whole service lifetime, from raw material extraction and refinement, to manufacturing processes, usage, transports and disposal. LCA framework, which is thoroughly described by ISO Standards </w:t>
      </w:r>
      <w:r w:rsidR="00C67217">
        <w:t>(ISO</w:t>
      </w:r>
      <w:r w:rsidR="00F37A08">
        <w:t xml:space="preserve">, </w:t>
      </w:r>
      <w:r w:rsidR="00C67217">
        <w:t>2021)</w:t>
      </w:r>
      <w:r>
        <w:t xml:space="preserve">, involves the development of four subsequent steps: Goal and scope, </w:t>
      </w:r>
      <w:r>
        <w:rPr>
          <w:i/>
          <w:iCs/>
        </w:rPr>
        <w:t xml:space="preserve">i.e., </w:t>
      </w:r>
      <w:r>
        <w:t xml:space="preserve">the definition of the characteristics of the study, Life Cycle Inventory (LCI), </w:t>
      </w:r>
      <w:r>
        <w:rPr>
          <w:i/>
          <w:iCs/>
        </w:rPr>
        <w:t>i.e.,</w:t>
      </w:r>
      <w:r>
        <w:t xml:space="preserve"> the collection of material and energy balances over the entire life cycle of the product system, Life Cycle Impact Assessment (LCIA), </w:t>
      </w:r>
      <w:r>
        <w:rPr>
          <w:i/>
          <w:iCs/>
        </w:rPr>
        <w:t xml:space="preserve">i.e., </w:t>
      </w:r>
      <w:r>
        <w:t xml:space="preserve">the assessment of the environmental performance over various environmental compartments using several impact categories scores, and interpretation, which is when practitioners need to draw conclusions on the outcomes of the study. The findings of such investigations are frequently published using well-established impact methodologies, such as ReCiPe, Environmental Footprint (EF) or TRACI. In this paper, </w:t>
      </w:r>
      <w:r w:rsidR="009A68E8">
        <w:t>the EF</w:t>
      </w:r>
      <w:r>
        <w:t xml:space="preserve"> impact categories have been employed: total climate change (CC-T); ecosystem quality, which includes freshwater and terrestrial acidification (EQ-FTA), freshwater ecotoxicity (EQ-FE), marine eutrophication (EQ-EM), eutrophication of freshwater (EQ-EF) and terrestrial eutrophication (EQ-ET); human health, which involves the evaluation of impacts related to carcinogenic (HH-CE) or non-carcinogenic effects (HH-NCE), ionizing radiation (HH-IR), ozone layer depletion (HH-OD), photochemical ozone creation (HH-PCOC), and respiratory effects (HH-RE); resources depletion concerning the impacts on available raw materials such as dissipated water (RD-W), fossil fuels (RD-F), land (RD-L) and minerals and metals (RD-M).</w:t>
      </w:r>
    </w:p>
    <w:bookmarkEnd w:id="5"/>
    <w:p w14:paraId="677EBFF0" w14:textId="78AD9CC6" w:rsidR="00600535" w:rsidRDefault="001C405C" w:rsidP="00600535">
      <w:pPr>
        <w:pStyle w:val="CETHeading1"/>
        <w:tabs>
          <w:tab w:val="right" w:pos="7100"/>
        </w:tabs>
        <w:jc w:val="both"/>
        <w:rPr>
          <w:lang w:val="en-GB"/>
        </w:rPr>
      </w:pPr>
      <w:r>
        <w:rPr>
          <w:lang w:val="en-GB"/>
        </w:rPr>
        <w:t>Results and Discussion</w:t>
      </w:r>
    </w:p>
    <w:p w14:paraId="0701A97B" w14:textId="65CF7BD8" w:rsidR="007B5ACA" w:rsidRDefault="00516194" w:rsidP="007B5ACA">
      <w:r>
        <w:t xml:space="preserve">Material and energy balance data coupled with cost estimation obtained by process simulation software are used to calculate the performance indicators: the detail of the data transferred from the process simulation are </w:t>
      </w:r>
      <w:r>
        <w:lastRenderedPageBreak/>
        <w:t xml:space="preserve">reported in Table </w:t>
      </w:r>
      <w:r w:rsidR="009D657C">
        <w:t>2</w:t>
      </w:r>
      <w:r>
        <w:t>. EROEI, LCOH and LCA are calculated using the methods explained above.</w:t>
      </w:r>
      <w:r w:rsidR="007B5ACA" w:rsidRPr="007B5ACA">
        <w:t xml:space="preserve"> </w:t>
      </w:r>
      <w:r w:rsidR="007B5ACA">
        <w:t xml:space="preserve">Table 3 shows the most significant results obtained from the process simulation to be used for the indicators’ estimation of the indicators. </w:t>
      </w:r>
    </w:p>
    <w:p w14:paraId="3C207F73" w14:textId="77E0E79F" w:rsidR="00EB2B1F" w:rsidRDefault="00EB2B1F" w:rsidP="00EB2B1F">
      <w:pPr>
        <w:pStyle w:val="CETTabletitle"/>
      </w:pPr>
      <w:r w:rsidRPr="004C0C15">
        <w:t xml:space="preserve">Table </w:t>
      </w:r>
      <w:r w:rsidR="009D657C">
        <w:t>2:</w:t>
      </w:r>
      <w:r w:rsidRPr="004C0C15">
        <w:t xml:space="preserve"> Summary of data for the estimation of EROEI, LCO</w:t>
      </w:r>
      <w:r>
        <w:t>H</w:t>
      </w:r>
      <w:r w:rsidRPr="004C0C15">
        <w:t xml:space="preserve"> </w:t>
      </w:r>
      <w:r w:rsidRPr="002E1D92">
        <w:t>and LCA.</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245"/>
        <w:gridCol w:w="992"/>
        <w:gridCol w:w="851"/>
        <w:gridCol w:w="708"/>
        <w:gridCol w:w="709"/>
      </w:tblGrid>
      <w:tr w:rsidR="0007782E" w:rsidRPr="00B57B36" w14:paraId="2D59AF5D" w14:textId="77777777" w:rsidTr="002E1D92">
        <w:tc>
          <w:tcPr>
            <w:tcW w:w="5245" w:type="dxa"/>
            <w:tcBorders>
              <w:top w:val="single" w:sz="12" w:space="0" w:color="008000"/>
              <w:bottom w:val="single" w:sz="6" w:space="0" w:color="008000"/>
            </w:tcBorders>
            <w:shd w:val="clear" w:color="auto" w:fill="FFFFFF"/>
          </w:tcPr>
          <w:p w14:paraId="0146FF7A" w14:textId="668C80FD" w:rsidR="0007782E" w:rsidRPr="00B57B36" w:rsidRDefault="0007782E" w:rsidP="0007782E">
            <w:pPr>
              <w:pStyle w:val="CETBodytext"/>
              <w:rPr>
                <w:lang w:val="en-GB"/>
              </w:rPr>
            </w:pPr>
            <w:r>
              <w:rPr>
                <w:szCs w:val="18"/>
              </w:rPr>
              <w:t>Data</w:t>
            </w:r>
          </w:p>
        </w:tc>
        <w:tc>
          <w:tcPr>
            <w:tcW w:w="992" w:type="dxa"/>
            <w:tcBorders>
              <w:top w:val="single" w:sz="12" w:space="0" w:color="008000"/>
              <w:bottom w:val="single" w:sz="6" w:space="0" w:color="008000"/>
            </w:tcBorders>
            <w:shd w:val="clear" w:color="auto" w:fill="FFFFFF"/>
          </w:tcPr>
          <w:p w14:paraId="1BC38C84" w14:textId="452EC4FB" w:rsidR="0007782E" w:rsidRPr="00B57B36" w:rsidRDefault="0007782E" w:rsidP="0007782E">
            <w:pPr>
              <w:pStyle w:val="CETBodytext"/>
              <w:rPr>
                <w:lang w:val="en-GB"/>
              </w:rPr>
            </w:pPr>
            <w:r>
              <w:rPr>
                <w:szCs w:val="18"/>
              </w:rPr>
              <w:t>Units</w:t>
            </w:r>
          </w:p>
        </w:tc>
        <w:tc>
          <w:tcPr>
            <w:tcW w:w="851" w:type="dxa"/>
            <w:tcBorders>
              <w:top w:val="single" w:sz="12" w:space="0" w:color="008000"/>
              <w:bottom w:val="single" w:sz="6" w:space="0" w:color="008000"/>
            </w:tcBorders>
            <w:shd w:val="clear" w:color="auto" w:fill="FFFFFF"/>
          </w:tcPr>
          <w:p w14:paraId="37F26957" w14:textId="0F506D28" w:rsidR="0007782E" w:rsidRPr="00B57B36" w:rsidRDefault="0007782E" w:rsidP="0007782E">
            <w:pPr>
              <w:pStyle w:val="CETBodytext"/>
              <w:jc w:val="center"/>
              <w:rPr>
                <w:lang w:val="en-GB"/>
              </w:rPr>
            </w:pPr>
            <w:r w:rsidRPr="004C0C15">
              <w:rPr>
                <w:szCs w:val="18"/>
              </w:rPr>
              <w:t>EROEI</w:t>
            </w:r>
          </w:p>
        </w:tc>
        <w:tc>
          <w:tcPr>
            <w:tcW w:w="708" w:type="dxa"/>
            <w:tcBorders>
              <w:top w:val="single" w:sz="12" w:space="0" w:color="008000"/>
              <w:bottom w:val="single" w:sz="6" w:space="0" w:color="008000"/>
            </w:tcBorders>
            <w:shd w:val="clear" w:color="auto" w:fill="FFFFFF"/>
          </w:tcPr>
          <w:p w14:paraId="69BFF539" w14:textId="1B784863" w:rsidR="0007782E" w:rsidRPr="00B57B36" w:rsidRDefault="0007782E" w:rsidP="0007782E">
            <w:pPr>
              <w:pStyle w:val="CETBodytext"/>
              <w:ind w:right="-1"/>
              <w:jc w:val="center"/>
              <w:rPr>
                <w:rFonts w:cs="Arial"/>
                <w:szCs w:val="18"/>
                <w:lang w:val="en-GB"/>
              </w:rPr>
            </w:pPr>
            <w:r w:rsidRPr="004C0C15">
              <w:rPr>
                <w:szCs w:val="18"/>
              </w:rPr>
              <w:t>LCO</w:t>
            </w:r>
            <w:r>
              <w:rPr>
                <w:szCs w:val="18"/>
              </w:rPr>
              <w:t>H</w:t>
            </w:r>
          </w:p>
        </w:tc>
        <w:tc>
          <w:tcPr>
            <w:tcW w:w="709" w:type="dxa"/>
            <w:tcBorders>
              <w:top w:val="single" w:sz="12" w:space="0" w:color="008000"/>
              <w:bottom w:val="single" w:sz="6" w:space="0" w:color="008000"/>
            </w:tcBorders>
            <w:shd w:val="clear" w:color="auto" w:fill="FFFFFF"/>
          </w:tcPr>
          <w:p w14:paraId="042F804D" w14:textId="707DC1EC" w:rsidR="0007782E" w:rsidRPr="00E63764" w:rsidRDefault="0007782E" w:rsidP="0007782E">
            <w:pPr>
              <w:pStyle w:val="CETBodytext"/>
              <w:ind w:right="-1"/>
              <w:jc w:val="center"/>
              <w:rPr>
                <w:rFonts w:cs="Arial"/>
                <w:szCs w:val="18"/>
                <w:lang w:val="en-GB"/>
              </w:rPr>
            </w:pPr>
            <w:r w:rsidRPr="00E63764">
              <w:rPr>
                <w:szCs w:val="18"/>
              </w:rPr>
              <w:t>LCA</w:t>
            </w:r>
          </w:p>
        </w:tc>
      </w:tr>
      <w:tr w:rsidR="0007782E" w:rsidRPr="00B57B36" w14:paraId="3108BB4F" w14:textId="77777777" w:rsidTr="002E1D92">
        <w:tc>
          <w:tcPr>
            <w:tcW w:w="5245" w:type="dxa"/>
            <w:shd w:val="clear" w:color="auto" w:fill="FFFFFF"/>
          </w:tcPr>
          <w:p w14:paraId="64A94EC3" w14:textId="099ADD17" w:rsidR="0007782E" w:rsidRPr="0007782E" w:rsidRDefault="0007782E" w:rsidP="0007782E">
            <w:pPr>
              <w:pStyle w:val="CETBodytext"/>
              <w:rPr>
                <w:lang w:val="en-GB"/>
              </w:rPr>
            </w:pPr>
            <w:r w:rsidRPr="0007782E">
              <w:rPr>
                <w:rFonts w:cs="Arial"/>
                <w:szCs w:val="18"/>
              </w:rPr>
              <w:t>Hydrogen production (Q</w:t>
            </w:r>
            <w:r w:rsidRPr="0007782E">
              <w:rPr>
                <w:rFonts w:cs="Arial"/>
                <w:szCs w:val="18"/>
                <w:vertAlign w:val="subscript"/>
              </w:rPr>
              <w:t>H2</w:t>
            </w:r>
            <w:r w:rsidRPr="0007782E">
              <w:rPr>
                <w:rFonts w:cs="Arial"/>
                <w:szCs w:val="18"/>
              </w:rPr>
              <w:t xml:space="preserve">) </w:t>
            </w:r>
          </w:p>
        </w:tc>
        <w:tc>
          <w:tcPr>
            <w:tcW w:w="992" w:type="dxa"/>
            <w:shd w:val="clear" w:color="auto" w:fill="FFFFFF"/>
          </w:tcPr>
          <w:p w14:paraId="4E3F6FB9" w14:textId="152080E4" w:rsidR="0007782E" w:rsidRPr="0007782E" w:rsidRDefault="0007782E" w:rsidP="0007782E">
            <w:pPr>
              <w:pStyle w:val="CETBodytext"/>
              <w:rPr>
                <w:lang w:val="en-GB"/>
              </w:rPr>
            </w:pPr>
            <w:r w:rsidRPr="0007782E">
              <w:rPr>
                <w:rFonts w:cs="Arial"/>
                <w:szCs w:val="18"/>
              </w:rPr>
              <w:t>kg/h</w:t>
            </w:r>
          </w:p>
        </w:tc>
        <w:tc>
          <w:tcPr>
            <w:tcW w:w="851" w:type="dxa"/>
            <w:shd w:val="clear" w:color="auto" w:fill="FFFFFF"/>
          </w:tcPr>
          <w:p w14:paraId="72ADE0B9" w14:textId="1AFD73E3" w:rsidR="0007782E" w:rsidRPr="00B57B36" w:rsidRDefault="0007782E" w:rsidP="0007782E">
            <w:pPr>
              <w:pStyle w:val="CETBodytext"/>
              <w:jc w:val="center"/>
              <w:rPr>
                <w:lang w:val="en-GB"/>
              </w:rPr>
            </w:pPr>
            <w:r w:rsidRPr="00EF23D8">
              <w:rPr>
                <w:rFonts w:cs="Arial"/>
                <w:szCs w:val="18"/>
              </w:rPr>
              <w:t>X</w:t>
            </w:r>
          </w:p>
        </w:tc>
        <w:tc>
          <w:tcPr>
            <w:tcW w:w="708" w:type="dxa"/>
            <w:shd w:val="clear" w:color="auto" w:fill="FFFFFF"/>
          </w:tcPr>
          <w:p w14:paraId="13931537" w14:textId="085382C4" w:rsidR="0007782E" w:rsidRPr="00B57B36" w:rsidRDefault="0007782E" w:rsidP="0007782E">
            <w:pPr>
              <w:pStyle w:val="CETBodytext"/>
              <w:ind w:right="-1"/>
              <w:jc w:val="center"/>
              <w:rPr>
                <w:rFonts w:cs="Arial"/>
                <w:szCs w:val="18"/>
                <w:lang w:val="en-GB"/>
              </w:rPr>
            </w:pPr>
            <w:r w:rsidRPr="00EF23D8">
              <w:rPr>
                <w:rFonts w:cs="Arial"/>
                <w:szCs w:val="18"/>
              </w:rPr>
              <w:t>X</w:t>
            </w:r>
          </w:p>
        </w:tc>
        <w:tc>
          <w:tcPr>
            <w:tcW w:w="709" w:type="dxa"/>
            <w:shd w:val="clear" w:color="auto" w:fill="FFFFFF"/>
          </w:tcPr>
          <w:p w14:paraId="0CA1AA23" w14:textId="06CC4EA1" w:rsidR="0007782E" w:rsidRPr="00E63764" w:rsidRDefault="0007782E" w:rsidP="0007782E">
            <w:pPr>
              <w:pStyle w:val="CETBodytext"/>
              <w:ind w:right="-1"/>
              <w:jc w:val="center"/>
              <w:rPr>
                <w:rFonts w:cs="Arial"/>
                <w:szCs w:val="18"/>
                <w:lang w:val="en-GB"/>
              </w:rPr>
            </w:pPr>
            <w:r w:rsidRPr="00E63764">
              <w:rPr>
                <w:rFonts w:cs="Arial"/>
                <w:szCs w:val="18"/>
              </w:rPr>
              <w:t>X</w:t>
            </w:r>
          </w:p>
        </w:tc>
      </w:tr>
      <w:tr w:rsidR="0005025C" w:rsidRPr="00B57B36" w14:paraId="4C1E6616" w14:textId="77777777" w:rsidTr="002E1D92">
        <w:tc>
          <w:tcPr>
            <w:tcW w:w="5245" w:type="dxa"/>
            <w:shd w:val="clear" w:color="auto" w:fill="FFFFFF"/>
          </w:tcPr>
          <w:p w14:paraId="28328B96" w14:textId="523293A0" w:rsidR="0005025C" w:rsidRPr="0007782E" w:rsidRDefault="00685D8A" w:rsidP="0007782E">
            <w:pPr>
              <w:pStyle w:val="CETBodytext"/>
              <w:rPr>
                <w:rFonts w:cs="Arial"/>
                <w:szCs w:val="18"/>
              </w:rPr>
            </w:pPr>
            <w:r>
              <w:rPr>
                <w:rFonts w:cs="Arial"/>
                <w:szCs w:val="18"/>
              </w:rPr>
              <w:t>Higher heating value of h</w:t>
            </w:r>
            <w:r w:rsidR="0005025C">
              <w:rPr>
                <w:rFonts w:cs="Arial"/>
                <w:szCs w:val="18"/>
              </w:rPr>
              <w:t>ydrogen</w:t>
            </w:r>
            <w:r>
              <w:rPr>
                <w:rFonts w:cs="Arial"/>
                <w:szCs w:val="18"/>
              </w:rPr>
              <w:t xml:space="preserve"> (HHV)</w:t>
            </w:r>
          </w:p>
        </w:tc>
        <w:tc>
          <w:tcPr>
            <w:tcW w:w="992" w:type="dxa"/>
            <w:shd w:val="clear" w:color="auto" w:fill="FFFFFF"/>
          </w:tcPr>
          <w:p w14:paraId="3621B74F" w14:textId="1C4C21E2" w:rsidR="0005025C" w:rsidRPr="0007782E" w:rsidRDefault="0005025C" w:rsidP="0007782E">
            <w:pPr>
              <w:pStyle w:val="CETBodytext"/>
              <w:rPr>
                <w:rFonts w:cs="Arial"/>
                <w:szCs w:val="18"/>
              </w:rPr>
            </w:pPr>
            <w:r>
              <w:rPr>
                <w:rFonts w:cs="Arial"/>
                <w:szCs w:val="18"/>
              </w:rPr>
              <w:t>kWh/kg</w:t>
            </w:r>
          </w:p>
        </w:tc>
        <w:tc>
          <w:tcPr>
            <w:tcW w:w="851" w:type="dxa"/>
            <w:shd w:val="clear" w:color="auto" w:fill="FFFFFF"/>
          </w:tcPr>
          <w:p w14:paraId="468225EB" w14:textId="5CBF6C58" w:rsidR="0005025C" w:rsidRPr="00EF23D8" w:rsidRDefault="0005025C" w:rsidP="0007782E">
            <w:pPr>
              <w:pStyle w:val="CETBodytext"/>
              <w:jc w:val="center"/>
              <w:rPr>
                <w:rFonts w:cs="Arial"/>
                <w:szCs w:val="18"/>
              </w:rPr>
            </w:pPr>
            <w:r>
              <w:rPr>
                <w:rFonts w:cs="Arial"/>
                <w:szCs w:val="18"/>
              </w:rPr>
              <w:t>X</w:t>
            </w:r>
          </w:p>
        </w:tc>
        <w:tc>
          <w:tcPr>
            <w:tcW w:w="708" w:type="dxa"/>
            <w:shd w:val="clear" w:color="auto" w:fill="FFFFFF"/>
          </w:tcPr>
          <w:p w14:paraId="09F58882" w14:textId="1A21DF54" w:rsidR="0005025C" w:rsidRPr="00EF23D8" w:rsidRDefault="00845F29" w:rsidP="0007782E">
            <w:pPr>
              <w:pStyle w:val="CETBodytext"/>
              <w:ind w:right="-1"/>
              <w:jc w:val="center"/>
              <w:rPr>
                <w:rFonts w:cs="Arial"/>
                <w:szCs w:val="18"/>
              </w:rPr>
            </w:pPr>
            <w:r>
              <w:rPr>
                <w:rFonts w:cs="Arial"/>
                <w:szCs w:val="18"/>
              </w:rPr>
              <w:t>X</w:t>
            </w:r>
          </w:p>
        </w:tc>
        <w:tc>
          <w:tcPr>
            <w:tcW w:w="709" w:type="dxa"/>
            <w:shd w:val="clear" w:color="auto" w:fill="FFFFFF"/>
          </w:tcPr>
          <w:p w14:paraId="2B82986D" w14:textId="36AC64E7" w:rsidR="0005025C" w:rsidRPr="00E63764" w:rsidRDefault="0005025C" w:rsidP="0007782E">
            <w:pPr>
              <w:pStyle w:val="CETBodytext"/>
              <w:ind w:right="-1"/>
              <w:jc w:val="center"/>
              <w:rPr>
                <w:rFonts w:cs="Arial"/>
                <w:szCs w:val="18"/>
              </w:rPr>
            </w:pPr>
            <w:r w:rsidRPr="00E63764">
              <w:rPr>
                <w:rFonts w:cs="Arial"/>
                <w:szCs w:val="18"/>
              </w:rPr>
              <w:t>X</w:t>
            </w:r>
          </w:p>
        </w:tc>
      </w:tr>
      <w:tr w:rsidR="0007782E" w:rsidRPr="00B57B36" w14:paraId="5E3CBFB4" w14:textId="77777777" w:rsidTr="002E1D92">
        <w:tc>
          <w:tcPr>
            <w:tcW w:w="5245" w:type="dxa"/>
            <w:shd w:val="clear" w:color="auto" w:fill="FFFFFF"/>
          </w:tcPr>
          <w:p w14:paraId="3706A130" w14:textId="0D69E82E" w:rsidR="0007782E" w:rsidRPr="0007782E" w:rsidRDefault="00685D8A" w:rsidP="0007782E">
            <w:pPr>
              <w:pStyle w:val="CETBodytext"/>
              <w:ind w:right="-1"/>
              <w:rPr>
                <w:rFonts w:cs="Arial"/>
                <w:szCs w:val="18"/>
                <w:lang w:val="en-GB"/>
              </w:rPr>
            </w:pPr>
            <w:r>
              <w:rPr>
                <w:rFonts w:cs="Arial"/>
                <w:szCs w:val="18"/>
              </w:rPr>
              <w:t>Power</w:t>
            </w:r>
            <w:r w:rsidR="0007782E" w:rsidRPr="0007782E">
              <w:rPr>
                <w:rFonts w:cs="Arial"/>
                <w:szCs w:val="18"/>
              </w:rPr>
              <w:t xml:space="preserve"> for auxiliary</w:t>
            </w:r>
            <w:r>
              <w:rPr>
                <w:rFonts w:cs="Arial"/>
                <w:szCs w:val="18"/>
              </w:rPr>
              <w:t xml:space="preserve"> (</w:t>
            </w:r>
            <w:proofErr w:type="spellStart"/>
            <w:r>
              <w:rPr>
                <w:rFonts w:cs="Arial"/>
                <w:szCs w:val="18"/>
              </w:rPr>
              <w:t>P</w:t>
            </w:r>
            <w:r w:rsidRPr="00685D8A">
              <w:rPr>
                <w:rFonts w:cs="Arial"/>
                <w:szCs w:val="18"/>
                <w:vertAlign w:val="subscript"/>
              </w:rPr>
              <w:t>aux</w:t>
            </w:r>
            <w:proofErr w:type="spellEnd"/>
            <w:r>
              <w:rPr>
                <w:rFonts w:cs="Arial"/>
                <w:szCs w:val="18"/>
              </w:rPr>
              <w:t>)</w:t>
            </w:r>
          </w:p>
        </w:tc>
        <w:tc>
          <w:tcPr>
            <w:tcW w:w="992" w:type="dxa"/>
            <w:shd w:val="clear" w:color="auto" w:fill="FFFFFF"/>
          </w:tcPr>
          <w:p w14:paraId="14627FF6" w14:textId="4FD1F8A6" w:rsidR="0007782E" w:rsidRPr="0007782E" w:rsidRDefault="0007782E" w:rsidP="0007782E">
            <w:pPr>
              <w:pStyle w:val="CETBodytext"/>
              <w:ind w:right="-1"/>
              <w:rPr>
                <w:rFonts w:cs="Arial"/>
                <w:szCs w:val="18"/>
                <w:lang w:val="en-GB"/>
              </w:rPr>
            </w:pPr>
            <w:r w:rsidRPr="0007782E">
              <w:rPr>
                <w:rFonts w:cs="Arial"/>
                <w:szCs w:val="18"/>
              </w:rPr>
              <w:t>%</w:t>
            </w:r>
          </w:p>
        </w:tc>
        <w:tc>
          <w:tcPr>
            <w:tcW w:w="851" w:type="dxa"/>
            <w:shd w:val="clear" w:color="auto" w:fill="FFFFFF"/>
          </w:tcPr>
          <w:p w14:paraId="21D3CBD2" w14:textId="453CD045" w:rsidR="0007782E" w:rsidRPr="00B57B36" w:rsidRDefault="0007782E" w:rsidP="0007782E">
            <w:pPr>
              <w:pStyle w:val="CETBodytext"/>
              <w:ind w:right="-1"/>
              <w:jc w:val="center"/>
              <w:rPr>
                <w:rFonts w:cs="Arial"/>
                <w:szCs w:val="18"/>
                <w:lang w:val="en-GB"/>
              </w:rPr>
            </w:pPr>
            <w:r w:rsidRPr="00EF23D8">
              <w:rPr>
                <w:rFonts w:cs="Arial"/>
                <w:szCs w:val="18"/>
              </w:rPr>
              <w:t>X</w:t>
            </w:r>
          </w:p>
        </w:tc>
        <w:tc>
          <w:tcPr>
            <w:tcW w:w="708" w:type="dxa"/>
            <w:shd w:val="clear" w:color="auto" w:fill="FFFFFF"/>
          </w:tcPr>
          <w:p w14:paraId="553F0DC1" w14:textId="208159CE" w:rsidR="0007782E" w:rsidRPr="00B57B36" w:rsidRDefault="00845F29" w:rsidP="0007782E">
            <w:pPr>
              <w:pStyle w:val="CETBodytext"/>
              <w:ind w:right="-1"/>
              <w:jc w:val="center"/>
              <w:rPr>
                <w:rFonts w:cs="Arial"/>
                <w:szCs w:val="18"/>
                <w:lang w:val="en-GB"/>
              </w:rPr>
            </w:pPr>
            <w:r>
              <w:rPr>
                <w:rFonts w:cs="Arial"/>
                <w:szCs w:val="18"/>
                <w:lang w:val="en-GB"/>
              </w:rPr>
              <w:t>X</w:t>
            </w:r>
          </w:p>
        </w:tc>
        <w:tc>
          <w:tcPr>
            <w:tcW w:w="709" w:type="dxa"/>
            <w:shd w:val="clear" w:color="auto" w:fill="FFFFFF"/>
          </w:tcPr>
          <w:p w14:paraId="6EFF967A" w14:textId="490ECA59" w:rsidR="0007782E" w:rsidRPr="00E63764" w:rsidRDefault="0007782E" w:rsidP="0007782E">
            <w:pPr>
              <w:pStyle w:val="CETBodytext"/>
              <w:ind w:right="-1"/>
              <w:jc w:val="center"/>
              <w:rPr>
                <w:rFonts w:cs="Arial"/>
                <w:szCs w:val="18"/>
                <w:lang w:val="en-GB"/>
              </w:rPr>
            </w:pPr>
            <w:r w:rsidRPr="00E63764">
              <w:rPr>
                <w:rFonts w:cs="Arial"/>
                <w:szCs w:val="18"/>
              </w:rPr>
              <w:t>X</w:t>
            </w:r>
          </w:p>
        </w:tc>
      </w:tr>
      <w:tr w:rsidR="0007782E" w:rsidRPr="00B57B36" w14:paraId="79736430" w14:textId="77777777" w:rsidTr="002E1D92">
        <w:tc>
          <w:tcPr>
            <w:tcW w:w="5245" w:type="dxa"/>
            <w:shd w:val="clear" w:color="auto" w:fill="FFFFFF"/>
          </w:tcPr>
          <w:p w14:paraId="77BEF25C" w14:textId="5AD7803E" w:rsidR="0007782E" w:rsidRPr="0007782E" w:rsidRDefault="0007782E" w:rsidP="0007782E">
            <w:pPr>
              <w:pStyle w:val="CETBodytext"/>
              <w:ind w:right="-1"/>
              <w:rPr>
                <w:rFonts w:cs="Arial"/>
                <w:szCs w:val="18"/>
              </w:rPr>
            </w:pPr>
            <w:r w:rsidRPr="0007782E">
              <w:rPr>
                <w:rFonts w:cs="Arial"/>
                <w:szCs w:val="18"/>
              </w:rPr>
              <w:t>Total plant cost (TPC)</w:t>
            </w:r>
          </w:p>
        </w:tc>
        <w:tc>
          <w:tcPr>
            <w:tcW w:w="992" w:type="dxa"/>
            <w:shd w:val="clear" w:color="auto" w:fill="FFFFFF"/>
          </w:tcPr>
          <w:p w14:paraId="7364B4D2" w14:textId="185FBFA4" w:rsidR="0007782E" w:rsidRPr="0007782E" w:rsidRDefault="0007782E" w:rsidP="0007782E">
            <w:pPr>
              <w:pStyle w:val="CETBodytext"/>
              <w:ind w:right="-1"/>
              <w:rPr>
                <w:rFonts w:cs="Arial"/>
                <w:szCs w:val="18"/>
              </w:rPr>
            </w:pPr>
            <w:r w:rsidRPr="0007782E">
              <w:rPr>
                <w:rFonts w:cs="Arial"/>
                <w:szCs w:val="18"/>
              </w:rPr>
              <w:t>€</w:t>
            </w:r>
          </w:p>
        </w:tc>
        <w:tc>
          <w:tcPr>
            <w:tcW w:w="851" w:type="dxa"/>
            <w:shd w:val="clear" w:color="auto" w:fill="FFFFFF"/>
          </w:tcPr>
          <w:p w14:paraId="7979D0CD" w14:textId="2C47A662" w:rsidR="0007782E" w:rsidRPr="00EF23D8" w:rsidRDefault="0007782E" w:rsidP="0007782E">
            <w:pPr>
              <w:pStyle w:val="CETBodytext"/>
              <w:ind w:right="-1"/>
              <w:jc w:val="center"/>
              <w:rPr>
                <w:rFonts w:cs="Arial"/>
                <w:szCs w:val="18"/>
              </w:rPr>
            </w:pPr>
            <w:r>
              <w:rPr>
                <w:rFonts w:cs="Arial"/>
                <w:szCs w:val="18"/>
              </w:rPr>
              <w:t>X</w:t>
            </w:r>
          </w:p>
        </w:tc>
        <w:tc>
          <w:tcPr>
            <w:tcW w:w="708" w:type="dxa"/>
            <w:shd w:val="clear" w:color="auto" w:fill="FFFFFF"/>
          </w:tcPr>
          <w:p w14:paraId="514C33B2" w14:textId="53C6D318" w:rsidR="0007782E" w:rsidRPr="00B57B36" w:rsidRDefault="0007782E" w:rsidP="0007782E">
            <w:pPr>
              <w:pStyle w:val="CETBodytext"/>
              <w:ind w:right="-1"/>
              <w:jc w:val="center"/>
              <w:rPr>
                <w:rFonts w:cs="Arial"/>
                <w:szCs w:val="18"/>
                <w:lang w:val="en-GB"/>
              </w:rPr>
            </w:pPr>
            <w:r w:rsidRPr="00EF23D8">
              <w:rPr>
                <w:rFonts w:cs="Arial"/>
                <w:szCs w:val="18"/>
              </w:rPr>
              <w:t>X</w:t>
            </w:r>
          </w:p>
        </w:tc>
        <w:tc>
          <w:tcPr>
            <w:tcW w:w="709" w:type="dxa"/>
            <w:shd w:val="clear" w:color="auto" w:fill="FFFFFF"/>
          </w:tcPr>
          <w:p w14:paraId="73680ACE" w14:textId="77777777" w:rsidR="0007782E" w:rsidRPr="00E63764" w:rsidRDefault="0007782E" w:rsidP="0007782E">
            <w:pPr>
              <w:pStyle w:val="CETBodytext"/>
              <w:ind w:right="-1"/>
              <w:jc w:val="center"/>
              <w:rPr>
                <w:rFonts w:cs="Arial"/>
                <w:szCs w:val="18"/>
              </w:rPr>
            </w:pPr>
          </w:p>
        </w:tc>
      </w:tr>
      <w:tr w:rsidR="0007782E" w:rsidRPr="00B57B36" w14:paraId="68046850" w14:textId="77777777" w:rsidTr="002E1D92">
        <w:tc>
          <w:tcPr>
            <w:tcW w:w="5245" w:type="dxa"/>
            <w:shd w:val="clear" w:color="auto" w:fill="FFFFFF"/>
          </w:tcPr>
          <w:p w14:paraId="004E3932" w14:textId="2D39366C" w:rsidR="0007782E" w:rsidRPr="0007782E" w:rsidRDefault="0007782E" w:rsidP="0007782E">
            <w:pPr>
              <w:pStyle w:val="CETBodytext"/>
              <w:ind w:right="-1"/>
              <w:rPr>
                <w:rFonts w:cs="Arial"/>
                <w:szCs w:val="18"/>
              </w:rPr>
            </w:pPr>
            <w:r w:rsidRPr="0007782E">
              <w:rPr>
                <w:rFonts w:cs="Arial"/>
                <w:szCs w:val="18"/>
              </w:rPr>
              <w:t>Proportion between TPC and</w:t>
            </w:r>
            <w:r w:rsidR="000F1D33">
              <w:rPr>
                <w:rFonts w:cs="Arial"/>
                <w:szCs w:val="18"/>
              </w:rPr>
              <w:t xml:space="preserve"> cost of energy for construction (</w:t>
            </w:r>
            <w:proofErr w:type="spellStart"/>
            <w:r w:rsidR="000F1D33" w:rsidRPr="00EA7DC4">
              <w:rPr>
                <w:rFonts w:cs="Arial"/>
                <w:szCs w:val="18"/>
              </w:rPr>
              <w:t>ε</w:t>
            </w:r>
            <w:r w:rsidR="000F1D33" w:rsidRPr="000F1D33">
              <w:rPr>
                <w:rFonts w:cs="Arial"/>
                <w:szCs w:val="18"/>
                <w:vertAlign w:val="subscript"/>
              </w:rPr>
              <w:t>c</w:t>
            </w:r>
            <w:proofErr w:type="spellEnd"/>
            <w:r w:rsidR="000F1D33" w:rsidRPr="000F1D33">
              <w:rPr>
                <w:rFonts w:cs="Arial"/>
                <w:szCs w:val="18"/>
              </w:rPr>
              <w:t>)</w:t>
            </w:r>
          </w:p>
        </w:tc>
        <w:tc>
          <w:tcPr>
            <w:tcW w:w="992" w:type="dxa"/>
            <w:shd w:val="clear" w:color="auto" w:fill="FFFFFF"/>
          </w:tcPr>
          <w:p w14:paraId="53F4F506" w14:textId="4E2B187F" w:rsidR="0007782E" w:rsidRPr="0007782E" w:rsidRDefault="000F1D33" w:rsidP="0007782E">
            <w:pPr>
              <w:pStyle w:val="CETBodytext"/>
              <w:ind w:right="-1"/>
              <w:rPr>
                <w:rFonts w:cs="Arial"/>
                <w:szCs w:val="18"/>
              </w:rPr>
            </w:pPr>
            <w:r w:rsidRPr="0007782E">
              <w:rPr>
                <w:rFonts w:cs="Arial"/>
                <w:szCs w:val="18"/>
              </w:rPr>
              <w:t>€</w:t>
            </w:r>
            <w:r>
              <w:rPr>
                <w:rFonts w:cs="Arial"/>
                <w:szCs w:val="18"/>
              </w:rPr>
              <w:t>/kWh</w:t>
            </w:r>
          </w:p>
        </w:tc>
        <w:tc>
          <w:tcPr>
            <w:tcW w:w="851" w:type="dxa"/>
            <w:shd w:val="clear" w:color="auto" w:fill="FFFFFF"/>
          </w:tcPr>
          <w:p w14:paraId="7768DA6B" w14:textId="05486B81" w:rsidR="0007782E" w:rsidRDefault="0007782E" w:rsidP="0007782E">
            <w:pPr>
              <w:pStyle w:val="CETBodytext"/>
              <w:ind w:right="-1"/>
              <w:jc w:val="center"/>
              <w:rPr>
                <w:rFonts w:cs="Arial"/>
                <w:szCs w:val="18"/>
              </w:rPr>
            </w:pPr>
            <w:r>
              <w:rPr>
                <w:rFonts w:cs="Arial"/>
                <w:szCs w:val="18"/>
              </w:rPr>
              <w:t>X</w:t>
            </w:r>
          </w:p>
        </w:tc>
        <w:tc>
          <w:tcPr>
            <w:tcW w:w="708" w:type="dxa"/>
            <w:shd w:val="clear" w:color="auto" w:fill="FFFFFF"/>
          </w:tcPr>
          <w:p w14:paraId="0C903109" w14:textId="77777777" w:rsidR="0007782E" w:rsidRPr="00EF23D8" w:rsidRDefault="0007782E" w:rsidP="0007782E">
            <w:pPr>
              <w:pStyle w:val="CETBodytext"/>
              <w:ind w:right="-1"/>
              <w:jc w:val="center"/>
              <w:rPr>
                <w:rFonts w:cs="Arial"/>
                <w:szCs w:val="18"/>
              </w:rPr>
            </w:pPr>
          </w:p>
        </w:tc>
        <w:tc>
          <w:tcPr>
            <w:tcW w:w="709" w:type="dxa"/>
            <w:shd w:val="clear" w:color="auto" w:fill="FFFFFF"/>
          </w:tcPr>
          <w:p w14:paraId="12B5EAFB" w14:textId="77777777" w:rsidR="0007782E" w:rsidRPr="00E63764" w:rsidRDefault="0007782E" w:rsidP="0007782E">
            <w:pPr>
              <w:pStyle w:val="CETBodytext"/>
              <w:ind w:right="-1"/>
              <w:jc w:val="center"/>
              <w:rPr>
                <w:rFonts w:cs="Arial"/>
                <w:szCs w:val="18"/>
              </w:rPr>
            </w:pPr>
          </w:p>
        </w:tc>
      </w:tr>
      <w:tr w:rsidR="0007782E" w:rsidRPr="00B57B36" w14:paraId="29B32FEC" w14:textId="77777777" w:rsidTr="002E1D92">
        <w:tc>
          <w:tcPr>
            <w:tcW w:w="5245" w:type="dxa"/>
            <w:shd w:val="clear" w:color="auto" w:fill="FFFFFF"/>
          </w:tcPr>
          <w:p w14:paraId="3173DE97" w14:textId="744D3270" w:rsidR="0007782E" w:rsidRPr="0007782E" w:rsidRDefault="0007782E" w:rsidP="0007782E">
            <w:pPr>
              <w:pStyle w:val="CETBodytext"/>
              <w:ind w:right="-1"/>
              <w:rPr>
                <w:rFonts w:cs="Arial"/>
                <w:szCs w:val="18"/>
              </w:rPr>
            </w:pPr>
            <w:r w:rsidRPr="0007782E">
              <w:rPr>
                <w:rFonts w:cs="Arial"/>
                <w:szCs w:val="18"/>
              </w:rPr>
              <w:t>Capacity factor (</w:t>
            </w:r>
            <w:proofErr w:type="spellStart"/>
            <w:r w:rsidR="002E1D92">
              <w:rPr>
                <w:rFonts w:cs="Arial"/>
                <w:szCs w:val="18"/>
              </w:rPr>
              <w:t>cf</w:t>
            </w:r>
            <w:proofErr w:type="spellEnd"/>
            <w:r w:rsidRPr="0007782E">
              <w:rPr>
                <w:rFonts w:cs="Arial"/>
                <w:szCs w:val="18"/>
              </w:rPr>
              <w:t xml:space="preserve">) </w:t>
            </w:r>
          </w:p>
        </w:tc>
        <w:tc>
          <w:tcPr>
            <w:tcW w:w="992" w:type="dxa"/>
            <w:shd w:val="clear" w:color="auto" w:fill="FFFFFF"/>
          </w:tcPr>
          <w:p w14:paraId="452F17EE" w14:textId="3A427173" w:rsidR="0007782E" w:rsidRPr="0007782E" w:rsidRDefault="0007782E" w:rsidP="0007782E">
            <w:pPr>
              <w:pStyle w:val="CETBodytext"/>
              <w:ind w:right="-1"/>
              <w:rPr>
                <w:rFonts w:cs="Arial"/>
                <w:szCs w:val="18"/>
              </w:rPr>
            </w:pPr>
            <w:r w:rsidRPr="0007782E">
              <w:rPr>
                <w:rFonts w:cs="Arial"/>
                <w:szCs w:val="18"/>
              </w:rPr>
              <w:t>-</w:t>
            </w:r>
          </w:p>
        </w:tc>
        <w:tc>
          <w:tcPr>
            <w:tcW w:w="851" w:type="dxa"/>
            <w:shd w:val="clear" w:color="auto" w:fill="FFFFFF"/>
          </w:tcPr>
          <w:p w14:paraId="3AB5CD78" w14:textId="22071236" w:rsidR="0007782E" w:rsidRDefault="0007782E" w:rsidP="0007782E">
            <w:pPr>
              <w:pStyle w:val="CETBodytext"/>
              <w:ind w:right="-1"/>
              <w:jc w:val="center"/>
              <w:rPr>
                <w:rFonts w:cs="Arial"/>
                <w:szCs w:val="18"/>
              </w:rPr>
            </w:pPr>
            <w:r>
              <w:rPr>
                <w:rFonts w:cs="Arial"/>
                <w:szCs w:val="18"/>
              </w:rPr>
              <w:t>X</w:t>
            </w:r>
          </w:p>
        </w:tc>
        <w:tc>
          <w:tcPr>
            <w:tcW w:w="708" w:type="dxa"/>
            <w:shd w:val="clear" w:color="auto" w:fill="FFFFFF"/>
          </w:tcPr>
          <w:p w14:paraId="6B983D6C" w14:textId="77777777" w:rsidR="0007782E" w:rsidRPr="00EF23D8" w:rsidRDefault="0007782E" w:rsidP="0007782E">
            <w:pPr>
              <w:pStyle w:val="CETBodytext"/>
              <w:ind w:right="-1"/>
              <w:jc w:val="center"/>
              <w:rPr>
                <w:rFonts w:cs="Arial"/>
                <w:szCs w:val="18"/>
              </w:rPr>
            </w:pPr>
          </w:p>
        </w:tc>
        <w:tc>
          <w:tcPr>
            <w:tcW w:w="709" w:type="dxa"/>
            <w:shd w:val="clear" w:color="auto" w:fill="FFFFFF"/>
          </w:tcPr>
          <w:p w14:paraId="4A79475A" w14:textId="1BC88C6E" w:rsidR="0007782E" w:rsidRPr="00E63764" w:rsidRDefault="00E63764" w:rsidP="0007782E">
            <w:pPr>
              <w:pStyle w:val="CETBodytext"/>
              <w:ind w:right="-1"/>
              <w:jc w:val="center"/>
              <w:rPr>
                <w:rFonts w:cs="Arial"/>
                <w:szCs w:val="18"/>
              </w:rPr>
            </w:pPr>
            <w:r w:rsidRPr="00E63764">
              <w:rPr>
                <w:rFonts w:cs="Arial"/>
                <w:szCs w:val="18"/>
              </w:rPr>
              <w:t>X</w:t>
            </w:r>
          </w:p>
        </w:tc>
      </w:tr>
      <w:tr w:rsidR="0007782E" w:rsidRPr="00B57B36" w14:paraId="143B5DDC" w14:textId="77777777" w:rsidTr="002E1D92">
        <w:tc>
          <w:tcPr>
            <w:tcW w:w="5245" w:type="dxa"/>
            <w:shd w:val="clear" w:color="auto" w:fill="FFFFFF"/>
          </w:tcPr>
          <w:p w14:paraId="63FB67D9" w14:textId="448C6CD4" w:rsidR="0007782E" w:rsidRPr="0007782E" w:rsidRDefault="0007782E" w:rsidP="0007782E">
            <w:pPr>
              <w:pStyle w:val="CETBodytext"/>
              <w:ind w:right="-1"/>
              <w:rPr>
                <w:rFonts w:cs="Arial"/>
                <w:szCs w:val="18"/>
              </w:rPr>
            </w:pPr>
            <w:r w:rsidRPr="0007782E">
              <w:rPr>
                <w:rFonts w:cs="Arial"/>
                <w:szCs w:val="18"/>
              </w:rPr>
              <w:t xml:space="preserve">Plant life time (L) </w:t>
            </w:r>
          </w:p>
        </w:tc>
        <w:tc>
          <w:tcPr>
            <w:tcW w:w="992" w:type="dxa"/>
            <w:shd w:val="clear" w:color="auto" w:fill="FFFFFF"/>
          </w:tcPr>
          <w:p w14:paraId="3ECBD835" w14:textId="5A37EBCA" w:rsidR="0007782E" w:rsidRPr="0007782E" w:rsidRDefault="0007782E" w:rsidP="0007782E">
            <w:pPr>
              <w:pStyle w:val="CETBodytext"/>
              <w:ind w:right="-1"/>
              <w:rPr>
                <w:rFonts w:cs="Arial"/>
                <w:szCs w:val="18"/>
              </w:rPr>
            </w:pPr>
            <w:r w:rsidRPr="0007782E">
              <w:rPr>
                <w:rFonts w:cs="Arial"/>
                <w:szCs w:val="18"/>
              </w:rPr>
              <w:t>years</w:t>
            </w:r>
          </w:p>
        </w:tc>
        <w:tc>
          <w:tcPr>
            <w:tcW w:w="851" w:type="dxa"/>
            <w:shd w:val="clear" w:color="auto" w:fill="FFFFFF"/>
          </w:tcPr>
          <w:p w14:paraId="2D324412" w14:textId="2E5D7801" w:rsidR="0007782E" w:rsidRDefault="0007782E" w:rsidP="0007782E">
            <w:pPr>
              <w:pStyle w:val="CETBodytext"/>
              <w:ind w:right="-1"/>
              <w:jc w:val="center"/>
              <w:rPr>
                <w:rFonts w:cs="Arial"/>
                <w:szCs w:val="18"/>
              </w:rPr>
            </w:pPr>
            <w:r>
              <w:rPr>
                <w:rFonts w:cs="Arial"/>
                <w:szCs w:val="18"/>
              </w:rPr>
              <w:t>X</w:t>
            </w:r>
          </w:p>
        </w:tc>
        <w:tc>
          <w:tcPr>
            <w:tcW w:w="708" w:type="dxa"/>
            <w:shd w:val="clear" w:color="auto" w:fill="FFFFFF"/>
          </w:tcPr>
          <w:p w14:paraId="7C6A1FB5" w14:textId="77777777" w:rsidR="0007782E" w:rsidRPr="00EF23D8" w:rsidRDefault="0007782E" w:rsidP="0007782E">
            <w:pPr>
              <w:pStyle w:val="CETBodytext"/>
              <w:ind w:right="-1"/>
              <w:jc w:val="center"/>
              <w:rPr>
                <w:rFonts w:cs="Arial"/>
                <w:szCs w:val="18"/>
              </w:rPr>
            </w:pPr>
          </w:p>
        </w:tc>
        <w:tc>
          <w:tcPr>
            <w:tcW w:w="709" w:type="dxa"/>
            <w:shd w:val="clear" w:color="auto" w:fill="FFFFFF"/>
          </w:tcPr>
          <w:p w14:paraId="0E4F534D" w14:textId="20DC32D3" w:rsidR="0007782E" w:rsidRPr="00E63764" w:rsidRDefault="00E63764" w:rsidP="0007782E">
            <w:pPr>
              <w:pStyle w:val="CETBodytext"/>
              <w:ind w:right="-1"/>
              <w:jc w:val="center"/>
              <w:rPr>
                <w:rFonts w:cs="Arial"/>
                <w:szCs w:val="18"/>
              </w:rPr>
            </w:pPr>
            <w:r w:rsidRPr="00E63764">
              <w:rPr>
                <w:rFonts w:cs="Arial"/>
                <w:szCs w:val="18"/>
              </w:rPr>
              <w:t>X</w:t>
            </w:r>
          </w:p>
        </w:tc>
      </w:tr>
      <w:tr w:rsidR="0007782E" w:rsidRPr="00B57B36" w14:paraId="29449F68" w14:textId="77777777" w:rsidTr="002E1D92">
        <w:tc>
          <w:tcPr>
            <w:tcW w:w="5245" w:type="dxa"/>
            <w:shd w:val="clear" w:color="auto" w:fill="FFFFFF"/>
          </w:tcPr>
          <w:p w14:paraId="41655EFE" w14:textId="0F5CAC64" w:rsidR="0007782E" w:rsidRPr="0007782E" w:rsidRDefault="0007782E" w:rsidP="0007782E">
            <w:pPr>
              <w:pStyle w:val="CETBodytext"/>
              <w:ind w:right="-1"/>
              <w:rPr>
                <w:rFonts w:cs="Arial"/>
                <w:szCs w:val="18"/>
              </w:rPr>
            </w:pPr>
            <w:r w:rsidRPr="0007782E">
              <w:rPr>
                <w:rFonts w:cs="Arial"/>
                <w:szCs w:val="18"/>
              </w:rPr>
              <w:t>Efficiency (</w:t>
            </w:r>
            <m:oMath>
              <m:r>
                <w:rPr>
                  <w:rFonts w:ascii="Cambria Math" w:eastAsia="Cambria Math" w:hAnsi="Cambria Math" w:cs="Cambria Math"/>
                </w:rPr>
                <m:t>η</m:t>
              </m:r>
            </m:oMath>
            <w:r w:rsidRPr="0007782E">
              <w:rPr>
                <w:rFonts w:cs="Arial"/>
                <w:szCs w:val="18"/>
              </w:rPr>
              <w:t xml:space="preserve">) </w:t>
            </w:r>
          </w:p>
        </w:tc>
        <w:tc>
          <w:tcPr>
            <w:tcW w:w="992" w:type="dxa"/>
            <w:shd w:val="clear" w:color="auto" w:fill="FFFFFF"/>
          </w:tcPr>
          <w:p w14:paraId="68FA0E76" w14:textId="5D2B7B76" w:rsidR="0007782E" w:rsidRPr="0007782E" w:rsidRDefault="0007782E" w:rsidP="0007782E">
            <w:pPr>
              <w:pStyle w:val="CETBodytext"/>
              <w:ind w:right="-1"/>
              <w:rPr>
                <w:rFonts w:cs="Arial"/>
                <w:szCs w:val="18"/>
              </w:rPr>
            </w:pPr>
            <w:r w:rsidRPr="0007782E">
              <w:rPr>
                <w:rFonts w:cs="Arial"/>
                <w:szCs w:val="18"/>
              </w:rPr>
              <w:t>-</w:t>
            </w:r>
          </w:p>
        </w:tc>
        <w:tc>
          <w:tcPr>
            <w:tcW w:w="851" w:type="dxa"/>
            <w:shd w:val="clear" w:color="auto" w:fill="FFFFFF"/>
          </w:tcPr>
          <w:p w14:paraId="5C09BD0D" w14:textId="682C36E1" w:rsidR="0007782E" w:rsidRDefault="0007782E" w:rsidP="0007782E">
            <w:pPr>
              <w:pStyle w:val="CETBodytext"/>
              <w:ind w:right="-1"/>
              <w:jc w:val="center"/>
              <w:rPr>
                <w:rFonts w:cs="Arial"/>
                <w:szCs w:val="18"/>
              </w:rPr>
            </w:pPr>
            <w:r>
              <w:rPr>
                <w:rFonts w:cs="Arial"/>
                <w:szCs w:val="18"/>
              </w:rPr>
              <w:t>X</w:t>
            </w:r>
          </w:p>
        </w:tc>
        <w:tc>
          <w:tcPr>
            <w:tcW w:w="708" w:type="dxa"/>
            <w:shd w:val="clear" w:color="auto" w:fill="FFFFFF"/>
          </w:tcPr>
          <w:p w14:paraId="7CA6830C" w14:textId="77777777" w:rsidR="0007782E" w:rsidRPr="00EF23D8" w:rsidRDefault="0007782E" w:rsidP="0007782E">
            <w:pPr>
              <w:pStyle w:val="CETBodytext"/>
              <w:ind w:right="-1"/>
              <w:jc w:val="center"/>
              <w:rPr>
                <w:rFonts w:cs="Arial"/>
                <w:szCs w:val="18"/>
              </w:rPr>
            </w:pPr>
          </w:p>
        </w:tc>
        <w:tc>
          <w:tcPr>
            <w:tcW w:w="709" w:type="dxa"/>
            <w:shd w:val="clear" w:color="auto" w:fill="FFFFFF"/>
          </w:tcPr>
          <w:p w14:paraId="1AFE4FB5" w14:textId="3A025136" w:rsidR="0007782E" w:rsidRPr="00E63764" w:rsidRDefault="00E63764" w:rsidP="0007782E">
            <w:pPr>
              <w:pStyle w:val="CETBodytext"/>
              <w:ind w:right="-1"/>
              <w:jc w:val="center"/>
              <w:rPr>
                <w:rFonts w:cs="Arial"/>
                <w:szCs w:val="18"/>
              </w:rPr>
            </w:pPr>
            <w:r w:rsidRPr="00E63764">
              <w:rPr>
                <w:rFonts w:cs="Arial"/>
                <w:szCs w:val="18"/>
              </w:rPr>
              <w:t>X</w:t>
            </w:r>
          </w:p>
        </w:tc>
      </w:tr>
      <w:tr w:rsidR="0007782E" w:rsidRPr="00B57B36" w14:paraId="7CAFCD27" w14:textId="77777777" w:rsidTr="002E1D92">
        <w:tc>
          <w:tcPr>
            <w:tcW w:w="5245" w:type="dxa"/>
            <w:shd w:val="clear" w:color="auto" w:fill="FFFFFF"/>
          </w:tcPr>
          <w:p w14:paraId="66FD43CE" w14:textId="7F5E5F01" w:rsidR="0007782E" w:rsidRPr="0007782E" w:rsidRDefault="0007782E" w:rsidP="0007782E">
            <w:pPr>
              <w:pStyle w:val="CETBodytext"/>
              <w:ind w:right="-1"/>
              <w:rPr>
                <w:rFonts w:cs="Arial"/>
                <w:szCs w:val="18"/>
              </w:rPr>
            </w:pPr>
            <w:r w:rsidRPr="0007782E">
              <w:rPr>
                <w:rFonts w:cs="Arial"/>
                <w:szCs w:val="18"/>
              </w:rPr>
              <w:t>Share of investment costs for operation - maintenance (</w:t>
            </w:r>
            <w:proofErr w:type="spellStart"/>
            <w:r w:rsidRPr="0007782E">
              <w:rPr>
                <w:rFonts w:cs="Arial"/>
                <w:szCs w:val="18"/>
              </w:rPr>
              <w:t>s</w:t>
            </w:r>
            <w:r w:rsidRPr="0007782E">
              <w:rPr>
                <w:rFonts w:cs="Arial"/>
                <w:szCs w:val="18"/>
                <w:vertAlign w:val="subscript"/>
              </w:rPr>
              <w:t>o&amp;m</w:t>
            </w:r>
            <w:proofErr w:type="spellEnd"/>
            <w:r w:rsidRPr="0007782E">
              <w:rPr>
                <w:rFonts w:cs="Arial"/>
                <w:szCs w:val="18"/>
              </w:rPr>
              <w:t>)</w:t>
            </w:r>
          </w:p>
        </w:tc>
        <w:tc>
          <w:tcPr>
            <w:tcW w:w="992" w:type="dxa"/>
            <w:shd w:val="clear" w:color="auto" w:fill="FFFFFF"/>
          </w:tcPr>
          <w:p w14:paraId="1D1F1A18" w14:textId="626FA3B8" w:rsidR="0007782E" w:rsidRPr="0007782E" w:rsidRDefault="0007782E" w:rsidP="0007782E">
            <w:pPr>
              <w:pStyle w:val="CETBodytext"/>
              <w:ind w:right="-1"/>
              <w:rPr>
                <w:rFonts w:cs="Arial"/>
                <w:szCs w:val="18"/>
              </w:rPr>
            </w:pPr>
            <w:r w:rsidRPr="0007782E">
              <w:rPr>
                <w:rFonts w:cs="Arial"/>
                <w:szCs w:val="18"/>
              </w:rPr>
              <w:t>%</w:t>
            </w:r>
          </w:p>
        </w:tc>
        <w:tc>
          <w:tcPr>
            <w:tcW w:w="851" w:type="dxa"/>
            <w:shd w:val="clear" w:color="auto" w:fill="FFFFFF"/>
          </w:tcPr>
          <w:p w14:paraId="4D38CDEE" w14:textId="6FE8BB82" w:rsidR="0007782E" w:rsidRDefault="0007782E" w:rsidP="0007782E">
            <w:pPr>
              <w:pStyle w:val="CETBodytext"/>
              <w:ind w:right="-1"/>
              <w:jc w:val="center"/>
              <w:rPr>
                <w:rFonts w:cs="Arial"/>
                <w:szCs w:val="18"/>
              </w:rPr>
            </w:pPr>
            <w:r w:rsidRPr="00EF23D8">
              <w:rPr>
                <w:rFonts w:cs="Arial"/>
                <w:szCs w:val="18"/>
              </w:rPr>
              <w:t>X</w:t>
            </w:r>
          </w:p>
        </w:tc>
        <w:tc>
          <w:tcPr>
            <w:tcW w:w="708" w:type="dxa"/>
            <w:shd w:val="clear" w:color="auto" w:fill="FFFFFF"/>
          </w:tcPr>
          <w:p w14:paraId="1740FAAE" w14:textId="75A5E220" w:rsidR="0007782E" w:rsidRPr="00EF23D8" w:rsidRDefault="0005025C" w:rsidP="0007782E">
            <w:pPr>
              <w:pStyle w:val="CETBodytext"/>
              <w:ind w:right="-1"/>
              <w:jc w:val="center"/>
              <w:rPr>
                <w:rFonts w:cs="Arial"/>
                <w:szCs w:val="18"/>
              </w:rPr>
            </w:pPr>
            <w:r>
              <w:rPr>
                <w:rFonts w:cs="Arial"/>
                <w:szCs w:val="18"/>
              </w:rPr>
              <w:t>X</w:t>
            </w:r>
          </w:p>
        </w:tc>
        <w:tc>
          <w:tcPr>
            <w:tcW w:w="709" w:type="dxa"/>
            <w:shd w:val="clear" w:color="auto" w:fill="FFFFFF"/>
          </w:tcPr>
          <w:p w14:paraId="32DDA92C" w14:textId="77777777" w:rsidR="0007782E" w:rsidRPr="00E63764" w:rsidRDefault="0007782E" w:rsidP="0007782E">
            <w:pPr>
              <w:pStyle w:val="CETBodytext"/>
              <w:ind w:right="-1"/>
              <w:jc w:val="center"/>
              <w:rPr>
                <w:rFonts w:cs="Arial"/>
                <w:szCs w:val="18"/>
              </w:rPr>
            </w:pPr>
          </w:p>
        </w:tc>
      </w:tr>
      <w:tr w:rsidR="0005025C" w:rsidRPr="00B57B36" w14:paraId="02E9986F" w14:textId="77777777" w:rsidTr="002E1D92">
        <w:tc>
          <w:tcPr>
            <w:tcW w:w="5245" w:type="dxa"/>
            <w:shd w:val="clear" w:color="auto" w:fill="FFFFFF"/>
          </w:tcPr>
          <w:p w14:paraId="7AC3D78A" w14:textId="34D87961" w:rsidR="0005025C" w:rsidRPr="0007782E" w:rsidRDefault="0005025C" w:rsidP="0007782E">
            <w:pPr>
              <w:pStyle w:val="CETBodytext"/>
              <w:ind w:right="-1"/>
              <w:rPr>
                <w:rFonts w:cs="Arial"/>
                <w:szCs w:val="18"/>
              </w:rPr>
            </w:pPr>
            <w:r>
              <w:rPr>
                <w:rFonts w:cs="Arial"/>
                <w:szCs w:val="18"/>
              </w:rPr>
              <w:t>EROEI fuels</w:t>
            </w:r>
          </w:p>
        </w:tc>
        <w:tc>
          <w:tcPr>
            <w:tcW w:w="992" w:type="dxa"/>
            <w:shd w:val="clear" w:color="auto" w:fill="FFFFFF"/>
          </w:tcPr>
          <w:p w14:paraId="4630BB06" w14:textId="6FB5480B" w:rsidR="0005025C" w:rsidRPr="0007782E" w:rsidRDefault="0005025C" w:rsidP="0007782E">
            <w:pPr>
              <w:pStyle w:val="CETBodytext"/>
              <w:ind w:right="-1"/>
              <w:rPr>
                <w:rFonts w:cs="Arial"/>
                <w:szCs w:val="18"/>
              </w:rPr>
            </w:pPr>
            <w:r>
              <w:rPr>
                <w:rFonts w:cs="Arial"/>
                <w:szCs w:val="18"/>
              </w:rPr>
              <w:t>-</w:t>
            </w:r>
          </w:p>
        </w:tc>
        <w:tc>
          <w:tcPr>
            <w:tcW w:w="851" w:type="dxa"/>
            <w:shd w:val="clear" w:color="auto" w:fill="FFFFFF"/>
          </w:tcPr>
          <w:p w14:paraId="5683B29D" w14:textId="1899BB9E" w:rsidR="0005025C" w:rsidRPr="00EF23D8" w:rsidRDefault="0005025C" w:rsidP="0007782E">
            <w:pPr>
              <w:pStyle w:val="CETBodytext"/>
              <w:ind w:right="-1"/>
              <w:jc w:val="center"/>
              <w:rPr>
                <w:rFonts w:cs="Arial"/>
                <w:szCs w:val="18"/>
              </w:rPr>
            </w:pPr>
            <w:r>
              <w:rPr>
                <w:rFonts w:cs="Arial"/>
                <w:szCs w:val="18"/>
              </w:rPr>
              <w:t>X</w:t>
            </w:r>
          </w:p>
        </w:tc>
        <w:tc>
          <w:tcPr>
            <w:tcW w:w="708" w:type="dxa"/>
            <w:shd w:val="clear" w:color="auto" w:fill="FFFFFF"/>
          </w:tcPr>
          <w:p w14:paraId="15681E49" w14:textId="77777777" w:rsidR="0005025C" w:rsidRPr="00EF23D8" w:rsidRDefault="0005025C" w:rsidP="0007782E">
            <w:pPr>
              <w:pStyle w:val="CETBodytext"/>
              <w:ind w:right="-1"/>
              <w:jc w:val="center"/>
              <w:rPr>
                <w:rFonts w:cs="Arial"/>
                <w:szCs w:val="18"/>
              </w:rPr>
            </w:pPr>
          </w:p>
        </w:tc>
        <w:tc>
          <w:tcPr>
            <w:tcW w:w="709" w:type="dxa"/>
            <w:shd w:val="clear" w:color="auto" w:fill="FFFFFF"/>
          </w:tcPr>
          <w:p w14:paraId="565E838D" w14:textId="77777777" w:rsidR="0005025C" w:rsidRPr="00E63764" w:rsidRDefault="0005025C" w:rsidP="0007782E">
            <w:pPr>
              <w:pStyle w:val="CETBodytext"/>
              <w:ind w:right="-1"/>
              <w:jc w:val="center"/>
              <w:rPr>
                <w:rFonts w:cs="Arial"/>
                <w:szCs w:val="18"/>
              </w:rPr>
            </w:pPr>
          </w:p>
        </w:tc>
      </w:tr>
      <w:tr w:rsidR="0007782E" w:rsidRPr="00B57B36" w14:paraId="716C2059" w14:textId="77777777" w:rsidTr="002E1D92">
        <w:tc>
          <w:tcPr>
            <w:tcW w:w="5245" w:type="dxa"/>
            <w:shd w:val="clear" w:color="auto" w:fill="FFFFFF"/>
          </w:tcPr>
          <w:p w14:paraId="2D14201D" w14:textId="5C21F40F" w:rsidR="0007782E" w:rsidRPr="0007782E" w:rsidRDefault="0007782E" w:rsidP="0007782E">
            <w:pPr>
              <w:pStyle w:val="CETBodytext"/>
              <w:ind w:right="-1"/>
              <w:rPr>
                <w:rFonts w:cs="Arial"/>
                <w:szCs w:val="18"/>
              </w:rPr>
            </w:pPr>
            <w:r w:rsidRPr="0007782E">
              <w:rPr>
                <w:rFonts w:cs="Arial"/>
                <w:szCs w:val="18"/>
              </w:rPr>
              <w:t>Total amount of solvent</w:t>
            </w:r>
          </w:p>
        </w:tc>
        <w:tc>
          <w:tcPr>
            <w:tcW w:w="992" w:type="dxa"/>
            <w:shd w:val="clear" w:color="auto" w:fill="FFFFFF"/>
          </w:tcPr>
          <w:p w14:paraId="7820C15D" w14:textId="1D9CDBDD" w:rsidR="0007782E" w:rsidRPr="0007782E" w:rsidRDefault="0007782E" w:rsidP="0007782E">
            <w:pPr>
              <w:pStyle w:val="CETBodytext"/>
              <w:ind w:right="-1"/>
              <w:rPr>
                <w:rFonts w:cs="Arial"/>
                <w:szCs w:val="18"/>
              </w:rPr>
            </w:pPr>
            <w:r w:rsidRPr="0007782E">
              <w:rPr>
                <w:rFonts w:cs="Arial"/>
                <w:szCs w:val="18"/>
              </w:rPr>
              <w:t>kg</w:t>
            </w:r>
          </w:p>
        </w:tc>
        <w:tc>
          <w:tcPr>
            <w:tcW w:w="851" w:type="dxa"/>
            <w:shd w:val="clear" w:color="auto" w:fill="FFFFFF"/>
          </w:tcPr>
          <w:p w14:paraId="1BA6FBE8" w14:textId="77777777" w:rsidR="0007782E" w:rsidRPr="00EF23D8" w:rsidRDefault="0007782E" w:rsidP="0007782E">
            <w:pPr>
              <w:pStyle w:val="CETBodytext"/>
              <w:ind w:right="-1"/>
              <w:jc w:val="center"/>
              <w:rPr>
                <w:rFonts w:cs="Arial"/>
                <w:szCs w:val="18"/>
              </w:rPr>
            </w:pPr>
          </w:p>
        </w:tc>
        <w:tc>
          <w:tcPr>
            <w:tcW w:w="708" w:type="dxa"/>
            <w:shd w:val="clear" w:color="auto" w:fill="FFFFFF"/>
          </w:tcPr>
          <w:p w14:paraId="701AB524" w14:textId="77777777" w:rsidR="0007782E" w:rsidRPr="00EF23D8" w:rsidRDefault="0007782E" w:rsidP="0007782E">
            <w:pPr>
              <w:pStyle w:val="CETBodytext"/>
              <w:ind w:right="-1"/>
              <w:jc w:val="center"/>
              <w:rPr>
                <w:rFonts w:cs="Arial"/>
                <w:szCs w:val="18"/>
              </w:rPr>
            </w:pPr>
          </w:p>
        </w:tc>
        <w:tc>
          <w:tcPr>
            <w:tcW w:w="709" w:type="dxa"/>
            <w:shd w:val="clear" w:color="auto" w:fill="FFFFFF"/>
          </w:tcPr>
          <w:p w14:paraId="4BA41951" w14:textId="25AB5CCB" w:rsidR="0007782E" w:rsidRPr="00E63764" w:rsidRDefault="0007782E" w:rsidP="0007782E">
            <w:pPr>
              <w:pStyle w:val="CETBodytext"/>
              <w:ind w:right="-1"/>
              <w:jc w:val="center"/>
              <w:rPr>
                <w:rFonts w:cs="Arial"/>
                <w:szCs w:val="18"/>
              </w:rPr>
            </w:pPr>
            <w:r w:rsidRPr="00E63764">
              <w:rPr>
                <w:rFonts w:cs="Arial"/>
                <w:szCs w:val="18"/>
              </w:rPr>
              <w:t>X</w:t>
            </w:r>
          </w:p>
        </w:tc>
      </w:tr>
      <w:tr w:rsidR="0007782E" w:rsidRPr="00B57B36" w14:paraId="331BE297" w14:textId="77777777" w:rsidTr="002E1D92">
        <w:tc>
          <w:tcPr>
            <w:tcW w:w="5245" w:type="dxa"/>
            <w:shd w:val="clear" w:color="auto" w:fill="FFFFFF"/>
          </w:tcPr>
          <w:p w14:paraId="4631231A" w14:textId="4FD0937F" w:rsidR="0007782E" w:rsidRPr="0007782E" w:rsidRDefault="0007782E" w:rsidP="0007782E">
            <w:pPr>
              <w:pStyle w:val="CETBodytext"/>
              <w:ind w:right="-1"/>
              <w:rPr>
                <w:rFonts w:cs="Arial"/>
                <w:szCs w:val="18"/>
              </w:rPr>
            </w:pPr>
            <w:r w:rsidRPr="0007782E">
              <w:rPr>
                <w:rFonts w:cs="Arial"/>
                <w:szCs w:val="18"/>
              </w:rPr>
              <w:t xml:space="preserve">Discount rate </w:t>
            </w:r>
          </w:p>
        </w:tc>
        <w:tc>
          <w:tcPr>
            <w:tcW w:w="992" w:type="dxa"/>
            <w:shd w:val="clear" w:color="auto" w:fill="FFFFFF"/>
          </w:tcPr>
          <w:p w14:paraId="661C7D7A" w14:textId="0FB74469" w:rsidR="0007782E" w:rsidRPr="0007782E" w:rsidRDefault="0007782E" w:rsidP="0007782E">
            <w:pPr>
              <w:pStyle w:val="CETBodytext"/>
              <w:ind w:right="-1"/>
              <w:rPr>
                <w:rFonts w:cs="Arial"/>
                <w:szCs w:val="18"/>
              </w:rPr>
            </w:pPr>
            <w:r w:rsidRPr="0007782E">
              <w:rPr>
                <w:rFonts w:cs="Arial"/>
                <w:szCs w:val="18"/>
              </w:rPr>
              <w:t>%</w:t>
            </w:r>
          </w:p>
        </w:tc>
        <w:tc>
          <w:tcPr>
            <w:tcW w:w="851" w:type="dxa"/>
            <w:shd w:val="clear" w:color="auto" w:fill="FFFFFF"/>
          </w:tcPr>
          <w:p w14:paraId="6E0693C6" w14:textId="77777777" w:rsidR="0007782E" w:rsidRPr="00EF23D8" w:rsidRDefault="0007782E" w:rsidP="0007782E">
            <w:pPr>
              <w:pStyle w:val="CETBodytext"/>
              <w:ind w:right="-1"/>
              <w:jc w:val="center"/>
              <w:rPr>
                <w:rFonts w:cs="Arial"/>
                <w:szCs w:val="18"/>
              </w:rPr>
            </w:pPr>
          </w:p>
        </w:tc>
        <w:tc>
          <w:tcPr>
            <w:tcW w:w="708" w:type="dxa"/>
            <w:shd w:val="clear" w:color="auto" w:fill="FFFFFF"/>
          </w:tcPr>
          <w:p w14:paraId="0D6006B3" w14:textId="04C81863" w:rsidR="0007782E" w:rsidRPr="00EF23D8" w:rsidRDefault="0007782E" w:rsidP="0007782E">
            <w:pPr>
              <w:pStyle w:val="CETBodytext"/>
              <w:ind w:right="-1"/>
              <w:jc w:val="center"/>
              <w:rPr>
                <w:rFonts w:cs="Arial"/>
                <w:szCs w:val="18"/>
              </w:rPr>
            </w:pPr>
            <w:r>
              <w:rPr>
                <w:rFonts w:cs="Arial"/>
                <w:szCs w:val="18"/>
              </w:rPr>
              <w:t>X</w:t>
            </w:r>
          </w:p>
        </w:tc>
        <w:tc>
          <w:tcPr>
            <w:tcW w:w="709" w:type="dxa"/>
            <w:shd w:val="clear" w:color="auto" w:fill="FFFFFF"/>
          </w:tcPr>
          <w:p w14:paraId="37EDA691" w14:textId="77777777" w:rsidR="0007782E" w:rsidRPr="00E63764" w:rsidRDefault="0007782E" w:rsidP="0007782E">
            <w:pPr>
              <w:pStyle w:val="CETBodytext"/>
              <w:ind w:right="-1"/>
              <w:jc w:val="center"/>
              <w:rPr>
                <w:rFonts w:cs="Arial"/>
                <w:szCs w:val="18"/>
              </w:rPr>
            </w:pPr>
          </w:p>
        </w:tc>
      </w:tr>
    </w:tbl>
    <w:p w14:paraId="7906D42E" w14:textId="77777777" w:rsidR="00662CB3" w:rsidRDefault="00662CB3" w:rsidP="00662CB3">
      <w:pPr>
        <w:pStyle w:val="CETTabletitle"/>
      </w:pPr>
      <w:bookmarkStart w:id="6" w:name="_Hlk104811593"/>
      <w:r w:rsidRPr="00845F29">
        <w:t>Table 3: data output</w:t>
      </w:r>
      <w:r>
        <w:t xml:space="preserve"> from process simulation and from literature used to estimate the performance indicators.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275"/>
        <w:gridCol w:w="1901"/>
        <w:gridCol w:w="2068"/>
        <w:gridCol w:w="2410"/>
      </w:tblGrid>
      <w:tr w:rsidR="00662CB3" w:rsidRPr="00B57B36" w14:paraId="5E108AC2" w14:textId="77777777" w:rsidTr="008E14F1">
        <w:tc>
          <w:tcPr>
            <w:tcW w:w="993" w:type="dxa"/>
            <w:tcBorders>
              <w:top w:val="single" w:sz="12" w:space="0" w:color="008000"/>
              <w:bottom w:val="single" w:sz="6" w:space="0" w:color="008000"/>
            </w:tcBorders>
            <w:shd w:val="clear" w:color="auto" w:fill="FFFFFF"/>
          </w:tcPr>
          <w:p w14:paraId="1606EAB7" w14:textId="77777777" w:rsidR="00662CB3" w:rsidRPr="00B57B36" w:rsidRDefault="00662CB3" w:rsidP="008E14F1">
            <w:pPr>
              <w:pStyle w:val="CETBodytext"/>
              <w:rPr>
                <w:lang w:val="en-GB"/>
              </w:rPr>
            </w:pPr>
            <w:r>
              <w:rPr>
                <w:lang w:val="en-GB"/>
              </w:rPr>
              <w:t>Quantity</w:t>
            </w:r>
          </w:p>
        </w:tc>
        <w:tc>
          <w:tcPr>
            <w:tcW w:w="1275" w:type="dxa"/>
            <w:tcBorders>
              <w:top w:val="single" w:sz="12" w:space="0" w:color="008000"/>
              <w:bottom w:val="single" w:sz="6" w:space="0" w:color="008000"/>
            </w:tcBorders>
            <w:shd w:val="clear" w:color="auto" w:fill="FFFFFF"/>
          </w:tcPr>
          <w:p w14:paraId="226727A7" w14:textId="1AB4FEF9" w:rsidR="00662CB3" w:rsidRPr="00B57B36" w:rsidRDefault="00662CB3" w:rsidP="008E14F1">
            <w:pPr>
              <w:pStyle w:val="CETBodytext"/>
              <w:jc w:val="center"/>
              <w:rPr>
                <w:lang w:val="en-GB"/>
              </w:rPr>
            </w:pPr>
            <w:r>
              <w:rPr>
                <w:rFonts w:ascii="Times New Roman" w:hAnsi="Times New Roman"/>
                <w:szCs w:val="18"/>
              </w:rPr>
              <w:t>S</w:t>
            </w:r>
            <w:r w:rsidR="0084529F">
              <w:rPr>
                <w:rFonts w:ascii="Times New Roman" w:hAnsi="Times New Roman"/>
                <w:szCs w:val="18"/>
              </w:rPr>
              <w:t>M</w:t>
            </w:r>
            <w:r w:rsidRPr="00B74190">
              <w:rPr>
                <w:rFonts w:ascii="Times New Roman" w:hAnsi="Times New Roman"/>
                <w:szCs w:val="18"/>
              </w:rPr>
              <w:t>R</w:t>
            </w:r>
            <w:r>
              <w:rPr>
                <w:rFonts w:ascii="Times New Roman" w:hAnsi="Times New Roman"/>
                <w:szCs w:val="18"/>
              </w:rPr>
              <w:t xml:space="preserve"> – Grey H</w:t>
            </w:r>
            <w:r w:rsidRPr="002E1D92">
              <w:rPr>
                <w:rFonts w:ascii="Times New Roman" w:hAnsi="Times New Roman"/>
                <w:szCs w:val="18"/>
                <w:vertAlign w:val="subscript"/>
              </w:rPr>
              <w:t>2</w:t>
            </w:r>
          </w:p>
        </w:tc>
        <w:tc>
          <w:tcPr>
            <w:tcW w:w="1901" w:type="dxa"/>
            <w:tcBorders>
              <w:top w:val="single" w:sz="12" w:space="0" w:color="008000"/>
              <w:bottom w:val="single" w:sz="6" w:space="0" w:color="008000"/>
            </w:tcBorders>
            <w:shd w:val="clear" w:color="auto" w:fill="FFFFFF"/>
          </w:tcPr>
          <w:p w14:paraId="6A68FBD8" w14:textId="02862677" w:rsidR="00662CB3" w:rsidRPr="00B57B36" w:rsidRDefault="0084529F" w:rsidP="008E14F1">
            <w:pPr>
              <w:pStyle w:val="CETBodytext"/>
              <w:jc w:val="center"/>
              <w:rPr>
                <w:lang w:val="en-GB"/>
              </w:rPr>
            </w:pPr>
            <w:r>
              <w:rPr>
                <w:rFonts w:ascii="Times New Roman" w:hAnsi="Times New Roman"/>
                <w:szCs w:val="18"/>
              </w:rPr>
              <w:t>S</w:t>
            </w:r>
            <w:r w:rsidR="00662CB3" w:rsidRPr="00B74190">
              <w:rPr>
                <w:rFonts w:ascii="Times New Roman" w:hAnsi="Times New Roman"/>
                <w:szCs w:val="18"/>
              </w:rPr>
              <w:t xml:space="preserve">MR </w:t>
            </w:r>
            <w:r w:rsidR="00662CB3">
              <w:rPr>
                <w:rFonts w:ascii="Times New Roman" w:hAnsi="Times New Roman"/>
                <w:szCs w:val="18"/>
              </w:rPr>
              <w:t>&amp;</w:t>
            </w:r>
            <w:r w:rsidR="00662CB3" w:rsidRPr="00B74190">
              <w:rPr>
                <w:rFonts w:ascii="Times New Roman" w:hAnsi="Times New Roman"/>
                <w:szCs w:val="18"/>
              </w:rPr>
              <w:t xml:space="preserve"> CCS</w:t>
            </w:r>
            <w:r w:rsidR="00662CB3">
              <w:rPr>
                <w:rFonts w:ascii="Times New Roman" w:hAnsi="Times New Roman"/>
                <w:szCs w:val="18"/>
              </w:rPr>
              <w:t xml:space="preserve"> – Blue H</w:t>
            </w:r>
            <w:r w:rsidR="00662CB3" w:rsidRPr="002E1D92">
              <w:rPr>
                <w:rFonts w:ascii="Times New Roman" w:hAnsi="Times New Roman"/>
                <w:szCs w:val="18"/>
                <w:vertAlign w:val="subscript"/>
              </w:rPr>
              <w:t>2</w:t>
            </w:r>
          </w:p>
        </w:tc>
        <w:tc>
          <w:tcPr>
            <w:tcW w:w="2068" w:type="dxa"/>
            <w:tcBorders>
              <w:top w:val="single" w:sz="12" w:space="0" w:color="008000"/>
              <w:bottom w:val="single" w:sz="6" w:space="0" w:color="008000"/>
            </w:tcBorders>
            <w:shd w:val="clear" w:color="auto" w:fill="FFFFFF"/>
          </w:tcPr>
          <w:p w14:paraId="589286ED" w14:textId="7881410D" w:rsidR="00662CB3" w:rsidRPr="00B57B36" w:rsidRDefault="00662CB3" w:rsidP="008E14F1">
            <w:pPr>
              <w:pStyle w:val="CETBodytext"/>
              <w:ind w:right="-1"/>
              <w:jc w:val="center"/>
              <w:rPr>
                <w:rFonts w:cs="Arial"/>
                <w:szCs w:val="18"/>
                <w:lang w:val="en-GB"/>
              </w:rPr>
            </w:pPr>
            <w:r w:rsidRPr="00B74190">
              <w:rPr>
                <w:rFonts w:ascii="Times New Roman" w:hAnsi="Times New Roman"/>
                <w:szCs w:val="18"/>
              </w:rPr>
              <w:t>Ele</w:t>
            </w:r>
            <w:r>
              <w:rPr>
                <w:rFonts w:ascii="Times New Roman" w:hAnsi="Times New Roman"/>
                <w:szCs w:val="18"/>
              </w:rPr>
              <w:t>c</w:t>
            </w:r>
            <w:r w:rsidRPr="00B74190">
              <w:rPr>
                <w:rFonts w:ascii="Times New Roman" w:hAnsi="Times New Roman"/>
                <w:szCs w:val="18"/>
              </w:rPr>
              <w:t>trol</w:t>
            </w:r>
            <w:r>
              <w:rPr>
                <w:rFonts w:ascii="Times New Roman" w:hAnsi="Times New Roman"/>
                <w:szCs w:val="18"/>
              </w:rPr>
              <w:t>ysis – Green H</w:t>
            </w:r>
            <w:r w:rsidRPr="002E1D92">
              <w:rPr>
                <w:rFonts w:ascii="Times New Roman" w:hAnsi="Times New Roman"/>
                <w:szCs w:val="18"/>
                <w:vertAlign w:val="subscript"/>
              </w:rPr>
              <w:t>2</w:t>
            </w:r>
          </w:p>
        </w:tc>
        <w:tc>
          <w:tcPr>
            <w:tcW w:w="2410" w:type="dxa"/>
            <w:tcBorders>
              <w:top w:val="single" w:sz="12" w:space="0" w:color="008000"/>
              <w:bottom w:val="single" w:sz="6" w:space="0" w:color="008000"/>
            </w:tcBorders>
            <w:shd w:val="clear" w:color="auto" w:fill="FFFFFF"/>
          </w:tcPr>
          <w:p w14:paraId="084F1CCD" w14:textId="3D171FA0" w:rsidR="00662CB3" w:rsidRPr="00B74190" w:rsidRDefault="00662CB3" w:rsidP="008E14F1">
            <w:pPr>
              <w:pStyle w:val="CETBodytext"/>
              <w:ind w:right="-1"/>
              <w:jc w:val="center"/>
              <w:rPr>
                <w:rFonts w:ascii="Times New Roman" w:hAnsi="Times New Roman"/>
                <w:szCs w:val="18"/>
              </w:rPr>
            </w:pPr>
            <w:r w:rsidRPr="00B74190">
              <w:rPr>
                <w:rFonts w:ascii="Times New Roman" w:hAnsi="Times New Roman"/>
                <w:szCs w:val="18"/>
              </w:rPr>
              <w:t>Ele</w:t>
            </w:r>
            <w:r>
              <w:rPr>
                <w:rFonts w:ascii="Times New Roman" w:hAnsi="Times New Roman"/>
                <w:szCs w:val="18"/>
              </w:rPr>
              <w:t>c</w:t>
            </w:r>
            <w:r w:rsidRPr="00B74190">
              <w:rPr>
                <w:rFonts w:ascii="Times New Roman" w:hAnsi="Times New Roman"/>
                <w:szCs w:val="18"/>
              </w:rPr>
              <w:t>trol</w:t>
            </w:r>
            <w:r>
              <w:rPr>
                <w:rFonts w:ascii="Times New Roman" w:hAnsi="Times New Roman"/>
                <w:szCs w:val="18"/>
              </w:rPr>
              <w:t xml:space="preserve">ysis – </w:t>
            </w:r>
            <w:r w:rsidR="0084529F">
              <w:rPr>
                <w:rFonts w:ascii="Times New Roman" w:hAnsi="Times New Roman"/>
                <w:szCs w:val="18"/>
              </w:rPr>
              <w:t>Grid</w:t>
            </w:r>
            <w:r>
              <w:rPr>
                <w:rFonts w:ascii="Times New Roman" w:hAnsi="Times New Roman"/>
                <w:szCs w:val="18"/>
              </w:rPr>
              <w:t xml:space="preserve"> H</w:t>
            </w:r>
            <w:r w:rsidRPr="002E1D92">
              <w:rPr>
                <w:rFonts w:ascii="Times New Roman" w:hAnsi="Times New Roman"/>
                <w:szCs w:val="18"/>
                <w:vertAlign w:val="subscript"/>
              </w:rPr>
              <w:t>2</w:t>
            </w:r>
          </w:p>
        </w:tc>
      </w:tr>
      <w:tr w:rsidR="00662CB3" w:rsidRPr="00B57B36" w14:paraId="4DE2416E" w14:textId="77777777" w:rsidTr="008E14F1">
        <w:tc>
          <w:tcPr>
            <w:tcW w:w="993" w:type="dxa"/>
            <w:shd w:val="clear" w:color="auto" w:fill="FFFFFF"/>
          </w:tcPr>
          <w:p w14:paraId="3BA82DB6" w14:textId="77777777" w:rsidR="00662CB3" w:rsidRPr="00B57B36" w:rsidRDefault="00662CB3" w:rsidP="008E14F1">
            <w:pPr>
              <w:pStyle w:val="CETBodytext"/>
              <w:rPr>
                <w:lang w:val="en-GB"/>
              </w:rPr>
            </w:pPr>
            <w:r w:rsidRPr="00EA7DC4">
              <w:rPr>
                <w:rFonts w:cs="Arial"/>
                <w:szCs w:val="18"/>
              </w:rPr>
              <w:t>P [kW]</w:t>
            </w:r>
          </w:p>
        </w:tc>
        <w:tc>
          <w:tcPr>
            <w:tcW w:w="1275" w:type="dxa"/>
            <w:shd w:val="clear" w:color="auto" w:fill="FFFFFF"/>
          </w:tcPr>
          <w:p w14:paraId="3DEE74E9" w14:textId="77777777" w:rsidR="00662CB3" w:rsidRPr="00B57B36" w:rsidRDefault="00662CB3" w:rsidP="008E14F1">
            <w:pPr>
              <w:pStyle w:val="CETBodytext"/>
              <w:jc w:val="center"/>
              <w:rPr>
                <w:lang w:val="en-GB"/>
              </w:rPr>
            </w:pPr>
            <w:r w:rsidRPr="00A701D0">
              <w:t>37178</w:t>
            </w:r>
          </w:p>
        </w:tc>
        <w:tc>
          <w:tcPr>
            <w:tcW w:w="1901" w:type="dxa"/>
            <w:shd w:val="clear" w:color="auto" w:fill="FFFFFF"/>
          </w:tcPr>
          <w:p w14:paraId="0007E7AA" w14:textId="77777777" w:rsidR="00662CB3" w:rsidRPr="00B57B36" w:rsidRDefault="00662CB3" w:rsidP="008E14F1">
            <w:pPr>
              <w:pStyle w:val="CETBodytext"/>
              <w:jc w:val="center"/>
              <w:rPr>
                <w:lang w:val="en-GB"/>
              </w:rPr>
            </w:pPr>
            <w:r w:rsidRPr="00A701D0">
              <w:t>32069</w:t>
            </w:r>
          </w:p>
        </w:tc>
        <w:tc>
          <w:tcPr>
            <w:tcW w:w="2068" w:type="dxa"/>
            <w:shd w:val="clear" w:color="auto" w:fill="FFFFFF"/>
          </w:tcPr>
          <w:p w14:paraId="4A4F1024" w14:textId="77777777" w:rsidR="00662CB3" w:rsidRPr="00B57B36" w:rsidRDefault="00662CB3" w:rsidP="008E14F1">
            <w:pPr>
              <w:pStyle w:val="CETBodytext"/>
              <w:ind w:right="-1"/>
              <w:jc w:val="center"/>
              <w:rPr>
                <w:rFonts w:cs="Arial"/>
                <w:szCs w:val="18"/>
                <w:lang w:val="en-GB"/>
              </w:rPr>
            </w:pPr>
            <w:r w:rsidRPr="00A701D0">
              <w:t>4</w:t>
            </w:r>
            <w:r>
              <w:t>0293</w:t>
            </w:r>
          </w:p>
        </w:tc>
        <w:tc>
          <w:tcPr>
            <w:tcW w:w="2410" w:type="dxa"/>
            <w:shd w:val="clear" w:color="auto" w:fill="FFFFFF"/>
          </w:tcPr>
          <w:p w14:paraId="562B1570" w14:textId="77777777" w:rsidR="00662CB3" w:rsidRPr="00EA7DC4" w:rsidRDefault="00662CB3" w:rsidP="008E14F1">
            <w:pPr>
              <w:pStyle w:val="CETBodytext"/>
              <w:ind w:right="-1"/>
              <w:jc w:val="center"/>
              <w:rPr>
                <w:rFonts w:cs="Arial"/>
                <w:szCs w:val="18"/>
              </w:rPr>
            </w:pPr>
            <w:r>
              <w:t>40293</w:t>
            </w:r>
          </w:p>
        </w:tc>
      </w:tr>
      <w:tr w:rsidR="00662CB3" w:rsidRPr="00B57B36" w14:paraId="423A0633" w14:textId="77777777" w:rsidTr="008E14F1">
        <w:tc>
          <w:tcPr>
            <w:tcW w:w="993" w:type="dxa"/>
            <w:shd w:val="clear" w:color="auto" w:fill="FFFFFF"/>
          </w:tcPr>
          <w:p w14:paraId="7BF4E755" w14:textId="77777777" w:rsidR="00662CB3" w:rsidRPr="00EA7DC4" w:rsidRDefault="00662CB3" w:rsidP="008E14F1">
            <w:pPr>
              <w:pStyle w:val="CETBodytext"/>
              <w:rPr>
                <w:rFonts w:cs="Arial"/>
                <w:szCs w:val="18"/>
              </w:rPr>
            </w:pPr>
            <w:proofErr w:type="spellStart"/>
            <w:r>
              <w:rPr>
                <w:rFonts w:cs="Arial"/>
                <w:szCs w:val="18"/>
              </w:rPr>
              <w:t>P</w:t>
            </w:r>
            <w:r w:rsidRPr="00685D8A">
              <w:rPr>
                <w:rFonts w:cs="Arial"/>
                <w:szCs w:val="18"/>
                <w:vertAlign w:val="subscript"/>
              </w:rPr>
              <w:t>aux</w:t>
            </w:r>
            <w:proofErr w:type="spellEnd"/>
            <w:r w:rsidRPr="00685D8A">
              <w:rPr>
                <w:rFonts w:cs="Arial"/>
                <w:szCs w:val="18"/>
              </w:rPr>
              <w:t xml:space="preserve"> [</w:t>
            </w:r>
            <w:r>
              <w:rPr>
                <w:rFonts w:cs="Arial"/>
                <w:szCs w:val="18"/>
              </w:rPr>
              <w:t>%</w:t>
            </w:r>
            <w:r w:rsidRPr="00685D8A">
              <w:rPr>
                <w:rFonts w:cs="Arial"/>
                <w:szCs w:val="18"/>
              </w:rPr>
              <w:t>]</w:t>
            </w:r>
          </w:p>
        </w:tc>
        <w:tc>
          <w:tcPr>
            <w:tcW w:w="1275" w:type="dxa"/>
            <w:shd w:val="clear" w:color="auto" w:fill="FFFFFF"/>
          </w:tcPr>
          <w:p w14:paraId="7D5BA7EE" w14:textId="77777777" w:rsidR="00662CB3" w:rsidRPr="00A701D0" w:rsidRDefault="00662CB3" w:rsidP="008E14F1">
            <w:pPr>
              <w:pStyle w:val="CETBodytext"/>
              <w:jc w:val="center"/>
            </w:pPr>
            <w:r>
              <w:t>14.06</w:t>
            </w:r>
          </w:p>
        </w:tc>
        <w:tc>
          <w:tcPr>
            <w:tcW w:w="1901" w:type="dxa"/>
            <w:shd w:val="clear" w:color="auto" w:fill="FFFFFF"/>
          </w:tcPr>
          <w:p w14:paraId="40463FA2" w14:textId="77777777" w:rsidR="00662CB3" w:rsidRPr="00A701D0" w:rsidRDefault="00662CB3" w:rsidP="008E14F1">
            <w:pPr>
              <w:pStyle w:val="CETBodytext"/>
              <w:jc w:val="center"/>
            </w:pPr>
            <w:r>
              <w:t>25.87</w:t>
            </w:r>
          </w:p>
        </w:tc>
        <w:tc>
          <w:tcPr>
            <w:tcW w:w="2068" w:type="dxa"/>
            <w:shd w:val="clear" w:color="auto" w:fill="FFFFFF"/>
          </w:tcPr>
          <w:p w14:paraId="62041286" w14:textId="77777777" w:rsidR="00662CB3" w:rsidRPr="00A701D0" w:rsidRDefault="00662CB3" w:rsidP="008E14F1">
            <w:pPr>
              <w:pStyle w:val="CETBodytext"/>
              <w:ind w:right="-1"/>
              <w:jc w:val="center"/>
            </w:pPr>
            <w:r>
              <w:t>7.7</w:t>
            </w:r>
          </w:p>
        </w:tc>
        <w:tc>
          <w:tcPr>
            <w:tcW w:w="2410" w:type="dxa"/>
            <w:shd w:val="clear" w:color="auto" w:fill="FFFFFF"/>
          </w:tcPr>
          <w:p w14:paraId="5147955E" w14:textId="77777777" w:rsidR="00662CB3" w:rsidRPr="00A701D0" w:rsidRDefault="00662CB3" w:rsidP="008E14F1">
            <w:pPr>
              <w:pStyle w:val="CETBodytext"/>
              <w:ind w:right="-1"/>
              <w:jc w:val="center"/>
            </w:pPr>
            <w:r>
              <w:t>7.7</w:t>
            </w:r>
          </w:p>
        </w:tc>
      </w:tr>
      <w:tr w:rsidR="00662CB3" w:rsidRPr="00B57B36" w14:paraId="0511391A" w14:textId="77777777" w:rsidTr="008E14F1">
        <w:tc>
          <w:tcPr>
            <w:tcW w:w="993" w:type="dxa"/>
            <w:shd w:val="clear" w:color="auto" w:fill="FFFFFF"/>
          </w:tcPr>
          <w:p w14:paraId="470C9E34" w14:textId="77777777" w:rsidR="00662CB3" w:rsidRPr="00B57B36" w:rsidRDefault="00662CB3" w:rsidP="008E14F1">
            <w:pPr>
              <w:pStyle w:val="CETBodytext"/>
              <w:ind w:right="-1"/>
              <w:rPr>
                <w:rFonts w:cs="Arial"/>
                <w:szCs w:val="18"/>
                <w:lang w:val="en-GB"/>
              </w:rPr>
            </w:pPr>
            <w:r w:rsidRPr="00EA7DC4">
              <w:rPr>
                <w:rFonts w:cs="Arial"/>
                <w:szCs w:val="18"/>
              </w:rPr>
              <w:t xml:space="preserve">TPC </w:t>
            </w:r>
            <w:r>
              <w:t>[k€]</w:t>
            </w:r>
          </w:p>
        </w:tc>
        <w:tc>
          <w:tcPr>
            <w:tcW w:w="1275" w:type="dxa"/>
            <w:shd w:val="clear" w:color="auto" w:fill="FFFFFF"/>
          </w:tcPr>
          <w:p w14:paraId="4A1E1C43" w14:textId="77777777" w:rsidR="00662CB3" w:rsidRPr="00B57B36" w:rsidRDefault="00662CB3" w:rsidP="008E14F1">
            <w:pPr>
              <w:pStyle w:val="CETBodytext"/>
              <w:ind w:right="-1"/>
              <w:jc w:val="center"/>
              <w:rPr>
                <w:rFonts w:cs="Arial"/>
                <w:szCs w:val="18"/>
                <w:lang w:val="en-GB"/>
              </w:rPr>
            </w:pPr>
            <w:r w:rsidRPr="00D93137">
              <w:t>107828.6</w:t>
            </w:r>
          </w:p>
        </w:tc>
        <w:tc>
          <w:tcPr>
            <w:tcW w:w="1901" w:type="dxa"/>
            <w:shd w:val="clear" w:color="auto" w:fill="FFFFFF"/>
          </w:tcPr>
          <w:p w14:paraId="002F1B59" w14:textId="77777777" w:rsidR="00662CB3" w:rsidRPr="00B57B36" w:rsidRDefault="00662CB3" w:rsidP="008E14F1">
            <w:pPr>
              <w:pStyle w:val="CETBodytext"/>
              <w:ind w:right="-1"/>
              <w:jc w:val="center"/>
              <w:rPr>
                <w:rFonts w:cs="Arial"/>
                <w:szCs w:val="18"/>
                <w:lang w:val="en-GB"/>
              </w:rPr>
            </w:pPr>
            <w:r w:rsidRPr="00D93137">
              <w:t>139771.7</w:t>
            </w:r>
          </w:p>
        </w:tc>
        <w:tc>
          <w:tcPr>
            <w:tcW w:w="2068" w:type="dxa"/>
            <w:shd w:val="clear" w:color="auto" w:fill="FFFFFF"/>
          </w:tcPr>
          <w:p w14:paraId="2A38D31D" w14:textId="77777777" w:rsidR="00662CB3" w:rsidRPr="00B57B36" w:rsidRDefault="00662CB3" w:rsidP="008E14F1">
            <w:pPr>
              <w:pStyle w:val="CETBodytext"/>
              <w:ind w:right="-1"/>
              <w:jc w:val="center"/>
              <w:rPr>
                <w:rFonts w:cs="Arial"/>
                <w:szCs w:val="18"/>
                <w:lang w:val="en-GB"/>
              </w:rPr>
            </w:pPr>
            <w:r w:rsidRPr="00D93137">
              <w:t>58524.1</w:t>
            </w:r>
          </w:p>
        </w:tc>
        <w:tc>
          <w:tcPr>
            <w:tcW w:w="2410" w:type="dxa"/>
            <w:shd w:val="clear" w:color="auto" w:fill="FFFFFF"/>
          </w:tcPr>
          <w:p w14:paraId="6107D8B3" w14:textId="77777777" w:rsidR="00662CB3" w:rsidRPr="00EA7DC4" w:rsidRDefault="00662CB3" w:rsidP="008E14F1">
            <w:pPr>
              <w:pStyle w:val="CETBodytext"/>
              <w:ind w:right="-1"/>
              <w:jc w:val="center"/>
              <w:rPr>
                <w:rFonts w:cs="Arial"/>
                <w:szCs w:val="18"/>
              </w:rPr>
            </w:pPr>
            <w:r w:rsidRPr="00D93137">
              <w:t>58524.1</w:t>
            </w:r>
          </w:p>
        </w:tc>
      </w:tr>
      <w:tr w:rsidR="00662CB3" w:rsidRPr="00B57B36" w14:paraId="16E529D9" w14:textId="77777777" w:rsidTr="008E14F1">
        <w:tc>
          <w:tcPr>
            <w:tcW w:w="993" w:type="dxa"/>
            <w:shd w:val="clear" w:color="auto" w:fill="FFFFFF"/>
          </w:tcPr>
          <w:p w14:paraId="00C84768" w14:textId="77777777" w:rsidR="00662CB3" w:rsidRPr="00EA7DC4" w:rsidRDefault="00662CB3" w:rsidP="008E14F1">
            <w:pPr>
              <w:pStyle w:val="CETBodytext"/>
              <w:ind w:right="-1"/>
              <w:rPr>
                <w:rFonts w:cs="Arial"/>
                <w:szCs w:val="18"/>
              </w:rPr>
            </w:pPr>
            <w:proofErr w:type="spellStart"/>
            <w:r w:rsidRPr="00EA7DC4">
              <w:rPr>
                <w:rFonts w:cs="Arial"/>
                <w:szCs w:val="18"/>
              </w:rPr>
              <w:t>cf</w:t>
            </w:r>
            <w:proofErr w:type="spellEnd"/>
            <w:r w:rsidRPr="00EA7DC4">
              <w:rPr>
                <w:rFonts w:cs="Arial"/>
                <w:szCs w:val="18"/>
              </w:rPr>
              <w:t xml:space="preserve"> [</w:t>
            </w:r>
            <w:r>
              <w:t>€</w:t>
            </w:r>
            <w:r w:rsidRPr="00EA7DC4">
              <w:rPr>
                <w:rFonts w:cs="Arial"/>
                <w:szCs w:val="18"/>
              </w:rPr>
              <w:t>/kWh]</w:t>
            </w:r>
          </w:p>
        </w:tc>
        <w:tc>
          <w:tcPr>
            <w:tcW w:w="1275" w:type="dxa"/>
            <w:shd w:val="clear" w:color="auto" w:fill="FFFFFF"/>
          </w:tcPr>
          <w:p w14:paraId="1E6813A9" w14:textId="77777777" w:rsidR="00662CB3" w:rsidRPr="00EA7DC4" w:rsidRDefault="00662CB3" w:rsidP="008E14F1">
            <w:pPr>
              <w:pStyle w:val="CETBodytext"/>
              <w:ind w:right="-1"/>
              <w:jc w:val="center"/>
              <w:rPr>
                <w:rFonts w:cs="Arial"/>
                <w:szCs w:val="18"/>
              </w:rPr>
            </w:pPr>
            <w:r w:rsidRPr="002C354C">
              <w:t>0.7</w:t>
            </w:r>
            <w:r>
              <w:t>0</w:t>
            </w:r>
          </w:p>
        </w:tc>
        <w:tc>
          <w:tcPr>
            <w:tcW w:w="1901" w:type="dxa"/>
            <w:shd w:val="clear" w:color="auto" w:fill="FFFFFF"/>
          </w:tcPr>
          <w:p w14:paraId="19C6FAB0" w14:textId="77777777" w:rsidR="00662CB3" w:rsidRPr="00EA7DC4" w:rsidRDefault="00662CB3" w:rsidP="008E14F1">
            <w:pPr>
              <w:pStyle w:val="CETBodytext"/>
              <w:ind w:right="-1"/>
              <w:jc w:val="center"/>
              <w:rPr>
                <w:rFonts w:cs="Arial"/>
                <w:szCs w:val="18"/>
              </w:rPr>
            </w:pPr>
            <w:r w:rsidRPr="002C354C">
              <w:t>0.7</w:t>
            </w:r>
            <w:r>
              <w:t>0</w:t>
            </w:r>
          </w:p>
        </w:tc>
        <w:tc>
          <w:tcPr>
            <w:tcW w:w="2068" w:type="dxa"/>
            <w:shd w:val="clear" w:color="auto" w:fill="FFFFFF"/>
          </w:tcPr>
          <w:p w14:paraId="018BEB13" w14:textId="77777777" w:rsidR="00662CB3" w:rsidRPr="00EA7DC4" w:rsidRDefault="00662CB3" w:rsidP="008E14F1">
            <w:pPr>
              <w:pStyle w:val="CETBodytext"/>
              <w:ind w:right="-1"/>
              <w:jc w:val="center"/>
              <w:rPr>
                <w:rFonts w:cs="Arial"/>
                <w:szCs w:val="18"/>
              </w:rPr>
            </w:pPr>
            <w:r w:rsidRPr="002C354C">
              <w:t>0.</w:t>
            </w:r>
            <w:r>
              <w:t>95</w:t>
            </w:r>
          </w:p>
        </w:tc>
        <w:tc>
          <w:tcPr>
            <w:tcW w:w="2410" w:type="dxa"/>
            <w:shd w:val="clear" w:color="auto" w:fill="FFFFFF"/>
          </w:tcPr>
          <w:p w14:paraId="6FC5EB6A" w14:textId="77777777" w:rsidR="00662CB3" w:rsidRPr="00EA7DC4" w:rsidRDefault="00662CB3" w:rsidP="008E14F1">
            <w:pPr>
              <w:pStyle w:val="CETBodytext"/>
              <w:ind w:right="-1"/>
              <w:jc w:val="center"/>
              <w:rPr>
                <w:rFonts w:cs="Arial"/>
                <w:szCs w:val="18"/>
              </w:rPr>
            </w:pPr>
            <w:r w:rsidRPr="002C354C">
              <w:t>0.95</w:t>
            </w:r>
          </w:p>
        </w:tc>
      </w:tr>
      <w:tr w:rsidR="00662CB3" w:rsidRPr="00B57B36" w14:paraId="16076A43" w14:textId="77777777" w:rsidTr="008E14F1">
        <w:tc>
          <w:tcPr>
            <w:tcW w:w="993" w:type="dxa"/>
            <w:shd w:val="clear" w:color="auto" w:fill="FFFFFF"/>
          </w:tcPr>
          <w:p w14:paraId="7083397A" w14:textId="77777777" w:rsidR="00662CB3" w:rsidRPr="00EA7DC4" w:rsidRDefault="00662CB3" w:rsidP="008E14F1">
            <w:pPr>
              <w:pStyle w:val="CETBodytext"/>
              <w:ind w:right="-1"/>
              <w:rPr>
                <w:rFonts w:cs="Arial"/>
                <w:szCs w:val="18"/>
              </w:rPr>
            </w:pPr>
            <w:proofErr w:type="spellStart"/>
            <w:proofErr w:type="gramStart"/>
            <w:r w:rsidRPr="00EA7DC4">
              <w:rPr>
                <w:rFonts w:cs="Arial"/>
                <w:szCs w:val="18"/>
              </w:rPr>
              <w:t>so</w:t>
            </w:r>
            <w:proofErr w:type="gramEnd"/>
            <w:r w:rsidRPr="00EA7DC4">
              <w:rPr>
                <w:rFonts w:cs="Arial"/>
                <w:szCs w:val="18"/>
              </w:rPr>
              <w:t>&amp;m</w:t>
            </w:r>
            <w:proofErr w:type="spellEnd"/>
            <w:r w:rsidRPr="00EA7DC4">
              <w:rPr>
                <w:rFonts w:cs="Arial"/>
                <w:szCs w:val="18"/>
              </w:rPr>
              <w:t xml:space="preserve"> </w:t>
            </w:r>
            <w:r>
              <w:rPr>
                <w:rFonts w:cs="Arial"/>
                <w:szCs w:val="18"/>
              </w:rPr>
              <w:t>[</w:t>
            </w:r>
            <w:r w:rsidRPr="00EA7DC4">
              <w:rPr>
                <w:rFonts w:cs="Arial"/>
                <w:szCs w:val="18"/>
              </w:rPr>
              <w:t>%</w:t>
            </w:r>
            <w:r>
              <w:rPr>
                <w:rFonts w:cs="Arial"/>
                <w:szCs w:val="18"/>
              </w:rPr>
              <w:t>]</w:t>
            </w:r>
          </w:p>
        </w:tc>
        <w:tc>
          <w:tcPr>
            <w:tcW w:w="1275" w:type="dxa"/>
            <w:shd w:val="clear" w:color="auto" w:fill="FFFFFF"/>
          </w:tcPr>
          <w:p w14:paraId="754100BE" w14:textId="77777777" w:rsidR="00662CB3" w:rsidRPr="00EA7DC4" w:rsidRDefault="00662CB3" w:rsidP="008E14F1">
            <w:pPr>
              <w:pStyle w:val="CETBodytext"/>
              <w:ind w:right="-1"/>
              <w:jc w:val="center"/>
              <w:rPr>
                <w:rFonts w:cs="Arial"/>
                <w:szCs w:val="18"/>
              </w:rPr>
            </w:pPr>
            <w:r w:rsidRPr="008D566F">
              <w:t>0.047</w:t>
            </w:r>
          </w:p>
        </w:tc>
        <w:tc>
          <w:tcPr>
            <w:tcW w:w="1901" w:type="dxa"/>
            <w:shd w:val="clear" w:color="auto" w:fill="FFFFFF"/>
          </w:tcPr>
          <w:p w14:paraId="59C669F0" w14:textId="77777777" w:rsidR="00662CB3" w:rsidRPr="00EA7DC4" w:rsidRDefault="00662CB3" w:rsidP="008E14F1">
            <w:pPr>
              <w:pStyle w:val="CETBodytext"/>
              <w:ind w:right="-1"/>
              <w:jc w:val="center"/>
              <w:rPr>
                <w:rFonts w:cs="Arial"/>
                <w:szCs w:val="18"/>
              </w:rPr>
            </w:pPr>
            <w:r w:rsidRPr="008D566F">
              <w:t>0.030</w:t>
            </w:r>
          </w:p>
        </w:tc>
        <w:tc>
          <w:tcPr>
            <w:tcW w:w="2068" w:type="dxa"/>
            <w:shd w:val="clear" w:color="auto" w:fill="FFFFFF"/>
          </w:tcPr>
          <w:p w14:paraId="2BDB1233" w14:textId="77777777" w:rsidR="00662CB3" w:rsidRPr="00EA7DC4" w:rsidRDefault="00662CB3" w:rsidP="008E14F1">
            <w:pPr>
              <w:pStyle w:val="CETBodytext"/>
              <w:ind w:right="-1"/>
              <w:jc w:val="center"/>
              <w:rPr>
                <w:rFonts w:cs="Arial"/>
                <w:szCs w:val="18"/>
              </w:rPr>
            </w:pPr>
            <w:r w:rsidRPr="008D566F">
              <w:t>0.020</w:t>
            </w:r>
          </w:p>
        </w:tc>
        <w:tc>
          <w:tcPr>
            <w:tcW w:w="2410" w:type="dxa"/>
            <w:shd w:val="clear" w:color="auto" w:fill="FFFFFF"/>
          </w:tcPr>
          <w:p w14:paraId="0E560B97" w14:textId="77777777" w:rsidR="00662CB3" w:rsidRPr="00EA7DC4" w:rsidRDefault="00662CB3" w:rsidP="008E14F1">
            <w:pPr>
              <w:pStyle w:val="CETBodytext"/>
              <w:ind w:right="-1"/>
              <w:jc w:val="center"/>
              <w:rPr>
                <w:rFonts w:cs="Arial"/>
                <w:szCs w:val="18"/>
              </w:rPr>
            </w:pPr>
            <w:r w:rsidRPr="008D566F">
              <w:t>0.020</w:t>
            </w:r>
          </w:p>
        </w:tc>
      </w:tr>
      <w:tr w:rsidR="00662CB3" w:rsidRPr="00B57B36" w14:paraId="6C35EACF" w14:textId="77777777" w:rsidTr="008E14F1">
        <w:tc>
          <w:tcPr>
            <w:tcW w:w="993" w:type="dxa"/>
            <w:shd w:val="clear" w:color="auto" w:fill="FFFFFF"/>
          </w:tcPr>
          <w:p w14:paraId="35844DFA" w14:textId="77777777" w:rsidR="00662CB3" w:rsidRPr="00685D8A" w:rsidRDefault="00662CB3" w:rsidP="008E14F1">
            <w:pPr>
              <w:pStyle w:val="CETBodytext"/>
              <w:ind w:right="-1"/>
              <w:rPr>
                <w:rFonts w:cs="Arial"/>
                <w:szCs w:val="18"/>
              </w:rPr>
            </w:pPr>
            <m:oMathPara>
              <m:oMathParaPr>
                <m:jc m:val="left"/>
              </m:oMathParaPr>
              <m:oMath>
                <m:r>
                  <w:rPr>
                    <w:rFonts w:ascii="Cambria Math" w:eastAsia="Cambria Math" w:hAnsi="Cambria Math" w:cs="Cambria Math"/>
                  </w:rPr>
                  <m:t xml:space="preserve">η </m:t>
                </m:r>
              </m:oMath>
            </m:oMathPara>
          </w:p>
        </w:tc>
        <w:tc>
          <w:tcPr>
            <w:tcW w:w="1275" w:type="dxa"/>
            <w:shd w:val="clear" w:color="auto" w:fill="FFFFFF"/>
          </w:tcPr>
          <w:p w14:paraId="2FB04E28" w14:textId="77777777" w:rsidR="00662CB3" w:rsidRPr="008D566F" w:rsidRDefault="00662CB3" w:rsidP="008E14F1">
            <w:pPr>
              <w:pStyle w:val="CETBodytext"/>
              <w:ind w:right="-1"/>
              <w:jc w:val="center"/>
            </w:pPr>
            <w:r>
              <w:t>0.76</w:t>
            </w:r>
          </w:p>
        </w:tc>
        <w:tc>
          <w:tcPr>
            <w:tcW w:w="1901" w:type="dxa"/>
            <w:shd w:val="clear" w:color="auto" w:fill="FFFFFF"/>
          </w:tcPr>
          <w:p w14:paraId="19B3224F" w14:textId="77777777" w:rsidR="00662CB3" w:rsidRPr="008D566F" w:rsidRDefault="00662CB3" w:rsidP="008E14F1">
            <w:pPr>
              <w:pStyle w:val="CETBodytext"/>
              <w:ind w:right="-1"/>
              <w:jc w:val="center"/>
            </w:pPr>
            <w:r>
              <w:t>0.69</w:t>
            </w:r>
          </w:p>
        </w:tc>
        <w:tc>
          <w:tcPr>
            <w:tcW w:w="2068" w:type="dxa"/>
            <w:shd w:val="clear" w:color="auto" w:fill="FFFFFF"/>
          </w:tcPr>
          <w:p w14:paraId="0837F902" w14:textId="77777777" w:rsidR="00662CB3" w:rsidRPr="008D566F" w:rsidRDefault="00662CB3" w:rsidP="008E14F1">
            <w:pPr>
              <w:pStyle w:val="CETBodytext"/>
              <w:ind w:right="-1"/>
              <w:jc w:val="center"/>
            </w:pPr>
            <w:r>
              <w:t>0.80</w:t>
            </w:r>
          </w:p>
        </w:tc>
        <w:tc>
          <w:tcPr>
            <w:tcW w:w="2410" w:type="dxa"/>
            <w:shd w:val="clear" w:color="auto" w:fill="FFFFFF"/>
          </w:tcPr>
          <w:p w14:paraId="66588011" w14:textId="77777777" w:rsidR="00662CB3" w:rsidRPr="008D566F" w:rsidRDefault="00662CB3" w:rsidP="008E14F1">
            <w:pPr>
              <w:pStyle w:val="CETBodytext"/>
              <w:ind w:right="-1"/>
              <w:jc w:val="center"/>
            </w:pPr>
            <w:r>
              <w:t>0.80</w:t>
            </w:r>
          </w:p>
        </w:tc>
      </w:tr>
      <w:tr w:rsidR="00662CB3" w:rsidRPr="00B57B36" w14:paraId="0DCBC777" w14:textId="77777777" w:rsidTr="008E14F1">
        <w:tc>
          <w:tcPr>
            <w:tcW w:w="993" w:type="dxa"/>
            <w:shd w:val="clear" w:color="auto" w:fill="FFFFFF"/>
          </w:tcPr>
          <w:p w14:paraId="6B7DF0D9" w14:textId="77777777" w:rsidR="00662CB3" w:rsidRPr="00EA7DC4" w:rsidRDefault="00662CB3" w:rsidP="008E14F1">
            <w:pPr>
              <w:pStyle w:val="CETBodytext"/>
              <w:ind w:right="-1"/>
              <w:rPr>
                <w:rFonts w:cs="Arial"/>
                <w:szCs w:val="18"/>
              </w:rPr>
            </w:pPr>
            <w:proofErr w:type="spellStart"/>
            <w:r w:rsidRPr="00EA7DC4">
              <w:rPr>
                <w:rFonts w:cs="Arial"/>
                <w:szCs w:val="18"/>
              </w:rPr>
              <w:t>EROEI</w:t>
            </w:r>
            <w:r w:rsidRPr="00B64A32">
              <w:rPr>
                <w:rFonts w:cs="Arial"/>
                <w:szCs w:val="18"/>
                <w:vertAlign w:val="subscript"/>
              </w:rPr>
              <w:t>fuel</w:t>
            </w:r>
            <w:proofErr w:type="spellEnd"/>
          </w:p>
        </w:tc>
        <w:tc>
          <w:tcPr>
            <w:tcW w:w="1275" w:type="dxa"/>
            <w:shd w:val="clear" w:color="auto" w:fill="FFFFFF"/>
          </w:tcPr>
          <w:p w14:paraId="598D932A" w14:textId="77777777" w:rsidR="00662CB3" w:rsidRPr="00EA7DC4" w:rsidRDefault="00662CB3" w:rsidP="008E14F1">
            <w:pPr>
              <w:pStyle w:val="CETBodytext"/>
              <w:ind w:right="-1"/>
              <w:jc w:val="center"/>
              <w:rPr>
                <w:rFonts w:cs="Arial"/>
                <w:szCs w:val="18"/>
              </w:rPr>
            </w:pPr>
            <w:r w:rsidRPr="009845A8">
              <w:t>19</w:t>
            </w:r>
          </w:p>
        </w:tc>
        <w:tc>
          <w:tcPr>
            <w:tcW w:w="1901" w:type="dxa"/>
            <w:shd w:val="clear" w:color="auto" w:fill="FFFFFF"/>
          </w:tcPr>
          <w:p w14:paraId="2753A679" w14:textId="77777777" w:rsidR="00662CB3" w:rsidRPr="00EA7DC4" w:rsidRDefault="00662CB3" w:rsidP="008E14F1">
            <w:pPr>
              <w:pStyle w:val="CETBodytext"/>
              <w:ind w:right="-1"/>
              <w:jc w:val="center"/>
              <w:rPr>
                <w:rFonts w:cs="Arial"/>
                <w:szCs w:val="18"/>
              </w:rPr>
            </w:pPr>
            <w:r w:rsidRPr="009845A8">
              <w:t>19</w:t>
            </w:r>
          </w:p>
        </w:tc>
        <w:tc>
          <w:tcPr>
            <w:tcW w:w="2068" w:type="dxa"/>
            <w:shd w:val="clear" w:color="auto" w:fill="FFFFFF"/>
          </w:tcPr>
          <w:p w14:paraId="4F263F3B" w14:textId="77777777" w:rsidR="00662CB3" w:rsidRPr="00EA7DC4" w:rsidRDefault="00662CB3" w:rsidP="008E14F1">
            <w:pPr>
              <w:pStyle w:val="CETBodytext"/>
              <w:ind w:right="-1"/>
              <w:jc w:val="center"/>
              <w:rPr>
                <w:rFonts w:cs="Arial"/>
                <w:szCs w:val="18"/>
              </w:rPr>
            </w:pPr>
            <w:r w:rsidRPr="009845A8">
              <w:t>25</w:t>
            </w:r>
          </w:p>
        </w:tc>
        <w:tc>
          <w:tcPr>
            <w:tcW w:w="2410" w:type="dxa"/>
            <w:shd w:val="clear" w:color="auto" w:fill="FFFFFF"/>
          </w:tcPr>
          <w:p w14:paraId="09549B05" w14:textId="77777777" w:rsidR="00662CB3" w:rsidRPr="00EA7DC4" w:rsidRDefault="00662CB3" w:rsidP="008E14F1">
            <w:pPr>
              <w:pStyle w:val="CETBodytext"/>
              <w:ind w:right="-1"/>
              <w:jc w:val="center"/>
              <w:rPr>
                <w:rFonts w:cs="Arial"/>
                <w:szCs w:val="18"/>
              </w:rPr>
            </w:pPr>
            <w:r w:rsidRPr="009845A8">
              <w:t>38</w:t>
            </w:r>
          </w:p>
        </w:tc>
      </w:tr>
    </w:tbl>
    <w:p w14:paraId="6E52C971" w14:textId="77777777" w:rsidR="00662CB3" w:rsidRDefault="00662CB3" w:rsidP="00EB2B1F"/>
    <w:p w14:paraId="4D316773" w14:textId="5D8EE6E4" w:rsidR="00E863E9" w:rsidRDefault="002F4A13" w:rsidP="00EB2B1F">
      <w:r>
        <w:t xml:space="preserve">Calculation of EROEI and LCOH is done using the details reported in previous chapter and the data obtained from process simulations (see </w:t>
      </w:r>
      <w:r w:rsidR="0084529F">
        <w:t>T</w:t>
      </w:r>
      <w:r>
        <w:t xml:space="preserve">able </w:t>
      </w:r>
      <w:r w:rsidR="009D657C">
        <w:t>3</w:t>
      </w:r>
      <w:r w:rsidR="00B27AC5">
        <w:t>)</w:t>
      </w:r>
      <w:r w:rsidR="000F4102" w:rsidRPr="00A945CD">
        <w:t xml:space="preserve">. </w:t>
      </w:r>
      <w:r w:rsidR="00674C5E">
        <w:t xml:space="preserve">The following </w:t>
      </w:r>
      <w:r w:rsidR="007B5ACA">
        <w:t xml:space="preserve">common </w:t>
      </w:r>
      <w:r w:rsidR="00674C5E">
        <w:t xml:space="preserve">data were used for all the processes considered: L=20 years, </w:t>
      </w:r>
      <w:proofErr w:type="spellStart"/>
      <w:r w:rsidR="00674C5E" w:rsidRPr="00EA7DC4">
        <w:rPr>
          <w:rFonts w:cs="Arial"/>
          <w:szCs w:val="18"/>
        </w:rPr>
        <w:t>ε</w:t>
      </w:r>
      <w:r w:rsidR="00674C5E" w:rsidRPr="000F1D33">
        <w:rPr>
          <w:rFonts w:cs="Arial"/>
          <w:szCs w:val="18"/>
          <w:vertAlign w:val="subscript"/>
        </w:rPr>
        <w:t>c</w:t>
      </w:r>
      <w:proofErr w:type="spellEnd"/>
      <w:r w:rsidR="00674C5E" w:rsidRPr="00EA7DC4">
        <w:rPr>
          <w:rFonts w:cs="Arial"/>
          <w:szCs w:val="18"/>
        </w:rPr>
        <w:t xml:space="preserve"> </w:t>
      </w:r>
      <w:r w:rsidR="00674C5E">
        <w:rPr>
          <w:rFonts w:cs="Arial"/>
          <w:szCs w:val="18"/>
        </w:rPr>
        <w:t xml:space="preserve">= 0.656 </w:t>
      </w:r>
      <w:r w:rsidR="00674C5E">
        <w:t>€</w:t>
      </w:r>
      <w:r w:rsidR="00674C5E" w:rsidRPr="00EA7DC4">
        <w:rPr>
          <w:rFonts w:cs="Arial"/>
          <w:szCs w:val="18"/>
        </w:rPr>
        <w:t>/kWh</w:t>
      </w:r>
      <w:r w:rsidR="00674C5E">
        <w:rPr>
          <w:rFonts w:cs="Arial"/>
          <w:szCs w:val="18"/>
        </w:rPr>
        <w:t xml:space="preserve">, </w:t>
      </w:r>
      <w:r w:rsidR="00674C5E" w:rsidRPr="0007782E">
        <w:rPr>
          <w:rFonts w:cs="Arial"/>
          <w:szCs w:val="18"/>
        </w:rPr>
        <w:t>Q</w:t>
      </w:r>
      <w:r w:rsidR="00674C5E" w:rsidRPr="0007782E">
        <w:rPr>
          <w:rFonts w:cs="Arial"/>
          <w:szCs w:val="18"/>
          <w:vertAlign w:val="subscript"/>
        </w:rPr>
        <w:t>H2</w:t>
      </w:r>
      <w:r w:rsidR="00674C5E">
        <w:rPr>
          <w:rFonts w:cs="Arial"/>
          <w:szCs w:val="18"/>
        </w:rPr>
        <w:t xml:space="preserve"> = </w:t>
      </w:r>
      <w:r w:rsidR="00A4655D">
        <w:rPr>
          <w:rFonts w:cs="Arial"/>
          <w:szCs w:val="18"/>
        </w:rPr>
        <w:t>1</w:t>
      </w:r>
      <w:r w:rsidR="007B2893">
        <w:rPr>
          <w:rFonts w:cs="Arial"/>
          <w:szCs w:val="18"/>
        </w:rPr>
        <w:t>0</w:t>
      </w:r>
      <w:r w:rsidR="00A4655D">
        <w:rPr>
          <w:rFonts w:cs="Arial"/>
          <w:szCs w:val="18"/>
        </w:rPr>
        <w:t>00 kg/h</w:t>
      </w:r>
      <w:r w:rsidR="00674C5E">
        <w:rPr>
          <w:rFonts w:cs="Arial"/>
          <w:szCs w:val="18"/>
        </w:rPr>
        <w:t>, HHV</w:t>
      </w:r>
      <w:r w:rsidR="00A4655D" w:rsidRPr="00A4655D">
        <w:rPr>
          <w:rFonts w:cs="Arial"/>
          <w:szCs w:val="18"/>
          <w:vertAlign w:val="subscript"/>
        </w:rPr>
        <w:t>H2</w:t>
      </w:r>
      <w:r w:rsidR="00674C5E">
        <w:rPr>
          <w:rFonts w:cs="Arial"/>
          <w:szCs w:val="18"/>
        </w:rPr>
        <w:t xml:space="preserve"> = </w:t>
      </w:r>
      <w:r w:rsidR="00A4655D">
        <w:rPr>
          <w:rFonts w:cs="Arial"/>
          <w:szCs w:val="18"/>
        </w:rPr>
        <w:t xml:space="preserve">39.4 </w:t>
      </w:r>
      <w:r w:rsidR="00A4655D" w:rsidRPr="00A4655D">
        <w:rPr>
          <w:rFonts w:cs="Arial"/>
          <w:szCs w:val="18"/>
        </w:rPr>
        <w:t>kWh/kg</w:t>
      </w:r>
      <w:r w:rsidR="00674C5E">
        <w:rPr>
          <w:rFonts w:cs="Arial"/>
          <w:szCs w:val="18"/>
        </w:rPr>
        <w:t xml:space="preserve">, </w:t>
      </w:r>
      <w:r w:rsidR="00F77D9E">
        <w:t>discount</w:t>
      </w:r>
      <w:r w:rsidR="000F4102" w:rsidRPr="00A945CD">
        <w:t xml:space="preserve"> rate </w:t>
      </w:r>
      <w:r w:rsidR="00674C5E">
        <w:t>=</w:t>
      </w:r>
      <w:r w:rsidR="000F4102" w:rsidRPr="00A945CD">
        <w:t xml:space="preserve"> 7.3%. </w:t>
      </w:r>
    </w:p>
    <w:p w14:paraId="1BAE57F7" w14:textId="1AC330BC" w:rsidR="00697FDE" w:rsidRDefault="002F4A13" w:rsidP="00EB2B1F">
      <w:r>
        <w:t xml:space="preserve">The estimated indicators are reported in table </w:t>
      </w:r>
      <w:r w:rsidR="009D657C">
        <w:t>4</w:t>
      </w:r>
      <w:r>
        <w:t xml:space="preserve">. </w:t>
      </w:r>
    </w:p>
    <w:bookmarkEnd w:id="6"/>
    <w:p w14:paraId="4F030262" w14:textId="77777777" w:rsidR="00662CB3" w:rsidRDefault="00662CB3" w:rsidP="00662CB3">
      <w:pPr>
        <w:pStyle w:val="CETTabletitle"/>
      </w:pPr>
      <w:r w:rsidRPr="00345819">
        <w:t>Table 4: EROEI and LCOH</w:t>
      </w:r>
      <w:r>
        <w:t xml:space="preserve"> values for the different hydrogen colours considered. </w:t>
      </w:r>
    </w:p>
    <w:tbl>
      <w:tblPr>
        <w:tblW w:w="864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418"/>
        <w:gridCol w:w="1985"/>
        <w:gridCol w:w="1984"/>
        <w:gridCol w:w="2268"/>
      </w:tblGrid>
      <w:tr w:rsidR="00662CB3" w:rsidRPr="00B57B36" w14:paraId="3D274F32" w14:textId="77777777" w:rsidTr="008E14F1">
        <w:tc>
          <w:tcPr>
            <w:tcW w:w="993" w:type="dxa"/>
            <w:tcBorders>
              <w:top w:val="single" w:sz="12" w:space="0" w:color="008000"/>
              <w:bottom w:val="single" w:sz="6" w:space="0" w:color="008000"/>
            </w:tcBorders>
            <w:shd w:val="clear" w:color="auto" w:fill="FFFFFF"/>
          </w:tcPr>
          <w:p w14:paraId="417F3EDF" w14:textId="77777777" w:rsidR="00662CB3" w:rsidRPr="00B57B36" w:rsidRDefault="00662CB3" w:rsidP="008E14F1">
            <w:pPr>
              <w:pStyle w:val="CETBodytext"/>
              <w:rPr>
                <w:lang w:val="en-GB"/>
              </w:rPr>
            </w:pPr>
            <w:r>
              <w:rPr>
                <w:lang w:val="en-GB"/>
              </w:rPr>
              <w:t>Quantity</w:t>
            </w:r>
          </w:p>
        </w:tc>
        <w:tc>
          <w:tcPr>
            <w:tcW w:w="1418" w:type="dxa"/>
            <w:tcBorders>
              <w:top w:val="single" w:sz="12" w:space="0" w:color="008000"/>
              <w:bottom w:val="single" w:sz="6" w:space="0" w:color="008000"/>
            </w:tcBorders>
            <w:shd w:val="clear" w:color="auto" w:fill="FFFFFF"/>
          </w:tcPr>
          <w:p w14:paraId="499BBF9C" w14:textId="0B9B68F2" w:rsidR="00662CB3" w:rsidRPr="00B57B36" w:rsidRDefault="00662CB3" w:rsidP="008E14F1">
            <w:pPr>
              <w:pStyle w:val="CETBodytext"/>
              <w:jc w:val="center"/>
              <w:rPr>
                <w:lang w:val="en-GB"/>
              </w:rPr>
            </w:pPr>
            <w:r>
              <w:rPr>
                <w:rFonts w:ascii="Times New Roman" w:hAnsi="Times New Roman"/>
                <w:szCs w:val="18"/>
              </w:rPr>
              <w:t>S</w:t>
            </w:r>
            <w:r w:rsidR="006263C0">
              <w:rPr>
                <w:rFonts w:ascii="Times New Roman" w:hAnsi="Times New Roman"/>
                <w:szCs w:val="18"/>
              </w:rPr>
              <w:t>M</w:t>
            </w:r>
            <w:r w:rsidRPr="00B74190">
              <w:rPr>
                <w:rFonts w:ascii="Times New Roman" w:hAnsi="Times New Roman"/>
                <w:szCs w:val="18"/>
              </w:rPr>
              <w:t>R</w:t>
            </w:r>
            <w:r>
              <w:rPr>
                <w:rFonts w:ascii="Times New Roman" w:hAnsi="Times New Roman"/>
                <w:szCs w:val="18"/>
              </w:rPr>
              <w:t xml:space="preserve"> – Grey H</w:t>
            </w:r>
            <w:r w:rsidRPr="002E1D92">
              <w:rPr>
                <w:rFonts w:ascii="Times New Roman" w:hAnsi="Times New Roman"/>
                <w:szCs w:val="18"/>
                <w:vertAlign w:val="subscript"/>
              </w:rPr>
              <w:t>2</w:t>
            </w:r>
          </w:p>
        </w:tc>
        <w:tc>
          <w:tcPr>
            <w:tcW w:w="1985" w:type="dxa"/>
            <w:tcBorders>
              <w:top w:val="single" w:sz="12" w:space="0" w:color="008000"/>
              <w:bottom w:val="single" w:sz="6" w:space="0" w:color="008000"/>
            </w:tcBorders>
            <w:shd w:val="clear" w:color="auto" w:fill="FFFFFF"/>
          </w:tcPr>
          <w:p w14:paraId="7712B243" w14:textId="33B2161A" w:rsidR="00662CB3" w:rsidRPr="00B57B36" w:rsidRDefault="00662CB3" w:rsidP="008E14F1">
            <w:pPr>
              <w:pStyle w:val="CETBodytext"/>
              <w:jc w:val="center"/>
              <w:rPr>
                <w:lang w:val="en-GB"/>
              </w:rPr>
            </w:pPr>
            <w:r>
              <w:rPr>
                <w:rFonts w:ascii="Times New Roman" w:hAnsi="Times New Roman"/>
                <w:szCs w:val="18"/>
              </w:rPr>
              <w:t>S</w:t>
            </w:r>
            <w:r w:rsidR="006263C0">
              <w:rPr>
                <w:rFonts w:ascii="Times New Roman" w:hAnsi="Times New Roman"/>
                <w:szCs w:val="18"/>
              </w:rPr>
              <w:t>M</w:t>
            </w:r>
            <w:r w:rsidRPr="00B74190">
              <w:rPr>
                <w:rFonts w:ascii="Times New Roman" w:hAnsi="Times New Roman"/>
                <w:szCs w:val="18"/>
              </w:rPr>
              <w:t xml:space="preserve">R </w:t>
            </w:r>
            <w:r>
              <w:rPr>
                <w:rFonts w:ascii="Times New Roman" w:hAnsi="Times New Roman"/>
                <w:szCs w:val="18"/>
              </w:rPr>
              <w:t>&amp;</w:t>
            </w:r>
            <w:r w:rsidRPr="00B74190">
              <w:rPr>
                <w:rFonts w:ascii="Times New Roman" w:hAnsi="Times New Roman"/>
                <w:szCs w:val="18"/>
              </w:rPr>
              <w:t xml:space="preserve"> CCS</w:t>
            </w:r>
            <w:r>
              <w:rPr>
                <w:rFonts w:ascii="Times New Roman" w:hAnsi="Times New Roman"/>
                <w:szCs w:val="18"/>
              </w:rPr>
              <w:t xml:space="preserve"> – Blue H</w:t>
            </w:r>
            <w:r w:rsidRPr="002E1D92">
              <w:rPr>
                <w:rFonts w:ascii="Times New Roman" w:hAnsi="Times New Roman"/>
                <w:szCs w:val="18"/>
                <w:vertAlign w:val="subscript"/>
              </w:rPr>
              <w:t>2</w:t>
            </w:r>
          </w:p>
        </w:tc>
        <w:tc>
          <w:tcPr>
            <w:tcW w:w="1984" w:type="dxa"/>
            <w:tcBorders>
              <w:top w:val="single" w:sz="12" w:space="0" w:color="008000"/>
              <w:bottom w:val="single" w:sz="6" w:space="0" w:color="008000"/>
            </w:tcBorders>
            <w:shd w:val="clear" w:color="auto" w:fill="FFFFFF"/>
          </w:tcPr>
          <w:p w14:paraId="234DB871" w14:textId="6F50046A" w:rsidR="00662CB3" w:rsidRPr="00B57B36" w:rsidRDefault="00662CB3" w:rsidP="008E14F1">
            <w:pPr>
              <w:pStyle w:val="CETBodytext"/>
              <w:ind w:right="-1"/>
              <w:jc w:val="center"/>
              <w:rPr>
                <w:rFonts w:cs="Arial"/>
                <w:szCs w:val="18"/>
                <w:lang w:val="en-GB"/>
              </w:rPr>
            </w:pPr>
            <w:r w:rsidRPr="00B74190">
              <w:rPr>
                <w:rFonts w:ascii="Times New Roman" w:hAnsi="Times New Roman"/>
                <w:szCs w:val="18"/>
              </w:rPr>
              <w:t>Ele</w:t>
            </w:r>
            <w:r>
              <w:rPr>
                <w:rFonts w:ascii="Times New Roman" w:hAnsi="Times New Roman"/>
                <w:szCs w:val="18"/>
              </w:rPr>
              <w:t>c</w:t>
            </w:r>
            <w:r w:rsidRPr="00B74190">
              <w:rPr>
                <w:rFonts w:ascii="Times New Roman" w:hAnsi="Times New Roman"/>
                <w:szCs w:val="18"/>
              </w:rPr>
              <w:t>trol</w:t>
            </w:r>
            <w:r>
              <w:rPr>
                <w:rFonts w:ascii="Times New Roman" w:hAnsi="Times New Roman"/>
                <w:szCs w:val="18"/>
              </w:rPr>
              <w:t>ysis – Green H</w:t>
            </w:r>
            <w:r w:rsidRPr="002E1D92">
              <w:rPr>
                <w:rFonts w:ascii="Times New Roman" w:hAnsi="Times New Roman"/>
                <w:szCs w:val="18"/>
                <w:vertAlign w:val="subscript"/>
              </w:rPr>
              <w:t>2</w:t>
            </w:r>
          </w:p>
        </w:tc>
        <w:tc>
          <w:tcPr>
            <w:tcW w:w="2268" w:type="dxa"/>
            <w:tcBorders>
              <w:top w:val="single" w:sz="12" w:space="0" w:color="008000"/>
              <w:bottom w:val="single" w:sz="6" w:space="0" w:color="008000"/>
            </w:tcBorders>
            <w:shd w:val="clear" w:color="auto" w:fill="FFFFFF"/>
          </w:tcPr>
          <w:p w14:paraId="77A98384" w14:textId="7CB59BEC" w:rsidR="00662CB3" w:rsidRPr="00B57B36" w:rsidRDefault="00662CB3" w:rsidP="008E14F1">
            <w:pPr>
              <w:pStyle w:val="CETBodytext"/>
              <w:ind w:right="-1"/>
              <w:jc w:val="center"/>
              <w:rPr>
                <w:rFonts w:cs="Arial"/>
                <w:szCs w:val="18"/>
                <w:lang w:val="en-GB"/>
              </w:rPr>
            </w:pPr>
            <w:r>
              <w:rPr>
                <w:rFonts w:ascii="Times New Roman" w:hAnsi="Times New Roman"/>
                <w:szCs w:val="18"/>
              </w:rPr>
              <w:t xml:space="preserve">Electrolysis – </w:t>
            </w:r>
            <w:r w:rsidR="009C0B46">
              <w:rPr>
                <w:rFonts w:ascii="Times New Roman" w:hAnsi="Times New Roman"/>
                <w:szCs w:val="18"/>
              </w:rPr>
              <w:t>Grid</w:t>
            </w:r>
            <w:r>
              <w:rPr>
                <w:rFonts w:ascii="Times New Roman" w:hAnsi="Times New Roman"/>
                <w:szCs w:val="18"/>
              </w:rPr>
              <w:t xml:space="preserve"> H</w:t>
            </w:r>
            <w:r w:rsidRPr="002E1D92">
              <w:rPr>
                <w:rFonts w:ascii="Times New Roman" w:hAnsi="Times New Roman"/>
                <w:szCs w:val="18"/>
                <w:vertAlign w:val="subscript"/>
              </w:rPr>
              <w:t>2</w:t>
            </w:r>
          </w:p>
        </w:tc>
      </w:tr>
      <w:tr w:rsidR="00662CB3" w:rsidRPr="00B57B36" w14:paraId="0892E1F6" w14:textId="77777777" w:rsidTr="008E14F1">
        <w:tc>
          <w:tcPr>
            <w:tcW w:w="993" w:type="dxa"/>
            <w:shd w:val="clear" w:color="auto" w:fill="FFFFFF"/>
          </w:tcPr>
          <w:p w14:paraId="28160EE7" w14:textId="77777777" w:rsidR="00662CB3" w:rsidRPr="00345819" w:rsidRDefault="00662CB3" w:rsidP="008E14F1">
            <w:pPr>
              <w:pStyle w:val="CETBodytext"/>
              <w:rPr>
                <w:rFonts w:cs="Arial"/>
                <w:lang w:val="en-GB"/>
              </w:rPr>
            </w:pPr>
            <w:proofErr w:type="spellStart"/>
            <w:r w:rsidRPr="00345819">
              <w:rPr>
                <w:rFonts w:cs="Arial"/>
                <w:szCs w:val="18"/>
              </w:rPr>
              <w:t>E</w:t>
            </w:r>
            <w:r w:rsidRPr="00345819">
              <w:rPr>
                <w:rFonts w:cs="Arial"/>
                <w:szCs w:val="18"/>
                <w:vertAlign w:val="subscript"/>
              </w:rPr>
              <w:t>out</w:t>
            </w:r>
            <w:proofErr w:type="spellEnd"/>
            <w:r w:rsidRPr="00345819">
              <w:rPr>
                <w:rFonts w:cs="Arial"/>
                <w:szCs w:val="18"/>
              </w:rPr>
              <w:t xml:space="preserve"> [GWh]</w:t>
            </w:r>
          </w:p>
        </w:tc>
        <w:tc>
          <w:tcPr>
            <w:tcW w:w="1418" w:type="dxa"/>
            <w:shd w:val="clear" w:color="auto" w:fill="FFFFFF"/>
          </w:tcPr>
          <w:p w14:paraId="7146704F" w14:textId="77777777" w:rsidR="00662CB3" w:rsidRPr="00345819" w:rsidRDefault="00662CB3" w:rsidP="008E14F1">
            <w:pPr>
              <w:pStyle w:val="CETBodytext"/>
              <w:jc w:val="center"/>
              <w:rPr>
                <w:rFonts w:cs="Arial"/>
                <w:lang w:val="en-GB"/>
              </w:rPr>
            </w:pPr>
            <w:r w:rsidRPr="00ED0E6E">
              <w:t>4559.59</w:t>
            </w:r>
          </w:p>
        </w:tc>
        <w:tc>
          <w:tcPr>
            <w:tcW w:w="1985" w:type="dxa"/>
            <w:shd w:val="clear" w:color="auto" w:fill="FFFFFF"/>
          </w:tcPr>
          <w:p w14:paraId="364F6FF9" w14:textId="77777777" w:rsidR="00662CB3" w:rsidRPr="00345819" w:rsidRDefault="00662CB3" w:rsidP="008E14F1">
            <w:pPr>
              <w:pStyle w:val="CETBodytext"/>
              <w:jc w:val="center"/>
              <w:rPr>
                <w:rFonts w:cs="Arial"/>
                <w:lang w:val="en-GB"/>
              </w:rPr>
            </w:pPr>
            <w:r w:rsidRPr="00ED0E6E">
              <w:t>3933.01</w:t>
            </w:r>
          </w:p>
        </w:tc>
        <w:tc>
          <w:tcPr>
            <w:tcW w:w="1984" w:type="dxa"/>
            <w:shd w:val="clear" w:color="auto" w:fill="FFFFFF"/>
          </w:tcPr>
          <w:p w14:paraId="2087853E" w14:textId="77777777" w:rsidR="00662CB3" w:rsidRPr="00345819" w:rsidRDefault="00662CB3" w:rsidP="008E14F1">
            <w:pPr>
              <w:pStyle w:val="CETBodytext"/>
              <w:ind w:right="-1"/>
              <w:jc w:val="center"/>
              <w:rPr>
                <w:rFonts w:cs="Arial"/>
                <w:szCs w:val="18"/>
                <w:lang w:val="en-GB"/>
              </w:rPr>
            </w:pPr>
            <w:r w:rsidRPr="00DD3D1A">
              <w:t>6706.492</w:t>
            </w:r>
          </w:p>
        </w:tc>
        <w:tc>
          <w:tcPr>
            <w:tcW w:w="2268" w:type="dxa"/>
            <w:shd w:val="clear" w:color="auto" w:fill="FFFFFF"/>
          </w:tcPr>
          <w:p w14:paraId="0A0F5094" w14:textId="77777777" w:rsidR="00662CB3" w:rsidRPr="00345819" w:rsidRDefault="00662CB3" w:rsidP="008E14F1">
            <w:pPr>
              <w:pStyle w:val="CETBodytext"/>
              <w:ind w:right="-1"/>
              <w:jc w:val="center"/>
              <w:rPr>
                <w:rFonts w:cs="Arial"/>
                <w:szCs w:val="18"/>
                <w:lang w:val="en-GB"/>
              </w:rPr>
            </w:pPr>
            <w:r w:rsidRPr="00ED0E6E">
              <w:t>6706.49</w:t>
            </w:r>
          </w:p>
        </w:tc>
      </w:tr>
      <w:tr w:rsidR="00662CB3" w:rsidRPr="00B57B36" w14:paraId="0EDEB7AA" w14:textId="77777777" w:rsidTr="008E14F1">
        <w:tc>
          <w:tcPr>
            <w:tcW w:w="993" w:type="dxa"/>
            <w:shd w:val="clear" w:color="auto" w:fill="FFFFFF"/>
          </w:tcPr>
          <w:p w14:paraId="05F34395" w14:textId="77777777" w:rsidR="00662CB3" w:rsidRPr="00345819" w:rsidRDefault="00662CB3" w:rsidP="008E14F1">
            <w:pPr>
              <w:pStyle w:val="CETBodytext"/>
              <w:ind w:right="-1"/>
              <w:rPr>
                <w:rFonts w:cs="Arial"/>
                <w:szCs w:val="18"/>
                <w:lang w:val="en-GB"/>
              </w:rPr>
            </w:pPr>
            <w:proofErr w:type="spellStart"/>
            <w:r w:rsidRPr="00345819">
              <w:rPr>
                <w:rFonts w:cs="Arial"/>
                <w:szCs w:val="18"/>
              </w:rPr>
              <w:t>E</w:t>
            </w:r>
            <w:r w:rsidRPr="00345819">
              <w:rPr>
                <w:rFonts w:cs="Arial"/>
                <w:szCs w:val="18"/>
                <w:vertAlign w:val="subscript"/>
              </w:rPr>
              <w:t>cap</w:t>
            </w:r>
            <w:proofErr w:type="spellEnd"/>
            <w:r w:rsidRPr="00345819">
              <w:rPr>
                <w:rFonts w:cs="Arial"/>
                <w:szCs w:val="18"/>
              </w:rPr>
              <w:t xml:space="preserve"> [GWh]</w:t>
            </w:r>
          </w:p>
        </w:tc>
        <w:tc>
          <w:tcPr>
            <w:tcW w:w="1418" w:type="dxa"/>
            <w:shd w:val="clear" w:color="auto" w:fill="FFFFFF"/>
          </w:tcPr>
          <w:p w14:paraId="60745ADB" w14:textId="77777777" w:rsidR="00662CB3" w:rsidRPr="00345819" w:rsidRDefault="00662CB3" w:rsidP="008E14F1">
            <w:pPr>
              <w:pStyle w:val="CETBodytext"/>
              <w:ind w:right="-1"/>
              <w:jc w:val="center"/>
              <w:rPr>
                <w:rFonts w:cs="Arial"/>
                <w:szCs w:val="18"/>
                <w:lang w:val="en-GB"/>
              </w:rPr>
            </w:pPr>
            <w:r w:rsidRPr="00454B01">
              <w:t>1017.251</w:t>
            </w:r>
          </w:p>
        </w:tc>
        <w:tc>
          <w:tcPr>
            <w:tcW w:w="1985" w:type="dxa"/>
            <w:shd w:val="clear" w:color="auto" w:fill="FFFFFF"/>
          </w:tcPr>
          <w:p w14:paraId="6ACE7872" w14:textId="77777777" w:rsidR="00662CB3" w:rsidRPr="00345819" w:rsidRDefault="00662CB3" w:rsidP="008E14F1">
            <w:pPr>
              <w:pStyle w:val="CETBodytext"/>
              <w:ind w:right="-1"/>
              <w:jc w:val="center"/>
              <w:rPr>
                <w:rFonts w:cs="Arial"/>
                <w:szCs w:val="18"/>
                <w:lang w:val="en-GB"/>
              </w:rPr>
            </w:pPr>
            <w:r w:rsidRPr="007A3435">
              <w:t>1318.601</w:t>
            </w:r>
          </w:p>
        </w:tc>
        <w:tc>
          <w:tcPr>
            <w:tcW w:w="1984" w:type="dxa"/>
            <w:shd w:val="clear" w:color="auto" w:fill="FFFFFF"/>
          </w:tcPr>
          <w:p w14:paraId="0DEF950B" w14:textId="77777777" w:rsidR="00662CB3" w:rsidRPr="00345819" w:rsidRDefault="00662CB3" w:rsidP="008E14F1">
            <w:pPr>
              <w:pStyle w:val="CETBodytext"/>
              <w:ind w:right="-1"/>
              <w:jc w:val="center"/>
              <w:rPr>
                <w:rFonts w:cs="Arial"/>
                <w:szCs w:val="18"/>
                <w:lang w:val="en-GB"/>
              </w:rPr>
            </w:pPr>
            <w:r w:rsidRPr="001137DD">
              <w:t>552.114</w:t>
            </w:r>
          </w:p>
        </w:tc>
        <w:tc>
          <w:tcPr>
            <w:tcW w:w="2268" w:type="dxa"/>
            <w:shd w:val="clear" w:color="auto" w:fill="FFFFFF"/>
          </w:tcPr>
          <w:p w14:paraId="3B358291" w14:textId="77777777" w:rsidR="00662CB3" w:rsidRPr="00345819" w:rsidRDefault="00662CB3" w:rsidP="008E14F1">
            <w:pPr>
              <w:pStyle w:val="CETBodytext"/>
              <w:ind w:right="-1"/>
              <w:jc w:val="center"/>
              <w:rPr>
                <w:rFonts w:cs="Arial"/>
                <w:szCs w:val="18"/>
                <w:lang w:val="en-GB"/>
              </w:rPr>
            </w:pPr>
            <w:r w:rsidRPr="00C42F7E">
              <w:t>552.114</w:t>
            </w:r>
          </w:p>
        </w:tc>
      </w:tr>
      <w:tr w:rsidR="00662CB3" w:rsidRPr="00B57B36" w14:paraId="7E3B8419" w14:textId="77777777" w:rsidTr="008E14F1">
        <w:tc>
          <w:tcPr>
            <w:tcW w:w="993" w:type="dxa"/>
            <w:shd w:val="clear" w:color="auto" w:fill="FFFFFF"/>
          </w:tcPr>
          <w:p w14:paraId="1138B713" w14:textId="77777777" w:rsidR="00662CB3" w:rsidRPr="00345819" w:rsidRDefault="00662CB3" w:rsidP="008E14F1">
            <w:pPr>
              <w:pStyle w:val="CETBodytext"/>
              <w:ind w:right="-1"/>
              <w:rPr>
                <w:rFonts w:cs="Arial"/>
                <w:szCs w:val="18"/>
              </w:rPr>
            </w:pPr>
            <w:proofErr w:type="spellStart"/>
            <w:r w:rsidRPr="00345819">
              <w:rPr>
                <w:rFonts w:cs="Arial"/>
                <w:szCs w:val="18"/>
              </w:rPr>
              <w:t>E</w:t>
            </w:r>
            <w:r w:rsidRPr="00345819">
              <w:rPr>
                <w:rFonts w:cs="Arial"/>
                <w:szCs w:val="18"/>
                <w:vertAlign w:val="subscript"/>
              </w:rPr>
              <w:t>o&amp;m</w:t>
            </w:r>
            <w:proofErr w:type="spellEnd"/>
            <w:r w:rsidRPr="00345819">
              <w:rPr>
                <w:rFonts w:cs="Arial"/>
                <w:szCs w:val="18"/>
              </w:rPr>
              <w:t xml:space="preserve"> [GWh]</w:t>
            </w:r>
          </w:p>
        </w:tc>
        <w:tc>
          <w:tcPr>
            <w:tcW w:w="1418" w:type="dxa"/>
            <w:shd w:val="clear" w:color="auto" w:fill="FFFFFF"/>
          </w:tcPr>
          <w:p w14:paraId="47D3FDDD" w14:textId="77777777" w:rsidR="00662CB3" w:rsidRPr="00345819" w:rsidRDefault="00662CB3" w:rsidP="008E14F1">
            <w:pPr>
              <w:pStyle w:val="CETBodytext"/>
              <w:ind w:right="-1"/>
              <w:jc w:val="center"/>
              <w:rPr>
                <w:rFonts w:cs="Arial"/>
                <w:szCs w:val="18"/>
              </w:rPr>
            </w:pPr>
            <w:r w:rsidRPr="00454B01">
              <w:t>956.216</w:t>
            </w:r>
          </w:p>
        </w:tc>
        <w:tc>
          <w:tcPr>
            <w:tcW w:w="1985" w:type="dxa"/>
            <w:shd w:val="clear" w:color="auto" w:fill="FFFFFF"/>
          </w:tcPr>
          <w:p w14:paraId="2ABED656" w14:textId="77777777" w:rsidR="00662CB3" w:rsidRPr="00345819" w:rsidRDefault="00662CB3" w:rsidP="008E14F1">
            <w:pPr>
              <w:pStyle w:val="CETBodytext"/>
              <w:ind w:right="-1"/>
              <w:jc w:val="center"/>
              <w:rPr>
                <w:rFonts w:cs="Arial"/>
                <w:szCs w:val="18"/>
              </w:rPr>
            </w:pPr>
            <w:r w:rsidRPr="007A3435">
              <w:t>791.161</w:t>
            </w:r>
          </w:p>
        </w:tc>
        <w:tc>
          <w:tcPr>
            <w:tcW w:w="1984" w:type="dxa"/>
            <w:shd w:val="clear" w:color="auto" w:fill="FFFFFF"/>
          </w:tcPr>
          <w:p w14:paraId="76316CEB" w14:textId="77777777" w:rsidR="00662CB3" w:rsidRPr="00345819" w:rsidRDefault="00662CB3" w:rsidP="008E14F1">
            <w:pPr>
              <w:pStyle w:val="CETBodytext"/>
              <w:ind w:right="-1"/>
              <w:jc w:val="center"/>
              <w:rPr>
                <w:rFonts w:cs="Arial"/>
                <w:szCs w:val="18"/>
              </w:rPr>
            </w:pPr>
            <w:r w:rsidRPr="001137DD">
              <w:t>220.846</w:t>
            </w:r>
          </w:p>
        </w:tc>
        <w:tc>
          <w:tcPr>
            <w:tcW w:w="2268" w:type="dxa"/>
            <w:shd w:val="clear" w:color="auto" w:fill="FFFFFF"/>
          </w:tcPr>
          <w:p w14:paraId="612C5EBE" w14:textId="77777777" w:rsidR="00662CB3" w:rsidRPr="00345819" w:rsidRDefault="00662CB3" w:rsidP="008E14F1">
            <w:pPr>
              <w:pStyle w:val="CETBodytext"/>
              <w:ind w:right="-1"/>
              <w:jc w:val="center"/>
              <w:rPr>
                <w:rFonts w:cs="Arial"/>
                <w:szCs w:val="18"/>
                <w:lang w:val="en-GB"/>
              </w:rPr>
            </w:pPr>
            <w:r w:rsidRPr="00C42F7E">
              <w:t>220.846</w:t>
            </w:r>
          </w:p>
        </w:tc>
      </w:tr>
      <w:tr w:rsidR="00662CB3" w:rsidRPr="00B57B36" w14:paraId="335BD0C7" w14:textId="77777777" w:rsidTr="008E14F1">
        <w:tc>
          <w:tcPr>
            <w:tcW w:w="993" w:type="dxa"/>
            <w:shd w:val="clear" w:color="auto" w:fill="FFFFFF"/>
          </w:tcPr>
          <w:p w14:paraId="4C47B48F" w14:textId="77777777" w:rsidR="00662CB3" w:rsidRPr="00345819" w:rsidRDefault="00662CB3" w:rsidP="008E14F1">
            <w:pPr>
              <w:pStyle w:val="CETBodytext"/>
              <w:ind w:right="-1"/>
              <w:rPr>
                <w:rFonts w:cs="Arial"/>
                <w:szCs w:val="18"/>
              </w:rPr>
            </w:pPr>
            <w:r w:rsidRPr="00345819">
              <w:rPr>
                <w:rFonts w:cs="Arial"/>
                <w:szCs w:val="18"/>
              </w:rPr>
              <w:t>E</w:t>
            </w:r>
            <w:r w:rsidRPr="00345819">
              <w:rPr>
                <w:rFonts w:cs="Arial"/>
                <w:szCs w:val="18"/>
                <w:vertAlign w:val="subscript"/>
              </w:rPr>
              <w:t>f</w:t>
            </w:r>
            <w:r w:rsidRPr="00345819">
              <w:rPr>
                <w:rFonts w:cs="Arial"/>
                <w:szCs w:val="18"/>
              </w:rPr>
              <w:t xml:space="preserve"> [GWh]</w:t>
            </w:r>
          </w:p>
        </w:tc>
        <w:tc>
          <w:tcPr>
            <w:tcW w:w="1418" w:type="dxa"/>
            <w:shd w:val="clear" w:color="auto" w:fill="FFFFFF"/>
          </w:tcPr>
          <w:p w14:paraId="75E6A6FD" w14:textId="77777777" w:rsidR="00662CB3" w:rsidRPr="00345819" w:rsidRDefault="00662CB3" w:rsidP="008E14F1">
            <w:pPr>
              <w:pStyle w:val="CETBodytext"/>
              <w:ind w:right="-1"/>
              <w:jc w:val="center"/>
              <w:rPr>
                <w:rFonts w:cs="Arial"/>
                <w:szCs w:val="18"/>
              </w:rPr>
            </w:pPr>
            <w:r w:rsidRPr="00454B01">
              <w:t>315.761</w:t>
            </w:r>
          </w:p>
        </w:tc>
        <w:tc>
          <w:tcPr>
            <w:tcW w:w="1985" w:type="dxa"/>
            <w:shd w:val="clear" w:color="auto" w:fill="FFFFFF"/>
          </w:tcPr>
          <w:p w14:paraId="2CA13E55" w14:textId="77777777" w:rsidR="00662CB3" w:rsidRPr="00345819" w:rsidRDefault="00662CB3" w:rsidP="008E14F1">
            <w:pPr>
              <w:pStyle w:val="CETBodytext"/>
              <w:ind w:right="-1"/>
              <w:jc w:val="center"/>
              <w:rPr>
                <w:rFonts w:cs="Arial"/>
                <w:szCs w:val="18"/>
              </w:rPr>
            </w:pPr>
            <w:r w:rsidRPr="007A3435">
              <w:t>300.001</w:t>
            </w:r>
          </w:p>
        </w:tc>
        <w:tc>
          <w:tcPr>
            <w:tcW w:w="1984" w:type="dxa"/>
            <w:shd w:val="clear" w:color="auto" w:fill="FFFFFF"/>
          </w:tcPr>
          <w:p w14:paraId="40E117A0" w14:textId="77777777" w:rsidR="00662CB3" w:rsidRPr="00345819" w:rsidRDefault="00662CB3" w:rsidP="008E14F1">
            <w:pPr>
              <w:pStyle w:val="CETBodytext"/>
              <w:ind w:right="-1"/>
              <w:jc w:val="center"/>
              <w:rPr>
                <w:rFonts w:cs="Arial"/>
                <w:szCs w:val="18"/>
              </w:rPr>
            </w:pPr>
            <w:r w:rsidRPr="001137DD">
              <w:t>335.325</w:t>
            </w:r>
          </w:p>
        </w:tc>
        <w:tc>
          <w:tcPr>
            <w:tcW w:w="2268" w:type="dxa"/>
            <w:shd w:val="clear" w:color="auto" w:fill="FFFFFF"/>
          </w:tcPr>
          <w:p w14:paraId="16541950" w14:textId="77777777" w:rsidR="00662CB3" w:rsidRPr="00345819" w:rsidRDefault="00662CB3" w:rsidP="008E14F1">
            <w:pPr>
              <w:pStyle w:val="CETBodytext"/>
              <w:ind w:right="-1"/>
              <w:jc w:val="center"/>
              <w:rPr>
                <w:rFonts w:cs="Arial"/>
                <w:szCs w:val="18"/>
                <w:lang w:val="en-GB"/>
              </w:rPr>
            </w:pPr>
            <w:r w:rsidRPr="00C42F7E">
              <w:t>220.608</w:t>
            </w:r>
          </w:p>
        </w:tc>
      </w:tr>
      <w:tr w:rsidR="00662CB3" w:rsidRPr="00B57B36" w14:paraId="772409E3" w14:textId="77777777" w:rsidTr="008E14F1">
        <w:tc>
          <w:tcPr>
            <w:tcW w:w="993" w:type="dxa"/>
            <w:shd w:val="clear" w:color="auto" w:fill="FFFFFF"/>
          </w:tcPr>
          <w:p w14:paraId="64653D67" w14:textId="77777777" w:rsidR="00662CB3" w:rsidRPr="00345819" w:rsidRDefault="00662CB3" w:rsidP="008E14F1">
            <w:pPr>
              <w:pStyle w:val="CETBodytext"/>
              <w:ind w:right="-1"/>
              <w:rPr>
                <w:rFonts w:cs="Arial"/>
                <w:szCs w:val="18"/>
              </w:rPr>
            </w:pPr>
            <w:r w:rsidRPr="00345819">
              <w:rPr>
                <w:rFonts w:cs="Arial"/>
                <w:szCs w:val="18"/>
              </w:rPr>
              <w:t>EROEI</w:t>
            </w:r>
          </w:p>
        </w:tc>
        <w:tc>
          <w:tcPr>
            <w:tcW w:w="1418" w:type="dxa"/>
            <w:shd w:val="clear" w:color="auto" w:fill="FFFFFF"/>
          </w:tcPr>
          <w:p w14:paraId="1AF193D4" w14:textId="77777777" w:rsidR="00662CB3" w:rsidRPr="00345819" w:rsidRDefault="00662CB3" w:rsidP="008E14F1">
            <w:pPr>
              <w:pStyle w:val="CETBodytext"/>
              <w:ind w:right="-1"/>
              <w:jc w:val="center"/>
              <w:rPr>
                <w:rFonts w:cs="Arial"/>
                <w:szCs w:val="18"/>
              </w:rPr>
            </w:pPr>
            <w:r w:rsidRPr="00BC7191">
              <w:t>1.99</w:t>
            </w:r>
          </w:p>
        </w:tc>
        <w:tc>
          <w:tcPr>
            <w:tcW w:w="1985" w:type="dxa"/>
            <w:shd w:val="clear" w:color="auto" w:fill="FFFFFF"/>
          </w:tcPr>
          <w:p w14:paraId="40C0E5B6" w14:textId="77777777" w:rsidR="00662CB3" w:rsidRPr="00345819" w:rsidRDefault="00662CB3" w:rsidP="008E14F1">
            <w:pPr>
              <w:pStyle w:val="CETBodytext"/>
              <w:ind w:right="-1"/>
              <w:jc w:val="center"/>
              <w:rPr>
                <w:rFonts w:cs="Arial"/>
                <w:szCs w:val="18"/>
              </w:rPr>
            </w:pPr>
            <w:r w:rsidRPr="00BC7191">
              <w:t>1.63</w:t>
            </w:r>
          </w:p>
        </w:tc>
        <w:tc>
          <w:tcPr>
            <w:tcW w:w="1984" w:type="dxa"/>
            <w:shd w:val="clear" w:color="auto" w:fill="FFFFFF"/>
          </w:tcPr>
          <w:p w14:paraId="43394BB6" w14:textId="77777777" w:rsidR="00662CB3" w:rsidRPr="00345819" w:rsidRDefault="00662CB3" w:rsidP="008E14F1">
            <w:pPr>
              <w:pStyle w:val="CETBodytext"/>
              <w:ind w:right="-1"/>
              <w:jc w:val="center"/>
              <w:rPr>
                <w:rFonts w:cs="Arial"/>
                <w:szCs w:val="18"/>
              </w:rPr>
            </w:pPr>
            <w:r w:rsidRPr="00BC7191">
              <w:t>6.05</w:t>
            </w:r>
          </w:p>
        </w:tc>
        <w:tc>
          <w:tcPr>
            <w:tcW w:w="2268" w:type="dxa"/>
            <w:shd w:val="clear" w:color="auto" w:fill="FFFFFF"/>
          </w:tcPr>
          <w:p w14:paraId="081A61BB" w14:textId="77777777" w:rsidR="00662CB3" w:rsidRPr="00345819" w:rsidRDefault="00662CB3" w:rsidP="008E14F1">
            <w:pPr>
              <w:pStyle w:val="CETBodytext"/>
              <w:ind w:right="-1"/>
              <w:jc w:val="center"/>
              <w:rPr>
                <w:rFonts w:cs="Arial"/>
                <w:szCs w:val="18"/>
                <w:lang w:val="en-GB"/>
              </w:rPr>
            </w:pPr>
            <w:r w:rsidRPr="00BC7191">
              <w:t>6.75</w:t>
            </w:r>
          </w:p>
        </w:tc>
      </w:tr>
      <w:tr w:rsidR="00662CB3" w:rsidRPr="00B57B36" w14:paraId="456D3F65" w14:textId="77777777" w:rsidTr="008E14F1">
        <w:tc>
          <w:tcPr>
            <w:tcW w:w="993" w:type="dxa"/>
            <w:shd w:val="clear" w:color="auto" w:fill="FFFFFF"/>
          </w:tcPr>
          <w:p w14:paraId="3C9C4A31" w14:textId="77777777" w:rsidR="00662CB3" w:rsidRPr="00345819" w:rsidRDefault="00662CB3" w:rsidP="008E14F1">
            <w:pPr>
              <w:pStyle w:val="CETBodytext"/>
              <w:ind w:right="-1"/>
              <w:rPr>
                <w:rFonts w:cs="Arial"/>
                <w:szCs w:val="18"/>
              </w:rPr>
            </w:pPr>
            <w:r w:rsidRPr="00345819">
              <w:rPr>
                <w:rFonts w:cs="Arial"/>
                <w:szCs w:val="18"/>
              </w:rPr>
              <w:t>LCOH</w:t>
            </w:r>
          </w:p>
        </w:tc>
        <w:tc>
          <w:tcPr>
            <w:tcW w:w="1418" w:type="dxa"/>
            <w:shd w:val="clear" w:color="auto" w:fill="FFFFFF"/>
          </w:tcPr>
          <w:p w14:paraId="52D71609" w14:textId="77777777" w:rsidR="00662CB3" w:rsidRPr="00345819" w:rsidRDefault="00662CB3" w:rsidP="008E14F1">
            <w:pPr>
              <w:pStyle w:val="CETBodytext"/>
              <w:ind w:right="-1"/>
              <w:jc w:val="center"/>
              <w:rPr>
                <w:rFonts w:cs="Arial"/>
                <w:szCs w:val="18"/>
              </w:rPr>
            </w:pPr>
            <w:r w:rsidRPr="00E877B2">
              <w:t>2.15</w:t>
            </w:r>
          </w:p>
        </w:tc>
        <w:tc>
          <w:tcPr>
            <w:tcW w:w="1985" w:type="dxa"/>
            <w:shd w:val="clear" w:color="auto" w:fill="FFFFFF"/>
          </w:tcPr>
          <w:p w14:paraId="2075481D" w14:textId="77777777" w:rsidR="00662CB3" w:rsidRPr="00345819" w:rsidRDefault="00662CB3" w:rsidP="008E14F1">
            <w:pPr>
              <w:pStyle w:val="CETBodytext"/>
              <w:ind w:right="-1"/>
              <w:jc w:val="center"/>
              <w:rPr>
                <w:rFonts w:cs="Arial"/>
                <w:szCs w:val="18"/>
              </w:rPr>
            </w:pPr>
            <w:r w:rsidRPr="00E877B2">
              <w:t>3.23</w:t>
            </w:r>
          </w:p>
        </w:tc>
        <w:tc>
          <w:tcPr>
            <w:tcW w:w="1984" w:type="dxa"/>
            <w:shd w:val="clear" w:color="auto" w:fill="FFFFFF"/>
          </w:tcPr>
          <w:p w14:paraId="4E5C4924" w14:textId="77777777" w:rsidR="00662CB3" w:rsidRPr="00345819" w:rsidRDefault="00662CB3" w:rsidP="008E14F1">
            <w:pPr>
              <w:pStyle w:val="CETBodytext"/>
              <w:ind w:right="-1"/>
              <w:jc w:val="center"/>
              <w:rPr>
                <w:rFonts w:cs="Arial"/>
                <w:szCs w:val="18"/>
              </w:rPr>
            </w:pPr>
            <w:r w:rsidRPr="00E877B2">
              <w:t>5.12</w:t>
            </w:r>
          </w:p>
        </w:tc>
        <w:tc>
          <w:tcPr>
            <w:tcW w:w="2268" w:type="dxa"/>
            <w:shd w:val="clear" w:color="auto" w:fill="FFFFFF"/>
          </w:tcPr>
          <w:p w14:paraId="456EC44B" w14:textId="77777777" w:rsidR="00662CB3" w:rsidRPr="00DD3D1A" w:rsidRDefault="00662CB3" w:rsidP="008E14F1">
            <w:pPr>
              <w:pStyle w:val="CETBodytext"/>
              <w:ind w:right="-1"/>
              <w:jc w:val="center"/>
            </w:pPr>
            <w:r w:rsidRPr="00E877B2">
              <w:t>5.49</w:t>
            </w:r>
          </w:p>
        </w:tc>
      </w:tr>
    </w:tbl>
    <w:p w14:paraId="0B25F0D8" w14:textId="77777777" w:rsidR="00662CB3" w:rsidRDefault="00662CB3" w:rsidP="00662CB3"/>
    <w:p w14:paraId="53723E51" w14:textId="0F138977" w:rsidR="00E863E9" w:rsidRDefault="00784897" w:rsidP="005548DB">
      <w:r>
        <w:t>Calculations</w:t>
      </w:r>
      <w:r w:rsidR="005548DB">
        <w:t xml:space="preserve"> reported in </w:t>
      </w:r>
      <w:r w:rsidR="00556484">
        <w:t>T</w:t>
      </w:r>
      <w:r w:rsidR="005548DB">
        <w:t xml:space="preserve">able 4 </w:t>
      </w:r>
      <w:r>
        <w:t>a</w:t>
      </w:r>
      <w:r w:rsidR="005548DB">
        <w:t xml:space="preserve">re reasonable in terms of Energy in and energy </w:t>
      </w:r>
      <w:r>
        <w:t>o</w:t>
      </w:r>
      <w:r w:rsidR="005548DB">
        <w:t xml:space="preserve">ut from the </w:t>
      </w:r>
      <w:r>
        <w:t>processes</w:t>
      </w:r>
      <w:r w:rsidR="005548DB">
        <w:t xml:space="preserve">. </w:t>
      </w:r>
    </w:p>
    <w:p w14:paraId="545F4339" w14:textId="77777777" w:rsidR="00E863E9" w:rsidRDefault="005548DB" w:rsidP="005548DB">
      <w:r>
        <w:t>The values of EROEI predicted are in line with the literature values reported by Ca</w:t>
      </w:r>
      <w:r w:rsidR="00E42D31">
        <w:t>m</w:t>
      </w:r>
      <w:r>
        <w:t>acho et al. (2018)</w:t>
      </w:r>
      <w:r w:rsidR="00784897">
        <w:t>:</w:t>
      </w:r>
      <w:r>
        <w:t xml:space="preserve"> SMR EROEI </w:t>
      </w:r>
      <w:r w:rsidR="00784897">
        <w:t>=</w:t>
      </w:r>
      <w:r>
        <w:t xml:space="preserve"> 2.5 and PV supplied electrolyser EROEI </w:t>
      </w:r>
      <w:r w:rsidR="00784897">
        <w:t>=</w:t>
      </w:r>
      <w:r>
        <w:t xml:space="preserve"> 5.2. </w:t>
      </w:r>
    </w:p>
    <w:p w14:paraId="3423DBC8" w14:textId="58DDE9CD" w:rsidR="00E863E9" w:rsidRDefault="005548DB" w:rsidP="005548DB">
      <w:r>
        <w:t xml:space="preserve">The LCOH values are in line with those reported by the Fuel </w:t>
      </w:r>
      <w:r w:rsidR="00784897">
        <w:t>C</w:t>
      </w:r>
      <w:r>
        <w:t xml:space="preserve">ells and </w:t>
      </w:r>
      <w:r w:rsidR="00784897">
        <w:t>H</w:t>
      </w:r>
      <w:r>
        <w:t xml:space="preserve">ydrogen </w:t>
      </w:r>
      <w:r w:rsidR="00784897">
        <w:t>O</w:t>
      </w:r>
      <w:r>
        <w:t>bservatory (2022) for PV supplied (</w:t>
      </w:r>
      <w:r w:rsidR="00784897">
        <w:t>5.3) and for grid supplied electrolyser (5.5)</w:t>
      </w:r>
      <w:r>
        <w:t>.</w:t>
      </w:r>
      <w:r w:rsidR="00E863E9">
        <w:t xml:space="preserve"> </w:t>
      </w:r>
    </w:p>
    <w:p w14:paraId="492EE9F0" w14:textId="7DBF6F75" w:rsidR="005548DB" w:rsidRDefault="00E863E9" w:rsidP="005548DB">
      <w:r>
        <w:t xml:space="preserve">EROEI and LCOH shows that the best technology in terms of energy and cost impact is the hydrogen produced by electrolysis using energy from photovoltaic modules. </w:t>
      </w:r>
    </w:p>
    <w:p w14:paraId="781ED0FC" w14:textId="34685A60" w:rsidR="009E6BB3" w:rsidRDefault="009E6BB3" w:rsidP="009E6BB3">
      <w:r w:rsidRPr="00252D36">
        <w:t xml:space="preserve">Concerning LCA, Life Cycle </w:t>
      </w:r>
      <w:r>
        <w:t xml:space="preserve">Inventory of secondary data has been retrieved within ecoinvent database and LCIA has been performed using </w:t>
      </w:r>
      <w:r w:rsidR="00F46DE7">
        <w:t xml:space="preserve">EF </w:t>
      </w:r>
      <w:r>
        <w:t xml:space="preserve">impact categories. Figure 3 reports the results normalized to the highest score for each impact category. </w:t>
      </w:r>
      <w:r w:rsidR="00191A17">
        <w:t xml:space="preserve">Climate Change (CC) is strongly reduced using green hydrogen in comparison with the other ones. Water-related impact categories are mainly affected by raw-material extraction for construction of renewable technologies and electricity distribution network. Air-related impact categories are driven by emissions during fossil fuel combustion, therefore green hydrogen exhibits the best performances. </w:t>
      </w:r>
    </w:p>
    <w:p w14:paraId="51444690" w14:textId="72681A69" w:rsidR="009E6BB3" w:rsidRDefault="00826211" w:rsidP="00191A17">
      <w:pPr>
        <w:jc w:val="center"/>
      </w:pPr>
      <w:r>
        <w:rPr>
          <w:noProof/>
        </w:rPr>
        <w:lastRenderedPageBreak/>
        <w:drawing>
          <wp:inline distT="0" distB="0" distL="0" distR="0" wp14:anchorId="559A689F" wp14:editId="258C239F">
            <wp:extent cx="5283200" cy="229442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957" cy="2329066"/>
                    </a:xfrm>
                    <a:prstGeom prst="rect">
                      <a:avLst/>
                    </a:prstGeom>
                    <a:noFill/>
                  </pic:spPr>
                </pic:pic>
              </a:graphicData>
            </a:graphic>
          </wp:inline>
        </w:drawing>
      </w:r>
    </w:p>
    <w:p w14:paraId="3A0DD929" w14:textId="57CD8A71" w:rsidR="009E6BB3" w:rsidRDefault="009E6BB3" w:rsidP="009E6BB3">
      <w:pPr>
        <w:pStyle w:val="CETCaption"/>
        <w:jc w:val="left"/>
      </w:pPr>
      <w:r>
        <w:t>Figure 3. Normalized LCIA results for the considered hydrogen production routes.</w:t>
      </w:r>
    </w:p>
    <w:p w14:paraId="68D26B83" w14:textId="77777777" w:rsidR="00600535" w:rsidRPr="00B57B36" w:rsidRDefault="00600535" w:rsidP="00600535">
      <w:pPr>
        <w:pStyle w:val="CETHeading1"/>
        <w:rPr>
          <w:lang w:val="en-GB"/>
        </w:rPr>
      </w:pPr>
      <w:r w:rsidRPr="00B57B36">
        <w:rPr>
          <w:lang w:val="en-GB"/>
        </w:rPr>
        <w:t>Conclusions</w:t>
      </w:r>
    </w:p>
    <w:p w14:paraId="23FA3BE6" w14:textId="69990633" w:rsidR="002F4A13" w:rsidRDefault="009E6BB3" w:rsidP="00516194">
      <w:r>
        <w:rPr>
          <w:lang w:val="en-US"/>
        </w:rPr>
        <w:t xml:space="preserve">Four hydrogen production processes have been simulated and the results of the simulations are used for the estimation of the indicators of interest; </w:t>
      </w:r>
      <w:r w:rsidRPr="002F4A13">
        <w:rPr>
          <w:lang w:val="en-US"/>
        </w:rPr>
        <w:t xml:space="preserve">EROEI, LCOE, </w:t>
      </w:r>
      <w:r>
        <w:rPr>
          <w:lang w:val="en-US"/>
        </w:rPr>
        <w:t>and</w:t>
      </w:r>
      <w:r w:rsidRPr="002F4A13">
        <w:rPr>
          <w:lang w:val="en-US"/>
        </w:rPr>
        <w:t xml:space="preserve"> LCA. The integration of indicators’ evaluation </w:t>
      </w:r>
      <w:r>
        <w:rPr>
          <w:lang w:val="en-US"/>
        </w:rPr>
        <w:t>with</w:t>
      </w:r>
      <w:r w:rsidRPr="002F4A13">
        <w:rPr>
          <w:lang w:val="en-US"/>
        </w:rPr>
        <w:t xml:space="preserve"> </w:t>
      </w:r>
      <w:r>
        <w:rPr>
          <w:lang w:val="en-US"/>
        </w:rPr>
        <w:t>process simulation</w:t>
      </w:r>
      <w:r w:rsidRPr="002F4A13">
        <w:rPr>
          <w:lang w:val="en-US"/>
        </w:rPr>
        <w:t xml:space="preserve"> produces a double benefit: </w:t>
      </w:r>
      <w:r>
        <w:rPr>
          <w:lang w:val="en-US"/>
        </w:rPr>
        <w:t>(</w:t>
      </w:r>
      <w:proofErr w:type="spellStart"/>
      <w:r w:rsidRPr="002F4A13">
        <w:rPr>
          <w:lang w:val="en-US"/>
        </w:rPr>
        <w:t>i</w:t>
      </w:r>
      <w:proofErr w:type="spellEnd"/>
      <w:r w:rsidRPr="002F4A13">
        <w:rPr>
          <w:lang w:val="en-US"/>
        </w:rPr>
        <w:t xml:space="preserve">) we extended the scope of </w:t>
      </w:r>
      <w:r>
        <w:rPr>
          <w:lang w:val="en-US"/>
        </w:rPr>
        <w:t>process simulation</w:t>
      </w:r>
      <w:r w:rsidRPr="002F4A13">
        <w:rPr>
          <w:lang w:val="en-US"/>
        </w:rPr>
        <w:t xml:space="preserve"> by considering</w:t>
      </w:r>
      <w:r>
        <w:rPr>
          <w:lang w:val="en-US"/>
        </w:rPr>
        <w:t xml:space="preserve"> up-to-date indicators of impact on energy, economy and environment and (</w:t>
      </w:r>
      <w:r w:rsidRPr="002F4A13">
        <w:rPr>
          <w:lang w:val="en-US"/>
        </w:rPr>
        <w:t xml:space="preserve">ii) </w:t>
      </w:r>
      <w:r>
        <w:rPr>
          <w:lang w:val="en-US"/>
        </w:rPr>
        <w:t xml:space="preserve">process evaluation may be performed at design time. The </w:t>
      </w:r>
      <w:r w:rsidR="00985B65">
        <w:t>v</w:t>
      </w:r>
      <w:r w:rsidR="00516194" w:rsidRPr="00636F37">
        <w:t>alues of the key performance indicators</w:t>
      </w:r>
      <w:r>
        <w:t xml:space="preserve"> shown in </w:t>
      </w:r>
      <w:r w:rsidR="005D3F21">
        <w:t>T</w:t>
      </w:r>
      <w:r>
        <w:t>able 4</w:t>
      </w:r>
      <w:r w:rsidR="005D3F21">
        <w:t xml:space="preserve"> </w:t>
      </w:r>
      <w:r>
        <w:t xml:space="preserve">and </w:t>
      </w:r>
      <w:r w:rsidR="005D3F21">
        <w:t>F</w:t>
      </w:r>
      <w:r>
        <w:t>igure 3</w:t>
      </w:r>
      <w:r w:rsidR="00516194" w:rsidRPr="00636F37">
        <w:t>, indicates that the best route for producing hydrogen in terms of global impact is the green hydrogen</w:t>
      </w:r>
      <w:r w:rsidR="002F4A13">
        <w:t>, based on electrolysis of water.</w:t>
      </w:r>
    </w:p>
    <w:p w14:paraId="4F1327F8" w14:textId="77777777" w:rsidR="00600535" w:rsidRPr="00B57B36" w:rsidRDefault="00600535" w:rsidP="00600535">
      <w:pPr>
        <w:pStyle w:val="CETReference"/>
      </w:pPr>
      <w:r w:rsidRPr="00B57B36">
        <w:t>References</w:t>
      </w:r>
    </w:p>
    <w:p w14:paraId="2B7C92F2" w14:textId="77777777" w:rsidR="000B7C7C" w:rsidRPr="00B03993" w:rsidRDefault="000B7C7C" w:rsidP="001C405C">
      <w:pPr>
        <w:pStyle w:val="CETReferencetext"/>
      </w:pPr>
      <w:r w:rsidRPr="00B03993">
        <w:t xml:space="preserve">Barbera, E., Mio, A., </w:t>
      </w:r>
      <w:proofErr w:type="spellStart"/>
      <w:r w:rsidRPr="00B03993">
        <w:t>Massi</w:t>
      </w:r>
      <w:proofErr w:type="spellEnd"/>
      <w:r w:rsidRPr="00B03993">
        <w:t xml:space="preserve"> Pavan, A., Bertucco, A., &amp; Fermeglia, M. 2022, </w:t>
      </w:r>
      <w:r w:rsidRPr="001E5F23">
        <w:t>Fuelling power plants by natural gas: An analysis of energy efficiency, economical aspects and environmental footprint based on detailed process simulation of the whole carbon capture and storage system</w:t>
      </w:r>
      <w:r>
        <w:t>,</w:t>
      </w:r>
      <w:r w:rsidRPr="001E5F23">
        <w:t xml:space="preserve"> </w:t>
      </w:r>
      <w:r w:rsidRPr="00B03993">
        <w:t>Energy Conversion and Management</w:t>
      </w:r>
      <w:r>
        <w:t>,</w:t>
      </w:r>
      <w:r w:rsidRPr="00B03993">
        <w:t xml:space="preserve"> 252;115072;2022</w:t>
      </w:r>
      <w:r>
        <w:t>.</w:t>
      </w:r>
    </w:p>
    <w:p w14:paraId="651E1CE3" w14:textId="77777777" w:rsidR="000B7C7C" w:rsidRDefault="000B7C7C" w:rsidP="001E5F23">
      <w:pPr>
        <w:pStyle w:val="CETReferencetext"/>
      </w:pPr>
      <w:proofErr w:type="spellStart"/>
      <w:r>
        <w:t>Buttler</w:t>
      </w:r>
      <w:proofErr w:type="spellEnd"/>
      <w:r>
        <w:t xml:space="preserve"> A., </w:t>
      </w:r>
      <w:proofErr w:type="spellStart"/>
      <w:r>
        <w:t>Spliethoff</w:t>
      </w:r>
      <w:proofErr w:type="spellEnd"/>
      <w:r>
        <w:t xml:space="preserve"> H., 2018, Current status of water electrolysis for energy storage, grid balancing and sector coupling via power-to-gas and power-to-liquids: A review, Renewable and Sustainable Energy Reviews, 82, 2440-2454. </w:t>
      </w:r>
    </w:p>
    <w:p w14:paraId="08B8AF07" w14:textId="274000C7" w:rsidR="00E42D31" w:rsidRDefault="00E42D31" w:rsidP="00E42D31">
      <w:pPr>
        <w:pStyle w:val="CETReferencetext"/>
      </w:pPr>
      <w:r w:rsidRPr="00E42D31">
        <w:t xml:space="preserve">Camacho C.E.G, </w:t>
      </w:r>
      <w:proofErr w:type="spellStart"/>
      <w:r w:rsidRPr="00E42D31">
        <w:t>Lombardelli</w:t>
      </w:r>
      <w:proofErr w:type="spellEnd"/>
      <w:r w:rsidRPr="00E42D31">
        <w:t xml:space="preserve"> G., </w:t>
      </w:r>
      <w:proofErr w:type="spellStart"/>
      <w:r w:rsidRPr="00E42D31">
        <w:t>Pirone</w:t>
      </w:r>
      <w:proofErr w:type="spellEnd"/>
      <w:r w:rsidRPr="00E42D31">
        <w:t xml:space="preserve"> R., Ruggeri B., 2018, Energy sustainability analysis of dis</w:t>
      </w:r>
      <w:r>
        <w:t xml:space="preserve">tributed H2 production, ISCRE25, Florence May2018. </w:t>
      </w:r>
    </w:p>
    <w:p w14:paraId="4F471B89" w14:textId="77777777" w:rsidR="000B7C7C" w:rsidRDefault="000B7C7C" w:rsidP="00BE74B1">
      <w:pPr>
        <w:pStyle w:val="CETReferencetext"/>
      </w:pPr>
      <w:r w:rsidRPr="00514A2E">
        <w:rPr>
          <w:szCs w:val="18"/>
        </w:rPr>
        <w:t xml:space="preserve">Fan, </w:t>
      </w:r>
      <w:proofErr w:type="gramStart"/>
      <w:r w:rsidRPr="00514A2E">
        <w:rPr>
          <w:szCs w:val="18"/>
        </w:rPr>
        <w:t xml:space="preserve">J. </w:t>
      </w:r>
      <w:r w:rsidRPr="001434F2">
        <w:rPr>
          <w:szCs w:val="18"/>
        </w:rPr>
        <w:t>,</w:t>
      </w:r>
      <w:proofErr w:type="gramEnd"/>
      <w:r w:rsidRPr="001434F2">
        <w:rPr>
          <w:szCs w:val="18"/>
        </w:rPr>
        <w:t xml:space="preserve"> Yu</w:t>
      </w:r>
      <w:r w:rsidRPr="00514A2E">
        <w:rPr>
          <w:szCs w:val="18"/>
        </w:rPr>
        <w:t>, P., Li</w:t>
      </w:r>
      <w:r>
        <w:rPr>
          <w:szCs w:val="18"/>
        </w:rPr>
        <w:t xml:space="preserve">, K., Xu, M., Zhang, X., 2022, </w:t>
      </w:r>
      <w:r w:rsidRPr="00514A2E">
        <w:rPr>
          <w:szCs w:val="18"/>
          <w:lang w:val="en-US"/>
        </w:rPr>
        <w:t>A levelized cost of hydrogen (LCOH) comparison of coal-to-hydrogen</w:t>
      </w:r>
      <w:r>
        <w:rPr>
          <w:szCs w:val="18"/>
          <w:lang w:val="en-US"/>
        </w:rPr>
        <w:t xml:space="preserve"> </w:t>
      </w:r>
      <w:r w:rsidRPr="00514A2E">
        <w:rPr>
          <w:szCs w:val="18"/>
          <w:lang w:val="en-US"/>
        </w:rPr>
        <w:t>with CCS and water electrolysis powered by renewable energy in</w:t>
      </w:r>
      <w:r>
        <w:rPr>
          <w:szCs w:val="18"/>
          <w:lang w:val="en-US"/>
        </w:rPr>
        <w:t xml:space="preserve"> </w:t>
      </w:r>
      <w:r w:rsidRPr="00514A2E">
        <w:rPr>
          <w:szCs w:val="18"/>
          <w:lang w:val="en-US"/>
        </w:rPr>
        <w:t>China</w:t>
      </w:r>
      <w:r>
        <w:rPr>
          <w:szCs w:val="18"/>
          <w:lang w:val="en-US"/>
        </w:rPr>
        <w:t xml:space="preserve">, Energy, 242, </w:t>
      </w:r>
      <w:r>
        <w:t>123003.</w:t>
      </w:r>
    </w:p>
    <w:p w14:paraId="404598E3" w14:textId="77777777" w:rsidR="00C15FB6" w:rsidRPr="00E42D31" w:rsidRDefault="00C15FB6" w:rsidP="00C15FB6">
      <w:pPr>
        <w:pStyle w:val="CETReferencetext"/>
      </w:pPr>
      <w:r>
        <w:t xml:space="preserve">Fuel Cell and Hydrogen Observatory, 2022, </w:t>
      </w:r>
      <w:proofErr w:type="spellStart"/>
      <w:r>
        <w:t>Technologyand</w:t>
      </w:r>
      <w:proofErr w:type="spellEnd"/>
      <w:r>
        <w:t xml:space="preserve"> Market, Levelized cost of hydrogen </w:t>
      </w:r>
      <w:hyperlink r:id="rId15" w:history="1">
        <w:r w:rsidRPr="005706A9">
          <w:rPr>
            <w:rStyle w:val="Collegamentoipertestuale"/>
          </w:rPr>
          <w:t>https://www.fchobservatory.eu/observatory/</w:t>
        </w:r>
      </w:hyperlink>
      <w:r>
        <w:t xml:space="preserve"> . </w:t>
      </w:r>
    </w:p>
    <w:p w14:paraId="75F84643" w14:textId="77777777" w:rsidR="000B7C7C" w:rsidRPr="0036289F" w:rsidRDefault="000B7C7C" w:rsidP="0036289F">
      <w:pPr>
        <w:pStyle w:val="CETReferencetext"/>
      </w:pPr>
      <w:r w:rsidRPr="0036289F">
        <w:t>Hall, C.A.S.; Lambert, J.G.; Balogh, S.B.</w:t>
      </w:r>
      <w:r>
        <w:t>,</w:t>
      </w:r>
      <w:r w:rsidRPr="0036289F">
        <w:t xml:space="preserve"> 2014</w:t>
      </w:r>
      <w:r>
        <w:t>,</w:t>
      </w:r>
      <w:r w:rsidRPr="0036289F">
        <w:t xml:space="preserve"> EROI of different fuels and the implications for society</w:t>
      </w:r>
      <w:r>
        <w:t>,</w:t>
      </w:r>
      <w:r w:rsidRPr="0036289F">
        <w:t xml:space="preserve"> Energy Policy, 64, 141–152.</w:t>
      </w:r>
    </w:p>
    <w:p w14:paraId="50AC5CF8" w14:textId="77777777" w:rsidR="000B7C7C" w:rsidRDefault="000B7C7C" w:rsidP="001C405C">
      <w:pPr>
        <w:pStyle w:val="CETReferencetext"/>
      </w:pPr>
      <w:r>
        <w:rPr>
          <w:noProof/>
        </w:rPr>
        <w:t xml:space="preserve">ISO, </w:t>
      </w:r>
      <w:r w:rsidRPr="00E974C1">
        <w:rPr>
          <w:noProof/>
        </w:rPr>
        <w:t>The International Standards Organisation. ISO 14044</w:t>
      </w:r>
      <w:r>
        <w:rPr>
          <w:noProof/>
        </w:rPr>
        <w:t>, 2021,</w:t>
      </w:r>
      <w:r w:rsidRPr="00E974C1">
        <w:rPr>
          <w:noProof/>
        </w:rPr>
        <w:t xml:space="preserve"> Environmental management - Life cycle assessment - Requirements and guidelines.</w:t>
      </w:r>
      <w:r>
        <w:rPr>
          <w:noProof/>
        </w:rPr>
        <w:t xml:space="preserve"> </w:t>
      </w:r>
    </w:p>
    <w:p w14:paraId="7F776DD5" w14:textId="77777777" w:rsidR="000B7C7C" w:rsidRPr="00E974C1" w:rsidRDefault="000B7C7C" w:rsidP="00C67217">
      <w:pPr>
        <w:widowControl w:val="0"/>
        <w:autoSpaceDE w:val="0"/>
        <w:autoSpaceDN w:val="0"/>
        <w:adjustRightInd w:val="0"/>
        <w:spacing w:line="240" w:lineRule="auto"/>
        <w:ind w:left="640" w:hanging="640"/>
        <w:rPr>
          <w:noProof/>
        </w:rPr>
      </w:pPr>
      <w:r w:rsidRPr="00E974C1">
        <w:rPr>
          <w:noProof/>
        </w:rPr>
        <w:t>King LC, Van Den Bergh J</w:t>
      </w:r>
      <w:r>
        <w:rPr>
          <w:noProof/>
        </w:rPr>
        <w:t>.</w:t>
      </w:r>
      <w:r w:rsidRPr="00E974C1">
        <w:rPr>
          <w:noProof/>
        </w:rPr>
        <w:t>C</w:t>
      </w:r>
      <w:r>
        <w:rPr>
          <w:noProof/>
        </w:rPr>
        <w:t xml:space="preserve"> </w:t>
      </w:r>
      <w:r w:rsidRPr="00E974C1">
        <w:rPr>
          <w:noProof/>
        </w:rPr>
        <w:t>J</w:t>
      </w:r>
      <w:r>
        <w:rPr>
          <w:noProof/>
        </w:rPr>
        <w:t>.</w:t>
      </w:r>
      <w:r w:rsidRPr="00E974C1">
        <w:rPr>
          <w:noProof/>
        </w:rPr>
        <w:t>M.</w:t>
      </w:r>
      <w:r>
        <w:rPr>
          <w:noProof/>
        </w:rPr>
        <w:t>, 2018,</w:t>
      </w:r>
      <w:r w:rsidRPr="00E974C1">
        <w:rPr>
          <w:noProof/>
        </w:rPr>
        <w:t xml:space="preserve"> Implications of net energy-return-on-investment for a low-carbon energy transition. Nat</w:t>
      </w:r>
      <w:r>
        <w:rPr>
          <w:noProof/>
        </w:rPr>
        <w:t>ure</w:t>
      </w:r>
      <w:r w:rsidRPr="00E974C1">
        <w:rPr>
          <w:noProof/>
        </w:rPr>
        <w:t xml:space="preserve"> Energy</w:t>
      </w:r>
      <w:r>
        <w:rPr>
          <w:noProof/>
        </w:rPr>
        <w:t>,</w:t>
      </w:r>
      <w:r w:rsidRPr="00E974C1">
        <w:rPr>
          <w:noProof/>
        </w:rPr>
        <w:t xml:space="preserve"> 3</w:t>
      </w:r>
      <w:r>
        <w:rPr>
          <w:noProof/>
        </w:rPr>
        <w:t xml:space="preserve">, </w:t>
      </w:r>
      <w:r w:rsidRPr="00E974C1">
        <w:rPr>
          <w:noProof/>
        </w:rPr>
        <w:t>334–</w:t>
      </w:r>
      <w:r>
        <w:rPr>
          <w:noProof/>
        </w:rPr>
        <w:t>3</w:t>
      </w:r>
      <w:r w:rsidRPr="00E974C1">
        <w:rPr>
          <w:noProof/>
        </w:rPr>
        <w:t>40.</w:t>
      </w:r>
    </w:p>
    <w:p w14:paraId="23BD791F" w14:textId="77777777" w:rsidR="000B7C7C" w:rsidRDefault="000B7C7C" w:rsidP="001C405C">
      <w:pPr>
        <w:pStyle w:val="CETReferencetext"/>
      </w:pPr>
      <w:proofErr w:type="spellStart"/>
      <w:r w:rsidRPr="00B03993">
        <w:t>Minutillo</w:t>
      </w:r>
      <w:proofErr w:type="spellEnd"/>
      <w:r w:rsidRPr="00B03993">
        <w:t xml:space="preserve"> M., </w:t>
      </w:r>
      <w:proofErr w:type="spellStart"/>
      <w:r w:rsidRPr="00B03993">
        <w:t>Perna</w:t>
      </w:r>
      <w:proofErr w:type="spellEnd"/>
      <w:r w:rsidRPr="00B03993">
        <w:t xml:space="preserve"> A., </w:t>
      </w:r>
      <w:proofErr w:type="spellStart"/>
      <w:r w:rsidRPr="00B03993">
        <w:t>Fprcina</w:t>
      </w:r>
      <w:proofErr w:type="spellEnd"/>
      <w:r w:rsidRPr="00B03993">
        <w:t xml:space="preserve"> A., Di </w:t>
      </w:r>
      <w:proofErr w:type="spellStart"/>
      <w:r w:rsidRPr="00B03993">
        <w:t>Micco</w:t>
      </w:r>
      <w:proofErr w:type="spellEnd"/>
      <w:r w:rsidRPr="00B03993">
        <w:t xml:space="preserve"> S., </w:t>
      </w:r>
      <w:proofErr w:type="spellStart"/>
      <w:r w:rsidRPr="00B03993">
        <w:t>Jannelli</w:t>
      </w:r>
      <w:proofErr w:type="spellEnd"/>
      <w:r w:rsidRPr="00B03993">
        <w:t xml:space="preserve"> E., 2021, </w:t>
      </w:r>
      <w:proofErr w:type="spellStart"/>
      <w:r w:rsidRPr="001E5F23">
        <w:t>Analyzing</w:t>
      </w:r>
      <w:proofErr w:type="spellEnd"/>
      <w:r w:rsidRPr="001E5F23">
        <w:t xml:space="preserve"> the levelized cost of hydrogen in</w:t>
      </w:r>
      <w:r>
        <w:t xml:space="preserve"> </w:t>
      </w:r>
      <w:proofErr w:type="spellStart"/>
      <w:r w:rsidRPr="001E5F23">
        <w:t>refueling</w:t>
      </w:r>
      <w:proofErr w:type="spellEnd"/>
      <w:r w:rsidRPr="001E5F23">
        <w:t xml:space="preserve"> stations with on-site hydrogen</w:t>
      </w:r>
      <w:r>
        <w:t xml:space="preserve"> </w:t>
      </w:r>
      <w:r w:rsidRPr="001E5F23">
        <w:t>production via water electrolysis in the Italian</w:t>
      </w:r>
      <w:r>
        <w:t xml:space="preserve"> </w:t>
      </w:r>
      <w:r w:rsidRPr="001E5F23">
        <w:t>scenario</w:t>
      </w:r>
      <w:r>
        <w:t>,</w:t>
      </w:r>
      <w:r w:rsidRPr="001E5F23">
        <w:t xml:space="preserve"> International Journal of hydrogen production, 46, 13667 – 13677.</w:t>
      </w:r>
    </w:p>
    <w:p w14:paraId="36DC4DBD" w14:textId="77777777" w:rsidR="000B7C7C" w:rsidRDefault="000B7C7C" w:rsidP="001C405C">
      <w:pPr>
        <w:pStyle w:val="CETReferencetext"/>
      </w:pPr>
      <w:r w:rsidRPr="00B03993">
        <w:t xml:space="preserve">Petrescu L., </w:t>
      </w:r>
      <w:proofErr w:type="spellStart"/>
      <w:r w:rsidRPr="00B03993">
        <w:t>Burca</w:t>
      </w:r>
      <w:proofErr w:type="spellEnd"/>
      <w:r w:rsidRPr="00B03993">
        <w:t xml:space="preserve"> S., Fermeglia M., Mio </w:t>
      </w:r>
      <w:proofErr w:type="gramStart"/>
      <w:r w:rsidRPr="00B03993">
        <w:t>A,,</w:t>
      </w:r>
      <w:proofErr w:type="gramEnd"/>
      <w:r w:rsidRPr="00B03993">
        <w:t xml:space="preserve"> </w:t>
      </w:r>
      <w:proofErr w:type="spellStart"/>
      <w:r w:rsidRPr="00B03993">
        <w:t>Cormos</w:t>
      </w:r>
      <w:proofErr w:type="spellEnd"/>
      <w:r w:rsidRPr="00B03993">
        <w:t xml:space="preserve"> C., 2021, </w:t>
      </w:r>
      <w:r>
        <w:t>Process simulation coupled with LCA for the evaluation of liquid - liquid extraction processes of phenol from aqueous streams, Journal of water process engineering, 41, 102077.</w:t>
      </w:r>
    </w:p>
    <w:p w14:paraId="3C9F1D55" w14:textId="77777777" w:rsidR="000B7C7C" w:rsidRPr="00E974C1" w:rsidRDefault="000B7C7C" w:rsidP="00C67217">
      <w:pPr>
        <w:widowControl w:val="0"/>
        <w:autoSpaceDE w:val="0"/>
        <w:autoSpaceDN w:val="0"/>
        <w:adjustRightInd w:val="0"/>
        <w:spacing w:line="240" w:lineRule="auto"/>
        <w:ind w:left="640" w:hanging="640"/>
        <w:rPr>
          <w:noProof/>
        </w:rPr>
      </w:pPr>
      <w:r w:rsidRPr="00E974C1">
        <w:rPr>
          <w:noProof/>
        </w:rPr>
        <w:t>Rana R</w:t>
      </w:r>
      <w:r>
        <w:rPr>
          <w:noProof/>
        </w:rPr>
        <w:t>.</w:t>
      </w:r>
      <w:r w:rsidRPr="00E974C1">
        <w:rPr>
          <w:noProof/>
        </w:rPr>
        <w:t>L</w:t>
      </w:r>
      <w:r>
        <w:rPr>
          <w:noProof/>
        </w:rPr>
        <w:t>.</w:t>
      </w:r>
      <w:r w:rsidRPr="00E974C1">
        <w:rPr>
          <w:noProof/>
        </w:rPr>
        <w:t>, Lombardi M</w:t>
      </w:r>
      <w:r>
        <w:rPr>
          <w:noProof/>
        </w:rPr>
        <w:t>.</w:t>
      </w:r>
      <w:r w:rsidRPr="00E974C1">
        <w:rPr>
          <w:noProof/>
        </w:rPr>
        <w:t>, Giungato P</w:t>
      </w:r>
      <w:r>
        <w:rPr>
          <w:noProof/>
        </w:rPr>
        <w:t>.</w:t>
      </w:r>
      <w:r w:rsidRPr="00E974C1">
        <w:rPr>
          <w:noProof/>
        </w:rPr>
        <w:t>, Tricase C.</w:t>
      </w:r>
      <w:r>
        <w:rPr>
          <w:noProof/>
        </w:rPr>
        <w:t>,</w:t>
      </w:r>
      <w:r w:rsidRPr="00E974C1">
        <w:rPr>
          <w:noProof/>
        </w:rPr>
        <w:t xml:space="preserve"> </w:t>
      </w:r>
      <w:r>
        <w:rPr>
          <w:noProof/>
        </w:rPr>
        <w:t xml:space="preserve">2020, </w:t>
      </w:r>
      <w:r w:rsidRPr="00E974C1">
        <w:rPr>
          <w:noProof/>
        </w:rPr>
        <w:t>Trends in Scientific Literature on Energy Return Ratio of Renewable Energy Sources for Supporting Policymakers</w:t>
      </w:r>
      <w:r>
        <w:rPr>
          <w:noProof/>
        </w:rPr>
        <w:t>,</w:t>
      </w:r>
      <w:r w:rsidRPr="00E974C1">
        <w:rPr>
          <w:noProof/>
        </w:rPr>
        <w:t xml:space="preserve"> Adm </w:t>
      </w:r>
      <w:r>
        <w:rPr>
          <w:noProof/>
        </w:rPr>
        <w:t>.</w:t>
      </w:r>
      <w:r w:rsidRPr="00E974C1">
        <w:rPr>
          <w:noProof/>
        </w:rPr>
        <w:t>Sci</w:t>
      </w:r>
      <w:r>
        <w:rPr>
          <w:noProof/>
        </w:rPr>
        <w:t xml:space="preserve">., </w:t>
      </w:r>
      <w:r w:rsidRPr="00E974C1">
        <w:rPr>
          <w:noProof/>
        </w:rPr>
        <w:t>10</w:t>
      </w:r>
      <w:r>
        <w:rPr>
          <w:noProof/>
        </w:rPr>
        <w:t>,</w:t>
      </w:r>
      <w:r w:rsidRPr="00E974C1">
        <w:rPr>
          <w:noProof/>
        </w:rPr>
        <w:t>21.</w:t>
      </w:r>
    </w:p>
    <w:p w14:paraId="3F351F45" w14:textId="77777777" w:rsidR="000B7C7C" w:rsidRDefault="000B7C7C" w:rsidP="001E5F23">
      <w:pPr>
        <w:pStyle w:val="CETReferencetext"/>
      </w:pPr>
      <w:r>
        <w:t xml:space="preserve">Sánchez M., </w:t>
      </w:r>
      <w:proofErr w:type="spellStart"/>
      <w:r>
        <w:t>Amores</w:t>
      </w:r>
      <w:proofErr w:type="spellEnd"/>
      <w:r>
        <w:t xml:space="preserve"> E., Abad D., Rodríguez L., Clemente-Jul C., 2020, Aspen Plus model of an alkaline electrolysis system for hydrogen production, International Journal of Hydrogen Energy, 45, 3916-3929.</w:t>
      </w:r>
    </w:p>
    <w:sectPr w:rsidR="000B7C7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BD3E" w14:textId="77777777" w:rsidR="00EB6F65" w:rsidRDefault="00EB6F65" w:rsidP="004F5E36">
      <w:r>
        <w:separator/>
      </w:r>
    </w:p>
  </w:endnote>
  <w:endnote w:type="continuationSeparator" w:id="0">
    <w:p w14:paraId="5A506A88" w14:textId="77777777" w:rsidR="00EB6F65" w:rsidRDefault="00EB6F6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D8C2" w14:textId="77777777" w:rsidR="00EB6F65" w:rsidRDefault="00EB6F65" w:rsidP="004F5E36">
      <w:r>
        <w:separator/>
      </w:r>
    </w:p>
  </w:footnote>
  <w:footnote w:type="continuationSeparator" w:id="0">
    <w:p w14:paraId="0013C684" w14:textId="77777777" w:rsidR="00EB6F65" w:rsidRDefault="00EB6F6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993"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5113A83"/>
    <w:multiLevelType w:val="multilevel"/>
    <w:tmpl w:val="AE0A4CB2"/>
    <w:lvl w:ilvl="0">
      <w:start w:val="1"/>
      <w:numFmt w:val="decimal"/>
      <w:pStyle w:val="Livello0"/>
      <w:lvlText w:val="%1."/>
      <w:lvlJc w:val="left"/>
      <w:pPr>
        <w:ind w:left="360" w:hanging="360"/>
      </w:pPr>
    </w:lvl>
    <w:lvl w:ilvl="1">
      <w:start w:val="1"/>
      <w:numFmt w:val="decimal"/>
      <w:pStyle w:val="Livello1"/>
      <w:lvlText w:val="%1.%2."/>
      <w:lvlJc w:val="left"/>
      <w:pPr>
        <w:ind w:left="792" w:hanging="432"/>
      </w:pPr>
    </w:lvl>
    <w:lvl w:ilvl="2">
      <w:start w:val="1"/>
      <w:numFmt w:val="decimal"/>
      <w:pStyle w:val="Livello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945B6C"/>
    <w:multiLevelType w:val="hybridMultilevel"/>
    <w:tmpl w:val="39061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6029859">
    <w:abstractNumId w:val="10"/>
  </w:num>
  <w:num w:numId="2" w16cid:durableId="1031302154">
    <w:abstractNumId w:val="8"/>
  </w:num>
  <w:num w:numId="3" w16cid:durableId="1487670907">
    <w:abstractNumId w:val="3"/>
  </w:num>
  <w:num w:numId="4" w16cid:durableId="831681662">
    <w:abstractNumId w:val="2"/>
  </w:num>
  <w:num w:numId="5" w16cid:durableId="1622420571">
    <w:abstractNumId w:val="1"/>
  </w:num>
  <w:num w:numId="6" w16cid:durableId="920990165">
    <w:abstractNumId w:val="0"/>
  </w:num>
  <w:num w:numId="7" w16cid:durableId="1065448553">
    <w:abstractNumId w:val="9"/>
  </w:num>
  <w:num w:numId="8" w16cid:durableId="1829438775">
    <w:abstractNumId w:val="7"/>
  </w:num>
  <w:num w:numId="9" w16cid:durableId="1259559158">
    <w:abstractNumId w:val="6"/>
  </w:num>
  <w:num w:numId="10" w16cid:durableId="1027103638">
    <w:abstractNumId w:val="5"/>
  </w:num>
  <w:num w:numId="11" w16cid:durableId="1347559921">
    <w:abstractNumId w:val="4"/>
  </w:num>
  <w:num w:numId="12" w16cid:durableId="1374235236">
    <w:abstractNumId w:val="19"/>
  </w:num>
  <w:num w:numId="13" w16cid:durableId="1486581846">
    <w:abstractNumId w:val="13"/>
  </w:num>
  <w:num w:numId="14" w16cid:durableId="1734154338">
    <w:abstractNumId w:val="20"/>
  </w:num>
  <w:num w:numId="15" w16cid:durableId="929970812">
    <w:abstractNumId w:val="22"/>
  </w:num>
  <w:num w:numId="16" w16cid:durableId="1676111613">
    <w:abstractNumId w:val="21"/>
  </w:num>
  <w:num w:numId="17" w16cid:durableId="1872762825">
    <w:abstractNumId w:val="12"/>
  </w:num>
  <w:num w:numId="18" w16cid:durableId="2035039354">
    <w:abstractNumId w:val="13"/>
    <w:lvlOverride w:ilvl="0">
      <w:startOverride w:val="1"/>
    </w:lvlOverride>
  </w:num>
  <w:num w:numId="19" w16cid:durableId="682320227">
    <w:abstractNumId w:val="18"/>
  </w:num>
  <w:num w:numId="20" w16cid:durableId="1609582499">
    <w:abstractNumId w:val="16"/>
  </w:num>
  <w:num w:numId="21" w16cid:durableId="406222261">
    <w:abstractNumId w:val="15"/>
  </w:num>
  <w:num w:numId="22" w16cid:durableId="2146776781">
    <w:abstractNumId w:val="14"/>
  </w:num>
  <w:num w:numId="23" w16cid:durableId="138459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0490131">
    <w:abstractNumId w:val="11"/>
  </w:num>
  <w:num w:numId="25" w16cid:durableId="1782721667">
    <w:abstractNumId w:val="17"/>
  </w:num>
  <w:num w:numId="26" w16cid:durableId="1926104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0AC"/>
    <w:rsid w:val="0003148D"/>
    <w:rsid w:val="00031EEC"/>
    <w:rsid w:val="00033483"/>
    <w:rsid w:val="0003558C"/>
    <w:rsid w:val="0005025C"/>
    <w:rsid w:val="00050967"/>
    <w:rsid w:val="00051566"/>
    <w:rsid w:val="00057286"/>
    <w:rsid w:val="00062A9A"/>
    <w:rsid w:val="00065058"/>
    <w:rsid w:val="00070D47"/>
    <w:rsid w:val="00072A71"/>
    <w:rsid w:val="0007782E"/>
    <w:rsid w:val="00086C39"/>
    <w:rsid w:val="000A03B2"/>
    <w:rsid w:val="000B6C07"/>
    <w:rsid w:val="000B7C7C"/>
    <w:rsid w:val="000D0268"/>
    <w:rsid w:val="000D34BE"/>
    <w:rsid w:val="000E102F"/>
    <w:rsid w:val="000E36F1"/>
    <w:rsid w:val="000E3A73"/>
    <w:rsid w:val="000E414A"/>
    <w:rsid w:val="000F093C"/>
    <w:rsid w:val="000F1D33"/>
    <w:rsid w:val="000F4102"/>
    <w:rsid w:val="000F787B"/>
    <w:rsid w:val="00102EE0"/>
    <w:rsid w:val="00106C35"/>
    <w:rsid w:val="0012091F"/>
    <w:rsid w:val="00126BC2"/>
    <w:rsid w:val="001308B6"/>
    <w:rsid w:val="0013121F"/>
    <w:rsid w:val="00131FE6"/>
    <w:rsid w:val="0013263F"/>
    <w:rsid w:val="001331DF"/>
    <w:rsid w:val="00134DE4"/>
    <w:rsid w:val="00137147"/>
    <w:rsid w:val="0014034D"/>
    <w:rsid w:val="0014238C"/>
    <w:rsid w:val="001434F2"/>
    <w:rsid w:val="00144D16"/>
    <w:rsid w:val="00150E59"/>
    <w:rsid w:val="00152DE3"/>
    <w:rsid w:val="00164CF9"/>
    <w:rsid w:val="001667A6"/>
    <w:rsid w:val="00184AD6"/>
    <w:rsid w:val="00191A17"/>
    <w:rsid w:val="001940EB"/>
    <w:rsid w:val="001A4AF7"/>
    <w:rsid w:val="001B0349"/>
    <w:rsid w:val="001B1E93"/>
    <w:rsid w:val="001B65C1"/>
    <w:rsid w:val="001C399E"/>
    <w:rsid w:val="001C405C"/>
    <w:rsid w:val="001C684B"/>
    <w:rsid w:val="001D0CFB"/>
    <w:rsid w:val="001D21AF"/>
    <w:rsid w:val="001D53FC"/>
    <w:rsid w:val="001E5F23"/>
    <w:rsid w:val="001E6042"/>
    <w:rsid w:val="001F42A5"/>
    <w:rsid w:val="001F7B9D"/>
    <w:rsid w:val="00201C93"/>
    <w:rsid w:val="002224B4"/>
    <w:rsid w:val="002372A3"/>
    <w:rsid w:val="002447EF"/>
    <w:rsid w:val="00251550"/>
    <w:rsid w:val="00263B05"/>
    <w:rsid w:val="0027221A"/>
    <w:rsid w:val="00275B61"/>
    <w:rsid w:val="00280FAF"/>
    <w:rsid w:val="00282656"/>
    <w:rsid w:val="00296B83"/>
    <w:rsid w:val="002B4015"/>
    <w:rsid w:val="002B78CE"/>
    <w:rsid w:val="002C2FB6"/>
    <w:rsid w:val="002C318F"/>
    <w:rsid w:val="002D0F28"/>
    <w:rsid w:val="002E1D92"/>
    <w:rsid w:val="002E5FA7"/>
    <w:rsid w:val="002F3309"/>
    <w:rsid w:val="002F4A13"/>
    <w:rsid w:val="003008CE"/>
    <w:rsid w:val="003009B7"/>
    <w:rsid w:val="00300E56"/>
    <w:rsid w:val="0030469C"/>
    <w:rsid w:val="00321CA6"/>
    <w:rsid w:val="00323763"/>
    <w:rsid w:val="00334C09"/>
    <w:rsid w:val="00345819"/>
    <w:rsid w:val="00351A3F"/>
    <w:rsid w:val="00353B5E"/>
    <w:rsid w:val="0036289F"/>
    <w:rsid w:val="003723D4"/>
    <w:rsid w:val="00381905"/>
    <w:rsid w:val="00384CC8"/>
    <w:rsid w:val="003871FD"/>
    <w:rsid w:val="003A1E30"/>
    <w:rsid w:val="003A2829"/>
    <w:rsid w:val="003A7D1C"/>
    <w:rsid w:val="003B304B"/>
    <w:rsid w:val="003B3146"/>
    <w:rsid w:val="003D5471"/>
    <w:rsid w:val="003F015E"/>
    <w:rsid w:val="003F6F24"/>
    <w:rsid w:val="00400414"/>
    <w:rsid w:val="0041446B"/>
    <w:rsid w:val="0044071E"/>
    <w:rsid w:val="0044329C"/>
    <w:rsid w:val="00450FEB"/>
    <w:rsid w:val="00453E24"/>
    <w:rsid w:val="00457456"/>
    <w:rsid w:val="004577FE"/>
    <w:rsid w:val="00457B9C"/>
    <w:rsid w:val="0046164A"/>
    <w:rsid w:val="004628D2"/>
    <w:rsid w:val="00462DCD"/>
    <w:rsid w:val="004648AD"/>
    <w:rsid w:val="004703A9"/>
    <w:rsid w:val="004760DE"/>
    <w:rsid w:val="004763D7"/>
    <w:rsid w:val="00481FDD"/>
    <w:rsid w:val="004A004E"/>
    <w:rsid w:val="004A24CF"/>
    <w:rsid w:val="004C07CC"/>
    <w:rsid w:val="004C3D1D"/>
    <w:rsid w:val="004C3D84"/>
    <w:rsid w:val="004C7913"/>
    <w:rsid w:val="004E03A7"/>
    <w:rsid w:val="004E40C1"/>
    <w:rsid w:val="004E4DD6"/>
    <w:rsid w:val="004F5E36"/>
    <w:rsid w:val="00507B47"/>
    <w:rsid w:val="00507BEF"/>
    <w:rsid w:val="00507CC9"/>
    <w:rsid w:val="00511279"/>
    <w:rsid w:val="005119A5"/>
    <w:rsid w:val="00514A2E"/>
    <w:rsid w:val="00516194"/>
    <w:rsid w:val="00523D5D"/>
    <w:rsid w:val="005278B7"/>
    <w:rsid w:val="00532016"/>
    <w:rsid w:val="005346C8"/>
    <w:rsid w:val="00543E7D"/>
    <w:rsid w:val="00546F44"/>
    <w:rsid w:val="00547A68"/>
    <w:rsid w:val="005531C9"/>
    <w:rsid w:val="005548DB"/>
    <w:rsid w:val="00556484"/>
    <w:rsid w:val="00570C43"/>
    <w:rsid w:val="00572F8E"/>
    <w:rsid w:val="005B2110"/>
    <w:rsid w:val="005B61E6"/>
    <w:rsid w:val="005C77E1"/>
    <w:rsid w:val="005D3F21"/>
    <w:rsid w:val="005D668A"/>
    <w:rsid w:val="005D6A2F"/>
    <w:rsid w:val="005E054B"/>
    <w:rsid w:val="005E1A82"/>
    <w:rsid w:val="005E794C"/>
    <w:rsid w:val="005F0A28"/>
    <w:rsid w:val="005F0E5E"/>
    <w:rsid w:val="00600535"/>
    <w:rsid w:val="00603298"/>
    <w:rsid w:val="00610CD6"/>
    <w:rsid w:val="00620DEE"/>
    <w:rsid w:val="00621F92"/>
    <w:rsid w:val="0062280A"/>
    <w:rsid w:val="00625639"/>
    <w:rsid w:val="006263C0"/>
    <w:rsid w:val="00631B33"/>
    <w:rsid w:val="00636F37"/>
    <w:rsid w:val="0064184D"/>
    <w:rsid w:val="006422CC"/>
    <w:rsid w:val="0066096A"/>
    <w:rsid w:val="00660E3E"/>
    <w:rsid w:val="00662CB3"/>
    <w:rsid w:val="00662E74"/>
    <w:rsid w:val="00674C5E"/>
    <w:rsid w:val="00680346"/>
    <w:rsid w:val="00680C23"/>
    <w:rsid w:val="00685D8A"/>
    <w:rsid w:val="00685ED5"/>
    <w:rsid w:val="00693766"/>
    <w:rsid w:val="00697FDE"/>
    <w:rsid w:val="006A1742"/>
    <w:rsid w:val="006A3281"/>
    <w:rsid w:val="006B0FFD"/>
    <w:rsid w:val="006B4888"/>
    <w:rsid w:val="006C2E45"/>
    <w:rsid w:val="006C359C"/>
    <w:rsid w:val="006C5579"/>
    <w:rsid w:val="006D6E8B"/>
    <w:rsid w:val="006E737D"/>
    <w:rsid w:val="00713973"/>
    <w:rsid w:val="00720A24"/>
    <w:rsid w:val="007212C4"/>
    <w:rsid w:val="00732386"/>
    <w:rsid w:val="0073514D"/>
    <w:rsid w:val="00735928"/>
    <w:rsid w:val="007447F3"/>
    <w:rsid w:val="00744FE8"/>
    <w:rsid w:val="0075499F"/>
    <w:rsid w:val="007661C8"/>
    <w:rsid w:val="0077098D"/>
    <w:rsid w:val="00783D1C"/>
    <w:rsid w:val="00784897"/>
    <w:rsid w:val="007931FA"/>
    <w:rsid w:val="007A4861"/>
    <w:rsid w:val="007A7BBA"/>
    <w:rsid w:val="007B061D"/>
    <w:rsid w:val="007B0C50"/>
    <w:rsid w:val="007B2893"/>
    <w:rsid w:val="007B48F9"/>
    <w:rsid w:val="007B5ACA"/>
    <w:rsid w:val="007B6FD0"/>
    <w:rsid w:val="007C1A43"/>
    <w:rsid w:val="007F1BE5"/>
    <w:rsid w:val="007F6B3C"/>
    <w:rsid w:val="007F6E0A"/>
    <w:rsid w:val="0080013E"/>
    <w:rsid w:val="00813288"/>
    <w:rsid w:val="008168FC"/>
    <w:rsid w:val="00826211"/>
    <w:rsid w:val="00830996"/>
    <w:rsid w:val="008345F1"/>
    <w:rsid w:val="0083789D"/>
    <w:rsid w:val="0084529F"/>
    <w:rsid w:val="00845F29"/>
    <w:rsid w:val="00865B07"/>
    <w:rsid w:val="008667EA"/>
    <w:rsid w:val="0087177D"/>
    <w:rsid w:val="0087637F"/>
    <w:rsid w:val="00892AD5"/>
    <w:rsid w:val="008A1512"/>
    <w:rsid w:val="008C29A5"/>
    <w:rsid w:val="008D32B9"/>
    <w:rsid w:val="008D40F7"/>
    <w:rsid w:val="008D433B"/>
    <w:rsid w:val="008D4A16"/>
    <w:rsid w:val="008E566E"/>
    <w:rsid w:val="0090161A"/>
    <w:rsid w:val="00901EB6"/>
    <w:rsid w:val="00904C62"/>
    <w:rsid w:val="00905FA1"/>
    <w:rsid w:val="00922BA8"/>
    <w:rsid w:val="00924DAC"/>
    <w:rsid w:val="00927058"/>
    <w:rsid w:val="00934B8E"/>
    <w:rsid w:val="00940DC1"/>
    <w:rsid w:val="00942750"/>
    <w:rsid w:val="009450CE"/>
    <w:rsid w:val="00947179"/>
    <w:rsid w:val="0095164B"/>
    <w:rsid w:val="00954090"/>
    <w:rsid w:val="009573E7"/>
    <w:rsid w:val="00963E05"/>
    <w:rsid w:val="00964A45"/>
    <w:rsid w:val="00967843"/>
    <w:rsid w:val="00967D54"/>
    <w:rsid w:val="00971028"/>
    <w:rsid w:val="00985B65"/>
    <w:rsid w:val="00993B84"/>
    <w:rsid w:val="00996483"/>
    <w:rsid w:val="00996F5A"/>
    <w:rsid w:val="009A68E8"/>
    <w:rsid w:val="009B041A"/>
    <w:rsid w:val="009C0B46"/>
    <w:rsid w:val="009C37C3"/>
    <w:rsid w:val="009C7C86"/>
    <w:rsid w:val="009D2FF7"/>
    <w:rsid w:val="009D657C"/>
    <w:rsid w:val="009E6BB3"/>
    <w:rsid w:val="009E7884"/>
    <w:rsid w:val="009E788A"/>
    <w:rsid w:val="009F0E08"/>
    <w:rsid w:val="00A127EA"/>
    <w:rsid w:val="00A1763D"/>
    <w:rsid w:val="00A17CEC"/>
    <w:rsid w:val="00A27EF0"/>
    <w:rsid w:val="00A42361"/>
    <w:rsid w:val="00A4655D"/>
    <w:rsid w:val="00A467E7"/>
    <w:rsid w:val="00A50B20"/>
    <w:rsid w:val="00A51390"/>
    <w:rsid w:val="00A60D13"/>
    <w:rsid w:val="00A7223D"/>
    <w:rsid w:val="00A72745"/>
    <w:rsid w:val="00A75982"/>
    <w:rsid w:val="00A76EFC"/>
    <w:rsid w:val="00A91010"/>
    <w:rsid w:val="00A97F29"/>
    <w:rsid w:val="00AA702E"/>
    <w:rsid w:val="00AB0964"/>
    <w:rsid w:val="00AB175F"/>
    <w:rsid w:val="00AB5011"/>
    <w:rsid w:val="00AC7368"/>
    <w:rsid w:val="00AD16B9"/>
    <w:rsid w:val="00AE377D"/>
    <w:rsid w:val="00AE5D37"/>
    <w:rsid w:val="00AF0EBA"/>
    <w:rsid w:val="00AF1D86"/>
    <w:rsid w:val="00AF4581"/>
    <w:rsid w:val="00B02C8A"/>
    <w:rsid w:val="00B03993"/>
    <w:rsid w:val="00B17FBD"/>
    <w:rsid w:val="00B20543"/>
    <w:rsid w:val="00B20E6D"/>
    <w:rsid w:val="00B27AC5"/>
    <w:rsid w:val="00B315A6"/>
    <w:rsid w:val="00B31813"/>
    <w:rsid w:val="00B33365"/>
    <w:rsid w:val="00B37388"/>
    <w:rsid w:val="00B57B36"/>
    <w:rsid w:val="00B57E6F"/>
    <w:rsid w:val="00B64A32"/>
    <w:rsid w:val="00B7640B"/>
    <w:rsid w:val="00B8686D"/>
    <w:rsid w:val="00B93F69"/>
    <w:rsid w:val="00BB1DDC"/>
    <w:rsid w:val="00BC30C9"/>
    <w:rsid w:val="00BD077D"/>
    <w:rsid w:val="00BE3E58"/>
    <w:rsid w:val="00BE74B1"/>
    <w:rsid w:val="00C01616"/>
    <w:rsid w:val="00C0162B"/>
    <w:rsid w:val="00C068ED"/>
    <w:rsid w:val="00C15FB6"/>
    <w:rsid w:val="00C173C0"/>
    <w:rsid w:val="00C22E0C"/>
    <w:rsid w:val="00C265D2"/>
    <w:rsid w:val="00C345B1"/>
    <w:rsid w:val="00C40142"/>
    <w:rsid w:val="00C44FEF"/>
    <w:rsid w:val="00C52C3C"/>
    <w:rsid w:val="00C53D2F"/>
    <w:rsid w:val="00C57182"/>
    <w:rsid w:val="00C57863"/>
    <w:rsid w:val="00C640AF"/>
    <w:rsid w:val="00C655FD"/>
    <w:rsid w:val="00C67217"/>
    <w:rsid w:val="00C75407"/>
    <w:rsid w:val="00C870A8"/>
    <w:rsid w:val="00C94434"/>
    <w:rsid w:val="00CA0D75"/>
    <w:rsid w:val="00CA1C95"/>
    <w:rsid w:val="00CA4C9C"/>
    <w:rsid w:val="00CA5A9C"/>
    <w:rsid w:val="00CC4C20"/>
    <w:rsid w:val="00CD3517"/>
    <w:rsid w:val="00CD5FE2"/>
    <w:rsid w:val="00CE7C68"/>
    <w:rsid w:val="00D02B4C"/>
    <w:rsid w:val="00D040C4"/>
    <w:rsid w:val="00D16366"/>
    <w:rsid w:val="00D20AD1"/>
    <w:rsid w:val="00D268BB"/>
    <w:rsid w:val="00D367C6"/>
    <w:rsid w:val="00D46B7E"/>
    <w:rsid w:val="00D57C84"/>
    <w:rsid w:val="00D6057D"/>
    <w:rsid w:val="00D71640"/>
    <w:rsid w:val="00D836C5"/>
    <w:rsid w:val="00D84576"/>
    <w:rsid w:val="00DA1399"/>
    <w:rsid w:val="00DA24C6"/>
    <w:rsid w:val="00DA4D7B"/>
    <w:rsid w:val="00DD271C"/>
    <w:rsid w:val="00DE264A"/>
    <w:rsid w:val="00DF5072"/>
    <w:rsid w:val="00E02D18"/>
    <w:rsid w:val="00E041E7"/>
    <w:rsid w:val="00E23CA1"/>
    <w:rsid w:val="00E30A5E"/>
    <w:rsid w:val="00E37981"/>
    <w:rsid w:val="00E409A8"/>
    <w:rsid w:val="00E42D31"/>
    <w:rsid w:val="00E50C12"/>
    <w:rsid w:val="00E63764"/>
    <w:rsid w:val="00E65B91"/>
    <w:rsid w:val="00E7209D"/>
    <w:rsid w:val="00E72EAD"/>
    <w:rsid w:val="00E77223"/>
    <w:rsid w:val="00E8528B"/>
    <w:rsid w:val="00E85B94"/>
    <w:rsid w:val="00E863E9"/>
    <w:rsid w:val="00E949BB"/>
    <w:rsid w:val="00E978D0"/>
    <w:rsid w:val="00EA4613"/>
    <w:rsid w:val="00EA7DC4"/>
    <w:rsid w:val="00EA7F91"/>
    <w:rsid w:val="00EB1523"/>
    <w:rsid w:val="00EB2B1F"/>
    <w:rsid w:val="00EB3ECD"/>
    <w:rsid w:val="00EB6F65"/>
    <w:rsid w:val="00EC0E49"/>
    <w:rsid w:val="00EC101F"/>
    <w:rsid w:val="00EC1D9F"/>
    <w:rsid w:val="00EE0131"/>
    <w:rsid w:val="00EE17B0"/>
    <w:rsid w:val="00EF06D9"/>
    <w:rsid w:val="00F00F6B"/>
    <w:rsid w:val="00F05D41"/>
    <w:rsid w:val="00F10804"/>
    <w:rsid w:val="00F243C9"/>
    <w:rsid w:val="00F30C64"/>
    <w:rsid w:val="00F32BA2"/>
    <w:rsid w:val="00F32CDB"/>
    <w:rsid w:val="00F37A08"/>
    <w:rsid w:val="00F40A73"/>
    <w:rsid w:val="00F4137F"/>
    <w:rsid w:val="00F46DE7"/>
    <w:rsid w:val="00F565FE"/>
    <w:rsid w:val="00F62FE9"/>
    <w:rsid w:val="00F63A70"/>
    <w:rsid w:val="00F74413"/>
    <w:rsid w:val="00F7534E"/>
    <w:rsid w:val="00F77D9E"/>
    <w:rsid w:val="00FA1802"/>
    <w:rsid w:val="00FA21D0"/>
    <w:rsid w:val="00FA5F5F"/>
    <w:rsid w:val="00FB2CAB"/>
    <w:rsid w:val="00FB730C"/>
    <w:rsid w:val="00FC2695"/>
    <w:rsid w:val="00FC3E03"/>
    <w:rsid w:val="00FC3FC1"/>
    <w:rsid w:val="00FD3386"/>
    <w:rsid w:val="00FD5D20"/>
    <w:rsid w:val="00FF465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NomenclaturewhecChar">
    <w:name w:val="Nomenclature_whec Char"/>
    <w:basedOn w:val="Carpredefinitoparagrafo"/>
    <w:link w:val="Nomenclaturewhec"/>
    <w:locked/>
    <w:rsid w:val="00B20543"/>
    <w:rPr>
      <w:rFonts w:ascii="Arial" w:hAnsi="Arial" w:cs="Arial"/>
      <w:sz w:val="18"/>
    </w:rPr>
  </w:style>
  <w:style w:type="paragraph" w:customStyle="1" w:styleId="Nomenclaturewhec">
    <w:name w:val="Nomenclature_whec"/>
    <w:basedOn w:val="Normale"/>
    <w:link w:val="NomenclaturewhecChar"/>
    <w:qFormat/>
    <w:rsid w:val="00B20543"/>
    <w:pPr>
      <w:tabs>
        <w:tab w:val="clear" w:pos="7100"/>
      </w:tabs>
      <w:spacing w:before="50" w:after="120" w:line="240" w:lineRule="auto"/>
      <w:contextualSpacing/>
    </w:pPr>
    <w:rPr>
      <w:rFonts w:eastAsiaTheme="minorHAnsi" w:cs="Arial"/>
      <w:szCs w:val="22"/>
      <w:lang w:val="it-IT"/>
    </w:rPr>
  </w:style>
  <w:style w:type="paragraph" w:styleId="Sottotitolo">
    <w:name w:val="Subtitle"/>
    <w:basedOn w:val="Normale"/>
    <w:next w:val="Normale"/>
    <w:link w:val="SottotitoloCarattere"/>
    <w:uiPriority w:val="11"/>
    <w:qFormat/>
    <w:rsid w:val="00EB2B1F"/>
    <w:pPr>
      <w:numPr>
        <w:ilvl w:val="1"/>
      </w:numPr>
      <w:tabs>
        <w:tab w:val="clear" w:pos="7100"/>
      </w:tabs>
      <w:spacing w:line="240" w:lineRule="auto"/>
    </w:pPr>
    <w:rPr>
      <w:rFonts w:eastAsiaTheme="minorEastAsia" w:cstheme="minorBidi"/>
      <w:spacing w:val="15"/>
      <w:sz w:val="20"/>
      <w:szCs w:val="22"/>
      <w:lang w:val="en-CA"/>
    </w:rPr>
  </w:style>
  <w:style w:type="character" w:customStyle="1" w:styleId="SottotitoloCarattere">
    <w:name w:val="Sottotitolo Carattere"/>
    <w:basedOn w:val="Carpredefinitoparagrafo"/>
    <w:link w:val="Sottotitolo"/>
    <w:uiPriority w:val="11"/>
    <w:rsid w:val="00EB2B1F"/>
    <w:rPr>
      <w:rFonts w:ascii="Arial" w:eastAsiaTheme="minorEastAsia" w:hAnsi="Arial"/>
      <w:spacing w:val="15"/>
      <w:sz w:val="20"/>
      <w:lang w:val="en-CA"/>
    </w:rPr>
  </w:style>
  <w:style w:type="paragraph" w:customStyle="1" w:styleId="FigureCaptionwhec">
    <w:name w:val="FigureCaption_whec"/>
    <w:basedOn w:val="Normale"/>
    <w:link w:val="FigureCaptionwhecChar"/>
    <w:qFormat/>
    <w:rsid w:val="00EB2B1F"/>
    <w:pPr>
      <w:tabs>
        <w:tab w:val="clear" w:pos="7100"/>
        <w:tab w:val="left" w:pos="-720"/>
      </w:tabs>
      <w:spacing w:after="120" w:line="240" w:lineRule="auto"/>
      <w:jc w:val="center"/>
    </w:pPr>
    <w:rPr>
      <w:rFonts w:eastAsiaTheme="minorHAnsi" w:cs="Arial"/>
      <w:szCs w:val="22"/>
      <w:lang w:val="en-CA"/>
    </w:rPr>
  </w:style>
  <w:style w:type="character" w:customStyle="1" w:styleId="FigureCaptionwhecChar">
    <w:name w:val="FigureCaption_whec Char"/>
    <w:basedOn w:val="Carpredefinitoparagrafo"/>
    <w:link w:val="FigureCaptionwhec"/>
    <w:rsid w:val="00EB2B1F"/>
    <w:rPr>
      <w:rFonts w:ascii="Arial" w:hAnsi="Arial" w:cs="Arial"/>
      <w:sz w:val="18"/>
      <w:lang w:val="en-CA"/>
    </w:rPr>
  </w:style>
  <w:style w:type="table" w:customStyle="1" w:styleId="Tabellagriglia3-colore31">
    <w:name w:val="Tabella griglia 3 - colore 31"/>
    <w:basedOn w:val="Tabellanormale"/>
    <w:uiPriority w:val="48"/>
    <w:rsid w:val="00EB2B1F"/>
    <w:pPr>
      <w:spacing w:after="0" w:line="240" w:lineRule="auto"/>
    </w:pPr>
    <w:rPr>
      <w:rFonts w:ascii="Times New Roman" w:eastAsia="Times New Roman" w:hAnsi="Times New Roman" w:cs="Times New Roman"/>
      <w:sz w:val="24"/>
      <w:szCs w:val="24"/>
      <w:lang w:val="en-GB" w:eastAsia="it-I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customStyle="1" w:styleId="ReferenceswhecChar">
    <w:name w:val="References_whec Char"/>
    <w:basedOn w:val="Carpredefinitoparagrafo"/>
    <w:link w:val="Referenceswhec"/>
    <w:locked/>
    <w:rsid w:val="00450FEB"/>
    <w:rPr>
      <w:rFonts w:ascii="Arial" w:hAnsi="Arial" w:cs="Arial"/>
      <w:sz w:val="18"/>
    </w:rPr>
  </w:style>
  <w:style w:type="paragraph" w:customStyle="1" w:styleId="Referenceswhec">
    <w:name w:val="References_whec"/>
    <w:basedOn w:val="Normale"/>
    <w:link w:val="ReferenceswhecChar"/>
    <w:qFormat/>
    <w:rsid w:val="00450FEB"/>
    <w:pPr>
      <w:tabs>
        <w:tab w:val="clear" w:pos="7100"/>
      </w:tabs>
      <w:spacing w:before="50" w:after="60" w:line="240" w:lineRule="auto"/>
      <w:ind w:left="284" w:hanging="284"/>
    </w:pPr>
    <w:rPr>
      <w:rFonts w:eastAsiaTheme="minorHAnsi" w:cs="Arial"/>
      <w:szCs w:val="22"/>
      <w:lang w:val="it-IT"/>
    </w:rPr>
  </w:style>
  <w:style w:type="character" w:customStyle="1" w:styleId="reference-text">
    <w:name w:val="reference-text"/>
    <w:basedOn w:val="Carpredefinitoparagrafo"/>
    <w:rsid w:val="00450FEB"/>
  </w:style>
  <w:style w:type="paragraph" w:customStyle="1" w:styleId="Livello1">
    <w:name w:val="Livello 1"/>
    <w:basedOn w:val="Normale"/>
    <w:link w:val="Livello1Carattere"/>
    <w:qFormat/>
    <w:rsid w:val="00B37388"/>
    <w:pPr>
      <w:keepNext/>
      <w:keepLines/>
      <w:numPr>
        <w:ilvl w:val="1"/>
        <w:numId w:val="24"/>
      </w:numPr>
      <w:tabs>
        <w:tab w:val="clear" w:pos="7100"/>
      </w:tabs>
      <w:spacing w:before="240" w:line="259" w:lineRule="auto"/>
      <w:jc w:val="left"/>
      <w:outlineLvl w:val="0"/>
    </w:pPr>
    <w:rPr>
      <w:rFonts w:asciiTheme="majorHAnsi" w:eastAsiaTheme="majorEastAsia" w:hAnsiTheme="majorHAnsi" w:cstheme="majorBidi"/>
      <w:color w:val="365F91" w:themeColor="accent1" w:themeShade="BF"/>
      <w:sz w:val="28"/>
      <w:szCs w:val="28"/>
      <w:lang w:eastAsia="it-IT"/>
    </w:rPr>
  </w:style>
  <w:style w:type="paragraph" w:customStyle="1" w:styleId="Livello0">
    <w:name w:val="Livello 0"/>
    <w:basedOn w:val="Livello1"/>
    <w:qFormat/>
    <w:rsid w:val="00B37388"/>
    <w:pPr>
      <w:numPr>
        <w:ilvl w:val="0"/>
      </w:numPr>
      <w:tabs>
        <w:tab w:val="num" w:pos="360"/>
      </w:tabs>
      <w:ind w:left="0" w:hanging="432"/>
    </w:pPr>
    <w:rPr>
      <w:sz w:val="32"/>
      <w:szCs w:val="32"/>
    </w:rPr>
  </w:style>
  <w:style w:type="character" w:customStyle="1" w:styleId="Livello1Carattere">
    <w:name w:val="Livello 1 Carattere"/>
    <w:basedOn w:val="Carpredefinitoparagrafo"/>
    <w:link w:val="Livello1"/>
    <w:rsid w:val="00B37388"/>
    <w:rPr>
      <w:rFonts w:asciiTheme="majorHAnsi" w:eastAsiaTheme="majorEastAsia" w:hAnsiTheme="majorHAnsi" w:cstheme="majorBidi"/>
      <w:color w:val="365F91" w:themeColor="accent1" w:themeShade="BF"/>
      <w:sz w:val="28"/>
      <w:szCs w:val="28"/>
      <w:lang w:val="en-GB" w:eastAsia="it-IT"/>
    </w:rPr>
  </w:style>
  <w:style w:type="paragraph" w:customStyle="1" w:styleId="Livello2">
    <w:name w:val="Livello 2"/>
    <w:basedOn w:val="Livello1"/>
    <w:qFormat/>
    <w:rsid w:val="00B37388"/>
    <w:pPr>
      <w:numPr>
        <w:ilvl w:val="2"/>
      </w:numPr>
      <w:tabs>
        <w:tab w:val="num" w:pos="360"/>
      </w:tabs>
      <w:ind w:left="284" w:hanging="142"/>
    </w:pPr>
    <w:rPr>
      <w:sz w:val="24"/>
      <w:szCs w:val="24"/>
    </w:rPr>
  </w:style>
  <w:style w:type="table" w:styleId="Tabellagriglia3-colore3">
    <w:name w:val="Grid Table 3 Accent 3"/>
    <w:basedOn w:val="Tabellanormale"/>
    <w:uiPriority w:val="48"/>
    <w:rsid w:val="00F4137F"/>
    <w:pPr>
      <w:spacing w:after="0" w:line="240" w:lineRule="auto"/>
    </w:pPr>
    <w:rPr>
      <w:rFonts w:ascii="Times New Roman" w:eastAsia="Times New Roman" w:hAnsi="Times New Roman" w:cs="Times New Roman"/>
      <w:sz w:val="24"/>
      <w:szCs w:val="24"/>
      <w:lang w:val="en-GB" w:eastAsia="it-IT"/>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lagriglia6acolori">
    <w:name w:val="Grid Table 6 Colorful"/>
    <w:basedOn w:val="Tabellanormale"/>
    <w:uiPriority w:val="51"/>
    <w:rsid w:val="00636F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1chiara">
    <w:name w:val="Grid Table 1 Light"/>
    <w:basedOn w:val="Tabellanormale"/>
    <w:uiPriority w:val="46"/>
    <w:rsid w:val="00EA7D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stosegnaposto">
    <w:name w:val="Placeholder Text"/>
    <w:basedOn w:val="Carpredefinitoparagrafo"/>
    <w:uiPriority w:val="99"/>
    <w:semiHidden/>
    <w:rsid w:val="00D367C6"/>
    <w:rPr>
      <w:color w:val="808080"/>
    </w:rPr>
  </w:style>
  <w:style w:type="character" w:customStyle="1" w:styleId="Menzionenonrisolta1">
    <w:name w:val="Menzione non risolta1"/>
    <w:basedOn w:val="Carpredefinitoparagrafo"/>
    <w:uiPriority w:val="99"/>
    <w:semiHidden/>
    <w:unhideWhenUsed/>
    <w:rsid w:val="00C15FB6"/>
    <w:rPr>
      <w:color w:val="605E5C"/>
      <w:shd w:val="clear" w:color="auto" w:fill="E1DFDD"/>
    </w:rPr>
  </w:style>
  <w:style w:type="paragraph" w:styleId="Revisione">
    <w:name w:val="Revision"/>
    <w:hidden/>
    <w:uiPriority w:val="99"/>
    <w:semiHidden/>
    <w:rsid w:val="007F6B3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6725">
      <w:bodyDiv w:val="1"/>
      <w:marLeft w:val="0"/>
      <w:marRight w:val="0"/>
      <w:marTop w:val="0"/>
      <w:marBottom w:val="0"/>
      <w:divBdr>
        <w:top w:val="none" w:sz="0" w:space="0" w:color="auto"/>
        <w:left w:val="none" w:sz="0" w:space="0" w:color="auto"/>
        <w:bottom w:val="none" w:sz="0" w:space="0" w:color="auto"/>
        <w:right w:val="none" w:sz="0" w:space="0" w:color="auto"/>
      </w:divBdr>
    </w:div>
    <w:div w:id="457260094">
      <w:bodyDiv w:val="1"/>
      <w:marLeft w:val="0"/>
      <w:marRight w:val="0"/>
      <w:marTop w:val="0"/>
      <w:marBottom w:val="0"/>
      <w:divBdr>
        <w:top w:val="none" w:sz="0" w:space="0" w:color="auto"/>
        <w:left w:val="none" w:sz="0" w:space="0" w:color="auto"/>
        <w:bottom w:val="none" w:sz="0" w:space="0" w:color="auto"/>
        <w:right w:val="none" w:sz="0" w:space="0" w:color="auto"/>
      </w:divBdr>
    </w:div>
    <w:div w:id="514536970">
      <w:bodyDiv w:val="1"/>
      <w:marLeft w:val="0"/>
      <w:marRight w:val="0"/>
      <w:marTop w:val="0"/>
      <w:marBottom w:val="0"/>
      <w:divBdr>
        <w:top w:val="none" w:sz="0" w:space="0" w:color="auto"/>
        <w:left w:val="none" w:sz="0" w:space="0" w:color="auto"/>
        <w:bottom w:val="none" w:sz="0" w:space="0" w:color="auto"/>
        <w:right w:val="none" w:sz="0" w:space="0" w:color="auto"/>
      </w:divBdr>
    </w:div>
    <w:div w:id="71188433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19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815416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131">
      <w:bodyDiv w:val="1"/>
      <w:marLeft w:val="0"/>
      <w:marRight w:val="0"/>
      <w:marTop w:val="0"/>
      <w:marBottom w:val="0"/>
      <w:divBdr>
        <w:top w:val="none" w:sz="0" w:space="0" w:color="auto"/>
        <w:left w:val="none" w:sz="0" w:space="0" w:color="auto"/>
        <w:bottom w:val="none" w:sz="0" w:space="0" w:color="auto"/>
        <w:right w:val="none" w:sz="0" w:space="0" w:color="auto"/>
      </w:divBdr>
    </w:div>
    <w:div w:id="179752559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fchobservatory.eu/observatory/" TargetMode="External"/><Relationship Id="rId10" Type="http://schemas.openxmlformats.org/officeDocument/2006/relationships/hyperlink" Target="mailto:amio@units.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7390-DEAD-4B20-B879-6C20BD5E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3420</Words>
  <Characters>19497</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andrea mio</cp:lastModifiedBy>
  <cp:revision>2</cp:revision>
  <cp:lastPrinted>2015-05-12T18:31:00Z</cp:lastPrinted>
  <dcterms:created xsi:type="dcterms:W3CDTF">2022-07-30T15:06:00Z</dcterms:created>
  <dcterms:modified xsi:type="dcterms:W3CDTF">2022-07-30T15:06:00Z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