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2ABE30D6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4C3D84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2E218E1D" w:rsidR="00300E56" w:rsidRPr="0044071E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1D21AF"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4C3D84" w:rsidRPr="0003291A">
              <w:rPr>
                <w:sz w:val="14"/>
                <w:szCs w:val="14"/>
                <w:lang w:val="it-IT"/>
              </w:rPr>
              <w:t xml:space="preserve">David </w:t>
            </w:r>
            <w:proofErr w:type="spellStart"/>
            <w:r w:rsidR="004C3D84" w:rsidRPr="0003291A">
              <w:rPr>
                <w:sz w:val="14"/>
                <w:szCs w:val="14"/>
                <w:lang w:val="it-IT"/>
              </w:rPr>
              <w:t>Bogle</w:t>
            </w:r>
            <w:proofErr w:type="spellEnd"/>
            <w:r w:rsidR="004C3D84" w:rsidRPr="0003291A">
              <w:rPr>
                <w:sz w:val="14"/>
                <w:szCs w:val="14"/>
                <w:lang w:val="it-IT"/>
              </w:rPr>
              <w:t>, Flavio Manenti, Piero Salatino</w:t>
            </w:r>
          </w:p>
          <w:p w14:paraId="1B0F1814" w14:textId="17CEC68E" w:rsidR="000A03B2" w:rsidRPr="00B57B36" w:rsidRDefault="00FA5F5F" w:rsidP="001D21A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>
              <w:rPr>
                <w:rFonts w:ascii="Tahoma" w:hAnsi="Tahoma" w:cs="Tahoma"/>
                <w:sz w:val="14"/>
                <w:szCs w:val="14"/>
              </w:rPr>
              <w:t>978-88-</w:t>
            </w:r>
            <w:r w:rsidR="008D32B9"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1D21AF">
              <w:rPr>
                <w:rFonts w:ascii="Tahoma" w:hAnsi="Tahoma" w:cs="Tahoma"/>
                <w:sz w:val="14"/>
                <w:szCs w:val="14"/>
              </w:rPr>
              <w:t>9</w:t>
            </w:r>
            <w:r w:rsidR="008D4A16">
              <w:rPr>
                <w:rFonts w:ascii="Tahoma" w:hAnsi="Tahoma" w:cs="Tahoma"/>
                <w:sz w:val="14"/>
                <w:szCs w:val="14"/>
              </w:rPr>
              <w:t>5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8D4A16">
              <w:rPr>
                <w:rFonts w:ascii="Tahoma" w:hAnsi="Tahoma" w:cs="Tahoma"/>
                <w:sz w:val="14"/>
                <w:szCs w:val="14"/>
              </w:rPr>
              <w:t>2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B57B36" w:rsidRDefault="000A03B2" w:rsidP="000A03B2">
      <w:pPr>
        <w:pStyle w:val="CETAuthors"/>
        <w:sectPr w:rsidR="000A03B2" w:rsidRPr="00B57B36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023D041E" w:rsidR="00E978D0" w:rsidRPr="00B57B36" w:rsidRDefault="00A540E1" w:rsidP="00E978D0">
      <w:pPr>
        <w:pStyle w:val="CETTitle"/>
      </w:pPr>
      <w:r>
        <w:t xml:space="preserve">Techno-economic modelling of carbon </w:t>
      </w:r>
      <w:r w:rsidR="00BA7EF4">
        <w:t>dioxide utilisation pathways at refineries for the production of methanol</w:t>
      </w:r>
    </w:p>
    <w:p w14:paraId="0488FED2" w14:textId="79F4738B" w:rsidR="00B57E6F" w:rsidRPr="00837A32" w:rsidRDefault="000B18B3" w:rsidP="00B57E6F">
      <w:pPr>
        <w:pStyle w:val="CETAuthors"/>
        <w:rPr>
          <w:lang w:val="it-IT"/>
        </w:rPr>
      </w:pPr>
      <w:r w:rsidRPr="00837A32">
        <w:rPr>
          <w:lang w:val="it-IT"/>
        </w:rPr>
        <w:t>Federico d’Amore</w:t>
      </w:r>
      <w:r w:rsidR="00BA4F2A" w:rsidRPr="00BA4F2A">
        <w:rPr>
          <w:lang w:val="it-IT"/>
        </w:rPr>
        <w:t>*</w:t>
      </w:r>
      <w:r w:rsidR="00B57E6F" w:rsidRPr="00837A32">
        <w:rPr>
          <w:lang w:val="it-IT"/>
        </w:rPr>
        <w:t xml:space="preserve">, </w:t>
      </w:r>
      <w:r w:rsidRPr="00837A32">
        <w:rPr>
          <w:lang w:val="it-IT"/>
        </w:rPr>
        <w:t>Andrea Nava</w:t>
      </w:r>
      <w:r w:rsidR="00837A32" w:rsidRPr="00837A32">
        <w:rPr>
          <w:lang w:val="it-IT"/>
        </w:rPr>
        <w:t>, Paolo Colbertaldo</w:t>
      </w:r>
      <w:r w:rsidR="00B57E6F" w:rsidRPr="00837A32">
        <w:rPr>
          <w:lang w:val="it-IT"/>
        </w:rPr>
        <w:t>,</w:t>
      </w:r>
      <w:r w:rsidR="00837A32" w:rsidRPr="00837A32">
        <w:rPr>
          <w:lang w:val="it-IT"/>
        </w:rPr>
        <w:t xml:space="preserve"> </w:t>
      </w:r>
      <w:r w:rsidR="00837A32">
        <w:rPr>
          <w:lang w:val="it-IT"/>
        </w:rPr>
        <w:t>Carlo G. Visconti, Matteo C. Romano</w:t>
      </w:r>
    </w:p>
    <w:p w14:paraId="6B2D21B3" w14:textId="6024CF61" w:rsidR="00B57E6F" w:rsidRPr="00E745EF" w:rsidRDefault="00E745EF" w:rsidP="00B57E6F">
      <w:pPr>
        <w:pStyle w:val="CETAddress"/>
        <w:rPr>
          <w:lang w:val="it-IT"/>
        </w:rPr>
      </w:pPr>
      <w:r w:rsidRPr="00E745EF">
        <w:rPr>
          <w:lang w:val="it-IT"/>
        </w:rPr>
        <w:t>Department of Energy, Politecnico di Milano, Via Lambruschini 4</w:t>
      </w:r>
      <w:r w:rsidR="00BA4F2A">
        <w:rPr>
          <w:lang w:val="it-IT"/>
        </w:rPr>
        <w:t>A</w:t>
      </w:r>
      <w:r>
        <w:rPr>
          <w:lang w:val="it-IT"/>
        </w:rPr>
        <w:t>, 20156</w:t>
      </w:r>
      <w:r w:rsidR="00BA4F2A">
        <w:rPr>
          <w:lang w:val="it-IT"/>
        </w:rPr>
        <w:t xml:space="preserve"> Milan, Italy</w:t>
      </w:r>
      <w:r w:rsidR="00B57E6F" w:rsidRPr="00E745EF">
        <w:rPr>
          <w:lang w:val="it-IT"/>
        </w:rPr>
        <w:t xml:space="preserve"> </w:t>
      </w:r>
    </w:p>
    <w:p w14:paraId="73F1267A" w14:textId="091A234E" w:rsidR="00B57E6F" w:rsidRPr="00DB4459" w:rsidRDefault="00BA4F2A" w:rsidP="00B57E6F">
      <w:pPr>
        <w:pStyle w:val="CETemail"/>
      </w:pPr>
      <w:r w:rsidRPr="00DB4459">
        <w:t>federico</w:t>
      </w:r>
      <w:r w:rsidR="00B57E6F" w:rsidRPr="00DB4459">
        <w:t>.</w:t>
      </w:r>
      <w:r w:rsidRPr="00DB4459">
        <w:t>damore</w:t>
      </w:r>
      <w:r w:rsidR="00B57E6F" w:rsidRPr="00DB4459">
        <w:t>@</w:t>
      </w:r>
      <w:r w:rsidRPr="00DB4459">
        <w:t>polimi.it</w:t>
      </w:r>
    </w:p>
    <w:p w14:paraId="78F82BA5" w14:textId="2669A9BC" w:rsidR="00D059CF" w:rsidRDefault="00906DAB" w:rsidP="00600535">
      <w:pPr>
        <w:pStyle w:val="CETBodytext"/>
        <w:rPr>
          <w:lang w:val="en-GB"/>
        </w:rPr>
      </w:pPr>
      <w:r>
        <w:rPr>
          <w:lang w:val="en-GB"/>
        </w:rPr>
        <w:t xml:space="preserve">The decarbonisation of </w:t>
      </w:r>
      <w:r w:rsidR="004F6C09">
        <w:rPr>
          <w:lang w:val="en-GB"/>
        </w:rPr>
        <w:t>carbon-</w:t>
      </w:r>
      <w:r>
        <w:rPr>
          <w:lang w:val="en-GB"/>
        </w:rPr>
        <w:t xml:space="preserve">intensive sectors is a fundamental task for the achievement of future environmental goals. </w:t>
      </w:r>
      <w:r w:rsidR="00641B7B">
        <w:rPr>
          <w:lang w:val="en-GB"/>
        </w:rPr>
        <w:t>Within the challenge of industrial decarbonisation, o</w:t>
      </w:r>
      <w:r w:rsidR="00D059CF" w:rsidRPr="005C0D06">
        <w:rPr>
          <w:lang w:val="en-GB"/>
        </w:rPr>
        <w:t>il refining represents</w:t>
      </w:r>
      <w:r w:rsidR="005C0D06" w:rsidRPr="005C0D06">
        <w:rPr>
          <w:lang w:val="en-GB"/>
        </w:rPr>
        <w:t xml:space="preserve"> a h</w:t>
      </w:r>
      <w:r w:rsidR="005C0D06">
        <w:rPr>
          <w:lang w:val="en-GB"/>
        </w:rPr>
        <w:t>ar</w:t>
      </w:r>
      <w:r w:rsidR="0099460F">
        <w:rPr>
          <w:lang w:val="en-GB"/>
        </w:rPr>
        <w:t>d</w:t>
      </w:r>
      <w:r w:rsidR="005C0D06">
        <w:rPr>
          <w:lang w:val="en-GB"/>
        </w:rPr>
        <w:t xml:space="preserve">-to-abate sector, considering that it is characterised by </w:t>
      </w:r>
      <w:r w:rsidR="00066129">
        <w:rPr>
          <w:lang w:val="en-GB"/>
        </w:rPr>
        <w:t>CO</w:t>
      </w:r>
      <w:r w:rsidR="00066129" w:rsidRPr="00066129">
        <w:rPr>
          <w:vertAlign w:val="subscript"/>
          <w:lang w:val="en-GB"/>
        </w:rPr>
        <w:t>2</w:t>
      </w:r>
      <w:r w:rsidR="00066129">
        <w:rPr>
          <w:lang w:val="en-GB"/>
        </w:rPr>
        <w:t xml:space="preserve"> emissions deriving from multiple units and at different levels of concentration and flow rate. </w:t>
      </w:r>
      <w:r w:rsidR="00641B7B">
        <w:rPr>
          <w:lang w:val="en-GB"/>
        </w:rPr>
        <w:t xml:space="preserve">Therefore, </w:t>
      </w:r>
      <w:r w:rsidR="00486CCD">
        <w:rPr>
          <w:lang w:val="en-GB"/>
        </w:rPr>
        <w:t>pathways for the separation and conversion of such CO</w:t>
      </w:r>
      <w:r w:rsidR="00486CCD" w:rsidRPr="0095200C">
        <w:rPr>
          <w:vertAlign w:val="subscript"/>
          <w:lang w:val="en-GB"/>
        </w:rPr>
        <w:t>2</w:t>
      </w:r>
      <w:r w:rsidR="00486CCD">
        <w:rPr>
          <w:lang w:val="en-GB"/>
        </w:rPr>
        <w:t xml:space="preserve"> into products (</w:t>
      </w:r>
      <w:r w:rsidR="00C4105D">
        <w:rPr>
          <w:lang w:val="en-GB"/>
        </w:rPr>
        <w:t xml:space="preserve">e.g., synthetic fuels) may cover an important role in the </w:t>
      </w:r>
      <w:r w:rsidR="0095200C">
        <w:rPr>
          <w:lang w:val="en-GB"/>
        </w:rPr>
        <w:t>reduction of CO</w:t>
      </w:r>
      <w:r w:rsidR="0095200C" w:rsidRPr="0095200C">
        <w:rPr>
          <w:vertAlign w:val="subscript"/>
          <w:lang w:val="en-GB"/>
        </w:rPr>
        <w:t>2</w:t>
      </w:r>
      <w:r w:rsidR="0095200C">
        <w:rPr>
          <w:lang w:val="en-GB"/>
        </w:rPr>
        <w:t xml:space="preserve"> emissions from refineries.</w:t>
      </w:r>
    </w:p>
    <w:p w14:paraId="78C2B0C0" w14:textId="3A841BB4" w:rsidR="00E15A6D" w:rsidRDefault="00E15A6D" w:rsidP="00600535">
      <w:pPr>
        <w:pStyle w:val="CETBodytext"/>
        <w:rPr>
          <w:lang w:val="en-GB"/>
        </w:rPr>
      </w:pPr>
      <w:r>
        <w:rPr>
          <w:lang w:val="en-GB"/>
        </w:rPr>
        <w:t xml:space="preserve">The objective of this study is the technical design and economic evaluation of </w:t>
      </w:r>
      <w:r w:rsidR="000C77FA">
        <w:rPr>
          <w:lang w:val="en-GB"/>
        </w:rPr>
        <w:t>a</w:t>
      </w:r>
      <w:r>
        <w:rPr>
          <w:lang w:val="en-GB"/>
        </w:rPr>
        <w:t xml:space="preserve"> conversion pathway </w:t>
      </w:r>
      <w:r w:rsidR="00F4716C">
        <w:rPr>
          <w:lang w:val="en-GB"/>
        </w:rPr>
        <w:t>for the production of CO</w:t>
      </w:r>
      <w:r w:rsidR="00F4716C" w:rsidRPr="00A23455">
        <w:rPr>
          <w:vertAlign w:val="subscript"/>
          <w:lang w:val="en-GB"/>
        </w:rPr>
        <w:t>2</w:t>
      </w:r>
      <w:r w:rsidR="00F4716C">
        <w:rPr>
          <w:lang w:val="en-GB"/>
        </w:rPr>
        <w:t xml:space="preserve"> and green H</w:t>
      </w:r>
      <w:r w:rsidR="00F4716C" w:rsidRPr="00A23455">
        <w:rPr>
          <w:vertAlign w:val="subscript"/>
          <w:lang w:val="en-GB"/>
        </w:rPr>
        <w:t>2</w:t>
      </w:r>
      <w:r w:rsidR="00F4716C">
        <w:rPr>
          <w:lang w:val="en-GB"/>
        </w:rPr>
        <w:t>-based e-Fuel</w:t>
      </w:r>
      <w:r w:rsidR="007944DF">
        <w:rPr>
          <w:lang w:val="en-GB"/>
        </w:rPr>
        <w:t xml:space="preserve"> methanol</w:t>
      </w:r>
      <w:r w:rsidR="00F4716C">
        <w:rPr>
          <w:lang w:val="en-GB"/>
        </w:rPr>
        <w:t xml:space="preserve"> (i.e., based on </w:t>
      </w:r>
      <w:r w:rsidR="007625AD">
        <w:rPr>
          <w:lang w:val="en-GB"/>
        </w:rPr>
        <w:t xml:space="preserve">conventional electrolysis), </w:t>
      </w:r>
      <w:r w:rsidR="002138B7">
        <w:rPr>
          <w:lang w:val="en-GB"/>
        </w:rPr>
        <w:t xml:space="preserve">as </w:t>
      </w:r>
      <w:r w:rsidR="002138B7" w:rsidRPr="002138B7">
        <w:rPr>
          <w:lang w:val="en-GB"/>
        </w:rPr>
        <w:t>juxtaposed</w:t>
      </w:r>
      <w:r w:rsidR="007625AD">
        <w:rPr>
          <w:lang w:val="en-GB"/>
        </w:rPr>
        <w:t xml:space="preserve"> to an alternative process concept based on electrified reforming</w:t>
      </w:r>
      <w:r w:rsidR="007B1AB5">
        <w:rPr>
          <w:lang w:val="en-GB"/>
        </w:rPr>
        <w:t xml:space="preserve"> er-Fuel methanol</w:t>
      </w:r>
      <w:r w:rsidR="007625AD">
        <w:rPr>
          <w:lang w:val="en-GB"/>
        </w:rPr>
        <w:t xml:space="preserve">. </w:t>
      </w:r>
      <w:r w:rsidR="00B72DBD">
        <w:rPr>
          <w:lang w:val="en-GB"/>
        </w:rPr>
        <w:t>Such plants are modelled in terms of mass and energy balances in Aspen Plus</w:t>
      </w:r>
      <w:r w:rsidR="00B72DBD" w:rsidRPr="00B72DBD">
        <w:rPr>
          <w:rFonts w:cs="Arial"/>
          <w:vertAlign w:val="superscript"/>
          <w:lang w:val="en-GB"/>
        </w:rPr>
        <w:t>®</w:t>
      </w:r>
      <w:r w:rsidR="00B72DBD">
        <w:rPr>
          <w:lang w:val="en-GB"/>
        </w:rPr>
        <w:t xml:space="preserve"> software</w:t>
      </w:r>
      <w:r w:rsidR="00012F52">
        <w:rPr>
          <w:lang w:val="en-GB"/>
        </w:rPr>
        <w:t xml:space="preserve"> to produce methanol</w:t>
      </w:r>
      <w:r w:rsidR="00B72DBD">
        <w:rPr>
          <w:lang w:val="en-GB"/>
        </w:rPr>
        <w:t xml:space="preserve">. Then, an economic assessment is carried out to highlight </w:t>
      </w:r>
      <w:r w:rsidR="00012F52">
        <w:rPr>
          <w:lang w:val="en-GB"/>
        </w:rPr>
        <w:t>the</w:t>
      </w:r>
      <w:r w:rsidR="00B72DBD">
        <w:rPr>
          <w:lang w:val="en-GB"/>
        </w:rPr>
        <w:t xml:space="preserve"> </w:t>
      </w:r>
      <w:r w:rsidR="00787D87">
        <w:rPr>
          <w:lang w:val="en-GB"/>
        </w:rPr>
        <w:t>best</w:t>
      </w:r>
      <w:r w:rsidR="00B72DBD">
        <w:rPr>
          <w:lang w:val="en-GB"/>
        </w:rPr>
        <w:t xml:space="preserve"> design configurations and compare the production costs.</w:t>
      </w:r>
    </w:p>
    <w:p w14:paraId="5A2C647A" w14:textId="517B30AE" w:rsidR="00D059CF" w:rsidRPr="005C0D06" w:rsidRDefault="004D4732" w:rsidP="00600535">
      <w:pPr>
        <w:pStyle w:val="CETBodytext"/>
        <w:rPr>
          <w:lang w:val="en-GB"/>
        </w:rPr>
      </w:pPr>
      <w:r>
        <w:rPr>
          <w:lang w:val="en-GB"/>
        </w:rPr>
        <w:t xml:space="preserve">Optimal </w:t>
      </w:r>
      <w:r w:rsidR="00907F9D">
        <w:rPr>
          <w:lang w:val="en-GB"/>
        </w:rPr>
        <w:t>plants configurations are determined by fine-tuning the level of light products recycles, to minimise the feed of green H</w:t>
      </w:r>
      <w:r w:rsidR="00907F9D" w:rsidRPr="00277A48">
        <w:rPr>
          <w:vertAlign w:val="subscript"/>
          <w:lang w:val="en-GB"/>
        </w:rPr>
        <w:t>2</w:t>
      </w:r>
      <w:r w:rsidR="00907F9D">
        <w:rPr>
          <w:lang w:val="en-GB"/>
        </w:rPr>
        <w:t xml:space="preserve"> and </w:t>
      </w:r>
      <w:r w:rsidR="00882D61">
        <w:rPr>
          <w:lang w:val="en-GB"/>
        </w:rPr>
        <w:t>maximise the performance indicators</w:t>
      </w:r>
      <w:r w:rsidR="00F06627">
        <w:rPr>
          <w:lang w:val="en-GB"/>
        </w:rPr>
        <w:t xml:space="preserve">. </w:t>
      </w:r>
      <w:r w:rsidR="00BB4EE4">
        <w:rPr>
          <w:lang w:val="en-GB"/>
        </w:rPr>
        <w:t>Results demonstrate</w:t>
      </w:r>
      <w:r w:rsidR="00EF3E32">
        <w:rPr>
          <w:lang w:val="en-GB"/>
        </w:rPr>
        <w:t xml:space="preserve"> how </w:t>
      </w:r>
      <w:r w:rsidR="00196B2B">
        <w:rPr>
          <w:lang w:val="en-GB"/>
        </w:rPr>
        <w:t xml:space="preserve">the </w:t>
      </w:r>
      <w:r w:rsidR="00EF3E32">
        <w:rPr>
          <w:lang w:val="en-GB"/>
        </w:rPr>
        <w:t>er-Fuel configuration allow</w:t>
      </w:r>
      <w:r w:rsidR="004F6C09">
        <w:rPr>
          <w:lang w:val="en-GB"/>
        </w:rPr>
        <w:t>s</w:t>
      </w:r>
      <w:r w:rsidR="00EF3E32">
        <w:rPr>
          <w:lang w:val="en-GB"/>
        </w:rPr>
        <w:t xml:space="preserve"> better conversion efficiencies and lower </w:t>
      </w:r>
      <w:r w:rsidR="00D3219E">
        <w:rPr>
          <w:lang w:val="en-GB"/>
        </w:rPr>
        <w:t>production</w:t>
      </w:r>
      <w:r w:rsidR="002503C9">
        <w:rPr>
          <w:lang w:val="en-GB"/>
        </w:rPr>
        <w:t xml:space="preserve"> </w:t>
      </w:r>
      <w:r w:rsidR="00EF3E32">
        <w:rPr>
          <w:lang w:val="en-GB"/>
        </w:rPr>
        <w:t>costs</w:t>
      </w:r>
      <w:r w:rsidR="004F6C09">
        <w:rPr>
          <w:lang w:val="en-GB"/>
        </w:rPr>
        <w:t>, in the order of 30-40</w:t>
      </w:r>
      <w:r w:rsidR="00E77749">
        <w:rPr>
          <w:lang w:val="en-GB"/>
        </w:rPr>
        <w:t> </w:t>
      </w:r>
      <w:r w:rsidR="004F6C09">
        <w:rPr>
          <w:lang w:val="en-GB"/>
        </w:rPr>
        <w:t>% reduction</w:t>
      </w:r>
      <w:r w:rsidR="00EF3E32">
        <w:rPr>
          <w:lang w:val="en-GB"/>
        </w:rPr>
        <w:t xml:space="preserve"> </w:t>
      </w:r>
      <w:r w:rsidR="003B24A6">
        <w:rPr>
          <w:lang w:val="en-GB"/>
        </w:rPr>
        <w:t xml:space="preserve">with respect to </w:t>
      </w:r>
      <w:r w:rsidR="00F06428">
        <w:rPr>
          <w:lang w:val="en-GB"/>
        </w:rPr>
        <w:t>the</w:t>
      </w:r>
      <w:r w:rsidR="003B24A6">
        <w:rPr>
          <w:lang w:val="en-GB"/>
        </w:rPr>
        <w:t xml:space="preserve"> e-Fuel design.</w:t>
      </w:r>
    </w:p>
    <w:p w14:paraId="476B2F2E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3E8D19BE" w14:textId="1D0CB267" w:rsidR="00007C69" w:rsidRPr="007F634A" w:rsidRDefault="00C13E4E" w:rsidP="00600535">
      <w:pPr>
        <w:pStyle w:val="CETBodytext"/>
        <w:rPr>
          <w:lang w:val="en-GB"/>
        </w:rPr>
      </w:pPr>
      <w:r>
        <w:rPr>
          <w:lang w:val="en-GB"/>
        </w:rPr>
        <w:t>Climate change due to the anthropogenic emissions of greenhouse gases, particularly CO</w:t>
      </w:r>
      <w:r w:rsidRPr="00AC42CF">
        <w:rPr>
          <w:vertAlign w:val="subscript"/>
          <w:lang w:val="en-GB"/>
        </w:rPr>
        <w:t>2</w:t>
      </w:r>
      <w:r>
        <w:rPr>
          <w:lang w:val="en-GB"/>
        </w:rPr>
        <w:t>, is a complex and multifaceted issue to be tackled in the next decades (</w:t>
      </w:r>
      <w:r w:rsidRPr="007F634A">
        <w:rPr>
          <w:lang w:val="en-GB"/>
        </w:rPr>
        <w:t>IPCC</w:t>
      </w:r>
      <w:r w:rsidR="00365AB9">
        <w:rPr>
          <w:lang w:val="en-GB"/>
        </w:rPr>
        <w:t>,</w:t>
      </w:r>
      <w:r w:rsidR="00365AB9" w:rsidRPr="007F634A">
        <w:rPr>
          <w:lang w:val="en-GB"/>
        </w:rPr>
        <w:t xml:space="preserve"> </w:t>
      </w:r>
      <w:r w:rsidRPr="007F634A">
        <w:rPr>
          <w:lang w:val="en-GB"/>
        </w:rPr>
        <w:t>2018). The decarbonisation of highly carbon</w:t>
      </w:r>
      <w:r w:rsidR="00365AB9">
        <w:rPr>
          <w:lang w:val="en-GB"/>
        </w:rPr>
        <w:t>-</w:t>
      </w:r>
      <w:r w:rsidRPr="007F634A">
        <w:rPr>
          <w:lang w:val="en-GB"/>
        </w:rPr>
        <w:t>intensive industry sectors (</w:t>
      </w:r>
      <w:r w:rsidR="00816491" w:rsidRPr="007F634A">
        <w:rPr>
          <w:lang w:val="en-GB"/>
        </w:rPr>
        <w:t>e.g.</w:t>
      </w:r>
      <w:r w:rsidRPr="007F634A">
        <w:rPr>
          <w:lang w:val="en-GB"/>
        </w:rPr>
        <w:t xml:space="preserve">, </w:t>
      </w:r>
      <w:r w:rsidR="00816491" w:rsidRPr="007F634A">
        <w:rPr>
          <w:lang w:val="en-GB"/>
        </w:rPr>
        <w:t xml:space="preserve">iron and steel, </w:t>
      </w:r>
      <w:r w:rsidR="00365AB9">
        <w:rPr>
          <w:lang w:val="en-GB"/>
        </w:rPr>
        <w:t xml:space="preserve">oil </w:t>
      </w:r>
      <w:r w:rsidR="00365AB9" w:rsidRPr="007F634A">
        <w:rPr>
          <w:lang w:val="en-GB"/>
        </w:rPr>
        <w:t>refin</w:t>
      </w:r>
      <w:r w:rsidR="00365AB9">
        <w:rPr>
          <w:lang w:val="en-GB"/>
        </w:rPr>
        <w:t>ing</w:t>
      </w:r>
      <w:r w:rsidR="00816491" w:rsidRPr="007F634A">
        <w:rPr>
          <w:lang w:val="en-GB"/>
        </w:rPr>
        <w:t>, cement) is of paramount importance to achieve future goals within the framework of this global environmental challenge</w:t>
      </w:r>
      <w:r w:rsidR="00DB4459">
        <w:rPr>
          <w:lang w:val="en-GB"/>
        </w:rPr>
        <w:t xml:space="preserve"> (d’Amore et al., 2021)</w:t>
      </w:r>
      <w:r w:rsidR="00816491" w:rsidRPr="007F634A">
        <w:rPr>
          <w:lang w:val="en-GB"/>
        </w:rPr>
        <w:t xml:space="preserve">. </w:t>
      </w:r>
      <w:r w:rsidR="003F65A9" w:rsidRPr="007F634A">
        <w:rPr>
          <w:lang w:val="en-GB"/>
        </w:rPr>
        <w:t>As in 2019 in Europe the 23.9 % of CO</w:t>
      </w:r>
      <w:r w:rsidR="003F65A9" w:rsidRPr="007F634A">
        <w:rPr>
          <w:vertAlign w:val="subscript"/>
          <w:lang w:val="en-GB"/>
        </w:rPr>
        <w:t>2</w:t>
      </w:r>
      <w:r w:rsidR="003F65A9" w:rsidRPr="007F634A">
        <w:rPr>
          <w:lang w:val="en-GB"/>
        </w:rPr>
        <w:t xml:space="preserve"> emissions derived from industry-related processes and </w:t>
      </w:r>
      <w:r w:rsidR="00AC52FA" w:rsidRPr="007F634A">
        <w:rPr>
          <w:lang w:val="en-GB"/>
        </w:rPr>
        <w:t>operations (EEA, 2021),</w:t>
      </w:r>
      <w:r w:rsidR="004E0C3C" w:rsidRPr="007F634A">
        <w:rPr>
          <w:lang w:val="en-GB"/>
        </w:rPr>
        <w:t xml:space="preserve"> and considering that oil refining represents an hard-to-abate sector due to its multitude of emitting units (IEAGHG, 2017), carbon</w:t>
      </w:r>
      <w:r w:rsidR="00C2587B" w:rsidRPr="007F634A">
        <w:rPr>
          <w:lang w:val="en-GB"/>
        </w:rPr>
        <w:t xml:space="preserve"> capture and utilisation (CCU) technologies may play an important role in the decarbonisation of these sites (Dieterich et al., 2020; Hepburn et al., 2019).</w:t>
      </w:r>
      <w:r w:rsidR="00A429A9" w:rsidRPr="007F634A">
        <w:rPr>
          <w:lang w:val="en-GB"/>
        </w:rPr>
        <w:t xml:space="preserve"> This consideration reflects in the growing</w:t>
      </w:r>
      <w:r w:rsidR="00C16BB9" w:rsidRPr="007F634A">
        <w:rPr>
          <w:lang w:val="en-GB"/>
        </w:rPr>
        <w:t xml:space="preserve"> scientific and industrial</w:t>
      </w:r>
      <w:r w:rsidR="00A429A9" w:rsidRPr="007F634A">
        <w:rPr>
          <w:lang w:val="en-GB"/>
        </w:rPr>
        <w:t xml:space="preserve"> interest in</w:t>
      </w:r>
      <w:r w:rsidR="00C16BB9" w:rsidRPr="007F634A">
        <w:rPr>
          <w:lang w:val="en-GB"/>
        </w:rPr>
        <w:t xml:space="preserve"> CCU-derived e-products (i.e., e-Fuels)</w:t>
      </w:r>
      <w:r w:rsidR="00956677" w:rsidRPr="007F634A">
        <w:rPr>
          <w:lang w:val="en-GB"/>
        </w:rPr>
        <w:t xml:space="preserve"> (</w:t>
      </w:r>
      <w:proofErr w:type="spellStart"/>
      <w:r w:rsidR="00B20373" w:rsidRPr="007F634A">
        <w:rPr>
          <w:lang w:val="en-GB"/>
        </w:rPr>
        <w:t>Chehade</w:t>
      </w:r>
      <w:proofErr w:type="spellEnd"/>
      <w:r w:rsidR="00B20373" w:rsidRPr="007F634A">
        <w:rPr>
          <w:lang w:val="en-GB"/>
        </w:rPr>
        <w:t xml:space="preserve"> et al., 2019</w:t>
      </w:r>
      <w:r w:rsidR="00956677" w:rsidRPr="007F634A">
        <w:rPr>
          <w:lang w:val="en-GB"/>
        </w:rPr>
        <w:t>)</w:t>
      </w:r>
      <w:r w:rsidR="00FE1971" w:rsidRPr="007F634A">
        <w:rPr>
          <w:lang w:val="en-GB"/>
        </w:rPr>
        <w:t>, meaning</w:t>
      </w:r>
      <w:r w:rsidR="003456A8" w:rsidRPr="007F634A">
        <w:rPr>
          <w:lang w:val="en-GB"/>
        </w:rPr>
        <w:t xml:space="preserve"> by this term</w:t>
      </w:r>
      <w:r w:rsidR="00FE1971" w:rsidRPr="007F634A">
        <w:rPr>
          <w:lang w:val="en-GB"/>
        </w:rPr>
        <w:t xml:space="preserve"> the production of synthetic fuels via </w:t>
      </w:r>
      <w:r w:rsidR="002D62D9" w:rsidRPr="007F634A">
        <w:rPr>
          <w:lang w:val="en-GB"/>
        </w:rPr>
        <w:t>combining green H</w:t>
      </w:r>
      <w:r w:rsidR="002D62D9" w:rsidRPr="007F634A">
        <w:rPr>
          <w:vertAlign w:val="subscript"/>
          <w:lang w:val="en-GB"/>
        </w:rPr>
        <w:t>2</w:t>
      </w:r>
      <w:r w:rsidR="002D62D9" w:rsidRPr="007F634A">
        <w:rPr>
          <w:lang w:val="en-GB"/>
        </w:rPr>
        <w:t xml:space="preserve"> (i.e., produced through </w:t>
      </w:r>
      <w:r w:rsidR="00365AB9">
        <w:rPr>
          <w:lang w:val="en-GB"/>
        </w:rPr>
        <w:t xml:space="preserve">water </w:t>
      </w:r>
      <w:r w:rsidR="002D62D9" w:rsidRPr="007F634A">
        <w:rPr>
          <w:lang w:val="en-GB"/>
        </w:rPr>
        <w:t>electrolysis fed with renewable electricity)</w:t>
      </w:r>
      <w:r w:rsidR="000A4B07" w:rsidRPr="007F634A">
        <w:rPr>
          <w:lang w:val="en-GB"/>
        </w:rPr>
        <w:t xml:space="preserve"> and captured CO</w:t>
      </w:r>
      <w:r w:rsidR="000A4B07" w:rsidRPr="007F634A">
        <w:rPr>
          <w:vertAlign w:val="subscript"/>
          <w:lang w:val="en-GB"/>
        </w:rPr>
        <w:t>2</w:t>
      </w:r>
      <w:r w:rsidR="000A4B07" w:rsidRPr="007F634A">
        <w:rPr>
          <w:lang w:val="en-GB"/>
        </w:rPr>
        <w:t xml:space="preserve"> (either from concentrated sources or </w:t>
      </w:r>
      <w:r w:rsidR="004F0F24" w:rsidRPr="007F634A">
        <w:rPr>
          <w:lang w:val="en-GB"/>
        </w:rPr>
        <w:t>by direct air capture - DAC</w:t>
      </w:r>
      <w:r w:rsidR="000A4B07" w:rsidRPr="007F634A">
        <w:rPr>
          <w:lang w:val="en-GB"/>
        </w:rPr>
        <w:t>).</w:t>
      </w:r>
      <w:r w:rsidR="00A429A9" w:rsidRPr="007F634A">
        <w:rPr>
          <w:lang w:val="en-GB"/>
        </w:rPr>
        <w:t xml:space="preserve"> </w:t>
      </w:r>
      <w:r w:rsidR="000D762C" w:rsidRPr="007F634A">
        <w:rPr>
          <w:lang w:val="en-GB"/>
        </w:rPr>
        <w:t xml:space="preserve">Methanol (MeOH) </w:t>
      </w:r>
      <w:r w:rsidR="00F428D2" w:rsidRPr="007F634A">
        <w:rPr>
          <w:lang w:val="en-GB"/>
        </w:rPr>
        <w:t>is</w:t>
      </w:r>
      <w:r w:rsidR="000D762C" w:rsidRPr="007F634A">
        <w:rPr>
          <w:lang w:val="en-GB"/>
        </w:rPr>
        <w:t xml:space="preserve"> amon</w:t>
      </w:r>
      <w:r w:rsidR="00774533" w:rsidRPr="007F634A">
        <w:rPr>
          <w:lang w:val="en-GB"/>
        </w:rPr>
        <w:t>g the most investigated e-products (Wulf et al., 2020)</w:t>
      </w:r>
      <w:r w:rsidR="00017769" w:rsidRPr="007F634A">
        <w:rPr>
          <w:lang w:val="en-GB"/>
        </w:rPr>
        <w:t xml:space="preserve">, considering that </w:t>
      </w:r>
      <w:r w:rsidR="00F428D2" w:rsidRPr="007F634A">
        <w:rPr>
          <w:lang w:val="en-GB"/>
        </w:rPr>
        <w:t>it</w:t>
      </w:r>
      <w:r w:rsidR="00017769" w:rsidRPr="007F634A">
        <w:rPr>
          <w:lang w:val="en-GB"/>
        </w:rPr>
        <w:t xml:space="preserve"> can be deployed </w:t>
      </w:r>
      <w:r w:rsidR="00365AB9">
        <w:rPr>
          <w:lang w:val="en-GB"/>
        </w:rPr>
        <w:t xml:space="preserve">both </w:t>
      </w:r>
      <w:r w:rsidR="00017769" w:rsidRPr="007F634A">
        <w:rPr>
          <w:lang w:val="en-GB"/>
        </w:rPr>
        <w:t xml:space="preserve">as </w:t>
      </w:r>
      <w:r w:rsidR="001C47B4">
        <w:rPr>
          <w:lang w:val="en-GB"/>
        </w:rPr>
        <w:t xml:space="preserve">a </w:t>
      </w:r>
      <w:r w:rsidR="00017769" w:rsidRPr="007F634A">
        <w:rPr>
          <w:lang w:val="en-GB"/>
        </w:rPr>
        <w:t>liquid fuel</w:t>
      </w:r>
      <w:r w:rsidR="001C47B4">
        <w:rPr>
          <w:lang w:val="en-GB"/>
        </w:rPr>
        <w:t xml:space="preserve"> and as </w:t>
      </w:r>
      <w:r w:rsidR="00365AB9">
        <w:rPr>
          <w:lang w:val="en-GB"/>
        </w:rPr>
        <w:t xml:space="preserve">a </w:t>
      </w:r>
      <w:r w:rsidR="001C47B4">
        <w:rPr>
          <w:lang w:val="en-GB"/>
        </w:rPr>
        <w:t>platform chemical</w:t>
      </w:r>
      <w:r w:rsidR="00774533" w:rsidRPr="007F634A">
        <w:rPr>
          <w:lang w:val="en-GB"/>
        </w:rPr>
        <w:t>.</w:t>
      </w:r>
    </w:p>
    <w:p w14:paraId="2CCFFCAF" w14:textId="0F5665F1" w:rsidR="00A7130D" w:rsidRDefault="004A39A7" w:rsidP="00600535">
      <w:pPr>
        <w:pStyle w:val="CETBodytext"/>
        <w:rPr>
          <w:lang w:val="en-GB"/>
        </w:rPr>
      </w:pPr>
      <w:r w:rsidRPr="007F634A">
        <w:rPr>
          <w:lang w:val="en-GB"/>
        </w:rPr>
        <w:t>Different studies have questioned t</w:t>
      </w:r>
      <w:r w:rsidR="0038550A" w:rsidRPr="007F634A">
        <w:rPr>
          <w:lang w:val="en-GB"/>
        </w:rPr>
        <w:t xml:space="preserve">he </w:t>
      </w:r>
      <w:r w:rsidRPr="007F634A">
        <w:rPr>
          <w:lang w:val="en-GB"/>
        </w:rPr>
        <w:t>role</w:t>
      </w:r>
      <w:r w:rsidR="0038550A" w:rsidRPr="007F634A">
        <w:rPr>
          <w:lang w:val="en-GB"/>
        </w:rPr>
        <w:t xml:space="preserve"> of CCU in mitigating climate change</w:t>
      </w:r>
      <w:r w:rsidRPr="007F634A">
        <w:rPr>
          <w:lang w:val="en-GB"/>
        </w:rPr>
        <w:t xml:space="preserve"> (</w:t>
      </w:r>
      <w:r w:rsidR="0096609A" w:rsidRPr="007F634A">
        <w:rPr>
          <w:lang w:val="en-GB"/>
        </w:rPr>
        <w:t>Mac Dowell et al., 2017</w:t>
      </w:r>
      <w:r w:rsidRPr="007F634A">
        <w:rPr>
          <w:lang w:val="en-GB"/>
        </w:rPr>
        <w:t xml:space="preserve">) and the effective </w:t>
      </w:r>
      <w:r w:rsidR="004F7E12" w:rsidRPr="007F634A">
        <w:rPr>
          <w:lang w:val="en-GB"/>
        </w:rPr>
        <w:t>net CO</w:t>
      </w:r>
      <w:r w:rsidR="004F7E12" w:rsidRPr="007F634A">
        <w:rPr>
          <w:vertAlign w:val="subscript"/>
          <w:lang w:val="en-GB"/>
        </w:rPr>
        <w:t>2</w:t>
      </w:r>
      <w:r w:rsidR="004F7E12" w:rsidRPr="007F634A">
        <w:rPr>
          <w:lang w:val="en-GB"/>
        </w:rPr>
        <w:t xml:space="preserve"> avoidance of e-Fuel conversion pathways (</w:t>
      </w:r>
      <w:proofErr w:type="spellStart"/>
      <w:r w:rsidR="00F12B7F" w:rsidRPr="007F634A">
        <w:rPr>
          <w:lang w:val="en-GB"/>
        </w:rPr>
        <w:t>Ueckerdt</w:t>
      </w:r>
      <w:proofErr w:type="spellEnd"/>
      <w:r w:rsidR="00F12B7F" w:rsidRPr="007F634A">
        <w:rPr>
          <w:lang w:val="en-GB"/>
        </w:rPr>
        <w:t xml:space="preserve"> et al., 2021</w:t>
      </w:r>
      <w:r w:rsidR="004F7E12" w:rsidRPr="007F634A">
        <w:rPr>
          <w:lang w:val="en-GB"/>
        </w:rPr>
        <w:t>)</w:t>
      </w:r>
      <w:r w:rsidR="0096609A" w:rsidRPr="007F634A">
        <w:rPr>
          <w:lang w:val="en-GB"/>
        </w:rPr>
        <w:t xml:space="preserve">. </w:t>
      </w:r>
      <w:r w:rsidR="009A4AE7" w:rsidRPr="007F634A">
        <w:rPr>
          <w:lang w:val="en-GB"/>
        </w:rPr>
        <w:t xml:space="preserve">Firstly, as e-Fuels are meant to be used in combustion processes and would release their carbon content once burned, </w:t>
      </w:r>
      <w:r w:rsidR="00CB2DD1" w:rsidRPr="007F634A">
        <w:rPr>
          <w:lang w:val="en-GB"/>
        </w:rPr>
        <w:t>their production should make use of ‘carbon neutral-to-negative carbon’</w:t>
      </w:r>
      <w:r w:rsidR="004F0F24" w:rsidRPr="007F634A">
        <w:rPr>
          <w:lang w:val="en-GB"/>
        </w:rPr>
        <w:t xml:space="preserve">, i.e. </w:t>
      </w:r>
      <w:r w:rsidR="00937CA1" w:rsidRPr="007F634A">
        <w:rPr>
          <w:lang w:val="en-GB"/>
        </w:rPr>
        <w:t xml:space="preserve">separated from the atmosphere (i.e., DAC) or of biogenic origin </w:t>
      </w:r>
      <w:r w:rsidR="00280D55" w:rsidRPr="007F634A">
        <w:rPr>
          <w:lang w:val="en-GB"/>
        </w:rPr>
        <w:t>(</w:t>
      </w:r>
      <w:proofErr w:type="spellStart"/>
      <w:r w:rsidR="006E3320" w:rsidRPr="007F634A">
        <w:rPr>
          <w:lang w:val="en-GB"/>
        </w:rPr>
        <w:t>Gabrielli</w:t>
      </w:r>
      <w:proofErr w:type="spellEnd"/>
      <w:r w:rsidR="006E3320" w:rsidRPr="007F634A">
        <w:rPr>
          <w:lang w:val="en-GB"/>
        </w:rPr>
        <w:t xml:space="preserve"> et al., </w:t>
      </w:r>
      <w:r w:rsidR="003F470D" w:rsidRPr="007F634A">
        <w:rPr>
          <w:lang w:val="en-GB"/>
        </w:rPr>
        <w:t>2020</w:t>
      </w:r>
      <w:r w:rsidR="00280D55" w:rsidRPr="007F634A">
        <w:rPr>
          <w:lang w:val="en-GB"/>
        </w:rPr>
        <w:t>)</w:t>
      </w:r>
      <w:r w:rsidR="00937CA1" w:rsidRPr="007F634A">
        <w:rPr>
          <w:lang w:val="en-GB"/>
        </w:rPr>
        <w:t>.</w:t>
      </w:r>
      <w:r w:rsidR="00D5185E">
        <w:rPr>
          <w:lang w:val="en-GB"/>
        </w:rPr>
        <w:t xml:space="preserve"> In case fossil carbon is used in the production of an e-fuel, </w:t>
      </w:r>
      <w:r w:rsidR="00365AB9">
        <w:rPr>
          <w:lang w:val="en-GB"/>
        </w:rPr>
        <w:t xml:space="preserve">a </w:t>
      </w:r>
      <w:r w:rsidR="00D5185E">
        <w:rPr>
          <w:lang w:val="en-GB"/>
        </w:rPr>
        <w:t>net zero value chain should include a negative emission process, involving geologic storage of CO</w:t>
      </w:r>
      <w:r w:rsidR="00D5185E" w:rsidRPr="00C918ED">
        <w:rPr>
          <w:vertAlign w:val="subscript"/>
          <w:lang w:val="en-GB"/>
        </w:rPr>
        <w:t>2</w:t>
      </w:r>
      <w:r w:rsidR="00D5185E">
        <w:rPr>
          <w:lang w:val="en-GB"/>
        </w:rPr>
        <w:t xml:space="preserve"> from air (DACCS) o</w:t>
      </w:r>
      <w:r w:rsidR="005468E2">
        <w:rPr>
          <w:lang w:val="en-GB"/>
        </w:rPr>
        <w:t>r</w:t>
      </w:r>
      <w:r w:rsidR="00D5185E">
        <w:rPr>
          <w:lang w:val="en-GB"/>
        </w:rPr>
        <w:t xml:space="preserve"> of biogenic origin (</w:t>
      </w:r>
      <w:r w:rsidR="00D5185E" w:rsidRPr="007F634A">
        <w:rPr>
          <w:lang w:val="en-GB"/>
        </w:rPr>
        <w:t>bio-energy with carbon capture and storage - BECCS</w:t>
      </w:r>
      <w:r w:rsidR="00D5185E">
        <w:rPr>
          <w:lang w:val="en-GB"/>
        </w:rPr>
        <w:t>).</w:t>
      </w:r>
      <w:r w:rsidR="00D22241" w:rsidRPr="007F634A">
        <w:rPr>
          <w:lang w:val="en-GB"/>
        </w:rPr>
        <w:t xml:space="preserve"> Secondly, </w:t>
      </w:r>
      <w:r w:rsidR="00DD3491" w:rsidRPr="007F634A">
        <w:rPr>
          <w:lang w:val="en-GB"/>
        </w:rPr>
        <w:t xml:space="preserve">e-Fuels production is </w:t>
      </w:r>
      <w:r w:rsidR="00DD3491" w:rsidRPr="007F634A">
        <w:rPr>
          <w:lang w:val="en-GB"/>
        </w:rPr>
        <w:lastRenderedPageBreak/>
        <w:t xml:space="preserve">based on processes with </w:t>
      </w:r>
      <w:r w:rsidR="00FC3753" w:rsidRPr="007F634A">
        <w:rPr>
          <w:lang w:val="en-GB"/>
        </w:rPr>
        <w:t>significant</w:t>
      </w:r>
      <w:r w:rsidR="00DD3491" w:rsidRPr="007F634A">
        <w:rPr>
          <w:lang w:val="en-GB"/>
        </w:rPr>
        <w:t xml:space="preserve"> electric consumptions (</w:t>
      </w:r>
      <w:r w:rsidR="006E3320" w:rsidRPr="007F634A">
        <w:rPr>
          <w:lang w:val="en-GB"/>
        </w:rPr>
        <w:t>Blanco et al., 2018</w:t>
      </w:r>
      <w:r w:rsidR="00DD3491" w:rsidRPr="007F634A">
        <w:rPr>
          <w:lang w:val="en-GB"/>
        </w:rPr>
        <w:t>)</w:t>
      </w:r>
      <w:r w:rsidR="006B2566">
        <w:rPr>
          <w:lang w:val="en-GB"/>
        </w:rPr>
        <w:t>, to which</w:t>
      </w:r>
      <w:r w:rsidR="00625AF5" w:rsidRPr="007F634A">
        <w:rPr>
          <w:lang w:val="en-GB"/>
        </w:rPr>
        <w:t xml:space="preserve"> </w:t>
      </w:r>
      <w:r w:rsidR="001C47B4">
        <w:rPr>
          <w:lang w:val="en-GB"/>
        </w:rPr>
        <w:t>most of the production cost is associated. H</w:t>
      </w:r>
      <w:r w:rsidR="00625AF5" w:rsidRPr="007F634A">
        <w:rPr>
          <w:lang w:val="en-GB"/>
        </w:rPr>
        <w:t xml:space="preserve">ence, direct electrification </w:t>
      </w:r>
      <w:r w:rsidR="007776D6" w:rsidRPr="007F634A">
        <w:rPr>
          <w:lang w:val="en-GB"/>
        </w:rPr>
        <w:t>or</w:t>
      </w:r>
      <w:r w:rsidR="00625AF5" w:rsidRPr="007F634A">
        <w:rPr>
          <w:lang w:val="en-GB"/>
        </w:rPr>
        <w:t xml:space="preserve"> processes with lower electricity demand </w:t>
      </w:r>
      <w:r w:rsidR="001E15DB" w:rsidRPr="007F634A">
        <w:rPr>
          <w:lang w:val="en-GB"/>
        </w:rPr>
        <w:t>should</w:t>
      </w:r>
      <w:r w:rsidR="00625AF5" w:rsidRPr="007F634A">
        <w:rPr>
          <w:lang w:val="en-GB"/>
        </w:rPr>
        <w:t xml:space="preserve"> be preferred </w:t>
      </w:r>
      <w:r w:rsidR="001C47B4">
        <w:rPr>
          <w:lang w:val="en-GB"/>
        </w:rPr>
        <w:t xml:space="preserve">when possible </w:t>
      </w:r>
      <w:r w:rsidR="00AA3B01" w:rsidRPr="007F634A">
        <w:rPr>
          <w:lang w:val="en-GB"/>
        </w:rPr>
        <w:t>(</w:t>
      </w:r>
      <w:r w:rsidR="00133658" w:rsidRPr="007F634A">
        <w:rPr>
          <w:lang w:val="en-GB"/>
        </w:rPr>
        <w:t xml:space="preserve">Al-Qahtani et al., </w:t>
      </w:r>
      <w:r w:rsidR="006E3320" w:rsidRPr="007F634A">
        <w:rPr>
          <w:lang w:val="en-GB"/>
        </w:rPr>
        <w:t>2020</w:t>
      </w:r>
      <w:r w:rsidR="00AA3B01" w:rsidRPr="007F634A">
        <w:rPr>
          <w:lang w:val="en-GB"/>
        </w:rPr>
        <w:t>)</w:t>
      </w:r>
      <w:r w:rsidR="00625AF5" w:rsidRPr="007F634A">
        <w:rPr>
          <w:lang w:val="en-GB"/>
        </w:rPr>
        <w:t>.</w:t>
      </w:r>
    </w:p>
    <w:p w14:paraId="0A1900C8" w14:textId="7AFDB502" w:rsidR="00007C69" w:rsidRDefault="00906758" w:rsidP="005A1B32">
      <w:pPr>
        <w:pStyle w:val="CETBodytext"/>
        <w:rPr>
          <w:lang w:val="en-GB"/>
        </w:rPr>
      </w:pPr>
      <w:r>
        <w:rPr>
          <w:lang w:val="en-GB"/>
        </w:rPr>
        <w:t>The objective of this study is the techno-economic design of different conversion pathways for the production of e-Fuels (</w:t>
      </w:r>
      <w:r w:rsidR="00294DF4">
        <w:rPr>
          <w:lang w:val="en-GB"/>
        </w:rPr>
        <w:t>i.e., the conventional process concept based on green H</w:t>
      </w:r>
      <w:r w:rsidR="00294DF4" w:rsidRPr="00294DF4">
        <w:rPr>
          <w:vertAlign w:val="subscript"/>
          <w:lang w:val="en-GB"/>
        </w:rPr>
        <w:t>2</w:t>
      </w:r>
      <w:r w:rsidR="00294DF4">
        <w:rPr>
          <w:lang w:val="en-GB"/>
        </w:rPr>
        <w:t xml:space="preserve">) </w:t>
      </w:r>
      <w:r w:rsidR="00585D85">
        <w:rPr>
          <w:lang w:val="en-GB"/>
        </w:rPr>
        <w:t>or</w:t>
      </w:r>
      <w:r w:rsidR="00294DF4">
        <w:rPr>
          <w:lang w:val="en-GB"/>
        </w:rPr>
        <w:t xml:space="preserve"> er-Fuels (i.e., an alternative process concept based on electrified reforming)</w:t>
      </w:r>
      <w:r w:rsidR="00BD11DE">
        <w:rPr>
          <w:lang w:val="en-GB"/>
        </w:rPr>
        <w:t xml:space="preserve"> for the exploitation of the carbon content of a refinery fuel gas</w:t>
      </w:r>
      <w:r w:rsidR="001C62AC">
        <w:rPr>
          <w:lang w:val="en-GB"/>
        </w:rPr>
        <w:t xml:space="preserve"> and its conversion into </w:t>
      </w:r>
      <w:r w:rsidR="00820EDF">
        <w:rPr>
          <w:lang w:val="en-GB"/>
        </w:rPr>
        <w:t>e-</w:t>
      </w:r>
      <w:r w:rsidR="001C62AC">
        <w:rPr>
          <w:lang w:val="en-GB"/>
        </w:rPr>
        <w:t>MeOH</w:t>
      </w:r>
      <w:r w:rsidR="00820EDF">
        <w:rPr>
          <w:lang w:val="en-GB"/>
        </w:rPr>
        <w:t xml:space="preserve"> or er-MeOH</w:t>
      </w:r>
      <w:r w:rsidR="0083111A">
        <w:rPr>
          <w:lang w:val="en-GB"/>
        </w:rPr>
        <w:t>, respectively</w:t>
      </w:r>
      <w:r w:rsidR="001C62AC">
        <w:rPr>
          <w:lang w:val="en-GB"/>
        </w:rPr>
        <w:t xml:space="preserve">. </w:t>
      </w:r>
      <w:r w:rsidR="00251ADC">
        <w:rPr>
          <w:lang w:val="en-GB"/>
        </w:rPr>
        <w:t>F</w:t>
      </w:r>
      <w:r w:rsidR="006D7E56">
        <w:rPr>
          <w:lang w:val="en-GB"/>
        </w:rPr>
        <w:t>uel gas is a blend of light hydrocarbon</w:t>
      </w:r>
      <w:r w:rsidR="00061CD6">
        <w:rPr>
          <w:lang w:val="en-GB"/>
        </w:rPr>
        <w:t>s</w:t>
      </w:r>
      <w:r w:rsidR="006D7E56">
        <w:rPr>
          <w:lang w:val="en-GB"/>
        </w:rPr>
        <w:t xml:space="preserve"> typically </w:t>
      </w:r>
      <w:r w:rsidR="006D7E56" w:rsidRPr="007F634A">
        <w:rPr>
          <w:lang w:val="en-GB"/>
        </w:rPr>
        <w:t xml:space="preserve">produced at different units </w:t>
      </w:r>
      <w:r w:rsidR="00973B0C">
        <w:rPr>
          <w:lang w:val="en-GB"/>
        </w:rPr>
        <w:t>within a refinery</w:t>
      </w:r>
      <w:r w:rsidR="00061CD6" w:rsidRPr="007F634A">
        <w:rPr>
          <w:lang w:val="en-GB"/>
        </w:rPr>
        <w:t xml:space="preserve"> </w:t>
      </w:r>
      <w:r w:rsidR="006D7E56" w:rsidRPr="007F634A">
        <w:rPr>
          <w:lang w:val="en-GB"/>
        </w:rPr>
        <w:t xml:space="preserve">and currently employed </w:t>
      </w:r>
      <w:r w:rsidR="00D065DD" w:rsidRPr="007F634A">
        <w:rPr>
          <w:lang w:val="en-GB"/>
        </w:rPr>
        <w:t>as fuel to provide utility heat</w:t>
      </w:r>
      <w:r w:rsidR="002466DF" w:rsidRPr="007F634A">
        <w:rPr>
          <w:lang w:val="en-GB"/>
        </w:rPr>
        <w:t xml:space="preserve"> upon combustion in boilers and furnaces</w:t>
      </w:r>
      <w:r w:rsidR="00D065DD" w:rsidRPr="007F634A">
        <w:rPr>
          <w:lang w:val="en-GB"/>
        </w:rPr>
        <w:t xml:space="preserve">, </w:t>
      </w:r>
      <w:r w:rsidR="00B048F0" w:rsidRPr="007F634A">
        <w:rPr>
          <w:lang w:val="en-GB"/>
        </w:rPr>
        <w:t>resulting in the generation of</w:t>
      </w:r>
      <w:r w:rsidR="00D065DD" w:rsidRPr="007F634A">
        <w:rPr>
          <w:lang w:val="en-GB"/>
        </w:rPr>
        <w:t xml:space="preserve"> up to 60</w:t>
      </w:r>
      <w:r w:rsidR="0087301D">
        <w:rPr>
          <w:lang w:val="en-GB"/>
        </w:rPr>
        <w:t> </w:t>
      </w:r>
      <w:r w:rsidR="00D065DD" w:rsidRPr="007F634A">
        <w:rPr>
          <w:lang w:val="en-GB"/>
        </w:rPr>
        <w:t>% of the overall CO</w:t>
      </w:r>
      <w:r w:rsidR="00D065DD" w:rsidRPr="007F634A">
        <w:rPr>
          <w:vertAlign w:val="subscript"/>
          <w:lang w:val="en-GB"/>
        </w:rPr>
        <w:t>2</w:t>
      </w:r>
      <w:r w:rsidR="00D065DD" w:rsidRPr="007F634A">
        <w:rPr>
          <w:lang w:val="en-GB"/>
        </w:rPr>
        <w:t xml:space="preserve"> emissions of the plant (IEAGHG, 2017).</w:t>
      </w:r>
      <w:r w:rsidR="008C405B" w:rsidRPr="007F634A">
        <w:rPr>
          <w:lang w:val="en-GB"/>
        </w:rPr>
        <w:t xml:space="preserve"> Based on the quantitative results obtained, the ultimate goal of the paper is to discuss the following fundamental questions:</w:t>
      </w:r>
      <w:r w:rsidR="00762EFC" w:rsidRPr="007F634A">
        <w:rPr>
          <w:lang w:val="en-GB"/>
        </w:rPr>
        <w:t xml:space="preserve"> (</w:t>
      </w:r>
      <w:proofErr w:type="spellStart"/>
      <w:r w:rsidR="00762EFC" w:rsidRPr="007F634A">
        <w:rPr>
          <w:i/>
          <w:iCs/>
          <w:lang w:val="en-GB"/>
        </w:rPr>
        <w:t>i</w:t>
      </w:r>
      <w:proofErr w:type="spellEnd"/>
      <w:r w:rsidR="00762EFC" w:rsidRPr="007F634A">
        <w:rPr>
          <w:lang w:val="en-GB"/>
        </w:rPr>
        <w:t xml:space="preserve">) </w:t>
      </w:r>
      <w:r w:rsidR="005A1B32" w:rsidRPr="007F634A">
        <w:rPr>
          <w:lang w:val="en-GB"/>
        </w:rPr>
        <w:t>w</w:t>
      </w:r>
      <w:r w:rsidR="008C405B" w:rsidRPr="007F634A">
        <w:rPr>
          <w:lang w:val="en-GB"/>
        </w:rPr>
        <w:t>hat are the conditions that make e-</w:t>
      </w:r>
      <w:r w:rsidR="00820EDF" w:rsidRPr="007F634A">
        <w:rPr>
          <w:lang w:val="en-GB"/>
        </w:rPr>
        <w:t>MeOH</w:t>
      </w:r>
      <w:r w:rsidR="008C405B" w:rsidRPr="007F634A">
        <w:rPr>
          <w:lang w:val="en-GB"/>
        </w:rPr>
        <w:t xml:space="preserve"> production the preferable option to decarbonise refineries</w:t>
      </w:r>
      <w:r w:rsidR="008C405B" w:rsidRPr="008C405B">
        <w:rPr>
          <w:lang w:val="en-GB"/>
        </w:rPr>
        <w:t>?</w:t>
      </w:r>
      <w:r w:rsidR="005A1B32">
        <w:rPr>
          <w:lang w:val="en-GB"/>
        </w:rPr>
        <w:t xml:space="preserve"> And (</w:t>
      </w:r>
      <w:r w:rsidR="005A1B32" w:rsidRPr="005A1B32">
        <w:rPr>
          <w:i/>
          <w:iCs/>
          <w:lang w:val="en-GB"/>
        </w:rPr>
        <w:t>ii</w:t>
      </w:r>
      <w:r w:rsidR="005A1B32">
        <w:rPr>
          <w:lang w:val="en-GB"/>
        </w:rPr>
        <w:t>) w</w:t>
      </w:r>
      <w:r w:rsidR="008C405B" w:rsidRPr="008C405B">
        <w:rPr>
          <w:lang w:val="en-GB"/>
        </w:rPr>
        <w:t xml:space="preserve">hat is the potential of </w:t>
      </w:r>
      <w:r w:rsidR="0083111A">
        <w:rPr>
          <w:lang w:val="en-GB"/>
        </w:rPr>
        <w:t xml:space="preserve">the </w:t>
      </w:r>
      <w:r w:rsidR="008C405B" w:rsidRPr="008C405B">
        <w:rPr>
          <w:lang w:val="en-GB"/>
        </w:rPr>
        <w:t>alternative process concept</w:t>
      </w:r>
      <w:r w:rsidR="0083111A">
        <w:rPr>
          <w:lang w:val="en-GB"/>
        </w:rPr>
        <w:t xml:space="preserve"> (i.e., er-MeOH)</w:t>
      </w:r>
      <w:r w:rsidR="008C405B" w:rsidRPr="008C405B">
        <w:rPr>
          <w:lang w:val="en-GB"/>
        </w:rPr>
        <w:t xml:space="preserve"> in reducing CO</w:t>
      </w:r>
      <w:r w:rsidR="008C405B" w:rsidRPr="008C405B">
        <w:rPr>
          <w:vertAlign w:val="subscript"/>
          <w:lang w:val="en-GB"/>
        </w:rPr>
        <w:t>2</w:t>
      </w:r>
      <w:r w:rsidR="008C405B" w:rsidRPr="008C405B">
        <w:rPr>
          <w:lang w:val="en-GB"/>
        </w:rPr>
        <w:t xml:space="preserve"> emissions in refineries?</w:t>
      </w:r>
    </w:p>
    <w:p w14:paraId="56A60FBB" w14:textId="570F973C" w:rsidR="004A2861" w:rsidRDefault="00AC7319" w:rsidP="004A2861">
      <w:pPr>
        <w:pStyle w:val="CETHeading1"/>
      </w:pPr>
      <w:r>
        <w:t>Plants design</w:t>
      </w:r>
    </w:p>
    <w:p w14:paraId="0C29BCC1" w14:textId="7593910B" w:rsidR="00AC7319" w:rsidRDefault="00B73669" w:rsidP="00AC7319">
      <w:pPr>
        <w:pStyle w:val="CETBodytext"/>
      </w:pPr>
      <w:r>
        <w:t xml:space="preserve">This study addresses the conversion </w:t>
      </w:r>
      <w:r w:rsidR="0092040B">
        <w:t xml:space="preserve">into e-Fuel or er-Fuel </w:t>
      </w:r>
      <w:r>
        <w:t xml:space="preserve">of the carbon content of a </w:t>
      </w:r>
      <w:r w:rsidR="0092040B">
        <w:t xml:space="preserve">refinery fuel gas, the characteristics of which are reported in Table </w:t>
      </w:r>
      <w:r w:rsidR="00D03E0D">
        <w:t>1.</w:t>
      </w:r>
      <w:r w:rsidR="00B96122">
        <w:t xml:space="preserve"> In the e-MeOH plant, </w:t>
      </w:r>
      <w:r w:rsidR="002568BA">
        <w:t>the fuel gas (stream #1, Figure 1a) is burned to generate process heat for the refinery</w:t>
      </w:r>
      <w:r w:rsidR="00A06C36">
        <w:t>. The resulting CO</w:t>
      </w:r>
      <w:r w:rsidR="00A06C36" w:rsidRPr="00950076">
        <w:rPr>
          <w:vertAlign w:val="subscript"/>
        </w:rPr>
        <w:t>2</w:t>
      </w:r>
      <w:r w:rsidR="00A06C36">
        <w:t xml:space="preserve"> in the fuel gas </w:t>
      </w:r>
      <w:r w:rsidR="0092701A">
        <w:t xml:space="preserve">is separated by means of a </w:t>
      </w:r>
      <w:proofErr w:type="spellStart"/>
      <w:r w:rsidR="0092701A">
        <w:t>monoethanolamine</w:t>
      </w:r>
      <w:proofErr w:type="spellEnd"/>
      <w:r w:rsidR="0092701A">
        <w:t xml:space="preserve">-based (MEA) capture system </w:t>
      </w:r>
      <w:r w:rsidR="00E13E10">
        <w:t>(specific reboiler duty of 3.7 MJ/kg of captured CO</w:t>
      </w:r>
      <w:r w:rsidR="00E13E10" w:rsidRPr="00950076">
        <w:rPr>
          <w:vertAlign w:val="subscript"/>
        </w:rPr>
        <w:t>2</w:t>
      </w:r>
      <w:r w:rsidR="00E13E10">
        <w:t xml:space="preserve"> and carbon capture rate of 95</w:t>
      </w:r>
      <w:r w:rsidR="001457D8">
        <w:t> </w:t>
      </w:r>
      <w:r w:rsidR="00E13E10">
        <w:t xml:space="preserve">%). In line with the refinery electrification perspective, </w:t>
      </w:r>
      <w:r w:rsidR="008A247A">
        <w:t>the MEA heat requirement is fulfilled through an electric heat pump with coefficient of performance (COP) of 2</w:t>
      </w:r>
      <w:r w:rsidR="004A22BD">
        <w:t xml:space="preserve"> (and in part from steam recovered from the plant, as detailed later on)</w:t>
      </w:r>
      <w:r w:rsidR="008A247A">
        <w:t xml:space="preserve">. </w:t>
      </w:r>
      <w:r w:rsidR="00950076">
        <w:t>The captured CO</w:t>
      </w:r>
      <w:r w:rsidR="00950076" w:rsidRPr="00FF6FC2">
        <w:rPr>
          <w:vertAlign w:val="subscript"/>
        </w:rPr>
        <w:t>2</w:t>
      </w:r>
      <w:r w:rsidR="00950076">
        <w:t xml:space="preserve"> (#</w:t>
      </w:r>
      <w:r w:rsidR="00FF6FC2">
        <w:t>3) is compressed through a 5-stage inter-cooled compressor to 92 bar</w:t>
      </w:r>
      <w:r w:rsidR="009515B4">
        <w:t xml:space="preserve"> and mixed with H</w:t>
      </w:r>
      <w:r w:rsidR="009515B4" w:rsidRPr="00E51F98">
        <w:rPr>
          <w:vertAlign w:val="subscript"/>
        </w:rPr>
        <w:t>2</w:t>
      </w:r>
      <w:r w:rsidR="009515B4">
        <w:t>, this (#4) produced at 30</w:t>
      </w:r>
      <w:r w:rsidR="00C023E4">
        <w:t> </w:t>
      </w:r>
      <w:r w:rsidR="009515B4">
        <w:t xml:space="preserve">bar through </w:t>
      </w:r>
      <w:r w:rsidR="00450EAC">
        <w:t xml:space="preserve">a </w:t>
      </w:r>
      <w:r w:rsidR="00061CD6">
        <w:t>low-</w:t>
      </w:r>
      <w:r w:rsidR="00235F84">
        <w:t>temperature</w:t>
      </w:r>
      <w:r w:rsidR="009515B4">
        <w:t xml:space="preserve"> </w:t>
      </w:r>
      <w:proofErr w:type="spellStart"/>
      <w:r w:rsidR="009515B4">
        <w:t>electrolyser</w:t>
      </w:r>
      <w:proofErr w:type="spellEnd"/>
      <w:r w:rsidR="009515B4">
        <w:t xml:space="preserve"> </w:t>
      </w:r>
      <w:r w:rsidR="007F0FEC">
        <w:t>(</w:t>
      </w:r>
      <w:r w:rsidR="009515B4">
        <w:t xml:space="preserve">with </w:t>
      </w:r>
      <w:r w:rsidR="00E51F98">
        <w:t>power-to-H</w:t>
      </w:r>
      <w:r w:rsidR="00E51F98" w:rsidRPr="00E51F98">
        <w:rPr>
          <w:vertAlign w:val="subscript"/>
        </w:rPr>
        <w:t>2</w:t>
      </w:r>
      <w:r w:rsidR="00E51F98">
        <w:t xml:space="preserve"> </w:t>
      </w:r>
      <w:r w:rsidR="009515B4">
        <w:t xml:space="preserve">efficiency </w:t>
      </w:r>
      <w:r w:rsidR="00E51F98">
        <w:t>of 70</w:t>
      </w:r>
      <w:r w:rsidR="006818C4">
        <w:t> </w:t>
      </w:r>
      <w:r w:rsidR="00E51F98">
        <w:t>%</w:t>
      </w:r>
      <w:r w:rsidR="007F0FEC">
        <w:t>) and then compressed to 92</w:t>
      </w:r>
      <w:r w:rsidR="006818C4">
        <w:t> </w:t>
      </w:r>
      <w:r w:rsidR="007F0FEC">
        <w:t>bar</w:t>
      </w:r>
      <w:r w:rsidR="00E51F98">
        <w:t>.</w:t>
      </w:r>
      <w:r w:rsidR="00226A68">
        <w:t xml:space="preserve"> The H</w:t>
      </w:r>
      <w:r w:rsidR="00226A68" w:rsidRPr="00226A68">
        <w:rPr>
          <w:vertAlign w:val="subscript"/>
        </w:rPr>
        <w:t>2</w:t>
      </w:r>
      <w:r w:rsidR="00226A68">
        <w:t xml:space="preserve"> flow rate is set so as to obtain an H</w:t>
      </w:r>
      <w:r w:rsidR="00226A68" w:rsidRPr="00226A68">
        <w:rPr>
          <w:vertAlign w:val="subscript"/>
        </w:rPr>
        <w:t>2</w:t>
      </w:r>
      <w:r w:rsidR="00226A68">
        <w:t>/CO</w:t>
      </w:r>
      <w:r w:rsidR="00226A68" w:rsidRPr="00226A68">
        <w:rPr>
          <w:vertAlign w:val="subscript"/>
        </w:rPr>
        <w:t>2</w:t>
      </w:r>
      <w:r w:rsidR="00226A68">
        <w:t xml:space="preserve"> </w:t>
      </w:r>
      <w:r w:rsidR="008B1FDA">
        <w:t xml:space="preserve">molar </w:t>
      </w:r>
      <w:r w:rsidR="00226A68">
        <w:t xml:space="preserve">ratio of 3.05 at the inlet of </w:t>
      </w:r>
      <w:r w:rsidR="00061CD6">
        <w:t xml:space="preserve">the </w:t>
      </w:r>
      <w:r w:rsidR="00226A68">
        <w:t>subsequent MeOH synthesis.</w:t>
      </w:r>
      <w:r w:rsidR="00E51F98">
        <w:t xml:space="preserve"> </w:t>
      </w:r>
      <w:r w:rsidR="008B1FDA">
        <w:t>The compressed mix of H</w:t>
      </w:r>
      <w:r w:rsidR="008B1FDA" w:rsidRPr="00DA6ABA">
        <w:rPr>
          <w:vertAlign w:val="subscript"/>
        </w:rPr>
        <w:t>2</w:t>
      </w:r>
      <w:r w:rsidR="008B1FDA">
        <w:t xml:space="preserve"> and CO</w:t>
      </w:r>
      <w:r w:rsidR="008B1FDA" w:rsidRPr="00DA6ABA">
        <w:rPr>
          <w:vertAlign w:val="subscript"/>
        </w:rPr>
        <w:t>2</w:t>
      </w:r>
      <w:r w:rsidR="008B1FDA">
        <w:t xml:space="preserve"> (#5) </w:t>
      </w:r>
      <w:r w:rsidR="00845990">
        <w:t>is mixed with an internal recycle of light</w:t>
      </w:r>
      <w:r w:rsidR="006F749F">
        <w:t xml:space="preserve"> products</w:t>
      </w:r>
      <w:r w:rsidR="00845990">
        <w:t xml:space="preserve"> (#14) and sent to </w:t>
      </w:r>
      <w:r w:rsidR="00061CD6">
        <w:t xml:space="preserve">the </w:t>
      </w:r>
      <w:r w:rsidR="00845990">
        <w:t xml:space="preserve">MeOH reactor (#7). </w:t>
      </w:r>
      <w:r w:rsidR="00790536">
        <w:t xml:space="preserve">MeOH synthesis is modelled at chemical equilibrium at a nominal pressure of 90 bar </w:t>
      </w:r>
      <w:r w:rsidR="00071EF0">
        <w:t xml:space="preserve">and temperature of 240°C. The products stream (#8) is cooled </w:t>
      </w:r>
      <w:r w:rsidR="00E67696">
        <w:t>to 40°C and undergoes a flash separation between light gases (#10) and wet MeOH (</w:t>
      </w:r>
      <w:r w:rsidR="00F20393">
        <w:t xml:space="preserve">#15), then </w:t>
      </w:r>
      <w:r w:rsidR="00207D5C">
        <w:t xml:space="preserve">it is </w:t>
      </w:r>
      <w:r w:rsidR="00F20393">
        <w:t>purified by separating H</w:t>
      </w:r>
      <w:r w:rsidR="00F20393" w:rsidRPr="00F20393">
        <w:rPr>
          <w:vertAlign w:val="subscript"/>
        </w:rPr>
        <w:t>2</w:t>
      </w:r>
      <w:r w:rsidR="00F20393">
        <w:t xml:space="preserve">O and recycled products (#13). </w:t>
      </w:r>
      <w:r w:rsidR="00B976EB">
        <w:t>A purge stream (0.5</w:t>
      </w:r>
      <w:r w:rsidR="00B15F4C">
        <w:t> </w:t>
      </w:r>
      <w:r w:rsidR="00B976EB">
        <w:t xml:space="preserve">% in mass) is included to allow </w:t>
      </w:r>
      <w:r w:rsidR="00835C99">
        <w:t xml:space="preserve">some </w:t>
      </w:r>
      <w:r w:rsidR="00B976EB">
        <w:t xml:space="preserve">plant flexibility in off-design operation, and exploited to generate steam in a boiler </w:t>
      </w:r>
      <w:r w:rsidR="007B658A">
        <w:t>(</w:t>
      </w:r>
      <w:r w:rsidR="00B976EB">
        <w:t>90</w:t>
      </w:r>
      <w:r w:rsidR="00B15F4C">
        <w:t> </w:t>
      </w:r>
      <w:r w:rsidR="00B976EB">
        <w:t>% efficiency</w:t>
      </w:r>
      <w:r w:rsidR="007B658A">
        <w:t>)</w:t>
      </w:r>
      <w:r w:rsidR="00F754B9">
        <w:t xml:space="preserve"> to cover part of the reboiler duty of the CO</w:t>
      </w:r>
      <w:r w:rsidR="00F754B9" w:rsidRPr="00F754B9">
        <w:rPr>
          <w:vertAlign w:val="subscript"/>
        </w:rPr>
        <w:t>2</w:t>
      </w:r>
      <w:r w:rsidR="00F754B9">
        <w:t xml:space="preserve"> capture system.</w:t>
      </w:r>
    </w:p>
    <w:p w14:paraId="687AA60D" w14:textId="29F49987" w:rsidR="000B272B" w:rsidRDefault="001F6C6A" w:rsidP="00AC7319">
      <w:pPr>
        <w:pStyle w:val="CETBodytext"/>
      </w:pPr>
      <w:r>
        <w:t>In t</w:t>
      </w:r>
      <w:r w:rsidR="005F299E">
        <w:t>he er-MeOH plant</w:t>
      </w:r>
      <w:r w:rsidR="00A97370">
        <w:t>, fuel gas combustion is replaced by electric boilers and furnaces</w:t>
      </w:r>
      <w:r w:rsidR="00CA2BDE">
        <w:t xml:space="preserve"> with unitary electricity-to-heat efficiency</w:t>
      </w:r>
      <w:r w:rsidR="00E75C4B">
        <w:t>. T</w:t>
      </w:r>
      <w:r>
        <w:t>he refinery fuel gas (stream #1, Figure 1b)</w:t>
      </w:r>
      <w:r w:rsidR="00F047DB">
        <w:t xml:space="preserve"> is pre-heated to 240°C and mixed with steam</w:t>
      </w:r>
      <w:r w:rsidR="00C82E9A">
        <w:t xml:space="preserve">, to obtain a steam-to-carbon ratio of 3.5 at the inlet of </w:t>
      </w:r>
      <w:r w:rsidR="00EF5219">
        <w:t xml:space="preserve">the </w:t>
      </w:r>
      <w:r w:rsidR="00C82E9A">
        <w:t xml:space="preserve">subsequent reforming section. </w:t>
      </w:r>
      <w:r w:rsidR="003C5AAC">
        <w:t>The resulting stream (#3)</w:t>
      </w:r>
      <w:r w:rsidR="005F299E">
        <w:t xml:space="preserve"> </w:t>
      </w:r>
      <w:r w:rsidR="00033653">
        <w:t xml:space="preserve">is </w:t>
      </w:r>
      <w:r w:rsidR="00B670B1">
        <w:t xml:space="preserve">preheated to </w:t>
      </w:r>
      <w:r w:rsidR="00F51FDD">
        <w:t>490</w:t>
      </w:r>
      <w:r w:rsidR="00B670B1">
        <w:t>°C</w:t>
      </w:r>
      <w:r w:rsidR="00FB718C">
        <w:t>,</w:t>
      </w:r>
      <w:r w:rsidR="00B670B1">
        <w:t xml:space="preserve"> </w:t>
      </w:r>
      <w:r w:rsidR="00033653">
        <w:t>sent to a</w:t>
      </w:r>
      <w:r w:rsidR="00B670B1">
        <w:t>n adiabatic</w:t>
      </w:r>
      <w:r w:rsidR="00033653">
        <w:t xml:space="preserve"> pre-reformer </w:t>
      </w:r>
      <w:r w:rsidR="003D70A9">
        <w:t xml:space="preserve">and to an electrified reformer </w:t>
      </w:r>
      <w:r w:rsidR="0075698E">
        <w:t>operate</w:t>
      </w:r>
      <w:r w:rsidR="00B670B1">
        <w:t>d with exit temperature and pressure of</w:t>
      </w:r>
      <w:r w:rsidR="0075698E">
        <w:t xml:space="preserve"> 890°C and 25 bar</w:t>
      </w:r>
      <w:r w:rsidR="002539DE">
        <w:t>.</w:t>
      </w:r>
      <w:r w:rsidR="00A82CEB">
        <w:t xml:space="preserve"> </w:t>
      </w:r>
      <w:r w:rsidR="00D10581">
        <w:t>The resulting syngas (#6)</w:t>
      </w:r>
      <w:r w:rsidR="003A4A58">
        <w:t xml:space="preserve"> is mixed with external CO</w:t>
      </w:r>
      <w:r w:rsidR="003A4A58" w:rsidRPr="00870593">
        <w:rPr>
          <w:vertAlign w:val="subscript"/>
        </w:rPr>
        <w:t>2</w:t>
      </w:r>
      <w:r w:rsidR="00CE658B">
        <w:t xml:space="preserve"> (#8)</w:t>
      </w:r>
      <w:r w:rsidR="000B272B">
        <w:t xml:space="preserve"> (12.8</w:t>
      </w:r>
      <w:r w:rsidR="007F1C18">
        <w:t> </w:t>
      </w:r>
      <w:r w:rsidR="000B272B">
        <w:t>t/h to obtain CO/CO</w:t>
      </w:r>
      <w:r w:rsidR="000B272B" w:rsidRPr="00C84CB6">
        <w:rPr>
          <w:vertAlign w:val="subscript"/>
        </w:rPr>
        <w:t>2</w:t>
      </w:r>
      <w:r w:rsidR="000B272B">
        <w:t xml:space="preserve"> molar ratio of 1.11</w:t>
      </w:r>
      <w:r w:rsidR="00C84CB6">
        <w:t xml:space="preserve"> and module of 2.05 at subsequent MeOH synthesis inlet</w:t>
      </w:r>
      <w:r w:rsidR="000B272B">
        <w:t>)</w:t>
      </w:r>
      <w:r w:rsidR="00CE658B">
        <w:t xml:space="preserve">, which is assumed to derive from a generic </w:t>
      </w:r>
      <w:r w:rsidR="00AC3267">
        <w:t xml:space="preserve">external </w:t>
      </w:r>
      <w:r w:rsidR="00CE658B">
        <w:t>flue gas and captured</w:t>
      </w:r>
      <w:r w:rsidR="00AC3267">
        <w:t xml:space="preserve"> from other sources</w:t>
      </w:r>
      <w:r w:rsidR="00CE658B">
        <w:t xml:space="preserve"> through a MEA system as </w:t>
      </w:r>
      <w:r w:rsidR="00870593">
        <w:t xml:space="preserve">in </w:t>
      </w:r>
      <w:r w:rsidR="00045F4E">
        <w:t xml:space="preserve">the </w:t>
      </w:r>
      <w:r w:rsidR="00870593">
        <w:t>e-MeOH plant</w:t>
      </w:r>
      <w:r w:rsidR="000B272B">
        <w:t>.</w:t>
      </w:r>
      <w:r w:rsidR="0001543F">
        <w:t xml:space="preserve"> Subsequent compression and MeOH synthesis sections are designed as in the e-MeOH option. </w:t>
      </w:r>
      <w:r w:rsidR="000E3D15">
        <w:t>A purge stream of off</w:t>
      </w:r>
      <w:r w:rsidR="00B670B1">
        <w:t>-</w:t>
      </w:r>
      <w:r w:rsidR="000E3D15">
        <w:t>gas products (</w:t>
      </w:r>
      <w:r w:rsidR="009D11D4">
        <w:t>2.5</w:t>
      </w:r>
      <w:r w:rsidR="0087301D">
        <w:t> </w:t>
      </w:r>
      <w:r w:rsidR="009D11D4">
        <w:t>% in mass) is extracted to avoid the accumulation of inert species (e.g., CH</w:t>
      </w:r>
      <w:r w:rsidR="009D11D4" w:rsidRPr="009D11D4">
        <w:rPr>
          <w:vertAlign w:val="subscript"/>
        </w:rPr>
        <w:t>4</w:t>
      </w:r>
      <w:r w:rsidR="009D11D4">
        <w:t>) at the inlet of the synthesis section, and exploited to generate steam</w:t>
      </w:r>
      <w:r w:rsidR="007B658A">
        <w:t xml:space="preserve"> in a boiler</w:t>
      </w:r>
      <w:r w:rsidR="008F58D2">
        <w:t>, cover</w:t>
      </w:r>
      <w:r w:rsidR="00B670B1">
        <w:t>ing</w:t>
      </w:r>
      <w:r w:rsidR="008F58D2">
        <w:t xml:space="preserve"> part of the thermal requirement of the CO</w:t>
      </w:r>
      <w:r w:rsidR="008F58D2" w:rsidRPr="008F58D2">
        <w:rPr>
          <w:vertAlign w:val="subscript"/>
        </w:rPr>
        <w:t>2</w:t>
      </w:r>
      <w:r w:rsidR="008F58D2">
        <w:t xml:space="preserve"> capture system</w:t>
      </w:r>
      <w:r w:rsidR="009D11D4">
        <w:t>.</w:t>
      </w:r>
    </w:p>
    <w:p w14:paraId="27B29401" w14:textId="08E4BA8A" w:rsidR="00DA3925" w:rsidRDefault="00DA3925" w:rsidP="00AC7319">
      <w:pPr>
        <w:pStyle w:val="CETBodytext"/>
      </w:pPr>
    </w:p>
    <w:p w14:paraId="1A417996" w14:textId="0D6EA7FC" w:rsidR="00DA3925" w:rsidRPr="0027485E" w:rsidRDefault="00DA3925" w:rsidP="00DA3925">
      <w:pPr>
        <w:pStyle w:val="CETBodytext"/>
        <w:rPr>
          <w:i/>
          <w:iCs/>
        </w:rPr>
      </w:pPr>
      <w:r>
        <w:rPr>
          <w:i/>
          <w:iCs/>
        </w:rPr>
        <w:t>Table 1. Fuel gas properties and composition</w:t>
      </w:r>
      <w:r w:rsidR="00B759ED">
        <w:rPr>
          <w:i/>
          <w:iCs/>
        </w:rPr>
        <w:t xml:space="preserve"> (left)</w:t>
      </w:r>
      <w:r w:rsidR="003D6F90">
        <w:rPr>
          <w:i/>
          <w:iCs/>
        </w:rPr>
        <w:t>, and summary of process features and assumptions</w:t>
      </w:r>
      <w:r w:rsidR="00B759ED">
        <w:rPr>
          <w:i/>
          <w:iCs/>
        </w:rPr>
        <w:t xml:space="preserve"> (right)</w:t>
      </w:r>
      <w:r>
        <w:rPr>
          <w:i/>
          <w:iCs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677"/>
        <w:gridCol w:w="730"/>
        <w:gridCol w:w="851"/>
        <w:gridCol w:w="283"/>
        <w:gridCol w:w="1276"/>
        <w:gridCol w:w="1706"/>
        <w:gridCol w:w="567"/>
        <w:gridCol w:w="817"/>
      </w:tblGrid>
      <w:tr w:rsidR="003C5744" w14:paraId="27DD42B8" w14:textId="1D3D7FF1" w:rsidTr="00615A6A">
        <w:tc>
          <w:tcPr>
            <w:tcW w:w="1875" w:type="dxa"/>
            <w:tcBorders>
              <w:top w:val="single" w:sz="4" w:space="0" w:color="000000"/>
            </w:tcBorders>
          </w:tcPr>
          <w:p w14:paraId="5CE2304E" w14:textId="77777777" w:rsidR="007B1F39" w:rsidRDefault="007B1F39" w:rsidP="009D3954">
            <w:pPr>
              <w:pStyle w:val="CETBodytext"/>
              <w:spacing w:line="240" w:lineRule="auto"/>
            </w:pPr>
            <w:r>
              <w:t>Mass flowrate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6C63FEBE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14:paraId="5330BA21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36050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F616E9D" w14:textId="77777777" w:rsidR="007B1F39" w:rsidRDefault="007B1F39" w:rsidP="009D3954">
            <w:pPr>
              <w:pStyle w:val="CETBodytext"/>
              <w:spacing w:line="240" w:lineRule="auto"/>
            </w:pPr>
            <w:r>
              <w:t>kg/h</w:t>
            </w:r>
          </w:p>
        </w:tc>
        <w:tc>
          <w:tcPr>
            <w:tcW w:w="283" w:type="dxa"/>
          </w:tcPr>
          <w:p w14:paraId="61ADD195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107349A" w14:textId="2AD51D55" w:rsidR="007B1F39" w:rsidRDefault="007B1F39" w:rsidP="009D3954">
            <w:pPr>
              <w:pStyle w:val="CETBodytext"/>
              <w:spacing w:line="240" w:lineRule="auto"/>
            </w:pPr>
            <w:r>
              <w:t>Pre-ref</w:t>
            </w:r>
            <w:r w:rsidR="00CA25FF">
              <w:t>ormer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 w14:paraId="42FA151D" w14:textId="4AEE4DBA" w:rsidR="007B1F39" w:rsidRDefault="007E25FD" w:rsidP="009D3954">
            <w:pPr>
              <w:pStyle w:val="CETBodytext"/>
              <w:spacing w:line="240" w:lineRule="auto"/>
            </w:pPr>
            <w:r>
              <w:t>T</w:t>
            </w:r>
            <w:r w:rsidR="006C7F21">
              <w:t>emperature</w:t>
            </w:r>
            <w:r>
              <w:t xml:space="preserve"> </w:t>
            </w:r>
            <w:r w:rsidR="00C41CB6">
              <w:t>in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615FE02" w14:textId="63D32F9F" w:rsidR="007B1F39" w:rsidRDefault="00535EAA" w:rsidP="009D6298">
            <w:pPr>
              <w:pStyle w:val="CETBodytext"/>
              <w:spacing w:line="240" w:lineRule="auto"/>
              <w:jc w:val="right"/>
            </w:pPr>
            <w:r>
              <w:t>620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14:paraId="5B61FA8B" w14:textId="487BD984" w:rsidR="007B1F39" w:rsidRDefault="00535EAA" w:rsidP="009D3954">
            <w:pPr>
              <w:pStyle w:val="CETBodytext"/>
              <w:spacing w:line="240" w:lineRule="auto"/>
            </w:pPr>
            <w:r>
              <w:t>°C</w:t>
            </w:r>
          </w:p>
        </w:tc>
      </w:tr>
      <w:tr w:rsidR="003C5744" w14:paraId="29DD948C" w14:textId="3A70B961" w:rsidTr="00615A6A">
        <w:tc>
          <w:tcPr>
            <w:tcW w:w="1875" w:type="dxa"/>
          </w:tcPr>
          <w:p w14:paraId="6E5563D5" w14:textId="77777777" w:rsidR="007B1F39" w:rsidRDefault="007B1F39" w:rsidP="009D3954">
            <w:pPr>
              <w:pStyle w:val="CETBodytext"/>
              <w:spacing w:line="240" w:lineRule="auto"/>
            </w:pPr>
            <w:r>
              <w:t>Lower heating value</w:t>
            </w:r>
          </w:p>
        </w:tc>
        <w:tc>
          <w:tcPr>
            <w:tcW w:w="677" w:type="dxa"/>
          </w:tcPr>
          <w:p w14:paraId="5CE3DE29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730" w:type="dxa"/>
          </w:tcPr>
          <w:p w14:paraId="2CCEA76F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46.84</w:t>
            </w:r>
          </w:p>
        </w:tc>
        <w:tc>
          <w:tcPr>
            <w:tcW w:w="851" w:type="dxa"/>
          </w:tcPr>
          <w:p w14:paraId="0EFA0D51" w14:textId="77777777" w:rsidR="007B1F39" w:rsidRDefault="007B1F39" w:rsidP="009D3954">
            <w:pPr>
              <w:pStyle w:val="CETBodytext"/>
              <w:spacing w:line="240" w:lineRule="auto"/>
            </w:pPr>
            <w:r>
              <w:t>MJ/kg</w:t>
            </w:r>
          </w:p>
        </w:tc>
        <w:tc>
          <w:tcPr>
            <w:tcW w:w="283" w:type="dxa"/>
          </w:tcPr>
          <w:p w14:paraId="4F74F4AC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142F7F4" w14:textId="1FFBA42B" w:rsidR="007B1F39" w:rsidRDefault="007B1F39" w:rsidP="009D3954">
            <w:pPr>
              <w:pStyle w:val="CETBodytext"/>
              <w:spacing w:line="240" w:lineRule="auto"/>
            </w:pPr>
            <w:r>
              <w:t>Reformer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4534FCE1" w14:textId="18FC9474" w:rsidR="007B1F39" w:rsidRDefault="00CA25FF" w:rsidP="009D3954">
            <w:pPr>
              <w:pStyle w:val="CETBodytext"/>
              <w:spacing w:line="240" w:lineRule="auto"/>
            </w:pPr>
            <w:r>
              <w:t>Steam-to-carbon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F622190" w14:textId="322687EB" w:rsidR="007B1F39" w:rsidRDefault="00535EAA" w:rsidP="009D6298">
            <w:pPr>
              <w:pStyle w:val="CETBodytext"/>
              <w:spacing w:line="240" w:lineRule="auto"/>
              <w:jc w:val="right"/>
            </w:pPr>
            <w:r>
              <w:t>3.</w:t>
            </w:r>
            <w:r w:rsidR="00830AF6">
              <w:t>5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11848A85" w14:textId="37807AAC" w:rsidR="007B1F39" w:rsidRDefault="00535EAA" w:rsidP="009D3954">
            <w:pPr>
              <w:pStyle w:val="CETBodytext"/>
              <w:spacing w:line="240" w:lineRule="auto"/>
            </w:pPr>
            <w:r>
              <w:t>-</w:t>
            </w:r>
          </w:p>
        </w:tc>
      </w:tr>
      <w:tr w:rsidR="003C5744" w14:paraId="53EE0622" w14:textId="381B1F4A" w:rsidTr="00FA6FE2">
        <w:tc>
          <w:tcPr>
            <w:tcW w:w="1875" w:type="dxa"/>
          </w:tcPr>
          <w:p w14:paraId="34989A93" w14:textId="77777777" w:rsidR="007B1F39" w:rsidRDefault="007B1F39" w:rsidP="009D3954">
            <w:pPr>
              <w:pStyle w:val="CETBodytext"/>
              <w:spacing w:line="240" w:lineRule="auto"/>
            </w:pPr>
            <w:r>
              <w:t>Molar mass</w:t>
            </w:r>
          </w:p>
        </w:tc>
        <w:tc>
          <w:tcPr>
            <w:tcW w:w="677" w:type="dxa"/>
          </w:tcPr>
          <w:p w14:paraId="5D6EB977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730" w:type="dxa"/>
          </w:tcPr>
          <w:p w14:paraId="7BCDEFAE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26.29</w:t>
            </w:r>
          </w:p>
        </w:tc>
        <w:tc>
          <w:tcPr>
            <w:tcW w:w="851" w:type="dxa"/>
          </w:tcPr>
          <w:p w14:paraId="2670E42B" w14:textId="77777777" w:rsidR="007B1F39" w:rsidRDefault="007B1F39" w:rsidP="009D3954">
            <w:pPr>
              <w:pStyle w:val="CETBodytext"/>
              <w:spacing w:line="240" w:lineRule="auto"/>
            </w:pPr>
            <w:r>
              <w:t>kg/</w:t>
            </w:r>
            <w:proofErr w:type="spellStart"/>
            <w:r>
              <w:t>kmol</w:t>
            </w:r>
            <w:proofErr w:type="spellEnd"/>
          </w:p>
        </w:tc>
        <w:tc>
          <w:tcPr>
            <w:tcW w:w="283" w:type="dxa"/>
          </w:tcPr>
          <w:p w14:paraId="1FA3AA2F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</w:tcPr>
          <w:p w14:paraId="3ECC6009" w14:textId="3280189F" w:rsidR="007B1F39" w:rsidRDefault="007B1F39" w:rsidP="009D3954">
            <w:pPr>
              <w:pStyle w:val="CETBodytext"/>
              <w:spacing w:line="240" w:lineRule="auto"/>
            </w:pPr>
            <w:r>
              <w:t>Reformer</w:t>
            </w:r>
          </w:p>
        </w:tc>
        <w:tc>
          <w:tcPr>
            <w:tcW w:w="1706" w:type="dxa"/>
          </w:tcPr>
          <w:p w14:paraId="75037E20" w14:textId="208E024B" w:rsidR="007B1F39" w:rsidRDefault="009C4377" w:rsidP="009D3954">
            <w:pPr>
              <w:pStyle w:val="CETBodytext"/>
              <w:spacing w:line="240" w:lineRule="auto"/>
            </w:pPr>
            <w:r>
              <w:t>T</w:t>
            </w:r>
            <w:r w:rsidR="006C7F21">
              <w:t>emperature</w:t>
            </w:r>
            <w:r>
              <w:t xml:space="preserve"> out</w:t>
            </w:r>
          </w:p>
        </w:tc>
        <w:tc>
          <w:tcPr>
            <w:tcW w:w="567" w:type="dxa"/>
          </w:tcPr>
          <w:p w14:paraId="5A60C3ED" w14:textId="4DE3EE56" w:rsidR="007B1F39" w:rsidRDefault="00535EAA" w:rsidP="009D6298">
            <w:pPr>
              <w:pStyle w:val="CETBodytext"/>
              <w:spacing w:line="240" w:lineRule="auto"/>
              <w:jc w:val="right"/>
            </w:pPr>
            <w:r>
              <w:t>890</w:t>
            </w:r>
          </w:p>
        </w:tc>
        <w:tc>
          <w:tcPr>
            <w:tcW w:w="817" w:type="dxa"/>
          </w:tcPr>
          <w:p w14:paraId="038C3D3E" w14:textId="45600718" w:rsidR="007B1F39" w:rsidRDefault="00535EAA" w:rsidP="009D3954">
            <w:pPr>
              <w:pStyle w:val="CETBodytext"/>
              <w:spacing w:line="240" w:lineRule="auto"/>
            </w:pPr>
            <w:r>
              <w:t>°C</w:t>
            </w:r>
          </w:p>
        </w:tc>
      </w:tr>
      <w:tr w:rsidR="003C5744" w14:paraId="1F5FD0C3" w14:textId="60A98FF7" w:rsidTr="00FA6FE2">
        <w:tc>
          <w:tcPr>
            <w:tcW w:w="1875" w:type="dxa"/>
            <w:tcBorders>
              <w:bottom w:val="single" w:sz="4" w:space="0" w:color="auto"/>
            </w:tcBorders>
          </w:tcPr>
          <w:p w14:paraId="6D6E2F40" w14:textId="77777777" w:rsidR="007B1F39" w:rsidRDefault="007B1F39" w:rsidP="009D3954">
            <w:pPr>
              <w:pStyle w:val="CETBodytext"/>
              <w:spacing w:line="240" w:lineRule="auto"/>
            </w:pPr>
            <w:r>
              <w:t>Thermal content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37178F7B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DE82472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469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CAFD2E" w14:textId="77777777" w:rsidR="007B1F39" w:rsidRDefault="007B1F39" w:rsidP="009D3954">
            <w:pPr>
              <w:pStyle w:val="CETBodytext"/>
              <w:spacing w:line="240" w:lineRule="auto"/>
            </w:pPr>
            <w:r>
              <w:t>MW</w:t>
            </w:r>
          </w:p>
        </w:tc>
        <w:tc>
          <w:tcPr>
            <w:tcW w:w="283" w:type="dxa"/>
          </w:tcPr>
          <w:p w14:paraId="48BB63FA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103F309" w14:textId="588A47D8" w:rsidR="007B1F39" w:rsidRDefault="007B1F39" w:rsidP="009D3954">
            <w:pPr>
              <w:pStyle w:val="CETBodytext"/>
              <w:spacing w:line="240" w:lineRule="auto"/>
            </w:pPr>
            <w:r>
              <w:t>Reformer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14:paraId="26FD0CC1" w14:textId="48CD18E7" w:rsidR="007B1F39" w:rsidRDefault="00535EAA" w:rsidP="009D3954">
            <w:pPr>
              <w:pStyle w:val="CETBodytext"/>
              <w:spacing w:line="240" w:lineRule="auto"/>
            </w:pPr>
            <w:r>
              <w:t>Pressure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6A6D6ED" w14:textId="02451D7D" w:rsidR="007B1F39" w:rsidRDefault="00535EAA" w:rsidP="009D6298">
            <w:pPr>
              <w:pStyle w:val="CETBodytext"/>
              <w:spacing w:line="240" w:lineRule="auto"/>
              <w:jc w:val="right"/>
            </w:pPr>
            <w:r>
              <w:t>25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14:paraId="6404CF98" w14:textId="413FD189" w:rsidR="007B1F39" w:rsidRDefault="00535EAA" w:rsidP="009D3954">
            <w:pPr>
              <w:pStyle w:val="CETBodytext"/>
              <w:spacing w:line="240" w:lineRule="auto"/>
            </w:pPr>
            <w:r>
              <w:t>bar</w:t>
            </w:r>
          </w:p>
        </w:tc>
      </w:tr>
      <w:tr w:rsidR="003C5744" w14:paraId="69203473" w14:textId="22AD4BD1" w:rsidTr="00FA6FE2">
        <w:tc>
          <w:tcPr>
            <w:tcW w:w="1875" w:type="dxa"/>
            <w:tcBorders>
              <w:top w:val="single" w:sz="4" w:space="0" w:color="auto"/>
            </w:tcBorders>
          </w:tcPr>
          <w:p w14:paraId="39D896D7" w14:textId="77777777" w:rsidR="007B1F39" w:rsidRDefault="007B1F39" w:rsidP="009D3954">
            <w:pPr>
              <w:pStyle w:val="CETBodytext"/>
              <w:spacing w:line="240" w:lineRule="auto"/>
            </w:pPr>
            <w:r>
              <w:t>Molar fractions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451F9351" w14:textId="77777777" w:rsidR="007B1F39" w:rsidRDefault="007B1F39" w:rsidP="009D3954">
            <w:pPr>
              <w:pStyle w:val="CETBodytext"/>
              <w:spacing w:line="240" w:lineRule="auto"/>
            </w:pPr>
            <w:r>
              <w:t>H</w:t>
            </w:r>
            <w:r w:rsidRPr="00F356CE">
              <w:rPr>
                <w:vertAlign w:val="subscript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676362C4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26.34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0D8F6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160137AC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2FB1D99" w14:textId="044813A3" w:rsidR="007B1F39" w:rsidRDefault="00D656AB" w:rsidP="009D3954">
            <w:pPr>
              <w:pStyle w:val="CETBodytext"/>
              <w:spacing w:line="240" w:lineRule="auto"/>
            </w:pPr>
            <w:r>
              <w:t xml:space="preserve">MeOH </w:t>
            </w:r>
            <w:proofErr w:type="spellStart"/>
            <w:r>
              <w:t>syn</w:t>
            </w:r>
            <w:r w:rsidR="00B34B7B">
              <w:t>t</w:t>
            </w:r>
            <w:proofErr w:type="spellEnd"/>
            <w:r>
              <w:t>.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1FD324DF" w14:textId="0130FB92" w:rsidR="007B1F39" w:rsidRDefault="008B5FDA" w:rsidP="009D3954">
            <w:pPr>
              <w:pStyle w:val="CETBodytext"/>
              <w:spacing w:line="240" w:lineRule="auto"/>
            </w:pPr>
            <w:r>
              <w:t>T</w:t>
            </w:r>
            <w:r w:rsidR="006C7F21">
              <w:t>emperature</w:t>
            </w:r>
            <w:r>
              <w:t xml:space="preserve"> out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00135D19" w14:textId="2DE06669" w:rsidR="007B1F39" w:rsidRDefault="00E364E7" w:rsidP="009D6298">
            <w:pPr>
              <w:pStyle w:val="CETBodytext"/>
              <w:spacing w:line="240" w:lineRule="auto"/>
              <w:jc w:val="right"/>
            </w:pPr>
            <w:r>
              <w:t>240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6D426418" w14:textId="78F51CF9" w:rsidR="007B1F39" w:rsidRDefault="00E364E7" w:rsidP="009D3954">
            <w:pPr>
              <w:pStyle w:val="CETBodytext"/>
              <w:spacing w:line="240" w:lineRule="auto"/>
            </w:pPr>
            <w:r>
              <w:t>°C</w:t>
            </w:r>
          </w:p>
        </w:tc>
      </w:tr>
      <w:tr w:rsidR="003C5744" w14:paraId="306FB7E4" w14:textId="65E96F40" w:rsidTr="00FA6FE2">
        <w:tc>
          <w:tcPr>
            <w:tcW w:w="1875" w:type="dxa"/>
          </w:tcPr>
          <w:p w14:paraId="13890CF3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0BC292B5" w14:textId="77777777" w:rsidR="007B1F39" w:rsidRDefault="007B1F39" w:rsidP="009D3954">
            <w:pPr>
              <w:pStyle w:val="CETBodytext"/>
              <w:spacing w:line="240" w:lineRule="auto"/>
            </w:pPr>
            <w:r>
              <w:t>CH</w:t>
            </w:r>
            <w:r w:rsidRPr="00F356CE">
              <w:rPr>
                <w:vertAlign w:val="subscript"/>
              </w:rPr>
              <w:t>4</w:t>
            </w:r>
          </w:p>
        </w:tc>
        <w:tc>
          <w:tcPr>
            <w:tcW w:w="730" w:type="dxa"/>
          </w:tcPr>
          <w:p w14:paraId="4282E7B8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19.55</w:t>
            </w:r>
          </w:p>
        </w:tc>
        <w:tc>
          <w:tcPr>
            <w:tcW w:w="851" w:type="dxa"/>
          </w:tcPr>
          <w:p w14:paraId="33006000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0F761752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</w:tcPr>
          <w:p w14:paraId="265E92E4" w14:textId="5C260870" w:rsidR="007B1F39" w:rsidRDefault="00D656AB" w:rsidP="009D3954">
            <w:pPr>
              <w:pStyle w:val="CETBodytext"/>
              <w:spacing w:line="240" w:lineRule="auto"/>
            </w:pPr>
            <w:r>
              <w:t xml:space="preserve">MeOH </w:t>
            </w:r>
            <w:proofErr w:type="spellStart"/>
            <w:r>
              <w:t>syn</w:t>
            </w:r>
            <w:r w:rsidR="00B34B7B">
              <w:t>t</w:t>
            </w:r>
            <w:proofErr w:type="spellEnd"/>
            <w:r>
              <w:t>.</w:t>
            </w:r>
          </w:p>
        </w:tc>
        <w:tc>
          <w:tcPr>
            <w:tcW w:w="1706" w:type="dxa"/>
          </w:tcPr>
          <w:p w14:paraId="52692EF4" w14:textId="51F08F63" w:rsidR="007B1F39" w:rsidRDefault="008B5FDA" w:rsidP="009D3954">
            <w:pPr>
              <w:pStyle w:val="CETBodytext"/>
              <w:spacing w:line="240" w:lineRule="auto"/>
            </w:pPr>
            <w:r>
              <w:t>Pressure</w:t>
            </w:r>
          </w:p>
        </w:tc>
        <w:tc>
          <w:tcPr>
            <w:tcW w:w="567" w:type="dxa"/>
          </w:tcPr>
          <w:p w14:paraId="2EDA8B93" w14:textId="3E4BF4C2" w:rsidR="007B1F39" w:rsidRDefault="009D6298" w:rsidP="009D6298">
            <w:pPr>
              <w:pStyle w:val="CETBodytext"/>
              <w:spacing w:line="240" w:lineRule="auto"/>
              <w:jc w:val="right"/>
            </w:pPr>
            <w:r>
              <w:t>90</w:t>
            </w:r>
          </w:p>
        </w:tc>
        <w:tc>
          <w:tcPr>
            <w:tcW w:w="817" w:type="dxa"/>
          </w:tcPr>
          <w:p w14:paraId="475DDEC3" w14:textId="33A006A1" w:rsidR="007B1F39" w:rsidRDefault="009D6298" w:rsidP="009D3954">
            <w:pPr>
              <w:pStyle w:val="CETBodytext"/>
              <w:spacing w:line="240" w:lineRule="auto"/>
            </w:pPr>
            <w:r>
              <w:t>bar</w:t>
            </w:r>
          </w:p>
        </w:tc>
      </w:tr>
      <w:tr w:rsidR="003C5744" w14:paraId="4E042518" w14:textId="4548904F" w:rsidTr="00615A6A">
        <w:tc>
          <w:tcPr>
            <w:tcW w:w="1875" w:type="dxa"/>
          </w:tcPr>
          <w:p w14:paraId="48EE8224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01037088" w14:textId="77777777" w:rsidR="007B1F39" w:rsidRDefault="007B1F39" w:rsidP="009D3954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2</w:t>
            </w:r>
            <w:r>
              <w:t>H</w:t>
            </w:r>
            <w:r w:rsidRPr="00F356CE">
              <w:rPr>
                <w:vertAlign w:val="subscript"/>
              </w:rPr>
              <w:t>6</w:t>
            </w:r>
          </w:p>
        </w:tc>
        <w:tc>
          <w:tcPr>
            <w:tcW w:w="730" w:type="dxa"/>
          </w:tcPr>
          <w:p w14:paraId="7C00AF86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15.02</w:t>
            </w:r>
          </w:p>
        </w:tc>
        <w:tc>
          <w:tcPr>
            <w:tcW w:w="851" w:type="dxa"/>
          </w:tcPr>
          <w:p w14:paraId="415AA8A2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131B9836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</w:tcPr>
          <w:p w14:paraId="578329D7" w14:textId="3A1EA1AE" w:rsidR="007B1F39" w:rsidRDefault="00D656AB" w:rsidP="009D3954">
            <w:pPr>
              <w:pStyle w:val="CETBodytext"/>
              <w:spacing w:line="240" w:lineRule="auto"/>
            </w:pPr>
            <w:r>
              <w:t xml:space="preserve">MeOH </w:t>
            </w:r>
            <w:proofErr w:type="spellStart"/>
            <w:r>
              <w:t>syn</w:t>
            </w:r>
            <w:r w:rsidR="00B34B7B">
              <w:t>t</w:t>
            </w:r>
            <w:proofErr w:type="spellEnd"/>
            <w:r>
              <w:t>.</w:t>
            </w:r>
          </w:p>
        </w:tc>
        <w:tc>
          <w:tcPr>
            <w:tcW w:w="1706" w:type="dxa"/>
          </w:tcPr>
          <w:p w14:paraId="2AA9236D" w14:textId="5F34F65B" w:rsidR="007B1F39" w:rsidRDefault="008B5FDA" w:rsidP="009D3954">
            <w:pPr>
              <w:pStyle w:val="CETBodytext"/>
              <w:spacing w:line="240" w:lineRule="auto"/>
            </w:pPr>
            <w:r>
              <w:t>Recycle</w:t>
            </w:r>
            <w:r w:rsidR="00E364E7">
              <w:t xml:space="preserve"> e-MeOH</w:t>
            </w:r>
          </w:p>
        </w:tc>
        <w:tc>
          <w:tcPr>
            <w:tcW w:w="567" w:type="dxa"/>
          </w:tcPr>
          <w:p w14:paraId="5B41AEEA" w14:textId="21635289" w:rsidR="007B1F39" w:rsidRDefault="009D6298" w:rsidP="009D6298">
            <w:pPr>
              <w:pStyle w:val="CETBodytext"/>
              <w:spacing w:line="240" w:lineRule="auto"/>
              <w:jc w:val="right"/>
            </w:pPr>
            <w:r>
              <w:t>99.5</w:t>
            </w:r>
          </w:p>
        </w:tc>
        <w:tc>
          <w:tcPr>
            <w:tcW w:w="817" w:type="dxa"/>
          </w:tcPr>
          <w:p w14:paraId="0BD505B6" w14:textId="7A622456" w:rsidR="007B1F39" w:rsidRDefault="009D6298" w:rsidP="009D3954">
            <w:pPr>
              <w:pStyle w:val="CETBodytext"/>
              <w:spacing w:line="240" w:lineRule="auto"/>
            </w:pPr>
            <w:r>
              <w:t>%</w:t>
            </w:r>
          </w:p>
        </w:tc>
      </w:tr>
      <w:tr w:rsidR="003C5744" w14:paraId="2B39115C" w14:textId="4711AC49" w:rsidTr="00615A6A">
        <w:tc>
          <w:tcPr>
            <w:tcW w:w="1875" w:type="dxa"/>
          </w:tcPr>
          <w:p w14:paraId="100FE62F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4CFE5218" w14:textId="77777777" w:rsidR="007B1F39" w:rsidRDefault="007B1F39" w:rsidP="009D3954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2</w:t>
            </w:r>
            <w:r>
              <w:t>H</w:t>
            </w:r>
            <w:r w:rsidRPr="00F356CE">
              <w:rPr>
                <w:vertAlign w:val="subscript"/>
              </w:rPr>
              <w:t>4</w:t>
            </w:r>
          </w:p>
        </w:tc>
        <w:tc>
          <w:tcPr>
            <w:tcW w:w="730" w:type="dxa"/>
          </w:tcPr>
          <w:p w14:paraId="53A04553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5.56</w:t>
            </w:r>
          </w:p>
        </w:tc>
        <w:tc>
          <w:tcPr>
            <w:tcW w:w="851" w:type="dxa"/>
          </w:tcPr>
          <w:p w14:paraId="46905C7D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2F78EF9B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F7EDD0" w14:textId="442D66C1" w:rsidR="007B1F39" w:rsidRDefault="00D656AB" w:rsidP="009D3954">
            <w:pPr>
              <w:pStyle w:val="CETBodytext"/>
              <w:spacing w:line="240" w:lineRule="auto"/>
            </w:pPr>
            <w:r>
              <w:t xml:space="preserve">MeOH </w:t>
            </w:r>
            <w:proofErr w:type="spellStart"/>
            <w:r>
              <w:t>syn</w:t>
            </w:r>
            <w:r w:rsidR="00B34B7B">
              <w:t>t</w:t>
            </w:r>
            <w:proofErr w:type="spellEnd"/>
            <w:r>
              <w:t>.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14:paraId="634E7EF0" w14:textId="3AB72BAE" w:rsidR="007B1F39" w:rsidRDefault="00E364E7" w:rsidP="009D3954">
            <w:pPr>
              <w:pStyle w:val="CETBodytext"/>
              <w:spacing w:line="240" w:lineRule="auto"/>
            </w:pPr>
            <w:r>
              <w:t>Recycle er-MeOH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945E419" w14:textId="56DA7C27" w:rsidR="007B1F39" w:rsidRDefault="009D6298" w:rsidP="009D6298">
            <w:pPr>
              <w:pStyle w:val="CETBodytext"/>
              <w:spacing w:line="240" w:lineRule="auto"/>
              <w:jc w:val="right"/>
            </w:pPr>
            <w:r>
              <w:t>97.5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14:paraId="0C0B51D3" w14:textId="16D9DAC8" w:rsidR="007B1F39" w:rsidRDefault="009D6298" w:rsidP="009D3954">
            <w:pPr>
              <w:pStyle w:val="CETBodytext"/>
              <w:spacing w:line="240" w:lineRule="auto"/>
            </w:pPr>
            <w:r>
              <w:t>%</w:t>
            </w:r>
          </w:p>
        </w:tc>
      </w:tr>
      <w:tr w:rsidR="003C5744" w14:paraId="256F4E24" w14:textId="27CD6A6C" w:rsidTr="00615A6A">
        <w:tc>
          <w:tcPr>
            <w:tcW w:w="1875" w:type="dxa"/>
          </w:tcPr>
          <w:p w14:paraId="475BCA1E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2765B69E" w14:textId="77777777" w:rsidR="007B1F39" w:rsidRDefault="007B1F39" w:rsidP="009D3954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3</w:t>
            </w:r>
            <w:r>
              <w:t>H</w:t>
            </w:r>
            <w:r w:rsidRPr="00F356CE">
              <w:rPr>
                <w:vertAlign w:val="subscript"/>
              </w:rPr>
              <w:t>8</w:t>
            </w:r>
          </w:p>
        </w:tc>
        <w:tc>
          <w:tcPr>
            <w:tcW w:w="730" w:type="dxa"/>
          </w:tcPr>
          <w:p w14:paraId="041B9D73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11.83</w:t>
            </w:r>
          </w:p>
        </w:tc>
        <w:tc>
          <w:tcPr>
            <w:tcW w:w="851" w:type="dxa"/>
          </w:tcPr>
          <w:p w14:paraId="3273F448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209E2663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D41E71E" w14:textId="6B8E1A13" w:rsidR="007B1F39" w:rsidRDefault="00D656AB" w:rsidP="009D3954">
            <w:pPr>
              <w:pStyle w:val="CETBodytext"/>
              <w:spacing w:line="240" w:lineRule="auto"/>
            </w:pPr>
            <w:r>
              <w:t>CO</w:t>
            </w:r>
            <w:r w:rsidRPr="00750E70">
              <w:rPr>
                <w:vertAlign w:val="subscript"/>
              </w:rPr>
              <w:t>2</w:t>
            </w:r>
            <w:r>
              <w:t xml:space="preserve"> capt</w:t>
            </w:r>
            <w:r w:rsidR="00B34B7B">
              <w:t>ure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51AAA2BD" w14:textId="52A123A7" w:rsidR="007B1F39" w:rsidRDefault="009D6298" w:rsidP="009D3954">
            <w:pPr>
              <w:pStyle w:val="CETBodytext"/>
              <w:spacing w:line="240" w:lineRule="auto"/>
            </w:pPr>
            <w:r>
              <w:t xml:space="preserve">MEA </w:t>
            </w:r>
            <w:r w:rsidR="008F76AE">
              <w:t>reboiler duty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1994F90" w14:textId="1AC54AFE" w:rsidR="007B1F39" w:rsidRDefault="008F76AE" w:rsidP="009D6298">
            <w:pPr>
              <w:pStyle w:val="CETBodytext"/>
              <w:spacing w:line="240" w:lineRule="auto"/>
              <w:jc w:val="right"/>
            </w:pPr>
            <w:r>
              <w:t>3.7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0E787B44" w14:textId="09E50915" w:rsidR="007B1F39" w:rsidRDefault="008F76AE" w:rsidP="009D3954">
            <w:pPr>
              <w:pStyle w:val="CETBodytext"/>
              <w:spacing w:line="240" w:lineRule="auto"/>
            </w:pPr>
            <w:r>
              <w:t>MJ/kg</w:t>
            </w:r>
          </w:p>
        </w:tc>
      </w:tr>
      <w:tr w:rsidR="003C5744" w14:paraId="1D544E69" w14:textId="17F1B031" w:rsidTr="00615A6A">
        <w:tc>
          <w:tcPr>
            <w:tcW w:w="1875" w:type="dxa"/>
          </w:tcPr>
          <w:p w14:paraId="3A1588B4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672A421F" w14:textId="77777777" w:rsidR="007B1F39" w:rsidRDefault="007B1F39" w:rsidP="009D3954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3</w:t>
            </w:r>
            <w:r>
              <w:t>H</w:t>
            </w:r>
            <w:r w:rsidRPr="00F356CE">
              <w:rPr>
                <w:vertAlign w:val="subscript"/>
              </w:rPr>
              <w:t>6</w:t>
            </w:r>
          </w:p>
        </w:tc>
        <w:tc>
          <w:tcPr>
            <w:tcW w:w="730" w:type="dxa"/>
          </w:tcPr>
          <w:p w14:paraId="5B378C35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7.41</w:t>
            </w:r>
          </w:p>
        </w:tc>
        <w:tc>
          <w:tcPr>
            <w:tcW w:w="851" w:type="dxa"/>
          </w:tcPr>
          <w:p w14:paraId="7D0AAB23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2713CB34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</w:tcPr>
          <w:p w14:paraId="2095DEC6" w14:textId="3E2FC347" w:rsidR="007B1F39" w:rsidRDefault="00D656AB" w:rsidP="009D3954">
            <w:pPr>
              <w:pStyle w:val="CETBodytext"/>
              <w:spacing w:line="240" w:lineRule="auto"/>
            </w:pPr>
            <w:r>
              <w:t>CO</w:t>
            </w:r>
            <w:r w:rsidRPr="00750E70">
              <w:rPr>
                <w:vertAlign w:val="subscript"/>
              </w:rPr>
              <w:t>2</w:t>
            </w:r>
            <w:r>
              <w:t xml:space="preserve"> capt</w:t>
            </w:r>
            <w:r w:rsidR="00B34B7B">
              <w:t>ure</w:t>
            </w:r>
          </w:p>
        </w:tc>
        <w:tc>
          <w:tcPr>
            <w:tcW w:w="1706" w:type="dxa"/>
          </w:tcPr>
          <w:p w14:paraId="64E94E4B" w14:textId="7FA43F33" w:rsidR="007B1F39" w:rsidRDefault="007A438B" w:rsidP="009D3954">
            <w:pPr>
              <w:pStyle w:val="CETBodytext"/>
              <w:spacing w:line="240" w:lineRule="auto"/>
            </w:pPr>
            <w:r>
              <w:t>Capture efficiency</w:t>
            </w:r>
          </w:p>
        </w:tc>
        <w:tc>
          <w:tcPr>
            <w:tcW w:w="567" w:type="dxa"/>
          </w:tcPr>
          <w:p w14:paraId="36453C3D" w14:textId="59E9BE07" w:rsidR="007B1F39" w:rsidRDefault="007A438B" w:rsidP="009D6298">
            <w:pPr>
              <w:pStyle w:val="CETBodytext"/>
              <w:spacing w:line="240" w:lineRule="auto"/>
              <w:jc w:val="right"/>
            </w:pPr>
            <w:r>
              <w:t>95</w:t>
            </w:r>
          </w:p>
        </w:tc>
        <w:tc>
          <w:tcPr>
            <w:tcW w:w="817" w:type="dxa"/>
          </w:tcPr>
          <w:p w14:paraId="2E00FB6E" w14:textId="772BE82F" w:rsidR="007B1F39" w:rsidRDefault="007A438B" w:rsidP="009D3954">
            <w:pPr>
              <w:pStyle w:val="CETBodytext"/>
              <w:spacing w:line="240" w:lineRule="auto"/>
            </w:pPr>
            <w:r>
              <w:t>%</w:t>
            </w:r>
          </w:p>
        </w:tc>
      </w:tr>
      <w:tr w:rsidR="003C5744" w14:paraId="6F7961ED" w14:textId="769F3C77" w:rsidTr="00615A6A">
        <w:tc>
          <w:tcPr>
            <w:tcW w:w="1875" w:type="dxa"/>
          </w:tcPr>
          <w:p w14:paraId="4650CCD0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24CE2A05" w14:textId="77777777" w:rsidR="007B1F39" w:rsidRDefault="007B1F39" w:rsidP="009D3954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4</w:t>
            </w:r>
            <w:r>
              <w:t>H</w:t>
            </w:r>
            <w:r w:rsidRPr="00F356CE">
              <w:rPr>
                <w:vertAlign w:val="subscript"/>
              </w:rPr>
              <w:t>10</w:t>
            </w:r>
          </w:p>
        </w:tc>
        <w:tc>
          <w:tcPr>
            <w:tcW w:w="730" w:type="dxa"/>
          </w:tcPr>
          <w:p w14:paraId="142ECF38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7.61</w:t>
            </w:r>
          </w:p>
        </w:tc>
        <w:tc>
          <w:tcPr>
            <w:tcW w:w="851" w:type="dxa"/>
          </w:tcPr>
          <w:p w14:paraId="62D0632B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1810E36B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CC61780" w14:textId="035D379E" w:rsidR="007B1F39" w:rsidRDefault="00876C88" w:rsidP="009D3954">
            <w:pPr>
              <w:pStyle w:val="CETBodytext"/>
              <w:spacing w:line="240" w:lineRule="auto"/>
            </w:pPr>
            <w:r>
              <w:t>CO</w:t>
            </w:r>
            <w:r w:rsidRPr="00750E70">
              <w:rPr>
                <w:vertAlign w:val="subscript"/>
              </w:rPr>
              <w:t>2</w:t>
            </w:r>
            <w:r>
              <w:t xml:space="preserve"> capt</w:t>
            </w:r>
            <w:r w:rsidR="00B34B7B">
              <w:t>ure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14:paraId="160BEA36" w14:textId="1C913909" w:rsidR="007B1F39" w:rsidRDefault="007A438B" w:rsidP="009D3954">
            <w:pPr>
              <w:pStyle w:val="CETBodytext"/>
              <w:spacing w:line="240" w:lineRule="auto"/>
            </w:pPr>
            <w:r>
              <w:t>Heat pump COP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7DC1D62" w14:textId="0A45DA07" w:rsidR="007B1F39" w:rsidRDefault="007A438B" w:rsidP="009D6298">
            <w:pPr>
              <w:pStyle w:val="CETBodytext"/>
              <w:spacing w:line="240" w:lineRule="auto"/>
              <w:jc w:val="right"/>
            </w:pPr>
            <w:r>
              <w:t>2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14:paraId="55DF9345" w14:textId="34C9E428" w:rsidR="007B1F39" w:rsidRDefault="007A438B" w:rsidP="009D3954">
            <w:pPr>
              <w:pStyle w:val="CETBodytext"/>
              <w:spacing w:line="240" w:lineRule="auto"/>
            </w:pPr>
            <w:r>
              <w:t>-</w:t>
            </w:r>
          </w:p>
        </w:tc>
      </w:tr>
      <w:tr w:rsidR="003C5744" w14:paraId="0DFF8970" w14:textId="695CB860" w:rsidTr="00615A6A">
        <w:tc>
          <w:tcPr>
            <w:tcW w:w="1875" w:type="dxa"/>
          </w:tcPr>
          <w:p w14:paraId="1EAEC439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31AA93C0" w14:textId="77777777" w:rsidR="007B1F39" w:rsidRDefault="007B1F39" w:rsidP="009D3954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4</w:t>
            </w:r>
            <w:r>
              <w:t>H</w:t>
            </w:r>
            <w:r w:rsidRPr="00F356CE">
              <w:rPr>
                <w:vertAlign w:val="subscript"/>
              </w:rPr>
              <w:t>8</w:t>
            </w:r>
          </w:p>
        </w:tc>
        <w:tc>
          <w:tcPr>
            <w:tcW w:w="730" w:type="dxa"/>
          </w:tcPr>
          <w:p w14:paraId="77F30CCE" w14:textId="77777777" w:rsidR="007B1F39" w:rsidRDefault="007B1F39" w:rsidP="009D3954">
            <w:pPr>
              <w:pStyle w:val="CETBodytext"/>
              <w:spacing w:line="240" w:lineRule="auto"/>
              <w:jc w:val="right"/>
            </w:pPr>
            <w:r>
              <w:t>0.51</w:t>
            </w:r>
          </w:p>
        </w:tc>
        <w:tc>
          <w:tcPr>
            <w:tcW w:w="851" w:type="dxa"/>
          </w:tcPr>
          <w:p w14:paraId="423F35CB" w14:textId="77777777" w:rsidR="007B1F39" w:rsidRDefault="007B1F39" w:rsidP="009D3954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00D69BE7" w14:textId="77777777" w:rsidR="007B1F39" w:rsidRDefault="007B1F39" w:rsidP="009D3954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D2D8168" w14:textId="359302A4" w:rsidR="007B1F39" w:rsidRDefault="00876C88" w:rsidP="009D3954">
            <w:pPr>
              <w:pStyle w:val="CETBodytext"/>
              <w:spacing w:line="240" w:lineRule="auto"/>
            </w:pPr>
            <w:r>
              <w:t>Electrolysis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108ED237" w14:textId="7E2200CB" w:rsidR="007B1F39" w:rsidRDefault="00045A02" w:rsidP="009D3954">
            <w:pPr>
              <w:pStyle w:val="CETBodytext"/>
              <w:spacing w:line="240" w:lineRule="auto"/>
            </w:pPr>
            <w:r>
              <w:t xml:space="preserve">Spec. </w:t>
            </w:r>
            <w:proofErr w:type="spellStart"/>
            <w:r>
              <w:t>consumpt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F64B58F" w14:textId="6F73E23D" w:rsidR="007B1F39" w:rsidRDefault="00045A02" w:rsidP="009D6298">
            <w:pPr>
              <w:pStyle w:val="CETBodytext"/>
              <w:spacing w:line="240" w:lineRule="auto"/>
              <w:jc w:val="right"/>
            </w:pPr>
            <w:r>
              <w:t>47.6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251A22BA" w14:textId="03F95BB7" w:rsidR="007B1F39" w:rsidRDefault="003C5744" w:rsidP="009D3954">
            <w:pPr>
              <w:pStyle w:val="CETBodytext"/>
              <w:spacing w:line="240" w:lineRule="auto"/>
            </w:pPr>
            <w:r>
              <w:t>kWh/kg</w:t>
            </w:r>
          </w:p>
        </w:tc>
      </w:tr>
      <w:tr w:rsidR="00615A6A" w14:paraId="0682734B" w14:textId="77777777" w:rsidTr="00615A6A">
        <w:tc>
          <w:tcPr>
            <w:tcW w:w="1875" w:type="dxa"/>
          </w:tcPr>
          <w:p w14:paraId="233A8082" w14:textId="77777777" w:rsidR="00B502D3" w:rsidRDefault="00B502D3" w:rsidP="00B502D3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1660C183" w14:textId="59521E01" w:rsidR="00B502D3" w:rsidRDefault="00B502D3" w:rsidP="00B502D3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5</w:t>
            </w:r>
            <w:r>
              <w:t>H</w:t>
            </w:r>
            <w:r w:rsidRPr="00F356CE">
              <w:rPr>
                <w:vertAlign w:val="subscript"/>
              </w:rPr>
              <w:t>12</w:t>
            </w:r>
          </w:p>
        </w:tc>
        <w:tc>
          <w:tcPr>
            <w:tcW w:w="730" w:type="dxa"/>
          </w:tcPr>
          <w:p w14:paraId="18EC809B" w14:textId="3E55F50A" w:rsidR="00B502D3" w:rsidRDefault="00B502D3" w:rsidP="00B502D3">
            <w:pPr>
              <w:pStyle w:val="CETBodytext"/>
              <w:spacing w:line="240" w:lineRule="auto"/>
              <w:jc w:val="right"/>
            </w:pPr>
            <w:r>
              <w:t>1.44</w:t>
            </w:r>
          </w:p>
        </w:tc>
        <w:tc>
          <w:tcPr>
            <w:tcW w:w="851" w:type="dxa"/>
          </w:tcPr>
          <w:p w14:paraId="440E6EC2" w14:textId="02A650F6" w:rsidR="00B502D3" w:rsidRDefault="00B502D3" w:rsidP="00B502D3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78BBE802" w14:textId="77777777" w:rsidR="00B502D3" w:rsidRDefault="00B502D3" w:rsidP="00B502D3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C08544" w14:textId="45BC604A" w:rsidR="00B502D3" w:rsidRDefault="00B502D3" w:rsidP="00B502D3">
            <w:pPr>
              <w:pStyle w:val="CETBodytext"/>
              <w:spacing w:line="240" w:lineRule="auto"/>
            </w:pPr>
            <w:r>
              <w:t>Electrolysis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14:paraId="03C57B51" w14:textId="20CED8B4" w:rsidR="00B502D3" w:rsidRDefault="00B502D3" w:rsidP="00B502D3">
            <w:pPr>
              <w:pStyle w:val="CETBodytext"/>
              <w:spacing w:line="240" w:lineRule="auto"/>
            </w:pPr>
            <w:r>
              <w:t>H</w:t>
            </w:r>
            <w:r w:rsidRPr="00045A02">
              <w:rPr>
                <w:vertAlign w:val="subscript"/>
              </w:rPr>
              <w:t>2</w:t>
            </w:r>
            <w:r>
              <w:t xml:space="preserve"> pressure out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A187E55" w14:textId="1469EC29" w:rsidR="00B502D3" w:rsidRDefault="00B502D3" w:rsidP="00B502D3">
            <w:pPr>
              <w:pStyle w:val="CETBodytext"/>
              <w:spacing w:line="240" w:lineRule="auto"/>
              <w:jc w:val="right"/>
            </w:pPr>
            <w:r>
              <w:t>30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14:paraId="28B36DA7" w14:textId="080F6A5A" w:rsidR="00B502D3" w:rsidRDefault="00B502D3" w:rsidP="00B502D3">
            <w:pPr>
              <w:pStyle w:val="CETBodytext"/>
              <w:spacing w:line="240" w:lineRule="auto"/>
            </w:pPr>
            <w:r>
              <w:t>bar</w:t>
            </w:r>
          </w:p>
        </w:tc>
      </w:tr>
      <w:tr w:rsidR="00615A6A" w14:paraId="42FD94A9" w14:textId="77777777" w:rsidTr="009377A2">
        <w:tc>
          <w:tcPr>
            <w:tcW w:w="1875" w:type="dxa"/>
          </w:tcPr>
          <w:p w14:paraId="12592E9A" w14:textId="77777777" w:rsidR="00B502D3" w:rsidRDefault="00B502D3" w:rsidP="00B502D3">
            <w:pPr>
              <w:pStyle w:val="CETBodytext"/>
              <w:spacing w:line="240" w:lineRule="auto"/>
            </w:pPr>
          </w:p>
        </w:tc>
        <w:tc>
          <w:tcPr>
            <w:tcW w:w="677" w:type="dxa"/>
          </w:tcPr>
          <w:p w14:paraId="025D77E1" w14:textId="417C960E" w:rsidR="00B502D3" w:rsidRDefault="00B502D3" w:rsidP="00B502D3">
            <w:pPr>
              <w:pStyle w:val="CETBodytext"/>
              <w:spacing w:line="240" w:lineRule="auto"/>
            </w:pPr>
            <w:r>
              <w:t>C</w:t>
            </w:r>
            <w:r w:rsidRPr="00F356CE">
              <w:rPr>
                <w:vertAlign w:val="subscript"/>
              </w:rPr>
              <w:t>6</w:t>
            </w:r>
            <w:r>
              <w:t>H</w:t>
            </w:r>
            <w:r w:rsidRPr="00F356CE">
              <w:rPr>
                <w:vertAlign w:val="subscript"/>
              </w:rPr>
              <w:t>14</w:t>
            </w:r>
          </w:p>
        </w:tc>
        <w:tc>
          <w:tcPr>
            <w:tcW w:w="730" w:type="dxa"/>
          </w:tcPr>
          <w:p w14:paraId="56CCB37A" w14:textId="639562C4" w:rsidR="00B502D3" w:rsidRDefault="00B502D3" w:rsidP="00B502D3">
            <w:pPr>
              <w:pStyle w:val="CETBodytext"/>
              <w:spacing w:line="240" w:lineRule="auto"/>
              <w:jc w:val="right"/>
            </w:pPr>
            <w:r>
              <w:t>1.95</w:t>
            </w:r>
          </w:p>
        </w:tc>
        <w:tc>
          <w:tcPr>
            <w:tcW w:w="851" w:type="dxa"/>
          </w:tcPr>
          <w:p w14:paraId="060E26C5" w14:textId="74FAD536" w:rsidR="00B502D3" w:rsidRDefault="00B502D3" w:rsidP="00B502D3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67F1F6B5" w14:textId="77777777" w:rsidR="00B502D3" w:rsidRDefault="00B502D3" w:rsidP="00B502D3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8925EDC" w14:textId="250B1AC6" w:rsidR="00B502D3" w:rsidRDefault="00B502D3" w:rsidP="00B502D3">
            <w:pPr>
              <w:pStyle w:val="CETBodytext"/>
              <w:spacing w:line="240" w:lineRule="auto"/>
            </w:pPr>
            <w:r>
              <w:t>Compressor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324E0759" w14:textId="33A32DE7" w:rsidR="00B502D3" w:rsidRDefault="00B502D3" w:rsidP="00B502D3">
            <w:pPr>
              <w:pStyle w:val="CETBodytext"/>
              <w:spacing w:line="240" w:lineRule="auto"/>
            </w:pPr>
            <w:r>
              <w:t xml:space="preserve">Isentropic </w:t>
            </w:r>
            <w:proofErr w:type="spellStart"/>
            <w:r>
              <w:t>efficien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67CAA9C" w14:textId="406505A7" w:rsidR="00B502D3" w:rsidRDefault="00B502D3" w:rsidP="00B502D3">
            <w:pPr>
              <w:pStyle w:val="CETBodytext"/>
              <w:spacing w:line="240" w:lineRule="auto"/>
              <w:jc w:val="right"/>
            </w:pPr>
            <w:r>
              <w:t>80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27AA153D" w14:textId="4E8501D0" w:rsidR="00B502D3" w:rsidRDefault="00B502D3" w:rsidP="00B502D3">
            <w:pPr>
              <w:pStyle w:val="CETBodytext"/>
              <w:spacing w:line="240" w:lineRule="auto"/>
            </w:pPr>
            <w:r>
              <w:t>%</w:t>
            </w:r>
          </w:p>
        </w:tc>
      </w:tr>
      <w:tr w:rsidR="00615A6A" w14:paraId="784767AA" w14:textId="77777777" w:rsidTr="009377A2">
        <w:tc>
          <w:tcPr>
            <w:tcW w:w="1875" w:type="dxa"/>
            <w:tcBorders>
              <w:bottom w:val="single" w:sz="4" w:space="0" w:color="000000"/>
            </w:tcBorders>
          </w:tcPr>
          <w:p w14:paraId="5AE886FD" w14:textId="77777777" w:rsidR="00B502D3" w:rsidRDefault="00B502D3" w:rsidP="00B502D3">
            <w:pPr>
              <w:pStyle w:val="CETBodytext"/>
              <w:spacing w:line="240" w:lineRule="auto"/>
            </w:pP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14:paraId="258F7892" w14:textId="55D27AEB" w:rsidR="00B502D3" w:rsidRDefault="00B502D3" w:rsidP="00B502D3">
            <w:pPr>
              <w:pStyle w:val="CETBodytext"/>
              <w:spacing w:line="240" w:lineRule="auto"/>
            </w:pPr>
            <w:r>
              <w:t>N</w:t>
            </w:r>
            <w:r w:rsidRPr="00F356CE">
              <w:rPr>
                <w:vertAlign w:val="subscript"/>
              </w:rPr>
              <w:t>2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14:paraId="0C1138A8" w14:textId="06C25E6B" w:rsidR="00B502D3" w:rsidRDefault="00B502D3" w:rsidP="00B502D3">
            <w:pPr>
              <w:pStyle w:val="CETBodytext"/>
              <w:spacing w:line="240" w:lineRule="auto"/>
              <w:jc w:val="right"/>
            </w:pPr>
            <w:r>
              <w:t>2.78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B740AD" w14:textId="69ACE890" w:rsidR="00B502D3" w:rsidRDefault="00B502D3" w:rsidP="00B502D3">
            <w:pPr>
              <w:pStyle w:val="CETBodytext"/>
              <w:spacing w:line="240" w:lineRule="auto"/>
            </w:pPr>
            <w:r>
              <w:t>%</w:t>
            </w:r>
          </w:p>
        </w:tc>
        <w:tc>
          <w:tcPr>
            <w:tcW w:w="283" w:type="dxa"/>
          </w:tcPr>
          <w:p w14:paraId="1038F6CE" w14:textId="77777777" w:rsidR="00B502D3" w:rsidRDefault="00B502D3" w:rsidP="00B502D3">
            <w:pPr>
              <w:pStyle w:val="CETBodytext"/>
              <w:spacing w:line="240" w:lineRule="auto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460FB06" w14:textId="57107508" w:rsidR="00B502D3" w:rsidRDefault="00B502D3" w:rsidP="00B502D3">
            <w:pPr>
              <w:pStyle w:val="CETBodytext"/>
              <w:spacing w:line="240" w:lineRule="auto"/>
            </w:pPr>
            <w:r>
              <w:t>Compressor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14:paraId="478B0C3E" w14:textId="5ED426AD" w:rsidR="00B502D3" w:rsidRDefault="00B502D3" w:rsidP="00B502D3">
            <w:pPr>
              <w:pStyle w:val="CETBodytext"/>
              <w:spacing w:line="240" w:lineRule="auto"/>
            </w:pPr>
            <w:r>
              <w:t>Mech-</w:t>
            </w:r>
            <w:proofErr w:type="spellStart"/>
            <w:r>
              <w:t>electr</w:t>
            </w:r>
            <w:proofErr w:type="spellEnd"/>
            <w:r>
              <w:t xml:space="preserve">. </w:t>
            </w:r>
            <w:proofErr w:type="spellStart"/>
            <w:r>
              <w:t>effic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C617220" w14:textId="736A1952" w:rsidR="00B502D3" w:rsidRDefault="00B502D3" w:rsidP="00B502D3">
            <w:pPr>
              <w:pStyle w:val="CETBodytext"/>
              <w:spacing w:line="240" w:lineRule="auto"/>
              <w:jc w:val="right"/>
            </w:pPr>
            <w:r>
              <w:t>94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14:paraId="01641A08" w14:textId="485A6296" w:rsidR="00B502D3" w:rsidRDefault="00B502D3" w:rsidP="00B502D3">
            <w:pPr>
              <w:pStyle w:val="CETBodytext"/>
              <w:spacing w:line="240" w:lineRule="auto"/>
            </w:pPr>
            <w:r>
              <w:t>%</w:t>
            </w:r>
          </w:p>
        </w:tc>
      </w:tr>
      <w:tr w:rsidR="009E2265" w14:paraId="48B44DD3" w14:textId="77777777" w:rsidTr="008F76AE">
        <w:tc>
          <w:tcPr>
            <w:tcW w:w="8782" w:type="dxa"/>
            <w:gridSpan w:val="9"/>
          </w:tcPr>
          <w:p w14:paraId="18928991" w14:textId="683CE44B" w:rsidR="009E2265" w:rsidRDefault="008D564E" w:rsidP="00A93D43">
            <w:pPr>
              <w:pStyle w:val="CETBodytext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E12DADA" wp14:editId="10F33811">
                  <wp:extent cx="5400000" cy="2078389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07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65" w14:paraId="3C18C292" w14:textId="77777777" w:rsidTr="008F76AE">
        <w:tc>
          <w:tcPr>
            <w:tcW w:w="8782" w:type="dxa"/>
            <w:gridSpan w:val="9"/>
          </w:tcPr>
          <w:p w14:paraId="2234D678" w14:textId="77777777" w:rsidR="00EF048A" w:rsidRDefault="00A93D43" w:rsidP="00DA3925">
            <w:pPr>
              <w:pStyle w:val="CETBodytext"/>
              <w:jc w:val="center"/>
              <w:rPr>
                <w:i/>
                <w:iCs/>
              </w:rPr>
            </w:pPr>
            <w:r w:rsidRPr="00BE23DC">
              <w:rPr>
                <w:i/>
                <w:iCs/>
              </w:rPr>
              <w:t>(a)</w:t>
            </w:r>
          </w:p>
          <w:p w14:paraId="481A82CD" w14:textId="725E2EC3" w:rsidR="009377A2" w:rsidRPr="00BE23DC" w:rsidRDefault="009377A2" w:rsidP="00DA3925">
            <w:pPr>
              <w:pStyle w:val="CETBodytext"/>
              <w:jc w:val="center"/>
              <w:rPr>
                <w:i/>
                <w:iCs/>
              </w:rPr>
            </w:pPr>
          </w:p>
        </w:tc>
      </w:tr>
      <w:tr w:rsidR="009E2265" w14:paraId="541241E6" w14:textId="77777777" w:rsidTr="008F76AE">
        <w:tc>
          <w:tcPr>
            <w:tcW w:w="8782" w:type="dxa"/>
            <w:gridSpan w:val="9"/>
          </w:tcPr>
          <w:p w14:paraId="1CED3B8D" w14:textId="4F8CC2F6" w:rsidR="009E2265" w:rsidRDefault="00BE23DC" w:rsidP="00A93D43">
            <w:pPr>
              <w:pStyle w:val="CETBodytext"/>
              <w:jc w:val="center"/>
            </w:pPr>
            <w:r>
              <w:rPr>
                <w:noProof/>
              </w:rPr>
              <w:drawing>
                <wp:inline distT="0" distB="0" distL="0" distR="0" wp14:anchorId="2C5B6FC4" wp14:editId="647FEE9F">
                  <wp:extent cx="5400000" cy="2072858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207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65" w14:paraId="7F19EE0A" w14:textId="77777777" w:rsidTr="008F76AE">
        <w:tc>
          <w:tcPr>
            <w:tcW w:w="8782" w:type="dxa"/>
            <w:gridSpan w:val="9"/>
          </w:tcPr>
          <w:p w14:paraId="0BDF8F3F" w14:textId="77777777" w:rsidR="00EF048A" w:rsidRDefault="00A93D43" w:rsidP="00DA3925">
            <w:pPr>
              <w:pStyle w:val="CETBodytext"/>
              <w:jc w:val="center"/>
              <w:rPr>
                <w:i/>
                <w:iCs/>
              </w:rPr>
            </w:pPr>
            <w:r w:rsidRPr="00BE23DC">
              <w:rPr>
                <w:i/>
                <w:iCs/>
              </w:rPr>
              <w:t>(b)</w:t>
            </w:r>
          </w:p>
          <w:p w14:paraId="5B76FECD" w14:textId="60147529" w:rsidR="009377A2" w:rsidRPr="00BE23DC" w:rsidRDefault="009377A2" w:rsidP="00DA3925">
            <w:pPr>
              <w:pStyle w:val="CETBodytext"/>
              <w:jc w:val="center"/>
              <w:rPr>
                <w:i/>
                <w:iCs/>
              </w:rPr>
            </w:pPr>
          </w:p>
        </w:tc>
      </w:tr>
    </w:tbl>
    <w:p w14:paraId="24C2C274" w14:textId="737EE918" w:rsidR="00264611" w:rsidRDefault="009E2265" w:rsidP="009E2265">
      <w:pPr>
        <w:pStyle w:val="CETBodytext"/>
        <w:rPr>
          <w:i/>
          <w:iCs/>
        </w:rPr>
      </w:pPr>
      <w:r>
        <w:rPr>
          <w:i/>
          <w:iCs/>
        </w:rPr>
        <w:t xml:space="preserve">Figure 1. </w:t>
      </w:r>
      <w:r w:rsidR="00A93D43">
        <w:rPr>
          <w:i/>
          <w:iCs/>
        </w:rPr>
        <w:t>Plant schemes of: (a) e-MeOH; and (b) er-MeOH.</w:t>
      </w:r>
    </w:p>
    <w:p w14:paraId="16C6F36D" w14:textId="6B8DA55F" w:rsidR="00D03E0D" w:rsidRDefault="00DD687A" w:rsidP="008B527E">
      <w:pPr>
        <w:pStyle w:val="CETHeading1"/>
      </w:pPr>
      <w:r>
        <w:t>Economic assumptions and key performance indicators</w:t>
      </w:r>
    </w:p>
    <w:p w14:paraId="03A1131C" w14:textId="027D676F" w:rsidR="00835B5E" w:rsidRDefault="00693781" w:rsidP="00551A8A">
      <w:pPr>
        <w:pStyle w:val="CETBodytext"/>
        <w:spacing w:after="120"/>
      </w:pPr>
      <w:r>
        <w:t>This study assumes an operation rate of the plants of 8400 h/year</w:t>
      </w:r>
      <w:r w:rsidR="00EA5EE5">
        <w:t xml:space="preserve"> and an </w:t>
      </w:r>
      <w:r w:rsidR="009E20B4">
        <w:t xml:space="preserve">annualisation </w:t>
      </w:r>
      <w:r w:rsidR="00EA5EE5">
        <w:t xml:space="preserve">rate </w:t>
      </w:r>
      <w:r w:rsidR="002826D4" w:rsidRPr="002826D4">
        <w:rPr>
          <w:i/>
          <w:iCs/>
        </w:rPr>
        <w:t>AF</w:t>
      </w:r>
      <w:r w:rsidR="002826D4">
        <w:t xml:space="preserve"> </w:t>
      </w:r>
      <w:r w:rsidR="00EA5EE5">
        <w:t>of 8.67</w:t>
      </w:r>
      <w:r w:rsidR="004B4368">
        <w:t> </w:t>
      </w:r>
      <w:r w:rsidR="00EA5EE5">
        <w:t>%/year (corresponding to a discount rate of 8</w:t>
      </w:r>
      <w:r w:rsidR="004B4368">
        <w:t> </w:t>
      </w:r>
      <w:r w:rsidR="00EA5EE5">
        <w:t>% over 25 years)</w:t>
      </w:r>
      <w:r w:rsidR="0013455B">
        <w:t xml:space="preserve">. </w:t>
      </w:r>
      <w:r w:rsidR="0013455B" w:rsidRPr="007F634A">
        <w:t>Costs are reported in €</w:t>
      </w:r>
      <w:r w:rsidR="0013455B" w:rsidRPr="007F634A">
        <w:rPr>
          <w:vertAlign w:val="superscript"/>
        </w:rPr>
        <w:t>2018</w:t>
      </w:r>
      <w:r w:rsidR="0013455B" w:rsidRPr="007F634A">
        <w:t xml:space="preserve"> and updated with CEPCI indexes when needed. </w:t>
      </w:r>
      <w:r w:rsidR="00134A56" w:rsidRPr="007F634A">
        <w:t xml:space="preserve">Material and installation costs are taken from the literature and scaled by </w:t>
      </w:r>
      <w:r w:rsidR="001C7AB7" w:rsidRPr="007F634A">
        <w:t>using appropriate cost functions</w:t>
      </w:r>
      <w:r w:rsidR="0061480B" w:rsidRPr="007F634A">
        <w:t>, f</w:t>
      </w:r>
      <w:r w:rsidR="00A33E4C" w:rsidRPr="007F634A">
        <w:t>ollowing the methodology proposed by Spinelli et al. (</w:t>
      </w:r>
      <w:r w:rsidR="006F72A0" w:rsidRPr="007F634A">
        <w:t>2018</w:t>
      </w:r>
      <w:r w:rsidR="00A33E4C" w:rsidRPr="007F634A">
        <w:t>)</w:t>
      </w:r>
      <w:r w:rsidR="0061480B" w:rsidRPr="007F634A">
        <w:t>.</w:t>
      </w:r>
      <w:r w:rsidR="00A33E4C" w:rsidRPr="007F634A">
        <w:t xml:space="preserve"> </w:t>
      </w:r>
      <w:r w:rsidR="009E20B4">
        <w:t>The investment c</w:t>
      </w:r>
      <w:r w:rsidR="009E20B4" w:rsidRPr="007F634A">
        <w:t>osts</w:t>
      </w:r>
      <w:r w:rsidR="009E20B4">
        <w:t xml:space="preserve"> </w:t>
      </w:r>
      <w:r w:rsidR="00304618">
        <w:t xml:space="preserve">of </w:t>
      </w:r>
      <w:r w:rsidR="009E20B4">
        <w:t xml:space="preserve">the </w:t>
      </w:r>
      <w:r w:rsidR="00304618">
        <w:t>process units</w:t>
      </w:r>
      <w:r w:rsidR="007B30D2" w:rsidRPr="007F634A">
        <w:t xml:space="preserve"> are summed up to obtain the total direct plant cost </w:t>
      </w:r>
      <w:r w:rsidR="007B30D2" w:rsidRPr="007F634A">
        <w:rPr>
          <w:i/>
          <w:iCs/>
        </w:rPr>
        <w:t>TDPC</w:t>
      </w:r>
      <w:r w:rsidR="00583FF8" w:rsidRPr="007F634A">
        <w:t xml:space="preserve"> [M€]</w:t>
      </w:r>
      <w:r w:rsidR="00550086" w:rsidRPr="007F634A">
        <w:t xml:space="preserve">, and increased </w:t>
      </w:r>
      <w:r w:rsidR="00015EA0" w:rsidRPr="007F634A">
        <w:t>by the contributions</w:t>
      </w:r>
      <w:r w:rsidR="00015EA0">
        <w:t xml:space="preserve"> of engineering and procurement (14</w:t>
      </w:r>
      <w:r w:rsidR="00880BEF">
        <w:t> </w:t>
      </w:r>
      <w:r w:rsidR="00015EA0">
        <w:t xml:space="preserve">% of </w:t>
      </w:r>
      <w:r w:rsidR="00015EA0" w:rsidRPr="00C70D5A">
        <w:rPr>
          <w:i/>
          <w:iCs/>
        </w:rPr>
        <w:t>TDPC</w:t>
      </w:r>
      <w:r w:rsidR="00015EA0">
        <w:t>)</w:t>
      </w:r>
      <w:r w:rsidR="00880BEF">
        <w:t xml:space="preserve"> and contingencies and owner costs (15 % of </w:t>
      </w:r>
      <w:r w:rsidR="00880BEF" w:rsidRPr="00C70D5A">
        <w:rPr>
          <w:i/>
          <w:iCs/>
        </w:rPr>
        <w:t>TDPC</w:t>
      </w:r>
      <w:r w:rsidR="00880BEF">
        <w:t>)</w:t>
      </w:r>
      <w:r w:rsidR="003E3D1C">
        <w:t xml:space="preserve"> to obtain</w:t>
      </w:r>
      <w:r w:rsidR="00304618">
        <w:t xml:space="preserve"> the total plant cost</w:t>
      </w:r>
      <w:r w:rsidR="003E3D1C">
        <w:t xml:space="preserve"> </w:t>
      </w:r>
      <w:r w:rsidR="003E3D1C" w:rsidRPr="003E3D1C">
        <w:rPr>
          <w:i/>
          <w:iCs/>
        </w:rPr>
        <w:t>TPC</w:t>
      </w:r>
      <w:r w:rsidR="003E3D1C">
        <w:t xml:space="preserve"> [M€]</w:t>
      </w:r>
      <w:r w:rsidR="00583FF8"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552"/>
      </w:tblGrid>
      <w:tr w:rsidR="00B05AEB" w14:paraId="54CD9195" w14:textId="77777777" w:rsidTr="00A066BF">
        <w:tc>
          <w:tcPr>
            <w:tcW w:w="5098" w:type="dxa"/>
            <w:vAlign w:val="center"/>
          </w:tcPr>
          <w:p w14:paraId="67DA729C" w14:textId="60869341" w:rsidR="00B05AEB" w:rsidRPr="001365B6" w:rsidRDefault="009E68C5" w:rsidP="00BC74E3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TPC=TDPC∙(1+0.14+0.15)</m:t>
                </m:r>
              </m:oMath>
            </m:oMathPara>
          </w:p>
        </w:tc>
        <w:tc>
          <w:tcPr>
            <w:tcW w:w="2127" w:type="dxa"/>
          </w:tcPr>
          <w:p w14:paraId="426BB5BF" w14:textId="77777777" w:rsidR="00B05AEB" w:rsidRDefault="00B05AEB" w:rsidP="00835B5E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39282984" w14:textId="07BD92D8" w:rsidR="00B05AEB" w:rsidRDefault="00B05AEB" w:rsidP="00BC74E3">
            <w:pPr>
              <w:pStyle w:val="CETBodytext"/>
              <w:jc w:val="right"/>
            </w:pPr>
            <w:r>
              <w:t>(1)</w:t>
            </w:r>
          </w:p>
        </w:tc>
      </w:tr>
    </w:tbl>
    <w:p w14:paraId="7788AAFD" w14:textId="1FF5B2CA" w:rsidR="00371755" w:rsidRDefault="009E20B4" w:rsidP="00551A8A">
      <w:pPr>
        <w:pStyle w:val="CETBodytext"/>
        <w:spacing w:before="120" w:after="120"/>
      </w:pPr>
      <w:r>
        <w:t xml:space="preserve">The </w:t>
      </w:r>
      <w:r w:rsidR="00371755" w:rsidRPr="00CC17D8">
        <w:rPr>
          <w:i/>
          <w:iCs/>
        </w:rPr>
        <w:t>TPC</w:t>
      </w:r>
      <w:r w:rsidR="00371755">
        <w:t xml:space="preserve"> </w:t>
      </w:r>
      <w:r>
        <w:t xml:space="preserve">from </w:t>
      </w:r>
      <w:r w:rsidR="00371755">
        <w:t xml:space="preserve">Eq.(1) is </w:t>
      </w:r>
      <w:proofErr w:type="spellStart"/>
      <w:r w:rsidR="00371755">
        <w:t>annualised</w:t>
      </w:r>
      <w:proofErr w:type="spellEnd"/>
      <w:r w:rsidR="00371755">
        <w:t xml:space="preserve"> into the yearly total plant cost </w:t>
      </w:r>
      <w:proofErr w:type="spellStart"/>
      <w:r w:rsidR="00371755" w:rsidRPr="00371755">
        <w:rPr>
          <w:i/>
          <w:iCs/>
        </w:rPr>
        <w:t>TPC</w:t>
      </w:r>
      <w:r w:rsidR="00371755" w:rsidRPr="00371755">
        <w:rPr>
          <w:i/>
          <w:iCs/>
          <w:vertAlign w:val="subscript"/>
        </w:rPr>
        <w:t>a</w:t>
      </w:r>
      <w:proofErr w:type="spellEnd"/>
      <w:r w:rsidR="00371755">
        <w:t xml:space="preserve"> [M€/year]: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552"/>
      </w:tblGrid>
      <w:tr w:rsidR="00371755" w14:paraId="50E6EB7B" w14:textId="77777777" w:rsidTr="001E1775">
        <w:tc>
          <w:tcPr>
            <w:tcW w:w="5098" w:type="dxa"/>
            <w:vAlign w:val="center"/>
          </w:tcPr>
          <w:p w14:paraId="37EF85BD" w14:textId="77777777" w:rsidR="00371755" w:rsidRPr="009E68C5" w:rsidRDefault="00515A1C" w:rsidP="001E1775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TPC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=TPC∙AF</m:t>
                </m:r>
              </m:oMath>
            </m:oMathPara>
          </w:p>
        </w:tc>
        <w:tc>
          <w:tcPr>
            <w:tcW w:w="2127" w:type="dxa"/>
          </w:tcPr>
          <w:p w14:paraId="7AEA62BF" w14:textId="77777777" w:rsidR="00371755" w:rsidRDefault="00371755" w:rsidP="001E1775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0CDB3758" w14:textId="77777777" w:rsidR="00371755" w:rsidRDefault="00371755" w:rsidP="001E1775">
            <w:pPr>
              <w:pStyle w:val="CETBodytext"/>
              <w:jc w:val="right"/>
            </w:pPr>
            <w:r>
              <w:t>(2)</w:t>
            </w:r>
          </w:p>
        </w:tc>
      </w:tr>
    </w:tbl>
    <w:p w14:paraId="4680E56B" w14:textId="144509FD" w:rsidR="00B05AEB" w:rsidRDefault="009E20B4" w:rsidP="00551A8A">
      <w:pPr>
        <w:pStyle w:val="CETBodytext"/>
        <w:spacing w:before="120" w:after="120"/>
      </w:pPr>
      <w:r>
        <w:t xml:space="preserve">The operating </w:t>
      </w:r>
      <w:r w:rsidR="001365B6">
        <w:t xml:space="preserve">costs are given by </w:t>
      </w:r>
      <w:r w:rsidR="007627F8">
        <w:t>a f</w:t>
      </w:r>
      <w:r w:rsidR="001365B6">
        <w:t>ixed contribution of operation and maintenance (</w:t>
      </w:r>
      <w:r w:rsidR="009E68C5">
        <w:t>2.5</w:t>
      </w:r>
      <w:r w:rsidR="00315F86">
        <w:t> </w:t>
      </w:r>
      <w:r w:rsidR="009E68C5">
        <w:t xml:space="preserve">% of </w:t>
      </w:r>
      <w:r w:rsidR="009E68C5" w:rsidRPr="009E68C5">
        <w:rPr>
          <w:i/>
          <w:iCs/>
        </w:rPr>
        <w:t>TPC</w:t>
      </w:r>
      <w:r w:rsidR="009E68C5">
        <w:t>)</w:t>
      </w:r>
      <w:r w:rsidR="00C00439">
        <w:t>, by insurance costs (2</w:t>
      </w:r>
      <w:r w:rsidR="00315F86">
        <w:t> </w:t>
      </w:r>
      <w:r w:rsidR="00C00439">
        <w:t xml:space="preserve">% of </w:t>
      </w:r>
      <w:r w:rsidR="00C00439" w:rsidRPr="00315F86">
        <w:rPr>
          <w:i/>
          <w:iCs/>
        </w:rPr>
        <w:t>TPC</w:t>
      </w:r>
      <w:r w:rsidR="00C00439">
        <w:t>), by the costs of electricity</w:t>
      </w:r>
      <w:r>
        <w:t>,</w:t>
      </w:r>
      <w:r w:rsidR="006F7E7A">
        <w:t xml:space="preserve"> and </w:t>
      </w:r>
      <w:r>
        <w:t xml:space="preserve">by the </w:t>
      </w:r>
      <w:r w:rsidR="00600ECB">
        <w:t>potential revenues from steam export</w:t>
      </w:r>
      <w:r w:rsidR="0051620F"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552"/>
      </w:tblGrid>
      <w:tr w:rsidR="0051620F" w14:paraId="2DC7E203" w14:textId="77777777" w:rsidTr="00A066BF">
        <w:tc>
          <w:tcPr>
            <w:tcW w:w="5098" w:type="dxa"/>
            <w:vAlign w:val="center"/>
          </w:tcPr>
          <w:p w14:paraId="184FFC49" w14:textId="1CD23442" w:rsidR="0051620F" w:rsidRPr="001365B6" w:rsidRDefault="00515A1C" w:rsidP="00BC74E3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=TP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+TPC∙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0.025+0.02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steam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steam</m:t>
                    </m:r>
                  </m:sub>
                </m:sSub>
              </m:oMath>
            </m:oMathPara>
          </w:p>
        </w:tc>
        <w:tc>
          <w:tcPr>
            <w:tcW w:w="2127" w:type="dxa"/>
          </w:tcPr>
          <w:p w14:paraId="4F8E2C9F" w14:textId="77777777" w:rsidR="0051620F" w:rsidRDefault="0051620F" w:rsidP="00D20985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1C52C121" w14:textId="7E817460" w:rsidR="0051620F" w:rsidRDefault="0051620F" w:rsidP="00BC74E3">
            <w:pPr>
              <w:pStyle w:val="CETBodytext"/>
              <w:jc w:val="right"/>
            </w:pPr>
            <w:r>
              <w:t>(3)</w:t>
            </w:r>
          </w:p>
        </w:tc>
      </w:tr>
    </w:tbl>
    <w:p w14:paraId="30B5D1CB" w14:textId="379CDB7E" w:rsidR="00007C69" w:rsidRPr="00A0171F" w:rsidRDefault="00022C2B" w:rsidP="00551A8A">
      <w:pPr>
        <w:pStyle w:val="CETBodytext"/>
        <w:spacing w:before="120"/>
      </w:pPr>
      <w:r>
        <w:t xml:space="preserve">being </w:t>
      </w:r>
      <w:proofErr w:type="spellStart"/>
      <w:r w:rsidRPr="00C30B25">
        <w:rPr>
          <w:i/>
          <w:iCs/>
        </w:rPr>
        <w:t>c</w:t>
      </w:r>
      <w:r w:rsidRPr="00C30B25">
        <w:rPr>
          <w:i/>
          <w:iCs/>
          <w:vertAlign w:val="subscript"/>
        </w:rPr>
        <w:t>el</w:t>
      </w:r>
      <w:proofErr w:type="spellEnd"/>
      <w:r>
        <w:t xml:space="preserve"> </w:t>
      </w:r>
      <w:r w:rsidR="00F660A6">
        <w:t xml:space="preserve">(equal to </w:t>
      </w:r>
      <w:r w:rsidR="00567420">
        <w:t xml:space="preserve">40 or 100 </w:t>
      </w:r>
      <w:r w:rsidR="003E3D1C">
        <w:t>€/MWh</w:t>
      </w:r>
      <w:r w:rsidR="003E3D1C" w:rsidRPr="003E3D1C">
        <w:rPr>
          <w:vertAlign w:val="subscript"/>
        </w:rPr>
        <w:t>el</w:t>
      </w:r>
      <w:r w:rsidR="00F660A6">
        <w:t>)</w:t>
      </w:r>
      <w:r w:rsidR="003E3D1C">
        <w:t xml:space="preserve"> and </w:t>
      </w:r>
      <w:r w:rsidR="003D37D6">
        <w:rPr>
          <w:i/>
          <w:iCs/>
        </w:rPr>
        <w:t>E</w:t>
      </w:r>
      <w:r w:rsidR="003D37D6">
        <w:rPr>
          <w:i/>
          <w:iCs/>
          <w:vertAlign w:val="subscript"/>
        </w:rPr>
        <w:t>el</w:t>
      </w:r>
      <w:r w:rsidR="00D85E9E">
        <w:t xml:space="preserve"> </w:t>
      </w:r>
      <w:r w:rsidR="00B851B7">
        <w:t>[MWh</w:t>
      </w:r>
      <w:r w:rsidR="00B851B7" w:rsidRPr="00B851B7">
        <w:rPr>
          <w:vertAlign w:val="subscript"/>
        </w:rPr>
        <w:t>el</w:t>
      </w:r>
      <w:r w:rsidR="00B851B7">
        <w:t xml:space="preserve">/year] </w:t>
      </w:r>
      <w:r w:rsidR="00D85E9E">
        <w:t xml:space="preserve">the cost of electricity and the electric demand </w:t>
      </w:r>
      <w:r w:rsidR="00567420">
        <w:t>of the plant</w:t>
      </w:r>
      <w:r w:rsidR="003D37D6">
        <w:t>, respectively</w:t>
      </w:r>
      <w:r w:rsidR="00567420">
        <w:t xml:space="preserve">. </w:t>
      </w:r>
      <w:r w:rsidR="00C61FFE">
        <w:t xml:space="preserve">The terms </w:t>
      </w:r>
      <w:proofErr w:type="spellStart"/>
      <w:r w:rsidR="00C61FFE" w:rsidRPr="00097BF3">
        <w:rPr>
          <w:i/>
          <w:iCs/>
        </w:rPr>
        <w:t>c</w:t>
      </w:r>
      <w:r w:rsidR="00C61FFE" w:rsidRPr="00097BF3">
        <w:rPr>
          <w:i/>
          <w:iCs/>
          <w:vertAlign w:val="subscript"/>
        </w:rPr>
        <w:t>steam</w:t>
      </w:r>
      <w:proofErr w:type="spellEnd"/>
      <w:r w:rsidR="00C61FFE">
        <w:t xml:space="preserve"> [€</w:t>
      </w:r>
      <w:r w:rsidR="00097BF3">
        <w:t>/</w:t>
      </w:r>
      <w:proofErr w:type="spellStart"/>
      <w:r w:rsidR="00097BF3">
        <w:t>MWh</w:t>
      </w:r>
      <w:r w:rsidR="00097BF3" w:rsidRPr="00097BF3">
        <w:rPr>
          <w:vertAlign w:val="subscript"/>
        </w:rPr>
        <w:t>th</w:t>
      </w:r>
      <w:proofErr w:type="spellEnd"/>
      <w:r w:rsidR="00C61FFE">
        <w:t xml:space="preserve">] and </w:t>
      </w:r>
      <w:proofErr w:type="spellStart"/>
      <w:r w:rsidR="00C61FFE" w:rsidRPr="00097BF3">
        <w:rPr>
          <w:i/>
          <w:iCs/>
        </w:rPr>
        <w:t>Q</w:t>
      </w:r>
      <w:r w:rsidR="00C61FFE" w:rsidRPr="00097BF3">
        <w:rPr>
          <w:i/>
          <w:iCs/>
          <w:vertAlign w:val="subscript"/>
        </w:rPr>
        <w:t>steam</w:t>
      </w:r>
      <w:proofErr w:type="spellEnd"/>
      <w:r>
        <w:t xml:space="preserve"> </w:t>
      </w:r>
      <w:r w:rsidR="00097BF3">
        <w:t>[</w:t>
      </w:r>
      <w:proofErr w:type="spellStart"/>
      <w:r w:rsidR="00097BF3">
        <w:t>MWh</w:t>
      </w:r>
      <w:r w:rsidR="00097BF3" w:rsidRPr="00097BF3">
        <w:rPr>
          <w:vertAlign w:val="subscript"/>
        </w:rPr>
        <w:t>th</w:t>
      </w:r>
      <w:proofErr w:type="spellEnd"/>
      <w:r w:rsidR="00097BF3">
        <w:t xml:space="preserve">/year] of Eq.(3) are the price of steam and the </w:t>
      </w:r>
      <w:r w:rsidR="00530CCD">
        <w:t xml:space="preserve">net steam thermal energy export. </w:t>
      </w:r>
      <w:r w:rsidR="00180AAB">
        <w:t xml:space="preserve">In particular, the price of steam </w:t>
      </w:r>
      <w:proofErr w:type="spellStart"/>
      <w:r w:rsidR="00180AAB" w:rsidRPr="008D0627">
        <w:rPr>
          <w:i/>
          <w:iCs/>
        </w:rPr>
        <w:t>c</w:t>
      </w:r>
      <w:r w:rsidR="00180AAB" w:rsidRPr="008D0627">
        <w:rPr>
          <w:i/>
          <w:iCs/>
          <w:vertAlign w:val="subscript"/>
        </w:rPr>
        <w:t>steam</w:t>
      </w:r>
      <w:proofErr w:type="spellEnd"/>
      <w:r w:rsidR="00180AAB">
        <w:t xml:space="preserve"> is determined </w:t>
      </w:r>
      <w:r w:rsidR="00D363CF">
        <w:t xml:space="preserve">by comparison with its production </w:t>
      </w:r>
      <w:r w:rsidR="00B3546E">
        <w:t xml:space="preserve">cost </w:t>
      </w:r>
      <w:r w:rsidR="00D363CF">
        <w:t>through natural gas combustion (</w:t>
      </w:r>
      <w:r w:rsidR="00A4585F">
        <w:t>with unitary cost of 6 €/GJ</w:t>
      </w:r>
      <w:r w:rsidR="00D363CF">
        <w:t>)</w:t>
      </w:r>
      <w:r w:rsidR="00A4585F">
        <w:t xml:space="preserve"> in a conventional boiler with 90 % efficiency</w:t>
      </w:r>
      <w:r w:rsidR="009E20B4">
        <w:t>,</w:t>
      </w:r>
      <w:r w:rsidR="008D0627">
        <w:t xml:space="preserve"> thus</w:t>
      </w:r>
      <w:r w:rsidR="009E20B4">
        <w:t xml:space="preserve"> obtaining </w:t>
      </w:r>
      <w:r w:rsidR="008D0627">
        <w:t>24.8 €/</w:t>
      </w:r>
      <w:proofErr w:type="spellStart"/>
      <w:r w:rsidR="008D0627">
        <w:t>MWh</w:t>
      </w:r>
      <w:r w:rsidR="008D0627" w:rsidRPr="008D0627">
        <w:rPr>
          <w:vertAlign w:val="subscript"/>
        </w:rPr>
        <w:t>th</w:t>
      </w:r>
      <w:proofErr w:type="spellEnd"/>
      <w:r w:rsidR="008D0627">
        <w:t xml:space="preserve"> of steam export.</w:t>
      </w:r>
    </w:p>
    <w:p w14:paraId="0167D279" w14:textId="15AB8960" w:rsidR="00A0171F" w:rsidRDefault="002B3C99" w:rsidP="00DD687A">
      <w:pPr>
        <w:pStyle w:val="CETBodytext"/>
        <w:spacing w:after="120"/>
        <w:rPr>
          <w:lang w:val="en-GB"/>
        </w:rPr>
      </w:pPr>
      <w:r>
        <w:rPr>
          <w:lang w:val="en-GB"/>
        </w:rPr>
        <w:lastRenderedPageBreak/>
        <w:t>Focussing on performance indicators, t</w:t>
      </w:r>
      <w:r w:rsidR="00E747D2">
        <w:rPr>
          <w:lang w:val="en-GB"/>
        </w:rPr>
        <w:t>he overall energy efficiency of plants</w:t>
      </w:r>
      <w:r w:rsidR="00CA6DE6">
        <w:rPr>
          <w:lang w:val="en-GB"/>
        </w:rPr>
        <w:t xml:space="preserve"> </w:t>
      </w:r>
      <w:proofErr w:type="spellStart"/>
      <w:r w:rsidR="00CA6DE6" w:rsidRPr="00CA6DE6">
        <w:rPr>
          <w:rFonts w:cs="Arial"/>
          <w:i/>
          <w:iCs/>
          <w:lang w:val="en-GB"/>
        </w:rPr>
        <w:t>η</w:t>
      </w:r>
      <w:r w:rsidR="00CA6DE6" w:rsidRPr="00CA6DE6">
        <w:rPr>
          <w:i/>
          <w:iCs/>
          <w:vertAlign w:val="subscript"/>
          <w:lang w:val="en-GB"/>
        </w:rPr>
        <w:t>en</w:t>
      </w:r>
      <w:proofErr w:type="spellEnd"/>
      <w:r w:rsidR="00CA6DE6">
        <w:rPr>
          <w:lang w:val="en-GB"/>
        </w:rPr>
        <w:t xml:space="preserve"> [%]</w:t>
      </w:r>
      <w:r w:rsidR="00E747D2">
        <w:rPr>
          <w:lang w:val="en-GB"/>
        </w:rPr>
        <w:t xml:space="preserve"> is here defined as the </w:t>
      </w:r>
      <w:r w:rsidR="00014F23">
        <w:rPr>
          <w:lang w:val="en-GB"/>
        </w:rPr>
        <w:t xml:space="preserve">ratio between </w:t>
      </w:r>
      <w:r w:rsidR="00F630E0">
        <w:rPr>
          <w:lang w:val="en-GB"/>
        </w:rPr>
        <w:t>the thermal power output in the products</w:t>
      </w:r>
      <w:r w:rsidR="00014F23">
        <w:rPr>
          <w:lang w:val="en-GB"/>
        </w:rPr>
        <w:t xml:space="preserve"> (i.e., MeOH</w:t>
      </w:r>
      <w:r w:rsidR="00141537">
        <w:rPr>
          <w:lang w:val="en-GB"/>
        </w:rPr>
        <w:t xml:space="preserve"> -</w:t>
      </w:r>
      <w:r w:rsidR="00014F23">
        <w:rPr>
          <w:lang w:val="en-GB"/>
        </w:rPr>
        <w:t xml:space="preserve"> </w:t>
      </w:r>
      <w:proofErr w:type="spellStart"/>
      <w:r w:rsidR="00014F23" w:rsidRPr="00DB27D6">
        <w:rPr>
          <w:i/>
          <w:iCs/>
          <w:lang w:val="en-GB"/>
        </w:rPr>
        <w:t>P</w:t>
      </w:r>
      <w:r w:rsidR="00DB27D6" w:rsidRPr="00DB27D6">
        <w:rPr>
          <w:i/>
          <w:iCs/>
          <w:vertAlign w:val="subscript"/>
          <w:lang w:val="en-GB"/>
        </w:rPr>
        <w:t>M</w:t>
      </w:r>
      <w:r w:rsidR="00014F23" w:rsidRPr="00DB27D6">
        <w:rPr>
          <w:i/>
          <w:iCs/>
          <w:vertAlign w:val="subscript"/>
          <w:lang w:val="en-GB"/>
        </w:rPr>
        <w:t>eOH,LHV</w:t>
      </w:r>
      <w:proofErr w:type="spellEnd"/>
      <w:r w:rsidR="00014F23">
        <w:rPr>
          <w:lang w:val="en-GB"/>
        </w:rPr>
        <w:t xml:space="preserve"> [MW]</w:t>
      </w:r>
      <w:r w:rsidR="00A53440">
        <w:rPr>
          <w:lang w:val="en-GB"/>
        </w:rPr>
        <w:t>,</w:t>
      </w:r>
      <w:r w:rsidR="00C63E96">
        <w:rPr>
          <w:lang w:val="en-GB"/>
        </w:rPr>
        <w:t xml:space="preserve"> useful heat</w:t>
      </w:r>
      <w:r w:rsidR="00DB27D6">
        <w:rPr>
          <w:lang w:val="en-GB"/>
        </w:rPr>
        <w:t xml:space="preserve"> output - </w:t>
      </w:r>
      <w:r w:rsidR="00C63E96" w:rsidRPr="00451CD3">
        <w:rPr>
          <w:i/>
          <w:iCs/>
          <w:lang w:val="en-GB"/>
        </w:rPr>
        <w:t>Q</w:t>
      </w:r>
      <w:r w:rsidR="00C63E96" w:rsidRPr="00451CD3">
        <w:rPr>
          <w:i/>
          <w:iCs/>
          <w:vertAlign w:val="subscript"/>
          <w:lang w:val="en-GB"/>
        </w:rPr>
        <w:t>u</w:t>
      </w:r>
      <w:r w:rsidR="00A53440">
        <w:rPr>
          <w:lang w:val="en-GB"/>
        </w:rPr>
        <w:t> </w:t>
      </w:r>
      <w:r w:rsidR="00DB27D6">
        <w:rPr>
          <w:lang w:val="en-GB"/>
        </w:rPr>
        <w:t>[MW]</w:t>
      </w:r>
      <w:r w:rsidR="002E1B91">
        <w:rPr>
          <w:lang w:val="en-GB"/>
        </w:rPr>
        <w:t xml:space="preserve">, steam export - </w:t>
      </w:r>
      <w:proofErr w:type="spellStart"/>
      <w:r w:rsidR="002E1B91" w:rsidRPr="002E1B91">
        <w:rPr>
          <w:i/>
          <w:iCs/>
          <w:lang w:val="en-GB"/>
        </w:rPr>
        <w:t>Q</w:t>
      </w:r>
      <w:r w:rsidR="002E1B91" w:rsidRPr="002E1B91">
        <w:rPr>
          <w:i/>
          <w:iCs/>
          <w:vertAlign w:val="subscript"/>
          <w:lang w:val="en-GB"/>
        </w:rPr>
        <w:t>steam</w:t>
      </w:r>
      <w:proofErr w:type="spellEnd"/>
      <w:r w:rsidR="002E1B91">
        <w:rPr>
          <w:lang w:val="en-GB"/>
        </w:rPr>
        <w:t xml:space="preserve"> [MW]</w:t>
      </w:r>
      <w:r w:rsidR="00DB27D6">
        <w:rPr>
          <w:lang w:val="en-GB"/>
        </w:rPr>
        <w:t xml:space="preserve">) </w:t>
      </w:r>
      <w:r w:rsidR="00A967EB">
        <w:rPr>
          <w:lang w:val="en-GB"/>
        </w:rPr>
        <w:t xml:space="preserve">and </w:t>
      </w:r>
      <w:r w:rsidR="00A74A34">
        <w:rPr>
          <w:lang w:val="en-GB"/>
        </w:rPr>
        <w:t xml:space="preserve">the </w:t>
      </w:r>
      <w:r w:rsidR="00A967EB">
        <w:rPr>
          <w:lang w:val="en-GB"/>
        </w:rPr>
        <w:t xml:space="preserve">consumptions (i.e., </w:t>
      </w:r>
      <w:r w:rsidR="00141537">
        <w:rPr>
          <w:lang w:val="en-GB"/>
        </w:rPr>
        <w:t xml:space="preserve">fuel gas - </w:t>
      </w:r>
      <w:r w:rsidR="00141537" w:rsidRPr="00141537">
        <w:rPr>
          <w:i/>
          <w:iCs/>
          <w:lang w:val="en-GB"/>
        </w:rPr>
        <w:t>P</w:t>
      </w:r>
      <w:r w:rsidR="00141537" w:rsidRPr="00AC3267">
        <w:rPr>
          <w:i/>
          <w:iCs/>
          <w:vertAlign w:val="subscript"/>
          <w:lang w:val="en-GB"/>
        </w:rPr>
        <w:t>FG</w:t>
      </w:r>
      <w:r w:rsidR="00141537" w:rsidRPr="00141537">
        <w:rPr>
          <w:i/>
          <w:iCs/>
          <w:vertAlign w:val="subscript"/>
          <w:lang w:val="en-GB"/>
        </w:rPr>
        <w:t>,LHV</w:t>
      </w:r>
      <w:r w:rsidR="00141537">
        <w:rPr>
          <w:lang w:val="en-GB"/>
        </w:rPr>
        <w:t xml:space="preserve"> [MW], electricity - </w:t>
      </w:r>
      <w:r w:rsidR="00141537" w:rsidRPr="00141537">
        <w:rPr>
          <w:i/>
          <w:iCs/>
          <w:lang w:val="en-GB"/>
        </w:rPr>
        <w:t>P</w:t>
      </w:r>
      <w:r w:rsidR="00141537" w:rsidRPr="00141537">
        <w:rPr>
          <w:i/>
          <w:iCs/>
          <w:vertAlign w:val="subscript"/>
          <w:lang w:val="en-GB"/>
        </w:rPr>
        <w:t>el</w:t>
      </w:r>
      <w:r w:rsidR="00141537">
        <w:rPr>
          <w:lang w:val="en-GB"/>
        </w:rPr>
        <w:t xml:space="preserve"> [MW]):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552"/>
      </w:tblGrid>
      <w:tr w:rsidR="00B400C5" w14:paraId="1CE71342" w14:textId="77777777" w:rsidTr="00A066BF">
        <w:tc>
          <w:tcPr>
            <w:tcW w:w="5098" w:type="dxa"/>
            <w:vAlign w:val="center"/>
          </w:tcPr>
          <w:p w14:paraId="73AFF890" w14:textId="569FE7DC" w:rsidR="00B400C5" w:rsidRPr="001365B6" w:rsidRDefault="00515A1C" w:rsidP="00BC74E3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MeOH,LHV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steam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FG,LHV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el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27" w:type="dxa"/>
          </w:tcPr>
          <w:p w14:paraId="40DFA253" w14:textId="77777777" w:rsidR="00B400C5" w:rsidRDefault="00B400C5" w:rsidP="00D20985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5E632749" w14:textId="45B3287C" w:rsidR="00B400C5" w:rsidRDefault="00B400C5" w:rsidP="00BC74E3">
            <w:pPr>
              <w:pStyle w:val="CETBodytext"/>
              <w:jc w:val="right"/>
            </w:pPr>
            <w:r>
              <w:t>(4)</w:t>
            </w:r>
          </w:p>
        </w:tc>
      </w:tr>
    </w:tbl>
    <w:p w14:paraId="795CAEEF" w14:textId="4495F737" w:rsidR="00B400C5" w:rsidRDefault="00C42CB2" w:rsidP="00DD687A">
      <w:pPr>
        <w:pStyle w:val="CETBodytext"/>
        <w:spacing w:before="120" w:after="120"/>
        <w:rPr>
          <w:lang w:val="en-GB"/>
        </w:rPr>
      </w:pPr>
      <w:r>
        <w:rPr>
          <w:lang w:val="en-GB"/>
        </w:rPr>
        <w:t xml:space="preserve">Given the MeOH power output </w:t>
      </w:r>
      <w:r w:rsidR="005749F2">
        <w:rPr>
          <w:lang w:val="en-GB"/>
        </w:rPr>
        <w:t>(</w:t>
      </w:r>
      <w:proofErr w:type="spellStart"/>
      <w:r w:rsidR="005749F2" w:rsidRPr="005749F2">
        <w:rPr>
          <w:i/>
          <w:iCs/>
          <w:lang w:val="en-GB"/>
        </w:rPr>
        <w:t>P</w:t>
      </w:r>
      <w:r w:rsidR="005749F2" w:rsidRPr="005749F2">
        <w:rPr>
          <w:i/>
          <w:iCs/>
          <w:vertAlign w:val="subscript"/>
          <w:lang w:val="en-GB"/>
        </w:rPr>
        <w:t>MeOH,LHV</w:t>
      </w:r>
      <w:proofErr w:type="spellEnd"/>
      <w:r w:rsidR="005749F2">
        <w:rPr>
          <w:lang w:val="en-GB"/>
        </w:rPr>
        <w:t xml:space="preserve">) </w:t>
      </w:r>
      <w:r>
        <w:rPr>
          <w:lang w:val="en-GB"/>
        </w:rPr>
        <w:t xml:space="preserve">and the consumption of the plant </w:t>
      </w:r>
      <w:r w:rsidR="00A74A34">
        <w:rPr>
          <w:lang w:val="en-GB"/>
        </w:rPr>
        <w:t xml:space="preserve">(i.e., </w:t>
      </w:r>
      <w:r>
        <w:rPr>
          <w:lang w:val="en-GB"/>
        </w:rPr>
        <w:t>electricity</w:t>
      </w:r>
      <w:r w:rsidR="00CA1393">
        <w:rPr>
          <w:lang w:val="en-GB"/>
        </w:rPr>
        <w:t xml:space="preserve"> </w:t>
      </w:r>
      <w:r w:rsidR="00CA1393" w:rsidRPr="00CA1393">
        <w:rPr>
          <w:i/>
          <w:iCs/>
          <w:lang w:val="en-GB"/>
        </w:rPr>
        <w:t>P</w:t>
      </w:r>
      <w:r w:rsidR="00CA1393" w:rsidRPr="00CA1393">
        <w:rPr>
          <w:i/>
          <w:iCs/>
          <w:vertAlign w:val="subscript"/>
          <w:lang w:val="en-GB"/>
        </w:rPr>
        <w:t>el</w:t>
      </w:r>
      <w:r>
        <w:rPr>
          <w:lang w:val="en-GB"/>
        </w:rPr>
        <w:t xml:space="preserve"> and fuel gas</w:t>
      </w:r>
      <w:r w:rsidR="00CA1393">
        <w:rPr>
          <w:lang w:val="en-GB"/>
        </w:rPr>
        <w:t xml:space="preserve"> </w:t>
      </w:r>
      <w:r w:rsidR="00CA1393" w:rsidRPr="00CA1393">
        <w:rPr>
          <w:i/>
          <w:iCs/>
          <w:lang w:val="en-GB"/>
        </w:rPr>
        <w:t>P</w:t>
      </w:r>
      <w:r w:rsidR="00CA1393" w:rsidRPr="00CA1393">
        <w:rPr>
          <w:i/>
          <w:iCs/>
          <w:vertAlign w:val="subscript"/>
          <w:lang w:val="en-GB"/>
        </w:rPr>
        <w:t>FG,LHV</w:t>
      </w:r>
      <w:r w:rsidR="00A74A34">
        <w:rPr>
          <w:lang w:val="en-GB"/>
        </w:rPr>
        <w:t>)</w:t>
      </w:r>
      <w:r>
        <w:rPr>
          <w:lang w:val="en-GB"/>
        </w:rPr>
        <w:t>, it is also possible to define the power-to-MeOH (</w:t>
      </w:r>
      <w:proofErr w:type="spellStart"/>
      <w:r w:rsidR="002E3E2F" w:rsidRPr="002E3E2F">
        <w:rPr>
          <w:rFonts w:cs="Arial"/>
          <w:i/>
          <w:iCs/>
          <w:lang w:val="en-GB"/>
        </w:rPr>
        <w:t>η</w:t>
      </w:r>
      <w:r w:rsidR="002E3E2F" w:rsidRPr="002E3E2F">
        <w:rPr>
          <w:rFonts w:cs="Arial"/>
          <w:i/>
          <w:iCs/>
          <w:vertAlign w:val="subscript"/>
          <w:lang w:val="en-GB"/>
        </w:rPr>
        <w:t>PtMeOH</w:t>
      </w:r>
      <w:proofErr w:type="spellEnd"/>
      <w:r w:rsidR="002E3E2F">
        <w:rPr>
          <w:rFonts w:cs="Arial"/>
          <w:lang w:val="en-GB"/>
        </w:rPr>
        <w:t xml:space="preserve"> [%]</w:t>
      </w:r>
      <w:r>
        <w:rPr>
          <w:lang w:val="en-GB"/>
        </w:rPr>
        <w:t>) and the fuel gas-to-MeOH (</w:t>
      </w:r>
      <w:proofErr w:type="spellStart"/>
      <w:r w:rsidR="002E3E2F" w:rsidRPr="002E3E2F">
        <w:rPr>
          <w:rFonts w:cs="Arial"/>
          <w:i/>
          <w:iCs/>
          <w:lang w:val="en-GB"/>
        </w:rPr>
        <w:t>η</w:t>
      </w:r>
      <w:r w:rsidR="002E3E2F" w:rsidRPr="002E3E2F">
        <w:rPr>
          <w:rFonts w:cs="Arial"/>
          <w:i/>
          <w:iCs/>
          <w:vertAlign w:val="subscript"/>
          <w:lang w:val="en-GB"/>
        </w:rPr>
        <w:t>FtMeOH</w:t>
      </w:r>
      <w:proofErr w:type="spellEnd"/>
      <w:r w:rsidR="002E3E2F">
        <w:rPr>
          <w:rFonts w:cs="Arial"/>
          <w:lang w:val="en-GB"/>
        </w:rPr>
        <w:t xml:space="preserve"> [%]</w:t>
      </w:r>
      <w:r>
        <w:rPr>
          <w:lang w:val="en-GB"/>
        </w:rPr>
        <w:t>) efficiencies, as: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552"/>
      </w:tblGrid>
      <w:tr w:rsidR="00BC74E3" w14:paraId="0FB9BCAD" w14:textId="77777777" w:rsidTr="00A066BF">
        <w:tc>
          <w:tcPr>
            <w:tcW w:w="5098" w:type="dxa"/>
            <w:vAlign w:val="center"/>
          </w:tcPr>
          <w:p w14:paraId="5F0973BA" w14:textId="733DEFDB" w:rsidR="00BC74E3" w:rsidRPr="001365B6" w:rsidRDefault="00515A1C" w:rsidP="00BC74E3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PtMeOH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MeOH,LHV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el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27" w:type="dxa"/>
          </w:tcPr>
          <w:p w14:paraId="08A998D7" w14:textId="77777777" w:rsidR="00BC74E3" w:rsidRDefault="00BC74E3" w:rsidP="00D20985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6D5923A7" w14:textId="2DBADF2F" w:rsidR="00BC74E3" w:rsidRDefault="00BC74E3" w:rsidP="00BC74E3">
            <w:pPr>
              <w:pStyle w:val="CETBodytext"/>
              <w:jc w:val="right"/>
            </w:pPr>
            <w:r>
              <w:t>(5)</w:t>
            </w:r>
          </w:p>
        </w:tc>
      </w:tr>
      <w:tr w:rsidR="00BC74E3" w14:paraId="30246F9A" w14:textId="77777777" w:rsidTr="00A066BF">
        <w:tc>
          <w:tcPr>
            <w:tcW w:w="5098" w:type="dxa"/>
            <w:vAlign w:val="center"/>
          </w:tcPr>
          <w:p w14:paraId="70D1BE53" w14:textId="2A278D3C" w:rsidR="00BC74E3" w:rsidRPr="00BC74E3" w:rsidRDefault="00515A1C" w:rsidP="00BC74E3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FtMeOH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MeOH,LHV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FG,LHV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27" w:type="dxa"/>
          </w:tcPr>
          <w:p w14:paraId="397F74B5" w14:textId="77777777" w:rsidR="00BC74E3" w:rsidRDefault="00BC74E3" w:rsidP="00D20985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69AD15A6" w14:textId="39CB786E" w:rsidR="00BC74E3" w:rsidRDefault="00BC74E3" w:rsidP="00BC74E3">
            <w:pPr>
              <w:pStyle w:val="CETBodytext"/>
              <w:jc w:val="right"/>
            </w:pPr>
            <w:r>
              <w:t>(6)</w:t>
            </w:r>
          </w:p>
        </w:tc>
      </w:tr>
    </w:tbl>
    <w:p w14:paraId="44D5DFE5" w14:textId="188372B4" w:rsidR="00BC74E3" w:rsidRDefault="003A35DE" w:rsidP="00DD687A">
      <w:pPr>
        <w:pStyle w:val="CETBodytext"/>
        <w:spacing w:before="120" w:after="120"/>
        <w:rPr>
          <w:lang w:val="en-GB"/>
        </w:rPr>
      </w:pPr>
      <w:r>
        <w:rPr>
          <w:lang w:val="en-GB"/>
        </w:rPr>
        <w:t>C</w:t>
      </w:r>
      <w:r w:rsidR="002A5EBE">
        <w:rPr>
          <w:lang w:val="en-GB"/>
        </w:rPr>
        <w:t xml:space="preserve">onsidering the yearly energy output of MeOH </w:t>
      </w:r>
      <w:proofErr w:type="spellStart"/>
      <w:r w:rsidR="002A5EBE" w:rsidRPr="003A35DE">
        <w:rPr>
          <w:i/>
          <w:iCs/>
          <w:lang w:val="en-GB"/>
        </w:rPr>
        <w:t>E</w:t>
      </w:r>
      <w:r w:rsidR="002A5EBE" w:rsidRPr="003A35DE">
        <w:rPr>
          <w:i/>
          <w:iCs/>
          <w:vertAlign w:val="subscript"/>
          <w:lang w:val="en-GB"/>
        </w:rPr>
        <w:t>MeOH</w:t>
      </w:r>
      <w:proofErr w:type="spellEnd"/>
      <w:r w:rsidR="002A5EBE">
        <w:rPr>
          <w:lang w:val="en-GB"/>
        </w:rPr>
        <w:t xml:space="preserve"> [GJ/year], </w:t>
      </w:r>
      <w:r>
        <w:rPr>
          <w:lang w:val="en-GB"/>
        </w:rPr>
        <w:t xml:space="preserve">the </w:t>
      </w:r>
      <w:r w:rsidR="004671A4">
        <w:rPr>
          <w:lang w:val="en-GB"/>
        </w:rPr>
        <w:t xml:space="preserve">MeOH </w:t>
      </w:r>
      <w:r>
        <w:rPr>
          <w:lang w:val="en-GB"/>
        </w:rPr>
        <w:t xml:space="preserve">production cost </w:t>
      </w:r>
      <w:proofErr w:type="spellStart"/>
      <w:r w:rsidRPr="003A35DE">
        <w:rPr>
          <w:i/>
          <w:iCs/>
          <w:lang w:val="en-GB"/>
        </w:rPr>
        <w:t>TC</w:t>
      </w:r>
      <w:r w:rsidRPr="003A35DE">
        <w:rPr>
          <w:i/>
          <w:iCs/>
          <w:vertAlign w:val="subscript"/>
          <w:lang w:val="en-GB"/>
        </w:rPr>
        <w:t>MeOH</w:t>
      </w:r>
      <w:proofErr w:type="spellEnd"/>
      <w:r>
        <w:rPr>
          <w:lang w:val="en-GB"/>
        </w:rPr>
        <w:t xml:space="preserve"> [€/GJ] is: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552"/>
      </w:tblGrid>
      <w:tr w:rsidR="003A35DE" w14:paraId="38531534" w14:textId="77777777" w:rsidTr="00A066BF">
        <w:tc>
          <w:tcPr>
            <w:tcW w:w="5098" w:type="dxa"/>
            <w:vAlign w:val="center"/>
          </w:tcPr>
          <w:p w14:paraId="573C3030" w14:textId="586BA9DE" w:rsidR="003A35DE" w:rsidRPr="001365B6" w:rsidRDefault="00515A1C" w:rsidP="00D20985">
            <w:pPr>
              <w:pStyle w:val="CETBody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MeOH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MeOH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27" w:type="dxa"/>
          </w:tcPr>
          <w:p w14:paraId="3B1185D8" w14:textId="77777777" w:rsidR="003A35DE" w:rsidRDefault="003A35DE" w:rsidP="00D20985">
            <w:pPr>
              <w:pStyle w:val="CETBodytext"/>
            </w:pPr>
          </w:p>
        </w:tc>
        <w:tc>
          <w:tcPr>
            <w:tcW w:w="1552" w:type="dxa"/>
            <w:vAlign w:val="center"/>
          </w:tcPr>
          <w:p w14:paraId="2A48723B" w14:textId="3D2A23B1" w:rsidR="003A35DE" w:rsidRDefault="003A35DE" w:rsidP="00D20985">
            <w:pPr>
              <w:pStyle w:val="CETBodytext"/>
              <w:jc w:val="right"/>
            </w:pPr>
            <w:r>
              <w:t>(7)</w:t>
            </w:r>
          </w:p>
        </w:tc>
      </w:tr>
    </w:tbl>
    <w:p w14:paraId="7D99D45F" w14:textId="0FB4C12B" w:rsidR="00787C85" w:rsidRPr="00787C85" w:rsidRDefault="0054318B" w:rsidP="002B0C7B">
      <w:pPr>
        <w:pStyle w:val="CETBodytext"/>
        <w:spacing w:before="120"/>
      </w:pPr>
      <w:r>
        <w:t xml:space="preserve">A sensitivity analysis on the off-gas recycle revealed that both e-MeOH and er-MeOH plants exhibit a monotonic increase </w:t>
      </w:r>
      <w:r w:rsidR="00AF4281">
        <w:t>of energy efficiency and carbon efficiency</w:t>
      </w:r>
      <w:r w:rsidR="00045875">
        <w:t>, and</w:t>
      </w:r>
      <w:r w:rsidR="00AF4281">
        <w:t xml:space="preserve"> therefore a decrease in MeOH production cost, alongside a raise in internal recycle</w:t>
      </w:r>
      <w:r w:rsidR="00045875">
        <w:t>.</w:t>
      </w:r>
      <w:r w:rsidR="00AF4281">
        <w:t xml:space="preserve"> </w:t>
      </w:r>
      <w:r w:rsidR="002C7DDA">
        <w:t>Hence, the internal recycle is</w:t>
      </w:r>
      <w:r w:rsidR="00045875">
        <w:t xml:space="preserve"> </w:t>
      </w:r>
      <w:r w:rsidR="00DC27AC">
        <w:t xml:space="preserve">here </w:t>
      </w:r>
      <w:proofErr w:type="spellStart"/>
      <w:r w:rsidR="007A353B">
        <w:t>maximi</w:t>
      </w:r>
      <w:r w:rsidR="00E738A1">
        <w:t>s</w:t>
      </w:r>
      <w:r w:rsidR="007A353B">
        <w:t>ed</w:t>
      </w:r>
      <w:proofErr w:type="spellEnd"/>
      <w:r w:rsidR="007A353B">
        <w:t xml:space="preserve"> to </w:t>
      </w:r>
      <w:proofErr w:type="spellStart"/>
      <w:r w:rsidR="007A353B">
        <w:t>optimise</w:t>
      </w:r>
      <w:proofErr w:type="spellEnd"/>
      <w:r w:rsidR="007A353B">
        <w:t xml:space="preserve"> the techno-economic performance of the plants. In particular, e-MeOH </w:t>
      </w:r>
      <w:r w:rsidR="00045875">
        <w:t xml:space="preserve">is </w:t>
      </w:r>
      <w:r w:rsidR="00526FA3">
        <w:t>designed with</w:t>
      </w:r>
      <w:r w:rsidR="007A353B">
        <w:t xml:space="preserve"> a limited </w:t>
      </w:r>
      <w:r w:rsidR="00057B76">
        <w:t>purge of 0.5 %</w:t>
      </w:r>
      <w:r w:rsidR="00CB1DD2">
        <w:t xml:space="preserve"> in mass</w:t>
      </w:r>
      <w:r w:rsidR="00526FA3">
        <w:t xml:space="preserve">, while er-MeOH </w:t>
      </w:r>
      <w:r w:rsidR="001C2353">
        <w:t>with a purge of 2.5 %</w:t>
      </w:r>
      <w:r w:rsidR="00CB1DD2">
        <w:t xml:space="preserve"> in mass</w:t>
      </w:r>
      <w:r w:rsidR="00532886">
        <w:t>,</w:t>
      </w:r>
      <w:r w:rsidR="001C2353">
        <w:t xml:space="preserve"> and </w:t>
      </w:r>
      <w:r w:rsidR="00532886">
        <w:t xml:space="preserve">both plants involve a direct recycle of </w:t>
      </w:r>
      <w:r w:rsidR="00045875">
        <w:t xml:space="preserve">the </w:t>
      </w:r>
      <w:r w:rsidR="00532886">
        <w:t xml:space="preserve">remaining </w:t>
      </w:r>
      <w:r w:rsidR="001C2353">
        <w:t xml:space="preserve">off-gas </w:t>
      </w:r>
      <w:r w:rsidR="00532886">
        <w:t>at the inlet of the synthesis section.</w:t>
      </w:r>
    </w:p>
    <w:p w14:paraId="4D255010" w14:textId="53F00D5D" w:rsidR="00012C57" w:rsidRDefault="00012C57" w:rsidP="00DD687A">
      <w:pPr>
        <w:pStyle w:val="CETHeading1"/>
        <w:spacing w:before="120"/>
      </w:pPr>
      <w:r>
        <w:t>Results</w:t>
      </w:r>
    </w:p>
    <w:p w14:paraId="3519CECE" w14:textId="72FCD841" w:rsidR="009568D9" w:rsidRDefault="00864C73" w:rsidP="00864C73">
      <w:pPr>
        <w:pStyle w:val="CETBodytext"/>
      </w:pPr>
      <w:r>
        <w:t xml:space="preserve">The </w:t>
      </w:r>
      <w:r w:rsidR="00E34DFB">
        <w:t>previously described e-MeOH and er-MeOH plants were simulated in Aspen Plus</w:t>
      </w:r>
      <w:r w:rsidR="00D92660" w:rsidRPr="00B72DBD">
        <w:rPr>
          <w:rFonts w:cs="Arial"/>
          <w:vertAlign w:val="superscript"/>
          <w:lang w:val="en-GB"/>
        </w:rPr>
        <w:t>®</w:t>
      </w:r>
      <w:r w:rsidR="00D92660">
        <w:t xml:space="preserve"> software</w:t>
      </w:r>
      <w:r w:rsidR="0038512A">
        <w:t xml:space="preserve">, by using the </w:t>
      </w:r>
      <w:r w:rsidR="00F31A3E">
        <w:t>Peng-Robinson</w:t>
      </w:r>
      <w:r w:rsidR="0038512A">
        <w:t xml:space="preserve"> equation of state</w:t>
      </w:r>
      <w:r w:rsidR="005D1DC3">
        <w:t>. Reactors were calculated at chemical equilibrium</w:t>
      </w:r>
      <w:r w:rsidR="002F7FF6">
        <w:t xml:space="preserve">. The results from the technical analysis </w:t>
      </w:r>
      <w:r w:rsidR="004E6AC0">
        <w:t xml:space="preserve">are reported in Table 2 </w:t>
      </w:r>
      <w:r w:rsidR="002F7FF6">
        <w:t>in terms of mass and energy balances</w:t>
      </w:r>
      <w:r w:rsidR="004E6AC0">
        <w:t>, and key performance indicators</w:t>
      </w:r>
      <w:r w:rsidR="00BC13E3">
        <w:t>.</w:t>
      </w:r>
      <w:r w:rsidR="00552FC7">
        <w:t xml:space="preserve"> </w:t>
      </w:r>
      <w:r w:rsidR="00BE5517">
        <w:t>The electricity consumption is dominated by electrolysis in the e-MeOH plant (9</w:t>
      </w:r>
      <w:r w:rsidR="00CB43F0">
        <w:t>0</w:t>
      </w:r>
      <w:r w:rsidR="00BE5517">
        <w:t xml:space="preserve"> % of total demand)</w:t>
      </w:r>
      <w:r w:rsidR="0008064C">
        <w:t xml:space="preserve"> and by electric heat</w:t>
      </w:r>
      <w:r w:rsidR="00E25FC4">
        <w:t xml:space="preserve"> (7</w:t>
      </w:r>
      <w:r w:rsidR="00CB43F0">
        <w:t>4 </w:t>
      </w:r>
      <w:r w:rsidR="00E25FC4">
        <w:t>%) and electric reforming (</w:t>
      </w:r>
      <w:r w:rsidR="001F4AFF">
        <w:t>2</w:t>
      </w:r>
      <w:r w:rsidR="00CB43F0">
        <w:t>4</w:t>
      </w:r>
      <w:r w:rsidR="001F4AFF">
        <w:t xml:space="preserve"> %</w:t>
      </w:r>
      <w:r w:rsidR="00E25FC4">
        <w:t>)</w:t>
      </w:r>
      <w:r w:rsidR="0008064C">
        <w:t xml:space="preserve"> in the er-MeOH option</w:t>
      </w:r>
      <w:r w:rsidR="006034D5">
        <w:t xml:space="preserve">. </w:t>
      </w:r>
      <w:r w:rsidR="00F45EA5">
        <w:t>Electric energy consumption for CO</w:t>
      </w:r>
      <w:r w:rsidR="00F45EA5" w:rsidRPr="006306D1">
        <w:rPr>
          <w:vertAlign w:val="subscript"/>
        </w:rPr>
        <w:t>2</w:t>
      </w:r>
      <w:r w:rsidR="00F45EA5">
        <w:t xml:space="preserve"> capture </w:t>
      </w:r>
      <w:r w:rsidR="003822CC">
        <w:t>constitute</w:t>
      </w:r>
      <w:r w:rsidR="003D0297">
        <w:t>s</w:t>
      </w:r>
      <w:r w:rsidR="003822CC">
        <w:t xml:space="preserve"> a small contribution </w:t>
      </w:r>
      <w:r w:rsidR="00F45EA5">
        <w:t xml:space="preserve">in both plants: </w:t>
      </w:r>
      <w:r w:rsidR="006306D1">
        <w:t>8 % in e-MeOH and</w:t>
      </w:r>
      <w:r w:rsidR="006845A3">
        <w:t xml:space="preserve"> well below 1</w:t>
      </w:r>
      <w:r w:rsidR="006306D1">
        <w:t xml:space="preserve"> % in er-MeOH.</w:t>
      </w:r>
      <w:r w:rsidR="00446945">
        <w:t xml:space="preserve"> Overall, e-MeOH exhibits an electric energy </w:t>
      </w:r>
      <w:r w:rsidR="00076A23">
        <w:t xml:space="preserve">consumption </w:t>
      </w:r>
      <w:r w:rsidR="00BD4A2D">
        <w:t>of 716.1 MW</w:t>
      </w:r>
      <w:r w:rsidR="00126BE1">
        <w:t xml:space="preserve"> (</w:t>
      </w:r>
      <w:r w:rsidR="003822CC">
        <w:t>corresponding to</w:t>
      </w:r>
      <w:r w:rsidR="00126BE1">
        <w:t xml:space="preserve"> </w:t>
      </w:r>
      <w:r w:rsidR="000F2E29">
        <w:t>480 kWh/GJ of MeOH</w:t>
      </w:r>
      <w:r w:rsidR="00126BE1">
        <w:t>)</w:t>
      </w:r>
      <w:r w:rsidR="00BD4A2D">
        <w:t>, against 570.1</w:t>
      </w:r>
      <w:r w:rsidR="00805C31">
        <w:t> </w:t>
      </w:r>
      <w:r w:rsidR="00BD4A2D">
        <w:t xml:space="preserve">MW </w:t>
      </w:r>
      <w:r w:rsidR="00B03A30">
        <w:t>(</w:t>
      </w:r>
      <w:r w:rsidR="003822CC">
        <w:t>corresponding to</w:t>
      </w:r>
      <w:r w:rsidR="00B03A30">
        <w:t xml:space="preserve"> 355</w:t>
      </w:r>
      <w:r w:rsidR="00391A85">
        <w:t> </w:t>
      </w:r>
      <w:r w:rsidR="00B03A30">
        <w:t xml:space="preserve">kWh/GJ of MeOH) </w:t>
      </w:r>
      <w:r w:rsidR="00BD4A2D">
        <w:t xml:space="preserve">in the er-MeOH case (i.e., </w:t>
      </w:r>
      <w:r w:rsidR="00076A23">
        <w:t>-20 %).</w:t>
      </w:r>
      <w:r w:rsidR="00446945">
        <w:t xml:space="preserve"> </w:t>
      </w:r>
      <w:r w:rsidR="00624EFF">
        <w:t xml:space="preserve">The resulting carbon efficiency is </w:t>
      </w:r>
      <w:r w:rsidR="00F45F03">
        <w:t xml:space="preserve">always </w:t>
      </w:r>
      <w:r w:rsidR="00E40AE4">
        <w:t>higher</w:t>
      </w:r>
      <w:r w:rsidR="00F45F03">
        <w:t xml:space="preserve"> than 90</w:t>
      </w:r>
      <w:r w:rsidR="00391A85">
        <w:t> </w:t>
      </w:r>
      <w:r w:rsidR="00F45F03">
        <w:t>%</w:t>
      </w:r>
      <w:r w:rsidR="00A45BB1">
        <w:t xml:space="preserve">, with the er-MeOH plant slightly </w:t>
      </w:r>
      <w:proofErr w:type="spellStart"/>
      <w:r w:rsidR="00A45BB1">
        <w:t>penalised</w:t>
      </w:r>
      <w:proofErr w:type="spellEnd"/>
      <w:r w:rsidR="00A45BB1">
        <w:t xml:space="preserve"> by the unconverted CH</w:t>
      </w:r>
      <w:r w:rsidR="00A45BB1" w:rsidRPr="0002526D">
        <w:rPr>
          <w:vertAlign w:val="subscript"/>
        </w:rPr>
        <w:t>4</w:t>
      </w:r>
      <w:r w:rsidR="00A45BB1">
        <w:t xml:space="preserve"> </w:t>
      </w:r>
      <w:r w:rsidR="0002526D">
        <w:t>in the reformer.</w:t>
      </w:r>
      <w:r w:rsidR="00E40AE4">
        <w:t xml:space="preserve"> </w:t>
      </w:r>
      <w:r w:rsidR="00145389">
        <w:t xml:space="preserve">On the other hand, er-MeOH entails better performance indicators with respect to the e-MeOH option, </w:t>
      </w:r>
      <w:r w:rsidR="00162413">
        <w:t xml:space="preserve">with </w:t>
      </w:r>
      <w:r w:rsidR="000C360D">
        <w:t>+2</w:t>
      </w:r>
      <w:r w:rsidR="006845A3">
        <w:t>2</w:t>
      </w:r>
      <w:r w:rsidR="000C360D">
        <w:t xml:space="preserve"> % in overall energy efficiency, +35 % in electric power-to-MeOH efficiency, and +</w:t>
      </w:r>
      <w:r w:rsidR="006845A3">
        <w:t>8</w:t>
      </w:r>
      <w:r w:rsidR="003A3853">
        <w:t xml:space="preserve"> % in fuel gas-to</w:t>
      </w:r>
      <w:r w:rsidR="009568D9">
        <w:t>-</w:t>
      </w:r>
      <w:r w:rsidR="003A3853">
        <w:t>MeOH efficiency.</w:t>
      </w:r>
      <w:r w:rsidR="00B5665C">
        <w:t xml:space="preserve"> Overall, the er-MeOH plant has higher </w:t>
      </w:r>
      <w:r w:rsidR="006720ED">
        <w:t>MeOH output (</w:t>
      </w:r>
      <w:r w:rsidR="007F73C9">
        <w:t>+7.6 %</w:t>
      </w:r>
      <w:r w:rsidR="006720ED">
        <w:t>)</w:t>
      </w:r>
      <w:r w:rsidR="005C23BD">
        <w:t>, as it exploits also external CO</w:t>
      </w:r>
      <w:r w:rsidR="005C23BD" w:rsidRPr="005C23BD">
        <w:rPr>
          <w:vertAlign w:val="subscript"/>
        </w:rPr>
        <w:t>2</w:t>
      </w:r>
      <w:r w:rsidR="005C23BD">
        <w:t xml:space="preserve"> to regulate the syngas composition,</w:t>
      </w:r>
      <w:r w:rsidR="006720ED">
        <w:t xml:space="preserve"> and lower electric consumptions compared to the e-MeOH one, with the latter being particularly </w:t>
      </w:r>
      <w:proofErr w:type="spellStart"/>
      <w:r w:rsidR="006720ED">
        <w:t>penalised</w:t>
      </w:r>
      <w:proofErr w:type="spellEnd"/>
      <w:r w:rsidR="006720ED">
        <w:t xml:space="preserve"> by </w:t>
      </w:r>
      <w:proofErr w:type="spellStart"/>
      <w:r w:rsidR="006720ED">
        <w:t>electrolyser</w:t>
      </w:r>
      <w:proofErr w:type="spellEnd"/>
      <w:r w:rsidR="006720ED">
        <w:t xml:space="preserve"> losses (</w:t>
      </w:r>
      <w:r w:rsidR="00594E58">
        <w:t>195 MW</w:t>
      </w:r>
      <w:r w:rsidR="006720ED">
        <w:t>) and other losses (</w:t>
      </w:r>
      <w:r w:rsidR="00594E58">
        <w:t>156</w:t>
      </w:r>
      <w:r w:rsidR="005D1DC3">
        <w:t> </w:t>
      </w:r>
      <w:r w:rsidR="00594E58">
        <w:t>MW</w:t>
      </w:r>
      <w:r w:rsidR="006720ED">
        <w:t>).</w:t>
      </w:r>
      <w:r w:rsidR="00734E6C">
        <w:t xml:space="preserve"> </w:t>
      </w:r>
    </w:p>
    <w:p w14:paraId="185A3974" w14:textId="7490CC2C" w:rsidR="007F634A" w:rsidRDefault="00DD3882" w:rsidP="00864C73">
      <w:pPr>
        <w:pStyle w:val="CETBodytext"/>
      </w:pPr>
      <w:r>
        <w:t>The economic analysis</w:t>
      </w:r>
      <w:r w:rsidR="00A70E77">
        <w:t xml:space="preserve"> (Figure 2)</w:t>
      </w:r>
      <w:r w:rsidR="00B744FC">
        <w:t xml:space="preserve"> highlights that the </w:t>
      </w:r>
      <w:r w:rsidR="00B744FC" w:rsidRPr="00B744FC">
        <w:rPr>
          <w:i/>
          <w:iCs/>
        </w:rPr>
        <w:t>TDPC</w:t>
      </w:r>
      <w:r w:rsidR="00B744FC">
        <w:t xml:space="preserve"> of the e-MeOH plant is dominated by the cost of the </w:t>
      </w:r>
      <w:proofErr w:type="spellStart"/>
      <w:r w:rsidR="00B744FC">
        <w:t>electrolyser</w:t>
      </w:r>
      <w:proofErr w:type="spellEnd"/>
      <w:r w:rsidR="00B744FC">
        <w:t xml:space="preserve"> (</w:t>
      </w:r>
      <w:r w:rsidR="000019CF">
        <w:t>55</w:t>
      </w:r>
      <w:r w:rsidR="003C1796">
        <w:t> </w:t>
      </w:r>
      <w:r w:rsidR="000019CF">
        <w:t xml:space="preserve">% of </w:t>
      </w:r>
      <w:r w:rsidR="000019CF" w:rsidRPr="000019CF">
        <w:rPr>
          <w:i/>
          <w:iCs/>
        </w:rPr>
        <w:t>TDPC</w:t>
      </w:r>
      <w:r w:rsidR="00B744FC">
        <w:t>)</w:t>
      </w:r>
      <w:r w:rsidR="000019CF">
        <w:t xml:space="preserve">, </w:t>
      </w:r>
      <w:r w:rsidR="00A45D36">
        <w:t>followed by CO</w:t>
      </w:r>
      <w:r w:rsidR="00A45D36" w:rsidRPr="006C5C65">
        <w:rPr>
          <w:vertAlign w:val="subscript"/>
        </w:rPr>
        <w:t>2</w:t>
      </w:r>
      <w:r w:rsidR="00A45D36">
        <w:t xml:space="preserve"> capture (16</w:t>
      </w:r>
      <w:r w:rsidR="003C1796">
        <w:t> </w:t>
      </w:r>
      <w:r w:rsidR="00A45D36">
        <w:t>%) and MeOH synthesis (13</w:t>
      </w:r>
      <w:r w:rsidR="003C1796">
        <w:t> </w:t>
      </w:r>
      <w:r w:rsidR="00A45D36">
        <w:t>%</w:t>
      </w:r>
      <w:r w:rsidR="007738F8">
        <w:t xml:space="preserve">), while the cost breakdown in the er-MeOH case highlights the significant contributions </w:t>
      </w:r>
      <w:r w:rsidR="002B64C4">
        <w:t>of electric heating (31</w:t>
      </w:r>
      <w:r w:rsidR="003C1796">
        <w:t> </w:t>
      </w:r>
      <w:r w:rsidR="002B64C4">
        <w:t>%), MeOH synthesis (28</w:t>
      </w:r>
      <w:r w:rsidR="003C1796">
        <w:t> </w:t>
      </w:r>
      <w:r w:rsidR="002B64C4">
        <w:t>%)</w:t>
      </w:r>
      <w:r w:rsidR="004966F2">
        <w:t>,</w:t>
      </w:r>
      <w:r w:rsidR="002B64C4">
        <w:t xml:space="preserve"> and </w:t>
      </w:r>
      <w:r w:rsidR="006C5C65">
        <w:t>electric reforming (22</w:t>
      </w:r>
      <w:r w:rsidR="003C1796">
        <w:t> </w:t>
      </w:r>
      <w:r w:rsidR="006C5C65">
        <w:t xml:space="preserve">%). </w:t>
      </w:r>
      <w:r w:rsidR="006A1CE6">
        <w:t xml:space="preserve">As a result, the </w:t>
      </w:r>
      <w:r w:rsidR="006A1CE6" w:rsidRPr="006A1CE6">
        <w:rPr>
          <w:i/>
          <w:iCs/>
        </w:rPr>
        <w:t>TDPC</w:t>
      </w:r>
      <w:r w:rsidR="006A1CE6">
        <w:t xml:space="preserve"> of </w:t>
      </w:r>
      <w:r w:rsidR="004E50EC">
        <w:t xml:space="preserve">the </w:t>
      </w:r>
      <w:r w:rsidR="006A1CE6">
        <w:t xml:space="preserve">er-MeOH plant </w:t>
      </w:r>
      <w:r w:rsidR="00D80A63">
        <w:t>(</w:t>
      </w:r>
      <w:r w:rsidR="007868D9">
        <w:t>321.6 M€</w:t>
      </w:r>
      <w:r w:rsidR="00D80A63">
        <w:t xml:space="preserve">) </w:t>
      </w:r>
      <w:r w:rsidR="006A1CE6">
        <w:t>is about half of that of the e-MeOH configuration</w:t>
      </w:r>
      <w:r w:rsidR="007868D9">
        <w:t xml:space="preserve"> (712.5 M€)</w:t>
      </w:r>
      <w:r w:rsidR="00611151">
        <w:t xml:space="preserve"> (Figure </w:t>
      </w:r>
      <w:r w:rsidR="000402A1">
        <w:t>2</w:t>
      </w:r>
      <w:r w:rsidR="00611151">
        <w:t>a)</w:t>
      </w:r>
      <w:r w:rsidR="006A1CE6">
        <w:t>.</w:t>
      </w:r>
      <w:r w:rsidR="00480AEA">
        <w:t xml:space="preserve"> </w:t>
      </w:r>
      <w:r w:rsidR="00BF2779">
        <w:t xml:space="preserve">Even </w:t>
      </w:r>
      <w:r w:rsidR="001150EA">
        <w:t>in</w:t>
      </w:r>
      <w:r w:rsidR="00BF2779">
        <w:t xml:space="preserve"> an optimistic scenario with a unitary cost of 40 €/MWh, e</w:t>
      </w:r>
      <w:r w:rsidR="00480AEA">
        <w:t xml:space="preserve">lectricity </w:t>
      </w:r>
      <w:r w:rsidR="00F642D2">
        <w:t>would be</w:t>
      </w:r>
      <w:r w:rsidR="00480AEA">
        <w:t xml:space="preserve"> the </w:t>
      </w:r>
      <w:r w:rsidR="00F642D2">
        <w:t>major</w:t>
      </w:r>
      <w:r w:rsidR="00480AEA">
        <w:t xml:space="preserve"> contributor to </w:t>
      </w:r>
      <w:proofErr w:type="spellStart"/>
      <w:r w:rsidR="00480AEA">
        <w:t>annualised</w:t>
      </w:r>
      <w:proofErr w:type="spellEnd"/>
      <w:r w:rsidR="00480AEA">
        <w:t xml:space="preserve"> costs in both e-MeOH (</w:t>
      </w:r>
      <w:r w:rsidR="001150EA">
        <w:t>65</w:t>
      </w:r>
      <w:r w:rsidR="003C1796">
        <w:t> </w:t>
      </w:r>
      <w:r w:rsidR="001150EA">
        <w:t xml:space="preserve">% of </w:t>
      </w:r>
      <w:proofErr w:type="spellStart"/>
      <w:r w:rsidR="001150EA" w:rsidRPr="001150EA">
        <w:rPr>
          <w:i/>
          <w:iCs/>
        </w:rPr>
        <w:t>TC</w:t>
      </w:r>
      <w:r w:rsidR="001150EA" w:rsidRPr="001150EA">
        <w:rPr>
          <w:i/>
          <w:iCs/>
          <w:vertAlign w:val="subscript"/>
        </w:rPr>
        <w:t>a</w:t>
      </w:r>
      <w:proofErr w:type="spellEnd"/>
      <w:r w:rsidR="00480AEA">
        <w:t>) and er-MeOH (</w:t>
      </w:r>
      <w:r w:rsidR="004A1D3B">
        <w:t>80</w:t>
      </w:r>
      <w:r w:rsidR="003C1796">
        <w:t> </w:t>
      </w:r>
      <w:r w:rsidR="004A1D3B">
        <w:t>%</w:t>
      </w:r>
      <w:r w:rsidR="00480AEA">
        <w:t>)</w:t>
      </w:r>
      <w:r w:rsidR="004A1D3B">
        <w:t xml:space="preserve">, </w:t>
      </w:r>
      <w:r w:rsidR="00963C69">
        <w:t xml:space="preserve">where </w:t>
      </w:r>
      <w:r w:rsidR="004A1D3B">
        <w:t xml:space="preserve">the er-MeOH configuration still exhibits lower total </w:t>
      </w:r>
      <w:proofErr w:type="spellStart"/>
      <w:r w:rsidR="004A1D3B">
        <w:t>annualised</w:t>
      </w:r>
      <w:proofErr w:type="spellEnd"/>
      <w:r w:rsidR="004A1D3B">
        <w:t xml:space="preserve"> costs </w:t>
      </w:r>
      <w:r w:rsidR="00373877">
        <w:t>therefore,</w:t>
      </w:r>
      <w:r w:rsidR="004A1D3B">
        <w:t xml:space="preserve"> lower MeOH production costs (</w:t>
      </w:r>
      <w:r w:rsidR="00925D94">
        <w:t>between -34 % and -39 %</w:t>
      </w:r>
      <w:r w:rsidR="004A1D3B">
        <w:t>) with respect to the e-MeOH plant</w:t>
      </w:r>
      <w:r w:rsidR="00373877">
        <w:t xml:space="preserve"> (Figure </w:t>
      </w:r>
      <w:r w:rsidR="000402A1">
        <w:t>2</w:t>
      </w:r>
      <w:r w:rsidR="00373877">
        <w:t>b)</w:t>
      </w:r>
      <w:r w:rsidR="00480AEA">
        <w:t>.</w:t>
      </w:r>
      <w:r w:rsidR="00F0668D">
        <w:t xml:space="preserve"> For an electricity price of 40</w:t>
      </w:r>
      <w:r w:rsidR="00963C69">
        <w:t> </w:t>
      </w:r>
      <w:r w:rsidR="00F0668D">
        <w:t xml:space="preserve">€/MWh, the MeOH production cost would result equal to </w:t>
      </w:r>
      <w:r w:rsidR="00821CA5">
        <w:t>30.5</w:t>
      </w:r>
      <w:r w:rsidR="00F0668D">
        <w:t xml:space="preserve"> €/GJ (e-MeOH) and </w:t>
      </w:r>
      <w:r w:rsidR="00821CA5">
        <w:t>18.6</w:t>
      </w:r>
      <w:r w:rsidR="0060200F">
        <w:t> </w:t>
      </w:r>
      <w:r w:rsidR="00F0668D">
        <w:t xml:space="preserve">€/GJ (er-MeOH), these increasing up to </w:t>
      </w:r>
      <w:r w:rsidR="00821CA5">
        <w:t>60.0</w:t>
      </w:r>
      <w:r w:rsidR="00F0668D">
        <w:t xml:space="preserve"> €/GJ (e-MeOH) and </w:t>
      </w:r>
      <w:r w:rsidR="00821CA5">
        <w:t>39.9</w:t>
      </w:r>
      <w:r w:rsidR="00F0668D">
        <w:t xml:space="preserve"> €/GJ (er-MeOH) for </w:t>
      </w:r>
      <w:r w:rsidR="0069231A">
        <w:t xml:space="preserve">the </w:t>
      </w:r>
      <w:r w:rsidR="00B26BCD">
        <w:t xml:space="preserve">more realistic </w:t>
      </w:r>
      <w:r w:rsidR="0069231A">
        <w:t>100 €/MWh scenario.</w:t>
      </w:r>
    </w:p>
    <w:p w14:paraId="44E47FCF" w14:textId="77777777" w:rsidR="007F634A" w:rsidRDefault="007F634A">
      <w:pPr>
        <w:tabs>
          <w:tab w:val="clear" w:pos="7100"/>
        </w:tabs>
        <w:spacing w:after="200" w:line="276" w:lineRule="auto"/>
        <w:jc w:val="left"/>
        <w:rPr>
          <w:lang w:val="en-US"/>
        </w:rPr>
      </w:pPr>
      <w:r>
        <w:br w:type="page"/>
      </w:r>
    </w:p>
    <w:p w14:paraId="572916E6" w14:textId="0D710BF5" w:rsidR="007D6B2D" w:rsidRPr="0090718D" w:rsidRDefault="007D6B2D" w:rsidP="00864C73">
      <w:pPr>
        <w:pStyle w:val="CETBodytext"/>
        <w:rPr>
          <w:i/>
          <w:iCs/>
        </w:rPr>
      </w:pPr>
      <w:r w:rsidRPr="0090718D">
        <w:rPr>
          <w:i/>
          <w:iCs/>
        </w:rPr>
        <w:lastRenderedPageBreak/>
        <w:t>Table 2. Mass and energy balances, and performance of e-MeOH and er-MeOH plants.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88"/>
        <w:gridCol w:w="1489"/>
        <w:gridCol w:w="851"/>
      </w:tblGrid>
      <w:tr w:rsidR="00AA278B" w:rsidRPr="00AA278B" w14:paraId="158FE629" w14:textId="77777777" w:rsidTr="00C7542D"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14:paraId="52AC0ECB" w14:textId="428D9573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2DC061BB" w14:textId="197C195E" w:rsidR="00AA278B" w:rsidRPr="00AA278B" w:rsidRDefault="001C6A0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e-MeOH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 w14:paraId="4872108F" w14:textId="034340CC" w:rsidR="00AA278B" w:rsidRPr="00AA278B" w:rsidRDefault="001C6A0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er-MeOH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AF21EAE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5032A042" w14:textId="77777777" w:rsidTr="00C7542D">
        <w:tc>
          <w:tcPr>
            <w:tcW w:w="2830" w:type="dxa"/>
            <w:tcBorders>
              <w:top w:val="single" w:sz="4" w:space="0" w:color="000000"/>
            </w:tcBorders>
          </w:tcPr>
          <w:p w14:paraId="4C7D6A6A" w14:textId="4E075D74" w:rsidR="00AA278B" w:rsidRPr="002207C7" w:rsidRDefault="001C6A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207C7">
              <w:rPr>
                <w:sz w:val="18"/>
                <w:szCs w:val="18"/>
              </w:rPr>
              <w:t>Energy balance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02685534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7799668E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3005E68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7BDC59EA" w14:textId="77777777" w:rsidTr="00C7542D">
        <w:tc>
          <w:tcPr>
            <w:tcW w:w="2830" w:type="dxa"/>
          </w:tcPr>
          <w:p w14:paraId="413AF412" w14:textId="7FC6B15F" w:rsidR="00AA278B" w:rsidRPr="002207C7" w:rsidRDefault="001C6A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207C7">
              <w:rPr>
                <w:sz w:val="18"/>
                <w:szCs w:val="18"/>
              </w:rPr>
              <w:t>Input</w:t>
            </w:r>
          </w:p>
        </w:tc>
        <w:tc>
          <w:tcPr>
            <w:tcW w:w="1488" w:type="dxa"/>
          </w:tcPr>
          <w:p w14:paraId="0DB22631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066FDC81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C6AE4E8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069E04DF" w14:textId="77777777" w:rsidTr="00C7542D">
        <w:tc>
          <w:tcPr>
            <w:tcW w:w="2830" w:type="dxa"/>
          </w:tcPr>
          <w:p w14:paraId="4F726AB5" w14:textId="2E111270" w:rsidR="00AA278B" w:rsidRPr="00AA278B" w:rsidRDefault="001C6A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Fuel gas</w:t>
            </w:r>
          </w:p>
        </w:tc>
        <w:tc>
          <w:tcPr>
            <w:tcW w:w="1488" w:type="dxa"/>
          </w:tcPr>
          <w:p w14:paraId="73746F9A" w14:textId="6AFD7BBD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469.1</w:t>
            </w:r>
          </w:p>
        </w:tc>
        <w:tc>
          <w:tcPr>
            <w:tcW w:w="1489" w:type="dxa"/>
          </w:tcPr>
          <w:p w14:paraId="54EA5C95" w14:textId="1042A3AA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469.1</w:t>
            </w:r>
          </w:p>
        </w:tc>
        <w:tc>
          <w:tcPr>
            <w:tcW w:w="851" w:type="dxa"/>
          </w:tcPr>
          <w:p w14:paraId="3DEEA0DD" w14:textId="59A395D4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6E869FAC" w14:textId="77777777" w:rsidTr="00C7542D">
        <w:tc>
          <w:tcPr>
            <w:tcW w:w="2830" w:type="dxa"/>
          </w:tcPr>
          <w:p w14:paraId="772D9688" w14:textId="57E05BDB" w:rsidR="00AA278B" w:rsidRPr="00AA278B" w:rsidRDefault="001C6A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Electricity</w:t>
            </w:r>
          </w:p>
        </w:tc>
        <w:tc>
          <w:tcPr>
            <w:tcW w:w="1488" w:type="dxa"/>
          </w:tcPr>
          <w:p w14:paraId="2AF4D01A" w14:textId="71EDD6D4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716.1</w:t>
            </w:r>
          </w:p>
        </w:tc>
        <w:tc>
          <w:tcPr>
            <w:tcW w:w="1489" w:type="dxa"/>
          </w:tcPr>
          <w:p w14:paraId="0CE0301E" w14:textId="36F67C0B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570.1</w:t>
            </w:r>
          </w:p>
        </w:tc>
        <w:tc>
          <w:tcPr>
            <w:tcW w:w="851" w:type="dxa"/>
          </w:tcPr>
          <w:p w14:paraId="0FA2AAFF" w14:textId="6F94F4B2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7CD53561" w14:textId="77777777" w:rsidTr="00C7542D">
        <w:tc>
          <w:tcPr>
            <w:tcW w:w="2830" w:type="dxa"/>
          </w:tcPr>
          <w:p w14:paraId="3DA87BAD" w14:textId="55ED5123" w:rsidR="00AA278B" w:rsidRPr="00AA278B" w:rsidRDefault="001C6A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Electrolyser</w:t>
            </w:r>
            <w:proofErr w:type="spellEnd"/>
          </w:p>
        </w:tc>
        <w:tc>
          <w:tcPr>
            <w:tcW w:w="1488" w:type="dxa"/>
          </w:tcPr>
          <w:p w14:paraId="039D6ECC" w14:textId="693220BD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648.0</w:t>
            </w:r>
          </w:p>
        </w:tc>
        <w:tc>
          <w:tcPr>
            <w:tcW w:w="1489" w:type="dxa"/>
          </w:tcPr>
          <w:p w14:paraId="49B03E82" w14:textId="2368ABAF" w:rsidR="00AA278B" w:rsidRPr="00AA278B" w:rsidRDefault="00963C69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95AD620" w14:textId="7B56F07B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0B780E6B" w14:textId="77777777" w:rsidTr="00C7542D">
        <w:tc>
          <w:tcPr>
            <w:tcW w:w="2830" w:type="dxa"/>
          </w:tcPr>
          <w:p w14:paraId="1A6DCD71" w14:textId="0C4E84BC" w:rsidR="00AA278B" w:rsidRPr="00AA278B" w:rsidRDefault="001C6A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 Boilers/furnaces</w:t>
            </w:r>
          </w:p>
        </w:tc>
        <w:tc>
          <w:tcPr>
            <w:tcW w:w="1488" w:type="dxa"/>
          </w:tcPr>
          <w:p w14:paraId="016F1DA1" w14:textId="018F0DED" w:rsidR="00AA278B" w:rsidRPr="00AA278B" w:rsidRDefault="00963C69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1ED05819" w14:textId="168B0852" w:rsidR="00AA278B" w:rsidRPr="00AA278B" w:rsidRDefault="0035110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420.0</w:t>
            </w:r>
          </w:p>
        </w:tc>
        <w:tc>
          <w:tcPr>
            <w:tcW w:w="851" w:type="dxa"/>
          </w:tcPr>
          <w:p w14:paraId="39D069CF" w14:textId="33C83A03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0F3DD133" w14:textId="77777777" w:rsidTr="00C7542D">
        <w:tc>
          <w:tcPr>
            <w:tcW w:w="2830" w:type="dxa"/>
          </w:tcPr>
          <w:p w14:paraId="17CDE35C" w14:textId="3B46CBAE" w:rsidR="00AA278B" w:rsidRPr="00AA278B" w:rsidRDefault="008F7037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  <w:r w:rsidR="001C6A02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Reformer</w:t>
            </w:r>
          </w:p>
        </w:tc>
        <w:tc>
          <w:tcPr>
            <w:tcW w:w="1488" w:type="dxa"/>
          </w:tcPr>
          <w:p w14:paraId="5097F4A5" w14:textId="6815FD29" w:rsidR="00AA278B" w:rsidRPr="00AA278B" w:rsidRDefault="00963C69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0914EEE" w14:textId="5D7C45E8" w:rsidR="00AA278B" w:rsidRPr="00AA278B" w:rsidRDefault="0035110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134.0</w:t>
            </w:r>
          </w:p>
        </w:tc>
        <w:tc>
          <w:tcPr>
            <w:tcW w:w="851" w:type="dxa"/>
          </w:tcPr>
          <w:p w14:paraId="118DFD5F" w14:textId="28324F32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133EC424" w14:textId="77777777" w:rsidTr="00C7542D">
        <w:tc>
          <w:tcPr>
            <w:tcW w:w="2830" w:type="dxa"/>
          </w:tcPr>
          <w:p w14:paraId="4D0C11F4" w14:textId="2600B292" w:rsidR="00AA278B" w:rsidRPr="00AA278B" w:rsidRDefault="008F7037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 CO</w:t>
            </w:r>
            <w:r w:rsidRPr="008F7037">
              <w:rPr>
                <w:b w:val="0"/>
                <w:bCs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t xml:space="preserve"> capture comp.</w:t>
            </w:r>
          </w:p>
        </w:tc>
        <w:tc>
          <w:tcPr>
            <w:tcW w:w="1488" w:type="dxa"/>
          </w:tcPr>
          <w:p w14:paraId="631995AE" w14:textId="35ECFD11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59.1</w:t>
            </w:r>
          </w:p>
        </w:tc>
        <w:tc>
          <w:tcPr>
            <w:tcW w:w="1489" w:type="dxa"/>
          </w:tcPr>
          <w:p w14:paraId="67901E75" w14:textId="2E02D3F7" w:rsidR="00AA278B" w:rsidRPr="00AA278B" w:rsidRDefault="0035110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1.34</w:t>
            </w:r>
          </w:p>
        </w:tc>
        <w:tc>
          <w:tcPr>
            <w:tcW w:w="851" w:type="dxa"/>
          </w:tcPr>
          <w:p w14:paraId="1EED5E13" w14:textId="1A6561C6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1F0045A2" w14:textId="77777777" w:rsidTr="00C7542D">
        <w:tc>
          <w:tcPr>
            <w:tcW w:w="2830" w:type="dxa"/>
          </w:tcPr>
          <w:p w14:paraId="69F74642" w14:textId="03CF5526" w:rsidR="00AA278B" w:rsidRPr="00AA278B" w:rsidRDefault="008F7037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- Others </w:t>
            </w:r>
          </w:p>
        </w:tc>
        <w:tc>
          <w:tcPr>
            <w:tcW w:w="1488" w:type="dxa"/>
          </w:tcPr>
          <w:p w14:paraId="4E4F401F" w14:textId="64B2ABA2" w:rsidR="00AA278B" w:rsidRPr="00AA278B" w:rsidRDefault="00AC01A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9.0</w:t>
            </w:r>
          </w:p>
        </w:tc>
        <w:tc>
          <w:tcPr>
            <w:tcW w:w="1489" w:type="dxa"/>
          </w:tcPr>
          <w:p w14:paraId="515BBF8D" w14:textId="7F1B75CE" w:rsidR="00AA278B" w:rsidRPr="00AA278B" w:rsidRDefault="0035110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14.7</w:t>
            </w:r>
          </w:p>
        </w:tc>
        <w:tc>
          <w:tcPr>
            <w:tcW w:w="851" w:type="dxa"/>
          </w:tcPr>
          <w:p w14:paraId="47D05957" w14:textId="344439CB" w:rsidR="00AA278B" w:rsidRPr="00AA278B" w:rsidRDefault="0035110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4FCDEE14" w14:textId="77777777" w:rsidTr="00C7542D">
        <w:tc>
          <w:tcPr>
            <w:tcW w:w="2830" w:type="dxa"/>
          </w:tcPr>
          <w:p w14:paraId="687C2853" w14:textId="333F160F" w:rsidR="00AA278B" w:rsidRPr="002207C7" w:rsidRDefault="008F7037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207C7">
              <w:rPr>
                <w:sz w:val="18"/>
                <w:szCs w:val="18"/>
              </w:rPr>
              <w:t>Output</w:t>
            </w:r>
          </w:p>
        </w:tc>
        <w:tc>
          <w:tcPr>
            <w:tcW w:w="1488" w:type="dxa"/>
          </w:tcPr>
          <w:p w14:paraId="7E23D523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3FB48984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C52B7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3E4BD8AD" w14:textId="77777777" w:rsidTr="00C7542D">
        <w:tc>
          <w:tcPr>
            <w:tcW w:w="2830" w:type="dxa"/>
          </w:tcPr>
          <w:p w14:paraId="2A334691" w14:textId="71F963C6" w:rsidR="00AA278B" w:rsidRPr="00AA278B" w:rsidRDefault="008F7037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b w:val="0"/>
                <w:bCs/>
                <w:sz w:val="18"/>
                <w:szCs w:val="18"/>
              </w:rPr>
              <w:t>Electrolyser</w:t>
            </w:r>
            <w:proofErr w:type="spellEnd"/>
            <w:r>
              <w:rPr>
                <w:b w:val="0"/>
                <w:bCs/>
                <w:sz w:val="18"/>
                <w:szCs w:val="18"/>
              </w:rPr>
              <w:t xml:space="preserve"> losses</w:t>
            </w:r>
          </w:p>
        </w:tc>
        <w:tc>
          <w:tcPr>
            <w:tcW w:w="1488" w:type="dxa"/>
          </w:tcPr>
          <w:p w14:paraId="0C26DF3A" w14:textId="1EC42F56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194.9</w:t>
            </w:r>
          </w:p>
        </w:tc>
        <w:tc>
          <w:tcPr>
            <w:tcW w:w="1489" w:type="dxa"/>
          </w:tcPr>
          <w:p w14:paraId="4A4E708A" w14:textId="42787B15" w:rsidR="00AA278B" w:rsidRPr="00AA278B" w:rsidRDefault="00F675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E402803" w14:textId="44BB6087" w:rsidR="00AA278B" w:rsidRPr="00AA278B" w:rsidRDefault="00723B88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73F2588D" w14:textId="77777777" w:rsidTr="00C7542D">
        <w:tc>
          <w:tcPr>
            <w:tcW w:w="2830" w:type="dxa"/>
          </w:tcPr>
          <w:p w14:paraId="7EC439AA" w14:textId="7AA2ECA2" w:rsidR="00AA278B" w:rsidRPr="00AA278B" w:rsidRDefault="00354270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MeOH</w:t>
            </w:r>
          </w:p>
        </w:tc>
        <w:tc>
          <w:tcPr>
            <w:tcW w:w="1488" w:type="dxa"/>
          </w:tcPr>
          <w:p w14:paraId="48E52046" w14:textId="11DA770D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414.6</w:t>
            </w:r>
          </w:p>
        </w:tc>
        <w:tc>
          <w:tcPr>
            <w:tcW w:w="1489" w:type="dxa"/>
          </w:tcPr>
          <w:p w14:paraId="1913FE77" w14:textId="4681BE8A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446.2</w:t>
            </w:r>
          </w:p>
        </w:tc>
        <w:tc>
          <w:tcPr>
            <w:tcW w:w="851" w:type="dxa"/>
          </w:tcPr>
          <w:p w14:paraId="2F15D753" w14:textId="4E797922" w:rsidR="00AA278B" w:rsidRPr="00AA278B" w:rsidRDefault="00723B88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674299C2" w14:textId="77777777" w:rsidTr="00C7542D">
        <w:tc>
          <w:tcPr>
            <w:tcW w:w="2830" w:type="dxa"/>
          </w:tcPr>
          <w:p w14:paraId="333C0B6A" w14:textId="48C3805F" w:rsidR="00AA278B" w:rsidRPr="00AA278B" w:rsidRDefault="00354270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Thermal power output</w:t>
            </w:r>
          </w:p>
        </w:tc>
        <w:tc>
          <w:tcPr>
            <w:tcW w:w="1488" w:type="dxa"/>
          </w:tcPr>
          <w:p w14:paraId="218EB475" w14:textId="43CB308C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420.0</w:t>
            </w:r>
          </w:p>
        </w:tc>
        <w:tc>
          <w:tcPr>
            <w:tcW w:w="1489" w:type="dxa"/>
          </w:tcPr>
          <w:p w14:paraId="7AADA2E6" w14:textId="607910D7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420.0</w:t>
            </w:r>
          </w:p>
        </w:tc>
        <w:tc>
          <w:tcPr>
            <w:tcW w:w="851" w:type="dxa"/>
          </w:tcPr>
          <w:p w14:paraId="724F4CCF" w14:textId="2C6B1DC9" w:rsidR="00AA278B" w:rsidRPr="00AA278B" w:rsidRDefault="00723B88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8378C9" w:rsidRPr="00AA278B" w14:paraId="7F586B13" w14:textId="77777777" w:rsidTr="00C7542D">
        <w:tc>
          <w:tcPr>
            <w:tcW w:w="2830" w:type="dxa"/>
          </w:tcPr>
          <w:p w14:paraId="51EB5074" w14:textId="0BAA09DA" w:rsidR="008378C9" w:rsidRDefault="008378C9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Steam export</w:t>
            </w:r>
          </w:p>
        </w:tc>
        <w:tc>
          <w:tcPr>
            <w:tcW w:w="1488" w:type="dxa"/>
          </w:tcPr>
          <w:p w14:paraId="4B7A562B" w14:textId="16ED8A29" w:rsidR="008378C9" w:rsidRDefault="006170FD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2F489C45" w14:textId="04C22FD9" w:rsidR="008378C9" w:rsidRDefault="006170FD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24.6</w:t>
            </w:r>
          </w:p>
        </w:tc>
        <w:tc>
          <w:tcPr>
            <w:tcW w:w="851" w:type="dxa"/>
          </w:tcPr>
          <w:p w14:paraId="0F9FC515" w14:textId="5A33D08D" w:rsidR="008378C9" w:rsidRDefault="006170FD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AA278B" w:rsidRPr="00AA278B" w14:paraId="1DC4FF78" w14:textId="77777777" w:rsidTr="00C7542D">
        <w:tc>
          <w:tcPr>
            <w:tcW w:w="2830" w:type="dxa"/>
          </w:tcPr>
          <w:p w14:paraId="30543CBD" w14:textId="3C844898" w:rsidR="00AA278B" w:rsidRPr="00AA278B" w:rsidRDefault="00354270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Other losses</w:t>
            </w:r>
          </w:p>
        </w:tc>
        <w:tc>
          <w:tcPr>
            <w:tcW w:w="1488" w:type="dxa"/>
          </w:tcPr>
          <w:p w14:paraId="2AAAF01C" w14:textId="096CB21B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147.5</w:t>
            </w:r>
          </w:p>
        </w:tc>
        <w:tc>
          <w:tcPr>
            <w:tcW w:w="1489" w:type="dxa"/>
          </w:tcPr>
          <w:p w14:paraId="7ACA26A7" w14:textId="6A9079AA" w:rsidR="00AA278B" w:rsidRPr="00AA278B" w:rsidRDefault="00723B8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148.4</w:t>
            </w:r>
          </w:p>
        </w:tc>
        <w:tc>
          <w:tcPr>
            <w:tcW w:w="851" w:type="dxa"/>
          </w:tcPr>
          <w:p w14:paraId="3839D59F" w14:textId="058D282F" w:rsidR="00AA278B" w:rsidRPr="00AA278B" w:rsidRDefault="00723B88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MW</w:t>
            </w:r>
          </w:p>
        </w:tc>
      </w:tr>
      <w:tr w:rsidR="00806B42" w:rsidRPr="00AA278B" w14:paraId="05DD2164" w14:textId="77777777" w:rsidTr="00C7542D">
        <w:tc>
          <w:tcPr>
            <w:tcW w:w="2830" w:type="dxa"/>
            <w:tcBorders>
              <w:top w:val="single" w:sz="4" w:space="0" w:color="000000"/>
            </w:tcBorders>
          </w:tcPr>
          <w:p w14:paraId="107CC10F" w14:textId="0FC49EB8" w:rsidR="00806B42" w:rsidRP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806B42">
              <w:rPr>
                <w:sz w:val="18"/>
                <w:szCs w:val="18"/>
              </w:rPr>
              <w:t>Mass balance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1D070955" w14:textId="77777777" w:rsidR="00806B42" w:rsidRDefault="00806B4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31FDD427" w14:textId="77777777" w:rsidR="00806B42" w:rsidRDefault="00806B4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1C0A093" w14:textId="77777777" w:rsid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806B42" w:rsidRPr="00AA278B" w14:paraId="26FDA403" w14:textId="77777777" w:rsidTr="00C7542D">
        <w:tc>
          <w:tcPr>
            <w:tcW w:w="2830" w:type="dxa"/>
          </w:tcPr>
          <w:p w14:paraId="0161C245" w14:textId="55DA0AFB" w:rsidR="00806B42" w:rsidRP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806B42">
              <w:rPr>
                <w:sz w:val="18"/>
                <w:szCs w:val="18"/>
              </w:rPr>
              <w:t>Input</w:t>
            </w:r>
          </w:p>
        </w:tc>
        <w:tc>
          <w:tcPr>
            <w:tcW w:w="1488" w:type="dxa"/>
          </w:tcPr>
          <w:p w14:paraId="1E668991" w14:textId="77777777" w:rsidR="00806B42" w:rsidRDefault="00806B4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5EB83181" w14:textId="77777777" w:rsidR="00806B42" w:rsidRDefault="00806B4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B4FFF2F" w14:textId="77777777" w:rsid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806B42" w:rsidRPr="00AA278B" w14:paraId="7EBAA2B3" w14:textId="77777777" w:rsidTr="00C7542D">
        <w:tc>
          <w:tcPr>
            <w:tcW w:w="2830" w:type="dxa"/>
          </w:tcPr>
          <w:p w14:paraId="6B89DD2E" w14:textId="799DFB0D" w:rsid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Fuel gas</w:t>
            </w:r>
          </w:p>
        </w:tc>
        <w:tc>
          <w:tcPr>
            <w:tcW w:w="1488" w:type="dxa"/>
          </w:tcPr>
          <w:p w14:paraId="22F7229A" w14:textId="6939A5AC" w:rsidR="00806B42" w:rsidRDefault="00461C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36050</w:t>
            </w:r>
          </w:p>
        </w:tc>
        <w:tc>
          <w:tcPr>
            <w:tcW w:w="1489" w:type="dxa"/>
          </w:tcPr>
          <w:p w14:paraId="7DF72F34" w14:textId="46FBA1FD" w:rsidR="00806B42" w:rsidRDefault="00461C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36050</w:t>
            </w:r>
          </w:p>
        </w:tc>
        <w:tc>
          <w:tcPr>
            <w:tcW w:w="851" w:type="dxa"/>
          </w:tcPr>
          <w:p w14:paraId="0EDAE61D" w14:textId="736732B3" w:rsidR="00806B42" w:rsidRDefault="00C47D8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kg/h</w:t>
            </w:r>
          </w:p>
        </w:tc>
      </w:tr>
      <w:tr w:rsidR="00806B42" w:rsidRPr="00AA278B" w14:paraId="7F2FAF55" w14:textId="77777777" w:rsidTr="00C7542D">
        <w:tc>
          <w:tcPr>
            <w:tcW w:w="2830" w:type="dxa"/>
          </w:tcPr>
          <w:p w14:paraId="5900A7C2" w14:textId="22FF9AAA" w:rsid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Combustion air</w:t>
            </w:r>
          </w:p>
        </w:tc>
        <w:tc>
          <w:tcPr>
            <w:tcW w:w="1488" w:type="dxa"/>
          </w:tcPr>
          <w:p w14:paraId="0930ABB3" w14:textId="75111A7C" w:rsidR="00806B42" w:rsidRDefault="00461C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605755</w:t>
            </w:r>
          </w:p>
        </w:tc>
        <w:tc>
          <w:tcPr>
            <w:tcW w:w="1489" w:type="dxa"/>
          </w:tcPr>
          <w:p w14:paraId="2B37ACEC" w14:textId="0362C4DF" w:rsidR="00806B42" w:rsidRDefault="00F675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1F1AABC" w14:textId="55523D27" w:rsidR="00806B42" w:rsidRDefault="00C47D8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kg/h</w:t>
            </w:r>
          </w:p>
        </w:tc>
      </w:tr>
      <w:tr w:rsidR="00806B42" w:rsidRPr="00AA278B" w14:paraId="056FBFA8" w14:textId="77777777" w:rsidTr="00C7542D">
        <w:tc>
          <w:tcPr>
            <w:tcW w:w="2830" w:type="dxa"/>
          </w:tcPr>
          <w:p w14:paraId="63664331" w14:textId="62C4D4C6" w:rsid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External CO</w:t>
            </w:r>
            <w:r w:rsidRPr="00806B42">
              <w:rPr>
                <w:b w:val="0"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652C9D9E" w14:textId="22ED7313" w:rsidR="00806B42" w:rsidRDefault="00F675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BA7A909" w14:textId="1B24F0F5" w:rsidR="00806B42" w:rsidRDefault="00461C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12797</w:t>
            </w:r>
          </w:p>
        </w:tc>
        <w:tc>
          <w:tcPr>
            <w:tcW w:w="851" w:type="dxa"/>
          </w:tcPr>
          <w:p w14:paraId="6A0CBB06" w14:textId="4F00DD67" w:rsidR="00806B42" w:rsidRDefault="00C47D8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kg/h</w:t>
            </w:r>
          </w:p>
        </w:tc>
      </w:tr>
      <w:tr w:rsidR="00806B42" w:rsidRPr="00AA278B" w14:paraId="7DD1BC0B" w14:textId="77777777" w:rsidTr="00C7542D">
        <w:tc>
          <w:tcPr>
            <w:tcW w:w="2830" w:type="dxa"/>
          </w:tcPr>
          <w:p w14:paraId="1A5F5275" w14:textId="2EBE122D" w:rsidR="00806B42" w:rsidRDefault="0008035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H</w:t>
            </w:r>
            <w:r w:rsidRPr="0008035E">
              <w:rPr>
                <w:b w:val="0"/>
                <w:bCs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t>O</w:t>
            </w:r>
          </w:p>
        </w:tc>
        <w:tc>
          <w:tcPr>
            <w:tcW w:w="1488" w:type="dxa"/>
          </w:tcPr>
          <w:p w14:paraId="55EB09E0" w14:textId="0A646CB5" w:rsidR="00806B42" w:rsidRDefault="00F675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34E6B922" w14:textId="638F1040" w:rsidR="00806B42" w:rsidRDefault="00461C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34723</w:t>
            </w:r>
          </w:p>
        </w:tc>
        <w:tc>
          <w:tcPr>
            <w:tcW w:w="851" w:type="dxa"/>
          </w:tcPr>
          <w:p w14:paraId="12591044" w14:textId="6F3AA942" w:rsidR="00806B42" w:rsidRDefault="00C47D8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kg/h</w:t>
            </w:r>
          </w:p>
        </w:tc>
      </w:tr>
      <w:tr w:rsidR="00806B42" w:rsidRPr="00AA278B" w14:paraId="2199C25D" w14:textId="77777777" w:rsidTr="00C7542D">
        <w:tc>
          <w:tcPr>
            <w:tcW w:w="2830" w:type="dxa"/>
          </w:tcPr>
          <w:p w14:paraId="7227ECCD" w14:textId="713BEF9C" w:rsidR="00806B42" w:rsidRPr="0008035E" w:rsidRDefault="0008035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08035E">
              <w:rPr>
                <w:sz w:val="18"/>
                <w:szCs w:val="18"/>
              </w:rPr>
              <w:t>Output</w:t>
            </w:r>
          </w:p>
        </w:tc>
        <w:tc>
          <w:tcPr>
            <w:tcW w:w="1488" w:type="dxa"/>
          </w:tcPr>
          <w:p w14:paraId="00B46997" w14:textId="77777777" w:rsidR="00806B42" w:rsidRDefault="00806B4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244375BD" w14:textId="77777777" w:rsidR="00806B42" w:rsidRDefault="00806B4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0889C2" w14:textId="77777777" w:rsidR="00806B42" w:rsidRDefault="00806B4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806B42" w:rsidRPr="00AA278B" w14:paraId="471B79E4" w14:textId="77777777" w:rsidTr="00C7542D">
        <w:tc>
          <w:tcPr>
            <w:tcW w:w="2830" w:type="dxa"/>
          </w:tcPr>
          <w:p w14:paraId="22C234B7" w14:textId="4461A89A" w:rsidR="00806B42" w:rsidRDefault="0008035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MeOH</w:t>
            </w:r>
          </w:p>
        </w:tc>
        <w:tc>
          <w:tcPr>
            <w:tcW w:w="1488" w:type="dxa"/>
          </w:tcPr>
          <w:p w14:paraId="0F6D1C89" w14:textId="72087336" w:rsidR="00806B42" w:rsidRDefault="00C47D8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70713</w:t>
            </w:r>
          </w:p>
        </w:tc>
        <w:tc>
          <w:tcPr>
            <w:tcW w:w="1489" w:type="dxa"/>
          </w:tcPr>
          <w:p w14:paraId="67EC7541" w14:textId="5342CC08" w:rsidR="00806B42" w:rsidRDefault="00C47D8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76106</w:t>
            </w:r>
          </w:p>
        </w:tc>
        <w:tc>
          <w:tcPr>
            <w:tcW w:w="851" w:type="dxa"/>
          </w:tcPr>
          <w:p w14:paraId="755B355F" w14:textId="387C37F2" w:rsidR="00806B42" w:rsidRDefault="00C47D8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kg/h</w:t>
            </w:r>
          </w:p>
        </w:tc>
      </w:tr>
      <w:tr w:rsidR="00806B42" w:rsidRPr="00AA278B" w14:paraId="5F246731" w14:textId="77777777" w:rsidTr="00C7542D">
        <w:tc>
          <w:tcPr>
            <w:tcW w:w="2830" w:type="dxa"/>
            <w:tcBorders>
              <w:bottom w:val="single" w:sz="4" w:space="0" w:color="000000"/>
            </w:tcBorders>
          </w:tcPr>
          <w:p w14:paraId="04200DC0" w14:textId="0979CB16" w:rsidR="00806B42" w:rsidRDefault="0008035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H</w:t>
            </w:r>
            <w:r w:rsidRPr="0008035E">
              <w:rPr>
                <w:b w:val="0"/>
                <w:bCs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t>O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5CBC4422" w14:textId="757C4E39" w:rsidR="00806B42" w:rsidRDefault="00C47D8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13607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3D8EADD5" w14:textId="7F2754CF" w:rsidR="00806B42" w:rsidRDefault="00F675C8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5AFAA49" w14:textId="107B1935" w:rsidR="00806B42" w:rsidRDefault="00C47D8E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kg/h</w:t>
            </w:r>
          </w:p>
        </w:tc>
      </w:tr>
      <w:tr w:rsidR="00AA278B" w:rsidRPr="00AA278B" w14:paraId="4AB08DD6" w14:textId="77777777" w:rsidTr="00C7542D">
        <w:tc>
          <w:tcPr>
            <w:tcW w:w="2830" w:type="dxa"/>
            <w:tcBorders>
              <w:top w:val="single" w:sz="4" w:space="0" w:color="000000"/>
            </w:tcBorders>
          </w:tcPr>
          <w:p w14:paraId="097EC67A" w14:textId="312E5119" w:rsidR="00AA278B" w:rsidRPr="002207C7" w:rsidRDefault="008D4C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207C7">
              <w:rPr>
                <w:sz w:val="18"/>
                <w:szCs w:val="18"/>
              </w:rPr>
              <w:t>Performance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5F90F615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573D7392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B87901D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416DF859" w14:textId="77777777" w:rsidTr="00C7542D">
        <w:tc>
          <w:tcPr>
            <w:tcW w:w="2830" w:type="dxa"/>
          </w:tcPr>
          <w:p w14:paraId="723E3AC2" w14:textId="356B8625" w:rsidR="00AA278B" w:rsidRPr="00AA278B" w:rsidRDefault="008D4C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Single pass MeOH </w:t>
            </w:r>
            <w:r w:rsidR="00963C69">
              <w:rPr>
                <w:b w:val="0"/>
                <w:bCs/>
                <w:sz w:val="18"/>
                <w:szCs w:val="18"/>
              </w:rPr>
              <w:t>yield</w:t>
            </w:r>
          </w:p>
        </w:tc>
        <w:tc>
          <w:tcPr>
            <w:tcW w:w="1488" w:type="dxa"/>
          </w:tcPr>
          <w:p w14:paraId="58611385" w14:textId="49AB1633" w:rsidR="00AA278B" w:rsidRPr="00AA278B" w:rsidRDefault="00310E9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66.7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</w:tcPr>
          <w:p w14:paraId="1F36B6A7" w14:textId="7F31D2A8" w:rsidR="00AA278B" w:rsidRPr="00AA278B" w:rsidRDefault="00310E9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45.1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14:paraId="1109D646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179F2FBE" w14:textId="77777777" w:rsidTr="00C7542D">
        <w:tc>
          <w:tcPr>
            <w:tcW w:w="2830" w:type="dxa"/>
          </w:tcPr>
          <w:p w14:paraId="32DD3BA9" w14:textId="790610E1" w:rsidR="00AA278B" w:rsidRPr="00AA278B" w:rsidRDefault="008D4C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Global MeOH </w:t>
            </w:r>
            <w:r w:rsidR="00963C69">
              <w:rPr>
                <w:b w:val="0"/>
                <w:bCs/>
                <w:sz w:val="18"/>
                <w:szCs w:val="18"/>
              </w:rPr>
              <w:t>yield</w:t>
            </w:r>
          </w:p>
        </w:tc>
        <w:tc>
          <w:tcPr>
            <w:tcW w:w="1488" w:type="dxa"/>
          </w:tcPr>
          <w:p w14:paraId="6C468740" w14:textId="437F7014" w:rsidR="00AA278B" w:rsidRPr="00AA278B" w:rsidRDefault="00310E9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99.7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</w:tcPr>
          <w:p w14:paraId="68BF9FAE" w14:textId="57374A7F" w:rsidR="00AA278B" w:rsidRPr="00AA278B" w:rsidRDefault="00310E9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97.0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14:paraId="1A5DB2C0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7FAFCF12" w14:textId="77777777" w:rsidTr="00C7542D">
        <w:tc>
          <w:tcPr>
            <w:tcW w:w="2830" w:type="dxa"/>
            <w:tcBorders>
              <w:bottom w:val="single" w:sz="4" w:space="0" w:color="000000"/>
            </w:tcBorders>
          </w:tcPr>
          <w:p w14:paraId="50F74425" w14:textId="2746733F" w:rsidR="00AA278B" w:rsidRPr="00AA278B" w:rsidRDefault="008D4C0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Carbon efficiency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38FE1B28" w14:textId="0AFB8909" w:rsidR="00AA278B" w:rsidRPr="00AA278B" w:rsidRDefault="00310E9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94.8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07648D99" w14:textId="7554F491" w:rsidR="00AA278B" w:rsidRPr="00AA278B" w:rsidRDefault="00310E9E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90.7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98E5AC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274A28EC" w14:textId="77777777" w:rsidTr="00C7542D">
        <w:tc>
          <w:tcPr>
            <w:tcW w:w="2830" w:type="dxa"/>
            <w:tcBorders>
              <w:top w:val="single" w:sz="4" w:space="0" w:color="000000"/>
            </w:tcBorders>
          </w:tcPr>
          <w:p w14:paraId="45AFA63C" w14:textId="1EAFCE98" w:rsidR="00AA278B" w:rsidRPr="002207C7" w:rsidRDefault="000239D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207C7">
              <w:rPr>
                <w:sz w:val="18"/>
                <w:szCs w:val="18"/>
              </w:rPr>
              <w:t>Key performance indicators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7E892470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6E47C8F5" w14:textId="77777777" w:rsidR="00AA278B" w:rsidRPr="00AA278B" w:rsidRDefault="00AA278B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2F54AFA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AA278B" w:rsidRPr="00AA278B" w14:paraId="4E30FDA0" w14:textId="77777777" w:rsidTr="00C7542D">
        <w:tc>
          <w:tcPr>
            <w:tcW w:w="2830" w:type="dxa"/>
          </w:tcPr>
          <w:p w14:paraId="63109FE0" w14:textId="149B0228" w:rsidR="00AA278B" w:rsidRPr="00AA278B" w:rsidRDefault="000239D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Energy efficiency</w:t>
            </w:r>
          </w:p>
        </w:tc>
        <w:tc>
          <w:tcPr>
            <w:tcW w:w="1488" w:type="dxa"/>
          </w:tcPr>
          <w:p w14:paraId="0FD252C8" w14:textId="6EC4C29B" w:rsidR="00AA278B" w:rsidRPr="00AA278B" w:rsidRDefault="00B26F9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70.4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</w:tcPr>
          <w:p w14:paraId="12BE868B" w14:textId="61BB9BCD" w:rsidR="00AA278B" w:rsidRPr="00AA278B" w:rsidRDefault="00B26F9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85.7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14:paraId="323C4BB4" w14:textId="77777777" w:rsidR="00AA278B" w:rsidRPr="00AA278B" w:rsidRDefault="00AA278B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0239D2" w:rsidRPr="00AA278B" w14:paraId="6DEA7358" w14:textId="77777777" w:rsidTr="00C7542D">
        <w:tc>
          <w:tcPr>
            <w:tcW w:w="2830" w:type="dxa"/>
          </w:tcPr>
          <w:p w14:paraId="7DE62CF0" w14:textId="24DB91EF" w:rsidR="000239D2" w:rsidRPr="00AA278B" w:rsidRDefault="000239D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Power-to-MeOH efficiency</w:t>
            </w:r>
          </w:p>
        </w:tc>
        <w:tc>
          <w:tcPr>
            <w:tcW w:w="1488" w:type="dxa"/>
          </w:tcPr>
          <w:p w14:paraId="0256FB7C" w14:textId="0D6AB830" w:rsidR="000239D2" w:rsidRPr="00AA278B" w:rsidRDefault="00B26F9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57.9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</w:tcPr>
          <w:p w14:paraId="5DFA871B" w14:textId="03DD7419" w:rsidR="000239D2" w:rsidRPr="00AA278B" w:rsidRDefault="00B26F9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78.3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14:paraId="6F1E0674" w14:textId="77777777" w:rsidR="000239D2" w:rsidRPr="00AA278B" w:rsidRDefault="000239D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  <w:tr w:rsidR="000239D2" w:rsidRPr="00AA278B" w14:paraId="42ECA095" w14:textId="77777777" w:rsidTr="00C7542D">
        <w:tc>
          <w:tcPr>
            <w:tcW w:w="2830" w:type="dxa"/>
            <w:tcBorders>
              <w:bottom w:val="single" w:sz="4" w:space="0" w:color="000000"/>
            </w:tcBorders>
          </w:tcPr>
          <w:p w14:paraId="660961E2" w14:textId="2D23C003" w:rsidR="000239D2" w:rsidRPr="00AA278B" w:rsidRDefault="000239D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Fuel gas-to-MeOH efficiency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10FCFC70" w14:textId="5228B0ED" w:rsidR="000239D2" w:rsidRPr="00AA278B" w:rsidRDefault="00B26F9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88.4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546D064A" w14:textId="7E18435E" w:rsidR="000239D2" w:rsidRPr="00AA278B" w:rsidRDefault="00B26F92" w:rsidP="002207C7">
            <w:pPr>
              <w:pStyle w:val="CETHeading1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95.1</w:t>
            </w:r>
            <w:r w:rsidR="00F675C8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5972829" w14:textId="77777777" w:rsidR="000239D2" w:rsidRPr="00AA278B" w:rsidRDefault="000239D2" w:rsidP="00AA278B">
            <w:pPr>
              <w:pStyle w:val="CETHeading1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</w:tbl>
    <w:p w14:paraId="1A16BD17" w14:textId="50FFA12D" w:rsidR="00067C79" w:rsidRDefault="00067C79" w:rsidP="00067C79">
      <w:pPr>
        <w:pStyle w:val="CETBodytext"/>
      </w:pPr>
    </w:p>
    <w:p w14:paraId="1940F4E8" w14:textId="6C001E87" w:rsidR="00067C79" w:rsidRDefault="00067C79" w:rsidP="00611151">
      <w:pPr>
        <w:pStyle w:val="CETBodytext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254202" w14:paraId="16DCE842" w14:textId="77777777" w:rsidTr="008038FE">
        <w:trPr>
          <w:jc w:val="center"/>
        </w:trPr>
        <w:tc>
          <w:tcPr>
            <w:tcW w:w="4388" w:type="dxa"/>
          </w:tcPr>
          <w:p w14:paraId="3BECDAFD" w14:textId="4A2EEA79" w:rsidR="00254202" w:rsidRDefault="00CD008D" w:rsidP="00D20985">
            <w:pPr>
              <w:pStyle w:val="CETBodytext"/>
              <w:jc w:val="center"/>
            </w:pPr>
            <w:r>
              <w:rPr>
                <w:noProof/>
              </w:rPr>
              <w:drawing>
                <wp:inline distT="0" distB="0" distL="0" distR="0" wp14:anchorId="04E5EF7D" wp14:editId="3672ABA9">
                  <wp:extent cx="2699999" cy="2703571"/>
                  <wp:effectExtent l="0" t="0" r="5715" b="190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999" cy="270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0899FF1E" w14:textId="102F22B0" w:rsidR="00254202" w:rsidRDefault="00CD008D" w:rsidP="00D20985">
            <w:pPr>
              <w:pStyle w:val="CETBodytext"/>
              <w:jc w:val="center"/>
            </w:pPr>
            <w:r>
              <w:rPr>
                <w:noProof/>
              </w:rPr>
              <w:drawing>
                <wp:inline distT="0" distB="0" distL="0" distR="0" wp14:anchorId="7B5276B3" wp14:editId="1D1ACBCD">
                  <wp:extent cx="2699999" cy="2692866"/>
                  <wp:effectExtent l="0" t="0" r="571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999" cy="269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202" w14:paraId="6C6F5992" w14:textId="77777777" w:rsidTr="008038FE">
        <w:trPr>
          <w:jc w:val="center"/>
        </w:trPr>
        <w:tc>
          <w:tcPr>
            <w:tcW w:w="4388" w:type="dxa"/>
          </w:tcPr>
          <w:p w14:paraId="33C6F4F5" w14:textId="70147B0D" w:rsidR="00254202" w:rsidRPr="00254202" w:rsidRDefault="00254202" w:rsidP="00D20985">
            <w:pPr>
              <w:pStyle w:val="CETBodytext"/>
              <w:jc w:val="center"/>
              <w:rPr>
                <w:i/>
                <w:iCs/>
              </w:rPr>
            </w:pPr>
            <w:r w:rsidRPr="00254202">
              <w:rPr>
                <w:i/>
                <w:iCs/>
              </w:rPr>
              <w:t>(a)</w:t>
            </w:r>
          </w:p>
        </w:tc>
        <w:tc>
          <w:tcPr>
            <w:tcW w:w="4389" w:type="dxa"/>
          </w:tcPr>
          <w:p w14:paraId="5E94737B" w14:textId="77777777" w:rsidR="00254202" w:rsidRDefault="00254202" w:rsidP="00D20985">
            <w:pPr>
              <w:pStyle w:val="CETBodytext"/>
              <w:jc w:val="center"/>
              <w:rPr>
                <w:i/>
                <w:iCs/>
              </w:rPr>
            </w:pPr>
            <w:r w:rsidRPr="00254202">
              <w:rPr>
                <w:i/>
                <w:iCs/>
              </w:rPr>
              <w:t>(b)</w:t>
            </w:r>
          </w:p>
          <w:p w14:paraId="72B031B1" w14:textId="7FD9B8D3" w:rsidR="0085226A" w:rsidRPr="00254202" w:rsidRDefault="0085226A" w:rsidP="00D20985">
            <w:pPr>
              <w:pStyle w:val="CETBodytext"/>
              <w:jc w:val="center"/>
              <w:rPr>
                <w:i/>
                <w:iCs/>
              </w:rPr>
            </w:pPr>
          </w:p>
        </w:tc>
      </w:tr>
    </w:tbl>
    <w:p w14:paraId="7ACDCDC2" w14:textId="6C0FF4DE" w:rsidR="00067C79" w:rsidRPr="00611151" w:rsidRDefault="00067C79" w:rsidP="00611151">
      <w:pPr>
        <w:pStyle w:val="CETBodytext"/>
      </w:pPr>
      <w:r w:rsidRPr="00254202">
        <w:rPr>
          <w:i/>
          <w:iCs/>
        </w:rPr>
        <w:t xml:space="preserve">Figure </w:t>
      </w:r>
      <w:r w:rsidR="002D35C8">
        <w:rPr>
          <w:i/>
          <w:iCs/>
        </w:rPr>
        <w:t>2</w:t>
      </w:r>
      <w:r w:rsidRPr="00254202">
        <w:rPr>
          <w:i/>
          <w:iCs/>
        </w:rPr>
        <w:t xml:space="preserve">. </w:t>
      </w:r>
      <w:r w:rsidR="00E65B57" w:rsidRPr="00254202">
        <w:rPr>
          <w:i/>
          <w:iCs/>
        </w:rPr>
        <w:t xml:space="preserve">Economic results: (a) TDPC [M€]; and (b) </w:t>
      </w:r>
      <w:proofErr w:type="spellStart"/>
      <w:r w:rsidR="00254202" w:rsidRPr="00254202">
        <w:rPr>
          <w:i/>
          <w:iCs/>
        </w:rPr>
        <w:t>annualised</w:t>
      </w:r>
      <w:proofErr w:type="spellEnd"/>
      <w:r w:rsidR="00254202" w:rsidRPr="00254202">
        <w:rPr>
          <w:i/>
          <w:iCs/>
        </w:rPr>
        <w:t xml:space="preserve"> cost </w:t>
      </w:r>
      <w:r w:rsidR="00FD3E82">
        <w:rPr>
          <w:i/>
          <w:iCs/>
        </w:rPr>
        <w:t>(TPC discounted</w:t>
      </w:r>
      <w:r w:rsidR="00DB7DD5">
        <w:rPr>
          <w:i/>
          <w:iCs/>
        </w:rPr>
        <w:t xml:space="preserve">, fixed variable costs </w:t>
      </w:r>
      <w:r w:rsidR="00595C12">
        <w:rPr>
          <w:i/>
          <w:iCs/>
        </w:rPr>
        <w:t>-</w:t>
      </w:r>
      <w:r w:rsidR="00DB7DD5">
        <w:rPr>
          <w:i/>
          <w:iCs/>
        </w:rPr>
        <w:t xml:space="preserve"> </w:t>
      </w:r>
      <w:proofErr w:type="spellStart"/>
      <w:r w:rsidR="00DB7DD5">
        <w:rPr>
          <w:i/>
          <w:iCs/>
        </w:rPr>
        <w:t>fOPEX</w:t>
      </w:r>
      <w:proofErr w:type="spellEnd"/>
      <w:r w:rsidR="00DB7DD5">
        <w:rPr>
          <w:i/>
          <w:iCs/>
        </w:rPr>
        <w:t>, cost of electricity, steam export</w:t>
      </w:r>
      <w:r w:rsidR="00E77749">
        <w:rPr>
          <w:i/>
          <w:iCs/>
        </w:rPr>
        <w:t>)</w:t>
      </w:r>
      <w:r w:rsidR="00DB7DD5">
        <w:rPr>
          <w:i/>
          <w:iCs/>
        </w:rPr>
        <w:t xml:space="preserve"> [M€/year]</w:t>
      </w:r>
      <w:r w:rsidR="00254202" w:rsidRPr="00254202">
        <w:rPr>
          <w:i/>
          <w:iCs/>
        </w:rPr>
        <w:t xml:space="preserve"> and </w:t>
      </w:r>
      <w:r w:rsidR="00ED54B7">
        <w:rPr>
          <w:i/>
          <w:iCs/>
        </w:rPr>
        <w:t xml:space="preserve">MeOH </w:t>
      </w:r>
      <w:r w:rsidR="00254202" w:rsidRPr="00254202">
        <w:rPr>
          <w:i/>
          <w:iCs/>
        </w:rPr>
        <w:t>production cost [€/GJ of MeOH]</w:t>
      </w:r>
      <w:r w:rsidR="00254202">
        <w:t>.</w:t>
      </w:r>
    </w:p>
    <w:p w14:paraId="5C37F205" w14:textId="5FAA66CC" w:rsidR="0067544F" w:rsidRDefault="0067544F" w:rsidP="0067544F">
      <w:pPr>
        <w:pStyle w:val="CETHeading1"/>
      </w:pPr>
      <w:r>
        <w:lastRenderedPageBreak/>
        <w:t>Conclusions</w:t>
      </w:r>
    </w:p>
    <w:p w14:paraId="27367AD9" w14:textId="29B54CFB" w:rsidR="0067544F" w:rsidRDefault="00574339" w:rsidP="0067544F">
      <w:pPr>
        <w:pStyle w:val="CETBodytext"/>
      </w:pPr>
      <w:r>
        <w:t xml:space="preserve">This study proposed </w:t>
      </w:r>
      <w:r w:rsidR="003F0820">
        <w:t>a</w:t>
      </w:r>
      <w:r>
        <w:t xml:space="preserve"> techno-economic assessment of different design configurations for the conversion of a refinery fuel gas into methanol</w:t>
      </w:r>
      <w:r w:rsidR="00F831CE">
        <w:t xml:space="preserve"> (MeOH)</w:t>
      </w:r>
      <w:r>
        <w:t xml:space="preserve">. </w:t>
      </w:r>
      <w:r w:rsidR="00DC7804">
        <w:t xml:space="preserve">In particular, two conversion pathways were here </w:t>
      </w:r>
      <w:r w:rsidR="003F0820">
        <w:t>investigated</w:t>
      </w:r>
      <w:r w:rsidR="00DC7804">
        <w:t xml:space="preserve">: a </w:t>
      </w:r>
      <w:r w:rsidR="004F6C09">
        <w:t xml:space="preserve">conventional </w:t>
      </w:r>
      <w:r w:rsidR="00DC7804">
        <w:t>e-Fuel (i.e., e-MeOH) plant ba</w:t>
      </w:r>
      <w:r w:rsidR="00115084">
        <w:t>sed on green H</w:t>
      </w:r>
      <w:r w:rsidR="00115084" w:rsidRPr="0053497A">
        <w:rPr>
          <w:vertAlign w:val="subscript"/>
        </w:rPr>
        <w:t>2</w:t>
      </w:r>
      <w:r w:rsidR="00115084">
        <w:t xml:space="preserve"> from </w:t>
      </w:r>
      <w:r w:rsidR="004F6C09">
        <w:t>low-</w:t>
      </w:r>
      <w:r w:rsidR="00115084">
        <w:t>temperature electrolysis and CO</w:t>
      </w:r>
      <w:r w:rsidR="00115084" w:rsidRPr="0053497A">
        <w:rPr>
          <w:vertAlign w:val="subscript"/>
        </w:rPr>
        <w:t>2</w:t>
      </w:r>
      <w:r w:rsidR="00115084">
        <w:t xml:space="preserve"> captured from the flue gas</w:t>
      </w:r>
      <w:r w:rsidR="00357BD1">
        <w:t xml:space="preserve"> stream deriving from the combustion of </w:t>
      </w:r>
      <w:r w:rsidR="004F6C09">
        <w:t xml:space="preserve">the </w:t>
      </w:r>
      <w:r w:rsidR="00357BD1">
        <w:t xml:space="preserve">fuel gas; an alternative er-Fuel (i.e., er-MeOH) process concept, based on the electric reforming of </w:t>
      </w:r>
      <w:r w:rsidR="004F6C09">
        <w:t xml:space="preserve">the </w:t>
      </w:r>
      <w:r w:rsidR="00357BD1">
        <w:t>fuel gas and subsequent synthesis</w:t>
      </w:r>
      <w:r w:rsidR="00E77749">
        <w:t xml:space="preserve"> of the obtained syngas</w:t>
      </w:r>
      <w:r w:rsidR="0053497A">
        <w:t>.</w:t>
      </w:r>
    </w:p>
    <w:p w14:paraId="0B362571" w14:textId="7DCCB4C5" w:rsidR="0052501C" w:rsidRDefault="00E77749" w:rsidP="0067544F">
      <w:pPr>
        <w:pStyle w:val="CETBodytext"/>
      </w:pPr>
      <w:r>
        <w:t>O</w:t>
      </w:r>
      <w:r w:rsidR="00CF7813">
        <w:t>n the one hand</w:t>
      </w:r>
      <w:r>
        <w:t>,</w:t>
      </w:r>
      <w:r w:rsidR="00CF7813">
        <w:t xml:space="preserve"> both plants exhibited a carbon efficiency higher than 90 %</w:t>
      </w:r>
      <w:r w:rsidR="00973B0C">
        <w:t>.</w:t>
      </w:r>
      <w:r w:rsidR="00CF7813">
        <w:t xml:space="preserve"> </w:t>
      </w:r>
      <w:r>
        <w:t xml:space="preserve">On </w:t>
      </w:r>
      <w:r w:rsidR="00CF7813">
        <w:t>the flip side</w:t>
      </w:r>
      <w:r>
        <w:t>,</w:t>
      </w:r>
      <w:r w:rsidR="00CF7813">
        <w:t xml:space="preserve"> t</w:t>
      </w:r>
      <w:r w:rsidR="0052501C">
        <w:t xml:space="preserve">he technical assessment revealed </w:t>
      </w:r>
      <w:r w:rsidR="00500402">
        <w:t>the higher energy efficiency (</w:t>
      </w:r>
      <w:r w:rsidR="006845A3">
        <w:t>+22 %</w:t>
      </w:r>
      <w:r w:rsidR="00500402">
        <w:t>), electric power-to-MeOH efficiency (</w:t>
      </w:r>
      <w:r w:rsidR="00F1636A">
        <w:t>+</w:t>
      </w:r>
      <w:r w:rsidR="006845A3">
        <w:t>35</w:t>
      </w:r>
      <w:r w:rsidR="00F1636A">
        <w:t xml:space="preserve"> %</w:t>
      </w:r>
      <w:r w:rsidR="00500402">
        <w:t xml:space="preserve">), and </w:t>
      </w:r>
      <w:r w:rsidR="00B32D8F">
        <w:t>fuel gas-to-MeOH efficiency (</w:t>
      </w:r>
      <w:r w:rsidR="006845A3">
        <w:t>+8 %</w:t>
      </w:r>
      <w:r w:rsidR="00B32D8F">
        <w:t xml:space="preserve">) of </w:t>
      </w:r>
      <w:r w:rsidR="00B75ABB">
        <w:t xml:space="preserve">the </w:t>
      </w:r>
      <w:r w:rsidR="00B32D8F">
        <w:t xml:space="preserve">er-MeOH plant, compared to </w:t>
      </w:r>
      <w:r w:rsidR="00B75ABB">
        <w:t xml:space="preserve">the </w:t>
      </w:r>
      <w:r w:rsidR="00B32D8F">
        <w:t xml:space="preserve">e-MeOH </w:t>
      </w:r>
      <w:r w:rsidR="00B75ABB">
        <w:t>one</w:t>
      </w:r>
      <w:r w:rsidR="00B32D8F">
        <w:t xml:space="preserve">. </w:t>
      </w:r>
      <w:r w:rsidR="00B75ABB">
        <w:t xml:space="preserve">This outcome was mainly </w:t>
      </w:r>
      <w:r w:rsidR="00794587">
        <w:t>due to</w:t>
      </w:r>
      <w:r w:rsidR="00B75ABB">
        <w:t xml:space="preserve"> the higher electric power consumption of the e-MeOH option</w:t>
      </w:r>
      <w:r w:rsidR="00794587">
        <w:t xml:space="preserve"> </w:t>
      </w:r>
      <w:r w:rsidR="00CB43F0">
        <w:t>with respect to the er-MeOH alternative (</w:t>
      </w:r>
      <w:r w:rsidR="001118AA">
        <w:t>+20 %</w:t>
      </w:r>
      <w:r w:rsidR="00CB43F0">
        <w:t>).</w:t>
      </w:r>
      <w:r w:rsidR="008D1ED5">
        <w:t xml:space="preserve"> </w:t>
      </w:r>
      <w:r w:rsidR="00CE4680">
        <w:t>Furthermore, t</w:t>
      </w:r>
      <w:r w:rsidR="008D1ED5">
        <w:t xml:space="preserve">he economic assessment </w:t>
      </w:r>
      <w:r w:rsidR="00AD249D">
        <w:t xml:space="preserve">highlighted the higher production cost </w:t>
      </w:r>
      <w:r w:rsidR="00B14616">
        <w:t xml:space="preserve">(between +30 % and +40 %) </w:t>
      </w:r>
      <w:r w:rsidR="00AD249D">
        <w:t xml:space="preserve">of the e-MeOH plant (between </w:t>
      </w:r>
      <w:r w:rsidR="009E19C4">
        <w:t>30.</w:t>
      </w:r>
      <w:r w:rsidR="000776F5">
        <w:t>5</w:t>
      </w:r>
      <w:r w:rsidR="009E19C4">
        <w:t xml:space="preserve"> and 60.</w:t>
      </w:r>
      <w:r w:rsidR="000776F5">
        <w:t>0</w:t>
      </w:r>
      <w:r w:rsidR="008A7ACB">
        <w:t xml:space="preserve"> </w:t>
      </w:r>
      <w:r w:rsidR="00CE4680">
        <w:t>€/GJ of MeOH</w:t>
      </w:r>
      <w:r w:rsidR="00AD249D">
        <w:t>)</w:t>
      </w:r>
      <w:r w:rsidR="009E19C4">
        <w:t xml:space="preserve"> with respect to the er-MeOH one (between </w:t>
      </w:r>
      <w:r w:rsidR="008A7ACB">
        <w:t xml:space="preserve">18.6 and </w:t>
      </w:r>
      <w:r w:rsidR="00B91F79">
        <w:t>39.9</w:t>
      </w:r>
      <w:r w:rsidR="008A7ACB">
        <w:t xml:space="preserve"> €/GJ of MeOH)</w:t>
      </w:r>
      <w:r w:rsidR="00D87C4A">
        <w:t>.</w:t>
      </w:r>
    </w:p>
    <w:p w14:paraId="3250BF47" w14:textId="313FE653" w:rsidR="00D87C4A" w:rsidRDefault="00D87C4A" w:rsidP="0067544F">
      <w:pPr>
        <w:pStyle w:val="CETBodytext"/>
        <w:rPr>
          <w:lang w:val="en-GB"/>
        </w:rPr>
      </w:pPr>
      <w:r w:rsidRPr="00295433">
        <w:rPr>
          <w:lang w:val="en-GB"/>
        </w:rPr>
        <w:t xml:space="preserve">All </w:t>
      </w:r>
      <w:r w:rsidR="00963C69">
        <w:rPr>
          <w:lang w:val="en-GB"/>
        </w:rPr>
        <w:t xml:space="preserve">things </w:t>
      </w:r>
      <w:r w:rsidRPr="00295433">
        <w:rPr>
          <w:lang w:val="en-GB"/>
        </w:rPr>
        <w:t xml:space="preserve">considered, the e-Fuel process design </w:t>
      </w:r>
      <w:r w:rsidR="00295433" w:rsidRPr="00295433">
        <w:rPr>
          <w:lang w:val="en-GB"/>
        </w:rPr>
        <w:t>was characterised by a</w:t>
      </w:r>
      <w:r w:rsidR="00295433">
        <w:rPr>
          <w:lang w:val="en-GB"/>
        </w:rPr>
        <w:t xml:space="preserve"> worse techno-economic performance compared to the er-Fuel alternative scheme, and this outcome highlights how the e-Fuel conversion pathway should not be the </w:t>
      </w:r>
      <w:r w:rsidR="00A91934">
        <w:rPr>
          <w:lang w:val="en-GB"/>
        </w:rPr>
        <w:t>preferred one to exploit and utilise the carbon content of a fossil fuel stream.</w:t>
      </w:r>
      <w:r w:rsidR="00822DC1">
        <w:rPr>
          <w:lang w:val="en-GB"/>
        </w:rPr>
        <w:t xml:space="preserve"> </w:t>
      </w:r>
      <w:r w:rsidR="000E53A8">
        <w:rPr>
          <w:lang w:val="en-GB"/>
        </w:rPr>
        <w:t xml:space="preserve">The implementation of co-electrolysis could bring in some benefits in the </w:t>
      </w:r>
      <w:r w:rsidR="00EC6FFA">
        <w:rPr>
          <w:lang w:val="en-GB"/>
        </w:rPr>
        <w:t>e-Fuel configuration, and this could constitute a future development of this study.</w:t>
      </w:r>
    </w:p>
    <w:p w14:paraId="05DBC421" w14:textId="5AFFDB56" w:rsidR="00705CD6" w:rsidRDefault="00705CD6" w:rsidP="0067544F">
      <w:pPr>
        <w:pStyle w:val="CETBodytext"/>
        <w:rPr>
          <w:lang w:val="en-GB"/>
        </w:rPr>
      </w:pPr>
    </w:p>
    <w:p w14:paraId="228B6EE1" w14:textId="0878526D" w:rsidR="00705CD6" w:rsidRPr="00E8482C" w:rsidRDefault="00705CD6" w:rsidP="0067544F">
      <w:pPr>
        <w:pStyle w:val="CETBodytext"/>
        <w:rPr>
          <w:b/>
          <w:bCs/>
          <w:lang w:val="en-GB"/>
        </w:rPr>
      </w:pPr>
      <w:r w:rsidRPr="00E8482C">
        <w:rPr>
          <w:b/>
          <w:bCs/>
          <w:lang w:val="en-GB"/>
        </w:rPr>
        <w:t>References</w:t>
      </w:r>
    </w:p>
    <w:p w14:paraId="0AFEE330" w14:textId="37FA995B" w:rsidR="00705CD6" w:rsidRDefault="00705CD6" w:rsidP="0067544F">
      <w:pPr>
        <w:pStyle w:val="CETBodytext"/>
        <w:rPr>
          <w:lang w:val="en-GB"/>
        </w:rPr>
      </w:pPr>
    </w:p>
    <w:p w14:paraId="00BF624E" w14:textId="652CECE3" w:rsidR="005A6BED" w:rsidRDefault="00FC5E8D" w:rsidP="005A6BED">
      <w:pPr>
        <w:pStyle w:val="CETReferencetext"/>
      </w:pPr>
      <w:r w:rsidRPr="00FC5E8D">
        <w:t>Al-Qahtani A., González-</w:t>
      </w:r>
      <w:proofErr w:type="spellStart"/>
      <w:r w:rsidRPr="00FC5E8D">
        <w:t>Garay</w:t>
      </w:r>
      <w:proofErr w:type="spellEnd"/>
      <w:r w:rsidRPr="00FC5E8D">
        <w:t xml:space="preserve"> A., Bernardi A., </w:t>
      </w:r>
      <w:proofErr w:type="spellStart"/>
      <w:r w:rsidRPr="00FC5E8D">
        <w:t>Galán</w:t>
      </w:r>
      <w:proofErr w:type="spellEnd"/>
      <w:r w:rsidRPr="00FC5E8D">
        <w:t xml:space="preserve">-Martín Á., </w:t>
      </w:r>
      <w:proofErr w:type="spellStart"/>
      <w:r w:rsidRPr="00FC5E8D">
        <w:t>Pozo</w:t>
      </w:r>
      <w:proofErr w:type="spellEnd"/>
      <w:r w:rsidRPr="00FC5E8D">
        <w:t xml:space="preserve"> C., </w:t>
      </w:r>
      <w:r w:rsidR="00F76663">
        <w:t xml:space="preserve">Mac </w:t>
      </w:r>
      <w:r w:rsidRPr="00FC5E8D">
        <w:t xml:space="preserve">Dowell N., </w:t>
      </w:r>
      <w:proofErr w:type="spellStart"/>
      <w:r w:rsidRPr="00FC5E8D">
        <w:t>Chachuat</w:t>
      </w:r>
      <w:proofErr w:type="spellEnd"/>
      <w:r w:rsidRPr="00FC5E8D">
        <w:t xml:space="preserve">, B., </w:t>
      </w:r>
      <w:proofErr w:type="spellStart"/>
      <w:r w:rsidRPr="00FC5E8D">
        <w:t>Guillén-Gosálbez</w:t>
      </w:r>
      <w:proofErr w:type="spellEnd"/>
      <w:r w:rsidRPr="00FC5E8D">
        <w:t>, G., 2020</w:t>
      </w:r>
      <w:r w:rsidR="00F76663">
        <w:t>,</w:t>
      </w:r>
      <w:r w:rsidRPr="00FC5E8D">
        <w:t xml:space="preserve"> Electricity grid decarbonisation or green methanol fuel? A life-cycle modelling and analysis of today′s transportation-power nexus</w:t>
      </w:r>
      <w:r w:rsidR="005740F3">
        <w:t>,</w:t>
      </w:r>
      <w:r w:rsidRPr="00FC5E8D">
        <w:t xml:space="preserve"> Appl. Energy</w:t>
      </w:r>
      <w:r w:rsidR="003F41C2">
        <w:t>,</w:t>
      </w:r>
      <w:r w:rsidRPr="00FC5E8D">
        <w:t xml:space="preserve"> 265, 114718.</w:t>
      </w:r>
    </w:p>
    <w:p w14:paraId="517CC2B7" w14:textId="20B3BB91" w:rsidR="00D34E63" w:rsidRDefault="003F41C2" w:rsidP="005A6BED">
      <w:pPr>
        <w:pStyle w:val="CETReferencetext"/>
      </w:pPr>
      <w:r w:rsidRPr="003F41C2">
        <w:t xml:space="preserve">Blanco H., </w:t>
      </w:r>
      <w:proofErr w:type="spellStart"/>
      <w:r w:rsidRPr="003F41C2">
        <w:t>Nijs</w:t>
      </w:r>
      <w:proofErr w:type="spellEnd"/>
      <w:r w:rsidRPr="003F41C2">
        <w:t xml:space="preserve"> W., </w:t>
      </w:r>
      <w:proofErr w:type="spellStart"/>
      <w:r w:rsidRPr="003F41C2">
        <w:t>Ruf</w:t>
      </w:r>
      <w:proofErr w:type="spellEnd"/>
      <w:r w:rsidRPr="003F41C2">
        <w:t xml:space="preserve"> J., </w:t>
      </w:r>
      <w:proofErr w:type="spellStart"/>
      <w:r w:rsidRPr="003F41C2">
        <w:t>Faaij</w:t>
      </w:r>
      <w:proofErr w:type="spellEnd"/>
      <w:r w:rsidRPr="003F41C2">
        <w:t xml:space="preserve"> A., 2018, Potential for hydrogen and Power-to-Liquid in a low-carbon EU energy system using cost optimization</w:t>
      </w:r>
      <w:r w:rsidR="005740F3">
        <w:t>,</w:t>
      </w:r>
      <w:r w:rsidRPr="003F41C2">
        <w:t xml:space="preserve"> Appl. Energy</w:t>
      </w:r>
      <w:r>
        <w:t>,</w:t>
      </w:r>
      <w:r w:rsidRPr="003F41C2">
        <w:t xml:space="preserve"> 232, 617–639.</w:t>
      </w:r>
    </w:p>
    <w:p w14:paraId="26644615" w14:textId="208A3A94" w:rsidR="003F41C2" w:rsidRDefault="005740F3" w:rsidP="005A6BED">
      <w:pPr>
        <w:pStyle w:val="CETReferencetext"/>
      </w:pPr>
      <w:proofErr w:type="spellStart"/>
      <w:r w:rsidRPr="005740F3">
        <w:t>Chehade</w:t>
      </w:r>
      <w:proofErr w:type="spellEnd"/>
      <w:r w:rsidRPr="005740F3">
        <w:t xml:space="preserve"> Z., </w:t>
      </w:r>
      <w:proofErr w:type="spellStart"/>
      <w:r w:rsidRPr="005740F3">
        <w:t>Mansilla</w:t>
      </w:r>
      <w:proofErr w:type="spellEnd"/>
      <w:r w:rsidRPr="005740F3">
        <w:t xml:space="preserve"> C., Lucchese P., Hilliard S., </w:t>
      </w:r>
      <w:proofErr w:type="spellStart"/>
      <w:r w:rsidRPr="005740F3">
        <w:t>Proost</w:t>
      </w:r>
      <w:proofErr w:type="spellEnd"/>
      <w:r w:rsidRPr="005740F3">
        <w:t xml:space="preserve"> J., 2019</w:t>
      </w:r>
      <w:r>
        <w:t>,</w:t>
      </w:r>
      <w:r w:rsidRPr="005740F3">
        <w:t xml:space="preserve"> Review and analysis of demonstration projects on power-to-X pathways in the world</w:t>
      </w:r>
      <w:r>
        <w:t>,</w:t>
      </w:r>
      <w:r w:rsidRPr="005740F3">
        <w:t xml:space="preserve"> Int. J. Hydrogen Energy</w:t>
      </w:r>
      <w:r>
        <w:t>,</w:t>
      </w:r>
      <w:r w:rsidRPr="005740F3">
        <w:t xml:space="preserve"> 44, 27637–27655.</w:t>
      </w:r>
    </w:p>
    <w:p w14:paraId="71F60466" w14:textId="2967F60D" w:rsidR="00DB4459" w:rsidRDefault="00A8737A" w:rsidP="005A6BED">
      <w:pPr>
        <w:pStyle w:val="CETReferencetext"/>
      </w:pPr>
      <w:r w:rsidRPr="00A8737A">
        <w:t xml:space="preserve">d’Amore F., Romano M.C., </w:t>
      </w:r>
      <w:proofErr w:type="spellStart"/>
      <w:r w:rsidRPr="00A8737A">
        <w:t>Bezzo</w:t>
      </w:r>
      <w:proofErr w:type="spellEnd"/>
      <w:r w:rsidRPr="00A8737A">
        <w:t xml:space="preserve"> F., 2021, Optimal design of European supply chains for carbon capture and storage from industrial emission sources including pipe and ship transport.</w:t>
      </w:r>
      <w:r>
        <w:t>,</w:t>
      </w:r>
      <w:r w:rsidRPr="00A8737A">
        <w:t xml:space="preserve"> Int. J. </w:t>
      </w:r>
      <w:proofErr w:type="spellStart"/>
      <w:r w:rsidRPr="00A8737A">
        <w:t>Greenh</w:t>
      </w:r>
      <w:proofErr w:type="spellEnd"/>
      <w:r w:rsidRPr="00A8737A">
        <w:t>. Gas Control</w:t>
      </w:r>
      <w:r>
        <w:t>,</w:t>
      </w:r>
      <w:r w:rsidRPr="00A8737A">
        <w:t xml:space="preserve"> 109, 103372. </w:t>
      </w:r>
    </w:p>
    <w:p w14:paraId="71C51B4A" w14:textId="4F7C0C2A" w:rsidR="0051402B" w:rsidRDefault="009E64B3" w:rsidP="0051402B">
      <w:pPr>
        <w:pStyle w:val="CETReferencetext"/>
      </w:pPr>
      <w:r w:rsidRPr="009E64B3">
        <w:t xml:space="preserve">Dieterich V., </w:t>
      </w:r>
      <w:proofErr w:type="spellStart"/>
      <w:r w:rsidRPr="009E64B3">
        <w:t>Buttler</w:t>
      </w:r>
      <w:proofErr w:type="spellEnd"/>
      <w:r w:rsidRPr="009E64B3">
        <w:t xml:space="preserve"> A., </w:t>
      </w:r>
      <w:proofErr w:type="spellStart"/>
      <w:r w:rsidRPr="009E64B3">
        <w:t>Hanel</w:t>
      </w:r>
      <w:proofErr w:type="spellEnd"/>
      <w:r w:rsidRPr="009E64B3">
        <w:t xml:space="preserve"> A., </w:t>
      </w:r>
      <w:proofErr w:type="spellStart"/>
      <w:r w:rsidRPr="009E64B3">
        <w:t>Spliethoff</w:t>
      </w:r>
      <w:proofErr w:type="spellEnd"/>
      <w:r w:rsidRPr="009E64B3">
        <w:t xml:space="preserve"> H., Fendt S., 2020</w:t>
      </w:r>
      <w:r>
        <w:t>,</w:t>
      </w:r>
      <w:r w:rsidRPr="009E64B3">
        <w:t xml:space="preserve"> Power-to-liquid via synthesis of methanol, DME or Fischer–</w:t>
      </w:r>
      <w:proofErr w:type="spellStart"/>
      <w:r w:rsidRPr="009E64B3">
        <w:t>Tropsch</w:t>
      </w:r>
      <w:proofErr w:type="spellEnd"/>
      <w:r w:rsidRPr="009E64B3">
        <w:t>-fuels: a review</w:t>
      </w:r>
      <w:r>
        <w:t>,</w:t>
      </w:r>
      <w:r w:rsidRPr="009E64B3">
        <w:t xml:space="preserve"> Energy Environ. Sci.</w:t>
      </w:r>
      <w:r>
        <w:t>,</w:t>
      </w:r>
      <w:r w:rsidRPr="009E64B3">
        <w:t xml:space="preserve"> 13, 3207–3252.</w:t>
      </w:r>
    </w:p>
    <w:p w14:paraId="64EB8BE2" w14:textId="3D10D7EC" w:rsidR="00956E18" w:rsidRDefault="00956E18" w:rsidP="0051402B">
      <w:pPr>
        <w:pStyle w:val="CETReferencetext"/>
      </w:pPr>
      <w:r w:rsidRPr="00956E18">
        <w:t xml:space="preserve">EEA, </w:t>
      </w:r>
      <w:r w:rsidR="00B0180D">
        <w:t xml:space="preserve">2021, </w:t>
      </w:r>
      <w:r w:rsidRPr="00956E18">
        <w:t>Greenhouse gases data viewer</w:t>
      </w:r>
      <w:r w:rsidR="00B0180D">
        <w:t xml:space="preserve"> &lt;</w:t>
      </w:r>
      <w:r w:rsidRPr="00956E18">
        <w:t>https://www.eea.europa.eu/data-and-maps/data/data-viewers/greenhouse-gases-viewer</w:t>
      </w:r>
      <w:r w:rsidR="00B0180D">
        <w:t>&gt;</w:t>
      </w:r>
      <w:r w:rsidRPr="00956E18">
        <w:t xml:space="preserve"> accessed </w:t>
      </w:r>
      <w:r w:rsidR="00B0180D">
        <w:t>13.04.</w:t>
      </w:r>
      <w:r w:rsidRPr="00956E18">
        <w:t>2022.</w:t>
      </w:r>
    </w:p>
    <w:p w14:paraId="428129AC" w14:textId="2DF0E2A4" w:rsidR="005A6BED" w:rsidRDefault="0051402B" w:rsidP="0051402B">
      <w:pPr>
        <w:pStyle w:val="CETReferencetext"/>
      </w:pPr>
      <w:proofErr w:type="spellStart"/>
      <w:r w:rsidRPr="0051402B">
        <w:t>Gabrielli</w:t>
      </w:r>
      <w:proofErr w:type="spellEnd"/>
      <w:r w:rsidRPr="0051402B">
        <w:t xml:space="preserve"> P., </w:t>
      </w:r>
      <w:proofErr w:type="spellStart"/>
      <w:r w:rsidRPr="0051402B">
        <w:t>Gazzani</w:t>
      </w:r>
      <w:proofErr w:type="spellEnd"/>
      <w:r w:rsidRPr="0051402B">
        <w:t xml:space="preserve"> M., </w:t>
      </w:r>
      <w:proofErr w:type="spellStart"/>
      <w:r w:rsidRPr="0051402B">
        <w:t>Mazzotti</w:t>
      </w:r>
      <w:proofErr w:type="spellEnd"/>
      <w:r w:rsidRPr="0051402B">
        <w:t xml:space="preserve"> M., 2020, The Role of Carbon Capture and Utilization, Carbon Capture and Storage, and Biomass to Enable a Net-Zero-CO</w:t>
      </w:r>
      <w:r w:rsidRPr="0051402B">
        <w:rPr>
          <w:vertAlign w:val="subscript"/>
        </w:rPr>
        <w:t>2</w:t>
      </w:r>
      <w:r w:rsidRPr="0051402B">
        <w:t xml:space="preserve"> Emissions Chemical Industry</w:t>
      </w:r>
      <w:r>
        <w:t>,</w:t>
      </w:r>
      <w:r w:rsidRPr="0051402B">
        <w:t xml:space="preserve"> Ind. Eng. Chem. Res.</w:t>
      </w:r>
      <w:r>
        <w:t>,</w:t>
      </w:r>
      <w:r w:rsidRPr="0051402B">
        <w:t xml:space="preserve"> 59, 7033–7045.</w:t>
      </w:r>
    </w:p>
    <w:p w14:paraId="0D33694D" w14:textId="468BCB8B" w:rsidR="004F6400" w:rsidRDefault="004F6400" w:rsidP="0051402B">
      <w:pPr>
        <w:pStyle w:val="CETReferencetext"/>
      </w:pPr>
      <w:r w:rsidRPr="004F6400">
        <w:t xml:space="preserve">Hepburn C., </w:t>
      </w:r>
      <w:proofErr w:type="spellStart"/>
      <w:r w:rsidRPr="004F6400">
        <w:t>Adlen</w:t>
      </w:r>
      <w:proofErr w:type="spellEnd"/>
      <w:r w:rsidRPr="004F6400">
        <w:t xml:space="preserve"> E., Beddington J., Carter E.A., Fuss S., Mac Dowell N., Minx J.C., Smith P., Williams C.K., 2019</w:t>
      </w:r>
      <w:r>
        <w:t>,</w:t>
      </w:r>
      <w:r w:rsidRPr="004F6400">
        <w:t xml:space="preserve"> The technological and economic prospects for CO</w:t>
      </w:r>
      <w:r w:rsidRPr="004F6400">
        <w:rPr>
          <w:vertAlign w:val="subscript"/>
        </w:rPr>
        <w:t>2</w:t>
      </w:r>
      <w:r w:rsidRPr="004F6400">
        <w:t xml:space="preserve"> utilization and removal</w:t>
      </w:r>
      <w:r>
        <w:t>,</w:t>
      </w:r>
      <w:r w:rsidRPr="004F6400">
        <w:t xml:space="preserve"> Nature</w:t>
      </w:r>
      <w:r>
        <w:t>,</w:t>
      </w:r>
      <w:r w:rsidRPr="004F6400">
        <w:t xml:space="preserve"> 575, 87–97.</w:t>
      </w:r>
    </w:p>
    <w:p w14:paraId="7C0C6A69" w14:textId="0BECA979" w:rsidR="00DC1FD1" w:rsidRDefault="00DC1FD1" w:rsidP="00E8482C">
      <w:pPr>
        <w:pStyle w:val="CETReferencetext"/>
      </w:pPr>
      <w:r w:rsidRPr="00DC1FD1">
        <w:t xml:space="preserve">IEAGHG, </w:t>
      </w:r>
      <w:r>
        <w:t xml:space="preserve">2017, </w:t>
      </w:r>
      <w:r w:rsidRPr="00DC1FD1">
        <w:t>Understanding the cost of retrofitting CO</w:t>
      </w:r>
      <w:r w:rsidRPr="00DC1FD1">
        <w:rPr>
          <w:vertAlign w:val="subscript"/>
        </w:rPr>
        <w:t>2</w:t>
      </w:r>
      <w:r w:rsidRPr="00DC1FD1">
        <w:t xml:space="preserve"> capture in an integrated oil ref</w:t>
      </w:r>
      <w:r>
        <w:t>i</w:t>
      </w:r>
      <w:r w:rsidRPr="00DC1FD1">
        <w:t xml:space="preserve">nery, 2017, </w:t>
      </w:r>
      <w:r w:rsidR="00E8482C">
        <w:t>&lt;</w:t>
      </w:r>
      <w:r w:rsidRPr="00DC1FD1">
        <w:t>https://ieaghg.org/publications/technical-reports/reports-list/10-technical-reviews/819-2017-tr8-understanding-the-cost-of-retrofitting-co2-capture-in-an-integrated-oil-refinery</w:t>
      </w:r>
      <w:r w:rsidR="00E8482C">
        <w:t>&gt;</w:t>
      </w:r>
      <w:r w:rsidRPr="00DC1FD1">
        <w:t xml:space="preserve"> accessed</w:t>
      </w:r>
      <w:r w:rsidR="00E8482C">
        <w:t xml:space="preserve"> 13.04.2022</w:t>
      </w:r>
      <w:r w:rsidRPr="00DC1FD1">
        <w:t>.</w:t>
      </w:r>
    </w:p>
    <w:p w14:paraId="112E40BB" w14:textId="36E14B46" w:rsidR="00E8482C" w:rsidRDefault="00A15B52" w:rsidP="00A15B52">
      <w:pPr>
        <w:pStyle w:val="CETReferencetext"/>
        <w:jc w:val="left"/>
      </w:pPr>
      <w:r w:rsidRPr="00A15B52">
        <w:t>IPCC,</w:t>
      </w:r>
      <w:r>
        <w:t xml:space="preserve"> 2018,</w:t>
      </w:r>
      <w:r w:rsidRPr="00A15B52">
        <w:t xml:space="preserve"> Global warming of 1.5</w:t>
      </w:r>
      <w:r>
        <w:t>°</w:t>
      </w:r>
      <w:r w:rsidRPr="00A15B52">
        <w:t xml:space="preserve">C </w:t>
      </w:r>
      <w:r>
        <w:t>&lt;</w:t>
      </w:r>
      <w:r w:rsidRPr="00A15B52">
        <w:t>https://www.ipcc.ch/site/assets/uploads/sites/2/2019/06/SR15_Full_Report_High_Res.pdf</w:t>
      </w:r>
      <w:r>
        <w:t>&gt;</w:t>
      </w:r>
      <w:r w:rsidRPr="00A15B52">
        <w:t xml:space="preserve"> </w:t>
      </w:r>
      <w:r>
        <w:t>accessed 13.04.2022</w:t>
      </w:r>
      <w:r w:rsidRPr="00A15B52">
        <w:t>.</w:t>
      </w:r>
    </w:p>
    <w:p w14:paraId="7C118661" w14:textId="3B446AB3" w:rsidR="00A15B52" w:rsidRDefault="00D64674" w:rsidP="00D64674">
      <w:pPr>
        <w:pStyle w:val="CETReferencetext"/>
      </w:pPr>
      <w:r w:rsidRPr="00D64674">
        <w:t>Mac Dowell N., Fennell P.S., Shah N., Maitland G.C., 2017</w:t>
      </w:r>
      <w:r>
        <w:t>,</w:t>
      </w:r>
      <w:r w:rsidRPr="00D64674">
        <w:t xml:space="preserve"> The role of CO</w:t>
      </w:r>
      <w:r w:rsidRPr="00D64674">
        <w:rPr>
          <w:vertAlign w:val="subscript"/>
        </w:rPr>
        <w:t>2</w:t>
      </w:r>
      <w:r w:rsidRPr="00D64674">
        <w:t xml:space="preserve"> capture and utilization in mitigating climate change</w:t>
      </w:r>
      <w:r>
        <w:t>,</w:t>
      </w:r>
      <w:r w:rsidRPr="00D64674">
        <w:t xml:space="preserve"> Nat. </w:t>
      </w:r>
      <w:proofErr w:type="spellStart"/>
      <w:r w:rsidRPr="00D64674">
        <w:t>Clim</w:t>
      </w:r>
      <w:proofErr w:type="spellEnd"/>
      <w:r w:rsidRPr="00D64674">
        <w:t>. Chang.</w:t>
      </w:r>
      <w:r>
        <w:t>,</w:t>
      </w:r>
      <w:r w:rsidRPr="00D64674">
        <w:t xml:space="preserve"> 7, 243–249.</w:t>
      </w:r>
    </w:p>
    <w:p w14:paraId="4ABE2401" w14:textId="62B1A954" w:rsidR="00D64674" w:rsidRDefault="00DD7FA4" w:rsidP="00D64674">
      <w:pPr>
        <w:pStyle w:val="CETReferencetext"/>
      </w:pPr>
      <w:r w:rsidRPr="00DD7FA4">
        <w:t xml:space="preserve">Spinelli M., Campanari S., Consonni S., Romano M.C., Kreutz T., </w:t>
      </w:r>
      <w:proofErr w:type="spellStart"/>
      <w:r w:rsidRPr="00DD7FA4">
        <w:t>Ghezel-Ayagh</w:t>
      </w:r>
      <w:proofErr w:type="spellEnd"/>
      <w:r w:rsidRPr="00DD7FA4">
        <w:t xml:space="preserve"> H., Jolly S., 2018, Molten Carbonate Fuel Cells for Retrofitting </w:t>
      </w:r>
      <w:proofErr w:type="spellStart"/>
      <w:r w:rsidRPr="00DD7FA4">
        <w:t>Postcombustion</w:t>
      </w:r>
      <w:proofErr w:type="spellEnd"/>
      <w:r w:rsidRPr="00DD7FA4">
        <w:t xml:space="preserve"> CO</w:t>
      </w:r>
      <w:r w:rsidRPr="00DD7FA4">
        <w:rPr>
          <w:vertAlign w:val="subscript"/>
        </w:rPr>
        <w:t>2</w:t>
      </w:r>
      <w:r w:rsidRPr="00DD7FA4">
        <w:t xml:space="preserve"> Capture in Coal and Natural Gas Power Plants</w:t>
      </w:r>
      <w:r>
        <w:t>,</w:t>
      </w:r>
      <w:r w:rsidRPr="00DD7FA4">
        <w:t xml:space="preserve"> J. </w:t>
      </w:r>
      <w:proofErr w:type="spellStart"/>
      <w:r w:rsidRPr="00DD7FA4">
        <w:t>Electrochem</w:t>
      </w:r>
      <w:proofErr w:type="spellEnd"/>
      <w:r w:rsidRPr="00DD7FA4">
        <w:t>. Energy Convers. Storage</w:t>
      </w:r>
      <w:r>
        <w:t>,</w:t>
      </w:r>
      <w:r w:rsidRPr="00DD7FA4">
        <w:t xml:space="preserve"> 15, 1–15. </w:t>
      </w:r>
    </w:p>
    <w:p w14:paraId="54B9DC79" w14:textId="0F6C81F5" w:rsidR="00DD7FA4" w:rsidRDefault="00DF30E7" w:rsidP="00D64674">
      <w:pPr>
        <w:pStyle w:val="CETReferencetext"/>
      </w:pPr>
      <w:proofErr w:type="spellStart"/>
      <w:r w:rsidRPr="00DF30E7">
        <w:t>Ueckerdt</w:t>
      </w:r>
      <w:proofErr w:type="spellEnd"/>
      <w:r w:rsidRPr="00DF30E7">
        <w:t xml:space="preserve"> F., Bauer C., </w:t>
      </w:r>
      <w:proofErr w:type="spellStart"/>
      <w:r w:rsidRPr="00DF30E7">
        <w:t>Dirnaichner</w:t>
      </w:r>
      <w:proofErr w:type="spellEnd"/>
      <w:r w:rsidRPr="00DF30E7">
        <w:t xml:space="preserve"> A., Everall J., </w:t>
      </w:r>
      <w:proofErr w:type="spellStart"/>
      <w:r w:rsidRPr="00DF30E7">
        <w:t>Sacchi</w:t>
      </w:r>
      <w:proofErr w:type="spellEnd"/>
      <w:r w:rsidRPr="00DF30E7">
        <w:t xml:space="preserve"> R., </w:t>
      </w:r>
      <w:proofErr w:type="spellStart"/>
      <w:r w:rsidRPr="00DF30E7">
        <w:t>Luderer</w:t>
      </w:r>
      <w:proofErr w:type="spellEnd"/>
      <w:r w:rsidRPr="00DF30E7">
        <w:t xml:space="preserve"> G., 2021</w:t>
      </w:r>
      <w:r>
        <w:t>,</w:t>
      </w:r>
      <w:r w:rsidRPr="00DF30E7">
        <w:t xml:space="preserve"> Potential and risks of hydrogen-based e-fuels in climate change mitigation</w:t>
      </w:r>
      <w:r>
        <w:t>,</w:t>
      </w:r>
      <w:r w:rsidRPr="00DF30E7">
        <w:t xml:space="preserve"> Nat. </w:t>
      </w:r>
      <w:proofErr w:type="spellStart"/>
      <w:r w:rsidRPr="00DF30E7">
        <w:t>Clim</w:t>
      </w:r>
      <w:proofErr w:type="spellEnd"/>
      <w:r w:rsidRPr="00DF30E7">
        <w:t>. Chang</w:t>
      </w:r>
      <w:r>
        <w:t>,</w:t>
      </w:r>
      <w:r w:rsidRPr="00DF30E7">
        <w:t xml:space="preserve"> 11, 384–393.</w:t>
      </w:r>
    </w:p>
    <w:p w14:paraId="50C25DA8" w14:textId="03576430" w:rsidR="0064772F" w:rsidRDefault="0064772F" w:rsidP="00D64674">
      <w:pPr>
        <w:pStyle w:val="CETReferencetext"/>
      </w:pPr>
      <w:r w:rsidRPr="0064772F">
        <w:t xml:space="preserve">Wulf C., </w:t>
      </w:r>
      <w:proofErr w:type="spellStart"/>
      <w:r w:rsidRPr="0064772F">
        <w:t>Zapp</w:t>
      </w:r>
      <w:proofErr w:type="spellEnd"/>
      <w:r w:rsidRPr="0064772F">
        <w:t xml:space="preserve"> P., Schreiber A., 2020</w:t>
      </w:r>
      <w:r>
        <w:t>,</w:t>
      </w:r>
      <w:r w:rsidRPr="0064772F">
        <w:t xml:space="preserve"> Review of Power-to-X Demonstration Projects in Europe</w:t>
      </w:r>
      <w:r>
        <w:t>,</w:t>
      </w:r>
      <w:r w:rsidRPr="0064772F">
        <w:t xml:space="preserve"> Front. Energy Res.</w:t>
      </w:r>
      <w:r>
        <w:t>,</w:t>
      </w:r>
      <w:r w:rsidRPr="0064772F">
        <w:t xml:space="preserve"> 8, 1–12. </w:t>
      </w:r>
    </w:p>
    <w:p w14:paraId="5C0FE6AC" w14:textId="460736E3" w:rsidR="004A2861" w:rsidRPr="00295433" w:rsidRDefault="004A2861" w:rsidP="00A066BF">
      <w:pPr>
        <w:pStyle w:val="CETHeading1"/>
        <w:numPr>
          <w:ilvl w:val="0"/>
          <w:numId w:val="0"/>
        </w:numPr>
        <w:rPr>
          <w:lang w:val="en-GB"/>
        </w:rPr>
      </w:pPr>
    </w:p>
    <w:sectPr w:rsidR="004A2861" w:rsidRPr="00295433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F48E" w14:textId="77777777" w:rsidR="00F2191A" w:rsidRDefault="00F2191A" w:rsidP="004F5E36">
      <w:r>
        <w:separator/>
      </w:r>
    </w:p>
  </w:endnote>
  <w:endnote w:type="continuationSeparator" w:id="0">
    <w:p w14:paraId="1941A692" w14:textId="77777777" w:rsidR="00F2191A" w:rsidRDefault="00F2191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DD86" w14:textId="77777777" w:rsidR="00F2191A" w:rsidRDefault="00F2191A" w:rsidP="004F5E36">
      <w:r>
        <w:separator/>
      </w:r>
    </w:p>
  </w:footnote>
  <w:footnote w:type="continuationSeparator" w:id="0">
    <w:p w14:paraId="2F263C7C" w14:textId="77777777" w:rsidR="00F2191A" w:rsidRDefault="00F2191A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3F0C"/>
    <w:multiLevelType w:val="hybridMultilevel"/>
    <w:tmpl w:val="ED4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61993">
    <w:abstractNumId w:val="10"/>
  </w:num>
  <w:num w:numId="2" w16cid:durableId="954947367">
    <w:abstractNumId w:val="8"/>
  </w:num>
  <w:num w:numId="3" w16cid:durableId="1943611877">
    <w:abstractNumId w:val="3"/>
  </w:num>
  <w:num w:numId="4" w16cid:durableId="148256878">
    <w:abstractNumId w:val="2"/>
  </w:num>
  <w:num w:numId="5" w16cid:durableId="930430685">
    <w:abstractNumId w:val="1"/>
  </w:num>
  <w:num w:numId="6" w16cid:durableId="1986812959">
    <w:abstractNumId w:val="0"/>
  </w:num>
  <w:num w:numId="7" w16cid:durableId="602996860">
    <w:abstractNumId w:val="9"/>
  </w:num>
  <w:num w:numId="8" w16cid:durableId="716010333">
    <w:abstractNumId w:val="7"/>
  </w:num>
  <w:num w:numId="9" w16cid:durableId="1742365014">
    <w:abstractNumId w:val="6"/>
  </w:num>
  <w:num w:numId="10" w16cid:durableId="110901563">
    <w:abstractNumId w:val="5"/>
  </w:num>
  <w:num w:numId="11" w16cid:durableId="1788889536">
    <w:abstractNumId w:val="4"/>
  </w:num>
  <w:num w:numId="12" w16cid:durableId="1692104586">
    <w:abstractNumId w:val="18"/>
  </w:num>
  <w:num w:numId="13" w16cid:durableId="67193227">
    <w:abstractNumId w:val="12"/>
  </w:num>
  <w:num w:numId="14" w16cid:durableId="540285681">
    <w:abstractNumId w:val="19"/>
  </w:num>
  <w:num w:numId="15" w16cid:durableId="1813328092">
    <w:abstractNumId w:val="21"/>
  </w:num>
  <w:num w:numId="16" w16cid:durableId="1857309688">
    <w:abstractNumId w:val="20"/>
  </w:num>
  <w:num w:numId="17" w16cid:durableId="1205098355">
    <w:abstractNumId w:val="11"/>
  </w:num>
  <w:num w:numId="18" w16cid:durableId="1458374818">
    <w:abstractNumId w:val="12"/>
    <w:lvlOverride w:ilvl="0">
      <w:startOverride w:val="1"/>
    </w:lvlOverride>
  </w:num>
  <w:num w:numId="19" w16cid:durableId="1707680442">
    <w:abstractNumId w:val="17"/>
  </w:num>
  <w:num w:numId="20" w16cid:durableId="189496271">
    <w:abstractNumId w:val="16"/>
  </w:num>
  <w:num w:numId="21" w16cid:durableId="860893945">
    <w:abstractNumId w:val="14"/>
  </w:num>
  <w:num w:numId="22" w16cid:durableId="1427530509">
    <w:abstractNumId w:val="13"/>
  </w:num>
  <w:num w:numId="23" w16cid:durableId="691494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9CF"/>
    <w:rsid w:val="000027C0"/>
    <w:rsid w:val="000052FB"/>
    <w:rsid w:val="00007C69"/>
    <w:rsid w:val="000117CB"/>
    <w:rsid w:val="00012C57"/>
    <w:rsid w:val="00012F52"/>
    <w:rsid w:val="000138DD"/>
    <w:rsid w:val="00014F23"/>
    <w:rsid w:val="0001543F"/>
    <w:rsid w:val="00015EA0"/>
    <w:rsid w:val="00017769"/>
    <w:rsid w:val="00017A21"/>
    <w:rsid w:val="00022C2B"/>
    <w:rsid w:val="000239D2"/>
    <w:rsid w:val="000244FC"/>
    <w:rsid w:val="0002526D"/>
    <w:rsid w:val="0003148D"/>
    <w:rsid w:val="00031EEC"/>
    <w:rsid w:val="0003291A"/>
    <w:rsid w:val="00033653"/>
    <w:rsid w:val="000402A1"/>
    <w:rsid w:val="00045875"/>
    <w:rsid w:val="00045A02"/>
    <w:rsid w:val="00045F4E"/>
    <w:rsid w:val="00051566"/>
    <w:rsid w:val="00055590"/>
    <w:rsid w:val="00057B76"/>
    <w:rsid w:val="000602C2"/>
    <w:rsid w:val="00061CD6"/>
    <w:rsid w:val="00062A9A"/>
    <w:rsid w:val="00065058"/>
    <w:rsid w:val="00066129"/>
    <w:rsid w:val="00067C79"/>
    <w:rsid w:val="00071EF0"/>
    <w:rsid w:val="00076A23"/>
    <w:rsid w:val="000776F5"/>
    <w:rsid w:val="00080357"/>
    <w:rsid w:val="0008035E"/>
    <w:rsid w:val="0008064C"/>
    <w:rsid w:val="00086C39"/>
    <w:rsid w:val="0009374A"/>
    <w:rsid w:val="00097BF3"/>
    <w:rsid w:val="000A03B2"/>
    <w:rsid w:val="000A4B07"/>
    <w:rsid w:val="000A57A7"/>
    <w:rsid w:val="000A741D"/>
    <w:rsid w:val="000B18B3"/>
    <w:rsid w:val="000B272B"/>
    <w:rsid w:val="000C360D"/>
    <w:rsid w:val="000C77FA"/>
    <w:rsid w:val="000D0268"/>
    <w:rsid w:val="000D2DEC"/>
    <w:rsid w:val="000D34BE"/>
    <w:rsid w:val="000D762C"/>
    <w:rsid w:val="000E102F"/>
    <w:rsid w:val="000E36F1"/>
    <w:rsid w:val="000E3A73"/>
    <w:rsid w:val="000E3D15"/>
    <w:rsid w:val="000E414A"/>
    <w:rsid w:val="000E53A8"/>
    <w:rsid w:val="000F093C"/>
    <w:rsid w:val="000F2E29"/>
    <w:rsid w:val="000F787B"/>
    <w:rsid w:val="001002DC"/>
    <w:rsid w:val="001118AA"/>
    <w:rsid w:val="00115084"/>
    <w:rsid w:val="001150EA"/>
    <w:rsid w:val="0012091F"/>
    <w:rsid w:val="00126BC2"/>
    <w:rsid w:val="00126BE1"/>
    <w:rsid w:val="001308B6"/>
    <w:rsid w:val="0013121F"/>
    <w:rsid w:val="00131FE6"/>
    <w:rsid w:val="0013263F"/>
    <w:rsid w:val="001331DF"/>
    <w:rsid w:val="00133658"/>
    <w:rsid w:val="0013455B"/>
    <w:rsid w:val="00134A56"/>
    <w:rsid w:val="00134DE4"/>
    <w:rsid w:val="001365B6"/>
    <w:rsid w:val="0014034D"/>
    <w:rsid w:val="00141537"/>
    <w:rsid w:val="00144D16"/>
    <w:rsid w:val="00145389"/>
    <w:rsid w:val="001457D8"/>
    <w:rsid w:val="00150E59"/>
    <w:rsid w:val="00152DE3"/>
    <w:rsid w:val="0015538C"/>
    <w:rsid w:val="00162413"/>
    <w:rsid w:val="00164CF9"/>
    <w:rsid w:val="001667A6"/>
    <w:rsid w:val="00166E47"/>
    <w:rsid w:val="00180AAB"/>
    <w:rsid w:val="00184AD6"/>
    <w:rsid w:val="001865D2"/>
    <w:rsid w:val="00193BD6"/>
    <w:rsid w:val="00196B2B"/>
    <w:rsid w:val="001A4AF7"/>
    <w:rsid w:val="001B0349"/>
    <w:rsid w:val="001B1E93"/>
    <w:rsid w:val="001B2B97"/>
    <w:rsid w:val="001B65C1"/>
    <w:rsid w:val="001C2353"/>
    <w:rsid w:val="001C4577"/>
    <w:rsid w:val="001C47B4"/>
    <w:rsid w:val="001C62AC"/>
    <w:rsid w:val="001C684B"/>
    <w:rsid w:val="001C6A02"/>
    <w:rsid w:val="001C7AB7"/>
    <w:rsid w:val="001D0CFB"/>
    <w:rsid w:val="001D21AF"/>
    <w:rsid w:val="001D53FC"/>
    <w:rsid w:val="001D7DA8"/>
    <w:rsid w:val="001E15DB"/>
    <w:rsid w:val="001E497E"/>
    <w:rsid w:val="001F42A5"/>
    <w:rsid w:val="001F4AFF"/>
    <w:rsid w:val="001F6C6A"/>
    <w:rsid w:val="001F7B9D"/>
    <w:rsid w:val="00201C93"/>
    <w:rsid w:val="00207D5C"/>
    <w:rsid w:val="002138B7"/>
    <w:rsid w:val="0021595C"/>
    <w:rsid w:val="002207C7"/>
    <w:rsid w:val="002224B4"/>
    <w:rsid w:val="00226A68"/>
    <w:rsid w:val="00235F84"/>
    <w:rsid w:val="002447EF"/>
    <w:rsid w:val="00244BF8"/>
    <w:rsid w:val="002466DF"/>
    <w:rsid w:val="00250247"/>
    <w:rsid w:val="002503C9"/>
    <w:rsid w:val="00251550"/>
    <w:rsid w:val="00251ADC"/>
    <w:rsid w:val="002539DE"/>
    <w:rsid w:val="00254202"/>
    <w:rsid w:val="002568BA"/>
    <w:rsid w:val="00263B05"/>
    <w:rsid w:val="00264611"/>
    <w:rsid w:val="0027221A"/>
    <w:rsid w:val="0027485E"/>
    <w:rsid w:val="00275B61"/>
    <w:rsid w:val="00277A48"/>
    <w:rsid w:val="00280D55"/>
    <w:rsid w:val="00280FAF"/>
    <w:rsid w:val="00282656"/>
    <w:rsid w:val="002826D4"/>
    <w:rsid w:val="00283900"/>
    <w:rsid w:val="00294DF4"/>
    <w:rsid w:val="00295433"/>
    <w:rsid w:val="0029630C"/>
    <w:rsid w:val="00296B83"/>
    <w:rsid w:val="002A5EBE"/>
    <w:rsid w:val="002A6478"/>
    <w:rsid w:val="002B0C7B"/>
    <w:rsid w:val="002B3C99"/>
    <w:rsid w:val="002B4015"/>
    <w:rsid w:val="002B49D9"/>
    <w:rsid w:val="002B64C4"/>
    <w:rsid w:val="002B78CE"/>
    <w:rsid w:val="002C2985"/>
    <w:rsid w:val="002C2FB6"/>
    <w:rsid w:val="002C7DDA"/>
    <w:rsid w:val="002D35C8"/>
    <w:rsid w:val="002D62D9"/>
    <w:rsid w:val="002E1B91"/>
    <w:rsid w:val="002E3E2F"/>
    <w:rsid w:val="002E5FA7"/>
    <w:rsid w:val="002F3309"/>
    <w:rsid w:val="002F7FF6"/>
    <w:rsid w:val="003008CE"/>
    <w:rsid w:val="003009B7"/>
    <w:rsid w:val="00300E56"/>
    <w:rsid w:val="00304618"/>
    <w:rsid w:val="0030469C"/>
    <w:rsid w:val="0030601D"/>
    <w:rsid w:val="00310E9E"/>
    <w:rsid w:val="0031568E"/>
    <w:rsid w:val="00315F86"/>
    <w:rsid w:val="00316C64"/>
    <w:rsid w:val="00321CA6"/>
    <w:rsid w:val="003230F5"/>
    <w:rsid w:val="00323763"/>
    <w:rsid w:val="00334C09"/>
    <w:rsid w:val="00343998"/>
    <w:rsid w:val="003456A8"/>
    <w:rsid w:val="0035110E"/>
    <w:rsid w:val="00351EDC"/>
    <w:rsid w:val="0035286C"/>
    <w:rsid w:val="00354270"/>
    <w:rsid w:val="003561DF"/>
    <w:rsid w:val="00357BD1"/>
    <w:rsid w:val="0036014D"/>
    <w:rsid w:val="00365AB9"/>
    <w:rsid w:val="00371755"/>
    <w:rsid w:val="003723D4"/>
    <w:rsid w:val="00373877"/>
    <w:rsid w:val="00381905"/>
    <w:rsid w:val="003822CC"/>
    <w:rsid w:val="00384CC8"/>
    <w:rsid w:val="0038512A"/>
    <w:rsid w:val="0038550A"/>
    <w:rsid w:val="003871FD"/>
    <w:rsid w:val="00391A85"/>
    <w:rsid w:val="003A184A"/>
    <w:rsid w:val="003A1E30"/>
    <w:rsid w:val="003A2829"/>
    <w:rsid w:val="003A35DE"/>
    <w:rsid w:val="003A3853"/>
    <w:rsid w:val="003A4A58"/>
    <w:rsid w:val="003A572E"/>
    <w:rsid w:val="003A7D1C"/>
    <w:rsid w:val="003B24A6"/>
    <w:rsid w:val="003B304B"/>
    <w:rsid w:val="003B3146"/>
    <w:rsid w:val="003C1317"/>
    <w:rsid w:val="003C1796"/>
    <w:rsid w:val="003C5744"/>
    <w:rsid w:val="003C5AAC"/>
    <w:rsid w:val="003D0297"/>
    <w:rsid w:val="003D37D6"/>
    <w:rsid w:val="003D6F90"/>
    <w:rsid w:val="003D70A9"/>
    <w:rsid w:val="003E0FD8"/>
    <w:rsid w:val="003E3D1C"/>
    <w:rsid w:val="003F015E"/>
    <w:rsid w:val="003F0514"/>
    <w:rsid w:val="003F0820"/>
    <w:rsid w:val="003F0C91"/>
    <w:rsid w:val="003F41C2"/>
    <w:rsid w:val="003F470D"/>
    <w:rsid w:val="003F65A9"/>
    <w:rsid w:val="00400414"/>
    <w:rsid w:val="0041446B"/>
    <w:rsid w:val="0044071E"/>
    <w:rsid w:val="0044329C"/>
    <w:rsid w:val="00446945"/>
    <w:rsid w:val="00450EAC"/>
    <w:rsid w:val="004513A8"/>
    <w:rsid w:val="00451CD3"/>
    <w:rsid w:val="00453E24"/>
    <w:rsid w:val="00457456"/>
    <w:rsid w:val="004577FE"/>
    <w:rsid w:val="00457B9C"/>
    <w:rsid w:val="0046164A"/>
    <w:rsid w:val="00461CC8"/>
    <w:rsid w:val="00462608"/>
    <w:rsid w:val="004628D2"/>
    <w:rsid w:val="00462DCD"/>
    <w:rsid w:val="004648AD"/>
    <w:rsid w:val="004671A4"/>
    <w:rsid w:val="004703A9"/>
    <w:rsid w:val="00472E00"/>
    <w:rsid w:val="00474939"/>
    <w:rsid w:val="004760DE"/>
    <w:rsid w:val="004763D7"/>
    <w:rsid w:val="00480AEA"/>
    <w:rsid w:val="00486CCD"/>
    <w:rsid w:val="004966F2"/>
    <w:rsid w:val="004A004E"/>
    <w:rsid w:val="004A1D3B"/>
    <w:rsid w:val="004A22BD"/>
    <w:rsid w:val="004A24CF"/>
    <w:rsid w:val="004A2861"/>
    <w:rsid w:val="004A39A7"/>
    <w:rsid w:val="004B4368"/>
    <w:rsid w:val="004C3D1D"/>
    <w:rsid w:val="004C3D84"/>
    <w:rsid w:val="004C7913"/>
    <w:rsid w:val="004D4732"/>
    <w:rsid w:val="004E0B44"/>
    <w:rsid w:val="004E0C3C"/>
    <w:rsid w:val="004E4BCB"/>
    <w:rsid w:val="004E4DD6"/>
    <w:rsid w:val="004E50EC"/>
    <w:rsid w:val="004E6AC0"/>
    <w:rsid w:val="004F0F24"/>
    <w:rsid w:val="004F5E36"/>
    <w:rsid w:val="004F6400"/>
    <w:rsid w:val="004F6C09"/>
    <w:rsid w:val="004F7E12"/>
    <w:rsid w:val="00500402"/>
    <w:rsid w:val="00500946"/>
    <w:rsid w:val="00504654"/>
    <w:rsid w:val="00507B47"/>
    <w:rsid w:val="00507BEF"/>
    <w:rsid w:val="00507CC9"/>
    <w:rsid w:val="005119A5"/>
    <w:rsid w:val="00512B73"/>
    <w:rsid w:val="0051402B"/>
    <w:rsid w:val="0051620F"/>
    <w:rsid w:val="005207BC"/>
    <w:rsid w:val="005208DB"/>
    <w:rsid w:val="0052501C"/>
    <w:rsid w:val="00526FA3"/>
    <w:rsid w:val="005278B7"/>
    <w:rsid w:val="00530CCD"/>
    <w:rsid w:val="00532016"/>
    <w:rsid w:val="00532886"/>
    <w:rsid w:val="005346C8"/>
    <w:rsid w:val="0053497A"/>
    <w:rsid w:val="00534EF0"/>
    <w:rsid w:val="00535EAA"/>
    <w:rsid w:val="0054318B"/>
    <w:rsid w:val="00543E7D"/>
    <w:rsid w:val="005468E2"/>
    <w:rsid w:val="00547A68"/>
    <w:rsid w:val="00550086"/>
    <w:rsid w:val="00551A8A"/>
    <w:rsid w:val="00552FC7"/>
    <w:rsid w:val="005531C9"/>
    <w:rsid w:val="00554E06"/>
    <w:rsid w:val="0056477B"/>
    <w:rsid w:val="00567420"/>
    <w:rsid w:val="00570C43"/>
    <w:rsid w:val="005740F3"/>
    <w:rsid w:val="00574339"/>
    <w:rsid w:val="0057487A"/>
    <w:rsid w:val="005749F2"/>
    <w:rsid w:val="00583FF8"/>
    <w:rsid w:val="00585D85"/>
    <w:rsid w:val="00594E58"/>
    <w:rsid w:val="00595C12"/>
    <w:rsid w:val="005A1AF8"/>
    <w:rsid w:val="005A1B32"/>
    <w:rsid w:val="005A2B5C"/>
    <w:rsid w:val="005A6BED"/>
    <w:rsid w:val="005B2110"/>
    <w:rsid w:val="005B61E6"/>
    <w:rsid w:val="005C0D06"/>
    <w:rsid w:val="005C23BD"/>
    <w:rsid w:val="005C6BBE"/>
    <w:rsid w:val="005C77E1"/>
    <w:rsid w:val="005D1DC3"/>
    <w:rsid w:val="005D448E"/>
    <w:rsid w:val="005D668A"/>
    <w:rsid w:val="005D6A2F"/>
    <w:rsid w:val="005E1A82"/>
    <w:rsid w:val="005E794C"/>
    <w:rsid w:val="005F0A28"/>
    <w:rsid w:val="005F0E5E"/>
    <w:rsid w:val="005F299E"/>
    <w:rsid w:val="00600535"/>
    <w:rsid w:val="00600ECB"/>
    <w:rsid w:val="0060200F"/>
    <w:rsid w:val="006021DA"/>
    <w:rsid w:val="006034D5"/>
    <w:rsid w:val="006073F3"/>
    <w:rsid w:val="00610CD6"/>
    <w:rsid w:val="00611151"/>
    <w:rsid w:val="0061480B"/>
    <w:rsid w:val="00615A6A"/>
    <w:rsid w:val="006170FD"/>
    <w:rsid w:val="00620DEE"/>
    <w:rsid w:val="00621F92"/>
    <w:rsid w:val="0062280A"/>
    <w:rsid w:val="00624017"/>
    <w:rsid w:val="00624EFF"/>
    <w:rsid w:val="00625639"/>
    <w:rsid w:val="00625AF5"/>
    <w:rsid w:val="006306D1"/>
    <w:rsid w:val="00631193"/>
    <w:rsid w:val="00631B33"/>
    <w:rsid w:val="0064104C"/>
    <w:rsid w:val="006414F2"/>
    <w:rsid w:val="0064184D"/>
    <w:rsid w:val="00641B7B"/>
    <w:rsid w:val="006422CC"/>
    <w:rsid w:val="0064772F"/>
    <w:rsid w:val="00655951"/>
    <w:rsid w:val="00660E3E"/>
    <w:rsid w:val="00662E74"/>
    <w:rsid w:val="006720ED"/>
    <w:rsid w:val="00672695"/>
    <w:rsid w:val="0067544F"/>
    <w:rsid w:val="00680C23"/>
    <w:rsid w:val="006818C4"/>
    <w:rsid w:val="006845A3"/>
    <w:rsid w:val="0069231A"/>
    <w:rsid w:val="00692F0E"/>
    <w:rsid w:val="0069302B"/>
    <w:rsid w:val="00693766"/>
    <w:rsid w:val="00693781"/>
    <w:rsid w:val="006A1CE6"/>
    <w:rsid w:val="006A3281"/>
    <w:rsid w:val="006B2566"/>
    <w:rsid w:val="006B4888"/>
    <w:rsid w:val="006C2E45"/>
    <w:rsid w:val="006C359C"/>
    <w:rsid w:val="006C5579"/>
    <w:rsid w:val="006C5C65"/>
    <w:rsid w:val="006C7F21"/>
    <w:rsid w:val="006D340E"/>
    <w:rsid w:val="006D6E8B"/>
    <w:rsid w:val="006D7E56"/>
    <w:rsid w:val="006E3320"/>
    <w:rsid w:val="006E737D"/>
    <w:rsid w:val="006F72A0"/>
    <w:rsid w:val="006F749F"/>
    <w:rsid w:val="006F7E7A"/>
    <w:rsid w:val="00705CD6"/>
    <w:rsid w:val="007070A2"/>
    <w:rsid w:val="00713973"/>
    <w:rsid w:val="00720A24"/>
    <w:rsid w:val="00723B88"/>
    <w:rsid w:val="00732386"/>
    <w:rsid w:val="00734E6C"/>
    <w:rsid w:val="0073514D"/>
    <w:rsid w:val="007447F3"/>
    <w:rsid w:val="00750E70"/>
    <w:rsid w:val="0075467B"/>
    <w:rsid w:val="0075499F"/>
    <w:rsid w:val="0075698E"/>
    <w:rsid w:val="007625AD"/>
    <w:rsid w:val="007627F8"/>
    <w:rsid w:val="00762EFC"/>
    <w:rsid w:val="007661C8"/>
    <w:rsid w:val="0077098D"/>
    <w:rsid w:val="007738F8"/>
    <w:rsid w:val="00774533"/>
    <w:rsid w:val="007776D6"/>
    <w:rsid w:val="007868D9"/>
    <w:rsid w:val="00787159"/>
    <w:rsid w:val="00787C85"/>
    <w:rsid w:val="00787D87"/>
    <w:rsid w:val="00790536"/>
    <w:rsid w:val="007931FA"/>
    <w:rsid w:val="007944DF"/>
    <w:rsid w:val="00794587"/>
    <w:rsid w:val="007A353B"/>
    <w:rsid w:val="007A438B"/>
    <w:rsid w:val="007A4861"/>
    <w:rsid w:val="007A7BBA"/>
    <w:rsid w:val="007B0C50"/>
    <w:rsid w:val="007B1AB5"/>
    <w:rsid w:val="007B1F39"/>
    <w:rsid w:val="007B2972"/>
    <w:rsid w:val="007B3011"/>
    <w:rsid w:val="007B30D2"/>
    <w:rsid w:val="007B48F9"/>
    <w:rsid w:val="007B658A"/>
    <w:rsid w:val="007C1A43"/>
    <w:rsid w:val="007D6B2D"/>
    <w:rsid w:val="007E25FD"/>
    <w:rsid w:val="007F0FEC"/>
    <w:rsid w:val="007F1C18"/>
    <w:rsid w:val="007F51BF"/>
    <w:rsid w:val="007F634A"/>
    <w:rsid w:val="007F73C9"/>
    <w:rsid w:val="0080013E"/>
    <w:rsid w:val="008038FE"/>
    <w:rsid w:val="00805C31"/>
    <w:rsid w:val="00806B42"/>
    <w:rsid w:val="00813288"/>
    <w:rsid w:val="00816491"/>
    <w:rsid w:val="008168FC"/>
    <w:rsid w:val="00820EDF"/>
    <w:rsid w:val="008219BB"/>
    <w:rsid w:val="00821CA5"/>
    <w:rsid w:val="0082209D"/>
    <w:rsid w:val="00822DC1"/>
    <w:rsid w:val="00822EE4"/>
    <w:rsid w:val="008267EB"/>
    <w:rsid w:val="00830996"/>
    <w:rsid w:val="00830AF6"/>
    <w:rsid w:val="0083111A"/>
    <w:rsid w:val="008345F1"/>
    <w:rsid w:val="00835B5E"/>
    <w:rsid w:val="00835C99"/>
    <w:rsid w:val="008378C9"/>
    <w:rsid w:val="00837A32"/>
    <w:rsid w:val="00845990"/>
    <w:rsid w:val="00845E12"/>
    <w:rsid w:val="0085226A"/>
    <w:rsid w:val="00864C73"/>
    <w:rsid w:val="00865B07"/>
    <w:rsid w:val="008667EA"/>
    <w:rsid w:val="00870593"/>
    <w:rsid w:val="0087301D"/>
    <w:rsid w:val="0087637F"/>
    <w:rsid w:val="00876C88"/>
    <w:rsid w:val="0087773C"/>
    <w:rsid w:val="00880BEF"/>
    <w:rsid w:val="00882D61"/>
    <w:rsid w:val="00892AD5"/>
    <w:rsid w:val="00892E37"/>
    <w:rsid w:val="0089346A"/>
    <w:rsid w:val="00894111"/>
    <w:rsid w:val="008A1512"/>
    <w:rsid w:val="008A247A"/>
    <w:rsid w:val="008A7ACB"/>
    <w:rsid w:val="008B1FDA"/>
    <w:rsid w:val="008B527E"/>
    <w:rsid w:val="008B5FDA"/>
    <w:rsid w:val="008C405B"/>
    <w:rsid w:val="008D0627"/>
    <w:rsid w:val="008D1ED5"/>
    <w:rsid w:val="008D32B9"/>
    <w:rsid w:val="008D433B"/>
    <w:rsid w:val="008D4A16"/>
    <w:rsid w:val="008D4C02"/>
    <w:rsid w:val="008D564E"/>
    <w:rsid w:val="008D5AAE"/>
    <w:rsid w:val="008E566E"/>
    <w:rsid w:val="008F58D2"/>
    <w:rsid w:val="008F7037"/>
    <w:rsid w:val="008F76AE"/>
    <w:rsid w:val="0090161A"/>
    <w:rsid w:val="00901EB6"/>
    <w:rsid w:val="00903F49"/>
    <w:rsid w:val="00904C62"/>
    <w:rsid w:val="00906758"/>
    <w:rsid w:val="00906DAB"/>
    <w:rsid w:val="0090718D"/>
    <w:rsid w:val="00907F9D"/>
    <w:rsid w:val="0092040B"/>
    <w:rsid w:val="00922BA8"/>
    <w:rsid w:val="0092396B"/>
    <w:rsid w:val="00924DAC"/>
    <w:rsid w:val="00925D94"/>
    <w:rsid w:val="00926808"/>
    <w:rsid w:val="0092701A"/>
    <w:rsid w:val="00927058"/>
    <w:rsid w:val="009377A2"/>
    <w:rsid w:val="00937CA1"/>
    <w:rsid w:val="00942750"/>
    <w:rsid w:val="009429B2"/>
    <w:rsid w:val="009450CE"/>
    <w:rsid w:val="00947179"/>
    <w:rsid w:val="00950076"/>
    <w:rsid w:val="009515B4"/>
    <w:rsid w:val="0095164B"/>
    <w:rsid w:val="0095200C"/>
    <w:rsid w:val="00954090"/>
    <w:rsid w:val="00956677"/>
    <w:rsid w:val="009568D9"/>
    <w:rsid w:val="00956E18"/>
    <w:rsid w:val="009573E7"/>
    <w:rsid w:val="00961068"/>
    <w:rsid w:val="00963C69"/>
    <w:rsid w:val="00963E05"/>
    <w:rsid w:val="00964A45"/>
    <w:rsid w:val="0096609A"/>
    <w:rsid w:val="00967843"/>
    <w:rsid w:val="00967D54"/>
    <w:rsid w:val="00971028"/>
    <w:rsid w:val="00971C56"/>
    <w:rsid w:val="00973B0C"/>
    <w:rsid w:val="00993B84"/>
    <w:rsid w:val="0099460F"/>
    <w:rsid w:val="00996483"/>
    <w:rsid w:val="00996F5A"/>
    <w:rsid w:val="009A4AE7"/>
    <w:rsid w:val="009B041A"/>
    <w:rsid w:val="009C37C3"/>
    <w:rsid w:val="009C4377"/>
    <w:rsid w:val="009C6F89"/>
    <w:rsid w:val="009C7C86"/>
    <w:rsid w:val="009D11D4"/>
    <w:rsid w:val="009D2FF7"/>
    <w:rsid w:val="009D6298"/>
    <w:rsid w:val="009E06EC"/>
    <w:rsid w:val="009E19C4"/>
    <w:rsid w:val="009E20B4"/>
    <w:rsid w:val="009E2265"/>
    <w:rsid w:val="009E64B3"/>
    <w:rsid w:val="009E64E7"/>
    <w:rsid w:val="009E68C5"/>
    <w:rsid w:val="009E7884"/>
    <w:rsid w:val="009E788A"/>
    <w:rsid w:val="009F0E08"/>
    <w:rsid w:val="009F3342"/>
    <w:rsid w:val="00A0171F"/>
    <w:rsid w:val="00A066BF"/>
    <w:rsid w:val="00A06C36"/>
    <w:rsid w:val="00A100B7"/>
    <w:rsid w:val="00A15B52"/>
    <w:rsid w:val="00A1763D"/>
    <w:rsid w:val="00A17CEC"/>
    <w:rsid w:val="00A22523"/>
    <w:rsid w:val="00A23455"/>
    <w:rsid w:val="00A27EF0"/>
    <w:rsid w:val="00A33E4C"/>
    <w:rsid w:val="00A42361"/>
    <w:rsid w:val="00A429A9"/>
    <w:rsid w:val="00A4585F"/>
    <w:rsid w:val="00A45BB1"/>
    <w:rsid w:val="00A45D36"/>
    <w:rsid w:val="00A50B20"/>
    <w:rsid w:val="00A51390"/>
    <w:rsid w:val="00A53440"/>
    <w:rsid w:val="00A540E1"/>
    <w:rsid w:val="00A5442E"/>
    <w:rsid w:val="00A60D13"/>
    <w:rsid w:val="00A70E77"/>
    <w:rsid w:val="00A7130D"/>
    <w:rsid w:val="00A71BCF"/>
    <w:rsid w:val="00A72745"/>
    <w:rsid w:val="00A74A34"/>
    <w:rsid w:val="00A76EFC"/>
    <w:rsid w:val="00A82CEB"/>
    <w:rsid w:val="00A8737A"/>
    <w:rsid w:val="00A908C5"/>
    <w:rsid w:val="00A91010"/>
    <w:rsid w:val="00A91934"/>
    <w:rsid w:val="00A9207D"/>
    <w:rsid w:val="00A93D43"/>
    <w:rsid w:val="00A967EB"/>
    <w:rsid w:val="00A97370"/>
    <w:rsid w:val="00A97F29"/>
    <w:rsid w:val="00AA278B"/>
    <w:rsid w:val="00AA3B01"/>
    <w:rsid w:val="00AA702E"/>
    <w:rsid w:val="00AB0964"/>
    <w:rsid w:val="00AB5011"/>
    <w:rsid w:val="00AC01AB"/>
    <w:rsid w:val="00AC288F"/>
    <w:rsid w:val="00AC3267"/>
    <w:rsid w:val="00AC42CF"/>
    <w:rsid w:val="00AC52FA"/>
    <w:rsid w:val="00AC7319"/>
    <w:rsid w:val="00AC7368"/>
    <w:rsid w:val="00AD16B9"/>
    <w:rsid w:val="00AD249D"/>
    <w:rsid w:val="00AE377D"/>
    <w:rsid w:val="00AF0EBA"/>
    <w:rsid w:val="00AF4281"/>
    <w:rsid w:val="00B0180D"/>
    <w:rsid w:val="00B02C8A"/>
    <w:rsid w:val="00B03A30"/>
    <w:rsid w:val="00B048F0"/>
    <w:rsid w:val="00B05AEB"/>
    <w:rsid w:val="00B05C4F"/>
    <w:rsid w:val="00B14616"/>
    <w:rsid w:val="00B15F4C"/>
    <w:rsid w:val="00B17FBD"/>
    <w:rsid w:val="00B20373"/>
    <w:rsid w:val="00B26BCD"/>
    <w:rsid w:val="00B26F92"/>
    <w:rsid w:val="00B315A6"/>
    <w:rsid w:val="00B317C8"/>
    <w:rsid w:val="00B31813"/>
    <w:rsid w:val="00B3238D"/>
    <w:rsid w:val="00B32D8F"/>
    <w:rsid w:val="00B33365"/>
    <w:rsid w:val="00B34B7B"/>
    <w:rsid w:val="00B3546E"/>
    <w:rsid w:val="00B400C5"/>
    <w:rsid w:val="00B502D3"/>
    <w:rsid w:val="00B5665C"/>
    <w:rsid w:val="00B57B36"/>
    <w:rsid w:val="00B57E6F"/>
    <w:rsid w:val="00B670B1"/>
    <w:rsid w:val="00B72DBD"/>
    <w:rsid w:val="00B73669"/>
    <w:rsid w:val="00B744FC"/>
    <w:rsid w:val="00B759ED"/>
    <w:rsid w:val="00B75ABB"/>
    <w:rsid w:val="00B8346D"/>
    <w:rsid w:val="00B851B7"/>
    <w:rsid w:val="00B8686D"/>
    <w:rsid w:val="00B91F79"/>
    <w:rsid w:val="00B93F69"/>
    <w:rsid w:val="00B94BE5"/>
    <w:rsid w:val="00B96122"/>
    <w:rsid w:val="00B976EB"/>
    <w:rsid w:val="00BA4F2A"/>
    <w:rsid w:val="00BA7EF4"/>
    <w:rsid w:val="00BB1405"/>
    <w:rsid w:val="00BB1DDC"/>
    <w:rsid w:val="00BB4EE4"/>
    <w:rsid w:val="00BC13E3"/>
    <w:rsid w:val="00BC30C9"/>
    <w:rsid w:val="00BC74E3"/>
    <w:rsid w:val="00BD077D"/>
    <w:rsid w:val="00BD11DE"/>
    <w:rsid w:val="00BD4A2D"/>
    <w:rsid w:val="00BD52FB"/>
    <w:rsid w:val="00BE23DC"/>
    <w:rsid w:val="00BE3E58"/>
    <w:rsid w:val="00BE5517"/>
    <w:rsid w:val="00BE69FA"/>
    <w:rsid w:val="00BF2779"/>
    <w:rsid w:val="00BF395E"/>
    <w:rsid w:val="00C00439"/>
    <w:rsid w:val="00C01616"/>
    <w:rsid w:val="00C0162B"/>
    <w:rsid w:val="00C01660"/>
    <w:rsid w:val="00C023E4"/>
    <w:rsid w:val="00C068ED"/>
    <w:rsid w:val="00C13E4E"/>
    <w:rsid w:val="00C14481"/>
    <w:rsid w:val="00C16BB9"/>
    <w:rsid w:val="00C22E0C"/>
    <w:rsid w:val="00C2587B"/>
    <w:rsid w:val="00C30B25"/>
    <w:rsid w:val="00C345B1"/>
    <w:rsid w:val="00C37A68"/>
    <w:rsid w:val="00C40142"/>
    <w:rsid w:val="00C4105D"/>
    <w:rsid w:val="00C41CB6"/>
    <w:rsid w:val="00C41D04"/>
    <w:rsid w:val="00C42CB2"/>
    <w:rsid w:val="00C47D8E"/>
    <w:rsid w:val="00C52C3C"/>
    <w:rsid w:val="00C57182"/>
    <w:rsid w:val="00C57863"/>
    <w:rsid w:val="00C61FFE"/>
    <w:rsid w:val="00C63E96"/>
    <w:rsid w:val="00C640AF"/>
    <w:rsid w:val="00C655FD"/>
    <w:rsid w:val="00C70D5A"/>
    <w:rsid w:val="00C75407"/>
    <w:rsid w:val="00C7542D"/>
    <w:rsid w:val="00C82E9A"/>
    <w:rsid w:val="00C84CB6"/>
    <w:rsid w:val="00C870A8"/>
    <w:rsid w:val="00C918ED"/>
    <w:rsid w:val="00C94434"/>
    <w:rsid w:val="00CA0D75"/>
    <w:rsid w:val="00CA1393"/>
    <w:rsid w:val="00CA1C95"/>
    <w:rsid w:val="00CA25FF"/>
    <w:rsid w:val="00CA2BDE"/>
    <w:rsid w:val="00CA5A9C"/>
    <w:rsid w:val="00CA6DE6"/>
    <w:rsid w:val="00CB1DD2"/>
    <w:rsid w:val="00CB2DD1"/>
    <w:rsid w:val="00CB43F0"/>
    <w:rsid w:val="00CC17D8"/>
    <w:rsid w:val="00CC4C20"/>
    <w:rsid w:val="00CD008D"/>
    <w:rsid w:val="00CD3517"/>
    <w:rsid w:val="00CD5FE2"/>
    <w:rsid w:val="00CD6972"/>
    <w:rsid w:val="00CE4680"/>
    <w:rsid w:val="00CE658B"/>
    <w:rsid w:val="00CE7C68"/>
    <w:rsid w:val="00CF7127"/>
    <w:rsid w:val="00CF7813"/>
    <w:rsid w:val="00D02B4C"/>
    <w:rsid w:val="00D03E0D"/>
    <w:rsid w:val="00D040C4"/>
    <w:rsid w:val="00D059CF"/>
    <w:rsid w:val="00D065DD"/>
    <w:rsid w:val="00D10581"/>
    <w:rsid w:val="00D20AD1"/>
    <w:rsid w:val="00D20D8A"/>
    <w:rsid w:val="00D22241"/>
    <w:rsid w:val="00D22F92"/>
    <w:rsid w:val="00D3219E"/>
    <w:rsid w:val="00D34705"/>
    <w:rsid w:val="00D34E63"/>
    <w:rsid w:val="00D363CF"/>
    <w:rsid w:val="00D46B7E"/>
    <w:rsid w:val="00D5185E"/>
    <w:rsid w:val="00D57C84"/>
    <w:rsid w:val="00D6057D"/>
    <w:rsid w:val="00D64674"/>
    <w:rsid w:val="00D656AB"/>
    <w:rsid w:val="00D71640"/>
    <w:rsid w:val="00D7197E"/>
    <w:rsid w:val="00D80A63"/>
    <w:rsid w:val="00D836C5"/>
    <w:rsid w:val="00D83A5E"/>
    <w:rsid w:val="00D84576"/>
    <w:rsid w:val="00D85E9E"/>
    <w:rsid w:val="00D87C4A"/>
    <w:rsid w:val="00D92660"/>
    <w:rsid w:val="00DA1399"/>
    <w:rsid w:val="00DA24C6"/>
    <w:rsid w:val="00DA3925"/>
    <w:rsid w:val="00DA4D7B"/>
    <w:rsid w:val="00DA55E4"/>
    <w:rsid w:val="00DA6ABA"/>
    <w:rsid w:val="00DB27D6"/>
    <w:rsid w:val="00DB4459"/>
    <w:rsid w:val="00DB7DD5"/>
    <w:rsid w:val="00DC1FD1"/>
    <w:rsid w:val="00DC27AC"/>
    <w:rsid w:val="00DC7804"/>
    <w:rsid w:val="00DD3491"/>
    <w:rsid w:val="00DD3882"/>
    <w:rsid w:val="00DD687A"/>
    <w:rsid w:val="00DD7FA4"/>
    <w:rsid w:val="00DE264A"/>
    <w:rsid w:val="00DF30E7"/>
    <w:rsid w:val="00DF5072"/>
    <w:rsid w:val="00DF5939"/>
    <w:rsid w:val="00E02D18"/>
    <w:rsid w:val="00E041E7"/>
    <w:rsid w:val="00E059E1"/>
    <w:rsid w:val="00E13E10"/>
    <w:rsid w:val="00E15A6D"/>
    <w:rsid w:val="00E23CA1"/>
    <w:rsid w:val="00E25FC4"/>
    <w:rsid w:val="00E300B3"/>
    <w:rsid w:val="00E31757"/>
    <w:rsid w:val="00E34516"/>
    <w:rsid w:val="00E34DFB"/>
    <w:rsid w:val="00E364E7"/>
    <w:rsid w:val="00E409A8"/>
    <w:rsid w:val="00E40AE4"/>
    <w:rsid w:val="00E50C12"/>
    <w:rsid w:val="00E51F98"/>
    <w:rsid w:val="00E65B57"/>
    <w:rsid w:val="00E65B91"/>
    <w:rsid w:val="00E66BCF"/>
    <w:rsid w:val="00E67696"/>
    <w:rsid w:val="00E70C3A"/>
    <w:rsid w:val="00E7209D"/>
    <w:rsid w:val="00E72EAD"/>
    <w:rsid w:val="00E738A1"/>
    <w:rsid w:val="00E745EF"/>
    <w:rsid w:val="00E747D2"/>
    <w:rsid w:val="00E75C4B"/>
    <w:rsid w:val="00E77223"/>
    <w:rsid w:val="00E77749"/>
    <w:rsid w:val="00E82925"/>
    <w:rsid w:val="00E8482C"/>
    <w:rsid w:val="00E8528B"/>
    <w:rsid w:val="00E85B94"/>
    <w:rsid w:val="00E978D0"/>
    <w:rsid w:val="00EA4613"/>
    <w:rsid w:val="00EA5EE5"/>
    <w:rsid w:val="00EA7F91"/>
    <w:rsid w:val="00EB1523"/>
    <w:rsid w:val="00EC0E49"/>
    <w:rsid w:val="00EC101F"/>
    <w:rsid w:val="00EC1D9F"/>
    <w:rsid w:val="00EC398B"/>
    <w:rsid w:val="00EC6FFA"/>
    <w:rsid w:val="00ED54B7"/>
    <w:rsid w:val="00EE0131"/>
    <w:rsid w:val="00EE17B0"/>
    <w:rsid w:val="00EF048A"/>
    <w:rsid w:val="00EF06D9"/>
    <w:rsid w:val="00EF3E32"/>
    <w:rsid w:val="00EF5219"/>
    <w:rsid w:val="00F047DB"/>
    <w:rsid w:val="00F06428"/>
    <w:rsid w:val="00F06627"/>
    <w:rsid w:val="00F0668D"/>
    <w:rsid w:val="00F12B7F"/>
    <w:rsid w:val="00F1636A"/>
    <w:rsid w:val="00F1640B"/>
    <w:rsid w:val="00F16E27"/>
    <w:rsid w:val="00F20393"/>
    <w:rsid w:val="00F2191A"/>
    <w:rsid w:val="00F30C64"/>
    <w:rsid w:val="00F31A3E"/>
    <w:rsid w:val="00F32BA2"/>
    <w:rsid w:val="00F32CDB"/>
    <w:rsid w:val="00F346DA"/>
    <w:rsid w:val="00F356CE"/>
    <w:rsid w:val="00F428D2"/>
    <w:rsid w:val="00F45EA5"/>
    <w:rsid w:val="00F45F03"/>
    <w:rsid w:val="00F4716C"/>
    <w:rsid w:val="00F51FDD"/>
    <w:rsid w:val="00F565FE"/>
    <w:rsid w:val="00F60586"/>
    <w:rsid w:val="00F630E0"/>
    <w:rsid w:val="00F63A70"/>
    <w:rsid w:val="00F642D2"/>
    <w:rsid w:val="00F660A6"/>
    <w:rsid w:val="00F675C8"/>
    <w:rsid w:val="00F70233"/>
    <w:rsid w:val="00F70783"/>
    <w:rsid w:val="00F7534E"/>
    <w:rsid w:val="00F754B9"/>
    <w:rsid w:val="00F76663"/>
    <w:rsid w:val="00F831CE"/>
    <w:rsid w:val="00F92B12"/>
    <w:rsid w:val="00FA1802"/>
    <w:rsid w:val="00FA21D0"/>
    <w:rsid w:val="00FA5F5F"/>
    <w:rsid w:val="00FA6FE2"/>
    <w:rsid w:val="00FB718C"/>
    <w:rsid w:val="00FB730C"/>
    <w:rsid w:val="00FC2695"/>
    <w:rsid w:val="00FC3753"/>
    <w:rsid w:val="00FC3E03"/>
    <w:rsid w:val="00FC3FC1"/>
    <w:rsid w:val="00FC41B7"/>
    <w:rsid w:val="00FC5E8D"/>
    <w:rsid w:val="00FD3E82"/>
    <w:rsid w:val="00FE1971"/>
    <w:rsid w:val="00FE5B4E"/>
    <w:rsid w:val="00FF6FC2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05AEB"/>
    <w:rPr>
      <w:color w:val="808080"/>
    </w:rPr>
  </w:style>
  <w:style w:type="paragraph" w:styleId="Revisione">
    <w:name w:val="Revision"/>
    <w:hidden/>
    <w:uiPriority w:val="99"/>
    <w:semiHidden/>
    <w:rsid w:val="0064104C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3110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Federico D'Amore</cp:lastModifiedBy>
  <cp:revision>2</cp:revision>
  <cp:lastPrinted>2022-04-13T14:12:00Z</cp:lastPrinted>
  <dcterms:created xsi:type="dcterms:W3CDTF">2022-07-20T09:13:00Z</dcterms:created>
  <dcterms:modified xsi:type="dcterms:W3CDTF">2022-07-20T09:13:00Z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