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69CE92A" w:rsidR="000A03B2" w:rsidRPr="00B57B36" w:rsidRDefault="00A76EFC" w:rsidP="004C3D1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9C5280" w:rsidRPr="009C5280">
              <w:rPr>
                <w:rFonts w:cs="Arial"/>
                <w:b/>
                <w:bCs/>
                <w:i/>
                <w:iCs/>
                <w:color w:val="000066"/>
                <w:sz w:val="22"/>
                <w:szCs w:val="22"/>
                <w:lang w:eastAsia="it-IT"/>
              </w:rPr>
              <w:t>96, 2022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35204533" w:rsidR="000A03B2" w:rsidRPr="00B57B36" w:rsidRDefault="005A3E9C" w:rsidP="00CD5FE2">
            <w:pPr>
              <w:spacing w:line="140" w:lineRule="atLeast"/>
              <w:jc w:val="right"/>
              <w:rPr>
                <w:rFonts w:cs="Arial"/>
                <w:sz w:val="14"/>
                <w:szCs w:val="14"/>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7D24D70F" w:rsidR="00300E56" w:rsidRPr="0014464F" w:rsidRDefault="00300E56" w:rsidP="00EC0E49">
            <w:pPr>
              <w:tabs>
                <w:tab w:val="left" w:pos="-108"/>
              </w:tabs>
              <w:spacing w:line="140" w:lineRule="atLeast"/>
              <w:ind w:left="-108"/>
              <w:jc w:val="left"/>
              <w:rPr>
                <w:rFonts w:ascii="Tahoma" w:hAnsi="Tahoma" w:cs="Tahoma"/>
                <w:iCs/>
                <w:color w:val="333333"/>
                <w:sz w:val="14"/>
                <w:szCs w:val="14"/>
                <w:lang w:val="en-US" w:eastAsia="it-IT"/>
              </w:rPr>
            </w:pPr>
            <w:r w:rsidRPr="0014464F">
              <w:rPr>
                <w:rFonts w:ascii="Tahoma" w:hAnsi="Tahoma" w:cs="Tahoma"/>
                <w:iCs/>
                <w:color w:val="333333"/>
                <w:sz w:val="14"/>
                <w:szCs w:val="14"/>
                <w:lang w:val="en-US" w:eastAsia="it-IT"/>
              </w:rPr>
              <w:t>Guest Editors:</w:t>
            </w:r>
            <w:r w:rsidR="00904C62" w:rsidRPr="0014464F">
              <w:rPr>
                <w:rFonts w:ascii="Tahoma" w:hAnsi="Tahoma" w:cs="Tahoma"/>
                <w:iCs/>
                <w:color w:val="333333"/>
                <w:sz w:val="14"/>
                <w:szCs w:val="14"/>
                <w:lang w:val="en-US" w:eastAsia="it-IT"/>
              </w:rPr>
              <w:t xml:space="preserve"> </w:t>
            </w:r>
          </w:p>
          <w:p w14:paraId="1B0F1814" w14:textId="6CE52C7C" w:rsidR="000A03B2" w:rsidRPr="00B57B36" w:rsidRDefault="0014464F" w:rsidP="00180860">
            <w:pPr>
              <w:tabs>
                <w:tab w:val="left" w:pos="-108"/>
              </w:tabs>
              <w:spacing w:line="140" w:lineRule="atLeast"/>
              <w:ind w:left="-108"/>
              <w:jc w:val="left"/>
            </w:pPr>
            <w:r>
              <w:rPr>
                <w:rFonts w:ascii="Tahoma" w:hAnsi="Tahoma" w:cs="Tahoma"/>
                <w:iCs/>
                <w:color w:val="333333"/>
                <w:sz w:val="14"/>
                <w:szCs w:val="14"/>
                <w:lang w:eastAsia="it-IT"/>
              </w:rPr>
              <w:t xml:space="preserve">Copyright </w:t>
            </w:r>
            <w:proofErr w:type="gramStart"/>
            <w:r>
              <w:rPr>
                <w:rFonts w:ascii="Tahoma" w:hAnsi="Tahoma" w:cs="Tahoma"/>
                <w:iCs/>
                <w:color w:val="333333"/>
                <w:sz w:val="14"/>
                <w:szCs w:val="14"/>
                <w:lang w:eastAsia="it-IT"/>
              </w:rPr>
              <w:t xml:space="preserve">© </w:t>
            </w:r>
            <w:r w:rsidR="00904C62" w:rsidRPr="00B57B36">
              <w:rPr>
                <w:rFonts w:ascii="Tahoma" w:hAnsi="Tahoma" w:cs="Tahoma"/>
                <w:iCs/>
                <w:color w:val="333333"/>
                <w:sz w:val="14"/>
                <w:szCs w:val="14"/>
                <w:lang w:eastAsia="it-IT"/>
              </w:rPr>
              <w:t xml:space="preserve"> AIDIC</w:t>
            </w:r>
            <w:proofErr w:type="gram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180860" w:rsidRPr="00B57B36">
              <w:rPr>
                <w:rFonts w:ascii="Tahoma" w:hAnsi="Tahoma" w:cs="Tahoma"/>
                <w:b/>
                <w:iCs/>
                <w:color w:val="333333"/>
                <w:sz w:val="14"/>
                <w:szCs w:val="14"/>
                <w:lang w:eastAsia="it-IT"/>
              </w:rPr>
              <w:t>IS</w:t>
            </w:r>
            <w:r w:rsidR="00180860">
              <w:rPr>
                <w:rFonts w:ascii="Tahoma" w:hAnsi="Tahoma" w:cs="Tahoma"/>
                <w:b/>
                <w:iCs/>
                <w:color w:val="333333"/>
                <w:sz w:val="14"/>
                <w:szCs w:val="14"/>
                <w:lang w:eastAsia="it-IT"/>
              </w:rPr>
              <w:t xml:space="preserve">BN </w:t>
            </w:r>
            <w:r w:rsidR="00180860" w:rsidRPr="00D642A9">
              <w:rPr>
                <w:rFonts w:ascii="Tahoma" w:hAnsi="Tahoma" w:cs="Tahoma"/>
                <w:sz w:val="14"/>
                <w:szCs w:val="14"/>
                <w:lang w:val="en-US"/>
              </w:rPr>
              <w:t>978-88-95608</w:t>
            </w:r>
            <w:r w:rsidR="00180860">
              <w:rPr>
                <w:rFonts w:ascii="Tahoma" w:hAnsi="Tahoma" w:cs="Tahoma"/>
                <w:sz w:val="14"/>
                <w:szCs w:val="14"/>
                <w:lang w:val="en-US"/>
              </w:rPr>
              <w:t xml:space="preserve">-xx-x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438A22D7" w:rsidR="00E978D0" w:rsidRPr="00B57B36" w:rsidRDefault="00DA5421" w:rsidP="00E978D0">
      <w:pPr>
        <w:pStyle w:val="CETTitle"/>
      </w:pPr>
      <w:r w:rsidRPr="00DA5421">
        <w:t xml:space="preserve">Non-conventional </w:t>
      </w:r>
      <w:r w:rsidR="009F02A0">
        <w:t>E</w:t>
      </w:r>
      <w:r w:rsidRPr="00DA5421">
        <w:t xml:space="preserve">nergy from </w:t>
      </w:r>
      <w:r w:rsidR="009F02A0">
        <w:t>B</w:t>
      </w:r>
      <w:r w:rsidRPr="00DA5421">
        <w:t xml:space="preserve">iogas recovered from </w:t>
      </w:r>
      <w:r w:rsidR="00ED3033">
        <w:t>W</w:t>
      </w:r>
      <w:r w:rsidRPr="00DA5421">
        <w:t xml:space="preserve">astewater </w:t>
      </w:r>
      <w:r w:rsidR="00ED3033">
        <w:t>S</w:t>
      </w:r>
      <w:r w:rsidRPr="00DA5421">
        <w:t>ludge</w:t>
      </w:r>
    </w:p>
    <w:p w14:paraId="2B3CA35C" w14:textId="427D9272" w:rsidR="00E978D0" w:rsidRPr="00A21C01" w:rsidRDefault="00A21C01" w:rsidP="00A21C01">
      <w:pPr>
        <w:pStyle w:val="CETAuthors"/>
        <w:jc w:val="center"/>
        <w:rPr>
          <w:lang w:val="es-PE"/>
        </w:rPr>
      </w:pPr>
      <w:r w:rsidRPr="00A21C01">
        <w:rPr>
          <w:lang w:val="es-PE"/>
        </w:rPr>
        <w:t>Candy M. Corsino Cortez, Katherin L. Delgado Pantoja,</w:t>
      </w:r>
      <w:r w:rsidR="0069261F">
        <w:rPr>
          <w:lang w:val="es-PE"/>
        </w:rPr>
        <w:t xml:space="preserve"> </w:t>
      </w:r>
      <w:r w:rsidR="00735672">
        <w:rPr>
          <w:lang w:val="es-PE"/>
        </w:rPr>
        <w:t xml:space="preserve">Carlos Castañeda Olivera, </w:t>
      </w:r>
      <w:r w:rsidRPr="00A21C01">
        <w:rPr>
          <w:lang w:val="es-PE"/>
        </w:rPr>
        <w:t>Elmer Benites-Alfaro</w:t>
      </w:r>
    </w:p>
    <w:p w14:paraId="38D29194" w14:textId="29D8F430" w:rsidR="00E978D0" w:rsidRPr="00A702BA" w:rsidRDefault="00A21C01" w:rsidP="00E978D0">
      <w:pPr>
        <w:pStyle w:val="CETAddress"/>
        <w:rPr>
          <w:lang w:val="es-PE"/>
        </w:rPr>
      </w:pPr>
      <w:r w:rsidRPr="00A21C01">
        <w:rPr>
          <w:lang w:val="es-PE"/>
        </w:rPr>
        <w:t xml:space="preserve">Universidad César Vallejo, Av. </w:t>
      </w:r>
      <w:r w:rsidRPr="00A702BA">
        <w:rPr>
          <w:lang w:val="es-PE"/>
        </w:rPr>
        <w:t>Alfredo Mendiola 6232, Lima 15314, Perú</w:t>
      </w:r>
      <w:r w:rsidR="00E978D0" w:rsidRPr="00A702BA">
        <w:rPr>
          <w:lang w:val="es-PE"/>
        </w:rPr>
        <w:t xml:space="preserve"> </w:t>
      </w:r>
    </w:p>
    <w:p w14:paraId="7E715ADD" w14:textId="46C1190E" w:rsidR="00A702BA" w:rsidRDefault="00AB5011" w:rsidP="00A702BA">
      <w:pPr>
        <w:pStyle w:val="CETemail"/>
      </w:pPr>
      <w:r w:rsidRPr="0069261F">
        <w:rPr>
          <w:lang w:val="es-PE"/>
        </w:rPr>
        <w:t xml:space="preserve"> </w:t>
      </w:r>
      <w:r w:rsidR="00735672" w:rsidRPr="00A702BA">
        <w:t>C</w:t>
      </w:r>
      <w:r w:rsidR="00A702BA" w:rsidRPr="00A702BA">
        <w:t>orresponding</w:t>
      </w:r>
      <w:r w:rsidR="00735672">
        <w:t xml:space="preserve">: </w:t>
      </w:r>
      <w:r w:rsidR="00A702BA" w:rsidRPr="00A702BA">
        <w:t>ebenitesa@ucv.edu.pe</w:t>
      </w:r>
    </w:p>
    <w:p w14:paraId="48A24F82" w14:textId="1BB92B62" w:rsidR="00611FBE" w:rsidRDefault="002410C7" w:rsidP="002410C7">
      <w:pPr>
        <w:pStyle w:val="CETHeading1"/>
        <w:numPr>
          <w:ilvl w:val="0"/>
          <w:numId w:val="0"/>
        </w:numPr>
        <w:jc w:val="both"/>
        <w:rPr>
          <w:b w:val="0"/>
          <w:sz w:val="18"/>
          <w:lang w:val="en-GB"/>
        </w:rPr>
      </w:pPr>
      <w:r w:rsidRPr="002410C7">
        <w:rPr>
          <w:b w:val="0"/>
          <w:sz w:val="18"/>
          <w:lang w:val="en-GB"/>
        </w:rPr>
        <w:t>The energy crisis due to the depletion of fossil fuels and the negative environmental impacts they produce, require the search for more environmentally friendly energy sources. The research evaluated the electric energy obtained from biogas generated by wastewater sludge from a wastewater treatment plant (WWTP). An anaerobic biodigester was used in the process of obtaining the biogas. The wastewater was evaluated taking into account the parameters of pH, humidity and percentage of organic matter, data that also allowed determining the daily load. After 42 days, the biogas concentration was evaluated, reaching concentrations of 57.7</w:t>
      </w:r>
      <w:r>
        <w:rPr>
          <w:b w:val="0"/>
          <w:sz w:val="18"/>
          <w:lang w:val="en-GB"/>
        </w:rPr>
        <w:t xml:space="preserve"> </w:t>
      </w:r>
      <w:r w:rsidRPr="002410C7">
        <w:rPr>
          <w:b w:val="0"/>
          <w:sz w:val="18"/>
          <w:lang w:val="en-GB"/>
        </w:rPr>
        <w:t>% methane (CH</w:t>
      </w:r>
      <w:r w:rsidRPr="002410C7">
        <w:rPr>
          <w:b w:val="0"/>
          <w:sz w:val="18"/>
          <w:vertAlign w:val="subscript"/>
          <w:lang w:val="en-GB"/>
        </w:rPr>
        <w:t>4</w:t>
      </w:r>
      <w:r w:rsidRPr="002410C7">
        <w:rPr>
          <w:b w:val="0"/>
          <w:sz w:val="18"/>
          <w:lang w:val="en-GB"/>
        </w:rPr>
        <w:t>), 33</w:t>
      </w:r>
      <w:r>
        <w:rPr>
          <w:b w:val="0"/>
          <w:sz w:val="18"/>
          <w:lang w:val="en-GB"/>
        </w:rPr>
        <w:t xml:space="preserve"> </w:t>
      </w:r>
      <w:r w:rsidRPr="002410C7">
        <w:rPr>
          <w:b w:val="0"/>
          <w:sz w:val="18"/>
          <w:lang w:val="en-GB"/>
        </w:rPr>
        <w:t>% carbon dioxide (CO</w:t>
      </w:r>
      <w:r w:rsidRPr="002410C7">
        <w:rPr>
          <w:b w:val="0"/>
          <w:sz w:val="18"/>
          <w:vertAlign w:val="subscript"/>
          <w:lang w:val="en-GB"/>
        </w:rPr>
        <w:t>2</w:t>
      </w:r>
      <w:r w:rsidRPr="002410C7">
        <w:rPr>
          <w:b w:val="0"/>
          <w:sz w:val="18"/>
          <w:lang w:val="en-GB"/>
        </w:rPr>
        <w:t xml:space="preserve">) and 10 ppm hydrogen </w:t>
      </w:r>
      <w:r w:rsidR="00611FBE" w:rsidRPr="002410C7">
        <w:rPr>
          <w:b w:val="0"/>
          <w:sz w:val="18"/>
          <w:lang w:val="en-GB"/>
        </w:rPr>
        <w:t>sulphide</w:t>
      </w:r>
      <w:r w:rsidRPr="002410C7">
        <w:rPr>
          <w:b w:val="0"/>
          <w:sz w:val="18"/>
          <w:lang w:val="en-GB"/>
        </w:rPr>
        <w:t xml:space="preserve"> (H</w:t>
      </w:r>
      <w:r w:rsidRPr="002410C7">
        <w:rPr>
          <w:b w:val="0"/>
          <w:sz w:val="18"/>
          <w:vertAlign w:val="subscript"/>
          <w:lang w:val="en-GB"/>
        </w:rPr>
        <w:t>2</w:t>
      </w:r>
      <w:r w:rsidRPr="002410C7">
        <w:rPr>
          <w:b w:val="0"/>
          <w:sz w:val="18"/>
          <w:lang w:val="en-GB"/>
        </w:rPr>
        <w:t xml:space="preserve">S), presenting adequate characteristics to generate electricity using a 1300 W four-stroke generator set, with a 3.0 HP, 3.0 rpm, single cylinder capacity. The mechanism consists of placing a gas mixer in the </w:t>
      </w:r>
      <w:r w:rsidR="00611FBE" w:rsidRPr="002410C7">
        <w:rPr>
          <w:b w:val="0"/>
          <w:sz w:val="18"/>
          <w:lang w:val="en-GB"/>
        </w:rPr>
        <w:t>carburettor</w:t>
      </w:r>
      <w:r w:rsidRPr="002410C7">
        <w:rPr>
          <w:b w:val="0"/>
          <w:sz w:val="18"/>
          <w:lang w:val="en-GB"/>
        </w:rPr>
        <w:t xml:space="preserve"> whose function is to mix the biogas and air in the correct proportions. As a result, a useful energy of 0.100 KW-h was obtained with LED bulbs of 110 W. A test was also carried out with incandescent bulbs of 100 W where a useful energy of 0.056 KW-h was obtained. It can be established that a yield of 2.421 % was reached in function to the total and useful energy registered with the LED bulbs. From the above mentioned, it is established that the biogas obtained can be a non-conventional energy source, under the concept of sustainability.</w:t>
      </w:r>
    </w:p>
    <w:p w14:paraId="2B84AC24" w14:textId="4B90230F" w:rsidR="002410C7" w:rsidRDefault="002410C7" w:rsidP="002410C7">
      <w:pPr>
        <w:pStyle w:val="CETHeading1"/>
      </w:pPr>
      <w:r w:rsidRPr="002410C7">
        <w:t>I</w:t>
      </w:r>
      <w:r>
        <w:t>ntroduction</w:t>
      </w:r>
    </w:p>
    <w:p w14:paraId="17B5C059" w14:textId="6FFE896D" w:rsidR="002410C7" w:rsidRDefault="002410C7" w:rsidP="002410C7">
      <w:pPr>
        <w:pStyle w:val="CETListbullets"/>
        <w:ind w:left="0" w:firstLine="0"/>
      </w:pPr>
      <w:r w:rsidRPr="002410C7">
        <w:t>The energy crisis due to the depletion of fossil fuels produces negative impacts on the environment, which is why efficient options for sustainable development are being sought. Being in Latin America where the consumption of renewable energy is 30</w:t>
      </w:r>
      <w:r w:rsidR="005D54B5">
        <w:t xml:space="preserve"> </w:t>
      </w:r>
      <w:r w:rsidRPr="002410C7">
        <w:t>% compared to 5.7</w:t>
      </w:r>
      <w:r w:rsidR="00611FBE">
        <w:t xml:space="preserve"> </w:t>
      </w:r>
      <w:r w:rsidRPr="002410C7">
        <w:t xml:space="preserve">% of OECD countries (Organization for Economic Cooperation and Development). Likewise, </w:t>
      </w:r>
      <w:proofErr w:type="spellStart"/>
      <w:r w:rsidRPr="002410C7">
        <w:t>Pelkmans</w:t>
      </w:r>
      <w:proofErr w:type="spellEnd"/>
      <w:r w:rsidRPr="002410C7">
        <w:t xml:space="preserve"> L. (2018) in the publication: IEA Bioenergy Countries Report - Update 2018, Bioenergy policies and status of implementation, mention that countries such as the Korean government will expand its share of renewable generation in total electricity production from 7</w:t>
      </w:r>
      <w:r w:rsidR="00611FBE">
        <w:t xml:space="preserve"> </w:t>
      </w:r>
      <w:r w:rsidRPr="002410C7">
        <w:t>% to 20</w:t>
      </w:r>
      <w:r w:rsidR="00611FBE">
        <w:t xml:space="preserve"> </w:t>
      </w:r>
      <w:r w:rsidRPr="002410C7">
        <w:t xml:space="preserve">% by 2030. In such sense, it is important to indicate that there is a concern in the management of organic waste and its application to generate energy, so refers </w:t>
      </w:r>
      <w:proofErr w:type="spellStart"/>
      <w:r w:rsidRPr="000241DF">
        <w:t>Bucura</w:t>
      </w:r>
      <w:proofErr w:type="spellEnd"/>
      <w:r w:rsidRPr="000241DF">
        <w:t xml:space="preserve"> F., Marin F., </w:t>
      </w:r>
      <w:proofErr w:type="spellStart"/>
      <w:r w:rsidRPr="000241DF">
        <w:t>Miricioiu</w:t>
      </w:r>
      <w:proofErr w:type="spellEnd"/>
      <w:r w:rsidRPr="000241DF">
        <w:t xml:space="preserve"> M., Saros G., </w:t>
      </w:r>
      <w:proofErr w:type="spellStart"/>
      <w:r w:rsidRPr="000241DF">
        <w:t>Zaharioiu</w:t>
      </w:r>
      <w:proofErr w:type="spellEnd"/>
      <w:r w:rsidRPr="002410C7">
        <w:t xml:space="preserve"> A. and Constantinescu M. (2018) in the publication: Energy potential of geothermal gas and sewage sludge biogas. A laboratory stage investigation: they mention that we should pay more attention to reusable waste, since, it can be used as an efficient and sustainable energy source. Another potential source of green energy could be gas from anaerobic digestion as wastewater sludge from urban WWTPs. If for many EU countries such a solution is no longer a novelty, in Romania, waste management is still in its initial phase. In this context, Peru has not yet made the appropriate investment and the maximum use of sewage sludge as a potential for biogas production and its application in pilot plants to generate its own electricity as other EU countries are doing, where they are already obtaining </w:t>
      </w:r>
      <w:r w:rsidR="00611FBE" w:rsidRPr="002410C7">
        <w:t>favourable</w:t>
      </w:r>
      <w:r w:rsidRPr="002410C7">
        <w:t xml:space="preserve"> results with 17,400 biogas plants producing more than 61 TW-h of electricity until 2018.</w:t>
      </w:r>
    </w:p>
    <w:p w14:paraId="4DCC1950" w14:textId="0528CB87" w:rsidR="00611FBE" w:rsidRDefault="00611FBE" w:rsidP="00611FBE">
      <w:pPr>
        <w:pStyle w:val="CETHeading1"/>
      </w:pPr>
      <w:r>
        <w:lastRenderedPageBreak/>
        <w:t>Methodol</w:t>
      </w:r>
      <w:r w:rsidR="0081197C">
        <w:t>ogy</w:t>
      </w:r>
    </w:p>
    <w:p w14:paraId="333FEFAC" w14:textId="473C809A" w:rsidR="00611FBE" w:rsidRDefault="00611FBE" w:rsidP="00611FBE">
      <w:pPr>
        <w:pStyle w:val="CETheadingx"/>
      </w:pPr>
      <w:r w:rsidRPr="00611FBE">
        <w:t>Sewage sludge acquisition and evaluation</w:t>
      </w:r>
    </w:p>
    <w:p w14:paraId="34A55F0F" w14:textId="61CCF457" w:rsidR="00611FBE" w:rsidRDefault="00611FBE" w:rsidP="00611FBE">
      <w:pPr>
        <w:pStyle w:val="CETListbullets"/>
        <w:ind w:left="0" w:firstLine="0"/>
      </w:pPr>
      <w:r w:rsidRPr="00611FBE">
        <w:rPr>
          <w:rStyle w:val="CETBodytextCarattere"/>
        </w:rPr>
        <w:t>For the analysis, a sample of 500 g was acquired according to the regulations for the reuse of sludge generated in the WWTP. The parameters of pH, humidity and percentage of organic matter were analyzed to determine the daily load of the biodigester, see Table</w:t>
      </w:r>
      <w:r w:rsidRPr="00611FBE">
        <w:t xml:space="preserve"> 1.</w:t>
      </w:r>
    </w:p>
    <w:p w14:paraId="6CA8E8EE" w14:textId="5AB3DF22" w:rsidR="009F02A0" w:rsidRPr="0081197C" w:rsidRDefault="009F02A0" w:rsidP="009F02A0">
      <w:pPr>
        <w:pStyle w:val="CETTabletitle"/>
        <w:rPr>
          <w:lang w:val="en-US"/>
        </w:rPr>
      </w:pPr>
      <w:r w:rsidRPr="00417843">
        <w:rPr>
          <w:lang w:val="es-ES"/>
        </w:rPr>
        <w:t>Tabl</w:t>
      </w:r>
      <w:r>
        <w:rPr>
          <w:lang w:val="es-ES"/>
        </w:rPr>
        <w:t>e</w:t>
      </w:r>
      <w:r w:rsidRPr="00417843">
        <w:rPr>
          <w:lang w:val="es-ES"/>
        </w:rPr>
        <w:t xml:space="preserve"> 1: </w:t>
      </w:r>
      <w:r w:rsidR="00F42348">
        <w:rPr>
          <w:lang w:val="es-ES"/>
        </w:rPr>
        <w:t>S</w:t>
      </w:r>
      <w:r w:rsidR="00F42348" w:rsidRPr="00F42348">
        <w:rPr>
          <w:lang w:val="en-US"/>
        </w:rPr>
        <w:t>ludge sample parameters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686"/>
        <w:gridCol w:w="1701"/>
      </w:tblGrid>
      <w:tr w:rsidR="009F02A0" w:rsidRPr="00B57B36" w14:paraId="27FCD5A1" w14:textId="77777777" w:rsidTr="009F02A0">
        <w:trPr>
          <w:trHeight w:val="195"/>
        </w:trPr>
        <w:tc>
          <w:tcPr>
            <w:tcW w:w="3686" w:type="dxa"/>
            <w:tcBorders>
              <w:top w:val="single" w:sz="12" w:space="0" w:color="008000"/>
              <w:bottom w:val="single" w:sz="6" w:space="0" w:color="008000"/>
            </w:tcBorders>
            <w:shd w:val="clear" w:color="auto" w:fill="FFFFFF"/>
          </w:tcPr>
          <w:p w14:paraId="26FCF5D0" w14:textId="7FD8F2A0" w:rsidR="009F02A0" w:rsidRPr="009F02A0" w:rsidRDefault="009F02A0" w:rsidP="009F02A0">
            <w:pPr>
              <w:pStyle w:val="CETBodytext"/>
            </w:pPr>
            <w:r w:rsidRPr="009F02A0">
              <w:t>Parameter</w:t>
            </w:r>
          </w:p>
        </w:tc>
        <w:tc>
          <w:tcPr>
            <w:tcW w:w="1701" w:type="dxa"/>
            <w:tcBorders>
              <w:top w:val="single" w:sz="12" w:space="0" w:color="008000"/>
              <w:bottom w:val="single" w:sz="6" w:space="0" w:color="008000"/>
            </w:tcBorders>
            <w:shd w:val="clear" w:color="auto" w:fill="FFFFFF"/>
          </w:tcPr>
          <w:p w14:paraId="516EF012" w14:textId="7C9485AD" w:rsidR="009F02A0" w:rsidRPr="009F02A0" w:rsidRDefault="009F02A0" w:rsidP="009F02A0">
            <w:pPr>
              <w:pStyle w:val="CETBodytext"/>
            </w:pPr>
            <w:r w:rsidRPr="009F02A0">
              <w:t>Value</w:t>
            </w:r>
          </w:p>
        </w:tc>
      </w:tr>
      <w:tr w:rsidR="009F02A0" w:rsidRPr="00B57B36" w14:paraId="38B145D4" w14:textId="77777777" w:rsidTr="009F02A0">
        <w:trPr>
          <w:trHeight w:val="195"/>
        </w:trPr>
        <w:tc>
          <w:tcPr>
            <w:tcW w:w="3686" w:type="dxa"/>
            <w:shd w:val="clear" w:color="auto" w:fill="FFFFFF"/>
          </w:tcPr>
          <w:p w14:paraId="299C5B54" w14:textId="77777777" w:rsidR="009F02A0" w:rsidRPr="009F02A0" w:rsidRDefault="009F02A0" w:rsidP="009F02A0">
            <w:pPr>
              <w:pStyle w:val="CETBodytext"/>
            </w:pPr>
            <w:r w:rsidRPr="009F02A0">
              <w:t>pH</w:t>
            </w:r>
          </w:p>
        </w:tc>
        <w:tc>
          <w:tcPr>
            <w:tcW w:w="1701" w:type="dxa"/>
            <w:shd w:val="clear" w:color="auto" w:fill="FFFFFF"/>
          </w:tcPr>
          <w:p w14:paraId="6E68772F" w14:textId="77777777" w:rsidR="009F02A0" w:rsidRPr="009F02A0" w:rsidRDefault="009F02A0" w:rsidP="009F02A0">
            <w:pPr>
              <w:pStyle w:val="CETBodytext"/>
            </w:pPr>
            <w:r w:rsidRPr="009F02A0">
              <w:t>6.68</w:t>
            </w:r>
          </w:p>
        </w:tc>
      </w:tr>
      <w:tr w:rsidR="009F02A0" w:rsidRPr="00B57B36" w14:paraId="0B8C9BAA" w14:textId="77777777" w:rsidTr="009F02A0">
        <w:trPr>
          <w:trHeight w:val="149"/>
        </w:trPr>
        <w:tc>
          <w:tcPr>
            <w:tcW w:w="3686" w:type="dxa"/>
            <w:shd w:val="clear" w:color="auto" w:fill="FFFFFF"/>
          </w:tcPr>
          <w:p w14:paraId="03D0A452" w14:textId="12969815" w:rsidR="009F02A0" w:rsidRPr="009F02A0" w:rsidRDefault="009F02A0" w:rsidP="009F02A0">
            <w:pPr>
              <w:pStyle w:val="CETBodytext"/>
            </w:pPr>
            <w:r w:rsidRPr="009F02A0">
              <w:t>Humidity</w:t>
            </w:r>
            <w:r w:rsidR="004A13FF">
              <w:t xml:space="preserve"> (% in weight)</w:t>
            </w:r>
          </w:p>
        </w:tc>
        <w:tc>
          <w:tcPr>
            <w:tcW w:w="1701" w:type="dxa"/>
            <w:shd w:val="clear" w:color="auto" w:fill="FFFFFF"/>
          </w:tcPr>
          <w:p w14:paraId="763C8A25" w14:textId="77777777" w:rsidR="009F02A0" w:rsidRPr="009F02A0" w:rsidRDefault="009F02A0" w:rsidP="009F02A0">
            <w:pPr>
              <w:pStyle w:val="CETBodytext"/>
            </w:pPr>
            <w:r w:rsidRPr="009F02A0">
              <w:t>92.6</w:t>
            </w:r>
          </w:p>
        </w:tc>
      </w:tr>
      <w:tr w:rsidR="009F02A0" w:rsidRPr="00B57B36" w14:paraId="294FC10D" w14:textId="77777777" w:rsidTr="009F02A0">
        <w:trPr>
          <w:trHeight w:val="97"/>
        </w:trPr>
        <w:tc>
          <w:tcPr>
            <w:tcW w:w="3686" w:type="dxa"/>
            <w:shd w:val="clear" w:color="auto" w:fill="FFFFFF"/>
          </w:tcPr>
          <w:p w14:paraId="2C3C83BA" w14:textId="246D5D07" w:rsidR="009F02A0" w:rsidRPr="009F02A0" w:rsidRDefault="009F02A0" w:rsidP="009F02A0">
            <w:pPr>
              <w:pStyle w:val="CETBodytext"/>
            </w:pPr>
            <w:r w:rsidRPr="009F02A0">
              <w:t>Organic material</w:t>
            </w:r>
            <w:r w:rsidR="004A13FF">
              <w:t xml:space="preserve"> (% in weight)</w:t>
            </w:r>
          </w:p>
        </w:tc>
        <w:tc>
          <w:tcPr>
            <w:tcW w:w="1701" w:type="dxa"/>
            <w:shd w:val="clear" w:color="auto" w:fill="FFFFFF"/>
          </w:tcPr>
          <w:p w14:paraId="28964E8A" w14:textId="77777777" w:rsidR="009F02A0" w:rsidRPr="009F02A0" w:rsidRDefault="009F02A0" w:rsidP="009F02A0">
            <w:pPr>
              <w:pStyle w:val="CETBodytext"/>
            </w:pPr>
            <w:r w:rsidRPr="009F02A0">
              <w:t>7.4</w:t>
            </w:r>
          </w:p>
        </w:tc>
      </w:tr>
    </w:tbl>
    <w:p w14:paraId="565F3313" w14:textId="77777777" w:rsidR="009F02A0" w:rsidRPr="009F02A0" w:rsidRDefault="009F02A0" w:rsidP="002410C7">
      <w:pPr>
        <w:pStyle w:val="CETListbullets"/>
        <w:ind w:left="0" w:firstLine="0"/>
        <w:rPr>
          <w:lang w:val="es-PE"/>
        </w:rPr>
      </w:pPr>
    </w:p>
    <w:p w14:paraId="61A9B77A" w14:textId="49B1E75B" w:rsidR="00600535" w:rsidRDefault="00517AE7" w:rsidP="00FA5F5F">
      <w:pPr>
        <w:pStyle w:val="CETheadingx"/>
      </w:pPr>
      <w:r w:rsidRPr="00517AE7">
        <w:t>Biodigester load:</w:t>
      </w:r>
    </w:p>
    <w:p w14:paraId="49057C0E" w14:textId="4FAD5A9F" w:rsidR="00FD2F36" w:rsidRDefault="00682AFC" w:rsidP="00FD2F36">
      <w:pPr>
        <w:pStyle w:val="CETBodytext"/>
      </w:pPr>
      <w:r w:rsidRPr="00682AFC">
        <w:t xml:space="preserve">The process of anaerobic digestion by microbial communities of sludge was carried out in an IBC tank biodigester </w:t>
      </w:r>
      <w:r w:rsidR="00FD2F36" w:rsidRPr="00FD2F36">
        <w:t>made up of three pipes, one for feeding, another for gas outlet and the last for biol outlet. The loading process that is used is the semi-continuous system, this consists of the initial load having to be a large amount of material and while the volume of the gas is reduced, more material is added. In the initial load, the inoculum of cattle manure was used to optimize the microbial activity, the daily load of sludge with water is carried out once the methane production has stabilized, taking into account the retention time of 35 days.</w:t>
      </w:r>
    </w:p>
    <w:p w14:paraId="78D4679A" w14:textId="1B87ED32" w:rsidR="007E1F46" w:rsidRDefault="007E1F46" w:rsidP="00FD2F36">
      <w:pPr>
        <w:pStyle w:val="CETBodytext"/>
      </w:pPr>
      <w:r w:rsidRPr="007E1F46">
        <w:t>The calculations of load, concentration, quantity, inoculum, mixture and daily load of the biodigester are shown below:</w:t>
      </w:r>
    </w:p>
    <w:p w14:paraId="0B5F330D" w14:textId="77777777" w:rsidR="00FD2F36" w:rsidRPr="00FD2F36" w:rsidRDefault="00FD2F36" w:rsidP="00FD2F36">
      <w:pPr>
        <w:pStyle w:val="CETBodytext"/>
      </w:pPr>
    </w:p>
    <w:p w14:paraId="04F8B5FD" w14:textId="50BB8453" w:rsidR="00517AE7" w:rsidRDefault="00517AE7" w:rsidP="00517AE7">
      <w:pPr>
        <w:pStyle w:val="CETBodytext"/>
      </w:pPr>
      <w:r w:rsidRPr="00517AE7">
        <w:t>Determination of sludge loading</w:t>
      </w:r>
      <w:r w:rsidR="00FD2F36">
        <w:t>:</w:t>
      </w:r>
    </w:p>
    <w:p w14:paraId="58979BC6" w14:textId="77777777" w:rsidR="00517AE7" w:rsidRDefault="00517AE7" w:rsidP="00517AE7">
      <w:pPr>
        <w:pStyle w:val="CETBodytext"/>
      </w:pPr>
      <w:r>
        <w:t>Useful volume load -&gt; liquid phase ........................ (1)</w:t>
      </w:r>
    </w:p>
    <w:p w14:paraId="4B3FE27B" w14:textId="63A4EB01" w:rsidR="00517AE7" w:rsidRDefault="00530210" w:rsidP="00517AE7">
      <w:pPr>
        <w:pStyle w:val="CETBodytext"/>
      </w:pPr>
      <w:r>
        <w:t>R</w:t>
      </w:r>
      <w:r w:rsidRPr="00530210">
        <w:t>eal volume of the biodigester</w:t>
      </w:r>
      <w:r w:rsidR="00517AE7">
        <w:t>= 1000 L</w:t>
      </w:r>
    </w:p>
    <w:p w14:paraId="6CE06392" w14:textId="2C338E62" w:rsidR="00517AE7" w:rsidRDefault="00517AE7" w:rsidP="00517AE7">
      <w:pPr>
        <w:pStyle w:val="CETBodytext"/>
      </w:pPr>
      <w:r>
        <w:t>Us</w:t>
      </w:r>
      <w:r w:rsidR="00530210">
        <w:t>eful</w:t>
      </w:r>
      <w:r>
        <w:t xml:space="preserve"> volume = </w:t>
      </w:r>
      <w:r w:rsidR="00DC7AA8">
        <w:t xml:space="preserve">80% </w:t>
      </w:r>
      <w:r w:rsidR="00530210">
        <w:t xml:space="preserve">real </w:t>
      </w:r>
      <w:r>
        <w:t>volume</w:t>
      </w:r>
    </w:p>
    <w:p w14:paraId="39C65BCE" w14:textId="6E263B21" w:rsidR="00517AE7" w:rsidRDefault="00517AE7" w:rsidP="00517AE7">
      <w:pPr>
        <w:pStyle w:val="CETBodytext"/>
      </w:pPr>
      <w:r>
        <w:t>Useful volume = 800 L.</w:t>
      </w:r>
    </w:p>
    <w:p w14:paraId="4BB74F22" w14:textId="5263A5CA" w:rsidR="00517AE7" w:rsidRDefault="00517AE7" w:rsidP="00517AE7">
      <w:pPr>
        <w:pStyle w:val="CETBodytext"/>
      </w:pPr>
    </w:p>
    <w:p w14:paraId="64F1F5CA" w14:textId="44D03D64" w:rsidR="004F2D3E" w:rsidRDefault="004F2D3E" w:rsidP="004F2D3E">
      <w:pPr>
        <w:pStyle w:val="CETBodytext"/>
      </w:pPr>
      <w:r>
        <w:t>Loading concentration</w:t>
      </w:r>
      <w:r w:rsidR="00FD2F36">
        <w:t>:</w:t>
      </w:r>
    </w:p>
    <w:p w14:paraId="316F3919" w14:textId="54B4111D" w:rsidR="004F2D3E" w:rsidRDefault="00BB6C9B" w:rsidP="004F2D3E">
      <w:pPr>
        <w:pStyle w:val="CETBodytext"/>
      </w:pPr>
      <w:r>
        <w:t>Quantity</w:t>
      </w:r>
      <w:r w:rsidR="004F2D3E">
        <w:t xml:space="preserve"> of </w:t>
      </w:r>
      <w:r w:rsidR="00DA3A54">
        <w:t>solid matter (SM)</w:t>
      </w:r>
      <w:r w:rsidR="004F2D3E">
        <w:t xml:space="preserve"> = Useful volume * %S</w:t>
      </w:r>
      <w:r w:rsidR="00DA3A54">
        <w:t>M</w:t>
      </w:r>
      <w:r w:rsidR="004D3B4E">
        <w:t xml:space="preserve">   </w:t>
      </w:r>
      <w:r w:rsidR="004F2D3E">
        <w:t>..................................... (2)</w:t>
      </w:r>
    </w:p>
    <w:p w14:paraId="12EE5172" w14:textId="2085828D" w:rsidR="004F2D3E" w:rsidRDefault="00DA3A54" w:rsidP="004F2D3E">
      <w:pPr>
        <w:pStyle w:val="CETBodytext"/>
      </w:pPr>
      <w:r>
        <w:t>S</w:t>
      </w:r>
      <w:r w:rsidR="004F2D3E">
        <w:t>M quantity = 800 * 0.05 (conside</w:t>
      </w:r>
      <w:r>
        <w:t>ring</w:t>
      </w:r>
      <w:r w:rsidR="004F2D3E">
        <w:t xml:space="preserve"> 5%</w:t>
      </w:r>
      <w:r w:rsidR="00015D37">
        <w:t>, Guevara (1996)</w:t>
      </w:r>
      <w:r w:rsidR="004F2D3E">
        <w:t>)</w:t>
      </w:r>
    </w:p>
    <w:p w14:paraId="5BB74254" w14:textId="7E7F83A6" w:rsidR="004F2D3E" w:rsidRDefault="00BC14D4" w:rsidP="004F2D3E">
      <w:pPr>
        <w:pStyle w:val="CETBodytext"/>
      </w:pPr>
      <w:r>
        <w:t>Quantity</w:t>
      </w:r>
      <w:r w:rsidR="004F2D3E">
        <w:t xml:space="preserve"> of </w:t>
      </w:r>
      <w:r>
        <w:t>SM</w:t>
      </w:r>
      <w:r w:rsidR="004F2D3E">
        <w:t xml:space="preserve"> = 40 kg</w:t>
      </w:r>
    </w:p>
    <w:p w14:paraId="2317C9D5" w14:textId="01A8A042" w:rsidR="00DA3A54" w:rsidRDefault="00DA3A54" w:rsidP="004F2D3E">
      <w:pPr>
        <w:pStyle w:val="CETBodytext"/>
      </w:pPr>
      <w:r>
        <w:t>(S</w:t>
      </w:r>
      <w:r w:rsidR="00083102">
        <w:t>M</w:t>
      </w:r>
      <w:r>
        <w:t>: solid matter)</w:t>
      </w:r>
    </w:p>
    <w:p w14:paraId="20786809" w14:textId="77777777" w:rsidR="004F2D3E" w:rsidRDefault="004F2D3E" w:rsidP="004F2D3E">
      <w:pPr>
        <w:pStyle w:val="CETBodytext"/>
      </w:pPr>
    </w:p>
    <w:p w14:paraId="463BDABD" w14:textId="03D00BFC" w:rsidR="004F2D3E" w:rsidRDefault="004F2D3E" w:rsidP="004F2D3E">
      <w:pPr>
        <w:pStyle w:val="CETBodytext"/>
      </w:pPr>
      <w:r>
        <w:t>Sludge quantity for the biodigester</w:t>
      </w:r>
      <w:r w:rsidR="00FD2F36">
        <w:t>:</w:t>
      </w:r>
    </w:p>
    <w:p w14:paraId="01436AB7" w14:textId="777977DD" w:rsidR="004F2D3E" w:rsidRDefault="004F2D3E" w:rsidP="004F2D3E">
      <w:pPr>
        <w:pStyle w:val="CETBodytext"/>
      </w:pPr>
      <w:r>
        <w:t>Considering S</w:t>
      </w:r>
      <w:r w:rsidR="00083102">
        <w:t>M</w:t>
      </w:r>
      <w:r>
        <w:t xml:space="preserve"> % of WWTP sludge with a value of 7.4 %................................... (3)</w:t>
      </w:r>
    </w:p>
    <w:p w14:paraId="29E0CB64" w14:textId="637C1F60" w:rsidR="00BC14D4" w:rsidRDefault="00BC14D4" w:rsidP="004F2D3E">
      <w:pPr>
        <w:pStyle w:val="CETBodytext"/>
      </w:pPr>
      <w:r>
        <w:t xml:space="preserve">(WWTP: </w:t>
      </w:r>
      <w:r w:rsidRPr="00BC14D4">
        <w:t>Residual water treatment plant</w:t>
      </w:r>
      <w:r>
        <w:t>)</w:t>
      </w:r>
    </w:p>
    <w:p w14:paraId="1261B118" w14:textId="73D03CE4" w:rsidR="004F2D3E" w:rsidRDefault="00BC14D4" w:rsidP="004F2D3E">
      <w:pPr>
        <w:pStyle w:val="CETBodytext"/>
      </w:pPr>
      <w:r>
        <w:t>Quantity</w:t>
      </w:r>
      <w:r w:rsidR="004F2D3E">
        <w:t xml:space="preserve"> of WWTP sludge= 40 kg * 100%/ 7.4 %.</w:t>
      </w:r>
    </w:p>
    <w:p w14:paraId="48D3AB8E" w14:textId="6AB7B7B8" w:rsidR="004F2D3E" w:rsidRDefault="00BC14D4" w:rsidP="004F2D3E">
      <w:pPr>
        <w:pStyle w:val="CETBodytext"/>
      </w:pPr>
      <w:r>
        <w:t>Quantity</w:t>
      </w:r>
      <w:r w:rsidR="004F2D3E">
        <w:t xml:space="preserve"> of WWTP sludge = 540.54 kg</w:t>
      </w:r>
    </w:p>
    <w:p w14:paraId="7B6930A6" w14:textId="77777777" w:rsidR="004F2D3E" w:rsidRDefault="004F2D3E" w:rsidP="004F2D3E">
      <w:pPr>
        <w:pStyle w:val="CETBodytext"/>
      </w:pPr>
    </w:p>
    <w:p w14:paraId="0D7C5289" w14:textId="695ED0CB" w:rsidR="004F2D3E" w:rsidRDefault="004F2D3E" w:rsidP="004F2D3E">
      <w:pPr>
        <w:pStyle w:val="CETBodytext"/>
      </w:pPr>
      <w:r>
        <w:t>Inoculum concentration</w:t>
      </w:r>
      <w:r w:rsidR="00FD2F36">
        <w:t>:</w:t>
      </w:r>
      <w:r w:rsidR="00BC14D4">
        <w:t>(</w:t>
      </w:r>
      <w:r w:rsidR="00BC14D4" w:rsidRPr="00BC14D4">
        <w:t xml:space="preserve"> According to Palomino (2007), between 10% and 15% of inoculum of the useful volume of the reactor can be added</w:t>
      </w:r>
      <w:r w:rsidR="00BC14D4">
        <w:t xml:space="preserve">) </w:t>
      </w:r>
    </w:p>
    <w:p w14:paraId="7576F98E" w14:textId="6B61ED6A" w:rsidR="004F2D3E" w:rsidRPr="006A6728" w:rsidRDefault="004F2D3E" w:rsidP="004F2D3E">
      <w:pPr>
        <w:pStyle w:val="CETBodytext"/>
        <w:rPr>
          <w:lang w:val="es-PE"/>
        </w:rPr>
      </w:pPr>
      <w:proofErr w:type="spellStart"/>
      <w:r w:rsidRPr="006A6728">
        <w:rPr>
          <w:lang w:val="es-PE"/>
        </w:rPr>
        <w:t>Inoculum</w:t>
      </w:r>
      <w:proofErr w:type="spellEnd"/>
      <w:r w:rsidRPr="006A6728">
        <w:rPr>
          <w:lang w:val="es-PE"/>
        </w:rPr>
        <w:t xml:space="preserve"> = </w:t>
      </w:r>
      <w:r w:rsidR="00BC14D4" w:rsidRPr="006A6728">
        <w:rPr>
          <w:lang w:val="es-PE"/>
        </w:rPr>
        <w:t xml:space="preserve">10% de </w:t>
      </w:r>
      <w:proofErr w:type="spellStart"/>
      <w:r w:rsidRPr="006A6728">
        <w:rPr>
          <w:lang w:val="es-PE"/>
        </w:rPr>
        <w:t>Useful</w:t>
      </w:r>
      <w:proofErr w:type="spellEnd"/>
      <w:r w:rsidRPr="006A6728">
        <w:rPr>
          <w:lang w:val="es-PE"/>
        </w:rPr>
        <w:t xml:space="preserve"> </w:t>
      </w:r>
      <w:proofErr w:type="spellStart"/>
      <w:r w:rsidRPr="006A6728">
        <w:rPr>
          <w:lang w:val="es-PE"/>
        </w:rPr>
        <w:t>volum</w:t>
      </w:r>
      <w:r w:rsidR="00BC14D4" w:rsidRPr="006A6728">
        <w:rPr>
          <w:lang w:val="es-PE"/>
        </w:rPr>
        <w:t>e</w:t>
      </w:r>
      <w:proofErr w:type="spellEnd"/>
      <w:r w:rsidR="004D3B4E" w:rsidRPr="006A6728">
        <w:rPr>
          <w:lang w:val="es-PE"/>
        </w:rPr>
        <w:t xml:space="preserve">     </w:t>
      </w:r>
      <w:r w:rsidRPr="006A6728">
        <w:rPr>
          <w:lang w:val="es-PE"/>
        </w:rPr>
        <w:t>.................................. (4)</w:t>
      </w:r>
    </w:p>
    <w:p w14:paraId="7050A7BB" w14:textId="77777777" w:rsidR="004F2D3E" w:rsidRPr="006A6728" w:rsidRDefault="004F2D3E" w:rsidP="004F2D3E">
      <w:pPr>
        <w:pStyle w:val="CETBodytext"/>
        <w:rPr>
          <w:lang w:val="es-PE"/>
        </w:rPr>
      </w:pPr>
      <w:proofErr w:type="spellStart"/>
      <w:r w:rsidRPr="006A6728">
        <w:rPr>
          <w:lang w:val="es-PE"/>
        </w:rPr>
        <w:t>Inoculum</w:t>
      </w:r>
      <w:proofErr w:type="spellEnd"/>
      <w:r w:rsidRPr="006A6728">
        <w:rPr>
          <w:lang w:val="es-PE"/>
        </w:rPr>
        <w:t xml:space="preserve"> = 800 * 10</w:t>
      </w:r>
    </w:p>
    <w:p w14:paraId="53DC1970" w14:textId="47B4E9B2" w:rsidR="00517AE7" w:rsidRDefault="004F2D3E" w:rsidP="004F2D3E">
      <w:pPr>
        <w:pStyle w:val="CETBodytext"/>
      </w:pPr>
      <w:r>
        <w:t>Inoculum = 80 kg of fresh cow manure.</w:t>
      </w:r>
    </w:p>
    <w:p w14:paraId="02763D91" w14:textId="0D24865F" w:rsidR="004F2D3E" w:rsidRDefault="004F2D3E" w:rsidP="004F2D3E">
      <w:pPr>
        <w:pStyle w:val="CETBodytext"/>
      </w:pPr>
    </w:p>
    <w:p w14:paraId="763D3F6A" w14:textId="77777777" w:rsidR="004F2D3E" w:rsidRDefault="004F2D3E" w:rsidP="004F2D3E">
      <w:pPr>
        <w:pStyle w:val="CETBodytext"/>
      </w:pPr>
      <w:r>
        <w:t>Sludge + inoculum mixture</w:t>
      </w:r>
    </w:p>
    <w:p w14:paraId="4D43A1D0" w14:textId="1ACBF8B4" w:rsidR="004F2D3E" w:rsidRDefault="004F2D3E" w:rsidP="004F2D3E">
      <w:pPr>
        <w:pStyle w:val="CETBodytext"/>
      </w:pPr>
      <w:r>
        <w:t>(540.54 kg sludge + 80 kg inoculum + 324 L water) was added for a total of 800 L tank volume of the intermediate bulk container (IBC), before entering the tank it was homogenized with an industrial mixer to ensure good contact of the substrate with the microbial activity.</w:t>
      </w:r>
    </w:p>
    <w:p w14:paraId="27E4B825" w14:textId="104C3F7B" w:rsidR="00180860" w:rsidRDefault="00180860" w:rsidP="004F2D3E">
      <w:pPr>
        <w:pStyle w:val="CETnumberingbullets"/>
        <w:numPr>
          <w:ilvl w:val="0"/>
          <w:numId w:val="0"/>
        </w:numPr>
      </w:pPr>
    </w:p>
    <w:p w14:paraId="45AA4350" w14:textId="77777777" w:rsidR="004F2D3E" w:rsidRDefault="004F2D3E" w:rsidP="004D3B4E">
      <w:pPr>
        <w:pStyle w:val="CETnumberingbullets"/>
        <w:numPr>
          <w:ilvl w:val="0"/>
          <w:numId w:val="0"/>
        </w:numPr>
      </w:pPr>
      <w:r>
        <w:t>Daily load</w:t>
      </w:r>
    </w:p>
    <w:p w14:paraId="2FE52EBA" w14:textId="06309381" w:rsidR="004F2D3E" w:rsidRDefault="004F2D3E" w:rsidP="00C67235">
      <w:pPr>
        <w:pStyle w:val="CETnumberingbullets"/>
        <w:numPr>
          <w:ilvl w:val="0"/>
          <w:numId w:val="0"/>
        </w:numPr>
        <w:jc w:val="both"/>
      </w:pPr>
      <w:r>
        <w:t xml:space="preserve">For the calculation of the daily load, the retention time is taken into account, where a retention time (TR) of 35 days was considered, the load was made once the methane production is stable, according to </w:t>
      </w:r>
      <w:proofErr w:type="spellStart"/>
      <w:r>
        <w:t>Verbero</w:t>
      </w:r>
      <w:proofErr w:type="spellEnd"/>
      <w:r>
        <w:t xml:space="preserve"> (1991)</w:t>
      </w:r>
      <w:r w:rsidR="00C67235">
        <w:t>:</w:t>
      </w:r>
    </w:p>
    <w:p w14:paraId="063E672C" w14:textId="10975F16" w:rsidR="004F2D3E" w:rsidRDefault="004F2D3E" w:rsidP="004D3B4E">
      <w:pPr>
        <w:pStyle w:val="CETnumberingbullets"/>
        <w:numPr>
          <w:ilvl w:val="0"/>
          <w:numId w:val="0"/>
        </w:numPr>
        <w:ind w:left="340" w:hanging="340"/>
      </w:pPr>
      <w:proofErr w:type="spellStart"/>
      <w:r>
        <w:t>Qd</w:t>
      </w:r>
      <w:proofErr w:type="spellEnd"/>
      <w:r>
        <w:t xml:space="preserve"> * TR = V</w:t>
      </w:r>
      <w:r w:rsidR="004D3B4E">
        <w:t xml:space="preserve">       </w:t>
      </w:r>
      <w:r>
        <w:t>............................... (5)</w:t>
      </w:r>
    </w:p>
    <w:p w14:paraId="1A278156" w14:textId="0C84A5F1" w:rsidR="00C67235" w:rsidRPr="00C67235" w:rsidRDefault="0092207E" w:rsidP="004D3B4E">
      <w:pPr>
        <w:pStyle w:val="CETnumberingbullets"/>
        <w:numPr>
          <w:ilvl w:val="0"/>
          <w:numId w:val="0"/>
        </w:numPr>
        <w:ind w:left="340" w:hanging="340"/>
        <w:rPr>
          <w:lang w:val="en-US"/>
        </w:rPr>
      </w:pPr>
      <w:r>
        <w:rPr>
          <w:lang w:val="en-US"/>
        </w:rPr>
        <w:t xml:space="preserve">V: </w:t>
      </w:r>
      <w:r w:rsidR="00C67235" w:rsidRPr="00C67235">
        <w:rPr>
          <w:lang w:val="en-US"/>
        </w:rPr>
        <w:t>Volume of the liquid phase biodigester</w:t>
      </w:r>
    </w:p>
    <w:p w14:paraId="46035F38" w14:textId="676A2115" w:rsidR="00083102" w:rsidRPr="00C67235" w:rsidRDefault="00C67235" w:rsidP="004D3B4E">
      <w:pPr>
        <w:pStyle w:val="CETnumberingbullets"/>
        <w:numPr>
          <w:ilvl w:val="0"/>
          <w:numId w:val="0"/>
        </w:numPr>
        <w:ind w:left="340" w:hanging="340"/>
        <w:rPr>
          <w:lang w:val="en-US"/>
        </w:rPr>
      </w:pPr>
      <w:r w:rsidRPr="00C67235">
        <w:rPr>
          <w:lang w:val="en-US"/>
        </w:rPr>
        <w:lastRenderedPageBreak/>
        <w:t>If, TR=35 days and V=800 L</w:t>
      </w:r>
    </w:p>
    <w:p w14:paraId="2308AF0B" w14:textId="0D0C01CC" w:rsidR="004F2D3E" w:rsidRPr="006A6728" w:rsidRDefault="0092207E" w:rsidP="004D3B4E">
      <w:pPr>
        <w:pStyle w:val="CETnumberingbullets"/>
        <w:numPr>
          <w:ilvl w:val="0"/>
          <w:numId w:val="0"/>
        </w:numPr>
        <w:ind w:left="340" w:hanging="340"/>
        <w:rPr>
          <w:lang w:val="en-US"/>
        </w:rPr>
      </w:pPr>
      <w:r w:rsidRPr="006A6728">
        <w:rPr>
          <w:lang w:val="en-US"/>
        </w:rPr>
        <w:t xml:space="preserve">In (5): </w:t>
      </w:r>
      <w:proofErr w:type="spellStart"/>
      <w:r w:rsidR="004F2D3E" w:rsidRPr="006A6728">
        <w:rPr>
          <w:lang w:val="en-US"/>
        </w:rPr>
        <w:t>Qd</w:t>
      </w:r>
      <w:proofErr w:type="spellEnd"/>
      <w:r w:rsidR="004F2D3E" w:rsidRPr="006A6728">
        <w:rPr>
          <w:lang w:val="en-US"/>
        </w:rPr>
        <w:t xml:space="preserve"> *35 days = 800 L</w:t>
      </w:r>
    </w:p>
    <w:p w14:paraId="582BFF64" w14:textId="2882C88E" w:rsidR="004F2D3E" w:rsidRDefault="00C67235" w:rsidP="004D3B4E">
      <w:pPr>
        <w:pStyle w:val="CETnumberingbullets"/>
        <w:numPr>
          <w:ilvl w:val="0"/>
          <w:numId w:val="0"/>
        </w:numPr>
        <w:ind w:left="340" w:hanging="340"/>
      </w:pPr>
      <w:r>
        <w:t xml:space="preserve">Then: </w:t>
      </w:r>
      <w:proofErr w:type="spellStart"/>
      <w:r w:rsidR="004F2D3E">
        <w:t>Qd</w:t>
      </w:r>
      <w:proofErr w:type="spellEnd"/>
      <w:r w:rsidR="004F2D3E">
        <w:t xml:space="preserve">= </w:t>
      </w:r>
      <w:r>
        <w:t>800/35=</w:t>
      </w:r>
      <w:r w:rsidR="004F2D3E">
        <w:t>22.8 L /day Daily loading of sludge-water mixture (L / day).</w:t>
      </w:r>
    </w:p>
    <w:p w14:paraId="6B4C63E5" w14:textId="230C42F8" w:rsidR="00600535" w:rsidRDefault="004D3B4E" w:rsidP="00FA5F5F">
      <w:pPr>
        <w:pStyle w:val="CETheadingx"/>
      </w:pPr>
      <w:r>
        <w:t>Biogas production</w:t>
      </w:r>
    </w:p>
    <w:p w14:paraId="3348DD19" w14:textId="05034665" w:rsidR="004D3B4E" w:rsidRDefault="007800E0" w:rsidP="004D3B4E">
      <w:pPr>
        <w:pStyle w:val="CETBodytext"/>
      </w:pPr>
      <w:r w:rsidRPr="007800E0">
        <w:t>The production of biogas depends on the food supplied to the biodigester</w:t>
      </w:r>
      <w:r w:rsidR="00682AFC">
        <w:t xml:space="preserve"> (Gomez C., Bosco F., Ruggeri B, 2020)</w:t>
      </w:r>
      <w:r w:rsidRPr="007800E0">
        <w:t>, the biogas generated was detected by witnessing the bubbling in the relief valve indicating the formation of gases 28 days after the first load and then measured by means of a gasometer, obtaining a flow of 0.063 m</w:t>
      </w:r>
      <w:r w:rsidRPr="005D54B5">
        <w:rPr>
          <w:vertAlign w:val="superscript"/>
        </w:rPr>
        <w:t xml:space="preserve">3 </w:t>
      </w:r>
      <w:r w:rsidRPr="007800E0">
        <w:t>per day, as shown in Table 2, projected at 1 month.</w:t>
      </w:r>
      <w:r w:rsidR="005C4532">
        <w:t xml:space="preserve"> </w:t>
      </w:r>
    </w:p>
    <w:p w14:paraId="07913C43" w14:textId="730E05DA" w:rsidR="001D3617" w:rsidRDefault="001D3617" w:rsidP="004D3B4E">
      <w:pPr>
        <w:pStyle w:val="CETBodytext"/>
      </w:pPr>
      <w:r w:rsidRPr="001D3617">
        <w:t>See Figure 1 for the bag containing the biogas generated.</w:t>
      </w:r>
    </w:p>
    <w:p w14:paraId="3D8B5476" w14:textId="77777777" w:rsidR="00842738" w:rsidRDefault="00842738" w:rsidP="004D3B4E">
      <w:pPr>
        <w:pStyle w:val="CETBodytext"/>
      </w:pPr>
    </w:p>
    <w:p w14:paraId="6720BE57" w14:textId="573A965E" w:rsidR="004D3B4E" w:rsidRPr="00417843" w:rsidRDefault="004D3B4E" w:rsidP="004D3B4E">
      <w:pPr>
        <w:jc w:val="left"/>
        <w:rPr>
          <w:i/>
          <w:lang w:val="es-ES"/>
        </w:rPr>
      </w:pPr>
      <w:r w:rsidRPr="00417843">
        <w:rPr>
          <w:i/>
          <w:lang w:val="es-ES"/>
        </w:rPr>
        <w:t>Tabl</w:t>
      </w:r>
      <w:r w:rsidR="00642468">
        <w:rPr>
          <w:i/>
          <w:lang w:val="es-ES"/>
        </w:rPr>
        <w:t>e</w:t>
      </w:r>
      <w:r w:rsidRPr="00417843">
        <w:rPr>
          <w:i/>
          <w:lang w:val="es-ES"/>
        </w:rPr>
        <w:t xml:space="preserve"> 2: </w:t>
      </w:r>
      <w:r w:rsidR="00642468" w:rsidRPr="00021209">
        <w:rPr>
          <w:i/>
          <w:lang w:val="en-US"/>
        </w:rPr>
        <w:t>Biogas production</w:t>
      </w:r>
    </w:p>
    <w:tbl>
      <w:tblPr>
        <w:tblW w:w="8743"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11"/>
        <w:gridCol w:w="950"/>
        <w:gridCol w:w="1330"/>
        <w:gridCol w:w="1711"/>
        <w:gridCol w:w="1711"/>
        <w:gridCol w:w="1330"/>
      </w:tblGrid>
      <w:tr w:rsidR="004D3B4E" w:rsidRPr="00B57B36" w14:paraId="2C534DC0" w14:textId="77777777" w:rsidTr="00F673D3">
        <w:trPr>
          <w:trHeight w:val="248"/>
        </w:trPr>
        <w:tc>
          <w:tcPr>
            <w:tcW w:w="1711" w:type="dxa"/>
            <w:tcBorders>
              <w:top w:val="single" w:sz="12" w:space="0" w:color="008000"/>
              <w:bottom w:val="single" w:sz="6" w:space="0" w:color="008000"/>
            </w:tcBorders>
            <w:shd w:val="clear" w:color="auto" w:fill="FFFFFF"/>
          </w:tcPr>
          <w:p w14:paraId="6E32FE1F" w14:textId="0E78AADB" w:rsidR="004D3B4E" w:rsidRDefault="004D3B4E" w:rsidP="00F673D3">
            <w:pPr>
              <w:pStyle w:val="CETBodytext"/>
              <w:jc w:val="center"/>
              <w:rPr>
                <w:lang w:val="en-GB"/>
              </w:rPr>
            </w:pPr>
            <w:r>
              <w:rPr>
                <w:lang w:val="en-GB"/>
              </w:rPr>
              <w:t>T</w:t>
            </w:r>
            <w:r w:rsidR="00021209">
              <w:rPr>
                <w:lang w:val="en-GB"/>
              </w:rPr>
              <w:t>i</w:t>
            </w:r>
            <w:r>
              <w:rPr>
                <w:lang w:val="en-GB"/>
              </w:rPr>
              <w:t>me</w:t>
            </w:r>
          </w:p>
        </w:tc>
        <w:tc>
          <w:tcPr>
            <w:tcW w:w="950" w:type="dxa"/>
            <w:tcBorders>
              <w:top w:val="single" w:sz="12" w:space="0" w:color="008000"/>
              <w:bottom w:val="single" w:sz="6" w:space="0" w:color="008000"/>
            </w:tcBorders>
            <w:shd w:val="clear" w:color="auto" w:fill="FFFFFF"/>
          </w:tcPr>
          <w:p w14:paraId="354BE865" w14:textId="77777777" w:rsidR="004D3B4E" w:rsidRPr="00B57B36" w:rsidRDefault="004D3B4E" w:rsidP="00F673D3">
            <w:pPr>
              <w:pStyle w:val="CETBodytext"/>
              <w:jc w:val="center"/>
              <w:rPr>
                <w:lang w:val="en-GB"/>
              </w:rPr>
            </w:pPr>
            <w:r>
              <w:rPr>
                <w:lang w:val="en-GB"/>
              </w:rPr>
              <w:t>1h</w:t>
            </w:r>
          </w:p>
        </w:tc>
        <w:tc>
          <w:tcPr>
            <w:tcW w:w="1330" w:type="dxa"/>
            <w:tcBorders>
              <w:top w:val="single" w:sz="12" w:space="0" w:color="008000"/>
              <w:bottom w:val="single" w:sz="6" w:space="0" w:color="008000"/>
            </w:tcBorders>
            <w:shd w:val="clear" w:color="auto" w:fill="FFFFFF"/>
          </w:tcPr>
          <w:p w14:paraId="3C1F2B5B" w14:textId="7366609A" w:rsidR="004D3B4E" w:rsidRPr="00B57B36" w:rsidRDefault="004D3B4E" w:rsidP="00F673D3">
            <w:pPr>
              <w:pStyle w:val="CETBodytext"/>
              <w:jc w:val="center"/>
              <w:rPr>
                <w:lang w:val="en-GB"/>
              </w:rPr>
            </w:pPr>
            <w:r>
              <w:rPr>
                <w:lang w:val="en-GB"/>
              </w:rPr>
              <w:t>1 day</w:t>
            </w:r>
          </w:p>
        </w:tc>
        <w:tc>
          <w:tcPr>
            <w:tcW w:w="1711" w:type="dxa"/>
            <w:tcBorders>
              <w:top w:val="single" w:sz="12" w:space="0" w:color="008000"/>
              <w:bottom w:val="single" w:sz="6" w:space="0" w:color="008000"/>
            </w:tcBorders>
            <w:shd w:val="clear" w:color="auto" w:fill="FFFFFF"/>
          </w:tcPr>
          <w:p w14:paraId="12CF1289" w14:textId="0605816E" w:rsidR="004D3B4E" w:rsidRPr="00B57B36" w:rsidRDefault="004D3B4E" w:rsidP="00F673D3">
            <w:pPr>
              <w:pStyle w:val="CETBodytext"/>
              <w:ind w:right="-1"/>
              <w:jc w:val="center"/>
              <w:rPr>
                <w:rFonts w:cs="Arial"/>
                <w:szCs w:val="18"/>
                <w:lang w:val="en-GB"/>
              </w:rPr>
            </w:pPr>
            <w:r>
              <w:rPr>
                <w:rFonts w:cs="Arial"/>
                <w:szCs w:val="18"/>
                <w:lang w:val="en-GB"/>
              </w:rPr>
              <w:t>2 days</w:t>
            </w:r>
          </w:p>
        </w:tc>
        <w:tc>
          <w:tcPr>
            <w:tcW w:w="1711" w:type="dxa"/>
            <w:tcBorders>
              <w:top w:val="single" w:sz="12" w:space="0" w:color="008000"/>
              <w:bottom w:val="single" w:sz="6" w:space="0" w:color="008000"/>
            </w:tcBorders>
            <w:shd w:val="clear" w:color="auto" w:fill="FFFFFF"/>
          </w:tcPr>
          <w:p w14:paraId="2D06C865" w14:textId="6AF3EB2B" w:rsidR="004D3B4E" w:rsidRPr="00B57B36" w:rsidRDefault="004D3B4E" w:rsidP="00F673D3">
            <w:pPr>
              <w:pStyle w:val="CETBodytext"/>
              <w:ind w:right="-1"/>
              <w:jc w:val="center"/>
              <w:rPr>
                <w:rFonts w:cs="Arial"/>
                <w:szCs w:val="18"/>
                <w:lang w:val="en-GB"/>
              </w:rPr>
            </w:pPr>
            <w:r>
              <w:rPr>
                <w:rFonts w:cs="Arial"/>
                <w:szCs w:val="18"/>
                <w:lang w:val="en-GB"/>
              </w:rPr>
              <w:t>1 Week</w:t>
            </w:r>
          </w:p>
        </w:tc>
        <w:tc>
          <w:tcPr>
            <w:tcW w:w="1330" w:type="dxa"/>
            <w:tcBorders>
              <w:top w:val="single" w:sz="12" w:space="0" w:color="008000"/>
              <w:bottom w:val="single" w:sz="6" w:space="0" w:color="008000"/>
            </w:tcBorders>
            <w:shd w:val="clear" w:color="auto" w:fill="FFFFFF"/>
          </w:tcPr>
          <w:p w14:paraId="78428E20" w14:textId="619911F9" w:rsidR="004D3B4E" w:rsidRDefault="004D3B4E" w:rsidP="00F673D3">
            <w:pPr>
              <w:pStyle w:val="CETBodytext"/>
              <w:ind w:right="-1"/>
              <w:jc w:val="center"/>
              <w:rPr>
                <w:rFonts w:cs="Arial"/>
                <w:szCs w:val="18"/>
                <w:lang w:val="en-GB"/>
              </w:rPr>
            </w:pPr>
            <w:r>
              <w:rPr>
                <w:rFonts w:cs="Arial"/>
                <w:szCs w:val="18"/>
                <w:lang w:val="en-GB"/>
              </w:rPr>
              <w:t>1 month</w:t>
            </w:r>
          </w:p>
        </w:tc>
      </w:tr>
      <w:tr w:rsidR="004D3B4E" w:rsidRPr="00B57B36" w14:paraId="7CA6386D" w14:textId="77777777" w:rsidTr="00F673D3">
        <w:trPr>
          <w:trHeight w:val="75"/>
        </w:trPr>
        <w:tc>
          <w:tcPr>
            <w:tcW w:w="1711" w:type="dxa"/>
            <w:shd w:val="clear" w:color="auto" w:fill="FFFFFF"/>
          </w:tcPr>
          <w:p w14:paraId="12DA766D" w14:textId="43CBCAD8" w:rsidR="004D3B4E" w:rsidRDefault="004D3B4E" w:rsidP="00F673D3">
            <w:pPr>
              <w:pStyle w:val="CETBodytext"/>
              <w:jc w:val="center"/>
              <w:rPr>
                <w:lang w:val="en-GB"/>
              </w:rPr>
            </w:pPr>
            <w:r>
              <w:rPr>
                <w:lang w:val="en-GB"/>
              </w:rPr>
              <w:t>V</w:t>
            </w:r>
            <w:r w:rsidR="00C7570D">
              <w:rPr>
                <w:lang w:val="en-GB"/>
              </w:rPr>
              <w:t>olume</w:t>
            </w:r>
            <w:r>
              <w:rPr>
                <w:lang w:val="en-GB"/>
              </w:rPr>
              <w:t xml:space="preserve"> (m</w:t>
            </w:r>
            <w:r>
              <w:rPr>
                <w:vertAlign w:val="superscript"/>
                <w:lang w:val="en-GB"/>
              </w:rPr>
              <w:t>3</w:t>
            </w:r>
            <w:r>
              <w:rPr>
                <w:lang w:val="en-GB"/>
              </w:rPr>
              <w:t>)</w:t>
            </w:r>
          </w:p>
        </w:tc>
        <w:tc>
          <w:tcPr>
            <w:tcW w:w="950" w:type="dxa"/>
            <w:shd w:val="clear" w:color="auto" w:fill="FFFFFF"/>
          </w:tcPr>
          <w:p w14:paraId="61FDE580" w14:textId="77777777" w:rsidR="004D3B4E" w:rsidRPr="00B57B36" w:rsidRDefault="004D3B4E" w:rsidP="00F673D3">
            <w:pPr>
              <w:pStyle w:val="CETBodytext"/>
              <w:jc w:val="center"/>
              <w:rPr>
                <w:lang w:val="en-GB"/>
              </w:rPr>
            </w:pPr>
            <w:r>
              <w:rPr>
                <w:lang w:val="en-GB"/>
              </w:rPr>
              <w:t>0.015</w:t>
            </w:r>
          </w:p>
        </w:tc>
        <w:tc>
          <w:tcPr>
            <w:tcW w:w="1330" w:type="dxa"/>
            <w:shd w:val="clear" w:color="auto" w:fill="FFFFFF"/>
          </w:tcPr>
          <w:p w14:paraId="645A384A" w14:textId="77777777" w:rsidR="004D3B4E" w:rsidRPr="00B57B36" w:rsidRDefault="004D3B4E" w:rsidP="00F673D3">
            <w:pPr>
              <w:pStyle w:val="CETBodytext"/>
              <w:jc w:val="center"/>
              <w:rPr>
                <w:lang w:val="en-GB"/>
              </w:rPr>
            </w:pPr>
            <w:r>
              <w:rPr>
                <w:lang w:val="en-GB"/>
              </w:rPr>
              <w:t>0.063</w:t>
            </w:r>
          </w:p>
        </w:tc>
        <w:tc>
          <w:tcPr>
            <w:tcW w:w="1711" w:type="dxa"/>
            <w:shd w:val="clear" w:color="auto" w:fill="FFFFFF"/>
          </w:tcPr>
          <w:p w14:paraId="742E5216" w14:textId="77777777" w:rsidR="004D3B4E" w:rsidRPr="00B57B36" w:rsidRDefault="004D3B4E" w:rsidP="00F673D3">
            <w:pPr>
              <w:pStyle w:val="CETBodytext"/>
              <w:ind w:right="-1"/>
              <w:jc w:val="center"/>
              <w:rPr>
                <w:rFonts w:cs="Arial"/>
                <w:szCs w:val="18"/>
                <w:lang w:val="en-GB"/>
              </w:rPr>
            </w:pPr>
            <w:r>
              <w:rPr>
                <w:rFonts w:cs="Arial"/>
                <w:szCs w:val="18"/>
                <w:lang w:val="en-GB"/>
              </w:rPr>
              <w:t>0.112-0.223</w:t>
            </w:r>
          </w:p>
        </w:tc>
        <w:tc>
          <w:tcPr>
            <w:tcW w:w="1711" w:type="dxa"/>
            <w:shd w:val="clear" w:color="auto" w:fill="FFFFFF"/>
          </w:tcPr>
          <w:p w14:paraId="301002B7" w14:textId="77777777" w:rsidR="004D3B4E" w:rsidRPr="00B57B36" w:rsidRDefault="004D3B4E" w:rsidP="00F673D3">
            <w:pPr>
              <w:pStyle w:val="CETBodytext"/>
              <w:ind w:right="-1"/>
              <w:jc w:val="center"/>
              <w:rPr>
                <w:rFonts w:cs="Arial"/>
                <w:szCs w:val="18"/>
                <w:lang w:val="en-GB"/>
              </w:rPr>
            </w:pPr>
            <w:r>
              <w:rPr>
                <w:rFonts w:cs="Arial"/>
                <w:szCs w:val="18"/>
                <w:lang w:val="en-GB"/>
              </w:rPr>
              <w:t>0.572</w:t>
            </w:r>
          </w:p>
        </w:tc>
        <w:tc>
          <w:tcPr>
            <w:tcW w:w="1330" w:type="dxa"/>
            <w:shd w:val="clear" w:color="auto" w:fill="FFFFFF"/>
          </w:tcPr>
          <w:p w14:paraId="7144EF88" w14:textId="77777777" w:rsidR="004D3B4E" w:rsidRPr="00B57B36" w:rsidRDefault="004D3B4E" w:rsidP="00F673D3">
            <w:pPr>
              <w:pStyle w:val="CETBodytext"/>
              <w:ind w:right="-1"/>
              <w:jc w:val="center"/>
              <w:rPr>
                <w:rFonts w:cs="Arial"/>
                <w:szCs w:val="18"/>
                <w:lang w:val="en-GB"/>
              </w:rPr>
            </w:pPr>
            <w:r>
              <w:rPr>
                <w:rFonts w:cs="Arial"/>
                <w:szCs w:val="18"/>
                <w:lang w:val="en-GB"/>
              </w:rPr>
              <w:t>2.288</w:t>
            </w:r>
          </w:p>
        </w:tc>
      </w:tr>
    </w:tbl>
    <w:p w14:paraId="0FCFAFE7" w14:textId="19B354B3" w:rsidR="004D3B4E" w:rsidRPr="00F14FD7" w:rsidRDefault="00847AF6" w:rsidP="004D3B4E">
      <w:pPr>
        <w:ind w:left="360"/>
        <w:rPr>
          <w:lang w:val="es-ES"/>
        </w:rPr>
      </w:pPr>
      <w:r>
        <w:rPr>
          <w:noProof/>
        </w:rPr>
        <w:drawing>
          <wp:anchor distT="0" distB="0" distL="114300" distR="114300" simplePos="0" relativeHeight="251686912" behindDoc="1" locked="0" layoutInCell="1" allowOverlap="1" wp14:anchorId="3EC5C557" wp14:editId="5BBBAD95">
            <wp:simplePos x="0" y="0"/>
            <wp:positionH relativeFrom="margin">
              <wp:posOffset>99266</wp:posOffset>
            </wp:positionH>
            <wp:positionV relativeFrom="paragraph">
              <wp:posOffset>142875</wp:posOffset>
            </wp:positionV>
            <wp:extent cx="1544955" cy="1287145"/>
            <wp:effectExtent l="19050" t="19050" r="17145" b="27305"/>
            <wp:wrapThrough wrapText="bothSides">
              <wp:wrapPolygon edited="0">
                <wp:start x="-266" y="-320"/>
                <wp:lineTo x="-266" y="21739"/>
                <wp:lineTo x="21573" y="21739"/>
                <wp:lineTo x="21573" y="-320"/>
                <wp:lineTo x="-266" y="-320"/>
              </wp:wrapPolygon>
            </wp:wrapThrough>
            <wp:docPr id="46" name="Imagen 46" descr="C:\Users\Kathy\AppData\Local\Microsoft\Windows\INetCache\Content.Word\IMG-20191202-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thy\AppData\Local\Microsoft\Windows\INetCache\Content.Word\IMG-20191202-WA002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4955" cy="128714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2D6309D4" w14:textId="12CE9192" w:rsidR="007800E0" w:rsidRDefault="007800E0" w:rsidP="004D3B4E">
      <w:pPr>
        <w:pStyle w:val="CETBodytext"/>
      </w:pPr>
    </w:p>
    <w:p w14:paraId="11385A7E" w14:textId="2C9093EC" w:rsidR="007800E0" w:rsidRDefault="007800E0" w:rsidP="004D3B4E">
      <w:pPr>
        <w:pStyle w:val="CETBodytext"/>
      </w:pPr>
    </w:p>
    <w:p w14:paraId="6C892678" w14:textId="4992FD9F" w:rsidR="007800E0" w:rsidRDefault="007800E0" w:rsidP="004D3B4E">
      <w:pPr>
        <w:pStyle w:val="CETBodytext"/>
      </w:pPr>
    </w:p>
    <w:p w14:paraId="605D3503" w14:textId="0B5697C0" w:rsidR="007800E0" w:rsidRDefault="007800E0" w:rsidP="004D3B4E">
      <w:pPr>
        <w:pStyle w:val="CETBodytext"/>
      </w:pPr>
    </w:p>
    <w:p w14:paraId="6E26836A" w14:textId="4BBB7ECA" w:rsidR="007800E0" w:rsidRDefault="007800E0" w:rsidP="004D3B4E">
      <w:pPr>
        <w:pStyle w:val="CETBodytext"/>
      </w:pPr>
    </w:p>
    <w:p w14:paraId="61F8BCF9" w14:textId="5E0DDB81" w:rsidR="007800E0" w:rsidRDefault="007800E0" w:rsidP="004D3B4E">
      <w:pPr>
        <w:pStyle w:val="CETBodytext"/>
      </w:pPr>
    </w:p>
    <w:p w14:paraId="54AADC59" w14:textId="7984B091" w:rsidR="00847AF6" w:rsidRDefault="00847AF6" w:rsidP="004D3B4E">
      <w:pPr>
        <w:pStyle w:val="CETBodytext"/>
      </w:pPr>
    </w:p>
    <w:p w14:paraId="7276A960" w14:textId="4D4CCE12" w:rsidR="00847AF6" w:rsidRDefault="00847AF6" w:rsidP="004D3B4E">
      <w:pPr>
        <w:pStyle w:val="CETBodytext"/>
      </w:pPr>
    </w:p>
    <w:p w14:paraId="168A6EAB" w14:textId="57C45FB3" w:rsidR="00847AF6" w:rsidRDefault="00847AF6" w:rsidP="004D3B4E">
      <w:pPr>
        <w:pStyle w:val="CETBodytext"/>
      </w:pPr>
    </w:p>
    <w:p w14:paraId="51BD9431" w14:textId="0FC51585" w:rsidR="007800E0" w:rsidRDefault="007800E0" w:rsidP="00847AF6">
      <w:pPr>
        <w:pStyle w:val="CETCaption"/>
      </w:pPr>
      <w:r w:rsidRPr="00B57B36">
        <w:t xml:space="preserve">Figure 1: </w:t>
      </w:r>
      <w:r w:rsidRPr="008B17A7">
        <w:t>Biogas obtained under anaerobic conditions with sludge</w:t>
      </w:r>
    </w:p>
    <w:p w14:paraId="55435927" w14:textId="0A1EC551" w:rsidR="004D3B4E" w:rsidRPr="00642468" w:rsidRDefault="00642468" w:rsidP="00642468">
      <w:pPr>
        <w:pStyle w:val="CETheadingx"/>
        <w:rPr>
          <w:rStyle w:val="CETheadingxCarattere"/>
          <w:b/>
        </w:rPr>
      </w:pPr>
      <w:bookmarkStart w:id="0" w:name="_Hlk116322253"/>
      <w:r>
        <w:rPr>
          <w:rStyle w:val="CETheadingxCarattere"/>
          <w:b/>
        </w:rPr>
        <w:t>C</w:t>
      </w:r>
      <w:r w:rsidRPr="00642468">
        <w:rPr>
          <w:rStyle w:val="CETheadingxCarattere"/>
          <w:b/>
        </w:rPr>
        <w:t>onversion of the gasoline engine to biogas</w:t>
      </w:r>
    </w:p>
    <w:bookmarkEnd w:id="0"/>
    <w:p w14:paraId="37F03AA4" w14:textId="1EB26BDF" w:rsidR="001D3617" w:rsidRDefault="000012A9" w:rsidP="004D3B4E">
      <w:pPr>
        <w:pStyle w:val="CETBodytext"/>
      </w:pPr>
      <w:r>
        <w:rPr>
          <w:noProof/>
        </w:rPr>
        <w:drawing>
          <wp:anchor distT="0" distB="0" distL="114300" distR="114300" simplePos="0" relativeHeight="251661312" behindDoc="1" locked="0" layoutInCell="1" allowOverlap="1" wp14:anchorId="332A2DBF" wp14:editId="413BE7C6">
            <wp:simplePos x="0" y="0"/>
            <wp:positionH relativeFrom="column">
              <wp:posOffset>279818</wp:posOffset>
            </wp:positionH>
            <wp:positionV relativeFrom="paragraph">
              <wp:posOffset>1235215</wp:posOffset>
            </wp:positionV>
            <wp:extent cx="1548462" cy="1949551"/>
            <wp:effectExtent l="27940" t="10160" r="22860" b="22860"/>
            <wp:wrapNone/>
            <wp:docPr id="76" name="Imagen 76" descr="C:\Users\Kathy\AppData\Local\Microsoft\Windows\INetCache\Content.Word\20191124_082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athy\AppData\Local\Microsoft\Windows\INetCache\Content.Word\20191124_08212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551472" cy="19533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332A3C" w:rsidRPr="00332A3C">
        <w:t xml:space="preserve">For the conversion, the biogas concentration was evaluated with the </w:t>
      </w:r>
      <w:proofErr w:type="spellStart"/>
      <w:r w:rsidR="00332A3C" w:rsidRPr="00332A3C">
        <w:t>Multitec</w:t>
      </w:r>
      <w:proofErr w:type="spellEnd"/>
      <w:r w:rsidR="00332A3C" w:rsidRPr="00332A3C">
        <w:t>® 540 equipment, which measures the mixture of gases produced during biological processes. Concentrations of 57.7% methane (CH</w:t>
      </w:r>
      <w:r w:rsidR="00332A3C" w:rsidRPr="005D54B5">
        <w:rPr>
          <w:vertAlign w:val="subscript"/>
        </w:rPr>
        <w:t>4</w:t>
      </w:r>
      <w:r w:rsidR="00332A3C" w:rsidRPr="00332A3C">
        <w:t>), 33% carbon dioxide (CO</w:t>
      </w:r>
      <w:r w:rsidR="00332A3C" w:rsidRPr="00332A3C">
        <w:rPr>
          <w:vertAlign w:val="subscript"/>
        </w:rPr>
        <w:t>2</w:t>
      </w:r>
      <w:r w:rsidR="00332A3C" w:rsidRPr="00332A3C">
        <w:t>) and 10 ppm of hydrogen sulfides (H</w:t>
      </w:r>
      <w:r w:rsidR="00332A3C" w:rsidRPr="00332A3C">
        <w:rPr>
          <w:vertAlign w:val="subscript"/>
        </w:rPr>
        <w:t>2</w:t>
      </w:r>
      <w:r w:rsidR="00332A3C" w:rsidRPr="00332A3C">
        <w:t>S) were found, thus presenting the appropriate characteristics to generate electricity. For this, a four-stroke electric generator (gas station), 3.0 HP, single-cylinder, with a rotation speed of 3000 rpm, maximum output power 1500 watts, with a 25 mm diameter carburetor was used. The mechanism consists of placing a gas mixer at the carburetor inlet whose function is to mix the biogas and the air appropriately. To start up the generator set, a little gasoline was used to activate the spark ignition, to then closed the gasoline tap and opened the biogas tap at an angle of 45º.</w:t>
      </w:r>
      <w:r w:rsidR="009B1E4B">
        <w:t xml:space="preserve"> </w:t>
      </w:r>
      <w:r w:rsidR="001D3617" w:rsidRPr="001D3617">
        <w:t>Figure 2 shows the converter mixer equipment at the carburetor inlet of a generator set.</w:t>
      </w:r>
    </w:p>
    <w:p w14:paraId="039A1AED" w14:textId="33B415BB" w:rsidR="00642468" w:rsidRDefault="000012A9" w:rsidP="004D3B4E">
      <w:pPr>
        <w:pStyle w:val="CETBodytext"/>
      </w:pPr>
      <w:r>
        <w:rPr>
          <w:noProof/>
        </w:rPr>
        <w:drawing>
          <wp:anchor distT="0" distB="0" distL="114300" distR="114300" simplePos="0" relativeHeight="251687936" behindDoc="1" locked="0" layoutInCell="1" allowOverlap="1" wp14:anchorId="31E9B6EC" wp14:editId="1DADDF97">
            <wp:simplePos x="0" y="0"/>
            <wp:positionH relativeFrom="column">
              <wp:posOffset>3118612</wp:posOffset>
            </wp:positionH>
            <wp:positionV relativeFrom="paragraph">
              <wp:posOffset>108966</wp:posOffset>
            </wp:positionV>
            <wp:extent cx="1975104" cy="1480763"/>
            <wp:effectExtent l="0" t="0" r="635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5104" cy="1480763"/>
                    </a:xfrm>
                    <a:prstGeom prst="rect">
                      <a:avLst/>
                    </a:prstGeom>
                    <a:noFill/>
                  </pic:spPr>
                </pic:pic>
              </a:graphicData>
            </a:graphic>
            <wp14:sizeRelH relativeFrom="margin">
              <wp14:pctWidth>0</wp14:pctWidth>
            </wp14:sizeRelH>
            <wp14:sizeRelV relativeFrom="margin">
              <wp14:pctHeight>0</wp14:pctHeight>
            </wp14:sizeRelV>
          </wp:anchor>
        </w:drawing>
      </w:r>
    </w:p>
    <w:p w14:paraId="70428039" w14:textId="31967A65" w:rsidR="008B17A7" w:rsidRDefault="008B17A7" w:rsidP="004D3B4E">
      <w:pPr>
        <w:pStyle w:val="CETBodytext"/>
      </w:pPr>
    </w:p>
    <w:p w14:paraId="345BFAA1" w14:textId="67032035" w:rsidR="00642468" w:rsidRDefault="00642468" w:rsidP="004D3B4E">
      <w:pPr>
        <w:pStyle w:val="CETBodytext"/>
      </w:pPr>
    </w:p>
    <w:p w14:paraId="5F2755FB" w14:textId="031A70D4" w:rsidR="008B17A7" w:rsidRDefault="008B17A7" w:rsidP="004D3B4E">
      <w:pPr>
        <w:pStyle w:val="CETBodytext"/>
      </w:pPr>
    </w:p>
    <w:p w14:paraId="2867250C" w14:textId="18050166" w:rsidR="008B17A7" w:rsidRDefault="008B17A7" w:rsidP="004D3B4E">
      <w:pPr>
        <w:pStyle w:val="CETBodytext"/>
      </w:pPr>
    </w:p>
    <w:p w14:paraId="13136DD7" w14:textId="55D6DE16" w:rsidR="008B17A7" w:rsidRDefault="008B17A7" w:rsidP="004D3B4E">
      <w:pPr>
        <w:pStyle w:val="CETBodytext"/>
      </w:pPr>
    </w:p>
    <w:p w14:paraId="4A215906" w14:textId="4839CB27" w:rsidR="008B17A7" w:rsidRDefault="008B17A7" w:rsidP="004D3B4E">
      <w:pPr>
        <w:pStyle w:val="CETBodytext"/>
      </w:pPr>
    </w:p>
    <w:p w14:paraId="356A1BBA" w14:textId="44E1C706" w:rsidR="008B17A7" w:rsidRDefault="008B17A7" w:rsidP="004D3B4E">
      <w:pPr>
        <w:pStyle w:val="CETBodytext"/>
      </w:pPr>
    </w:p>
    <w:p w14:paraId="701A7020" w14:textId="4BAC586F" w:rsidR="008B17A7" w:rsidRDefault="008B17A7" w:rsidP="004D3B4E">
      <w:pPr>
        <w:pStyle w:val="CETBodytext"/>
      </w:pPr>
    </w:p>
    <w:p w14:paraId="29F8B6A6" w14:textId="5A7CB299" w:rsidR="008B17A7" w:rsidRDefault="008B17A7" w:rsidP="004D3B4E">
      <w:pPr>
        <w:pStyle w:val="CETBodytext"/>
      </w:pPr>
    </w:p>
    <w:p w14:paraId="6CBD43FC" w14:textId="4C968DD6" w:rsidR="008B17A7" w:rsidRDefault="008B17A7" w:rsidP="004D3B4E">
      <w:pPr>
        <w:pStyle w:val="CETBodytext"/>
      </w:pPr>
    </w:p>
    <w:p w14:paraId="19D45528" w14:textId="090840EC" w:rsidR="008B17A7" w:rsidRDefault="000012A9" w:rsidP="004D3B4E">
      <w:pPr>
        <w:pStyle w:val="CETBodytext"/>
      </w:pPr>
      <w:r w:rsidRPr="000012A9">
        <w:rPr>
          <w:noProof/>
        </w:rPr>
        <mc:AlternateContent>
          <mc:Choice Requires="wps">
            <w:drawing>
              <wp:anchor distT="45720" distB="45720" distL="114300" distR="114300" simplePos="0" relativeHeight="251692032" behindDoc="1" locked="0" layoutInCell="1" allowOverlap="1" wp14:anchorId="77259134" wp14:editId="102D8225">
                <wp:simplePos x="0" y="0"/>
                <wp:positionH relativeFrom="column">
                  <wp:posOffset>36195</wp:posOffset>
                </wp:positionH>
                <wp:positionV relativeFrom="paragraph">
                  <wp:posOffset>126365</wp:posOffset>
                </wp:positionV>
                <wp:extent cx="2360930" cy="1404620"/>
                <wp:effectExtent l="0" t="0" r="127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E03E934" w14:textId="59A0A70B" w:rsidR="000012A9" w:rsidRPr="000012A9" w:rsidRDefault="000012A9" w:rsidP="000012A9">
                            <w:pPr>
                              <w:jc w:val="left"/>
                              <w:rPr>
                                <w:i/>
                                <w:iCs/>
                                <w:lang w:val="en-US"/>
                              </w:rPr>
                            </w:pPr>
                            <w:r w:rsidRPr="000012A9">
                              <w:rPr>
                                <w:i/>
                                <w:iCs/>
                                <w:lang w:val="en-US"/>
                              </w:rPr>
                              <w:t>Figure 2: Mixer (generator biogas conversion) at the carburetor inlet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259134" id="_x0000_t202" coordsize="21600,21600" o:spt="202" path="m,l,21600r21600,l21600,xe">
                <v:stroke joinstyle="miter"/>
                <v:path gradientshapeok="t" o:connecttype="rect"/>
              </v:shapetype>
              <v:shape id="Cuadro de texto 2" o:spid="_x0000_s1026" type="#_x0000_t202" style="position:absolute;left:0;text-align:left;margin-left:2.85pt;margin-top:9.95pt;width:185.9pt;height:110.6pt;z-index:-251624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" stroked="f">
                <v:textbox style="mso-fit-shape-to-text:t">
                  <w:txbxContent>
                    <w:p w14:paraId="1E03E934" w14:textId="59A0A70B" w:rsidR="000012A9" w:rsidRPr="000012A9" w:rsidRDefault="000012A9" w:rsidP="000012A9">
                      <w:pPr>
                        <w:jc w:val="left"/>
                        <w:rPr>
                          <w:i/>
                          <w:iCs/>
                          <w:lang w:val="en-US"/>
                        </w:rPr>
                      </w:pPr>
                      <w:r w:rsidRPr="000012A9">
                        <w:rPr>
                          <w:i/>
                          <w:iCs/>
                          <w:lang w:val="en-US"/>
                        </w:rPr>
                        <w:t>Figure 2: Mixer (generator biogas conversion) at the carburetor inlet</w:t>
                      </w:r>
                    </w:p>
                  </w:txbxContent>
                </v:textbox>
              </v:shape>
            </w:pict>
          </mc:Fallback>
        </mc:AlternateContent>
      </w:r>
      <w:r w:rsidRPr="000012A9">
        <w:rPr>
          <w:noProof/>
        </w:rPr>
        <mc:AlternateContent>
          <mc:Choice Requires="wps">
            <w:drawing>
              <wp:anchor distT="45720" distB="45720" distL="114300" distR="114300" simplePos="0" relativeHeight="251689984" behindDoc="1" locked="0" layoutInCell="1" allowOverlap="1" wp14:anchorId="4F1E9BA6" wp14:editId="10B26629">
                <wp:simplePos x="0" y="0"/>
                <wp:positionH relativeFrom="column">
                  <wp:posOffset>3148051</wp:posOffset>
                </wp:positionH>
                <wp:positionV relativeFrom="paragraph">
                  <wp:posOffset>82880</wp:posOffset>
                </wp:positionV>
                <wp:extent cx="2360930" cy="1404620"/>
                <wp:effectExtent l="0" t="0" r="127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9827573" w14:textId="68E47EEA" w:rsidR="000012A9" w:rsidRPr="000012A9" w:rsidRDefault="000012A9" w:rsidP="000012A9">
                            <w:pPr>
                              <w:jc w:val="left"/>
                              <w:rPr>
                                <w:i/>
                                <w:iCs/>
                                <w:lang w:val="en-US"/>
                              </w:rPr>
                            </w:pPr>
                            <w:r w:rsidRPr="000012A9">
                              <w:rPr>
                                <w:i/>
                                <w:iCs/>
                                <w:lang w:val="en-US"/>
                              </w:rPr>
                              <w:t>Figure 3: LED light bulbs powered by biogas energy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1E9BA6" id="_x0000_s1027" type="#_x0000_t202" style="position:absolute;left:0;text-align:left;margin-left:247.9pt;margin-top:6.55pt;width:185.9pt;height:110.6pt;z-index:-251626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" stroked="f">
                <v:textbox style="mso-fit-shape-to-text:t">
                  <w:txbxContent>
                    <w:p w14:paraId="59827573" w14:textId="68E47EEA" w:rsidR="000012A9" w:rsidRPr="000012A9" w:rsidRDefault="000012A9" w:rsidP="000012A9">
                      <w:pPr>
                        <w:jc w:val="left"/>
                        <w:rPr>
                          <w:i/>
                          <w:iCs/>
                          <w:lang w:val="en-US"/>
                        </w:rPr>
                      </w:pPr>
                      <w:r w:rsidRPr="000012A9">
                        <w:rPr>
                          <w:i/>
                          <w:iCs/>
                          <w:lang w:val="en-US"/>
                        </w:rPr>
                        <w:t>Figure 3: LED light bulbs powered by biogas energy</w:t>
                      </w:r>
                    </w:p>
                  </w:txbxContent>
                </v:textbox>
              </v:shape>
            </w:pict>
          </mc:Fallback>
        </mc:AlternateContent>
      </w:r>
    </w:p>
    <w:p w14:paraId="5B6D8585" w14:textId="631D096F" w:rsidR="000012A9" w:rsidRDefault="000012A9" w:rsidP="008B17A7">
      <w:pPr>
        <w:pStyle w:val="CETCaption"/>
        <w:rPr>
          <w:lang w:val="en-US"/>
        </w:rPr>
      </w:pPr>
    </w:p>
    <w:p w14:paraId="72C860D3" w14:textId="7D0C469D" w:rsidR="008B17A7" w:rsidRDefault="008B17A7" w:rsidP="00847AF6">
      <w:pPr>
        <w:pStyle w:val="CETBodytext"/>
        <w:spacing w:after="120"/>
        <w:rPr>
          <w:rStyle w:val="CETheadingxCarattere"/>
        </w:rPr>
      </w:pPr>
      <w:r w:rsidRPr="0069261F">
        <w:t xml:space="preserve">2.5. </w:t>
      </w:r>
      <w:r w:rsidRPr="00847AF6">
        <w:rPr>
          <w:rStyle w:val="CETheadingxCarattere"/>
        </w:rPr>
        <w:t>Energy measurement</w:t>
      </w:r>
    </w:p>
    <w:p w14:paraId="06E529BA" w14:textId="22D5CCBF" w:rsidR="007E6412" w:rsidRPr="007E6412" w:rsidRDefault="007E6412" w:rsidP="007E6412">
      <w:pPr>
        <w:pStyle w:val="CETBodytext"/>
      </w:pPr>
      <w:r w:rsidRPr="007E6412">
        <w:t xml:space="preserve">The energy generated was measured in situ with an ammeter clamp, both voltage and intensity in a time of 3600 s; according to </w:t>
      </w:r>
      <w:proofErr w:type="spellStart"/>
      <w:r w:rsidR="00847AF6" w:rsidRPr="00847AF6">
        <w:t>M</w:t>
      </w:r>
      <w:r w:rsidR="00847AF6">
        <w:t>elegari</w:t>
      </w:r>
      <w:proofErr w:type="spellEnd"/>
      <w:r w:rsidR="00847AF6">
        <w:t xml:space="preserve"> et all.</w:t>
      </w:r>
      <w:r w:rsidRPr="007E6412">
        <w:t xml:space="preserve"> (2012), the calorific value is calculated according to the chemical composition of biogas, with 60</w:t>
      </w:r>
      <w:r w:rsidR="00842738">
        <w:t xml:space="preserve"> </w:t>
      </w:r>
      <w:r w:rsidRPr="007E6412">
        <w:t>% CH</w:t>
      </w:r>
      <w:r w:rsidRPr="007E6412">
        <w:rPr>
          <w:vertAlign w:val="subscript"/>
        </w:rPr>
        <w:t>4</w:t>
      </w:r>
      <w:r w:rsidRPr="007E6412">
        <w:t xml:space="preserve"> corresponding to a lower calorific value (ICP) of 4229.98 Kcal.kg</w:t>
      </w:r>
      <w:r w:rsidR="00847AF6">
        <w:rPr>
          <w:vertAlign w:val="superscript"/>
        </w:rPr>
        <w:t>-</w:t>
      </w:r>
      <w:r>
        <w:rPr>
          <w:vertAlign w:val="superscript"/>
        </w:rPr>
        <w:t>1</w:t>
      </w:r>
      <w:r w:rsidRPr="007E6412">
        <w:t xml:space="preserve"> and density 1.2143 kg.m</w:t>
      </w:r>
      <w:r w:rsidRPr="007E6412">
        <w:rPr>
          <w:vertAlign w:val="superscript"/>
        </w:rPr>
        <w:t>-3</w:t>
      </w:r>
      <w:r w:rsidRPr="007E6412">
        <w:t>, in the research the methane CH4 produced was 57.7</w:t>
      </w:r>
      <w:r>
        <w:t xml:space="preserve"> </w:t>
      </w:r>
      <w:r w:rsidRPr="007E6412">
        <w:t>%.</w:t>
      </w:r>
    </w:p>
    <w:p w14:paraId="59356F1D" w14:textId="6BDFB57A" w:rsidR="008B17A7" w:rsidRDefault="008B17A7" w:rsidP="004D3B4E">
      <w:pPr>
        <w:pStyle w:val="CETBodytext"/>
      </w:pPr>
    </w:p>
    <w:p w14:paraId="00420435" w14:textId="49FF0791" w:rsidR="007708A9" w:rsidRDefault="007708A9" w:rsidP="004D3B4E">
      <w:pPr>
        <w:pStyle w:val="CETBodytext"/>
      </w:pPr>
      <w:r w:rsidRPr="007708A9">
        <w:t>Calculating the calorific value</w:t>
      </w:r>
    </w:p>
    <w:p w14:paraId="57D228BB" w14:textId="77777777" w:rsidR="00847AF6" w:rsidRDefault="00847AF6" w:rsidP="004D3B4E">
      <w:pPr>
        <w:pStyle w:val="CETBodytex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403"/>
      </w:tblGrid>
      <w:tr w:rsidR="007708A9" w14:paraId="4670E490" w14:textId="77777777" w:rsidTr="007708A9">
        <w:tc>
          <w:tcPr>
            <w:tcW w:w="6374" w:type="dxa"/>
          </w:tcPr>
          <w:p w14:paraId="1C000A0D" w14:textId="77777777" w:rsidR="007708A9" w:rsidRPr="007708A9" w:rsidRDefault="007708A9" w:rsidP="007708A9">
            <w:pPr>
              <w:spacing w:line="240" w:lineRule="auto"/>
              <w:jc w:val="left"/>
              <w:rPr>
                <w:lang w:val="en-US"/>
              </w:rPr>
            </w:pPr>
            <w:r>
              <w:rPr>
                <w:noProof/>
                <w:lang w:val="es-PE" w:eastAsia="es-PE"/>
              </w:rPr>
              <mc:AlternateContent>
                <mc:Choice Requires="wps">
                  <w:drawing>
                    <wp:anchor distT="0" distB="0" distL="114300" distR="114300" simplePos="0" relativeHeight="251672576" behindDoc="0" locked="0" layoutInCell="1" allowOverlap="1" wp14:anchorId="161596F6" wp14:editId="554D0DCB">
                      <wp:simplePos x="0" y="0"/>
                      <wp:positionH relativeFrom="margin">
                        <wp:posOffset>986790</wp:posOffset>
                      </wp:positionH>
                      <wp:positionV relativeFrom="paragraph">
                        <wp:posOffset>76200</wp:posOffset>
                      </wp:positionV>
                      <wp:extent cx="619125" cy="0"/>
                      <wp:effectExtent l="0" t="0" r="28575" b="19050"/>
                      <wp:wrapNone/>
                      <wp:docPr id="13" name="Conector recto 13"/>
                      <wp:cNvGraphicFramePr/>
                      <a:graphic xmlns:a="http://schemas.openxmlformats.org/drawingml/2006/main">
                        <a:graphicData uri="http://schemas.microsoft.com/office/word/2010/wordprocessingShape">
                          <wps:wsp>
                            <wps:cNvCnPr/>
                            <wps:spPr>
                              <a:xfrm>
                                <a:off x="0" y="0"/>
                                <a:ext cx="61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65AC21" id="Conector recto 13"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7.7pt,6pt" to="126.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" strokecolor="black [3040]">
                      <w10:wrap anchorx="margin"/>
                    </v:line>
                  </w:pict>
                </mc:Fallback>
              </mc:AlternateContent>
            </w:r>
            <w:r w:rsidRPr="007708A9">
              <w:rPr>
                <w:lang w:val="en-US"/>
              </w:rPr>
              <w:t>4229,98 Kcal.kg-1                         60 %     ……………………… (6)</w:t>
            </w:r>
          </w:p>
          <w:p w14:paraId="5E9AA074" w14:textId="6F8FFF32" w:rsidR="007708A9" w:rsidRPr="007708A9" w:rsidRDefault="007708A9" w:rsidP="007708A9">
            <w:pPr>
              <w:spacing w:line="240" w:lineRule="auto"/>
              <w:jc w:val="left"/>
              <w:rPr>
                <w:lang w:val="en-US"/>
              </w:rPr>
            </w:pPr>
            <w:r>
              <w:rPr>
                <w:noProof/>
                <w:lang w:val="es-PE" w:eastAsia="es-PE"/>
              </w:rPr>
              <mc:AlternateContent>
                <mc:Choice Requires="wps">
                  <w:drawing>
                    <wp:anchor distT="0" distB="0" distL="114300" distR="114300" simplePos="0" relativeHeight="251673600" behindDoc="0" locked="0" layoutInCell="1" allowOverlap="1" wp14:anchorId="081707F4" wp14:editId="4BF8DF89">
                      <wp:simplePos x="0" y="0"/>
                      <wp:positionH relativeFrom="margin">
                        <wp:posOffset>1051560</wp:posOffset>
                      </wp:positionH>
                      <wp:positionV relativeFrom="paragraph">
                        <wp:posOffset>90170</wp:posOffset>
                      </wp:positionV>
                      <wp:extent cx="552450" cy="0"/>
                      <wp:effectExtent l="0" t="0" r="0" b="0"/>
                      <wp:wrapNone/>
                      <wp:docPr id="14" name="Conector recto 14"/>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A00C1" id="Conector recto 14"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2.8pt,7.1pt" to="126.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" strokecolor="black [3040]">
                      <w10:wrap anchorx="margin"/>
                    </v:line>
                  </w:pict>
                </mc:Fallback>
              </mc:AlternateContent>
            </w:r>
            <w:r w:rsidRPr="007708A9">
              <w:rPr>
                <w:lang w:val="en-US"/>
              </w:rPr>
              <w:t xml:space="preserve">      X          </w:t>
            </w:r>
            <w:r w:rsidR="00B6101A">
              <w:rPr>
                <w:lang w:val="en-US"/>
              </w:rPr>
              <w:t xml:space="preserve">        </w:t>
            </w:r>
            <w:r w:rsidRPr="007708A9">
              <w:rPr>
                <w:lang w:val="en-US"/>
              </w:rPr>
              <w:t xml:space="preserve">  </w:t>
            </w:r>
            <w:r w:rsidR="00B6101A">
              <w:rPr>
                <w:lang w:val="en-US"/>
              </w:rPr>
              <w:t xml:space="preserve"> </w:t>
            </w:r>
            <w:r w:rsidRPr="007708A9">
              <w:rPr>
                <w:lang w:val="en-US"/>
              </w:rPr>
              <w:t xml:space="preserve">                         57.7 %</w:t>
            </w:r>
          </w:p>
        </w:tc>
        <w:tc>
          <w:tcPr>
            <w:tcW w:w="2403" w:type="dxa"/>
          </w:tcPr>
          <w:p w14:paraId="6D0A7D2C" w14:textId="1099F85A" w:rsidR="007708A9" w:rsidRDefault="007708A9" w:rsidP="007708A9">
            <w:pPr>
              <w:pStyle w:val="CETBodytext"/>
              <w:ind w:firstLine="1738"/>
              <w:jc w:val="right"/>
            </w:pPr>
            <w:r>
              <w:t xml:space="preserve"> (6)</w:t>
            </w:r>
          </w:p>
        </w:tc>
      </w:tr>
    </w:tbl>
    <w:p w14:paraId="4511E708" w14:textId="77777777" w:rsidR="00847AF6" w:rsidRDefault="00847AF6" w:rsidP="00847AF6">
      <w:pPr>
        <w:spacing w:line="240" w:lineRule="auto"/>
        <w:jc w:val="left"/>
        <w:rPr>
          <w:lang w:val="en-US"/>
        </w:rPr>
      </w:pPr>
    </w:p>
    <w:p w14:paraId="28D15CFD" w14:textId="4F211D84" w:rsidR="007708A9" w:rsidRPr="00847AF6" w:rsidRDefault="007708A9" w:rsidP="00847AF6">
      <w:pPr>
        <w:spacing w:line="240" w:lineRule="auto"/>
        <w:jc w:val="left"/>
        <w:rPr>
          <w:lang w:val="en-US"/>
        </w:rPr>
      </w:pPr>
      <w:r w:rsidRPr="00847AF6">
        <w:rPr>
          <w:lang w:val="en-US"/>
        </w:rPr>
        <w:t>X= 4067.831 Kcal.kg</w:t>
      </w:r>
      <w:r w:rsidRPr="00847AF6">
        <w:rPr>
          <w:vertAlign w:val="superscript"/>
          <w:lang w:val="en-US"/>
        </w:rPr>
        <w:t>-1</w:t>
      </w:r>
    </w:p>
    <w:p w14:paraId="3E4B75C0" w14:textId="6FF11100" w:rsidR="007708A9" w:rsidRPr="00847AF6" w:rsidRDefault="007708A9" w:rsidP="004D3B4E">
      <w:pPr>
        <w:pStyle w:val="CETBodytext"/>
      </w:pPr>
    </w:p>
    <w:p w14:paraId="0E262D6E" w14:textId="394AFBEE" w:rsidR="007708A9" w:rsidRPr="00847AF6" w:rsidRDefault="00B6101A" w:rsidP="004D3B4E">
      <w:pPr>
        <w:pStyle w:val="CETBodytext"/>
        <w:rPr>
          <w:vertAlign w:val="superscript"/>
        </w:rPr>
      </w:pPr>
      <w:proofErr w:type="spellStart"/>
      <w:r w:rsidRPr="00847AF6">
        <w:t>Convertion</w:t>
      </w:r>
      <w:proofErr w:type="spellEnd"/>
      <w:r w:rsidRPr="00847AF6">
        <w:t xml:space="preserve"> a KJ/ m</w:t>
      </w:r>
      <w:r w:rsidRPr="00847AF6">
        <w:rPr>
          <w:vertAlign w:val="superscript"/>
        </w:rPr>
        <w:t>3</w:t>
      </w:r>
    </w:p>
    <w:p w14:paraId="0CAF9C9A" w14:textId="77777777" w:rsidR="00B6101A" w:rsidRPr="00847AF6" w:rsidRDefault="00B6101A" w:rsidP="004D3B4E">
      <w:pPr>
        <w:pStyle w:val="CETBodytex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403"/>
      </w:tblGrid>
      <w:tr w:rsidR="00B6101A" w14:paraId="1CAAC2C2" w14:textId="77777777" w:rsidTr="00F673D3">
        <w:tc>
          <w:tcPr>
            <w:tcW w:w="6374" w:type="dxa"/>
          </w:tcPr>
          <w:p w14:paraId="5A0EDA93" w14:textId="673316B7" w:rsidR="00B6101A" w:rsidRPr="0069261F" w:rsidRDefault="00B6101A" w:rsidP="00B6101A">
            <w:pPr>
              <w:pBdr>
                <w:top w:val="nil"/>
                <w:left w:val="nil"/>
                <w:bottom w:val="nil"/>
                <w:right w:val="nil"/>
                <w:between w:val="nil"/>
              </w:pBdr>
              <w:spacing w:line="240" w:lineRule="auto"/>
              <w:jc w:val="left"/>
              <w:rPr>
                <w:rFonts w:eastAsia="Arial" w:cs="Arial"/>
                <w:color w:val="000000"/>
                <w:szCs w:val="18"/>
                <w:vertAlign w:val="superscript"/>
                <w:lang w:val="en-US"/>
              </w:rPr>
            </w:pPr>
            <w:r w:rsidRPr="00B6101A">
              <w:rPr>
                <w:rFonts w:eastAsia="Arial" w:cs="Arial"/>
                <w:color w:val="000000"/>
                <w:szCs w:val="18"/>
                <w:lang w:val="en-US"/>
              </w:rPr>
              <w:t>4067.831 Kcal x 1,214 Kg       x     4,187 KJ     = 20676,858 KJ/m</w:t>
            </w:r>
            <w:r w:rsidRPr="00B6101A">
              <w:rPr>
                <w:rFonts w:eastAsia="Arial" w:cs="Arial"/>
                <w:color w:val="000000"/>
                <w:szCs w:val="18"/>
                <w:vertAlign w:val="superscript"/>
                <w:lang w:val="en-US"/>
              </w:rPr>
              <w:t>3</w:t>
            </w:r>
            <w:r w:rsidRPr="00B6101A">
              <w:rPr>
                <w:lang w:val="en-US"/>
              </w:rPr>
              <w:t xml:space="preserve">  </w:t>
            </w:r>
          </w:p>
          <w:p w14:paraId="4543D876" w14:textId="6444F8BE" w:rsidR="00B6101A" w:rsidRPr="005168CD" w:rsidRDefault="00B6101A" w:rsidP="005168CD">
            <w:pPr>
              <w:pBdr>
                <w:top w:val="nil"/>
                <w:left w:val="nil"/>
                <w:bottom w:val="nil"/>
                <w:right w:val="nil"/>
                <w:between w:val="nil"/>
              </w:pBdr>
              <w:spacing w:line="240" w:lineRule="auto"/>
              <w:jc w:val="left"/>
              <w:rPr>
                <w:rFonts w:eastAsia="Arial" w:cs="Arial"/>
                <w:color w:val="000000"/>
                <w:szCs w:val="18"/>
                <w:lang w:val="es-ES"/>
              </w:rPr>
            </w:pPr>
            <w:r>
              <w:rPr>
                <w:noProof/>
                <w:lang w:val="es-PE" w:eastAsia="es-PE"/>
              </w:rPr>
              <mc:AlternateContent>
                <mc:Choice Requires="wps">
                  <w:drawing>
                    <wp:anchor distT="0" distB="0" distL="114300" distR="114300" simplePos="0" relativeHeight="251678720" behindDoc="0" locked="0" layoutInCell="1" allowOverlap="1" wp14:anchorId="7AE7B379" wp14:editId="25DD1036">
                      <wp:simplePos x="0" y="0"/>
                      <wp:positionH relativeFrom="margin">
                        <wp:posOffset>53340</wp:posOffset>
                      </wp:positionH>
                      <wp:positionV relativeFrom="paragraph">
                        <wp:posOffset>3175</wp:posOffset>
                      </wp:positionV>
                      <wp:extent cx="619125" cy="0"/>
                      <wp:effectExtent l="0" t="0" r="28575" b="19050"/>
                      <wp:wrapNone/>
                      <wp:docPr id="17" name="Conector recto 17"/>
                      <wp:cNvGraphicFramePr/>
                      <a:graphic xmlns:a="http://schemas.openxmlformats.org/drawingml/2006/main">
                        <a:graphicData uri="http://schemas.microsoft.com/office/word/2010/wordprocessingShape">
                          <wps:wsp>
                            <wps:cNvCnPr/>
                            <wps:spPr>
                              <a:xfrm>
                                <a:off x="0" y="0"/>
                                <a:ext cx="61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BB280E" id="Conector recto 17"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25pt" to="52.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" strokecolor="black [3040]">
                      <w10:wrap anchorx="margin"/>
                    </v:line>
                  </w:pict>
                </mc:Fallback>
              </mc:AlternateContent>
            </w:r>
            <w:r>
              <w:rPr>
                <w:noProof/>
                <w:lang w:val="es-PE" w:eastAsia="es-PE"/>
              </w:rPr>
              <mc:AlternateContent>
                <mc:Choice Requires="wps">
                  <w:drawing>
                    <wp:anchor distT="0" distB="0" distL="114300" distR="114300" simplePos="0" relativeHeight="251680768" behindDoc="0" locked="0" layoutInCell="1" allowOverlap="1" wp14:anchorId="2CC3A6C9" wp14:editId="68E22537">
                      <wp:simplePos x="0" y="0"/>
                      <wp:positionH relativeFrom="margin">
                        <wp:posOffset>1720215</wp:posOffset>
                      </wp:positionH>
                      <wp:positionV relativeFrom="paragraph">
                        <wp:posOffset>6350</wp:posOffset>
                      </wp:positionV>
                      <wp:extent cx="619125" cy="0"/>
                      <wp:effectExtent l="0" t="0" r="28575" b="19050"/>
                      <wp:wrapNone/>
                      <wp:docPr id="18" name="Conector recto 18"/>
                      <wp:cNvGraphicFramePr/>
                      <a:graphic xmlns:a="http://schemas.openxmlformats.org/drawingml/2006/main">
                        <a:graphicData uri="http://schemas.microsoft.com/office/word/2010/wordprocessingShape">
                          <wps:wsp>
                            <wps:cNvCnPr/>
                            <wps:spPr>
                              <a:xfrm>
                                <a:off x="0" y="0"/>
                                <a:ext cx="61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622A65" id="Conector recto 18"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45pt,.5pt" to="184.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" strokecolor="black [3040]">
                      <w10:wrap anchorx="margin"/>
                    </v:line>
                  </w:pict>
                </mc:Fallback>
              </mc:AlternateContent>
            </w:r>
            <w:r>
              <w:rPr>
                <w:noProof/>
                <w:lang w:val="es-PE" w:eastAsia="es-PE"/>
              </w:rPr>
              <mc:AlternateContent>
                <mc:Choice Requires="wps">
                  <w:drawing>
                    <wp:anchor distT="0" distB="0" distL="114300" distR="114300" simplePos="0" relativeHeight="251679744" behindDoc="0" locked="0" layoutInCell="1" allowOverlap="1" wp14:anchorId="46BA91A9" wp14:editId="7E72E2B2">
                      <wp:simplePos x="0" y="0"/>
                      <wp:positionH relativeFrom="margin">
                        <wp:posOffset>805815</wp:posOffset>
                      </wp:positionH>
                      <wp:positionV relativeFrom="paragraph">
                        <wp:posOffset>0</wp:posOffset>
                      </wp:positionV>
                      <wp:extent cx="619125" cy="0"/>
                      <wp:effectExtent l="0" t="0" r="28575" b="19050"/>
                      <wp:wrapNone/>
                      <wp:docPr id="19" name="Conector recto 19"/>
                      <wp:cNvGraphicFramePr/>
                      <a:graphic xmlns:a="http://schemas.openxmlformats.org/drawingml/2006/main">
                        <a:graphicData uri="http://schemas.microsoft.com/office/word/2010/wordprocessingShape">
                          <wps:wsp>
                            <wps:cNvCnPr/>
                            <wps:spPr>
                              <a:xfrm>
                                <a:off x="0" y="0"/>
                                <a:ext cx="61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13F26" id="Conector recto 19"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3.45pt,0" to="11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" strokecolor="black [3040]">
                      <w10:wrap anchorx="margin"/>
                    </v:line>
                  </w:pict>
                </mc:Fallback>
              </mc:AlternateContent>
            </w:r>
            <w:r w:rsidRPr="0069261F">
              <w:rPr>
                <w:rFonts w:eastAsia="Arial" w:cs="Arial"/>
                <w:color w:val="000000"/>
                <w:szCs w:val="18"/>
                <w:lang w:val="en-US"/>
              </w:rPr>
              <w:t xml:space="preserve">         </w:t>
            </w:r>
            <w:r>
              <w:rPr>
                <w:rFonts w:eastAsia="Arial" w:cs="Arial"/>
                <w:color w:val="000000"/>
                <w:szCs w:val="18"/>
                <w:lang w:val="es-ES"/>
              </w:rPr>
              <w:t>Kg                  m</w:t>
            </w:r>
            <w:r>
              <w:rPr>
                <w:rFonts w:eastAsia="Arial" w:cs="Arial"/>
                <w:color w:val="000000"/>
                <w:szCs w:val="18"/>
                <w:vertAlign w:val="superscript"/>
                <w:lang w:val="es-ES"/>
              </w:rPr>
              <w:t>3</w:t>
            </w:r>
            <w:r w:rsidRPr="00F14FD7">
              <w:rPr>
                <w:rFonts w:eastAsia="Arial" w:cs="Arial"/>
                <w:color w:val="000000"/>
                <w:szCs w:val="18"/>
                <w:lang w:val="es-ES"/>
              </w:rPr>
              <w:t xml:space="preserve">                    </w:t>
            </w:r>
            <w:r>
              <w:rPr>
                <w:rFonts w:eastAsia="Arial" w:cs="Arial"/>
                <w:color w:val="000000"/>
                <w:szCs w:val="18"/>
                <w:lang w:val="es-ES"/>
              </w:rPr>
              <w:t xml:space="preserve">  </w:t>
            </w:r>
            <w:r w:rsidRPr="00F14FD7">
              <w:rPr>
                <w:rFonts w:eastAsia="Arial" w:cs="Arial"/>
                <w:color w:val="000000"/>
                <w:szCs w:val="18"/>
                <w:lang w:val="es-ES"/>
              </w:rPr>
              <w:t xml:space="preserve"> Kcal </w:t>
            </w:r>
            <w:r>
              <w:rPr>
                <w:rFonts w:eastAsia="Arial" w:cs="Arial"/>
                <w:color w:val="000000"/>
                <w:szCs w:val="18"/>
                <w:lang w:val="es-ES"/>
              </w:rPr>
              <w:t xml:space="preserve">                                      </w:t>
            </w:r>
          </w:p>
        </w:tc>
        <w:tc>
          <w:tcPr>
            <w:tcW w:w="2403" w:type="dxa"/>
          </w:tcPr>
          <w:p w14:paraId="56D3F6AA" w14:textId="14F8EFB5" w:rsidR="00B6101A" w:rsidRDefault="00B6101A" w:rsidP="00F673D3">
            <w:pPr>
              <w:pStyle w:val="CETBodytext"/>
              <w:ind w:firstLine="1738"/>
              <w:jc w:val="right"/>
            </w:pPr>
            <w:r>
              <w:t xml:space="preserve"> (7)</w:t>
            </w:r>
          </w:p>
        </w:tc>
      </w:tr>
    </w:tbl>
    <w:p w14:paraId="7600CC70" w14:textId="77777777" w:rsidR="007708A9" w:rsidRPr="00B6101A" w:rsidRDefault="007708A9" w:rsidP="007708A9">
      <w:pPr>
        <w:ind w:left="360"/>
        <w:jc w:val="left"/>
        <w:rPr>
          <w:lang w:val="es-PE"/>
        </w:rPr>
      </w:pPr>
    </w:p>
    <w:p w14:paraId="4910FE67" w14:textId="5A6DD8A4" w:rsidR="007708A9" w:rsidRPr="00B0332B" w:rsidRDefault="00B6101A" w:rsidP="007708A9">
      <w:pPr>
        <w:pBdr>
          <w:top w:val="nil"/>
          <w:left w:val="nil"/>
          <w:bottom w:val="nil"/>
          <w:right w:val="nil"/>
          <w:between w:val="nil"/>
        </w:pBdr>
        <w:spacing w:line="240" w:lineRule="auto"/>
        <w:jc w:val="left"/>
        <w:rPr>
          <w:lang w:val="en-US"/>
        </w:rPr>
      </w:pPr>
      <w:r w:rsidRPr="00B0332B">
        <w:rPr>
          <w:lang w:val="en-US"/>
        </w:rPr>
        <w:t>Total energy</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403"/>
      </w:tblGrid>
      <w:tr w:rsidR="005168CD" w14:paraId="298CB1A1" w14:textId="77777777" w:rsidTr="00F673D3">
        <w:tc>
          <w:tcPr>
            <w:tcW w:w="6374" w:type="dxa"/>
          </w:tcPr>
          <w:p w14:paraId="155B1055" w14:textId="209422E8" w:rsidR="005168CD" w:rsidRPr="007708A9" w:rsidRDefault="005168CD" w:rsidP="00F673D3">
            <w:pPr>
              <w:spacing w:line="240" w:lineRule="auto"/>
              <w:jc w:val="left"/>
              <w:rPr>
                <w:lang w:val="en-US"/>
              </w:rPr>
            </w:pPr>
            <w:r w:rsidRPr="00382CB6">
              <w:rPr>
                <w:rFonts w:eastAsia="Arial" w:cs="Arial"/>
                <w:color w:val="000000"/>
                <w:szCs w:val="18"/>
                <w:lang w:val="es-ES"/>
              </w:rPr>
              <w:t xml:space="preserve">ET= 0.720 x 20676.858 x 2.777 x 10-4 </w:t>
            </w:r>
            <w:proofErr w:type="spellStart"/>
            <w:r w:rsidRPr="00382CB6">
              <w:rPr>
                <w:rFonts w:eastAsia="Arial" w:cs="Arial"/>
                <w:color w:val="000000"/>
                <w:szCs w:val="18"/>
                <w:lang w:val="es-ES"/>
              </w:rPr>
              <w:t>Wh</w:t>
            </w:r>
            <w:proofErr w:type="spellEnd"/>
            <w:r w:rsidR="00B0332B">
              <w:rPr>
                <w:rFonts w:eastAsia="Arial" w:cs="Arial"/>
                <w:color w:val="000000"/>
                <w:szCs w:val="18"/>
                <w:lang w:val="es-ES"/>
              </w:rPr>
              <w:t>*</w:t>
            </w:r>
            <w:r w:rsidRPr="00382CB6">
              <w:rPr>
                <w:rFonts w:eastAsia="Arial" w:cs="Arial"/>
                <w:color w:val="000000"/>
                <w:szCs w:val="18"/>
                <w:lang w:val="es-ES"/>
              </w:rPr>
              <w:t>J</w:t>
            </w:r>
            <w:r w:rsidRPr="005168CD">
              <w:rPr>
                <w:rFonts w:eastAsia="Arial" w:cs="Arial"/>
                <w:color w:val="000000"/>
                <w:szCs w:val="18"/>
                <w:vertAlign w:val="superscript"/>
                <w:lang w:val="es-ES"/>
              </w:rPr>
              <w:t>-1</w:t>
            </w:r>
          </w:p>
        </w:tc>
        <w:tc>
          <w:tcPr>
            <w:tcW w:w="2403" w:type="dxa"/>
          </w:tcPr>
          <w:p w14:paraId="618E4227" w14:textId="3A9BAE86" w:rsidR="005168CD" w:rsidRDefault="005168CD" w:rsidP="00F673D3">
            <w:pPr>
              <w:pStyle w:val="CETBodytext"/>
              <w:ind w:firstLine="1738"/>
              <w:jc w:val="right"/>
            </w:pPr>
            <w:r>
              <w:t xml:space="preserve"> (8)</w:t>
            </w:r>
          </w:p>
        </w:tc>
      </w:tr>
      <w:tr w:rsidR="005168CD" w14:paraId="614FA6D8" w14:textId="77777777" w:rsidTr="00F673D3">
        <w:tc>
          <w:tcPr>
            <w:tcW w:w="6374" w:type="dxa"/>
          </w:tcPr>
          <w:p w14:paraId="158730B4" w14:textId="77777777" w:rsidR="005168CD" w:rsidRDefault="005168CD" w:rsidP="00F673D3">
            <w:pPr>
              <w:pStyle w:val="CETBodytext"/>
            </w:pPr>
          </w:p>
        </w:tc>
        <w:tc>
          <w:tcPr>
            <w:tcW w:w="2403" w:type="dxa"/>
          </w:tcPr>
          <w:p w14:paraId="7E641A3E" w14:textId="77777777" w:rsidR="005168CD" w:rsidRDefault="005168CD" w:rsidP="00F673D3">
            <w:pPr>
              <w:pStyle w:val="CETBodytext"/>
            </w:pPr>
          </w:p>
        </w:tc>
      </w:tr>
    </w:tbl>
    <w:p w14:paraId="0E32E7F0" w14:textId="77777777" w:rsidR="005168CD" w:rsidRPr="00382CB6" w:rsidRDefault="005168CD" w:rsidP="005168CD">
      <w:pPr>
        <w:pBdr>
          <w:top w:val="nil"/>
          <w:left w:val="nil"/>
          <w:bottom w:val="nil"/>
          <w:right w:val="nil"/>
          <w:between w:val="nil"/>
        </w:pBdr>
        <w:spacing w:line="240" w:lineRule="auto"/>
        <w:jc w:val="left"/>
        <w:rPr>
          <w:rFonts w:eastAsia="Arial" w:cs="Arial"/>
          <w:color w:val="000000"/>
          <w:szCs w:val="18"/>
          <w:lang w:val="es-ES"/>
        </w:rPr>
      </w:pPr>
      <w:r w:rsidRPr="00382CB6">
        <w:rPr>
          <w:rFonts w:eastAsia="Arial" w:cs="Arial"/>
          <w:color w:val="000000"/>
          <w:szCs w:val="18"/>
          <w:lang w:val="es-ES"/>
        </w:rPr>
        <w:t>ET= 4.134 KW-h</w:t>
      </w:r>
    </w:p>
    <w:p w14:paraId="730F5EE0" w14:textId="2FB7A3CC" w:rsidR="005168CD" w:rsidRDefault="005168CD" w:rsidP="007708A9">
      <w:pPr>
        <w:pBdr>
          <w:top w:val="nil"/>
          <w:left w:val="nil"/>
          <w:bottom w:val="nil"/>
          <w:right w:val="nil"/>
          <w:between w:val="nil"/>
        </w:pBdr>
        <w:spacing w:line="240" w:lineRule="auto"/>
        <w:jc w:val="left"/>
        <w:rPr>
          <w:lang w:val="es-ES"/>
        </w:rPr>
      </w:pPr>
    </w:p>
    <w:p w14:paraId="10AC6433" w14:textId="4DAD5E99" w:rsidR="007708A9" w:rsidRPr="00B0332B" w:rsidRDefault="005168CD" w:rsidP="005168CD">
      <w:pPr>
        <w:pBdr>
          <w:top w:val="nil"/>
          <w:left w:val="nil"/>
          <w:bottom w:val="nil"/>
          <w:right w:val="nil"/>
          <w:between w:val="nil"/>
        </w:pBdr>
        <w:spacing w:line="240" w:lineRule="auto"/>
        <w:jc w:val="left"/>
        <w:rPr>
          <w:rFonts w:eastAsia="Arial" w:cs="Arial"/>
          <w:color w:val="000000"/>
          <w:szCs w:val="18"/>
          <w:lang w:val="en-US"/>
        </w:rPr>
      </w:pPr>
      <w:r w:rsidRPr="00B0332B">
        <w:rPr>
          <w:rFonts w:eastAsia="Arial" w:cs="Arial"/>
          <w:color w:val="000000"/>
          <w:szCs w:val="18"/>
          <w:lang w:val="en-US"/>
        </w:rPr>
        <w:t>Useful energy</w:t>
      </w:r>
    </w:p>
    <w:p w14:paraId="5C959FFC" w14:textId="77777777" w:rsidR="007708A9" w:rsidRPr="00382CB6" w:rsidRDefault="007708A9" w:rsidP="007708A9">
      <w:pPr>
        <w:pBdr>
          <w:top w:val="nil"/>
          <w:left w:val="nil"/>
          <w:bottom w:val="nil"/>
          <w:right w:val="nil"/>
          <w:between w:val="nil"/>
        </w:pBdr>
        <w:spacing w:line="240" w:lineRule="auto"/>
        <w:ind w:left="426"/>
        <w:jc w:val="left"/>
        <w:rPr>
          <w:rFonts w:eastAsia="Arial" w:cs="Arial"/>
          <w:color w:val="000000"/>
          <w:szCs w:val="18"/>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403"/>
      </w:tblGrid>
      <w:tr w:rsidR="005168CD" w14:paraId="687AFA63" w14:textId="77777777" w:rsidTr="00F673D3">
        <w:tc>
          <w:tcPr>
            <w:tcW w:w="6374" w:type="dxa"/>
          </w:tcPr>
          <w:p w14:paraId="6532B253" w14:textId="186186DD" w:rsidR="005168CD" w:rsidRPr="005168CD" w:rsidRDefault="005168CD" w:rsidP="005168CD">
            <w:pPr>
              <w:pBdr>
                <w:top w:val="nil"/>
                <w:left w:val="nil"/>
                <w:bottom w:val="nil"/>
                <w:right w:val="nil"/>
                <w:between w:val="nil"/>
              </w:pBdr>
              <w:spacing w:line="240" w:lineRule="auto"/>
              <w:jc w:val="left"/>
              <w:rPr>
                <w:rFonts w:eastAsia="Arial" w:cs="Arial"/>
                <w:color w:val="000000"/>
                <w:szCs w:val="18"/>
                <w:lang w:val="es-ES"/>
              </w:rPr>
            </w:pPr>
            <w:r w:rsidRPr="00E47101">
              <w:rPr>
                <w:rFonts w:eastAsia="Arial" w:cs="Arial"/>
                <w:color w:val="000000"/>
                <w:szCs w:val="18"/>
                <w:lang w:val="es-ES"/>
              </w:rPr>
              <w:t xml:space="preserve">EU= 218 x 0.46 x 1     </w:t>
            </w:r>
          </w:p>
        </w:tc>
        <w:tc>
          <w:tcPr>
            <w:tcW w:w="2403" w:type="dxa"/>
          </w:tcPr>
          <w:p w14:paraId="64F00EF7" w14:textId="39B83001" w:rsidR="005168CD" w:rsidRDefault="005168CD" w:rsidP="005168CD">
            <w:pPr>
              <w:pStyle w:val="CETBodytext"/>
              <w:ind w:firstLine="1738"/>
              <w:jc w:val="right"/>
            </w:pPr>
            <w:r>
              <w:t xml:space="preserve"> (9)</w:t>
            </w:r>
          </w:p>
        </w:tc>
      </w:tr>
      <w:tr w:rsidR="005168CD" w14:paraId="34548FE8" w14:textId="77777777" w:rsidTr="00F673D3">
        <w:tc>
          <w:tcPr>
            <w:tcW w:w="6374" w:type="dxa"/>
          </w:tcPr>
          <w:p w14:paraId="16CA7C8E" w14:textId="77777777" w:rsidR="005168CD" w:rsidRDefault="005168CD" w:rsidP="005168CD">
            <w:pPr>
              <w:pBdr>
                <w:top w:val="nil"/>
                <w:left w:val="nil"/>
                <w:bottom w:val="nil"/>
                <w:right w:val="nil"/>
                <w:between w:val="nil"/>
              </w:pBdr>
              <w:spacing w:line="240" w:lineRule="auto"/>
              <w:jc w:val="left"/>
              <w:rPr>
                <w:rFonts w:eastAsia="Arial" w:cs="Arial"/>
                <w:color w:val="000000"/>
                <w:szCs w:val="18"/>
                <w:lang w:val="es-ES"/>
              </w:rPr>
            </w:pPr>
            <w:r>
              <w:rPr>
                <w:rFonts w:eastAsia="Arial" w:cs="Arial"/>
                <w:color w:val="000000"/>
                <w:szCs w:val="18"/>
                <w:lang w:val="es-ES"/>
              </w:rPr>
              <w:t>EU=100.28</w:t>
            </w:r>
            <w:r w:rsidRPr="00F14FD7">
              <w:rPr>
                <w:rFonts w:eastAsia="Arial" w:cs="Arial"/>
                <w:color w:val="000000"/>
                <w:szCs w:val="18"/>
                <w:lang w:val="es-ES"/>
              </w:rPr>
              <w:t xml:space="preserve"> x</w:t>
            </w:r>
            <w:r>
              <w:rPr>
                <w:rFonts w:eastAsia="Arial" w:cs="Arial"/>
                <w:color w:val="000000"/>
                <w:szCs w:val="18"/>
                <w:lang w:val="es-ES"/>
              </w:rPr>
              <w:t xml:space="preserve"> 1 KW-h</w:t>
            </w:r>
            <w:r w:rsidRPr="00F14FD7">
              <w:rPr>
                <w:rFonts w:eastAsia="Arial" w:cs="Arial"/>
                <w:color w:val="000000"/>
                <w:szCs w:val="18"/>
                <w:lang w:val="es-ES"/>
              </w:rPr>
              <w:t xml:space="preserve"> </w:t>
            </w:r>
          </w:p>
          <w:p w14:paraId="50E48DF1" w14:textId="333DAEE0" w:rsidR="005168CD" w:rsidRPr="005168CD" w:rsidRDefault="005168CD" w:rsidP="005168CD">
            <w:pPr>
              <w:pBdr>
                <w:top w:val="nil"/>
                <w:left w:val="nil"/>
                <w:bottom w:val="nil"/>
                <w:right w:val="nil"/>
                <w:between w:val="nil"/>
              </w:pBdr>
              <w:spacing w:line="240" w:lineRule="auto"/>
              <w:jc w:val="left"/>
              <w:rPr>
                <w:rFonts w:eastAsia="Arial" w:cs="Arial"/>
                <w:color w:val="000000"/>
                <w:szCs w:val="18"/>
                <w:lang w:val="es-ES"/>
              </w:rPr>
            </w:pPr>
            <w:r>
              <w:rPr>
                <w:noProof/>
                <w:lang w:val="es-PE" w:eastAsia="es-PE"/>
              </w:rPr>
              <mc:AlternateContent>
                <mc:Choice Requires="wps">
                  <w:drawing>
                    <wp:anchor distT="0" distB="0" distL="114300" distR="114300" simplePos="0" relativeHeight="251682816" behindDoc="0" locked="0" layoutInCell="1" allowOverlap="1" wp14:anchorId="6916B823" wp14:editId="27A2FFD7">
                      <wp:simplePos x="0" y="0"/>
                      <wp:positionH relativeFrom="margin">
                        <wp:posOffset>701040</wp:posOffset>
                      </wp:positionH>
                      <wp:positionV relativeFrom="paragraph">
                        <wp:posOffset>3175</wp:posOffset>
                      </wp:positionV>
                      <wp:extent cx="419100" cy="0"/>
                      <wp:effectExtent l="0" t="0" r="19050" b="19050"/>
                      <wp:wrapNone/>
                      <wp:docPr id="26" name="Conector recto 26"/>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1C192" id="Conector recto 26"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2pt,.25pt" to="8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oSlwEAAIc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" strokecolor="black [3040]">
                      <w10:wrap anchorx="margin"/>
                    </v:line>
                  </w:pict>
                </mc:Fallback>
              </mc:AlternateContent>
            </w:r>
            <w:r>
              <w:rPr>
                <w:rFonts w:eastAsia="Arial" w:cs="Arial"/>
                <w:color w:val="000000"/>
                <w:szCs w:val="18"/>
                <w:lang w:val="es-ES"/>
              </w:rPr>
              <w:t xml:space="preserve">                         1000</w:t>
            </w:r>
          </w:p>
        </w:tc>
        <w:tc>
          <w:tcPr>
            <w:tcW w:w="2403" w:type="dxa"/>
          </w:tcPr>
          <w:p w14:paraId="6B26388E" w14:textId="77777777" w:rsidR="005168CD" w:rsidRDefault="005168CD" w:rsidP="005168CD">
            <w:pPr>
              <w:pStyle w:val="CETBodytext"/>
            </w:pPr>
          </w:p>
        </w:tc>
      </w:tr>
      <w:tr w:rsidR="005168CD" w14:paraId="2481E592" w14:textId="77777777" w:rsidTr="00847AF6">
        <w:trPr>
          <w:trHeight w:val="278"/>
        </w:trPr>
        <w:tc>
          <w:tcPr>
            <w:tcW w:w="6374" w:type="dxa"/>
          </w:tcPr>
          <w:p w14:paraId="7C0F73E6" w14:textId="1AB9541D" w:rsidR="005168CD" w:rsidRDefault="005168CD" w:rsidP="005168CD">
            <w:pPr>
              <w:pBdr>
                <w:top w:val="nil"/>
                <w:left w:val="nil"/>
                <w:bottom w:val="nil"/>
                <w:right w:val="nil"/>
                <w:between w:val="nil"/>
              </w:pBdr>
              <w:spacing w:line="240" w:lineRule="auto"/>
              <w:jc w:val="left"/>
              <w:rPr>
                <w:rFonts w:eastAsia="Arial" w:cs="Arial"/>
                <w:color w:val="000000"/>
                <w:szCs w:val="18"/>
                <w:lang w:val="es-ES"/>
              </w:rPr>
            </w:pPr>
            <w:r w:rsidRPr="00F14FD7">
              <w:rPr>
                <w:rFonts w:eastAsia="Arial" w:cs="Arial"/>
                <w:color w:val="000000"/>
                <w:szCs w:val="18"/>
                <w:lang w:val="es-ES"/>
              </w:rPr>
              <w:t>EU=0.100 KW-h</w:t>
            </w:r>
          </w:p>
        </w:tc>
        <w:tc>
          <w:tcPr>
            <w:tcW w:w="2403" w:type="dxa"/>
          </w:tcPr>
          <w:p w14:paraId="77DE4174" w14:textId="77777777" w:rsidR="005168CD" w:rsidRDefault="005168CD" w:rsidP="005168CD">
            <w:pPr>
              <w:pStyle w:val="CETBodytext"/>
            </w:pPr>
          </w:p>
        </w:tc>
      </w:tr>
    </w:tbl>
    <w:p w14:paraId="48EE8488" w14:textId="77777777" w:rsidR="007708A9" w:rsidRPr="00F14FD7" w:rsidRDefault="007708A9" w:rsidP="007708A9">
      <w:pPr>
        <w:pBdr>
          <w:top w:val="nil"/>
          <w:left w:val="nil"/>
          <w:bottom w:val="nil"/>
          <w:right w:val="nil"/>
          <w:between w:val="nil"/>
        </w:pBdr>
        <w:spacing w:line="240" w:lineRule="auto"/>
        <w:jc w:val="left"/>
        <w:rPr>
          <w:rFonts w:eastAsia="Arial" w:cs="Arial"/>
          <w:color w:val="000000"/>
          <w:szCs w:val="18"/>
          <w:lang w:val="es-ES"/>
        </w:rPr>
      </w:pPr>
    </w:p>
    <w:p w14:paraId="01C687A4" w14:textId="5F5F7E3F" w:rsidR="007708A9" w:rsidRPr="00377F99" w:rsidRDefault="005168CD" w:rsidP="007708A9">
      <w:pPr>
        <w:pBdr>
          <w:top w:val="nil"/>
          <w:left w:val="nil"/>
          <w:bottom w:val="nil"/>
          <w:right w:val="nil"/>
          <w:between w:val="nil"/>
        </w:pBdr>
        <w:spacing w:line="240" w:lineRule="auto"/>
        <w:jc w:val="left"/>
        <w:rPr>
          <w:rFonts w:eastAsia="Arial" w:cs="Arial"/>
          <w:b/>
          <w:color w:val="000000"/>
          <w:szCs w:val="18"/>
          <w:lang w:val="es-ES"/>
        </w:rPr>
      </w:pPr>
      <w:r w:rsidRPr="00B0332B">
        <w:rPr>
          <w:rFonts w:eastAsia="Arial" w:cs="Arial"/>
          <w:b/>
          <w:color w:val="000000"/>
          <w:szCs w:val="18"/>
          <w:lang w:val="en-US"/>
        </w:rPr>
        <w:t>Yield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555"/>
      </w:tblGrid>
      <w:tr w:rsidR="005168CD" w14:paraId="7C3C2D8A" w14:textId="77777777" w:rsidTr="008D10D6">
        <w:tc>
          <w:tcPr>
            <w:tcW w:w="8222" w:type="dxa"/>
          </w:tcPr>
          <w:p w14:paraId="19D0BC88" w14:textId="5B140125" w:rsidR="00EC22E7" w:rsidRPr="00B92D69" w:rsidRDefault="00791800" w:rsidP="00791800">
            <w:pPr>
              <w:pStyle w:val="CETEquation"/>
              <w:rPr>
                <w:rFonts w:eastAsia="Arial"/>
                <w:vertAlign w:val="superscript"/>
                <w:lang w:val="es-ES"/>
              </w:rPr>
            </w:pPr>
            <w:r>
              <w:rPr>
                <w:noProof/>
                <w:lang w:val="es-PE" w:eastAsia="es-PE"/>
              </w:rPr>
              <mc:AlternateContent>
                <mc:Choice Requires="wps">
                  <w:drawing>
                    <wp:anchor distT="0" distB="0" distL="114300" distR="114300" simplePos="0" relativeHeight="251684864" behindDoc="0" locked="0" layoutInCell="1" allowOverlap="1" wp14:anchorId="04F9D756" wp14:editId="2F0A4007">
                      <wp:simplePos x="0" y="0"/>
                      <wp:positionH relativeFrom="margin">
                        <wp:posOffset>148590</wp:posOffset>
                      </wp:positionH>
                      <wp:positionV relativeFrom="paragraph">
                        <wp:posOffset>234950</wp:posOffset>
                      </wp:positionV>
                      <wp:extent cx="1143000" cy="0"/>
                      <wp:effectExtent l="0" t="0" r="19050" b="19050"/>
                      <wp:wrapNone/>
                      <wp:docPr id="27" name="Conector recto 27"/>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259548" id="Conector recto 27"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7pt,18.5pt" to="101.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" strokecolor="black [3040]">
                      <w10:wrap anchorx="margin"/>
                    </v:line>
                  </w:pict>
                </mc:Fallback>
              </mc:AlternateContent>
            </w:r>
            <w:r w:rsidR="00EC22E7" w:rsidRPr="00F14FD7">
              <w:rPr>
                <w:rFonts w:eastAsia="Arial"/>
                <w:lang w:val="es-ES"/>
              </w:rPr>
              <w:t>R=0.100 KW-h   x1 00</w:t>
            </w:r>
            <w:r w:rsidR="00EC22E7">
              <w:rPr>
                <w:rFonts w:eastAsia="Arial"/>
                <w:lang w:val="es-ES"/>
              </w:rPr>
              <w:t xml:space="preserve">      </w:t>
            </w:r>
          </w:p>
          <w:p w14:paraId="0B688EE2" w14:textId="63D0C49F" w:rsidR="005168CD" w:rsidRPr="00EC22E7" w:rsidRDefault="00EC22E7" w:rsidP="00791800">
            <w:pPr>
              <w:pStyle w:val="CETEquation"/>
              <w:rPr>
                <w:rFonts w:eastAsia="Arial"/>
                <w:lang w:val="es-ES"/>
              </w:rPr>
            </w:pPr>
            <w:r>
              <w:rPr>
                <w:rFonts w:eastAsia="Arial"/>
                <w:lang w:val="es-ES"/>
              </w:rPr>
              <w:t xml:space="preserve">     </w:t>
            </w:r>
            <w:r w:rsidRPr="00F14FD7">
              <w:rPr>
                <w:rFonts w:eastAsia="Arial"/>
                <w:lang w:val="es-ES"/>
              </w:rPr>
              <w:t>4.13 KW-h</w:t>
            </w:r>
          </w:p>
        </w:tc>
        <w:tc>
          <w:tcPr>
            <w:tcW w:w="555" w:type="dxa"/>
          </w:tcPr>
          <w:p w14:paraId="453E25C7" w14:textId="69F275BF" w:rsidR="005168CD" w:rsidRDefault="005168CD" w:rsidP="00791800">
            <w:pPr>
              <w:pStyle w:val="CETEquation"/>
            </w:pPr>
            <w:r>
              <w:t xml:space="preserve"> (</w:t>
            </w:r>
            <w:r w:rsidR="00EC22E7">
              <w:t>10</w:t>
            </w:r>
            <w:r>
              <w:t>)</w:t>
            </w:r>
          </w:p>
        </w:tc>
      </w:tr>
      <w:tr w:rsidR="005168CD" w14:paraId="276DD98B" w14:textId="77777777" w:rsidTr="008D10D6">
        <w:tc>
          <w:tcPr>
            <w:tcW w:w="8222" w:type="dxa"/>
          </w:tcPr>
          <w:p w14:paraId="2BABF6B4" w14:textId="2182F070" w:rsidR="005168CD" w:rsidRPr="00791800" w:rsidRDefault="00EC22E7" w:rsidP="00791800">
            <w:pPr>
              <w:pStyle w:val="CETEquation"/>
              <w:rPr>
                <w:rFonts w:eastAsia="Arial"/>
                <w:lang w:val="es-ES"/>
              </w:rPr>
            </w:pPr>
            <w:r w:rsidRPr="00F14FD7">
              <w:rPr>
                <w:rFonts w:eastAsia="Arial"/>
                <w:lang w:val="es-ES"/>
              </w:rPr>
              <w:t xml:space="preserve">R= 2.421 %  </w:t>
            </w:r>
          </w:p>
        </w:tc>
        <w:tc>
          <w:tcPr>
            <w:tcW w:w="555" w:type="dxa"/>
          </w:tcPr>
          <w:p w14:paraId="7F241CB2" w14:textId="77777777" w:rsidR="005168CD" w:rsidRDefault="005168CD" w:rsidP="00791800">
            <w:pPr>
              <w:pStyle w:val="CETEquation"/>
            </w:pPr>
          </w:p>
        </w:tc>
      </w:tr>
    </w:tbl>
    <w:p w14:paraId="677EBFF0" w14:textId="0AC0D265" w:rsidR="00600535" w:rsidRDefault="00EC22E7" w:rsidP="004D3B4E">
      <w:pPr>
        <w:pStyle w:val="CETHeading1"/>
      </w:pPr>
      <w:r>
        <w:t>Results and discussion</w:t>
      </w:r>
    </w:p>
    <w:p w14:paraId="04963A06" w14:textId="5A2ED4F3" w:rsidR="00600535" w:rsidRDefault="0013339C" w:rsidP="00FA5F5F">
      <w:pPr>
        <w:pStyle w:val="CETheadingx"/>
      </w:pPr>
      <w:r>
        <w:t>C</w:t>
      </w:r>
      <w:r w:rsidR="00791800" w:rsidRPr="00791800">
        <w:t>omposition of gases generated in biogas</w:t>
      </w:r>
    </w:p>
    <w:p w14:paraId="023AB96E" w14:textId="00A38A10" w:rsidR="00406DA1" w:rsidRPr="008D10D6" w:rsidRDefault="00406DA1" w:rsidP="00343308">
      <w:pPr>
        <w:pStyle w:val="CETBodytext"/>
      </w:pPr>
      <w:r w:rsidRPr="008D10D6">
        <w:t xml:space="preserve">Figure 2, shows that the highest methane production was 59.0 %, according to the publication of </w:t>
      </w:r>
      <w:proofErr w:type="spellStart"/>
      <w:r w:rsidRPr="008D10D6">
        <w:t>Osinergmin</w:t>
      </w:r>
      <w:proofErr w:type="spellEnd"/>
      <w:r w:rsidRPr="008D10D6">
        <w:t>, (2017) mentions that, for the application of energy from biogas, methane should range between 50 to 70</w:t>
      </w:r>
      <w:r>
        <w:t xml:space="preserve"> </w:t>
      </w:r>
      <w:r w:rsidRPr="008D10D6">
        <w:t>%, then what was obtained is locating the concentration within the indicated range. Likewise, according to FAO, (2011) in its biogas manual indicates that Carbon Dioxide (CO</w:t>
      </w:r>
      <w:r w:rsidRPr="008D10D6">
        <w:rPr>
          <w:vertAlign w:val="subscript"/>
        </w:rPr>
        <w:t>2</w:t>
      </w:r>
      <w:r w:rsidRPr="008D10D6">
        <w:t>) ranges from 30 to 45%, whose maximum value obtained in the laboratory results was 33%, registering a favorable value for biogas production and its application in the generation of electricity</w:t>
      </w:r>
      <w:r w:rsidR="00343308">
        <w:t>.</w:t>
      </w:r>
    </w:p>
    <w:p w14:paraId="39DC7ECD" w14:textId="5AF955EA" w:rsidR="00406DA1" w:rsidRDefault="00406DA1" w:rsidP="00406DA1">
      <w:pPr>
        <w:pStyle w:val="CETBodytext"/>
      </w:pPr>
    </w:p>
    <w:p w14:paraId="2A61CAE0" w14:textId="181DA3A8" w:rsidR="00406DA1" w:rsidRPr="00406DA1" w:rsidRDefault="00406DA1" w:rsidP="00406DA1">
      <w:pPr>
        <w:pStyle w:val="CETBodytext"/>
      </w:pPr>
      <w:r>
        <w:rPr>
          <w:noProof/>
        </w:rPr>
        <w:drawing>
          <wp:inline distT="0" distB="0" distL="0" distR="0" wp14:anchorId="441C3448" wp14:editId="52E1AC93">
            <wp:extent cx="5340096" cy="2040940"/>
            <wp:effectExtent l="0" t="0" r="13335" b="16510"/>
            <wp:docPr id="1" name="Gráfico 1">
              <a:extLst xmlns:a="http://schemas.openxmlformats.org/drawingml/2006/main">
                <a:ext uri="{FF2B5EF4-FFF2-40B4-BE49-F238E27FC236}">
                  <a16:creationId xmlns:a16="http://schemas.microsoft.com/office/drawing/2014/main" id="{25261ADA-73A9-C4AB-2F70-1EDE989E0E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5E87671" w14:textId="143738A0" w:rsidR="008D10D6" w:rsidRDefault="008D10D6" w:rsidP="008D10D6">
      <w:pPr>
        <w:pStyle w:val="CETCaption"/>
        <w:rPr>
          <w:rFonts w:eastAsia="Arial"/>
        </w:rPr>
      </w:pPr>
      <w:r w:rsidRPr="008D10D6">
        <w:rPr>
          <w:rFonts w:eastAsia="Arial"/>
        </w:rPr>
        <w:t xml:space="preserve">Figure 2: </w:t>
      </w:r>
      <w:r>
        <w:rPr>
          <w:rFonts w:eastAsia="Arial"/>
        </w:rPr>
        <w:t>C</w:t>
      </w:r>
      <w:r w:rsidRPr="008D10D6">
        <w:rPr>
          <w:rFonts w:eastAsia="Arial"/>
        </w:rPr>
        <w:t>oncentration of methane (CH</w:t>
      </w:r>
      <w:r w:rsidRPr="008D10D6">
        <w:rPr>
          <w:rFonts w:eastAsia="Arial"/>
          <w:vertAlign w:val="subscript"/>
        </w:rPr>
        <w:t>4</w:t>
      </w:r>
      <w:r w:rsidRPr="008D10D6">
        <w:rPr>
          <w:rFonts w:eastAsia="Arial"/>
        </w:rPr>
        <w:t>) and carbon dioxide (CO</w:t>
      </w:r>
      <w:r w:rsidRPr="008D10D6">
        <w:rPr>
          <w:rFonts w:eastAsia="Arial"/>
          <w:vertAlign w:val="subscript"/>
        </w:rPr>
        <w:t>2</w:t>
      </w:r>
      <w:r w:rsidRPr="008D10D6">
        <w:rPr>
          <w:rFonts w:eastAsia="Arial"/>
        </w:rPr>
        <w:t>)</w:t>
      </w:r>
    </w:p>
    <w:p w14:paraId="25840EBE" w14:textId="77777777" w:rsidR="001469FE" w:rsidRDefault="001469FE" w:rsidP="008D10D6">
      <w:pPr>
        <w:pStyle w:val="CETCaption"/>
        <w:rPr>
          <w:rFonts w:eastAsia="Arial"/>
        </w:rPr>
      </w:pPr>
    </w:p>
    <w:p w14:paraId="7FE11E1F" w14:textId="56E783A2" w:rsidR="00743F57" w:rsidRDefault="001469FE" w:rsidP="001469FE">
      <w:pPr>
        <w:pStyle w:val="CETheadingx"/>
        <w:rPr>
          <w:rFonts w:eastAsia="Arial"/>
        </w:rPr>
      </w:pPr>
      <w:r w:rsidRPr="001469FE">
        <w:rPr>
          <w:rFonts w:eastAsia="Arial"/>
        </w:rPr>
        <w:t>Energy produced and used in LED light bulbs</w:t>
      </w:r>
    </w:p>
    <w:p w14:paraId="0AB1B4B2" w14:textId="19FA79F2" w:rsidR="001469FE" w:rsidRPr="00054A22" w:rsidRDefault="00054A22" w:rsidP="001469FE">
      <w:pPr>
        <w:pStyle w:val="CETBodytext"/>
        <w:rPr>
          <w:rFonts w:eastAsia="Arial"/>
        </w:rPr>
      </w:pPr>
      <w:r w:rsidRPr="00054A22">
        <w:rPr>
          <w:rFonts w:eastAsia="Arial"/>
        </w:rPr>
        <w:t>Table 3 presents the power obtained in the generator and the result of the power of LED light bulbs in the time they remained on until the electric charge generated with a certain amount of biogas was exhausted.</w:t>
      </w:r>
    </w:p>
    <w:p w14:paraId="60D49FFA" w14:textId="77777777" w:rsidR="00054A22" w:rsidRPr="00054A22" w:rsidRDefault="00054A22" w:rsidP="001469FE">
      <w:pPr>
        <w:pStyle w:val="CETBodytext"/>
        <w:rPr>
          <w:rFonts w:eastAsia="Arial"/>
        </w:rPr>
      </w:pPr>
    </w:p>
    <w:p w14:paraId="595FD766" w14:textId="74E345DF" w:rsidR="001469FE" w:rsidRPr="00054A22" w:rsidRDefault="001469FE" w:rsidP="001469FE">
      <w:pPr>
        <w:pStyle w:val="CETBodytext"/>
        <w:rPr>
          <w:rFonts w:eastAsia="Arial"/>
          <w:i/>
          <w:iCs/>
        </w:rPr>
      </w:pPr>
      <w:r w:rsidRPr="00054A22">
        <w:rPr>
          <w:rFonts w:eastAsia="Arial"/>
          <w:i/>
          <w:iCs/>
        </w:rPr>
        <w:t>Table 3</w:t>
      </w:r>
      <w:r w:rsidR="00054A22" w:rsidRPr="00054A22">
        <w:rPr>
          <w:rFonts w:eastAsia="Arial"/>
          <w:i/>
          <w:iCs/>
        </w:rPr>
        <w:t>: Power of Energy produced and use in LED bulbs</w:t>
      </w:r>
    </w:p>
    <w:tbl>
      <w:tblPr>
        <w:tblW w:w="8719" w:type="dxa"/>
        <w:tblCellMar>
          <w:left w:w="70" w:type="dxa"/>
          <w:right w:w="70" w:type="dxa"/>
        </w:tblCellMar>
        <w:tblLook w:val="04A0" w:firstRow="1" w:lastRow="0" w:firstColumn="1" w:lastColumn="0" w:noHBand="0" w:noVBand="1"/>
      </w:tblPr>
      <w:tblGrid>
        <w:gridCol w:w="1600"/>
        <w:gridCol w:w="1744"/>
        <w:gridCol w:w="1452"/>
        <w:gridCol w:w="1008"/>
        <w:gridCol w:w="1161"/>
        <w:gridCol w:w="1754"/>
      </w:tblGrid>
      <w:tr w:rsidR="001469FE" w:rsidRPr="001469FE" w14:paraId="7B175DC4" w14:textId="77777777" w:rsidTr="00E934DC">
        <w:trPr>
          <w:trHeight w:val="716"/>
        </w:trPr>
        <w:tc>
          <w:tcPr>
            <w:tcW w:w="1600" w:type="dxa"/>
            <w:tcBorders>
              <w:top w:val="single" w:sz="12" w:space="0" w:color="0C8E50"/>
              <w:left w:val="nil"/>
              <w:bottom w:val="single" w:sz="12" w:space="0" w:color="0C8E50"/>
              <w:right w:val="nil"/>
            </w:tcBorders>
            <w:shd w:val="clear" w:color="auto" w:fill="auto"/>
            <w:vAlign w:val="center"/>
            <w:hideMark/>
          </w:tcPr>
          <w:p w14:paraId="1CBD83A9" w14:textId="77777777" w:rsidR="000C4858" w:rsidRPr="000C4858" w:rsidRDefault="000C4858" w:rsidP="000C4858">
            <w:pPr>
              <w:tabs>
                <w:tab w:val="clear" w:pos="7100"/>
              </w:tabs>
              <w:spacing w:line="240" w:lineRule="auto"/>
              <w:jc w:val="center"/>
              <w:rPr>
                <w:rFonts w:ascii="Calibri" w:hAnsi="Calibri" w:cs="Calibri"/>
                <w:color w:val="000000"/>
                <w:szCs w:val="18"/>
                <w:lang w:val="en-US" w:eastAsia="es-PE"/>
              </w:rPr>
            </w:pPr>
            <w:r w:rsidRPr="000C4858">
              <w:rPr>
                <w:rFonts w:ascii="Calibri" w:hAnsi="Calibri" w:cs="Calibri"/>
                <w:color w:val="000000"/>
                <w:szCs w:val="18"/>
                <w:lang w:val="en-US" w:eastAsia="es-PE"/>
              </w:rPr>
              <w:t>Volume of</w:t>
            </w:r>
          </w:p>
          <w:p w14:paraId="2D70A357" w14:textId="77777777" w:rsidR="000C4858" w:rsidRPr="000C4858" w:rsidRDefault="000C4858" w:rsidP="000C4858">
            <w:pPr>
              <w:tabs>
                <w:tab w:val="clear" w:pos="7100"/>
              </w:tabs>
              <w:spacing w:line="240" w:lineRule="auto"/>
              <w:jc w:val="center"/>
              <w:rPr>
                <w:rFonts w:ascii="Calibri" w:hAnsi="Calibri" w:cs="Calibri"/>
                <w:color w:val="000000"/>
                <w:szCs w:val="18"/>
                <w:lang w:val="en-US" w:eastAsia="es-PE"/>
              </w:rPr>
            </w:pPr>
            <w:r w:rsidRPr="000C4858">
              <w:rPr>
                <w:rFonts w:ascii="Calibri" w:hAnsi="Calibri" w:cs="Calibri"/>
                <w:color w:val="000000"/>
                <w:szCs w:val="18"/>
                <w:lang w:val="en-US" w:eastAsia="es-PE"/>
              </w:rPr>
              <w:t>spent biogas</w:t>
            </w:r>
          </w:p>
          <w:p w14:paraId="22142A96" w14:textId="55371C3E" w:rsidR="001469FE" w:rsidRPr="001469FE" w:rsidRDefault="000C4858" w:rsidP="000C4858">
            <w:pPr>
              <w:tabs>
                <w:tab w:val="clear" w:pos="7100"/>
              </w:tabs>
              <w:spacing w:line="240" w:lineRule="auto"/>
              <w:jc w:val="center"/>
              <w:rPr>
                <w:rFonts w:ascii="Calibri" w:hAnsi="Calibri" w:cs="Calibri"/>
                <w:color w:val="000000"/>
                <w:szCs w:val="18"/>
                <w:lang w:val="en-US" w:eastAsia="es-PE"/>
              </w:rPr>
            </w:pPr>
            <w:r w:rsidRPr="000C4858">
              <w:rPr>
                <w:rFonts w:ascii="Calibri" w:hAnsi="Calibri" w:cs="Calibri"/>
                <w:color w:val="000000"/>
                <w:szCs w:val="18"/>
                <w:lang w:val="en-US" w:eastAsia="es-PE"/>
              </w:rPr>
              <w:t>in generator</w:t>
            </w:r>
            <w:r w:rsidR="00054A22" w:rsidRPr="000C4858">
              <w:rPr>
                <w:rFonts w:ascii="Calibri" w:hAnsi="Calibri" w:cs="Calibri"/>
                <w:color w:val="000000"/>
                <w:szCs w:val="18"/>
                <w:lang w:val="en-US" w:eastAsia="es-PE"/>
              </w:rPr>
              <w:t xml:space="preserve"> </w:t>
            </w:r>
            <w:r w:rsidR="001469FE" w:rsidRPr="001469FE">
              <w:rPr>
                <w:rFonts w:ascii="Calibri" w:hAnsi="Calibri" w:cs="Calibri"/>
                <w:color w:val="000000"/>
                <w:szCs w:val="18"/>
                <w:lang w:val="en-US" w:eastAsia="es-PE"/>
              </w:rPr>
              <w:t>(m</w:t>
            </w:r>
            <w:r w:rsidR="001469FE" w:rsidRPr="001469FE">
              <w:rPr>
                <w:rFonts w:ascii="Calibri" w:hAnsi="Calibri" w:cs="Calibri"/>
                <w:color w:val="000000"/>
                <w:szCs w:val="18"/>
                <w:vertAlign w:val="superscript"/>
                <w:lang w:val="en-US" w:eastAsia="es-PE"/>
              </w:rPr>
              <w:t>3</w:t>
            </w:r>
            <w:r w:rsidR="001469FE" w:rsidRPr="001469FE">
              <w:rPr>
                <w:rFonts w:ascii="Calibri" w:hAnsi="Calibri" w:cs="Calibri"/>
                <w:color w:val="000000"/>
                <w:szCs w:val="18"/>
                <w:lang w:val="en-US" w:eastAsia="es-PE"/>
              </w:rPr>
              <w:t>)</w:t>
            </w:r>
          </w:p>
        </w:tc>
        <w:tc>
          <w:tcPr>
            <w:tcW w:w="1744" w:type="dxa"/>
            <w:tcBorders>
              <w:top w:val="single" w:sz="12" w:space="0" w:color="0C8E50"/>
              <w:left w:val="nil"/>
              <w:bottom w:val="single" w:sz="12" w:space="0" w:color="0C8E50"/>
              <w:right w:val="nil"/>
            </w:tcBorders>
            <w:shd w:val="clear" w:color="auto" w:fill="auto"/>
            <w:vAlign w:val="center"/>
            <w:hideMark/>
          </w:tcPr>
          <w:p w14:paraId="7AB2768F" w14:textId="71D5B010" w:rsidR="001469FE" w:rsidRPr="001469FE" w:rsidRDefault="001469FE" w:rsidP="001469FE">
            <w:pPr>
              <w:tabs>
                <w:tab w:val="clear" w:pos="7100"/>
              </w:tabs>
              <w:spacing w:line="240" w:lineRule="auto"/>
              <w:jc w:val="center"/>
              <w:rPr>
                <w:rFonts w:ascii="Calibri" w:hAnsi="Calibri" w:cs="Calibri"/>
                <w:color w:val="000000"/>
                <w:szCs w:val="18"/>
                <w:lang w:val="en-US" w:eastAsia="es-PE"/>
              </w:rPr>
            </w:pPr>
            <w:r w:rsidRPr="001469FE">
              <w:rPr>
                <w:rFonts w:ascii="Calibri" w:hAnsi="Calibri" w:cs="Calibri"/>
                <w:color w:val="000000"/>
                <w:szCs w:val="18"/>
                <w:lang w:val="en-US" w:eastAsia="es-PE"/>
              </w:rPr>
              <w:t>Voltage</w:t>
            </w:r>
            <w:r w:rsidRPr="001469FE">
              <w:rPr>
                <w:rFonts w:ascii="Calibri" w:hAnsi="Calibri" w:cs="Calibri"/>
                <w:color w:val="000000"/>
                <w:szCs w:val="18"/>
                <w:lang w:val="en-US" w:eastAsia="es-PE"/>
              </w:rPr>
              <w:br/>
              <w:t>protruding from</w:t>
            </w:r>
            <w:r w:rsidRPr="001469FE">
              <w:rPr>
                <w:rFonts w:ascii="Calibri" w:hAnsi="Calibri" w:cs="Calibri"/>
                <w:color w:val="000000"/>
                <w:szCs w:val="18"/>
                <w:lang w:val="en-US" w:eastAsia="es-PE"/>
              </w:rPr>
              <w:br/>
              <w:t>generator</w:t>
            </w:r>
            <w:r w:rsidR="00054A22" w:rsidRPr="000C4858">
              <w:rPr>
                <w:rFonts w:ascii="Calibri" w:hAnsi="Calibri" w:cs="Calibri"/>
                <w:color w:val="000000"/>
                <w:szCs w:val="18"/>
                <w:lang w:val="en-US" w:eastAsia="es-PE"/>
              </w:rPr>
              <w:t xml:space="preserve"> </w:t>
            </w:r>
            <w:r w:rsidRPr="001469FE">
              <w:rPr>
                <w:rFonts w:ascii="Calibri" w:hAnsi="Calibri" w:cs="Calibri"/>
                <w:color w:val="000000"/>
                <w:szCs w:val="18"/>
                <w:lang w:val="en-US" w:eastAsia="es-PE"/>
              </w:rPr>
              <w:t>(V)</w:t>
            </w:r>
          </w:p>
        </w:tc>
        <w:tc>
          <w:tcPr>
            <w:tcW w:w="1452" w:type="dxa"/>
            <w:tcBorders>
              <w:top w:val="single" w:sz="12" w:space="0" w:color="0C8E50"/>
              <w:left w:val="nil"/>
              <w:bottom w:val="single" w:sz="12" w:space="0" w:color="0C8E50"/>
              <w:right w:val="nil"/>
            </w:tcBorders>
            <w:shd w:val="clear" w:color="auto" w:fill="auto"/>
            <w:vAlign w:val="center"/>
            <w:hideMark/>
          </w:tcPr>
          <w:p w14:paraId="2B7B4363" w14:textId="77777777" w:rsidR="001469FE" w:rsidRPr="001469FE" w:rsidRDefault="001469FE" w:rsidP="001469FE">
            <w:pPr>
              <w:tabs>
                <w:tab w:val="clear" w:pos="7100"/>
              </w:tabs>
              <w:spacing w:line="240" w:lineRule="auto"/>
              <w:jc w:val="center"/>
              <w:rPr>
                <w:rFonts w:ascii="Calibri" w:hAnsi="Calibri" w:cs="Calibri"/>
                <w:color w:val="000000"/>
                <w:szCs w:val="18"/>
                <w:lang w:val="en-US" w:eastAsia="es-PE"/>
              </w:rPr>
            </w:pPr>
            <w:r w:rsidRPr="001469FE">
              <w:rPr>
                <w:rFonts w:ascii="Calibri" w:hAnsi="Calibri" w:cs="Calibri"/>
                <w:color w:val="000000"/>
                <w:szCs w:val="18"/>
                <w:lang w:val="en-US" w:eastAsia="es-PE"/>
              </w:rPr>
              <w:t>electric current to the</w:t>
            </w:r>
            <w:r w:rsidRPr="001469FE">
              <w:rPr>
                <w:rFonts w:ascii="Calibri" w:hAnsi="Calibri" w:cs="Calibri"/>
                <w:color w:val="000000"/>
                <w:szCs w:val="18"/>
                <w:lang w:val="en-US" w:eastAsia="es-PE"/>
              </w:rPr>
              <w:br/>
              <w:t>generator output (A)</w:t>
            </w:r>
          </w:p>
        </w:tc>
        <w:tc>
          <w:tcPr>
            <w:tcW w:w="1008" w:type="dxa"/>
            <w:tcBorders>
              <w:top w:val="single" w:sz="12" w:space="0" w:color="0C8E50"/>
              <w:left w:val="nil"/>
              <w:bottom w:val="single" w:sz="12" w:space="0" w:color="0C8E50"/>
              <w:right w:val="nil"/>
            </w:tcBorders>
            <w:shd w:val="clear" w:color="auto" w:fill="auto"/>
            <w:vAlign w:val="center"/>
            <w:hideMark/>
          </w:tcPr>
          <w:p w14:paraId="32D4F51F" w14:textId="77777777" w:rsidR="001469FE" w:rsidRPr="001469FE" w:rsidRDefault="001469FE" w:rsidP="001469FE">
            <w:pPr>
              <w:tabs>
                <w:tab w:val="clear" w:pos="7100"/>
              </w:tabs>
              <w:spacing w:line="240" w:lineRule="auto"/>
              <w:jc w:val="center"/>
              <w:rPr>
                <w:rFonts w:ascii="Calibri" w:hAnsi="Calibri" w:cs="Calibri"/>
                <w:color w:val="000000"/>
                <w:szCs w:val="18"/>
                <w:lang w:val="es-PE" w:eastAsia="es-PE"/>
              </w:rPr>
            </w:pPr>
            <w:proofErr w:type="spellStart"/>
            <w:r w:rsidRPr="001469FE">
              <w:rPr>
                <w:rFonts w:ascii="Calibri" w:hAnsi="Calibri" w:cs="Calibri"/>
                <w:color w:val="000000"/>
                <w:szCs w:val="18"/>
                <w:lang w:val="es-PE" w:eastAsia="es-PE"/>
              </w:rPr>
              <w:t>Power</w:t>
            </w:r>
            <w:proofErr w:type="spellEnd"/>
            <w:r w:rsidRPr="001469FE">
              <w:rPr>
                <w:rFonts w:ascii="Calibri" w:hAnsi="Calibri" w:cs="Calibri"/>
                <w:color w:val="000000"/>
                <w:szCs w:val="18"/>
                <w:lang w:val="es-PE" w:eastAsia="es-PE"/>
              </w:rPr>
              <w:t xml:space="preserve"> (W)</w:t>
            </w:r>
          </w:p>
        </w:tc>
        <w:tc>
          <w:tcPr>
            <w:tcW w:w="1161" w:type="dxa"/>
            <w:tcBorders>
              <w:top w:val="single" w:sz="12" w:space="0" w:color="0C8E50"/>
              <w:left w:val="nil"/>
              <w:bottom w:val="single" w:sz="12" w:space="0" w:color="0C8E50"/>
              <w:right w:val="nil"/>
            </w:tcBorders>
            <w:shd w:val="clear" w:color="auto" w:fill="auto"/>
            <w:vAlign w:val="center"/>
            <w:hideMark/>
          </w:tcPr>
          <w:p w14:paraId="2ECC7D08" w14:textId="77777777" w:rsidR="001469FE" w:rsidRPr="001469FE" w:rsidRDefault="001469FE" w:rsidP="001469FE">
            <w:pPr>
              <w:tabs>
                <w:tab w:val="clear" w:pos="7100"/>
              </w:tabs>
              <w:spacing w:line="240" w:lineRule="auto"/>
              <w:jc w:val="center"/>
              <w:rPr>
                <w:rFonts w:ascii="Calibri" w:hAnsi="Calibri" w:cs="Calibri"/>
                <w:color w:val="000000"/>
                <w:szCs w:val="18"/>
                <w:lang w:val="en-US" w:eastAsia="es-PE"/>
              </w:rPr>
            </w:pPr>
            <w:r w:rsidRPr="001469FE">
              <w:rPr>
                <w:rFonts w:ascii="Calibri" w:hAnsi="Calibri" w:cs="Calibri"/>
                <w:color w:val="000000"/>
                <w:szCs w:val="18"/>
                <w:lang w:val="en-US" w:eastAsia="es-PE"/>
              </w:rPr>
              <w:t>Power of</w:t>
            </w:r>
            <w:r w:rsidRPr="001469FE">
              <w:rPr>
                <w:rFonts w:ascii="Calibri" w:hAnsi="Calibri" w:cs="Calibri"/>
                <w:color w:val="000000"/>
                <w:szCs w:val="18"/>
                <w:lang w:val="en-US" w:eastAsia="es-PE"/>
              </w:rPr>
              <w:br/>
              <w:t>light bulbs</w:t>
            </w:r>
            <w:r w:rsidRPr="001469FE">
              <w:rPr>
                <w:rFonts w:ascii="Calibri" w:hAnsi="Calibri" w:cs="Calibri"/>
                <w:color w:val="000000"/>
                <w:szCs w:val="18"/>
                <w:lang w:val="en-US" w:eastAsia="es-PE"/>
              </w:rPr>
              <w:br/>
              <w:t>(W)</w:t>
            </w:r>
          </w:p>
        </w:tc>
        <w:tc>
          <w:tcPr>
            <w:tcW w:w="1754" w:type="dxa"/>
            <w:tcBorders>
              <w:top w:val="single" w:sz="12" w:space="0" w:color="0C8E50"/>
              <w:left w:val="nil"/>
              <w:bottom w:val="single" w:sz="12" w:space="0" w:color="0C8E50"/>
              <w:right w:val="nil"/>
            </w:tcBorders>
            <w:shd w:val="clear" w:color="auto" w:fill="auto"/>
            <w:vAlign w:val="center"/>
            <w:hideMark/>
          </w:tcPr>
          <w:p w14:paraId="75E55C6B" w14:textId="77777777" w:rsidR="001469FE" w:rsidRPr="001469FE" w:rsidRDefault="001469FE" w:rsidP="001469FE">
            <w:pPr>
              <w:tabs>
                <w:tab w:val="clear" w:pos="7100"/>
              </w:tabs>
              <w:spacing w:line="240" w:lineRule="auto"/>
              <w:jc w:val="center"/>
              <w:rPr>
                <w:rFonts w:ascii="Calibri" w:hAnsi="Calibri" w:cs="Calibri"/>
                <w:color w:val="000000"/>
                <w:szCs w:val="18"/>
                <w:lang w:val="en-US" w:eastAsia="es-PE"/>
              </w:rPr>
            </w:pPr>
            <w:r w:rsidRPr="001469FE">
              <w:rPr>
                <w:rFonts w:ascii="Calibri" w:hAnsi="Calibri" w:cs="Calibri"/>
                <w:color w:val="000000"/>
                <w:szCs w:val="18"/>
                <w:lang w:val="en-US" w:eastAsia="es-PE"/>
              </w:rPr>
              <w:t>Maximum permanence time of the light bulbs on (s)</w:t>
            </w:r>
          </w:p>
        </w:tc>
      </w:tr>
      <w:tr w:rsidR="001469FE" w:rsidRPr="001469FE" w14:paraId="4B1F3EAD" w14:textId="77777777" w:rsidTr="00E934DC">
        <w:trPr>
          <w:trHeight w:val="208"/>
        </w:trPr>
        <w:tc>
          <w:tcPr>
            <w:tcW w:w="1600" w:type="dxa"/>
            <w:tcBorders>
              <w:top w:val="single" w:sz="12" w:space="0" w:color="0C8E50"/>
              <w:left w:val="nil"/>
              <w:bottom w:val="nil"/>
              <w:right w:val="nil"/>
            </w:tcBorders>
            <w:shd w:val="clear" w:color="auto" w:fill="auto"/>
            <w:noWrap/>
            <w:vAlign w:val="bottom"/>
            <w:hideMark/>
          </w:tcPr>
          <w:p w14:paraId="4A7533CB" w14:textId="77777777" w:rsidR="001469FE" w:rsidRPr="001469FE" w:rsidRDefault="001469FE" w:rsidP="001469FE">
            <w:pPr>
              <w:tabs>
                <w:tab w:val="clear" w:pos="7100"/>
              </w:tabs>
              <w:spacing w:line="240" w:lineRule="auto"/>
              <w:jc w:val="center"/>
              <w:rPr>
                <w:rFonts w:ascii="Calibri" w:hAnsi="Calibri" w:cs="Calibri"/>
                <w:color w:val="000000"/>
                <w:szCs w:val="18"/>
                <w:lang w:val="es-PE" w:eastAsia="es-PE"/>
              </w:rPr>
            </w:pPr>
            <w:r w:rsidRPr="001469FE">
              <w:rPr>
                <w:rFonts w:ascii="Calibri" w:hAnsi="Calibri" w:cs="Calibri"/>
                <w:color w:val="000000"/>
                <w:szCs w:val="18"/>
                <w:lang w:val="es-PE" w:eastAsia="es-PE"/>
              </w:rPr>
              <w:t>0.18</w:t>
            </w:r>
          </w:p>
        </w:tc>
        <w:tc>
          <w:tcPr>
            <w:tcW w:w="1744" w:type="dxa"/>
            <w:tcBorders>
              <w:top w:val="single" w:sz="12" w:space="0" w:color="0C8E50"/>
              <w:left w:val="nil"/>
              <w:bottom w:val="nil"/>
              <w:right w:val="nil"/>
            </w:tcBorders>
            <w:shd w:val="clear" w:color="auto" w:fill="auto"/>
            <w:noWrap/>
            <w:vAlign w:val="bottom"/>
            <w:hideMark/>
          </w:tcPr>
          <w:p w14:paraId="0D50DBE0" w14:textId="77777777" w:rsidR="001469FE" w:rsidRPr="001469FE" w:rsidRDefault="001469FE" w:rsidP="001469FE">
            <w:pPr>
              <w:tabs>
                <w:tab w:val="clear" w:pos="7100"/>
              </w:tabs>
              <w:spacing w:line="240" w:lineRule="auto"/>
              <w:jc w:val="center"/>
              <w:rPr>
                <w:rFonts w:ascii="Calibri" w:hAnsi="Calibri" w:cs="Calibri"/>
                <w:color w:val="000000"/>
                <w:szCs w:val="18"/>
                <w:lang w:val="es-PE" w:eastAsia="es-PE"/>
              </w:rPr>
            </w:pPr>
            <w:r w:rsidRPr="001469FE">
              <w:rPr>
                <w:rFonts w:ascii="Calibri" w:hAnsi="Calibri" w:cs="Calibri"/>
                <w:color w:val="000000"/>
                <w:szCs w:val="18"/>
                <w:lang w:val="es-PE" w:eastAsia="es-PE"/>
              </w:rPr>
              <w:t>218.00</w:t>
            </w:r>
          </w:p>
        </w:tc>
        <w:tc>
          <w:tcPr>
            <w:tcW w:w="1452" w:type="dxa"/>
            <w:tcBorders>
              <w:top w:val="single" w:sz="12" w:space="0" w:color="0C8E50"/>
              <w:left w:val="nil"/>
              <w:bottom w:val="nil"/>
              <w:right w:val="nil"/>
            </w:tcBorders>
            <w:shd w:val="clear" w:color="auto" w:fill="auto"/>
            <w:noWrap/>
            <w:vAlign w:val="bottom"/>
            <w:hideMark/>
          </w:tcPr>
          <w:p w14:paraId="720FCDC7" w14:textId="77777777" w:rsidR="001469FE" w:rsidRPr="001469FE" w:rsidRDefault="001469FE" w:rsidP="001469FE">
            <w:pPr>
              <w:tabs>
                <w:tab w:val="clear" w:pos="7100"/>
              </w:tabs>
              <w:spacing w:line="240" w:lineRule="auto"/>
              <w:jc w:val="center"/>
              <w:rPr>
                <w:rFonts w:ascii="Calibri" w:hAnsi="Calibri" w:cs="Calibri"/>
                <w:color w:val="000000"/>
                <w:szCs w:val="18"/>
                <w:lang w:val="es-PE" w:eastAsia="es-PE"/>
              </w:rPr>
            </w:pPr>
            <w:r w:rsidRPr="001469FE">
              <w:rPr>
                <w:rFonts w:ascii="Calibri" w:hAnsi="Calibri" w:cs="Calibri"/>
                <w:color w:val="000000"/>
                <w:szCs w:val="18"/>
                <w:lang w:val="es-PE" w:eastAsia="es-PE"/>
              </w:rPr>
              <w:t>0.22</w:t>
            </w:r>
          </w:p>
        </w:tc>
        <w:tc>
          <w:tcPr>
            <w:tcW w:w="1008" w:type="dxa"/>
            <w:tcBorders>
              <w:top w:val="single" w:sz="12" w:space="0" w:color="0C8E50"/>
              <w:left w:val="nil"/>
              <w:bottom w:val="nil"/>
              <w:right w:val="nil"/>
            </w:tcBorders>
            <w:shd w:val="clear" w:color="auto" w:fill="auto"/>
            <w:noWrap/>
            <w:vAlign w:val="bottom"/>
            <w:hideMark/>
          </w:tcPr>
          <w:p w14:paraId="63564E57" w14:textId="77777777" w:rsidR="001469FE" w:rsidRPr="001469FE" w:rsidRDefault="001469FE" w:rsidP="001469FE">
            <w:pPr>
              <w:tabs>
                <w:tab w:val="clear" w:pos="7100"/>
              </w:tabs>
              <w:spacing w:line="240" w:lineRule="auto"/>
              <w:jc w:val="center"/>
              <w:rPr>
                <w:rFonts w:ascii="Calibri" w:hAnsi="Calibri" w:cs="Calibri"/>
                <w:color w:val="000000"/>
                <w:szCs w:val="18"/>
                <w:lang w:val="es-PE" w:eastAsia="es-PE"/>
              </w:rPr>
            </w:pPr>
            <w:r w:rsidRPr="001469FE">
              <w:rPr>
                <w:rFonts w:ascii="Calibri" w:hAnsi="Calibri" w:cs="Calibri"/>
                <w:color w:val="000000"/>
                <w:szCs w:val="18"/>
                <w:lang w:val="es-PE" w:eastAsia="es-PE"/>
              </w:rPr>
              <w:t>47.96</w:t>
            </w:r>
          </w:p>
        </w:tc>
        <w:tc>
          <w:tcPr>
            <w:tcW w:w="1161" w:type="dxa"/>
            <w:tcBorders>
              <w:top w:val="single" w:sz="12" w:space="0" w:color="0C8E50"/>
              <w:left w:val="nil"/>
              <w:bottom w:val="nil"/>
              <w:right w:val="nil"/>
            </w:tcBorders>
            <w:shd w:val="clear" w:color="auto" w:fill="auto"/>
            <w:noWrap/>
            <w:vAlign w:val="bottom"/>
            <w:hideMark/>
          </w:tcPr>
          <w:p w14:paraId="010853F9" w14:textId="77777777" w:rsidR="001469FE" w:rsidRPr="001469FE" w:rsidRDefault="001469FE" w:rsidP="001469FE">
            <w:pPr>
              <w:tabs>
                <w:tab w:val="clear" w:pos="7100"/>
              </w:tabs>
              <w:spacing w:line="240" w:lineRule="auto"/>
              <w:jc w:val="center"/>
              <w:rPr>
                <w:rFonts w:ascii="Calibri" w:hAnsi="Calibri" w:cs="Calibri"/>
                <w:color w:val="000000"/>
                <w:szCs w:val="18"/>
                <w:lang w:val="es-PE" w:eastAsia="es-PE"/>
              </w:rPr>
            </w:pPr>
            <w:r w:rsidRPr="001469FE">
              <w:rPr>
                <w:rFonts w:ascii="Calibri" w:hAnsi="Calibri" w:cs="Calibri"/>
                <w:color w:val="000000"/>
                <w:szCs w:val="18"/>
                <w:lang w:val="es-PE" w:eastAsia="es-PE"/>
              </w:rPr>
              <w:t>50.00</w:t>
            </w:r>
          </w:p>
        </w:tc>
        <w:tc>
          <w:tcPr>
            <w:tcW w:w="1754" w:type="dxa"/>
            <w:tcBorders>
              <w:top w:val="single" w:sz="12" w:space="0" w:color="0C8E50"/>
              <w:left w:val="nil"/>
              <w:bottom w:val="nil"/>
              <w:right w:val="nil"/>
            </w:tcBorders>
            <w:shd w:val="clear" w:color="auto" w:fill="auto"/>
            <w:noWrap/>
            <w:vAlign w:val="bottom"/>
            <w:hideMark/>
          </w:tcPr>
          <w:p w14:paraId="378A2E4E" w14:textId="77777777" w:rsidR="001469FE" w:rsidRPr="001469FE" w:rsidRDefault="001469FE" w:rsidP="001469FE">
            <w:pPr>
              <w:tabs>
                <w:tab w:val="clear" w:pos="7100"/>
              </w:tabs>
              <w:spacing w:line="240" w:lineRule="auto"/>
              <w:jc w:val="center"/>
              <w:rPr>
                <w:rFonts w:ascii="Calibri" w:hAnsi="Calibri" w:cs="Calibri"/>
                <w:color w:val="000000"/>
                <w:szCs w:val="18"/>
                <w:lang w:val="es-PE" w:eastAsia="es-PE"/>
              </w:rPr>
            </w:pPr>
            <w:r w:rsidRPr="001469FE">
              <w:rPr>
                <w:rFonts w:ascii="Calibri" w:hAnsi="Calibri" w:cs="Calibri"/>
                <w:color w:val="000000"/>
                <w:szCs w:val="18"/>
                <w:lang w:val="es-PE" w:eastAsia="es-PE"/>
              </w:rPr>
              <w:t>900</w:t>
            </w:r>
          </w:p>
        </w:tc>
      </w:tr>
      <w:tr w:rsidR="001469FE" w:rsidRPr="001469FE" w14:paraId="25FBA945" w14:textId="77777777" w:rsidTr="00E934DC">
        <w:trPr>
          <w:trHeight w:val="208"/>
        </w:trPr>
        <w:tc>
          <w:tcPr>
            <w:tcW w:w="1600" w:type="dxa"/>
            <w:tcBorders>
              <w:top w:val="nil"/>
              <w:left w:val="nil"/>
              <w:bottom w:val="nil"/>
              <w:right w:val="nil"/>
            </w:tcBorders>
            <w:shd w:val="clear" w:color="auto" w:fill="auto"/>
            <w:noWrap/>
            <w:vAlign w:val="bottom"/>
            <w:hideMark/>
          </w:tcPr>
          <w:p w14:paraId="08B45E13" w14:textId="77777777" w:rsidR="001469FE" w:rsidRPr="001469FE" w:rsidRDefault="001469FE" w:rsidP="001469FE">
            <w:pPr>
              <w:tabs>
                <w:tab w:val="clear" w:pos="7100"/>
              </w:tabs>
              <w:spacing w:line="240" w:lineRule="auto"/>
              <w:jc w:val="center"/>
              <w:rPr>
                <w:rFonts w:ascii="Calibri" w:hAnsi="Calibri" w:cs="Calibri"/>
                <w:color w:val="000000"/>
                <w:szCs w:val="18"/>
                <w:lang w:val="es-PE" w:eastAsia="es-PE"/>
              </w:rPr>
            </w:pPr>
            <w:r w:rsidRPr="001469FE">
              <w:rPr>
                <w:rFonts w:ascii="Calibri" w:hAnsi="Calibri" w:cs="Calibri"/>
                <w:color w:val="000000"/>
                <w:szCs w:val="18"/>
                <w:lang w:val="es-PE" w:eastAsia="es-PE"/>
              </w:rPr>
              <w:t>0.36</w:t>
            </w:r>
          </w:p>
        </w:tc>
        <w:tc>
          <w:tcPr>
            <w:tcW w:w="1744" w:type="dxa"/>
            <w:tcBorders>
              <w:top w:val="nil"/>
              <w:left w:val="nil"/>
              <w:bottom w:val="nil"/>
              <w:right w:val="nil"/>
            </w:tcBorders>
            <w:shd w:val="clear" w:color="auto" w:fill="auto"/>
            <w:noWrap/>
            <w:vAlign w:val="bottom"/>
            <w:hideMark/>
          </w:tcPr>
          <w:p w14:paraId="0A89AF9C" w14:textId="77777777" w:rsidR="001469FE" w:rsidRPr="001469FE" w:rsidRDefault="001469FE" w:rsidP="001469FE">
            <w:pPr>
              <w:tabs>
                <w:tab w:val="clear" w:pos="7100"/>
              </w:tabs>
              <w:spacing w:line="240" w:lineRule="auto"/>
              <w:jc w:val="center"/>
              <w:rPr>
                <w:rFonts w:ascii="Calibri" w:hAnsi="Calibri" w:cs="Calibri"/>
                <w:color w:val="000000"/>
                <w:szCs w:val="18"/>
                <w:lang w:val="es-PE" w:eastAsia="es-PE"/>
              </w:rPr>
            </w:pPr>
            <w:r w:rsidRPr="001469FE">
              <w:rPr>
                <w:rFonts w:ascii="Calibri" w:hAnsi="Calibri" w:cs="Calibri"/>
                <w:color w:val="000000"/>
                <w:szCs w:val="18"/>
                <w:lang w:val="es-PE" w:eastAsia="es-PE"/>
              </w:rPr>
              <w:t>218.00</w:t>
            </w:r>
          </w:p>
        </w:tc>
        <w:tc>
          <w:tcPr>
            <w:tcW w:w="1452" w:type="dxa"/>
            <w:tcBorders>
              <w:top w:val="nil"/>
              <w:left w:val="nil"/>
              <w:bottom w:val="nil"/>
              <w:right w:val="nil"/>
            </w:tcBorders>
            <w:shd w:val="clear" w:color="auto" w:fill="auto"/>
            <w:noWrap/>
            <w:vAlign w:val="bottom"/>
            <w:hideMark/>
          </w:tcPr>
          <w:p w14:paraId="5F22A9B2" w14:textId="77777777" w:rsidR="001469FE" w:rsidRPr="001469FE" w:rsidRDefault="001469FE" w:rsidP="001469FE">
            <w:pPr>
              <w:tabs>
                <w:tab w:val="clear" w:pos="7100"/>
              </w:tabs>
              <w:spacing w:line="240" w:lineRule="auto"/>
              <w:jc w:val="center"/>
              <w:rPr>
                <w:rFonts w:ascii="Calibri" w:hAnsi="Calibri" w:cs="Calibri"/>
                <w:color w:val="000000"/>
                <w:szCs w:val="18"/>
                <w:lang w:val="es-PE" w:eastAsia="es-PE"/>
              </w:rPr>
            </w:pPr>
            <w:r w:rsidRPr="001469FE">
              <w:rPr>
                <w:rFonts w:ascii="Calibri" w:hAnsi="Calibri" w:cs="Calibri"/>
                <w:color w:val="000000"/>
                <w:szCs w:val="18"/>
                <w:lang w:val="es-PE" w:eastAsia="es-PE"/>
              </w:rPr>
              <w:t>0.30</w:t>
            </w:r>
          </w:p>
        </w:tc>
        <w:tc>
          <w:tcPr>
            <w:tcW w:w="1008" w:type="dxa"/>
            <w:tcBorders>
              <w:top w:val="nil"/>
              <w:left w:val="nil"/>
              <w:bottom w:val="nil"/>
              <w:right w:val="nil"/>
            </w:tcBorders>
            <w:shd w:val="clear" w:color="auto" w:fill="auto"/>
            <w:noWrap/>
            <w:vAlign w:val="bottom"/>
            <w:hideMark/>
          </w:tcPr>
          <w:p w14:paraId="4FD4EA14" w14:textId="77777777" w:rsidR="001469FE" w:rsidRPr="001469FE" w:rsidRDefault="001469FE" w:rsidP="001469FE">
            <w:pPr>
              <w:tabs>
                <w:tab w:val="clear" w:pos="7100"/>
              </w:tabs>
              <w:spacing w:line="240" w:lineRule="auto"/>
              <w:jc w:val="center"/>
              <w:rPr>
                <w:rFonts w:ascii="Calibri" w:hAnsi="Calibri" w:cs="Calibri"/>
                <w:color w:val="000000"/>
                <w:szCs w:val="18"/>
                <w:lang w:val="es-PE" w:eastAsia="es-PE"/>
              </w:rPr>
            </w:pPr>
            <w:r w:rsidRPr="001469FE">
              <w:rPr>
                <w:rFonts w:ascii="Calibri" w:hAnsi="Calibri" w:cs="Calibri"/>
                <w:color w:val="000000"/>
                <w:szCs w:val="18"/>
                <w:lang w:val="es-PE" w:eastAsia="es-PE"/>
              </w:rPr>
              <w:t>65.40</w:t>
            </w:r>
          </w:p>
        </w:tc>
        <w:tc>
          <w:tcPr>
            <w:tcW w:w="1161" w:type="dxa"/>
            <w:tcBorders>
              <w:top w:val="nil"/>
              <w:left w:val="nil"/>
              <w:bottom w:val="nil"/>
              <w:right w:val="nil"/>
            </w:tcBorders>
            <w:shd w:val="clear" w:color="auto" w:fill="auto"/>
            <w:noWrap/>
            <w:vAlign w:val="bottom"/>
            <w:hideMark/>
          </w:tcPr>
          <w:p w14:paraId="3624E7FE" w14:textId="77777777" w:rsidR="001469FE" w:rsidRPr="001469FE" w:rsidRDefault="001469FE" w:rsidP="001469FE">
            <w:pPr>
              <w:tabs>
                <w:tab w:val="clear" w:pos="7100"/>
              </w:tabs>
              <w:spacing w:line="240" w:lineRule="auto"/>
              <w:jc w:val="center"/>
              <w:rPr>
                <w:rFonts w:ascii="Calibri" w:hAnsi="Calibri" w:cs="Calibri"/>
                <w:color w:val="000000"/>
                <w:szCs w:val="18"/>
                <w:lang w:val="es-PE" w:eastAsia="es-PE"/>
              </w:rPr>
            </w:pPr>
            <w:r w:rsidRPr="001469FE">
              <w:rPr>
                <w:rFonts w:ascii="Calibri" w:hAnsi="Calibri" w:cs="Calibri"/>
                <w:color w:val="000000"/>
                <w:szCs w:val="18"/>
                <w:lang w:val="es-PE" w:eastAsia="es-PE"/>
              </w:rPr>
              <w:t>70.00</w:t>
            </w:r>
          </w:p>
        </w:tc>
        <w:tc>
          <w:tcPr>
            <w:tcW w:w="1754" w:type="dxa"/>
            <w:tcBorders>
              <w:top w:val="nil"/>
              <w:left w:val="nil"/>
              <w:bottom w:val="nil"/>
              <w:right w:val="nil"/>
            </w:tcBorders>
            <w:shd w:val="clear" w:color="auto" w:fill="auto"/>
            <w:noWrap/>
            <w:vAlign w:val="bottom"/>
            <w:hideMark/>
          </w:tcPr>
          <w:p w14:paraId="40E4D63D" w14:textId="77777777" w:rsidR="001469FE" w:rsidRPr="001469FE" w:rsidRDefault="001469FE" w:rsidP="001469FE">
            <w:pPr>
              <w:tabs>
                <w:tab w:val="clear" w:pos="7100"/>
              </w:tabs>
              <w:spacing w:line="240" w:lineRule="auto"/>
              <w:jc w:val="center"/>
              <w:rPr>
                <w:rFonts w:ascii="Calibri" w:hAnsi="Calibri" w:cs="Calibri"/>
                <w:color w:val="000000"/>
                <w:szCs w:val="18"/>
                <w:lang w:val="es-PE" w:eastAsia="es-PE"/>
              </w:rPr>
            </w:pPr>
            <w:r w:rsidRPr="001469FE">
              <w:rPr>
                <w:rFonts w:ascii="Calibri" w:hAnsi="Calibri" w:cs="Calibri"/>
                <w:color w:val="000000"/>
                <w:szCs w:val="18"/>
                <w:lang w:val="es-PE" w:eastAsia="es-PE"/>
              </w:rPr>
              <w:t>1800</w:t>
            </w:r>
          </w:p>
        </w:tc>
      </w:tr>
      <w:tr w:rsidR="001469FE" w:rsidRPr="001469FE" w14:paraId="47950477" w14:textId="77777777" w:rsidTr="00E934DC">
        <w:trPr>
          <w:trHeight w:val="208"/>
        </w:trPr>
        <w:tc>
          <w:tcPr>
            <w:tcW w:w="1600" w:type="dxa"/>
            <w:tcBorders>
              <w:top w:val="nil"/>
              <w:left w:val="nil"/>
              <w:bottom w:val="nil"/>
              <w:right w:val="nil"/>
            </w:tcBorders>
            <w:shd w:val="clear" w:color="auto" w:fill="auto"/>
            <w:noWrap/>
            <w:vAlign w:val="bottom"/>
            <w:hideMark/>
          </w:tcPr>
          <w:p w14:paraId="42997E01" w14:textId="77777777" w:rsidR="001469FE" w:rsidRPr="001469FE" w:rsidRDefault="001469FE" w:rsidP="001469FE">
            <w:pPr>
              <w:tabs>
                <w:tab w:val="clear" w:pos="7100"/>
              </w:tabs>
              <w:spacing w:line="240" w:lineRule="auto"/>
              <w:jc w:val="center"/>
              <w:rPr>
                <w:rFonts w:ascii="Calibri" w:hAnsi="Calibri" w:cs="Calibri"/>
                <w:color w:val="000000"/>
                <w:szCs w:val="18"/>
                <w:lang w:val="es-PE" w:eastAsia="es-PE"/>
              </w:rPr>
            </w:pPr>
            <w:r w:rsidRPr="001469FE">
              <w:rPr>
                <w:rFonts w:ascii="Calibri" w:hAnsi="Calibri" w:cs="Calibri"/>
                <w:color w:val="000000"/>
                <w:szCs w:val="18"/>
                <w:lang w:val="es-PE" w:eastAsia="es-PE"/>
              </w:rPr>
              <w:t>0.54</w:t>
            </w:r>
          </w:p>
        </w:tc>
        <w:tc>
          <w:tcPr>
            <w:tcW w:w="1744" w:type="dxa"/>
            <w:tcBorders>
              <w:top w:val="nil"/>
              <w:left w:val="nil"/>
              <w:bottom w:val="nil"/>
              <w:right w:val="nil"/>
            </w:tcBorders>
            <w:shd w:val="clear" w:color="auto" w:fill="auto"/>
            <w:noWrap/>
            <w:vAlign w:val="bottom"/>
            <w:hideMark/>
          </w:tcPr>
          <w:p w14:paraId="1583C036" w14:textId="77777777" w:rsidR="001469FE" w:rsidRPr="001469FE" w:rsidRDefault="001469FE" w:rsidP="001469FE">
            <w:pPr>
              <w:tabs>
                <w:tab w:val="clear" w:pos="7100"/>
              </w:tabs>
              <w:spacing w:line="240" w:lineRule="auto"/>
              <w:jc w:val="center"/>
              <w:rPr>
                <w:rFonts w:ascii="Calibri" w:hAnsi="Calibri" w:cs="Calibri"/>
                <w:color w:val="000000"/>
                <w:szCs w:val="18"/>
                <w:lang w:val="es-PE" w:eastAsia="es-PE"/>
              </w:rPr>
            </w:pPr>
            <w:r w:rsidRPr="001469FE">
              <w:rPr>
                <w:rFonts w:ascii="Calibri" w:hAnsi="Calibri" w:cs="Calibri"/>
                <w:color w:val="000000"/>
                <w:szCs w:val="18"/>
                <w:lang w:val="es-PE" w:eastAsia="es-PE"/>
              </w:rPr>
              <w:t>218.00</w:t>
            </w:r>
          </w:p>
        </w:tc>
        <w:tc>
          <w:tcPr>
            <w:tcW w:w="1452" w:type="dxa"/>
            <w:tcBorders>
              <w:top w:val="nil"/>
              <w:left w:val="nil"/>
              <w:bottom w:val="nil"/>
              <w:right w:val="nil"/>
            </w:tcBorders>
            <w:shd w:val="clear" w:color="auto" w:fill="auto"/>
            <w:noWrap/>
            <w:vAlign w:val="bottom"/>
            <w:hideMark/>
          </w:tcPr>
          <w:p w14:paraId="7A7194E8" w14:textId="77777777" w:rsidR="001469FE" w:rsidRPr="001469FE" w:rsidRDefault="001469FE" w:rsidP="001469FE">
            <w:pPr>
              <w:tabs>
                <w:tab w:val="clear" w:pos="7100"/>
              </w:tabs>
              <w:spacing w:line="240" w:lineRule="auto"/>
              <w:jc w:val="center"/>
              <w:rPr>
                <w:rFonts w:ascii="Calibri" w:hAnsi="Calibri" w:cs="Calibri"/>
                <w:color w:val="000000"/>
                <w:szCs w:val="18"/>
                <w:lang w:val="es-PE" w:eastAsia="es-PE"/>
              </w:rPr>
            </w:pPr>
            <w:r w:rsidRPr="001469FE">
              <w:rPr>
                <w:rFonts w:ascii="Calibri" w:hAnsi="Calibri" w:cs="Calibri"/>
                <w:color w:val="000000"/>
                <w:szCs w:val="18"/>
                <w:lang w:val="es-PE" w:eastAsia="es-PE"/>
              </w:rPr>
              <w:t>0.38</w:t>
            </w:r>
          </w:p>
        </w:tc>
        <w:tc>
          <w:tcPr>
            <w:tcW w:w="1008" w:type="dxa"/>
            <w:tcBorders>
              <w:top w:val="nil"/>
              <w:left w:val="nil"/>
              <w:bottom w:val="nil"/>
              <w:right w:val="nil"/>
            </w:tcBorders>
            <w:shd w:val="clear" w:color="auto" w:fill="auto"/>
            <w:noWrap/>
            <w:vAlign w:val="bottom"/>
            <w:hideMark/>
          </w:tcPr>
          <w:p w14:paraId="726A7872" w14:textId="77777777" w:rsidR="001469FE" w:rsidRPr="001469FE" w:rsidRDefault="001469FE" w:rsidP="001469FE">
            <w:pPr>
              <w:tabs>
                <w:tab w:val="clear" w:pos="7100"/>
              </w:tabs>
              <w:spacing w:line="240" w:lineRule="auto"/>
              <w:jc w:val="center"/>
              <w:rPr>
                <w:rFonts w:ascii="Calibri" w:hAnsi="Calibri" w:cs="Calibri"/>
                <w:color w:val="000000"/>
                <w:szCs w:val="18"/>
                <w:lang w:val="es-PE" w:eastAsia="es-PE"/>
              </w:rPr>
            </w:pPr>
            <w:r w:rsidRPr="001469FE">
              <w:rPr>
                <w:rFonts w:ascii="Calibri" w:hAnsi="Calibri" w:cs="Calibri"/>
                <w:color w:val="000000"/>
                <w:szCs w:val="18"/>
                <w:lang w:val="es-PE" w:eastAsia="es-PE"/>
              </w:rPr>
              <w:t>82.84</w:t>
            </w:r>
          </w:p>
        </w:tc>
        <w:tc>
          <w:tcPr>
            <w:tcW w:w="1161" w:type="dxa"/>
            <w:tcBorders>
              <w:top w:val="nil"/>
              <w:left w:val="nil"/>
              <w:bottom w:val="nil"/>
              <w:right w:val="nil"/>
            </w:tcBorders>
            <w:shd w:val="clear" w:color="auto" w:fill="auto"/>
            <w:noWrap/>
            <w:vAlign w:val="bottom"/>
            <w:hideMark/>
          </w:tcPr>
          <w:p w14:paraId="799BAA77" w14:textId="77777777" w:rsidR="001469FE" w:rsidRPr="001469FE" w:rsidRDefault="001469FE" w:rsidP="001469FE">
            <w:pPr>
              <w:tabs>
                <w:tab w:val="clear" w:pos="7100"/>
              </w:tabs>
              <w:spacing w:line="240" w:lineRule="auto"/>
              <w:jc w:val="center"/>
              <w:rPr>
                <w:rFonts w:ascii="Calibri" w:hAnsi="Calibri" w:cs="Calibri"/>
                <w:color w:val="000000"/>
                <w:szCs w:val="18"/>
                <w:lang w:val="es-PE" w:eastAsia="es-PE"/>
              </w:rPr>
            </w:pPr>
            <w:r w:rsidRPr="001469FE">
              <w:rPr>
                <w:rFonts w:ascii="Calibri" w:hAnsi="Calibri" w:cs="Calibri"/>
                <w:color w:val="000000"/>
                <w:szCs w:val="18"/>
                <w:lang w:val="es-PE" w:eastAsia="es-PE"/>
              </w:rPr>
              <w:t>90.00</w:t>
            </w:r>
          </w:p>
        </w:tc>
        <w:tc>
          <w:tcPr>
            <w:tcW w:w="1754" w:type="dxa"/>
            <w:tcBorders>
              <w:top w:val="nil"/>
              <w:left w:val="nil"/>
              <w:bottom w:val="nil"/>
              <w:right w:val="nil"/>
            </w:tcBorders>
            <w:shd w:val="clear" w:color="auto" w:fill="auto"/>
            <w:noWrap/>
            <w:vAlign w:val="bottom"/>
            <w:hideMark/>
          </w:tcPr>
          <w:p w14:paraId="63E79D93" w14:textId="77777777" w:rsidR="001469FE" w:rsidRPr="001469FE" w:rsidRDefault="001469FE" w:rsidP="001469FE">
            <w:pPr>
              <w:tabs>
                <w:tab w:val="clear" w:pos="7100"/>
              </w:tabs>
              <w:spacing w:line="240" w:lineRule="auto"/>
              <w:jc w:val="center"/>
              <w:rPr>
                <w:rFonts w:ascii="Calibri" w:hAnsi="Calibri" w:cs="Calibri"/>
                <w:color w:val="000000"/>
                <w:szCs w:val="18"/>
                <w:lang w:val="es-PE" w:eastAsia="es-PE"/>
              </w:rPr>
            </w:pPr>
            <w:r w:rsidRPr="001469FE">
              <w:rPr>
                <w:rFonts w:ascii="Calibri" w:hAnsi="Calibri" w:cs="Calibri"/>
                <w:color w:val="000000"/>
                <w:szCs w:val="18"/>
                <w:lang w:val="es-PE" w:eastAsia="es-PE"/>
              </w:rPr>
              <w:t>2700</w:t>
            </w:r>
          </w:p>
        </w:tc>
      </w:tr>
      <w:tr w:rsidR="001469FE" w:rsidRPr="001469FE" w14:paraId="59DEF1A7" w14:textId="77777777" w:rsidTr="00E934DC">
        <w:trPr>
          <w:trHeight w:val="208"/>
        </w:trPr>
        <w:tc>
          <w:tcPr>
            <w:tcW w:w="1600" w:type="dxa"/>
            <w:tcBorders>
              <w:top w:val="nil"/>
              <w:left w:val="nil"/>
              <w:bottom w:val="single" w:sz="12" w:space="0" w:color="0C8E50"/>
              <w:right w:val="nil"/>
            </w:tcBorders>
            <w:shd w:val="clear" w:color="auto" w:fill="auto"/>
            <w:noWrap/>
            <w:vAlign w:val="bottom"/>
            <w:hideMark/>
          </w:tcPr>
          <w:p w14:paraId="3AD930EF" w14:textId="77777777" w:rsidR="001469FE" w:rsidRPr="001469FE" w:rsidRDefault="001469FE" w:rsidP="001469FE">
            <w:pPr>
              <w:tabs>
                <w:tab w:val="clear" w:pos="7100"/>
              </w:tabs>
              <w:spacing w:line="240" w:lineRule="auto"/>
              <w:jc w:val="center"/>
              <w:rPr>
                <w:rFonts w:ascii="Calibri" w:hAnsi="Calibri" w:cs="Calibri"/>
                <w:color w:val="000000"/>
                <w:szCs w:val="18"/>
                <w:lang w:val="es-PE" w:eastAsia="es-PE"/>
              </w:rPr>
            </w:pPr>
            <w:r w:rsidRPr="001469FE">
              <w:rPr>
                <w:rFonts w:ascii="Calibri" w:hAnsi="Calibri" w:cs="Calibri"/>
                <w:color w:val="000000"/>
                <w:szCs w:val="18"/>
                <w:lang w:val="es-PE" w:eastAsia="es-PE"/>
              </w:rPr>
              <w:t>0.72</w:t>
            </w:r>
          </w:p>
        </w:tc>
        <w:tc>
          <w:tcPr>
            <w:tcW w:w="1744" w:type="dxa"/>
            <w:tcBorders>
              <w:top w:val="nil"/>
              <w:left w:val="nil"/>
              <w:bottom w:val="single" w:sz="12" w:space="0" w:color="0C8E50"/>
              <w:right w:val="nil"/>
            </w:tcBorders>
            <w:shd w:val="clear" w:color="auto" w:fill="auto"/>
            <w:noWrap/>
            <w:vAlign w:val="bottom"/>
            <w:hideMark/>
          </w:tcPr>
          <w:p w14:paraId="39370349" w14:textId="77777777" w:rsidR="001469FE" w:rsidRPr="001469FE" w:rsidRDefault="001469FE" w:rsidP="001469FE">
            <w:pPr>
              <w:tabs>
                <w:tab w:val="clear" w:pos="7100"/>
              </w:tabs>
              <w:spacing w:line="240" w:lineRule="auto"/>
              <w:jc w:val="center"/>
              <w:rPr>
                <w:rFonts w:ascii="Calibri" w:hAnsi="Calibri" w:cs="Calibri"/>
                <w:color w:val="000000"/>
                <w:szCs w:val="18"/>
                <w:lang w:val="es-PE" w:eastAsia="es-PE"/>
              </w:rPr>
            </w:pPr>
            <w:r w:rsidRPr="001469FE">
              <w:rPr>
                <w:rFonts w:ascii="Calibri" w:hAnsi="Calibri" w:cs="Calibri"/>
                <w:color w:val="000000"/>
                <w:szCs w:val="18"/>
                <w:lang w:val="es-PE" w:eastAsia="es-PE"/>
              </w:rPr>
              <w:t>218.00</w:t>
            </w:r>
          </w:p>
        </w:tc>
        <w:tc>
          <w:tcPr>
            <w:tcW w:w="1452" w:type="dxa"/>
            <w:tcBorders>
              <w:top w:val="nil"/>
              <w:left w:val="nil"/>
              <w:bottom w:val="single" w:sz="12" w:space="0" w:color="0C8E50"/>
              <w:right w:val="nil"/>
            </w:tcBorders>
            <w:shd w:val="clear" w:color="auto" w:fill="auto"/>
            <w:noWrap/>
            <w:vAlign w:val="bottom"/>
            <w:hideMark/>
          </w:tcPr>
          <w:p w14:paraId="0E85E5C8" w14:textId="77777777" w:rsidR="001469FE" w:rsidRPr="001469FE" w:rsidRDefault="001469FE" w:rsidP="001469FE">
            <w:pPr>
              <w:tabs>
                <w:tab w:val="clear" w:pos="7100"/>
              </w:tabs>
              <w:spacing w:line="240" w:lineRule="auto"/>
              <w:jc w:val="center"/>
              <w:rPr>
                <w:rFonts w:ascii="Calibri" w:hAnsi="Calibri" w:cs="Calibri"/>
                <w:color w:val="000000"/>
                <w:szCs w:val="18"/>
                <w:lang w:val="es-PE" w:eastAsia="es-PE"/>
              </w:rPr>
            </w:pPr>
            <w:r w:rsidRPr="001469FE">
              <w:rPr>
                <w:rFonts w:ascii="Calibri" w:hAnsi="Calibri" w:cs="Calibri"/>
                <w:color w:val="000000"/>
                <w:szCs w:val="18"/>
                <w:lang w:val="es-PE" w:eastAsia="es-PE"/>
              </w:rPr>
              <w:t>0.46</w:t>
            </w:r>
          </w:p>
        </w:tc>
        <w:tc>
          <w:tcPr>
            <w:tcW w:w="1008" w:type="dxa"/>
            <w:tcBorders>
              <w:top w:val="nil"/>
              <w:left w:val="nil"/>
              <w:bottom w:val="single" w:sz="12" w:space="0" w:color="0C8E50"/>
              <w:right w:val="nil"/>
            </w:tcBorders>
            <w:shd w:val="clear" w:color="auto" w:fill="auto"/>
            <w:noWrap/>
            <w:vAlign w:val="bottom"/>
            <w:hideMark/>
          </w:tcPr>
          <w:p w14:paraId="41CCF077" w14:textId="77777777" w:rsidR="001469FE" w:rsidRPr="001469FE" w:rsidRDefault="001469FE" w:rsidP="001469FE">
            <w:pPr>
              <w:tabs>
                <w:tab w:val="clear" w:pos="7100"/>
              </w:tabs>
              <w:spacing w:line="240" w:lineRule="auto"/>
              <w:jc w:val="center"/>
              <w:rPr>
                <w:rFonts w:ascii="Calibri" w:hAnsi="Calibri" w:cs="Calibri"/>
                <w:color w:val="000000"/>
                <w:szCs w:val="18"/>
                <w:lang w:val="es-PE" w:eastAsia="es-PE"/>
              </w:rPr>
            </w:pPr>
            <w:r w:rsidRPr="001469FE">
              <w:rPr>
                <w:rFonts w:ascii="Calibri" w:hAnsi="Calibri" w:cs="Calibri"/>
                <w:color w:val="000000"/>
                <w:szCs w:val="18"/>
                <w:lang w:val="es-PE" w:eastAsia="es-PE"/>
              </w:rPr>
              <w:t>100.28</w:t>
            </w:r>
          </w:p>
        </w:tc>
        <w:tc>
          <w:tcPr>
            <w:tcW w:w="1161" w:type="dxa"/>
            <w:tcBorders>
              <w:top w:val="nil"/>
              <w:left w:val="nil"/>
              <w:bottom w:val="single" w:sz="12" w:space="0" w:color="0C8E50"/>
              <w:right w:val="nil"/>
            </w:tcBorders>
            <w:shd w:val="clear" w:color="auto" w:fill="auto"/>
            <w:noWrap/>
            <w:vAlign w:val="bottom"/>
            <w:hideMark/>
          </w:tcPr>
          <w:p w14:paraId="6E31D1A8" w14:textId="77777777" w:rsidR="001469FE" w:rsidRPr="001469FE" w:rsidRDefault="001469FE" w:rsidP="001469FE">
            <w:pPr>
              <w:tabs>
                <w:tab w:val="clear" w:pos="7100"/>
              </w:tabs>
              <w:spacing w:line="240" w:lineRule="auto"/>
              <w:jc w:val="center"/>
              <w:rPr>
                <w:rFonts w:ascii="Calibri" w:hAnsi="Calibri" w:cs="Calibri"/>
                <w:color w:val="000000"/>
                <w:szCs w:val="18"/>
                <w:lang w:val="es-PE" w:eastAsia="es-PE"/>
              </w:rPr>
            </w:pPr>
            <w:r w:rsidRPr="001469FE">
              <w:rPr>
                <w:rFonts w:ascii="Calibri" w:hAnsi="Calibri" w:cs="Calibri"/>
                <w:color w:val="000000"/>
                <w:szCs w:val="18"/>
                <w:lang w:val="es-PE" w:eastAsia="es-PE"/>
              </w:rPr>
              <w:t>110.00</w:t>
            </w:r>
          </w:p>
        </w:tc>
        <w:tc>
          <w:tcPr>
            <w:tcW w:w="1754" w:type="dxa"/>
            <w:tcBorders>
              <w:top w:val="nil"/>
              <w:left w:val="nil"/>
              <w:bottom w:val="single" w:sz="12" w:space="0" w:color="0C8E50"/>
              <w:right w:val="nil"/>
            </w:tcBorders>
            <w:shd w:val="clear" w:color="auto" w:fill="auto"/>
            <w:noWrap/>
            <w:vAlign w:val="bottom"/>
            <w:hideMark/>
          </w:tcPr>
          <w:p w14:paraId="0844FE5D" w14:textId="77777777" w:rsidR="001469FE" w:rsidRPr="001469FE" w:rsidRDefault="001469FE" w:rsidP="001469FE">
            <w:pPr>
              <w:tabs>
                <w:tab w:val="clear" w:pos="7100"/>
              </w:tabs>
              <w:spacing w:line="240" w:lineRule="auto"/>
              <w:jc w:val="center"/>
              <w:rPr>
                <w:rFonts w:ascii="Calibri" w:hAnsi="Calibri" w:cs="Calibri"/>
                <w:color w:val="000000"/>
                <w:szCs w:val="18"/>
                <w:lang w:val="es-PE" w:eastAsia="es-PE"/>
              </w:rPr>
            </w:pPr>
            <w:r w:rsidRPr="001469FE">
              <w:rPr>
                <w:rFonts w:ascii="Calibri" w:hAnsi="Calibri" w:cs="Calibri"/>
                <w:color w:val="000000"/>
                <w:szCs w:val="18"/>
                <w:lang w:val="es-PE" w:eastAsia="es-PE"/>
              </w:rPr>
              <w:t>3600</w:t>
            </w:r>
          </w:p>
        </w:tc>
      </w:tr>
    </w:tbl>
    <w:p w14:paraId="3BCF560B" w14:textId="05508CA0" w:rsidR="001469FE" w:rsidRDefault="00054A22" w:rsidP="00054A22">
      <w:pPr>
        <w:pStyle w:val="CETheadingx"/>
        <w:rPr>
          <w:rFonts w:eastAsia="Arial"/>
        </w:rPr>
      </w:pPr>
      <w:r w:rsidRPr="00054A22">
        <w:rPr>
          <w:rFonts w:eastAsia="Arial"/>
        </w:rPr>
        <w:t>Calorific power and performance</w:t>
      </w:r>
    </w:p>
    <w:p w14:paraId="7DB852D2" w14:textId="7CD97F24" w:rsidR="000C4858" w:rsidRDefault="000C4858" w:rsidP="000C4858">
      <w:pPr>
        <w:pStyle w:val="CETBodytext"/>
        <w:spacing w:after="120"/>
      </w:pPr>
      <w:r w:rsidRPr="005D5824">
        <w:t>As a result, a power of 0.100 KW-h was obtained with 110 W LED light bulbs</w:t>
      </w:r>
      <w:r w:rsidR="000012A9">
        <w:t xml:space="preserve"> </w:t>
      </w:r>
      <w:r w:rsidR="004F09AF">
        <w:t>(</w:t>
      </w:r>
      <w:r w:rsidR="000012A9">
        <w:t>Figure 3)</w:t>
      </w:r>
      <w:r w:rsidRPr="005D5824">
        <w:t xml:space="preserve"> and for testing with 100 W incandescent bulbs, a power of 0.056 KW-h was obtained. The performance obtained based on the maximum value of the test with LED light bulbs for 110 W, taking into account the expenditure of 0.720 m</w:t>
      </w:r>
      <w:r w:rsidRPr="005D5824">
        <w:rPr>
          <w:vertAlign w:val="superscript"/>
        </w:rPr>
        <w:t>3</w:t>
      </w:r>
      <w:r w:rsidRPr="005D5824">
        <w:t xml:space="preserve"> of biogas volume to obtain 4.134 Kw-h of total energy with 0.100 Kw-h of useful energy, is found the value of 2.418</w:t>
      </w:r>
      <w:r>
        <w:t xml:space="preserve"> </w:t>
      </w:r>
      <w:r w:rsidRPr="005D5824">
        <w:t>%</w:t>
      </w:r>
      <w:r>
        <w:t xml:space="preserve"> (Table 4)</w:t>
      </w:r>
      <w:r w:rsidRPr="005D5824">
        <w:t>; This value represents a low performance due to the low outlet pressure of the gasholder and probably due to the design of the mixer, which is still being investigated.</w:t>
      </w:r>
    </w:p>
    <w:p w14:paraId="2BAB0682" w14:textId="2E16B069" w:rsidR="00C7570D" w:rsidRPr="00F04B1E" w:rsidRDefault="00C7570D" w:rsidP="00C7570D">
      <w:pPr>
        <w:pStyle w:val="CETTabletitle"/>
        <w:rPr>
          <w:b/>
          <w:lang w:val="en-US"/>
        </w:rPr>
      </w:pPr>
      <w:r w:rsidRPr="00F04B1E">
        <w:rPr>
          <w:lang w:val="en-US"/>
        </w:rPr>
        <w:t xml:space="preserve">Table </w:t>
      </w:r>
      <w:r w:rsidR="001469FE">
        <w:rPr>
          <w:lang w:val="en-US"/>
        </w:rPr>
        <w:t>4</w:t>
      </w:r>
      <w:r w:rsidRPr="00F04B1E">
        <w:rPr>
          <w:lang w:val="en-US"/>
        </w:rPr>
        <w:t xml:space="preserve">: </w:t>
      </w:r>
      <w:r w:rsidR="00F04B1E" w:rsidRPr="00E93BD2">
        <w:rPr>
          <w:bCs/>
          <w:iCs/>
          <w:lang w:val="en-US"/>
        </w:rPr>
        <w:t xml:space="preserve">Performance in energy production for </w:t>
      </w:r>
      <w:r w:rsidR="00175BBA" w:rsidRPr="00175BBA">
        <w:rPr>
          <w:bCs/>
          <w:iCs/>
          <w:lang w:val="en-US"/>
        </w:rPr>
        <w:t>LED light bulbs</w:t>
      </w:r>
    </w:p>
    <w:tbl>
      <w:tblPr>
        <w:tblW w:w="8756"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95"/>
        <w:gridCol w:w="1727"/>
        <w:gridCol w:w="1877"/>
        <w:gridCol w:w="1584"/>
        <w:gridCol w:w="1773"/>
      </w:tblGrid>
      <w:tr w:rsidR="00C7570D" w:rsidRPr="00B57B36" w14:paraId="323E9386" w14:textId="77777777" w:rsidTr="000C4858">
        <w:trPr>
          <w:trHeight w:val="505"/>
        </w:trPr>
        <w:tc>
          <w:tcPr>
            <w:tcW w:w="1795" w:type="dxa"/>
            <w:tcBorders>
              <w:top w:val="single" w:sz="12" w:space="0" w:color="008000"/>
              <w:bottom w:val="single" w:sz="6" w:space="0" w:color="008000"/>
            </w:tcBorders>
            <w:shd w:val="clear" w:color="auto" w:fill="FFFFFF"/>
          </w:tcPr>
          <w:p w14:paraId="5B257427" w14:textId="0DDB5EE1" w:rsidR="00C7570D" w:rsidRDefault="00C7570D" w:rsidP="00F673D3">
            <w:pPr>
              <w:pStyle w:val="CETBodytext"/>
              <w:jc w:val="center"/>
              <w:rPr>
                <w:lang w:val="en-GB"/>
              </w:rPr>
            </w:pPr>
            <w:r>
              <w:rPr>
                <w:lang w:val="en-GB"/>
              </w:rPr>
              <w:t>Time</w:t>
            </w:r>
          </w:p>
          <w:p w14:paraId="46E5EE95" w14:textId="77777777" w:rsidR="00C7570D" w:rsidRDefault="00C7570D" w:rsidP="00F673D3">
            <w:pPr>
              <w:pStyle w:val="CETBodytext"/>
              <w:jc w:val="center"/>
              <w:rPr>
                <w:lang w:val="en-GB"/>
              </w:rPr>
            </w:pPr>
            <w:r>
              <w:rPr>
                <w:lang w:val="en-GB"/>
              </w:rPr>
              <w:t xml:space="preserve"> (s)</w:t>
            </w:r>
          </w:p>
        </w:tc>
        <w:tc>
          <w:tcPr>
            <w:tcW w:w="1727" w:type="dxa"/>
            <w:tcBorders>
              <w:top w:val="single" w:sz="12" w:space="0" w:color="008000"/>
              <w:bottom w:val="single" w:sz="6" w:space="0" w:color="008000"/>
            </w:tcBorders>
            <w:shd w:val="clear" w:color="auto" w:fill="FFFFFF"/>
          </w:tcPr>
          <w:p w14:paraId="7DFEB1FA" w14:textId="299C59F1" w:rsidR="00C7570D" w:rsidRDefault="00C7570D" w:rsidP="00F673D3">
            <w:pPr>
              <w:pStyle w:val="CETBodytext"/>
              <w:jc w:val="center"/>
              <w:rPr>
                <w:lang w:val="en-GB"/>
              </w:rPr>
            </w:pPr>
            <w:r>
              <w:rPr>
                <w:lang w:val="en-GB"/>
              </w:rPr>
              <w:t>Volume</w:t>
            </w:r>
          </w:p>
          <w:p w14:paraId="2EFEBA95" w14:textId="77777777" w:rsidR="00C7570D" w:rsidRPr="00B57B36" w:rsidRDefault="00C7570D" w:rsidP="00F673D3">
            <w:pPr>
              <w:pStyle w:val="CETBodytext"/>
              <w:jc w:val="center"/>
              <w:rPr>
                <w:lang w:val="en-GB"/>
              </w:rPr>
            </w:pPr>
            <w:r>
              <w:rPr>
                <w:lang w:val="en-GB"/>
              </w:rPr>
              <w:t>(m</w:t>
            </w:r>
            <w:r>
              <w:rPr>
                <w:vertAlign w:val="superscript"/>
                <w:lang w:val="en-GB"/>
              </w:rPr>
              <w:t>3</w:t>
            </w:r>
            <w:r>
              <w:rPr>
                <w:lang w:val="en-GB"/>
              </w:rPr>
              <w:t>)</w:t>
            </w:r>
          </w:p>
        </w:tc>
        <w:tc>
          <w:tcPr>
            <w:tcW w:w="1877" w:type="dxa"/>
            <w:tcBorders>
              <w:top w:val="single" w:sz="12" w:space="0" w:color="008000"/>
              <w:bottom w:val="single" w:sz="6" w:space="0" w:color="008000"/>
            </w:tcBorders>
            <w:shd w:val="clear" w:color="auto" w:fill="FFFFFF"/>
          </w:tcPr>
          <w:p w14:paraId="3E21A67A" w14:textId="77777777" w:rsidR="00C7570D" w:rsidRDefault="00C7570D" w:rsidP="00C7570D">
            <w:pPr>
              <w:pStyle w:val="CETBodytext"/>
              <w:jc w:val="center"/>
              <w:rPr>
                <w:lang w:val="en-GB"/>
              </w:rPr>
            </w:pPr>
            <w:r>
              <w:rPr>
                <w:lang w:val="en-GB"/>
              </w:rPr>
              <w:t>Total energy</w:t>
            </w:r>
          </w:p>
          <w:p w14:paraId="6A69A53B" w14:textId="4CBB07A8" w:rsidR="00C7570D" w:rsidRPr="00B57B36" w:rsidRDefault="00C7570D" w:rsidP="00C7570D">
            <w:pPr>
              <w:pStyle w:val="CETBodytext"/>
              <w:jc w:val="center"/>
              <w:rPr>
                <w:lang w:val="en-GB"/>
              </w:rPr>
            </w:pPr>
            <w:r>
              <w:rPr>
                <w:lang w:val="en-GB"/>
              </w:rPr>
              <w:t>(KW-h)</w:t>
            </w:r>
          </w:p>
        </w:tc>
        <w:tc>
          <w:tcPr>
            <w:tcW w:w="1584" w:type="dxa"/>
            <w:tcBorders>
              <w:top w:val="single" w:sz="12" w:space="0" w:color="008000"/>
              <w:bottom w:val="single" w:sz="6" w:space="0" w:color="008000"/>
            </w:tcBorders>
            <w:shd w:val="clear" w:color="auto" w:fill="FFFFFF"/>
          </w:tcPr>
          <w:p w14:paraId="71F4B00F" w14:textId="5E8B6593" w:rsidR="00C7570D" w:rsidRDefault="00C7570D" w:rsidP="00F673D3">
            <w:pPr>
              <w:pStyle w:val="CETBodytext"/>
              <w:ind w:right="-1"/>
              <w:jc w:val="center"/>
              <w:rPr>
                <w:rFonts w:cs="Arial"/>
                <w:szCs w:val="18"/>
                <w:lang w:val="en-GB"/>
              </w:rPr>
            </w:pPr>
            <w:r>
              <w:rPr>
                <w:rFonts w:cs="Arial"/>
                <w:szCs w:val="18"/>
                <w:lang w:val="en-GB"/>
              </w:rPr>
              <w:t>Useful energy</w:t>
            </w:r>
          </w:p>
          <w:p w14:paraId="5313114E" w14:textId="77777777" w:rsidR="00C7570D" w:rsidRPr="00B57B36" w:rsidRDefault="00C7570D" w:rsidP="00F673D3">
            <w:pPr>
              <w:pStyle w:val="CETBodytext"/>
              <w:ind w:right="-1"/>
              <w:jc w:val="center"/>
              <w:rPr>
                <w:rFonts w:cs="Arial"/>
                <w:szCs w:val="18"/>
                <w:lang w:val="en-GB"/>
              </w:rPr>
            </w:pPr>
            <w:r>
              <w:rPr>
                <w:rFonts w:cs="Arial"/>
                <w:szCs w:val="18"/>
                <w:lang w:val="en-GB"/>
              </w:rPr>
              <w:t xml:space="preserve"> (KW-h)</w:t>
            </w:r>
          </w:p>
        </w:tc>
        <w:tc>
          <w:tcPr>
            <w:tcW w:w="1773" w:type="dxa"/>
            <w:tcBorders>
              <w:top w:val="single" w:sz="12" w:space="0" w:color="008000"/>
              <w:bottom w:val="single" w:sz="6" w:space="0" w:color="008000"/>
            </w:tcBorders>
            <w:shd w:val="clear" w:color="auto" w:fill="FFFFFF"/>
          </w:tcPr>
          <w:p w14:paraId="1D8BBFDE" w14:textId="3BB6954C" w:rsidR="00C7570D" w:rsidRDefault="00C7570D" w:rsidP="00F673D3">
            <w:pPr>
              <w:pStyle w:val="CETBodytext"/>
              <w:ind w:right="-1"/>
              <w:jc w:val="center"/>
              <w:rPr>
                <w:rFonts w:cs="Arial"/>
                <w:szCs w:val="18"/>
                <w:lang w:val="en-GB"/>
              </w:rPr>
            </w:pPr>
            <w:r>
              <w:rPr>
                <w:rFonts w:cs="Arial"/>
                <w:szCs w:val="18"/>
                <w:lang w:val="en-GB"/>
              </w:rPr>
              <w:t>Yield</w:t>
            </w:r>
          </w:p>
          <w:p w14:paraId="154C7C05" w14:textId="77777777" w:rsidR="00C7570D" w:rsidRPr="00B57B36" w:rsidRDefault="00C7570D" w:rsidP="00F673D3">
            <w:pPr>
              <w:pStyle w:val="CETBodytext"/>
              <w:ind w:right="-1"/>
              <w:jc w:val="center"/>
              <w:rPr>
                <w:rFonts w:cs="Arial"/>
                <w:szCs w:val="18"/>
                <w:lang w:val="en-GB"/>
              </w:rPr>
            </w:pPr>
            <w:r>
              <w:rPr>
                <w:rFonts w:cs="Arial"/>
                <w:szCs w:val="18"/>
                <w:lang w:val="en-GB"/>
              </w:rPr>
              <w:t>(%)</w:t>
            </w:r>
          </w:p>
        </w:tc>
      </w:tr>
      <w:tr w:rsidR="005D5824" w:rsidRPr="00B57B36" w14:paraId="11341047" w14:textId="77777777" w:rsidTr="001469FE">
        <w:trPr>
          <w:trHeight w:val="128"/>
        </w:trPr>
        <w:tc>
          <w:tcPr>
            <w:tcW w:w="1795" w:type="dxa"/>
            <w:shd w:val="clear" w:color="auto" w:fill="FFFFFF"/>
          </w:tcPr>
          <w:p w14:paraId="25AE4F00" w14:textId="77777777" w:rsidR="005D5824" w:rsidRDefault="005D5824" w:rsidP="005D5824">
            <w:pPr>
              <w:pStyle w:val="CETBodytext"/>
              <w:jc w:val="center"/>
              <w:rPr>
                <w:lang w:val="en-GB"/>
              </w:rPr>
            </w:pPr>
            <w:r>
              <w:rPr>
                <w:lang w:val="en-GB"/>
              </w:rPr>
              <w:t>900</w:t>
            </w:r>
          </w:p>
        </w:tc>
        <w:tc>
          <w:tcPr>
            <w:tcW w:w="1727" w:type="dxa"/>
            <w:shd w:val="clear" w:color="auto" w:fill="FFFFFF"/>
          </w:tcPr>
          <w:p w14:paraId="2B198C3E" w14:textId="77777777" w:rsidR="005D5824" w:rsidRPr="00B57B36" w:rsidRDefault="005D5824" w:rsidP="005D5824">
            <w:pPr>
              <w:pStyle w:val="CETBodytext"/>
              <w:jc w:val="center"/>
              <w:rPr>
                <w:lang w:val="en-GB"/>
              </w:rPr>
            </w:pPr>
            <w:r>
              <w:rPr>
                <w:lang w:val="en-GB"/>
              </w:rPr>
              <w:t>0.180</w:t>
            </w:r>
          </w:p>
        </w:tc>
        <w:tc>
          <w:tcPr>
            <w:tcW w:w="1877" w:type="dxa"/>
            <w:shd w:val="clear" w:color="auto" w:fill="FFFFFF"/>
          </w:tcPr>
          <w:p w14:paraId="0E25E6D1" w14:textId="59E4D39C" w:rsidR="005D5824" w:rsidRPr="00B57B36" w:rsidRDefault="005D5824" w:rsidP="005D5824">
            <w:pPr>
              <w:pStyle w:val="CETBodytext"/>
              <w:jc w:val="center"/>
              <w:rPr>
                <w:lang w:val="en-GB"/>
              </w:rPr>
            </w:pPr>
            <w:r w:rsidRPr="00957270">
              <w:t>1.003</w:t>
            </w:r>
          </w:p>
        </w:tc>
        <w:tc>
          <w:tcPr>
            <w:tcW w:w="1584" w:type="dxa"/>
            <w:shd w:val="clear" w:color="auto" w:fill="FFFFFF"/>
          </w:tcPr>
          <w:p w14:paraId="5F148D8E" w14:textId="77777777" w:rsidR="005D5824" w:rsidRPr="00B57B36" w:rsidRDefault="005D5824" w:rsidP="005D5824">
            <w:pPr>
              <w:pStyle w:val="CETBodytext"/>
              <w:ind w:right="-1"/>
              <w:jc w:val="center"/>
              <w:rPr>
                <w:rFonts w:cs="Arial"/>
                <w:szCs w:val="18"/>
                <w:lang w:val="en-GB"/>
              </w:rPr>
            </w:pPr>
            <w:r>
              <w:rPr>
                <w:rFonts w:cs="Arial"/>
                <w:szCs w:val="18"/>
                <w:lang w:val="en-GB"/>
              </w:rPr>
              <w:t>0.011</w:t>
            </w:r>
          </w:p>
        </w:tc>
        <w:tc>
          <w:tcPr>
            <w:tcW w:w="1773" w:type="dxa"/>
            <w:shd w:val="clear" w:color="auto" w:fill="FFFFFF"/>
          </w:tcPr>
          <w:p w14:paraId="3287722E" w14:textId="77777777" w:rsidR="005D5824" w:rsidRPr="00B57B36" w:rsidRDefault="005D5824" w:rsidP="005D5824">
            <w:pPr>
              <w:pStyle w:val="CETBodytext"/>
              <w:ind w:right="-1"/>
              <w:jc w:val="center"/>
              <w:rPr>
                <w:rFonts w:cs="Arial"/>
                <w:szCs w:val="18"/>
                <w:lang w:val="en-GB"/>
              </w:rPr>
            </w:pPr>
            <w:r>
              <w:rPr>
                <w:rFonts w:cs="Arial"/>
                <w:szCs w:val="18"/>
                <w:lang w:val="en-GB"/>
              </w:rPr>
              <w:t>1.064</w:t>
            </w:r>
          </w:p>
        </w:tc>
      </w:tr>
      <w:tr w:rsidR="005D5824" w:rsidRPr="00B57B36" w14:paraId="61DB5BF8" w14:textId="77777777" w:rsidTr="001469FE">
        <w:trPr>
          <w:trHeight w:val="85"/>
        </w:trPr>
        <w:tc>
          <w:tcPr>
            <w:tcW w:w="1795" w:type="dxa"/>
            <w:shd w:val="clear" w:color="auto" w:fill="FFFFFF"/>
          </w:tcPr>
          <w:p w14:paraId="156124CD" w14:textId="77777777" w:rsidR="005D5824" w:rsidRDefault="005D5824" w:rsidP="005D5824">
            <w:pPr>
              <w:pStyle w:val="CETBodytext"/>
              <w:jc w:val="center"/>
              <w:rPr>
                <w:lang w:val="en-GB"/>
              </w:rPr>
            </w:pPr>
            <w:r>
              <w:rPr>
                <w:lang w:val="en-GB"/>
              </w:rPr>
              <w:t>1800</w:t>
            </w:r>
          </w:p>
        </w:tc>
        <w:tc>
          <w:tcPr>
            <w:tcW w:w="1727" w:type="dxa"/>
            <w:shd w:val="clear" w:color="auto" w:fill="FFFFFF"/>
          </w:tcPr>
          <w:p w14:paraId="4ACD7801" w14:textId="77777777" w:rsidR="005D5824" w:rsidRDefault="005D5824" w:rsidP="005D5824">
            <w:pPr>
              <w:pStyle w:val="CETBodytext"/>
              <w:jc w:val="center"/>
              <w:rPr>
                <w:lang w:val="en-GB"/>
              </w:rPr>
            </w:pPr>
            <w:r>
              <w:rPr>
                <w:lang w:val="en-GB"/>
              </w:rPr>
              <w:t>0.360</w:t>
            </w:r>
          </w:p>
        </w:tc>
        <w:tc>
          <w:tcPr>
            <w:tcW w:w="1877" w:type="dxa"/>
            <w:shd w:val="clear" w:color="auto" w:fill="FFFFFF"/>
          </w:tcPr>
          <w:p w14:paraId="4781ACA8" w14:textId="4D3023E7" w:rsidR="005D5824" w:rsidRDefault="005D5824" w:rsidP="005D5824">
            <w:pPr>
              <w:pStyle w:val="CETBodytext"/>
              <w:jc w:val="center"/>
              <w:rPr>
                <w:lang w:val="en-GB"/>
              </w:rPr>
            </w:pPr>
            <w:r w:rsidRPr="00957270">
              <w:t>2.067</w:t>
            </w:r>
          </w:p>
        </w:tc>
        <w:tc>
          <w:tcPr>
            <w:tcW w:w="1584" w:type="dxa"/>
            <w:shd w:val="clear" w:color="auto" w:fill="FFFFFF"/>
          </w:tcPr>
          <w:p w14:paraId="54C99141" w14:textId="77777777" w:rsidR="005D5824" w:rsidRDefault="005D5824" w:rsidP="005D5824">
            <w:pPr>
              <w:pStyle w:val="CETBodytext"/>
              <w:ind w:right="-1"/>
              <w:jc w:val="center"/>
              <w:rPr>
                <w:rFonts w:cs="Arial"/>
                <w:szCs w:val="18"/>
                <w:lang w:val="en-GB"/>
              </w:rPr>
            </w:pPr>
            <w:r>
              <w:rPr>
                <w:rFonts w:cs="Arial"/>
                <w:szCs w:val="18"/>
                <w:lang w:val="en-GB"/>
              </w:rPr>
              <w:t>0.032</w:t>
            </w:r>
          </w:p>
        </w:tc>
        <w:tc>
          <w:tcPr>
            <w:tcW w:w="1773" w:type="dxa"/>
            <w:shd w:val="clear" w:color="auto" w:fill="FFFFFF"/>
          </w:tcPr>
          <w:p w14:paraId="53D65DDA" w14:textId="77777777" w:rsidR="005D5824" w:rsidRDefault="005D5824" w:rsidP="005D5824">
            <w:pPr>
              <w:pStyle w:val="CETBodytext"/>
              <w:ind w:right="-1"/>
              <w:jc w:val="center"/>
              <w:rPr>
                <w:rFonts w:cs="Arial"/>
                <w:szCs w:val="18"/>
                <w:lang w:val="en-GB"/>
              </w:rPr>
            </w:pPr>
            <w:r>
              <w:rPr>
                <w:rFonts w:cs="Arial"/>
                <w:szCs w:val="18"/>
                <w:lang w:val="en-GB"/>
              </w:rPr>
              <w:t>1.548</w:t>
            </w:r>
          </w:p>
        </w:tc>
      </w:tr>
      <w:tr w:rsidR="005D5824" w:rsidRPr="00B57B36" w14:paraId="0D6593DB" w14:textId="77777777" w:rsidTr="001469FE">
        <w:trPr>
          <w:trHeight w:val="85"/>
        </w:trPr>
        <w:tc>
          <w:tcPr>
            <w:tcW w:w="1795" w:type="dxa"/>
            <w:shd w:val="clear" w:color="auto" w:fill="FFFFFF"/>
          </w:tcPr>
          <w:p w14:paraId="376428E3" w14:textId="77777777" w:rsidR="005D5824" w:rsidRDefault="005D5824" w:rsidP="005D5824">
            <w:pPr>
              <w:pStyle w:val="CETBodytext"/>
              <w:jc w:val="center"/>
              <w:rPr>
                <w:lang w:val="en-GB"/>
              </w:rPr>
            </w:pPr>
            <w:r>
              <w:rPr>
                <w:lang w:val="en-GB"/>
              </w:rPr>
              <w:t>2700</w:t>
            </w:r>
          </w:p>
        </w:tc>
        <w:tc>
          <w:tcPr>
            <w:tcW w:w="1727" w:type="dxa"/>
            <w:shd w:val="clear" w:color="auto" w:fill="FFFFFF"/>
          </w:tcPr>
          <w:p w14:paraId="1881669B" w14:textId="77777777" w:rsidR="005D5824" w:rsidRDefault="005D5824" w:rsidP="005D5824">
            <w:pPr>
              <w:pStyle w:val="CETBodytext"/>
              <w:jc w:val="center"/>
              <w:rPr>
                <w:lang w:val="en-GB"/>
              </w:rPr>
            </w:pPr>
            <w:r>
              <w:rPr>
                <w:lang w:val="en-GB"/>
              </w:rPr>
              <w:t>0.540</w:t>
            </w:r>
          </w:p>
        </w:tc>
        <w:tc>
          <w:tcPr>
            <w:tcW w:w="1877" w:type="dxa"/>
            <w:shd w:val="clear" w:color="auto" w:fill="FFFFFF"/>
          </w:tcPr>
          <w:p w14:paraId="374A0F7E" w14:textId="498670B5" w:rsidR="005D5824" w:rsidRDefault="005D5824" w:rsidP="005D5824">
            <w:pPr>
              <w:pStyle w:val="CETBodytext"/>
              <w:jc w:val="center"/>
              <w:rPr>
                <w:lang w:val="en-GB"/>
              </w:rPr>
            </w:pPr>
            <w:r w:rsidRPr="00957270">
              <w:t>3.100</w:t>
            </w:r>
          </w:p>
        </w:tc>
        <w:tc>
          <w:tcPr>
            <w:tcW w:w="1584" w:type="dxa"/>
            <w:shd w:val="clear" w:color="auto" w:fill="FFFFFF"/>
          </w:tcPr>
          <w:p w14:paraId="2F411DAE" w14:textId="77777777" w:rsidR="005D5824" w:rsidRDefault="005D5824" w:rsidP="005D5824">
            <w:pPr>
              <w:pStyle w:val="CETBodytext"/>
              <w:ind w:right="-1"/>
              <w:jc w:val="center"/>
              <w:rPr>
                <w:rFonts w:cs="Arial"/>
                <w:szCs w:val="18"/>
                <w:lang w:val="en-GB"/>
              </w:rPr>
            </w:pPr>
            <w:r>
              <w:rPr>
                <w:rFonts w:cs="Arial"/>
                <w:szCs w:val="18"/>
                <w:lang w:val="en-GB"/>
              </w:rPr>
              <w:t>0.062</w:t>
            </w:r>
          </w:p>
        </w:tc>
        <w:tc>
          <w:tcPr>
            <w:tcW w:w="1773" w:type="dxa"/>
            <w:shd w:val="clear" w:color="auto" w:fill="FFFFFF"/>
          </w:tcPr>
          <w:p w14:paraId="701C6BEF" w14:textId="77777777" w:rsidR="005D5824" w:rsidRDefault="005D5824" w:rsidP="005D5824">
            <w:pPr>
              <w:pStyle w:val="CETBodytext"/>
              <w:ind w:right="-1"/>
              <w:jc w:val="center"/>
              <w:rPr>
                <w:rFonts w:cs="Arial"/>
                <w:szCs w:val="18"/>
                <w:lang w:val="en-GB"/>
              </w:rPr>
            </w:pPr>
            <w:r>
              <w:rPr>
                <w:rFonts w:cs="Arial"/>
                <w:szCs w:val="18"/>
                <w:lang w:val="en-GB"/>
              </w:rPr>
              <w:t>2.000</w:t>
            </w:r>
          </w:p>
        </w:tc>
      </w:tr>
      <w:tr w:rsidR="005D5824" w:rsidRPr="00B57B36" w14:paraId="119C5BA7" w14:textId="77777777" w:rsidTr="001469FE">
        <w:trPr>
          <w:trHeight w:val="85"/>
        </w:trPr>
        <w:tc>
          <w:tcPr>
            <w:tcW w:w="1795" w:type="dxa"/>
            <w:shd w:val="clear" w:color="auto" w:fill="FFFFFF"/>
          </w:tcPr>
          <w:p w14:paraId="0CE5FEEB" w14:textId="77777777" w:rsidR="005D5824" w:rsidRDefault="005D5824" w:rsidP="005D5824">
            <w:pPr>
              <w:pStyle w:val="CETBodytext"/>
              <w:jc w:val="center"/>
              <w:rPr>
                <w:lang w:val="en-GB"/>
              </w:rPr>
            </w:pPr>
            <w:r>
              <w:rPr>
                <w:lang w:val="en-GB"/>
              </w:rPr>
              <w:t>3600</w:t>
            </w:r>
          </w:p>
        </w:tc>
        <w:tc>
          <w:tcPr>
            <w:tcW w:w="1727" w:type="dxa"/>
            <w:shd w:val="clear" w:color="auto" w:fill="FFFFFF"/>
          </w:tcPr>
          <w:p w14:paraId="6E714659" w14:textId="77777777" w:rsidR="005D5824" w:rsidRDefault="005D5824" w:rsidP="005D5824">
            <w:pPr>
              <w:pStyle w:val="CETBodytext"/>
              <w:jc w:val="center"/>
              <w:rPr>
                <w:lang w:val="en-GB"/>
              </w:rPr>
            </w:pPr>
            <w:r>
              <w:rPr>
                <w:lang w:val="en-GB"/>
              </w:rPr>
              <w:t>0.720</w:t>
            </w:r>
          </w:p>
        </w:tc>
        <w:tc>
          <w:tcPr>
            <w:tcW w:w="1877" w:type="dxa"/>
            <w:shd w:val="clear" w:color="auto" w:fill="FFFFFF"/>
          </w:tcPr>
          <w:p w14:paraId="0AA4C164" w14:textId="73B49430" w:rsidR="005D5824" w:rsidRDefault="005D5824" w:rsidP="005D5824">
            <w:pPr>
              <w:pStyle w:val="CETBodytext"/>
              <w:jc w:val="center"/>
              <w:rPr>
                <w:lang w:val="en-GB"/>
              </w:rPr>
            </w:pPr>
            <w:r w:rsidRPr="00957270">
              <w:t>4.134</w:t>
            </w:r>
          </w:p>
        </w:tc>
        <w:tc>
          <w:tcPr>
            <w:tcW w:w="1584" w:type="dxa"/>
            <w:shd w:val="clear" w:color="auto" w:fill="FFFFFF"/>
          </w:tcPr>
          <w:p w14:paraId="6D9BD2F2" w14:textId="77777777" w:rsidR="005D5824" w:rsidRDefault="005D5824" w:rsidP="005D5824">
            <w:pPr>
              <w:pStyle w:val="CETBodytext"/>
              <w:ind w:right="-1"/>
              <w:jc w:val="center"/>
              <w:rPr>
                <w:rFonts w:cs="Arial"/>
                <w:szCs w:val="18"/>
                <w:lang w:val="en-GB"/>
              </w:rPr>
            </w:pPr>
            <w:r>
              <w:rPr>
                <w:rFonts w:cs="Arial"/>
                <w:szCs w:val="18"/>
                <w:lang w:val="en-GB"/>
              </w:rPr>
              <w:t>0.100</w:t>
            </w:r>
          </w:p>
        </w:tc>
        <w:tc>
          <w:tcPr>
            <w:tcW w:w="1773" w:type="dxa"/>
            <w:shd w:val="clear" w:color="auto" w:fill="FFFFFF"/>
          </w:tcPr>
          <w:p w14:paraId="0DF881E8" w14:textId="77777777" w:rsidR="005D5824" w:rsidRDefault="005D5824" w:rsidP="005D5824">
            <w:pPr>
              <w:pStyle w:val="CETBodytext"/>
              <w:ind w:right="-1"/>
              <w:jc w:val="center"/>
              <w:rPr>
                <w:rFonts w:cs="Arial"/>
                <w:szCs w:val="18"/>
                <w:lang w:val="en-GB"/>
              </w:rPr>
            </w:pPr>
            <w:r>
              <w:rPr>
                <w:rFonts w:cs="Arial"/>
                <w:szCs w:val="18"/>
                <w:lang w:val="en-GB"/>
              </w:rPr>
              <w:t>2.418</w:t>
            </w:r>
          </w:p>
        </w:tc>
      </w:tr>
    </w:tbl>
    <w:p w14:paraId="2B061EC2" w14:textId="24D6C7C1" w:rsidR="00C7570D" w:rsidRDefault="00C7570D" w:rsidP="00C7570D">
      <w:pPr>
        <w:pStyle w:val="CETBodytext"/>
      </w:pPr>
    </w:p>
    <w:p w14:paraId="12AADCA6" w14:textId="4573DADF" w:rsidR="000A0C3A" w:rsidRDefault="000A0C3A" w:rsidP="00790D5F">
      <w:pPr>
        <w:pStyle w:val="CETBodytext"/>
        <w:spacing w:after="120"/>
      </w:pPr>
      <w:r w:rsidRPr="000A0C3A">
        <w:t>Regarding the production of biogas from the sewage sludge of the Ancon District, depending on the temperature, the first methane indexes were recorded at 28 days with 12.4</w:t>
      </w:r>
      <w:r>
        <w:t xml:space="preserve"> </w:t>
      </w:r>
      <w:r w:rsidRPr="000A0C3A">
        <w:t>% and at 42 days with 57.7</w:t>
      </w:r>
      <w:r>
        <w:t xml:space="preserve"> </w:t>
      </w:r>
      <w:r w:rsidRPr="000A0C3A">
        <w:t>%, with a total volume of 2 m</w:t>
      </w:r>
      <w:r w:rsidRPr="000A0C3A">
        <w:rPr>
          <w:vertAlign w:val="superscript"/>
        </w:rPr>
        <w:t>3</w:t>
      </w:r>
      <w:r w:rsidRPr="000A0C3A">
        <w:t xml:space="preserve"> of biogas</w:t>
      </w:r>
      <w:r w:rsidR="00D2790B">
        <w:t>;</w:t>
      </w:r>
      <w:r w:rsidR="00D2790B" w:rsidRPr="00D2790B">
        <w:t xml:space="preserve"> a result similar to that achieved by Castro et al. (2020) which was 58</w:t>
      </w:r>
      <w:r w:rsidR="005D54B5">
        <w:t xml:space="preserve"> </w:t>
      </w:r>
      <w:r w:rsidR="00D2790B" w:rsidRPr="00D2790B">
        <w:t>% methane at 60 days</w:t>
      </w:r>
      <w:r w:rsidRPr="000A0C3A">
        <w:t xml:space="preserve">. It must be taken into account in the operation as indicated by Dos Santos S., </w:t>
      </w:r>
      <w:proofErr w:type="spellStart"/>
      <w:r w:rsidRPr="000A0C3A">
        <w:t>Morrais</w:t>
      </w:r>
      <w:proofErr w:type="spellEnd"/>
      <w:r w:rsidRPr="000A0C3A">
        <w:t xml:space="preserve"> S. and Van Handel A., (2018), who indicate that the climatic factor and the age of the sludge are the main variables that will serve to relate the production of biogas considering it efficient for the application in the electric generator.</w:t>
      </w:r>
    </w:p>
    <w:p w14:paraId="77DE2D7F" w14:textId="3E362DEB" w:rsidR="000A0C3A" w:rsidRDefault="000A0C3A" w:rsidP="00790D5F">
      <w:pPr>
        <w:pStyle w:val="CETBodytext"/>
        <w:spacing w:after="120"/>
      </w:pPr>
      <w:r w:rsidRPr="000A0C3A">
        <w:t xml:space="preserve">For the measurement of the electric power, we worked with a parallel circuit of LED bulbs and a generator set to then place the mixer that fulfilled the function of the homogeneous entry of biogas and oxygen, to generate electric power that resulted with a power of 0.100 KW, in contrast the research of Llanos M., </w:t>
      </w:r>
      <w:proofErr w:type="spellStart"/>
      <w:r w:rsidRPr="000A0C3A">
        <w:t>Quipuzco</w:t>
      </w:r>
      <w:proofErr w:type="spellEnd"/>
      <w:r w:rsidRPr="000A0C3A">
        <w:t xml:space="preserve"> L. and García J., (2019) found the effective power applied to a biogas engine was 0.501</w:t>
      </w:r>
      <w:r>
        <w:t xml:space="preserve"> </w:t>
      </w:r>
      <w:r w:rsidRPr="000A0C3A">
        <w:t>KW, presenting higher power in relation to the present research; this may happen due to the influence of the type of biomass, the pressure and the type of mixer that was used for the generation of electricity</w:t>
      </w:r>
      <w:r>
        <w:t>.</w:t>
      </w:r>
      <w:r w:rsidR="00E934DC">
        <w:t xml:space="preserve"> </w:t>
      </w:r>
      <w:r w:rsidRPr="000A0C3A">
        <w:t>The energy yield obtained was 2,418 % in terms of total energy and calculated useful energy (see Table 3). In spite of having obtained a low yield, it was possible to generate electricity from an ecological renewable fuel such as biogas, being a starting point to continue with the research in order to improve the yield.</w:t>
      </w:r>
    </w:p>
    <w:p w14:paraId="68D26B83" w14:textId="3C3FCC21" w:rsidR="00600535" w:rsidRDefault="00600535" w:rsidP="00600535">
      <w:pPr>
        <w:pStyle w:val="CETHeading1"/>
        <w:rPr>
          <w:lang w:val="en-GB"/>
        </w:rPr>
      </w:pPr>
      <w:r w:rsidRPr="00B57B36">
        <w:rPr>
          <w:lang w:val="en-GB"/>
        </w:rPr>
        <w:t>Conclusion</w:t>
      </w:r>
    </w:p>
    <w:p w14:paraId="19762C92" w14:textId="08A08311" w:rsidR="000A0C3A" w:rsidRDefault="00A97D08" w:rsidP="000A0C3A">
      <w:pPr>
        <w:pStyle w:val="CETBodytext"/>
        <w:rPr>
          <w:lang w:val="en-GB"/>
        </w:rPr>
      </w:pPr>
      <w:r w:rsidRPr="00A97D08">
        <w:rPr>
          <w:lang w:val="en-GB"/>
        </w:rPr>
        <w:t xml:space="preserve">The result of this study made it possible to demonstrate that the wastewater sludge from the San Pedro de </w:t>
      </w:r>
      <w:proofErr w:type="spellStart"/>
      <w:r w:rsidRPr="00A97D08">
        <w:rPr>
          <w:lang w:val="en-GB"/>
        </w:rPr>
        <w:t>Ancón</w:t>
      </w:r>
      <w:proofErr w:type="spellEnd"/>
      <w:r w:rsidRPr="00A97D08">
        <w:rPr>
          <w:lang w:val="en-GB"/>
        </w:rPr>
        <w:t xml:space="preserve"> WWTP has sufficient characteristics to be a usable resource to generate electricity. The biogas obtained presented a methane composition of 57.75</w:t>
      </w:r>
      <w:r w:rsidR="005D54B5">
        <w:rPr>
          <w:lang w:val="en-GB"/>
        </w:rPr>
        <w:t xml:space="preserve"> </w:t>
      </w:r>
      <w:r w:rsidRPr="00A97D08">
        <w:rPr>
          <w:lang w:val="en-GB"/>
        </w:rPr>
        <w:t xml:space="preserve">%, enough to convert it to electrical energy, obtaining with an electric generator motor the level of 100.28 W-h of power using 0.720 m3 and with a useful energy of 0.100 KW-h and a total energy of 4.13 Kw-h. It was verified after two tests that the power of the electrical energy with 110 W LED light bulbs registered a power of 100.28 W and for 100 W incandescent light bulbs a power of 56.42 W was registered demonstrating effectiveness with less loss of energy power to LED light bulbs. Therefore, it is feasible </w:t>
      </w:r>
      <w:r w:rsidRPr="00A97D08">
        <w:rPr>
          <w:lang w:val="en-GB"/>
        </w:rPr>
        <w:lastRenderedPageBreak/>
        <w:t>to take advantage of energy from WWTP residual sludge, constituting a method and alternative to continue optimizing for future scaling in obtaining renewable energy to be used for various energy uses, especially domestic.</w:t>
      </w:r>
    </w:p>
    <w:p w14:paraId="459D05E6" w14:textId="77777777" w:rsidR="00600535" w:rsidRPr="00B57B36" w:rsidRDefault="00600535" w:rsidP="00600535">
      <w:pPr>
        <w:pStyle w:val="CETAcknowledgementstitle"/>
      </w:pPr>
      <w:r w:rsidRPr="00B57B36">
        <w:t>Acknowledgments</w:t>
      </w:r>
    </w:p>
    <w:p w14:paraId="33F8138F" w14:textId="325CE68D" w:rsidR="00600535" w:rsidRPr="00B57B36" w:rsidRDefault="00C32C70" w:rsidP="00600535">
      <w:pPr>
        <w:pStyle w:val="CETBodytext"/>
        <w:rPr>
          <w:lang w:val="en-GB"/>
        </w:rPr>
      </w:pPr>
      <w:r w:rsidRPr="00C32C70">
        <w:rPr>
          <w:lang w:val="en-GB"/>
        </w:rPr>
        <w:t xml:space="preserve">Our thanks to the Universidad César Vallejo with its </w:t>
      </w:r>
      <w:proofErr w:type="spellStart"/>
      <w:r w:rsidRPr="00C32C70">
        <w:rPr>
          <w:lang w:val="en-GB"/>
        </w:rPr>
        <w:t>Investiga</w:t>
      </w:r>
      <w:proofErr w:type="spellEnd"/>
      <w:r w:rsidRPr="00C32C70">
        <w:rPr>
          <w:lang w:val="en-GB"/>
        </w:rPr>
        <w:t xml:space="preserve"> UCV program, for supporting the dissemination of this research work and to the GITA-UCV- LN research group of the School of Environmental Engineering.</w:t>
      </w:r>
    </w:p>
    <w:p w14:paraId="4F1327F8" w14:textId="77777777" w:rsidR="00600535" w:rsidRPr="00B57B36" w:rsidRDefault="00600535" w:rsidP="00600535">
      <w:pPr>
        <w:pStyle w:val="CETReference"/>
      </w:pPr>
      <w:r w:rsidRPr="00B57B36">
        <w:t>References</w:t>
      </w:r>
    </w:p>
    <w:p w14:paraId="1FA7EF1B" w14:textId="0B5399F2" w:rsidR="00C32C70" w:rsidRDefault="00C32C70" w:rsidP="00C32C70">
      <w:pPr>
        <w:pStyle w:val="CETReferencetext"/>
      </w:pPr>
      <w:r>
        <w:t xml:space="preserve">Abdel M., Said N. </w:t>
      </w:r>
      <w:r w:rsidR="00FA0FD3">
        <w:t>and</w:t>
      </w:r>
      <w:r>
        <w:t xml:space="preserve"> </w:t>
      </w:r>
      <w:proofErr w:type="spellStart"/>
      <w:r>
        <w:t>Negm</w:t>
      </w:r>
      <w:proofErr w:type="spellEnd"/>
      <w:r>
        <w:t xml:space="preserve"> A.,</w:t>
      </w:r>
      <w:r w:rsidR="00FA0FD3">
        <w:t xml:space="preserve"> </w:t>
      </w:r>
      <w:r>
        <w:t>2018, Potential energy from residual biomass of rice straw and sewage sludge in Egypt</w:t>
      </w:r>
      <w:r w:rsidR="00FA0FD3">
        <w:t>,</w:t>
      </w:r>
      <w:r>
        <w:t xml:space="preserve"> 22, 818-825. </w:t>
      </w:r>
    </w:p>
    <w:p w14:paraId="088CA4F2" w14:textId="38B41042" w:rsidR="00C32C70" w:rsidRPr="00D65FE6" w:rsidRDefault="00C32C70" w:rsidP="00C32C70">
      <w:pPr>
        <w:pStyle w:val="CETReferencetext"/>
      </w:pPr>
      <w:r>
        <w:t xml:space="preserve">Alves A., </w:t>
      </w:r>
      <w:proofErr w:type="spellStart"/>
      <w:r>
        <w:t>Mambeli</w:t>
      </w:r>
      <w:proofErr w:type="spellEnd"/>
      <w:r>
        <w:t xml:space="preserve"> R., </w:t>
      </w:r>
      <w:proofErr w:type="spellStart"/>
      <w:r>
        <w:t>Tiag</w:t>
      </w:r>
      <w:proofErr w:type="spellEnd"/>
      <w:r>
        <w:t xml:space="preserve">, G., Silva I. </w:t>
      </w:r>
      <w:r w:rsidR="00FA0FD3">
        <w:t>and</w:t>
      </w:r>
      <w:r>
        <w:t xml:space="preserve"> </w:t>
      </w:r>
      <w:proofErr w:type="spellStart"/>
      <w:r>
        <w:t>Martuscelli</w:t>
      </w:r>
      <w:proofErr w:type="spellEnd"/>
      <w:r>
        <w:t xml:space="preserve"> E., 2018, Analysis of biogas produced by the anaerobic digestion of sludge generated at wastewater treatment plants in the South of Minas Gerais, Brazil as a potential energy source. </w:t>
      </w:r>
      <w:r w:rsidR="00FA0FD3" w:rsidRPr="00D65FE6">
        <w:t>Journal</w:t>
      </w:r>
      <w:r w:rsidRPr="00D65FE6">
        <w:t xml:space="preserve"> </w:t>
      </w:r>
      <w:proofErr w:type="spellStart"/>
      <w:r w:rsidRPr="00D65FE6">
        <w:t>Ciudades</w:t>
      </w:r>
      <w:proofErr w:type="spellEnd"/>
      <w:r w:rsidRPr="00D65FE6">
        <w:t xml:space="preserve"> y Sociedad </w:t>
      </w:r>
      <w:proofErr w:type="spellStart"/>
      <w:r w:rsidRPr="00D65FE6">
        <w:t>Sostenible</w:t>
      </w:r>
      <w:proofErr w:type="spellEnd"/>
      <w:r w:rsidRPr="00D65FE6">
        <w:t xml:space="preserve">, 41,139-153. </w:t>
      </w:r>
    </w:p>
    <w:p w14:paraId="35FE2FFF" w14:textId="77777777" w:rsidR="006A6728" w:rsidRPr="00F42348" w:rsidRDefault="006A6728" w:rsidP="006A6728">
      <w:pPr>
        <w:pStyle w:val="CETReferencetext"/>
        <w:rPr>
          <w:lang w:val="es-PE"/>
        </w:rPr>
      </w:pPr>
      <w:proofErr w:type="spellStart"/>
      <w:r w:rsidRPr="00D65FE6">
        <w:t>Bucura</w:t>
      </w:r>
      <w:proofErr w:type="spellEnd"/>
      <w:r w:rsidRPr="00D65FE6">
        <w:t xml:space="preserve">, F., </w:t>
      </w:r>
      <w:proofErr w:type="spellStart"/>
      <w:r w:rsidRPr="00D65FE6">
        <w:t>Ionete</w:t>
      </w:r>
      <w:proofErr w:type="spellEnd"/>
      <w:r w:rsidRPr="00D65FE6">
        <w:t xml:space="preserve">, R., Marín, F., </w:t>
      </w:r>
      <w:proofErr w:type="spellStart"/>
      <w:r w:rsidRPr="00D65FE6">
        <w:t>Miricioiu</w:t>
      </w:r>
      <w:proofErr w:type="spellEnd"/>
      <w:r w:rsidRPr="00D65FE6">
        <w:t xml:space="preserve">, M., Saros, G., </w:t>
      </w:r>
      <w:proofErr w:type="spellStart"/>
      <w:r w:rsidRPr="00D65FE6">
        <w:t>Zaharioiu</w:t>
      </w:r>
      <w:proofErr w:type="spellEnd"/>
      <w:r w:rsidRPr="00D65FE6">
        <w:t xml:space="preserve">, A., Constantinescu, M., 2018, energy potential of geothermal gas and sewage sludge biogas. </w:t>
      </w:r>
      <w:r w:rsidRPr="00F42348">
        <w:rPr>
          <w:lang w:val="es-PE"/>
        </w:rPr>
        <w:t xml:space="preserve">A </w:t>
      </w:r>
      <w:proofErr w:type="spellStart"/>
      <w:r w:rsidRPr="00F42348">
        <w:rPr>
          <w:lang w:val="es-PE"/>
        </w:rPr>
        <w:t>laboratory</w:t>
      </w:r>
      <w:proofErr w:type="spellEnd"/>
      <w:r w:rsidRPr="00F42348">
        <w:rPr>
          <w:lang w:val="es-PE"/>
        </w:rPr>
        <w:t xml:space="preserve"> </w:t>
      </w:r>
      <w:proofErr w:type="spellStart"/>
      <w:r w:rsidRPr="00F42348">
        <w:rPr>
          <w:lang w:val="es-PE"/>
        </w:rPr>
        <w:t>stage</w:t>
      </w:r>
      <w:proofErr w:type="spellEnd"/>
      <w:r w:rsidRPr="00F42348">
        <w:rPr>
          <w:lang w:val="es-PE"/>
        </w:rPr>
        <w:t xml:space="preserve"> </w:t>
      </w:r>
      <w:proofErr w:type="spellStart"/>
      <w:r w:rsidRPr="00F42348">
        <w:rPr>
          <w:lang w:val="es-PE"/>
        </w:rPr>
        <w:t>investigation</w:t>
      </w:r>
      <w:proofErr w:type="spellEnd"/>
      <w:r w:rsidRPr="00F42348">
        <w:rPr>
          <w:lang w:val="es-PE"/>
        </w:rPr>
        <w:t xml:space="preserve">. </w:t>
      </w:r>
      <w:proofErr w:type="spellStart"/>
      <w:r w:rsidRPr="00F42348">
        <w:rPr>
          <w:lang w:val="es-PE"/>
        </w:rPr>
        <w:t>Progress</w:t>
      </w:r>
      <w:proofErr w:type="spellEnd"/>
      <w:r w:rsidRPr="00F42348">
        <w:rPr>
          <w:lang w:val="es-PE"/>
        </w:rPr>
        <w:t xml:space="preserve"> </w:t>
      </w:r>
      <w:proofErr w:type="spellStart"/>
      <w:r w:rsidRPr="00F42348">
        <w:rPr>
          <w:lang w:val="es-PE"/>
        </w:rPr>
        <w:t>of</w:t>
      </w:r>
      <w:proofErr w:type="spellEnd"/>
      <w:r w:rsidRPr="00F42348">
        <w:rPr>
          <w:lang w:val="es-PE"/>
        </w:rPr>
        <w:t xml:space="preserve"> </w:t>
      </w:r>
      <w:proofErr w:type="spellStart"/>
      <w:r w:rsidRPr="00F42348">
        <w:rPr>
          <w:lang w:val="es-PE"/>
        </w:rPr>
        <w:t>Cryogenics</w:t>
      </w:r>
      <w:proofErr w:type="spellEnd"/>
      <w:r w:rsidRPr="00F42348">
        <w:rPr>
          <w:lang w:val="es-PE"/>
        </w:rPr>
        <w:t xml:space="preserve"> &amp; </w:t>
      </w:r>
      <w:proofErr w:type="spellStart"/>
      <w:r w:rsidRPr="00F42348">
        <w:rPr>
          <w:lang w:val="es-PE"/>
        </w:rPr>
        <w:t>Isotopes</w:t>
      </w:r>
      <w:proofErr w:type="spellEnd"/>
      <w:r w:rsidRPr="00F42348">
        <w:rPr>
          <w:lang w:val="es-PE"/>
        </w:rPr>
        <w:t xml:space="preserve"> </w:t>
      </w:r>
      <w:proofErr w:type="spellStart"/>
      <w:r w:rsidRPr="00F42348">
        <w:rPr>
          <w:lang w:val="es-PE"/>
        </w:rPr>
        <w:t>Separation</w:t>
      </w:r>
      <w:proofErr w:type="spellEnd"/>
      <w:r w:rsidRPr="00F42348">
        <w:rPr>
          <w:lang w:val="es-PE"/>
        </w:rPr>
        <w:t>, 2(1), 97-108.</w:t>
      </w:r>
    </w:p>
    <w:p w14:paraId="16A08BFE" w14:textId="3E798212" w:rsidR="00C32C70" w:rsidRDefault="00C32C70" w:rsidP="00C32C70">
      <w:pPr>
        <w:pStyle w:val="CETReferencetext"/>
        <w:rPr>
          <w:lang w:val="es-PE"/>
        </w:rPr>
      </w:pPr>
      <w:proofErr w:type="spellStart"/>
      <w:r w:rsidRPr="00C32C70">
        <w:rPr>
          <w:lang w:val="es-PE"/>
        </w:rPr>
        <w:t>Caceres</w:t>
      </w:r>
      <w:proofErr w:type="spellEnd"/>
      <w:r w:rsidRPr="00C32C70">
        <w:rPr>
          <w:lang w:val="es-PE"/>
        </w:rPr>
        <w:t xml:space="preserve"> F., 2015, Generación de energía eléctrica con un motor de combustión interna usando biodiesel de aceite de piñón</w:t>
      </w:r>
      <w:r w:rsidR="00FA0FD3">
        <w:rPr>
          <w:lang w:val="es-PE"/>
        </w:rPr>
        <w:t>,</w:t>
      </w:r>
      <w:r w:rsidRPr="00C32C70">
        <w:rPr>
          <w:lang w:val="es-PE"/>
        </w:rPr>
        <w:t xml:space="preserve"> </w:t>
      </w:r>
      <w:r w:rsidR="00FA0FD3" w:rsidRPr="00FA0FD3">
        <w:rPr>
          <w:lang w:val="es-PE"/>
        </w:rPr>
        <w:t>ma</w:t>
      </w:r>
      <w:r w:rsidR="00FA0FD3">
        <w:rPr>
          <w:lang w:val="es-PE"/>
        </w:rPr>
        <w:t>ster</w:t>
      </w:r>
      <w:r w:rsidR="00FA0FD3" w:rsidRPr="00FA0FD3">
        <w:rPr>
          <w:lang w:val="es-PE"/>
        </w:rPr>
        <w:t xml:space="preserve"> </w:t>
      </w:r>
      <w:proofErr w:type="spellStart"/>
      <w:r w:rsidRPr="00FA0FD3">
        <w:rPr>
          <w:lang w:val="es-PE"/>
        </w:rPr>
        <w:t>T</w:t>
      </w:r>
      <w:r w:rsidR="00FA0FD3">
        <w:rPr>
          <w:lang w:val="es-PE"/>
        </w:rPr>
        <w:t>h</w:t>
      </w:r>
      <w:r w:rsidRPr="00FA0FD3">
        <w:rPr>
          <w:lang w:val="es-PE"/>
        </w:rPr>
        <w:t>esis</w:t>
      </w:r>
      <w:proofErr w:type="spellEnd"/>
      <w:r w:rsidRPr="00FA0FD3">
        <w:rPr>
          <w:lang w:val="es-PE"/>
        </w:rPr>
        <w:t xml:space="preserve">, Universidad Nacional Agraria la Molina, Lima. </w:t>
      </w:r>
    </w:p>
    <w:p w14:paraId="567FD044" w14:textId="7DF77673" w:rsidR="00D2790B" w:rsidRPr="00BB2AE1" w:rsidRDefault="00D2790B" w:rsidP="00BB2AE1">
      <w:pPr>
        <w:pStyle w:val="CETReferencetext"/>
        <w:rPr>
          <w:lang w:val="en-US"/>
        </w:rPr>
      </w:pPr>
      <w:r w:rsidRPr="00BB2AE1">
        <w:rPr>
          <w:lang w:val="en-US"/>
        </w:rPr>
        <w:t>Castro Ch.</w:t>
      </w:r>
      <w:r w:rsidR="00BB2AE1" w:rsidRPr="00BB2AE1">
        <w:rPr>
          <w:lang w:val="en-US"/>
        </w:rPr>
        <w:t xml:space="preserve">, Flores J., </w:t>
      </w:r>
      <w:proofErr w:type="spellStart"/>
      <w:r w:rsidR="00BB2AE1" w:rsidRPr="00BB2AE1">
        <w:rPr>
          <w:lang w:val="en-US"/>
        </w:rPr>
        <w:t>Avosta</w:t>
      </w:r>
      <w:proofErr w:type="spellEnd"/>
      <w:r w:rsidR="00BB2AE1" w:rsidRPr="00BB2AE1">
        <w:rPr>
          <w:lang w:val="en-US"/>
        </w:rPr>
        <w:t xml:space="preserve"> E., </w:t>
      </w:r>
      <w:proofErr w:type="spellStart"/>
      <w:r w:rsidR="00BB2AE1" w:rsidRPr="00BB2AE1">
        <w:rPr>
          <w:lang w:val="en-US"/>
        </w:rPr>
        <w:t>Castañeda</w:t>
      </w:r>
      <w:proofErr w:type="spellEnd"/>
      <w:r w:rsidR="00BB2AE1" w:rsidRPr="00BB2AE1">
        <w:rPr>
          <w:lang w:val="en-US"/>
        </w:rPr>
        <w:t xml:space="preserve"> C., </w:t>
      </w:r>
      <w:proofErr w:type="spellStart"/>
      <w:r w:rsidR="00BB2AE1" w:rsidRPr="00BB2AE1">
        <w:rPr>
          <w:lang w:val="en-US"/>
        </w:rPr>
        <w:t>Benites</w:t>
      </w:r>
      <w:proofErr w:type="spellEnd"/>
      <w:r w:rsidR="00BB2AE1" w:rsidRPr="00BB2AE1">
        <w:rPr>
          <w:lang w:val="en-US"/>
        </w:rPr>
        <w:t xml:space="preserve"> E., 2022, Water Treatment Plant Sludge as a Source of Clean Energy:</w:t>
      </w:r>
      <w:r w:rsidR="00BB2AE1">
        <w:rPr>
          <w:lang w:val="en-US"/>
        </w:rPr>
        <w:t xml:space="preserve"> </w:t>
      </w:r>
      <w:r w:rsidR="00BB2AE1" w:rsidRPr="00BB2AE1">
        <w:rPr>
          <w:lang w:val="en-US"/>
        </w:rPr>
        <w:t xml:space="preserve">Biogas, CET Journal, 92. https:// </w:t>
      </w:r>
      <w:proofErr w:type="spellStart"/>
      <w:r w:rsidR="00BB2AE1" w:rsidRPr="00BB2AE1">
        <w:rPr>
          <w:lang w:val="en-US"/>
        </w:rPr>
        <w:t>doi</w:t>
      </w:r>
      <w:proofErr w:type="spellEnd"/>
      <w:r w:rsidR="00BB2AE1" w:rsidRPr="00BB2AE1">
        <w:rPr>
          <w:lang w:val="en-US"/>
        </w:rPr>
        <w:t xml:space="preserve"> .org/ 10.3303 / CET2292125.</w:t>
      </w:r>
    </w:p>
    <w:p w14:paraId="28274BF8" w14:textId="64CA0CE0" w:rsidR="00C32C70" w:rsidRDefault="00F632E6" w:rsidP="00C32C70">
      <w:pPr>
        <w:pStyle w:val="CETReferencetext"/>
      </w:pPr>
      <w:r>
        <w:t>De Souza</w:t>
      </w:r>
      <w:r w:rsidR="00C32C70">
        <w:t xml:space="preserve"> C., </w:t>
      </w:r>
      <w:r>
        <w:t xml:space="preserve">Da Silva </w:t>
      </w:r>
      <w:r w:rsidR="00C32C70">
        <w:t>M</w:t>
      </w:r>
      <w:r>
        <w:t>.</w:t>
      </w:r>
      <w:r w:rsidR="00C32C70">
        <w:t xml:space="preserve"> </w:t>
      </w:r>
      <w:r w:rsidR="009F6D40">
        <w:t>and</w:t>
      </w:r>
      <w:r w:rsidR="00C32C70">
        <w:t xml:space="preserve"> </w:t>
      </w:r>
      <w:r>
        <w:t>Goncalves</w:t>
      </w:r>
      <w:r w:rsidR="00C32C70">
        <w:t xml:space="preserve"> E., 2018, Construction of Biodigesters to Optimize the Production of Biogas from Anaerobic Co-Digestion of Food Waste and Sewage,</w:t>
      </w:r>
      <w:r>
        <w:t xml:space="preserve"> Energies, 11(4)</w:t>
      </w:r>
      <w:r w:rsidR="00C32C70">
        <w:t>,</w:t>
      </w:r>
      <w:r w:rsidR="009F6D40">
        <w:t xml:space="preserve"> </w:t>
      </w:r>
      <w:r w:rsidR="00C32C70">
        <w:t>870- 875</w:t>
      </w:r>
      <w:r>
        <w:t xml:space="preserve">, </w:t>
      </w:r>
      <w:r w:rsidR="00C32C70">
        <w:t xml:space="preserve"> </w:t>
      </w:r>
    </w:p>
    <w:p w14:paraId="56515363" w14:textId="1AA9C501" w:rsidR="00B7421C" w:rsidRDefault="000F4407" w:rsidP="000F4407">
      <w:pPr>
        <w:pStyle w:val="CETReferencetext"/>
      </w:pPr>
      <w:r w:rsidRPr="000F4407">
        <w:t>Gomez C., Bosco F., Ruggeri B, 2020</w:t>
      </w:r>
      <w:r>
        <w:t>, The Role of Microbial Community Engineering (MCE) in the</w:t>
      </w:r>
      <w:r w:rsidR="00B7421C">
        <w:t xml:space="preserve"> </w:t>
      </w:r>
      <w:r>
        <w:t xml:space="preserve">Water-Energy-Food-Waste (WEFW) Nexus, </w:t>
      </w:r>
      <w:r w:rsidR="00B7421C">
        <w:t xml:space="preserve">CET Journal, </w:t>
      </w:r>
      <w:r>
        <w:t>79 (79)</w:t>
      </w:r>
      <w:r w:rsidR="00B7421C">
        <w:t xml:space="preserve">, </w:t>
      </w:r>
      <w:r w:rsidR="00B11F20" w:rsidRPr="00B11F20">
        <w:t>https://doi.org/10.3303/CET2079067</w:t>
      </w:r>
      <w:r w:rsidR="00B11F20">
        <w:t>.</w:t>
      </w:r>
    </w:p>
    <w:p w14:paraId="158E257E" w14:textId="69DEF8CA" w:rsidR="00015D37" w:rsidRPr="006A6728" w:rsidRDefault="00015D37" w:rsidP="00015D37">
      <w:pPr>
        <w:pStyle w:val="CETReferencetext"/>
        <w:rPr>
          <w:lang w:val="es-PE"/>
        </w:rPr>
      </w:pPr>
      <w:r w:rsidRPr="00015D37">
        <w:rPr>
          <w:lang w:val="es-PE"/>
        </w:rPr>
        <w:t>G</w:t>
      </w:r>
      <w:r>
        <w:rPr>
          <w:lang w:val="es-PE"/>
        </w:rPr>
        <w:t>uevara</w:t>
      </w:r>
      <w:r w:rsidRPr="00015D37">
        <w:rPr>
          <w:lang w:val="es-PE"/>
        </w:rPr>
        <w:t xml:space="preserve"> A.</w:t>
      </w:r>
      <w:r w:rsidR="006E0392">
        <w:rPr>
          <w:lang w:val="es-PE"/>
        </w:rPr>
        <w:t xml:space="preserve">, </w:t>
      </w:r>
      <w:r>
        <w:rPr>
          <w:lang w:val="es-PE"/>
        </w:rPr>
        <w:t>1996</w:t>
      </w:r>
      <w:r w:rsidR="006E0392">
        <w:rPr>
          <w:lang w:val="es-PE"/>
        </w:rPr>
        <w:t>,</w:t>
      </w:r>
      <w:r>
        <w:rPr>
          <w:lang w:val="es-PE"/>
        </w:rPr>
        <w:t xml:space="preserve"> </w:t>
      </w:r>
      <w:r w:rsidRPr="00015D37">
        <w:rPr>
          <w:lang w:val="es-PE"/>
        </w:rPr>
        <w:t>Fundamentos básicos para el diseño de biodigestores anaeróbicos</w:t>
      </w:r>
      <w:r>
        <w:rPr>
          <w:lang w:val="es-PE"/>
        </w:rPr>
        <w:t xml:space="preserve"> </w:t>
      </w:r>
      <w:r w:rsidRPr="00015D37">
        <w:rPr>
          <w:lang w:val="es-PE"/>
        </w:rPr>
        <w:t xml:space="preserve">rurales. Centro panamericano de ingeniería sanitaria y ciencias del ambiente. </w:t>
      </w:r>
      <w:r w:rsidRPr="006A6728">
        <w:rPr>
          <w:lang w:val="es-PE"/>
        </w:rPr>
        <w:t>Lima.</w:t>
      </w:r>
    </w:p>
    <w:p w14:paraId="069A2185" w14:textId="4E86605F" w:rsidR="00C32C70" w:rsidRPr="0069261F" w:rsidRDefault="00C32C70" w:rsidP="00C32C70">
      <w:pPr>
        <w:pStyle w:val="CETReferencetext"/>
        <w:rPr>
          <w:lang w:val="es-PE"/>
        </w:rPr>
      </w:pPr>
      <w:proofErr w:type="spellStart"/>
      <w:r>
        <w:t>Guven</w:t>
      </w:r>
      <w:proofErr w:type="spellEnd"/>
      <w:r>
        <w:t xml:space="preserve"> H., </w:t>
      </w:r>
      <w:proofErr w:type="spellStart"/>
      <w:r>
        <w:t>Evren</w:t>
      </w:r>
      <w:proofErr w:type="spellEnd"/>
      <w:r>
        <w:t xml:space="preserve"> M., </w:t>
      </w:r>
      <w:proofErr w:type="spellStart"/>
      <w:r>
        <w:t>Kaan</w:t>
      </w:r>
      <w:proofErr w:type="spellEnd"/>
      <w:r>
        <w:t xml:space="preserve"> R., </w:t>
      </w:r>
      <w:proofErr w:type="spellStart"/>
      <w:r>
        <w:t>Ozgun</w:t>
      </w:r>
      <w:proofErr w:type="spellEnd"/>
      <w:r>
        <w:t xml:space="preserve"> H., </w:t>
      </w:r>
      <w:proofErr w:type="spellStart"/>
      <w:r>
        <w:t>Isik</w:t>
      </w:r>
      <w:proofErr w:type="spellEnd"/>
      <w:r>
        <w:t xml:space="preserve"> I. </w:t>
      </w:r>
      <w:r w:rsidR="006E0392">
        <w:t>and</w:t>
      </w:r>
      <w:r>
        <w:t xml:space="preserve"> </w:t>
      </w:r>
      <w:proofErr w:type="spellStart"/>
      <w:r>
        <w:t>Oztruk</w:t>
      </w:r>
      <w:proofErr w:type="spellEnd"/>
      <w:r>
        <w:t xml:space="preserve"> I., 2019, Potential for energy recovery from the anaerobic digestion of excess sludge from high-speed activated sludge systems that jointly treat municipal wastewater and food waste. </w:t>
      </w:r>
      <w:proofErr w:type="spellStart"/>
      <w:r w:rsidR="006E0392" w:rsidRPr="006E0392">
        <w:rPr>
          <w:lang w:val="es-PE"/>
        </w:rPr>
        <w:t>Journal</w:t>
      </w:r>
      <w:proofErr w:type="spellEnd"/>
      <w:r w:rsidRPr="0069261F">
        <w:rPr>
          <w:lang w:val="es-PE"/>
        </w:rPr>
        <w:t xml:space="preserve"> Energ</w:t>
      </w:r>
      <w:r w:rsidR="006E0392">
        <w:rPr>
          <w:lang w:val="es-PE"/>
        </w:rPr>
        <w:t>y,</w:t>
      </w:r>
      <w:r w:rsidRPr="0069261F">
        <w:rPr>
          <w:lang w:val="es-PE"/>
        </w:rPr>
        <w:t>172,1027-1036.</w:t>
      </w:r>
    </w:p>
    <w:p w14:paraId="6204962C" w14:textId="0B6149EB" w:rsidR="00C32C70" w:rsidRDefault="00C32C70" w:rsidP="00C32C70">
      <w:pPr>
        <w:pStyle w:val="CETReferencetext"/>
      </w:pPr>
      <w:proofErr w:type="spellStart"/>
      <w:r w:rsidRPr="00C32C70">
        <w:rPr>
          <w:lang w:val="es-PE"/>
        </w:rPr>
        <w:t>LLanos</w:t>
      </w:r>
      <w:proofErr w:type="spellEnd"/>
      <w:r w:rsidRPr="00C32C70">
        <w:rPr>
          <w:lang w:val="es-PE"/>
        </w:rPr>
        <w:t xml:space="preserve"> M., </w:t>
      </w:r>
      <w:proofErr w:type="spellStart"/>
      <w:r w:rsidRPr="00C32C70">
        <w:rPr>
          <w:lang w:val="es-PE"/>
        </w:rPr>
        <w:t>Quipuzco</w:t>
      </w:r>
      <w:proofErr w:type="spellEnd"/>
      <w:r w:rsidRPr="00C32C70">
        <w:rPr>
          <w:lang w:val="es-PE"/>
        </w:rPr>
        <w:t xml:space="preserve"> L. y </w:t>
      </w:r>
      <w:proofErr w:type="spellStart"/>
      <w:r w:rsidRPr="00C32C70">
        <w:rPr>
          <w:lang w:val="es-PE"/>
        </w:rPr>
        <w:t>Garcia</w:t>
      </w:r>
      <w:proofErr w:type="spellEnd"/>
      <w:r w:rsidRPr="00C32C70">
        <w:rPr>
          <w:lang w:val="es-PE"/>
        </w:rPr>
        <w:t xml:space="preserve"> J., 2019, Evaluación del desempeño de un motor de combustión interna a gasolina convertido a biogás. </w:t>
      </w:r>
      <w:proofErr w:type="spellStart"/>
      <w:r>
        <w:t>RedBioLAC</w:t>
      </w:r>
      <w:proofErr w:type="spellEnd"/>
      <w:r>
        <w:t>, 50, 221—225.</w:t>
      </w:r>
    </w:p>
    <w:p w14:paraId="2E5D83DB" w14:textId="42DC71E8" w:rsidR="00E934DC" w:rsidRPr="00E934DC" w:rsidRDefault="00E934DC" w:rsidP="00C32C70">
      <w:pPr>
        <w:pStyle w:val="CETReferencetext"/>
        <w:rPr>
          <w:lang w:val="es-PE"/>
        </w:rPr>
      </w:pPr>
      <w:proofErr w:type="spellStart"/>
      <w:r w:rsidRPr="00E934DC">
        <w:rPr>
          <w:lang w:val="es-PE"/>
        </w:rPr>
        <w:t>Melegari</w:t>
      </w:r>
      <w:proofErr w:type="spellEnd"/>
      <w:r w:rsidRPr="00E934DC">
        <w:rPr>
          <w:lang w:val="es-PE"/>
        </w:rPr>
        <w:t xml:space="preserve">, S., Camargo, C. y Ferreira, R., 2012, </w:t>
      </w:r>
      <w:proofErr w:type="spellStart"/>
      <w:r w:rsidRPr="00E934DC">
        <w:rPr>
          <w:lang w:val="es-PE"/>
        </w:rPr>
        <w:t>Fontes</w:t>
      </w:r>
      <w:proofErr w:type="spellEnd"/>
      <w:r w:rsidRPr="00E934DC">
        <w:rPr>
          <w:lang w:val="es-PE"/>
        </w:rPr>
        <w:t xml:space="preserve"> </w:t>
      </w:r>
      <w:proofErr w:type="spellStart"/>
      <w:r w:rsidRPr="00E934DC">
        <w:rPr>
          <w:lang w:val="es-PE"/>
        </w:rPr>
        <w:t>renováveis</w:t>
      </w:r>
      <w:proofErr w:type="spellEnd"/>
      <w:r w:rsidRPr="00E934DC">
        <w:rPr>
          <w:lang w:val="es-PE"/>
        </w:rPr>
        <w:t xml:space="preserve">: </w:t>
      </w:r>
      <w:proofErr w:type="spellStart"/>
      <w:r w:rsidRPr="00E934DC">
        <w:rPr>
          <w:lang w:val="es-PE"/>
        </w:rPr>
        <w:t>agroenergia</w:t>
      </w:r>
      <w:proofErr w:type="spellEnd"/>
      <w:r w:rsidRPr="00E934DC">
        <w:rPr>
          <w:lang w:val="es-PE"/>
        </w:rPr>
        <w:t xml:space="preserve">, Editora da </w:t>
      </w:r>
      <w:proofErr w:type="spellStart"/>
      <w:r w:rsidRPr="00E934DC">
        <w:rPr>
          <w:lang w:val="es-PE"/>
        </w:rPr>
        <w:t>Universidade</w:t>
      </w:r>
      <w:proofErr w:type="spellEnd"/>
      <w:r w:rsidRPr="00E934DC">
        <w:rPr>
          <w:lang w:val="es-PE"/>
        </w:rPr>
        <w:t xml:space="preserve"> Estadual do Oeste do Paraná. pp.49</w:t>
      </w:r>
      <w:r>
        <w:rPr>
          <w:lang w:val="es-PE"/>
        </w:rPr>
        <w:t>.</w:t>
      </w:r>
    </w:p>
    <w:p w14:paraId="6502124A" w14:textId="1C3E1FBE" w:rsidR="00C32C70" w:rsidRPr="00C32C70" w:rsidRDefault="00C32C70" w:rsidP="00C32C70">
      <w:pPr>
        <w:pStyle w:val="CETReferencetext"/>
        <w:rPr>
          <w:lang w:val="es-PE"/>
        </w:rPr>
      </w:pPr>
      <w:r>
        <w:t>Moreira W., Gottardo M., Pavan P., Belli P.</w:t>
      </w:r>
      <w:r w:rsidR="006E0392">
        <w:t>,</w:t>
      </w:r>
      <w:r>
        <w:t xml:space="preserve"> </w:t>
      </w:r>
      <w:proofErr w:type="spellStart"/>
      <w:r>
        <w:t>Bolzonella</w:t>
      </w:r>
      <w:proofErr w:type="spellEnd"/>
      <w:r>
        <w:t xml:space="preserve"> D., 2016, Energetic and performance aspects of the thermophilic mono-phase and biphasic anaerobic digestion of activated sludge residues. </w:t>
      </w:r>
      <w:proofErr w:type="spellStart"/>
      <w:r w:rsidR="006E0392" w:rsidRPr="006A6728">
        <w:rPr>
          <w:lang w:val="es-PE"/>
        </w:rPr>
        <w:t>Renewable</w:t>
      </w:r>
      <w:proofErr w:type="spellEnd"/>
      <w:r w:rsidR="006E0392" w:rsidRPr="006A6728">
        <w:rPr>
          <w:lang w:val="es-PE"/>
        </w:rPr>
        <w:t xml:space="preserve"> Energy</w:t>
      </w:r>
      <w:r w:rsidR="006E0392">
        <w:rPr>
          <w:lang w:val="es-PE"/>
        </w:rPr>
        <w:t xml:space="preserve">, </w:t>
      </w:r>
      <w:r w:rsidRPr="00C32C70">
        <w:rPr>
          <w:lang w:val="es-PE"/>
        </w:rPr>
        <w:t>86, 1324-1331.</w:t>
      </w:r>
    </w:p>
    <w:p w14:paraId="1B8487D6" w14:textId="1E0AA8CD" w:rsidR="00C32C70" w:rsidRPr="00C32C70" w:rsidRDefault="00C32C70" w:rsidP="00C32C70">
      <w:pPr>
        <w:pStyle w:val="CETReferencetext"/>
        <w:rPr>
          <w:lang w:val="es-PE"/>
        </w:rPr>
      </w:pPr>
      <w:r w:rsidRPr="00C32C70">
        <w:rPr>
          <w:lang w:val="es-PE"/>
        </w:rPr>
        <w:t>Organización de las naciones unidas para la alimentación y la agricultura (FAO),</w:t>
      </w:r>
      <w:r w:rsidR="006E0392">
        <w:rPr>
          <w:lang w:val="es-PE"/>
        </w:rPr>
        <w:t xml:space="preserve"> </w:t>
      </w:r>
      <w:r w:rsidRPr="00C32C70">
        <w:rPr>
          <w:lang w:val="es-PE"/>
        </w:rPr>
        <w:t>2011, Manual del biogás. Chile.</w:t>
      </w:r>
    </w:p>
    <w:p w14:paraId="465BE63F" w14:textId="7928BBA6" w:rsidR="00C32C70" w:rsidRDefault="00C32C70" w:rsidP="00C32C70">
      <w:pPr>
        <w:pStyle w:val="CETReferencetext"/>
        <w:rPr>
          <w:lang w:val="es-PE"/>
        </w:rPr>
      </w:pPr>
      <w:r w:rsidRPr="00C32C70">
        <w:rPr>
          <w:lang w:val="es-PE"/>
        </w:rPr>
        <w:t xml:space="preserve">Orozco J., </w:t>
      </w:r>
      <w:proofErr w:type="spellStart"/>
      <w:r w:rsidRPr="00C32C70">
        <w:rPr>
          <w:lang w:val="es-PE"/>
        </w:rPr>
        <w:t>Carmon</w:t>
      </w:r>
      <w:proofErr w:type="spellEnd"/>
      <w:r w:rsidRPr="00C32C70">
        <w:rPr>
          <w:lang w:val="es-PE"/>
        </w:rPr>
        <w:t xml:space="preserve">, F., Botero R. y </w:t>
      </w:r>
      <w:proofErr w:type="spellStart"/>
      <w:r w:rsidRPr="00C32C70">
        <w:rPr>
          <w:lang w:val="es-PE"/>
        </w:rPr>
        <w:t>Hernandez</w:t>
      </w:r>
      <w:proofErr w:type="spellEnd"/>
      <w:r w:rsidRPr="00C32C70">
        <w:rPr>
          <w:lang w:val="es-PE"/>
        </w:rPr>
        <w:t xml:space="preserve"> C.,2004, Utilización de biogás para uso en motores de cuatro tiempos, </w:t>
      </w:r>
      <w:r w:rsidR="00F23769">
        <w:rPr>
          <w:lang w:val="es-PE"/>
        </w:rPr>
        <w:t xml:space="preserve">Manual, </w:t>
      </w:r>
      <w:r w:rsidRPr="00C32C70">
        <w:rPr>
          <w:lang w:val="es-PE"/>
        </w:rPr>
        <w:t xml:space="preserve">Universidad </w:t>
      </w:r>
      <w:proofErr w:type="spellStart"/>
      <w:r w:rsidRPr="00C32C70">
        <w:rPr>
          <w:lang w:val="es-PE"/>
        </w:rPr>
        <w:t>Earth</w:t>
      </w:r>
      <w:proofErr w:type="spellEnd"/>
      <w:r w:rsidRPr="00C32C70">
        <w:rPr>
          <w:lang w:val="es-PE"/>
        </w:rPr>
        <w:t>, Costa Rica.</w:t>
      </w:r>
    </w:p>
    <w:p w14:paraId="3E8D37AE" w14:textId="38BD171D" w:rsidR="000241DF" w:rsidRDefault="000241DF" w:rsidP="000241DF">
      <w:pPr>
        <w:pStyle w:val="CETReferencetext"/>
        <w:rPr>
          <w:lang w:val="es-PE"/>
        </w:rPr>
      </w:pPr>
      <w:r w:rsidRPr="000241DF">
        <w:rPr>
          <w:lang w:val="es-PE"/>
        </w:rPr>
        <w:t>Organismo Supervisor de la Inversión en Energía y Minería,</w:t>
      </w:r>
      <w:r w:rsidR="002775A2">
        <w:rPr>
          <w:lang w:val="es-PE"/>
        </w:rPr>
        <w:t xml:space="preserve"> </w:t>
      </w:r>
      <w:r w:rsidRPr="000241DF">
        <w:rPr>
          <w:lang w:val="es-PE"/>
        </w:rPr>
        <w:t>Osinergmin, 201</w:t>
      </w:r>
      <w:r>
        <w:rPr>
          <w:lang w:val="es-PE"/>
        </w:rPr>
        <w:t xml:space="preserve">7, </w:t>
      </w:r>
      <w:r w:rsidRPr="000241DF">
        <w:rPr>
          <w:lang w:val="es-PE"/>
        </w:rPr>
        <w:t>La industria de la energía renovable en el Perú:</w:t>
      </w:r>
      <w:r>
        <w:rPr>
          <w:lang w:val="es-PE"/>
        </w:rPr>
        <w:t xml:space="preserve"> </w:t>
      </w:r>
      <w:r w:rsidRPr="000241DF">
        <w:rPr>
          <w:lang w:val="es-PE"/>
        </w:rPr>
        <w:t>10 años de contribuciones a la mitigación del cambio climático</w:t>
      </w:r>
      <w:r>
        <w:rPr>
          <w:lang w:val="es-PE"/>
        </w:rPr>
        <w:t xml:space="preserve">, </w:t>
      </w:r>
      <w:r w:rsidR="00E934DC">
        <w:rPr>
          <w:lang w:val="es-PE"/>
        </w:rPr>
        <w:t>1ra</w:t>
      </w:r>
      <w:r>
        <w:rPr>
          <w:lang w:val="es-PE"/>
        </w:rPr>
        <w:t xml:space="preserve"> edición</w:t>
      </w:r>
      <w:r w:rsidR="002775A2">
        <w:rPr>
          <w:lang w:val="es-PE"/>
        </w:rPr>
        <w:t>. Lima, Perú.</w:t>
      </w:r>
    </w:p>
    <w:p w14:paraId="4E9CDFFE" w14:textId="3396E2F2" w:rsidR="00C32C70" w:rsidRPr="005B5BBE" w:rsidRDefault="00C32C70" w:rsidP="000241DF">
      <w:pPr>
        <w:pStyle w:val="CETReferencetext"/>
        <w:rPr>
          <w:lang w:val="en-US"/>
        </w:rPr>
      </w:pPr>
      <w:r w:rsidRPr="00C32C70">
        <w:rPr>
          <w:lang w:val="es-PE"/>
        </w:rPr>
        <w:t xml:space="preserve">Parra D., Botero M. y Botero J., 2019, Biomasa residual pecuaria: revisión sobre la digestión anaerobia como método de producción de energía y otros subproductos. </w:t>
      </w:r>
      <w:proofErr w:type="spellStart"/>
      <w:r w:rsidR="00BC5613" w:rsidRPr="005B5BBE">
        <w:rPr>
          <w:lang w:val="en-US"/>
        </w:rPr>
        <w:t>Revistas</w:t>
      </w:r>
      <w:proofErr w:type="spellEnd"/>
      <w:r w:rsidR="00BC5613" w:rsidRPr="005B5BBE">
        <w:rPr>
          <w:lang w:val="en-US"/>
        </w:rPr>
        <w:t xml:space="preserve"> UIS </w:t>
      </w:r>
      <w:proofErr w:type="spellStart"/>
      <w:r w:rsidR="00BC5613" w:rsidRPr="005B5BBE">
        <w:rPr>
          <w:lang w:val="en-US"/>
        </w:rPr>
        <w:t>Ingenierías</w:t>
      </w:r>
      <w:proofErr w:type="spellEnd"/>
      <w:r w:rsidR="00BC5613" w:rsidRPr="005B5BBE">
        <w:rPr>
          <w:lang w:val="en-US"/>
        </w:rPr>
        <w:t>, 18(1), 149-160.</w:t>
      </w:r>
      <w:r w:rsidRPr="005B5BBE">
        <w:rPr>
          <w:lang w:val="en-US"/>
        </w:rPr>
        <w:t xml:space="preserve"> </w:t>
      </w:r>
    </w:p>
    <w:p w14:paraId="7349FCB2" w14:textId="12D4DD1B" w:rsidR="00C32C70" w:rsidRDefault="00C32C70" w:rsidP="00C32C70">
      <w:pPr>
        <w:pStyle w:val="CETReferencetext"/>
      </w:pPr>
      <w:proofErr w:type="spellStart"/>
      <w:r>
        <w:t>Pelkmans</w:t>
      </w:r>
      <w:proofErr w:type="spellEnd"/>
      <w:r>
        <w:t xml:space="preserve"> L.</w:t>
      </w:r>
      <w:r w:rsidR="005B5BBE">
        <w:t xml:space="preserve"> 2018, </w:t>
      </w:r>
      <w:r>
        <w:t>IEA Bioenergy Countries Report</w:t>
      </w:r>
      <w:r w:rsidR="00A34EB9">
        <w:t>- Update 2018</w:t>
      </w:r>
      <w:r>
        <w:t>, Bioenergy policies and status of implementation</w:t>
      </w:r>
      <w:r w:rsidR="005B5BBE">
        <w:t xml:space="preserve">, </w:t>
      </w:r>
      <w:r w:rsidR="005B5BBE" w:rsidRPr="005B5BBE">
        <w:t>Edition © OECD/IEA</w:t>
      </w:r>
      <w:r w:rsidR="00A34EB9">
        <w:t>, US.</w:t>
      </w:r>
    </w:p>
    <w:p w14:paraId="7870284E" w14:textId="20130499" w:rsidR="00C32C70" w:rsidRDefault="00C32C70" w:rsidP="00C32C70">
      <w:pPr>
        <w:pStyle w:val="CETReferencetext"/>
      </w:pPr>
      <w:proofErr w:type="spellStart"/>
      <w:r>
        <w:t>Rathaur</w:t>
      </w:r>
      <w:proofErr w:type="spellEnd"/>
      <w:r>
        <w:t xml:space="preserve"> R., </w:t>
      </w:r>
      <w:proofErr w:type="spellStart"/>
      <w:r>
        <w:t>Dhawane</w:t>
      </w:r>
      <w:proofErr w:type="spellEnd"/>
      <w:r>
        <w:t xml:space="preserve"> S., </w:t>
      </w:r>
      <w:proofErr w:type="spellStart"/>
      <w:r>
        <w:t>Ganguly</w:t>
      </w:r>
      <w:proofErr w:type="spellEnd"/>
      <w:r>
        <w:t xml:space="preserve"> A., Mandal M., Haider G.,</w:t>
      </w:r>
      <w:r w:rsidR="00A34EB9">
        <w:t xml:space="preserve"> </w:t>
      </w:r>
      <w:r>
        <w:t xml:space="preserve">2018, Methanogenesis of organic wastes and their blend in batch anaerobic digester: Experimental and kinetic study. </w:t>
      </w:r>
      <w:r w:rsidR="00896F5A" w:rsidRPr="00896F5A">
        <w:t>Process Safety and Environmental Protection</w:t>
      </w:r>
      <w:r w:rsidR="00896F5A">
        <w:t>,</w:t>
      </w:r>
      <w:r w:rsidR="001D02F1" w:rsidRPr="001D02F1">
        <w:t xml:space="preserve"> 113, 413-423</w:t>
      </w:r>
      <w:r w:rsidR="001D02F1">
        <w:t xml:space="preserve">. </w:t>
      </w:r>
    </w:p>
    <w:p w14:paraId="01C72B0E" w14:textId="57B67011" w:rsidR="00C32C70" w:rsidRPr="00896F5A" w:rsidRDefault="00C32C70" w:rsidP="00C32C70">
      <w:pPr>
        <w:pStyle w:val="CETReferencetext"/>
        <w:rPr>
          <w:lang w:val="en-US"/>
        </w:rPr>
      </w:pPr>
      <w:r>
        <w:t>Santos I., Barros R.</w:t>
      </w:r>
      <w:r w:rsidR="00A34EB9">
        <w:t>,</w:t>
      </w:r>
      <w:r>
        <w:t xml:space="preserve"> Tiago G., 2016, Electricity generation from biogas of anaerobic wastewater treatment Plants in Brazil: An assessment of feasibility and potential</w:t>
      </w:r>
      <w:r w:rsidR="00A34EB9">
        <w:t>,</w:t>
      </w:r>
      <w:r w:rsidR="00896F5A" w:rsidRPr="00896F5A">
        <w:t xml:space="preserve"> Journal of Cleaner Production</w:t>
      </w:r>
      <w:r w:rsidR="00896F5A">
        <w:t xml:space="preserve">, </w:t>
      </w:r>
      <w:r w:rsidR="00896F5A" w:rsidRPr="00896F5A">
        <w:t>126, 504-514</w:t>
      </w:r>
      <w:r w:rsidRPr="00896F5A">
        <w:rPr>
          <w:lang w:val="en-US"/>
        </w:rPr>
        <w:t>.</w:t>
      </w:r>
    </w:p>
    <w:p w14:paraId="50CB6F28" w14:textId="10F83850" w:rsidR="00C32C70" w:rsidRDefault="00C32C70" w:rsidP="00C32C70">
      <w:pPr>
        <w:pStyle w:val="CETReferencetext"/>
      </w:pPr>
      <w:proofErr w:type="spellStart"/>
      <w:r w:rsidRPr="00C32C70">
        <w:rPr>
          <w:lang w:val="es-PE"/>
        </w:rPr>
        <w:t>Sinopoli</w:t>
      </w:r>
      <w:proofErr w:type="spellEnd"/>
      <w:r w:rsidRPr="00C32C70">
        <w:rPr>
          <w:lang w:val="es-PE"/>
        </w:rPr>
        <w:t xml:space="preserve"> C., Mansilla F., </w:t>
      </w:r>
      <w:proofErr w:type="spellStart"/>
      <w:r w:rsidRPr="00C32C70">
        <w:rPr>
          <w:lang w:val="es-PE"/>
        </w:rPr>
        <w:t>Onfriu</w:t>
      </w:r>
      <w:proofErr w:type="spellEnd"/>
      <w:r w:rsidRPr="00C32C70">
        <w:rPr>
          <w:lang w:val="es-PE"/>
        </w:rPr>
        <w:t xml:space="preserve">, C. y Dell J, 2015, Uso de biogás en motores, </w:t>
      </w:r>
      <w:proofErr w:type="spellStart"/>
      <w:r w:rsidRPr="00C32C70">
        <w:rPr>
          <w:lang w:val="es-PE"/>
        </w:rPr>
        <w:t>Uni</w:t>
      </w:r>
      <w:proofErr w:type="spellEnd"/>
      <w:r w:rsidR="00E934DC">
        <w:rPr>
          <w:lang w:val="es-PE"/>
        </w:rPr>
        <w:t>.</w:t>
      </w:r>
      <w:r w:rsidRPr="00C32C70">
        <w:rPr>
          <w:lang w:val="es-PE"/>
        </w:rPr>
        <w:t xml:space="preserve"> Nacional de Lujan. </w:t>
      </w:r>
      <w:r>
        <w:t>Argentina.</w:t>
      </w:r>
    </w:p>
    <w:p w14:paraId="27743EC8" w14:textId="1510A824" w:rsidR="00C32C70" w:rsidRDefault="00C32C70" w:rsidP="00C32C70">
      <w:pPr>
        <w:pStyle w:val="CETReferencetext"/>
      </w:pPr>
      <w:r>
        <w:t xml:space="preserve">Velasquez J., </w:t>
      </w:r>
      <w:proofErr w:type="spellStart"/>
      <w:r>
        <w:t>Venturini</w:t>
      </w:r>
      <w:proofErr w:type="spellEnd"/>
      <w:r>
        <w:t xml:space="preserve"> O., Silva E., 2018, Technical evaluation of mono-digestion and co-digestion systems for the production of biogas from anaerobic digestion in Brazil</w:t>
      </w:r>
      <w:r w:rsidR="00583A15">
        <w:t>,</w:t>
      </w:r>
      <w:r>
        <w:t xml:space="preserve"> </w:t>
      </w:r>
      <w:r w:rsidR="00583A15" w:rsidRPr="00583A15">
        <w:t>Renewable Energy, 86, 1324-1331.</w:t>
      </w:r>
    </w:p>
    <w:p w14:paraId="766F1576" w14:textId="79DE6B5F" w:rsidR="009C5280" w:rsidRDefault="00C32C70" w:rsidP="000F4407">
      <w:pPr>
        <w:pStyle w:val="CETReferencetext"/>
      </w:pPr>
      <w:r>
        <w:t xml:space="preserve">Wang X., Ren Q., LI L., LI S. y LU Q. </w:t>
      </w:r>
      <w:r w:rsidR="0083764F">
        <w:t xml:space="preserve">2015, </w:t>
      </w:r>
      <w:r>
        <w:t>TG-MS Analysis of nitrogen transformation during combustion of biomass with municipal sewage</w:t>
      </w:r>
      <w:r w:rsidR="0083764F">
        <w:t xml:space="preserve"> </w:t>
      </w:r>
      <w:r>
        <w:t xml:space="preserve">sludge, </w:t>
      </w:r>
      <w:r w:rsidR="0083764F" w:rsidRPr="0083764F">
        <w:t>Journal of Thermal Analysis and Calorimetry</w:t>
      </w:r>
      <w:r w:rsidR="0083764F">
        <w:t xml:space="preserve">, </w:t>
      </w:r>
      <w:r w:rsidR="0083764F" w:rsidRPr="0083764F">
        <w:t>123, 2061–2068</w:t>
      </w:r>
    </w:p>
    <w:sectPr w:rsidR="009C5280"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8D3F4" w14:textId="77777777" w:rsidR="00A33ACA" w:rsidRDefault="00A33ACA" w:rsidP="004F5E36">
      <w:r>
        <w:separator/>
      </w:r>
    </w:p>
  </w:endnote>
  <w:endnote w:type="continuationSeparator" w:id="0">
    <w:p w14:paraId="39438410" w14:textId="77777777" w:rsidR="00A33ACA" w:rsidRDefault="00A33AC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187B4" w14:textId="77777777" w:rsidR="00A33ACA" w:rsidRDefault="00A33ACA" w:rsidP="004F5E36">
      <w:r>
        <w:separator/>
      </w:r>
    </w:p>
  </w:footnote>
  <w:footnote w:type="continuationSeparator" w:id="0">
    <w:p w14:paraId="2C8BF0AD" w14:textId="77777777" w:rsidR="00A33ACA" w:rsidRDefault="00A33AC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EA288B4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6806A6"/>
    <w:multiLevelType w:val="multilevel"/>
    <w:tmpl w:val="60EEFDF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136303">
    <w:abstractNumId w:val="10"/>
  </w:num>
  <w:num w:numId="2" w16cid:durableId="257104540">
    <w:abstractNumId w:val="8"/>
  </w:num>
  <w:num w:numId="3" w16cid:durableId="1518958738">
    <w:abstractNumId w:val="3"/>
  </w:num>
  <w:num w:numId="4" w16cid:durableId="464542863">
    <w:abstractNumId w:val="2"/>
  </w:num>
  <w:num w:numId="5" w16cid:durableId="719282518">
    <w:abstractNumId w:val="1"/>
  </w:num>
  <w:num w:numId="6" w16cid:durableId="246352411">
    <w:abstractNumId w:val="0"/>
  </w:num>
  <w:num w:numId="7" w16cid:durableId="320551195">
    <w:abstractNumId w:val="9"/>
  </w:num>
  <w:num w:numId="8" w16cid:durableId="1152722701">
    <w:abstractNumId w:val="7"/>
  </w:num>
  <w:num w:numId="9" w16cid:durableId="875889147">
    <w:abstractNumId w:val="6"/>
  </w:num>
  <w:num w:numId="10" w16cid:durableId="3285164">
    <w:abstractNumId w:val="5"/>
  </w:num>
  <w:num w:numId="11" w16cid:durableId="1244683359">
    <w:abstractNumId w:val="4"/>
  </w:num>
  <w:num w:numId="12" w16cid:durableId="1685859833">
    <w:abstractNumId w:val="16"/>
  </w:num>
  <w:num w:numId="13" w16cid:durableId="1839232181">
    <w:abstractNumId w:val="12"/>
  </w:num>
  <w:num w:numId="14" w16cid:durableId="1694652141">
    <w:abstractNumId w:val="17"/>
  </w:num>
  <w:num w:numId="15" w16cid:durableId="2052341065">
    <w:abstractNumId w:val="19"/>
  </w:num>
  <w:num w:numId="16" w16cid:durableId="1236668952">
    <w:abstractNumId w:val="18"/>
  </w:num>
  <w:num w:numId="17" w16cid:durableId="1324509072">
    <w:abstractNumId w:val="11"/>
  </w:num>
  <w:num w:numId="18" w16cid:durableId="884608275">
    <w:abstractNumId w:val="12"/>
    <w:lvlOverride w:ilvl="0">
      <w:startOverride w:val="1"/>
    </w:lvlOverride>
  </w:num>
  <w:num w:numId="19" w16cid:durableId="481435728">
    <w:abstractNumId w:val="15"/>
  </w:num>
  <w:num w:numId="20" w16cid:durableId="1515339341">
    <w:abstractNumId w:val="14"/>
  </w:num>
  <w:num w:numId="21" w16cid:durableId="1052655215">
    <w:abstractNumId w:val="13"/>
  </w:num>
  <w:num w:numId="22" w16cid:durableId="5531549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2A9"/>
    <w:rsid w:val="000027C0"/>
    <w:rsid w:val="000052FB"/>
    <w:rsid w:val="000117CB"/>
    <w:rsid w:val="00015D37"/>
    <w:rsid w:val="00021209"/>
    <w:rsid w:val="000241DF"/>
    <w:rsid w:val="0003148D"/>
    <w:rsid w:val="0003525C"/>
    <w:rsid w:val="00051566"/>
    <w:rsid w:val="00054A22"/>
    <w:rsid w:val="00062A9A"/>
    <w:rsid w:val="00065058"/>
    <w:rsid w:val="00083102"/>
    <w:rsid w:val="00086C39"/>
    <w:rsid w:val="000A03B2"/>
    <w:rsid w:val="000A0C3A"/>
    <w:rsid w:val="000C4858"/>
    <w:rsid w:val="000D34BE"/>
    <w:rsid w:val="000E102F"/>
    <w:rsid w:val="000E36F1"/>
    <w:rsid w:val="000E3A73"/>
    <w:rsid w:val="000E414A"/>
    <w:rsid w:val="000F093C"/>
    <w:rsid w:val="000F4407"/>
    <w:rsid w:val="000F787B"/>
    <w:rsid w:val="0012091F"/>
    <w:rsid w:val="00126BC2"/>
    <w:rsid w:val="001308B6"/>
    <w:rsid w:val="0013121F"/>
    <w:rsid w:val="00131FE6"/>
    <w:rsid w:val="0013263F"/>
    <w:rsid w:val="0013339C"/>
    <w:rsid w:val="00134DE4"/>
    <w:rsid w:val="0014034D"/>
    <w:rsid w:val="0014464F"/>
    <w:rsid w:val="001469FE"/>
    <w:rsid w:val="00150E59"/>
    <w:rsid w:val="00152DE3"/>
    <w:rsid w:val="00164CF9"/>
    <w:rsid w:val="00175BBA"/>
    <w:rsid w:val="00180860"/>
    <w:rsid w:val="00184AD6"/>
    <w:rsid w:val="001A5B78"/>
    <w:rsid w:val="001B0349"/>
    <w:rsid w:val="001B65C1"/>
    <w:rsid w:val="001C684B"/>
    <w:rsid w:val="001D02F1"/>
    <w:rsid w:val="001D3617"/>
    <w:rsid w:val="001D53FC"/>
    <w:rsid w:val="001E4AE6"/>
    <w:rsid w:val="001F42A5"/>
    <w:rsid w:val="001F7B9D"/>
    <w:rsid w:val="002224B4"/>
    <w:rsid w:val="002410C7"/>
    <w:rsid w:val="002447EF"/>
    <w:rsid w:val="00251550"/>
    <w:rsid w:val="00263B05"/>
    <w:rsid w:val="0027221A"/>
    <w:rsid w:val="00275B61"/>
    <w:rsid w:val="002775A2"/>
    <w:rsid w:val="00282656"/>
    <w:rsid w:val="00296B83"/>
    <w:rsid w:val="002B78CE"/>
    <w:rsid w:val="002C2FB6"/>
    <w:rsid w:val="003009B7"/>
    <w:rsid w:val="00300E56"/>
    <w:rsid w:val="0030469C"/>
    <w:rsid w:val="00321CA6"/>
    <w:rsid w:val="00332A3C"/>
    <w:rsid w:val="00334C09"/>
    <w:rsid w:val="00343308"/>
    <w:rsid w:val="003723D4"/>
    <w:rsid w:val="00383F4B"/>
    <w:rsid w:val="00384CC8"/>
    <w:rsid w:val="003871FD"/>
    <w:rsid w:val="003A1E30"/>
    <w:rsid w:val="003A7D1C"/>
    <w:rsid w:val="003B304B"/>
    <w:rsid w:val="003B3146"/>
    <w:rsid w:val="003F015E"/>
    <w:rsid w:val="00400414"/>
    <w:rsid w:val="00406DA1"/>
    <w:rsid w:val="0041446B"/>
    <w:rsid w:val="00441BEC"/>
    <w:rsid w:val="0044329C"/>
    <w:rsid w:val="004577FE"/>
    <w:rsid w:val="00457B9C"/>
    <w:rsid w:val="0046164A"/>
    <w:rsid w:val="004628D2"/>
    <w:rsid w:val="00462DCD"/>
    <w:rsid w:val="004648AD"/>
    <w:rsid w:val="004703A9"/>
    <w:rsid w:val="004760DE"/>
    <w:rsid w:val="004A004E"/>
    <w:rsid w:val="004A13FF"/>
    <w:rsid w:val="004A24CF"/>
    <w:rsid w:val="004C3D1D"/>
    <w:rsid w:val="004C7913"/>
    <w:rsid w:val="004D3B4E"/>
    <w:rsid w:val="004E4160"/>
    <w:rsid w:val="004E4DD6"/>
    <w:rsid w:val="004F09AF"/>
    <w:rsid w:val="004F2D3E"/>
    <w:rsid w:val="004F5E36"/>
    <w:rsid w:val="00507B47"/>
    <w:rsid w:val="00507CC9"/>
    <w:rsid w:val="005119A5"/>
    <w:rsid w:val="005168CD"/>
    <w:rsid w:val="00516D93"/>
    <w:rsid w:val="00517AE7"/>
    <w:rsid w:val="005278B7"/>
    <w:rsid w:val="00530210"/>
    <w:rsid w:val="00532016"/>
    <w:rsid w:val="005346C8"/>
    <w:rsid w:val="00543E7D"/>
    <w:rsid w:val="00547A68"/>
    <w:rsid w:val="005531C9"/>
    <w:rsid w:val="00583A15"/>
    <w:rsid w:val="00584CD8"/>
    <w:rsid w:val="005A3E9C"/>
    <w:rsid w:val="005B2110"/>
    <w:rsid w:val="005B5BBE"/>
    <w:rsid w:val="005B61E6"/>
    <w:rsid w:val="005C4532"/>
    <w:rsid w:val="005C77E1"/>
    <w:rsid w:val="005D54B5"/>
    <w:rsid w:val="005D5824"/>
    <w:rsid w:val="005D6A2F"/>
    <w:rsid w:val="005D6B50"/>
    <w:rsid w:val="005E1A82"/>
    <w:rsid w:val="005E794C"/>
    <w:rsid w:val="005F0A28"/>
    <w:rsid w:val="005F0E5E"/>
    <w:rsid w:val="00600535"/>
    <w:rsid w:val="00610CD6"/>
    <w:rsid w:val="00611FBE"/>
    <w:rsid w:val="00620C11"/>
    <w:rsid w:val="00620DEE"/>
    <w:rsid w:val="00621F92"/>
    <w:rsid w:val="00625639"/>
    <w:rsid w:val="00631B33"/>
    <w:rsid w:val="0064184D"/>
    <w:rsid w:val="00642468"/>
    <w:rsid w:val="006527BC"/>
    <w:rsid w:val="00660E3E"/>
    <w:rsid w:val="00662E74"/>
    <w:rsid w:val="00666EED"/>
    <w:rsid w:val="00680C23"/>
    <w:rsid w:val="00682AFC"/>
    <w:rsid w:val="0069261F"/>
    <w:rsid w:val="00693766"/>
    <w:rsid w:val="006A3281"/>
    <w:rsid w:val="006A6728"/>
    <w:rsid w:val="006B4888"/>
    <w:rsid w:val="006C2E45"/>
    <w:rsid w:val="006C359C"/>
    <w:rsid w:val="006C5579"/>
    <w:rsid w:val="006E0392"/>
    <w:rsid w:val="006E737D"/>
    <w:rsid w:val="00720A24"/>
    <w:rsid w:val="00732386"/>
    <w:rsid w:val="00735672"/>
    <w:rsid w:val="00743F57"/>
    <w:rsid w:val="007447F3"/>
    <w:rsid w:val="00744CD6"/>
    <w:rsid w:val="0075499F"/>
    <w:rsid w:val="00764542"/>
    <w:rsid w:val="007661C8"/>
    <w:rsid w:val="007708A9"/>
    <w:rsid w:val="0077098D"/>
    <w:rsid w:val="007800E0"/>
    <w:rsid w:val="00790D5F"/>
    <w:rsid w:val="00791800"/>
    <w:rsid w:val="007A7BBA"/>
    <w:rsid w:val="007B0C50"/>
    <w:rsid w:val="007C1A43"/>
    <w:rsid w:val="007E1F46"/>
    <w:rsid w:val="007E6412"/>
    <w:rsid w:val="008101AD"/>
    <w:rsid w:val="0081197C"/>
    <w:rsid w:val="00813288"/>
    <w:rsid w:val="008168FC"/>
    <w:rsid w:val="00830996"/>
    <w:rsid w:val="008345F1"/>
    <w:rsid w:val="0083764F"/>
    <w:rsid w:val="00842738"/>
    <w:rsid w:val="00847AF6"/>
    <w:rsid w:val="00865B07"/>
    <w:rsid w:val="008667EA"/>
    <w:rsid w:val="00873D70"/>
    <w:rsid w:val="0087637F"/>
    <w:rsid w:val="00892AD5"/>
    <w:rsid w:val="00896F5A"/>
    <w:rsid w:val="008A1512"/>
    <w:rsid w:val="008B17A7"/>
    <w:rsid w:val="008D10D6"/>
    <w:rsid w:val="008D433B"/>
    <w:rsid w:val="008E566E"/>
    <w:rsid w:val="0090161A"/>
    <w:rsid w:val="00901EB6"/>
    <w:rsid w:val="00904C62"/>
    <w:rsid w:val="0092207E"/>
    <w:rsid w:val="00924DAC"/>
    <w:rsid w:val="00927058"/>
    <w:rsid w:val="009450CE"/>
    <w:rsid w:val="00947179"/>
    <w:rsid w:val="0095164B"/>
    <w:rsid w:val="00954090"/>
    <w:rsid w:val="009573E7"/>
    <w:rsid w:val="00963E05"/>
    <w:rsid w:val="00967D54"/>
    <w:rsid w:val="00982B86"/>
    <w:rsid w:val="00984D12"/>
    <w:rsid w:val="00996483"/>
    <w:rsid w:val="00996F5A"/>
    <w:rsid w:val="009B041A"/>
    <w:rsid w:val="009B1E4B"/>
    <w:rsid w:val="009C5280"/>
    <w:rsid w:val="009C7C86"/>
    <w:rsid w:val="009D2FF7"/>
    <w:rsid w:val="009E7884"/>
    <w:rsid w:val="009E788A"/>
    <w:rsid w:val="009F02A0"/>
    <w:rsid w:val="009F0E08"/>
    <w:rsid w:val="009F6D40"/>
    <w:rsid w:val="009F7F64"/>
    <w:rsid w:val="00A1763D"/>
    <w:rsid w:val="00A17CEC"/>
    <w:rsid w:val="00A21C01"/>
    <w:rsid w:val="00A27EF0"/>
    <w:rsid w:val="00A33ACA"/>
    <w:rsid w:val="00A34EB9"/>
    <w:rsid w:val="00A50B20"/>
    <w:rsid w:val="00A51390"/>
    <w:rsid w:val="00A60D13"/>
    <w:rsid w:val="00A702BA"/>
    <w:rsid w:val="00A72745"/>
    <w:rsid w:val="00A76EFC"/>
    <w:rsid w:val="00A91010"/>
    <w:rsid w:val="00A97D08"/>
    <w:rsid w:val="00A97F29"/>
    <w:rsid w:val="00AA702E"/>
    <w:rsid w:val="00AB0964"/>
    <w:rsid w:val="00AB5011"/>
    <w:rsid w:val="00AC7368"/>
    <w:rsid w:val="00AD16B9"/>
    <w:rsid w:val="00AE377D"/>
    <w:rsid w:val="00B0332B"/>
    <w:rsid w:val="00B11F20"/>
    <w:rsid w:val="00B17FBD"/>
    <w:rsid w:val="00B315A6"/>
    <w:rsid w:val="00B31813"/>
    <w:rsid w:val="00B33365"/>
    <w:rsid w:val="00B57B36"/>
    <w:rsid w:val="00B6101A"/>
    <w:rsid w:val="00B707D6"/>
    <w:rsid w:val="00B7421C"/>
    <w:rsid w:val="00B8686D"/>
    <w:rsid w:val="00B86DCD"/>
    <w:rsid w:val="00BB2AE1"/>
    <w:rsid w:val="00BB6C9B"/>
    <w:rsid w:val="00BC14D4"/>
    <w:rsid w:val="00BC30C9"/>
    <w:rsid w:val="00BC5613"/>
    <w:rsid w:val="00BE3E58"/>
    <w:rsid w:val="00BF2E07"/>
    <w:rsid w:val="00C01616"/>
    <w:rsid w:val="00C0162B"/>
    <w:rsid w:val="00C04531"/>
    <w:rsid w:val="00C32C70"/>
    <w:rsid w:val="00C345B1"/>
    <w:rsid w:val="00C40142"/>
    <w:rsid w:val="00C57182"/>
    <w:rsid w:val="00C57863"/>
    <w:rsid w:val="00C655FD"/>
    <w:rsid w:val="00C67235"/>
    <w:rsid w:val="00C71FB5"/>
    <w:rsid w:val="00C7570D"/>
    <w:rsid w:val="00C870A8"/>
    <w:rsid w:val="00C94434"/>
    <w:rsid w:val="00CA0D75"/>
    <w:rsid w:val="00CA1C95"/>
    <w:rsid w:val="00CA5A9C"/>
    <w:rsid w:val="00CD5FE2"/>
    <w:rsid w:val="00CE7C68"/>
    <w:rsid w:val="00D02B4C"/>
    <w:rsid w:val="00D040C4"/>
    <w:rsid w:val="00D2790B"/>
    <w:rsid w:val="00D50EBA"/>
    <w:rsid w:val="00D54391"/>
    <w:rsid w:val="00D57C84"/>
    <w:rsid w:val="00D6057D"/>
    <w:rsid w:val="00D65FE6"/>
    <w:rsid w:val="00D84576"/>
    <w:rsid w:val="00DA1399"/>
    <w:rsid w:val="00DA24C6"/>
    <w:rsid w:val="00DA3A54"/>
    <w:rsid w:val="00DA4D7B"/>
    <w:rsid w:val="00DA5421"/>
    <w:rsid w:val="00DA65A9"/>
    <w:rsid w:val="00DC7AA8"/>
    <w:rsid w:val="00DD0BED"/>
    <w:rsid w:val="00DE264A"/>
    <w:rsid w:val="00E02D18"/>
    <w:rsid w:val="00E041E7"/>
    <w:rsid w:val="00E23CA1"/>
    <w:rsid w:val="00E409A8"/>
    <w:rsid w:val="00E50C12"/>
    <w:rsid w:val="00E65B91"/>
    <w:rsid w:val="00E7209D"/>
    <w:rsid w:val="00E77223"/>
    <w:rsid w:val="00E8528B"/>
    <w:rsid w:val="00E85B94"/>
    <w:rsid w:val="00E934DC"/>
    <w:rsid w:val="00E93BD2"/>
    <w:rsid w:val="00E978D0"/>
    <w:rsid w:val="00EA4613"/>
    <w:rsid w:val="00EA7F91"/>
    <w:rsid w:val="00EB1523"/>
    <w:rsid w:val="00EC0E49"/>
    <w:rsid w:val="00EC22E7"/>
    <w:rsid w:val="00EC6199"/>
    <w:rsid w:val="00ED3033"/>
    <w:rsid w:val="00EE0131"/>
    <w:rsid w:val="00EF2394"/>
    <w:rsid w:val="00F04B1E"/>
    <w:rsid w:val="00F23769"/>
    <w:rsid w:val="00F30C64"/>
    <w:rsid w:val="00F32CDB"/>
    <w:rsid w:val="00F42348"/>
    <w:rsid w:val="00F632E6"/>
    <w:rsid w:val="00F63A70"/>
    <w:rsid w:val="00FA0FD3"/>
    <w:rsid w:val="00FA21D0"/>
    <w:rsid w:val="00FA5F5F"/>
    <w:rsid w:val="00FB730C"/>
    <w:rsid w:val="00FC2695"/>
    <w:rsid w:val="00FC3E03"/>
    <w:rsid w:val="00FC3FC1"/>
    <w:rsid w:val="00FD2F36"/>
    <w:rsid w:val="00FE480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35486DDB-8156-45BF-9730-52DA8388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642468"/>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642468"/>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Mencinsinresolver">
    <w:name w:val="Unresolved Mention"/>
    <w:basedOn w:val="Fuentedeprrafopredeter"/>
    <w:uiPriority w:val="99"/>
    <w:semiHidden/>
    <w:unhideWhenUsed/>
    <w:rsid w:val="00A70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86831">
      <w:bodyDiv w:val="1"/>
      <w:marLeft w:val="0"/>
      <w:marRight w:val="0"/>
      <w:marTop w:val="0"/>
      <w:marBottom w:val="0"/>
      <w:divBdr>
        <w:top w:val="none" w:sz="0" w:space="0" w:color="auto"/>
        <w:left w:val="none" w:sz="0" w:space="0" w:color="auto"/>
        <w:bottom w:val="none" w:sz="0" w:space="0" w:color="auto"/>
        <w:right w:val="none" w:sz="0" w:space="0" w:color="auto"/>
      </w:divBdr>
    </w:div>
    <w:div w:id="180657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Hoja1!$C$4</c:f>
              <c:strCache>
                <c:ptCount val="1"/>
                <c:pt idx="0">
                  <c:v>Methane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Hoja1!$B$5:$B$9</c:f>
              <c:numCache>
                <c:formatCode>General</c:formatCode>
                <c:ptCount val="5"/>
                <c:pt idx="0">
                  <c:v>28</c:v>
                </c:pt>
                <c:pt idx="1">
                  <c:v>35</c:v>
                </c:pt>
                <c:pt idx="2">
                  <c:v>37</c:v>
                </c:pt>
                <c:pt idx="3">
                  <c:v>42</c:v>
                </c:pt>
                <c:pt idx="4">
                  <c:v>52</c:v>
                </c:pt>
              </c:numCache>
            </c:numRef>
          </c:cat>
          <c:val>
            <c:numRef>
              <c:f>Hoja1!$C$5:$C$9</c:f>
              <c:numCache>
                <c:formatCode>General</c:formatCode>
                <c:ptCount val="5"/>
                <c:pt idx="0">
                  <c:v>12.4</c:v>
                </c:pt>
                <c:pt idx="1">
                  <c:v>42.5</c:v>
                </c:pt>
                <c:pt idx="2">
                  <c:v>43.9</c:v>
                </c:pt>
                <c:pt idx="3">
                  <c:v>57.7</c:v>
                </c:pt>
                <c:pt idx="4">
                  <c:v>59</c:v>
                </c:pt>
              </c:numCache>
            </c:numRef>
          </c:val>
          <c:smooth val="0"/>
          <c:extLst>
            <c:ext xmlns:c16="http://schemas.microsoft.com/office/drawing/2014/chart" uri="{C3380CC4-5D6E-409C-BE32-E72D297353CC}">
              <c16:uniqueId val="{00000000-94B9-4C5A-9FCE-3C80BC5AA395}"/>
            </c:ext>
          </c:extLst>
        </c:ser>
        <c:ser>
          <c:idx val="1"/>
          <c:order val="1"/>
          <c:tx>
            <c:strRef>
              <c:f>Hoja1!$D$4</c:f>
              <c:strCache>
                <c:ptCount val="1"/>
                <c:pt idx="0">
                  <c:v>Carbon dioxide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Hoja1!$B$5:$B$9</c:f>
              <c:numCache>
                <c:formatCode>General</c:formatCode>
                <c:ptCount val="5"/>
                <c:pt idx="0">
                  <c:v>28</c:v>
                </c:pt>
                <c:pt idx="1">
                  <c:v>35</c:v>
                </c:pt>
                <c:pt idx="2">
                  <c:v>37</c:v>
                </c:pt>
                <c:pt idx="3">
                  <c:v>42</c:v>
                </c:pt>
                <c:pt idx="4">
                  <c:v>52</c:v>
                </c:pt>
              </c:numCache>
            </c:numRef>
          </c:cat>
          <c:val>
            <c:numRef>
              <c:f>Hoja1!$D$5:$D$9</c:f>
              <c:numCache>
                <c:formatCode>General</c:formatCode>
                <c:ptCount val="5"/>
                <c:pt idx="0">
                  <c:v>4</c:v>
                </c:pt>
                <c:pt idx="1">
                  <c:v>12</c:v>
                </c:pt>
                <c:pt idx="2">
                  <c:v>21</c:v>
                </c:pt>
                <c:pt idx="3">
                  <c:v>33</c:v>
                </c:pt>
                <c:pt idx="4">
                  <c:v>23</c:v>
                </c:pt>
              </c:numCache>
            </c:numRef>
          </c:val>
          <c:smooth val="0"/>
          <c:extLst>
            <c:ext xmlns:c16="http://schemas.microsoft.com/office/drawing/2014/chart" uri="{C3380CC4-5D6E-409C-BE32-E72D297353CC}">
              <c16:uniqueId val="{00000001-94B9-4C5A-9FCE-3C80BC5AA395}"/>
            </c:ext>
          </c:extLst>
        </c:ser>
        <c:dLbls>
          <c:dLblPos val="t"/>
          <c:showLegendKey val="0"/>
          <c:showVal val="1"/>
          <c:showCatName val="0"/>
          <c:showSerName val="0"/>
          <c:showPercent val="0"/>
          <c:showBubbleSize val="0"/>
        </c:dLbls>
        <c:marker val="1"/>
        <c:smooth val="0"/>
        <c:axId val="1822236607"/>
        <c:axId val="1822230783"/>
      </c:lineChart>
      <c:catAx>
        <c:axId val="182223660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Days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822230783"/>
        <c:crosses val="autoZero"/>
        <c:auto val="1"/>
        <c:lblAlgn val="ctr"/>
        <c:lblOffset val="100"/>
        <c:noMultiLvlLbl val="0"/>
      </c:catAx>
      <c:valAx>
        <c:axId val="18222307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Porcentage of biogas (%)</a:t>
                </a:r>
              </a:p>
            </c:rich>
          </c:tx>
          <c:layout>
            <c:manualLayout>
              <c:xMode val="edge"/>
              <c:yMode val="edge"/>
              <c:x val="2.2222222222222223E-2"/>
              <c:y val="0.1642858705161854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8222366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69C77-0CF0-4981-A253-EEAF600C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6</Pages>
  <Words>2884</Words>
  <Characters>15868</Characters>
  <Application>Microsoft Office Word</Application>
  <DocSecurity>0</DocSecurity>
  <Lines>132</Lines>
  <Paragraphs>37</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Elmer</cp:lastModifiedBy>
  <cp:revision>26</cp:revision>
  <cp:lastPrinted>2015-05-12T18:31:00Z</cp:lastPrinted>
  <dcterms:created xsi:type="dcterms:W3CDTF">2022-06-16T23:41:00Z</dcterms:created>
  <dcterms:modified xsi:type="dcterms:W3CDTF">2022-10-16T22:23:00Z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