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9D587E6" w:rsidR="00E978D0" w:rsidRPr="00B57B36" w:rsidRDefault="00CF3584" w:rsidP="00CF3584">
      <w:pPr>
        <w:pStyle w:val="CETTitle"/>
      </w:pPr>
      <w:r>
        <w:t>Application of multivariate statistical analysis for pyrolysis process optimization</w:t>
      </w:r>
    </w:p>
    <w:p w14:paraId="0488FED2" w14:textId="27B4B28A" w:rsidR="00B57E6F" w:rsidRPr="000D0FFD" w:rsidRDefault="00CF3584" w:rsidP="00B57E6F">
      <w:pPr>
        <w:pStyle w:val="CETAuthors"/>
        <w:rPr>
          <w:lang w:val="it-IT"/>
        </w:rPr>
      </w:pPr>
      <w:r w:rsidRPr="000D0FFD">
        <w:rPr>
          <w:lang w:val="it-IT"/>
        </w:rPr>
        <w:t>Vincenzo Del Duca</w:t>
      </w:r>
      <w:r w:rsidRPr="000D0FFD">
        <w:rPr>
          <w:vertAlign w:val="superscript"/>
          <w:lang w:val="it-IT"/>
        </w:rPr>
        <w:t>a,</w:t>
      </w:r>
      <w:r w:rsidRPr="000D0FFD">
        <w:rPr>
          <w:lang w:val="it-IT"/>
        </w:rPr>
        <w:t>*, Roberto Chirone</w:t>
      </w:r>
      <w:r w:rsidRPr="000D0FFD">
        <w:rPr>
          <w:vertAlign w:val="superscript"/>
          <w:lang w:val="it-IT"/>
        </w:rPr>
        <w:t>b</w:t>
      </w:r>
      <w:r w:rsidRPr="000D0FFD">
        <w:rPr>
          <w:lang w:val="it-IT"/>
        </w:rPr>
        <w:t>, Antonio Coppola</w:t>
      </w:r>
      <w:r w:rsidRPr="000D0FFD">
        <w:rPr>
          <w:vertAlign w:val="superscript"/>
          <w:lang w:val="it-IT"/>
        </w:rPr>
        <w:t>a</w:t>
      </w:r>
      <w:r w:rsidRPr="000D0FFD">
        <w:rPr>
          <w:lang w:val="it-IT"/>
        </w:rPr>
        <w:t>, Fabrizio Scala</w:t>
      </w:r>
      <w:r w:rsidRPr="000D0FFD">
        <w:rPr>
          <w:vertAlign w:val="superscript"/>
          <w:lang w:val="it-IT"/>
        </w:rPr>
        <w:t>a,b</w:t>
      </w:r>
      <w:r w:rsidRPr="000D0FFD">
        <w:rPr>
          <w:lang w:val="it-IT"/>
        </w:rPr>
        <w:t>, Piero Salatino</w:t>
      </w:r>
      <w:r w:rsidRPr="000D0FFD">
        <w:rPr>
          <w:vertAlign w:val="superscript"/>
          <w:lang w:val="it-IT"/>
        </w:rPr>
        <w:t>a,b</w:t>
      </w:r>
    </w:p>
    <w:p w14:paraId="6B2D21B3" w14:textId="0EEA8785" w:rsidR="00B57E6F" w:rsidRPr="00CF3584" w:rsidRDefault="00B57E6F" w:rsidP="00B57E6F">
      <w:pPr>
        <w:pStyle w:val="CETAddress"/>
        <w:rPr>
          <w:lang w:val="it-IT"/>
        </w:rPr>
      </w:pPr>
      <w:r w:rsidRPr="00CF3584">
        <w:rPr>
          <w:vertAlign w:val="superscript"/>
          <w:lang w:val="it-IT"/>
        </w:rPr>
        <w:t>a</w:t>
      </w:r>
      <w:r w:rsidR="00CF3584" w:rsidRPr="00CF3584">
        <w:rPr>
          <w:lang w:val="it-IT"/>
        </w:rPr>
        <w:t xml:space="preserve">STEMS, Consiglio Nazionale delle Ricerche, </w:t>
      </w:r>
      <w:r w:rsidR="000D0FFD" w:rsidRPr="000D0FFD">
        <w:rPr>
          <w:lang w:val="it-IT"/>
        </w:rPr>
        <w:t>Piazzale Vincenzo Tecchio 80, 80125 Napoli, Italy</w:t>
      </w:r>
    </w:p>
    <w:p w14:paraId="3D72B0B0" w14:textId="31FCB44D" w:rsidR="00B57E6F" w:rsidRPr="00CF3584" w:rsidRDefault="00B57E6F" w:rsidP="00B57E6F">
      <w:pPr>
        <w:pStyle w:val="CETAddress"/>
        <w:rPr>
          <w:lang w:val="it-IT"/>
        </w:rPr>
      </w:pPr>
      <w:r w:rsidRPr="00CF3584">
        <w:rPr>
          <w:vertAlign w:val="superscript"/>
          <w:lang w:val="it-IT"/>
        </w:rPr>
        <w:t>b</w:t>
      </w:r>
      <w:r w:rsidR="00CF3584" w:rsidRPr="00CF3584">
        <w:rPr>
          <w:lang w:val="it-IT"/>
        </w:rPr>
        <w:t xml:space="preserve">DICMaPI, Università degli Studi di Napoli Federico II, </w:t>
      </w:r>
      <w:r w:rsidR="000D0FFD" w:rsidRPr="000D0FFD">
        <w:rPr>
          <w:lang w:val="it-IT"/>
        </w:rPr>
        <w:t>Piazzale Vincenzo Tecchio 80, 80125 Napoli, Italy</w:t>
      </w:r>
    </w:p>
    <w:p w14:paraId="73F1267A" w14:textId="399BA419" w:rsidR="00B57E6F" w:rsidRPr="00B57B36" w:rsidRDefault="00A10EA0" w:rsidP="00B57E6F">
      <w:pPr>
        <w:pStyle w:val="CETemail"/>
      </w:pPr>
      <w:hyperlink r:id="rId13" w:history="1">
        <w:r w:rsidR="00CF3584" w:rsidRPr="005571FE">
          <w:rPr>
            <w:rStyle w:val="Collegamentoipertestuale"/>
          </w:rPr>
          <w:t>vincenzodelduca@stems.cnr.it</w:t>
        </w:r>
      </w:hyperlink>
      <w:r w:rsidR="00CF3584">
        <w:t xml:space="preserve"> </w:t>
      </w:r>
    </w:p>
    <w:p w14:paraId="3BA5E101" w14:textId="496DACEF" w:rsidR="0078750C" w:rsidRDefault="0078750C" w:rsidP="00E706B5">
      <w:pPr>
        <w:pStyle w:val="CETBodytext"/>
        <w:rPr>
          <w:highlight w:val="yellow"/>
          <w:lang w:val="en-GB"/>
        </w:rPr>
      </w:pPr>
      <w:r w:rsidRPr="0078750C">
        <w:rPr>
          <w:lang w:val="en-GB"/>
        </w:rPr>
        <w:t xml:space="preserve">The identification of the most efficient biomass valorization paths is vital for reaching the target of Renewable Energy Sources consumption by 2030. In this context, within a National project named ‘Biofeedstock’, the applicability of multivariate statistical analysis, i.e. Canonical Correlation Analysis (CCA), is implemented for the definition of specific correlations describing quantitatively and qualitatively the fast pyrolysis process outputs. The database used for the CCA contains 59 observations and it has been built up </w:t>
      </w:r>
      <w:r w:rsidR="006F0752">
        <w:rPr>
          <w:lang w:val="en-GB"/>
        </w:rPr>
        <w:t>using</w:t>
      </w:r>
      <w:r w:rsidRPr="0078750C">
        <w:rPr>
          <w:lang w:val="en-GB"/>
        </w:rPr>
        <w:t xml:space="preserve"> literature data specifically on fluidized bed fast pyrolysis without any catalyst, in the temperature range of 450-550°C. The results show that the CCA correctly describe</w:t>
      </w:r>
      <w:r w:rsidR="006F0752">
        <w:rPr>
          <w:lang w:val="en-GB"/>
        </w:rPr>
        <w:t>s</w:t>
      </w:r>
      <w:r w:rsidRPr="0078750C">
        <w:rPr>
          <w:lang w:val="en-GB"/>
        </w:rPr>
        <w:t xml:space="preserve"> the process analysed with a discrete degree of confidence. However, it shows two main drawbacks, firstly the dataset constitution, and secondly possibility to individuate only linear correlations between inputs and outputs.</w:t>
      </w:r>
    </w:p>
    <w:p w14:paraId="476B2F2E" w14:textId="77777777" w:rsidR="00600535" w:rsidRPr="00B57B36" w:rsidRDefault="00600535" w:rsidP="00600535">
      <w:pPr>
        <w:pStyle w:val="CETHeading1"/>
        <w:rPr>
          <w:lang w:val="en-GB"/>
        </w:rPr>
      </w:pPr>
      <w:r w:rsidRPr="00B57B36">
        <w:rPr>
          <w:lang w:val="en-GB"/>
        </w:rPr>
        <w:t>Introduction</w:t>
      </w:r>
    </w:p>
    <w:p w14:paraId="7B50F2E5" w14:textId="6918B242" w:rsidR="003F716B" w:rsidRPr="00361396" w:rsidRDefault="003F716B" w:rsidP="0026496A">
      <w:pPr>
        <w:tabs>
          <w:tab w:val="left" w:pos="8364"/>
        </w:tabs>
        <w:spacing w:line="276" w:lineRule="auto"/>
        <w:rPr>
          <w:rFonts w:cstheme="minorHAnsi"/>
          <w:color w:val="000000"/>
        </w:rPr>
      </w:pPr>
      <w:r w:rsidRPr="003F716B">
        <w:t>Concerns related to environmental burdens and security of energy supply are stimulating the exploitation of</w:t>
      </w:r>
      <w:r w:rsidRPr="00E47EDA">
        <w:rPr>
          <w:rFonts w:cstheme="minorHAnsi"/>
          <w:color w:val="000000"/>
        </w:rPr>
        <w:t xml:space="preserve"> residual biomass for production of biochemical </w:t>
      </w:r>
      <w:r w:rsidR="004C5108">
        <w:rPr>
          <w:rFonts w:cstheme="minorHAnsi"/>
          <w:color w:val="000000"/>
        </w:rPr>
        <w:t xml:space="preserve">platform </w:t>
      </w:r>
      <w:r w:rsidRPr="00E47EDA">
        <w:rPr>
          <w:rFonts w:cstheme="minorHAnsi"/>
          <w:color w:val="000000"/>
        </w:rPr>
        <w:t>and biofuel</w:t>
      </w:r>
      <w:r w:rsidR="004C5108">
        <w:rPr>
          <w:rFonts w:cstheme="minorHAnsi"/>
          <w:color w:val="000000"/>
        </w:rPr>
        <w:t xml:space="preserve"> platform</w:t>
      </w:r>
      <w:r w:rsidRPr="00E47EDA">
        <w:rPr>
          <w:rFonts w:cstheme="minorHAnsi"/>
          <w:color w:val="000000"/>
        </w:rPr>
        <w:t xml:space="preserve"> </w:t>
      </w:r>
      <w:r w:rsidR="00F256FF">
        <w:rPr>
          <w:rStyle w:val="Rimandonotaapidipagina"/>
          <w:rFonts w:cstheme="minorHAnsi"/>
          <w:color w:val="000000"/>
        </w:rPr>
        <w:fldChar w:fldCharType="begin" w:fldLock="1"/>
      </w:r>
      <w:r w:rsidR="00FB6102">
        <w:rPr>
          <w:rFonts w:cstheme="minorHAnsi"/>
          <w:color w:val="000000"/>
        </w:rPr>
        <w:instrText>ADDIN CSL_CITATION {"citationItems":[{"id":"ITEM-1","itemData":{"id":"ITEM-1","issued":{"date-parts":[["2019"]]},"title":"IEA (2019), World Energy Outlook 2019, IEA, Paris https://www.iea.org/reports/world-energy-outlook-2019","type":"report"},"uris":["http://www.mendeley.com/documents/?uuid=d61d1825-e4a9-417f-8b8b-8431f2a42bdf","http://www.mendeley.com/documents/?uuid=88b0b65e-d8b6-44ed-9f8c-288bd5c95c1c"]}],"mendeley":{"formattedCitation":"(&lt;i&gt;IEA (2019), World Energy Outlook 2019, IEA, Paris https://www.iea.org/reports/world-energy-outlook-2019&lt;/i&gt;, 2019)","manualFormatting":"(IEA (2019), World Energy Outlook 2019, IEA, Paris https://www.iea.org/reports/world-energy-outlook-201&gt;, 2019)","plainTextFormattedCitation":"(IEA (2019), World Energy Outlook 2019, IEA, Paris https://www.iea.org/reports/world-energy-outlook-2019, 2019)","previouslyFormattedCitation":"(&lt;i&gt;IEA (2019), World Energy Outlook 2019, IEA, Paris https://www.iea.org/reports/world-energy-outlook-2019&lt;/i&gt;, 2019)"},"properties":{"noteIndex":0},"schema":"https://github.com/citation-style-language/schema/raw/master/csl-citation.json"}</w:instrText>
      </w:r>
      <w:r w:rsidR="00F256FF">
        <w:rPr>
          <w:rStyle w:val="Rimandonotaapidipagina"/>
          <w:rFonts w:cstheme="minorHAnsi"/>
          <w:color w:val="000000"/>
        </w:rPr>
        <w:fldChar w:fldCharType="separate"/>
      </w:r>
      <w:r w:rsidR="00361396" w:rsidRPr="00361396">
        <w:rPr>
          <w:rFonts w:cstheme="minorHAnsi"/>
          <w:i/>
          <w:noProof/>
          <w:color w:val="000000"/>
        </w:rPr>
        <w:t>(IEA (2019), World Energy Outlook 2019, IEA, Paris https://www.iea.org/reports/world-energy-outlook-201</w:t>
      </w:r>
      <w:r w:rsidR="00361396" w:rsidRPr="00361396">
        <w:rPr>
          <w:rFonts w:cstheme="minorHAnsi"/>
          <w:noProof/>
          <w:color w:val="000000"/>
        </w:rPr>
        <w:t>&gt;, 2019)</w:t>
      </w:r>
      <w:r w:rsidR="00F256FF">
        <w:rPr>
          <w:rStyle w:val="Rimandonotaapidipagina"/>
          <w:rFonts w:cstheme="minorHAnsi"/>
          <w:color w:val="000000"/>
        </w:rPr>
        <w:fldChar w:fldCharType="end"/>
      </w:r>
      <w:r w:rsidRPr="00E47EDA">
        <w:rPr>
          <w:rFonts w:cstheme="minorHAnsi"/>
          <w:color w:val="000000"/>
        </w:rPr>
        <w:t xml:space="preserve">. In December 2018, the European Commission published the new renewable energy directive 2018/2001/EU, known as RED II </w:t>
      </w:r>
      <w:r w:rsidR="00F256FF">
        <w:rPr>
          <w:rStyle w:val="Rimandonotaapidipagina"/>
          <w:rFonts w:cstheme="minorHAnsi"/>
          <w:color w:val="000000"/>
        </w:rPr>
        <w:fldChar w:fldCharType="begin" w:fldLock="1"/>
      </w:r>
      <w:r w:rsidR="00FB6102">
        <w:rPr>
          <w:rFonts w:cstheme="minorHAnsi"/>
          <w:color w:val="000000"/>
        </w:rPr>
        <w:instrText>ADDIN CSL_CITATION {"citationItems":[{"id":"ITEM-1","itemData":{"ISBN":"9781615671151","abstract":"DIRECTIVE 2009/28/EC OF THE EUROPEAN PARLIAMENT AND OF THE COUNCIL of 23 April 2009 on the promotion of the use of energy from renewable sources and amending and subsequently repealing Directives 2001/77/EC and 2003/30/EC","author":[{"dropping-particle":"","family":"European Union","given":"","non-dropping-particle":"","parse-names":false,"suffix":""}],"container-title":"Official Journal of the European Union","id":"ITEM-1","issue":"1","issued":{"date-parts":[["2009"]]},"page":"L 140/16 - L 140/62","title":"DIRECTIVE 2009/28/EC of the European Parliament and of the Council","type":"article-journal","volume":"5"},"uris":["http://www.mendeley.com/documents/?uuid=807fd6e1-85e1-41d2-a6ca-799dd9fb6e36","http://www.mendeley.com/documents/?uuid=77504b2f-c485-4606-95f6-35f3df14edd7"]},{"id":"ITEM-2","itemData":{"author":[{"dropping-particle":"","family":"Council","given":"O F T H E","non-dropping-particle":"","parse-names":false,"suffix":""}],"id":"ITEM-2","issue":"April 2009","issued":{"date-parts":[["2018"]]},"title":"DIRECTIVE (EU) 2018/2001 OF THE EUROPEAN PARLIAMENT AND OF THE COUNCIL of 11 December 2018 on the promotion of the use of energy from renewable sources (recast)","type":"article-journal","volume":"2018"},"uris":["http://www.mendeley.com/documents/?uuid=55b1cdc2-9fa3-4dec-b3e9-b2321bf7802f","http://www.mendeley.com/documents/?uuid=8dab48f8-98db-4459-aaff-34fc762d931c"]}],"mendeley":{"formattedCitation":"(Council, 2018; European Union, 2009)","plainTextFormattedCitation":"(Council, 2018; European Union, 2009)","previouslyFormattedCitation":"(Council, 2018; European Union, 2009)"},"properties":{"noteIndex":0},"schema":"https://github.com/citation-style-language/schema/raw/master/csl-citation.json"}</w:instrText>
      </w:r>
      <w:r w:rsidR="00F256FF">
        <w:rPr>
          <w:rStyle w:val="Rimandonotaapidipagina"/>
          <w:rFonts w:cstheme="minorHAnsi"/>
          <w:color w:val="000000"/>
        </w:rPr>
        <w:fldChar w:fldCharType="separate"/>
      </w:r>
      <w:r w:rsidR="00FB6102" w:rsidRPr="00FB6102">
        <w:rPr>
          <w:rFonts w:cstheme="minorHAnsi"/>
          <w:bCs/>
          <w:noProof/>
          <w:color w:val="000000"/>
          <w:lang w:val="en-US"/>
        </w:rPr>
        <w:t>(Council, 2018; European Union, 2009)</w:t>
      </w:r>
      <w:r w:rsidR="00F256FF">
        <w:rPr>
          <w:rStyle w:val="Rimandonotaapidipagina"/>
          <w:rFonts w:cstheme="minorHAnsi"/>
          <w:color w:val="000000"/>
        </w:rPr>
        <w:fldChar w:fldCharType="end"/>
      </w:r>
      <w:r w:rsidRPr="00E47EDA">
        <w:rPr>
          <w:rFonts w:cstheme="minorHAnsi"/>
          <w:color w:val="000000"/>
        </w:rPr>
        <w:t>. The overall target of Renewable Energy Sources consumption by 2030 was increased to 32% and a minimum share of 14% of renewable energy consumed in road and rail transport</w:t>
      </w:r>
      <w:r w:rsidR="006F0752">
        <w:rPr>
          <w:rFonts w:cstheme="minorHAnsi"/>
          <w:color w:val="000000"/>
        </w:rPr>
        <w:t>ation</w:t>
      </w:r>
      <w:r w:rsidRPr="00E47EDA">
        <w:rPr>
          <w:rFonts w:cstheme="minorHAnsi"/>
          <w:color w:val="000000"/>
        </w:rPr>
        <w:t xml:space="preserve"> is targeted by 2030. Furthermore, the lower bounds to contribution of advanced biofuels as a share of final energy consumption in the transport sector are set at 0.2 % in 2022, 1 % in 2025 and 3.5 % in 2030</w:t>
      </w:r>
      <w:r w:rsidR="000267B5">
        <w:rPr>
          <w:rFonts w:cstheme="minorHAnsi"/>
          <w:color w:val="000000"/>
        </w:rPr>
        <w:t xml:space="preserve"> </w:t>
      </w:r>
      <w:r w:rsidR="000267B5">
        <w:rPr>
          <w:rFonts w:cstheme="minorHAnsi"/>
          <w:color w:val="000000"/>
        </w:rPr>
        <w:fldChar w:fldCharType="begin" w:fldLock="1"/>
      </w:r>
      <w:r w:rsidR="00FB6102">
        <w:rPr>
          <w:rFonts w:cstheme="minorHAnsi"/>
          <w:color w:val="000000"/>
        </w:rPr>
        <w:instrText>ADDIN CSL_CITATION {"citationItems":[{"id":"ITEM-1","itemData":{"ISSN":"2292-8782","author":[{"dropping-particle":"","family":"Littlejohns","given":"Jennifer","non-dropping-particle":"","parse-names":false,"suffix":""},{"dropping-particle":"","family":"Rehmann","given":"Lars","non-dropping-particle":"","parse-names":false,"suffix":""},{"dropping-particle":"","family":"Murdy","given":"Rachel","non-dropping-particle":"","parse-names":false,"suffix":""},{"dropping-particle":"","family":"Oo","given":"Aung","non-dropping-particle":"","parse-names":false,"suffix":""},{"dropping-particle":"","family":"Neill","given":"Stuart","non-dropping-particle":"","parse-names":false,"suffix":""}],"container-title":"Biofuel Research Journal","id":"ITEM-1","issue":"1","issued":{"date-parts":[["2018"]]},"page":"759-779","publisher":"Green Wave Publishing of Canada","title":"Current state and future prospects for liquid biofuels in Canada","type":"article-journal","volume":"5"},"uris":["http://www.mendeley.com/documents/?uuid=dcf56855-c821-4984-ace0-c673954e4797"]}],"mendeley":{"formattedCitation":"(Littlejohns et al., 2018)","plainTextFormattedCitation":"(Littlejohns et al., 2018)","previouslyFormattedCitation":"(Littlejohns, Rehmann, Murdy, Oo, &amp; Neill, 2018)"},"properties":{"noteIndex":0},"schema":"https://github.com/citation-style-language/schema/raw/master/csl-citation.json"}</w:instrText>
      </w:r>
      <w:r w:rsidR="000267B5">
        <w:rPr>
          <w:rFonts w:cstheme="minorHAnsi"/>
          <w:color w:val="000000"/>
        </w:rPr>
        <w:fldChar w:fldCharType="separate"/>
      </w:r>
      <w:r w:rsidR="00FB6102" w:rsidRPr="00FB6102">
        <w:rPr>
          <w:rFonts w:cstheme="minorHAnsi"/>
          <w:noProof/>
          <w:color w:val="000000"/>
        </w:rPr>
        <w:t>(Littlejohns et al., 2018)</w:t>
      </w:r>
      <w:r w:rsidR="000267B5">
        <w:rPr>
          <w:rFonts w:cstheme="minorHAnsi"/>
          <w:color w:val="000000"/>
        </w:rPr>
        <w:fldChar w:fldCharType="end"/>
      </w:r>
      <w:r w:rsidRPr="00E47EDA">
        <w:rPr>
          <w:rFonts w:cstheme="minorHAnsi"/>
          <w:color w:val="000000"/>
        </w:rPr>
        <w:t>.</w:t>
      </w:r>
      <w:r w:rsidR="00B159D1">
        <w:rPr>
          <w:rFonts w:cstheme="minorHAnsi"/>
          <w:color w:val="000000"/>
        </w:rPr>
        <w:t xml:space="preserve"> </w:t>
      </w:r>
      <w:r w:rsidRPr="00E47EDA">
        <w:rPr>
          <w:rFonts w:cstheme="minorHAnsi"/>
          <w:color w:val="000000"/>
        </w:rPr>
        <w:t>Substitution of fossil fuels with biofuels aims at minimizing environmental burdens related to</w:t>
      </w:r>
      <w:r w:rsidR="004C5108">
        <w:rPr>
          <w:rFonts w:cstheme="minorHAnsi"/>
          <w:color w:val="000000"/>
        </w:rPr>
        <w:t xml:space="preserve"> both</w:t>
      </w:r>
      <w:r w:rsidRPr="00E47EDA">
        <w:rPr>
          <w:rFonts w:cstheme="minorHAnsi"/>
          <w:color w:val="000000"/>
        </w:rPr>
        <w:t xml:space="preserve"> production and consumption </w:t>
      </w:r>
      <w:r w:rsidR="00F256FF">
        <w:rPr>
          <w:rStyle w:val="Rimandonotaapidipagina"/>
          <w:rFonts w:cstheme="minorHAnsi"/>
          <w:color w:val="000000"/>
        </w:rPr>
        <w:fldChar w:fldCharType="begin" w:fldLock="1"/>
      </w:r>
      <w:r w:rsidR="00FB6102">
        <w:rPr>
          <w:rFonts w:cstheme="minorHAnsi"/>
          <w:color w:val="000000"/>
        </w:rPr>
        <w:instrText>ADDIN CSL_CITATION {"citationItems":[{"id":"ITEM-1","itemData":{"ISSN":"2292-8782","author":[{"dropping-particle":"","family":"Littlejohns","given":"Jennifer","non-dropping-particle":"","parse-names":false,"suffix":""},{"dropping-particle":"","family":"Rehmann","given":"Lars","non-dropping-particle":"","parse-names":false,"suffix":""},{"dropping-particle":"","family":"Murdy","given":"Rachel","non-dropping-particle":"","parse-names":false,"suffix":""},{"dropping-particle":"","family":"Oo","given":"Aung","non-dropping-particle":"","parse-names":false,"suffix":""},{"dropping-particle":"","family":"Neill","given":"Stuart","non-dropping-particle":"","parse-names":false,"suffix":""}],"container-title":"Biofuel Research Journal","id":"ITEM-1","issue":"1","issued":{"date-parts":[["2018"]]},"page":"759-779","publisher":"Green Wave Publishing of Canada","title":"Current state and future prospects for liquid biofuels in Canada","type":"article-journal","volume":"5"},"uris":["http://www.mendeley.com/documents/?uuid=33750d8b-4efb-4ac2-acf2-96d77ed3cecc","http://www.mendeley.com/documents/?uuid=dcf56855-c821-4984-ace0-c673954e4797"]}],"mendeley":{"formattedCitation":"(Littlejohns et al., 2018)","plainTextFormattedCitation":"(Littlejohns et al., 2018)","previouslyFormattedCitation":"(Littlejohns et al., 2018)"},"properties":{"noteIndex":0},"schema":"https://github.com/citation-style-language/schema/raw/master/csl-citation.json"}</w:instrText>
      </w:r>
      <w:r w:rsidR="00F256FF">
        <w:rPr>
          <w:rStyle w:val="Rimandonotaapidipagina"/>
          <w:rFonts w:cstheme="minorHAnsi"/>
          <w:color w:val="000000"/>
        </w:rPr>
        <w:fldChar w:fldCharType="separate"/>
      </w:r>
      <w:r w:rsidR="00FB6102" w:rsidRPr="00FB6102">
        <w:rPr>
          <w:rFonts w:cstheme="minorHAnsi"/>
          <w:bCs/>
          <w:noProof/>
          <w:color w:val="000000"/>
          <w:lang w:val="en-US"/>
        </w:rPr>
        <w:t>(Littlejohns et al., 2018)</w:t>
      </w:r>
      <w:r w:rsidR="00F256FF">
        <w:rPr>
          <w:rStyle w:val="Rimandonotaapidipagina"/>
          <w:rFonts w:cstheme="minorHAnsi"/>
          <w:color w:val="000000"/>
        </w:rPr>
        <w:fldChar w:fldCharType="end"/>
      </w:r>
      <w:r w:rsidRPr="00E47EDA">
        <w:rPr>
          <w:rFonts w:cstheme="minorHAnsi"/>
          <w:color w:val="000000"/>
        </w:rPr>
        <w:t xml:space="preserve"> </w:t>
      </w:r>
      <w:r w:rsidR="004C5108">
        <w:rPr>
          <w:rFonts w:cstheme="minorHAnsi"/>
          <w:color w:val="000000"/>
        </w:rPr>
        <w:t xml:space="preserve">as well as </w:t>
      </w:r>
      <w:r w:rsidRPr="00E47EDA">
        <w:rPr>
          <w:rFonts w:cstheme="minorHAnsi"/>
          <w:color w:val="000000"/>
        </w:rPr>
        <w:t>at decreasing the net CO</w:t>
      </w:r>
      <w:r w:rsidRPr="00E47EDA">
        <w:rPr>
          <w:rFonts w:cstheme="minorHAnsi"/>
          <w:color w:val="000000"/>
          <w:vertAlign w:val="subscript"/>
        </w:rPr>
        <w:t>2</w:t>
      </w:r>
      <w:r w:rsidRPr="00E47EDA">
        <w:rPr>
          <w:rFonts w:cstheme="minorHAnsi"/>
          <w:color w:val="000000"/>
        </w:rPr>
        <w:t xml:space="preserve"> emissions </w:t>
      </w:r>
      <w:r w:rsidR="00F256FF">
        <w:rPr>
          <w:rStyle w:val="Rimandonotaapidipagina"/>
          <w:rFonts w:cstheme="minorHAnsi"/>
          <w:color w:val="000000"/>
        </w:rPr>
        <w:fldChar w:fldCharType="begin" w:fldLock="1"/>
      </w:r>
      <w:r w:rsidR="00FB6102">
        <w:rPr>
          <w:rFonts w:cstheme="minorHAnsi"/>
          <w:color w:val="000000"/>
        </w:rPr>
        <w:instrText>ADDIN CSL_CITATION {"citationItems":[{"id":"ITEM-1","itemData":{"DOI":"10.1016/j.rser.2017.04.063","ISSN":"13640321","abstract":"Microalgae are a promising aquatic culture for supplying biofuels and other bioproducts in the near- to medium-term. For this potential to develop into reality, an interesting alternative is to couple microalgae production with large-scale facilities in order to benefit from process integration. This review aims at analyzing the main inputs of microalgae cultivation and how they could be supplied by integrated biorefineries, namely carbon source, nutrients, water use, plant location and geographic conditions. A special focus is given to Brazilian sugarcane mills acting as hosting complexes for microalgal biomass production. Such industrial plants are able to supply cheap carbon for microalgae growth in the form of CO2 from boiler emissions, ethanol fermentation off-gas, or biogas from vinasse anaerobic digestion; water, organic molecules, and nutrients from in natura or processed vinasse; and renewable electrical energy obtained from sugarcane bagasse and straw burning. The effects of the location of possible sugarcane-microalgae biorefineries are also discussed, particularly points related to land suitability and availability in Brazil.","author":[{"dropping-particle":"","family":"Colling Klein","given":"Bruno","non-dropping-particle":"","parse-names":false,"suffix":""},{"dropping-particle":"","family":"Bonomi","given":"Antonio","non-dropping-particle":"","parse-names":false,"suffix":""},{"dropping-particle":"","family":"Maciel Filho","given":"Rubens","non-dropping-particle":"","parse-names":false,"suffix":""}],"container-title":"Renewable and Sustainable Energy Reviews","id":"ITEM-1","issued":{"date-parts":[["2018"]]},"page":"1376-1392","title":"Integration of microalgae production with industrial biofuel facilities: A critical review","type":"article-journal","volume":"82"},"uris":["http://www.mendeley.com/documents/?uuid=52cfbf5b-5d8c-333d-8bee-cdf741bf5a40","http://www.mendeley.com/documents/?uuid=358720e3-b4c9-4715-b153-45f801a8ffc4"]}],"mendeley":{"formattedCitation":"(Colling Klein et al., 2018)","plainTextFormattedCitation":"(Colling Klein et al., 2018)","previouslyFormattedCitation":"(Colling Klein, Bonomi, &amp; Maciel Filho, 2018)"},"properties":{"noteIndex":0},"schema":"https://github.com/citation-style-language/schema/raw/master/csl-citation.json"}</w:instrText>
      </w:r>
      <w:r w:rsidR="00F256FF">
        <w:rPr>
          <w:rStyle w:val="Rimandonotaapidipagina"/>
          <w:rFonts w:cstheme="minorHAnsi"/>
          <w:color w:val="000000"/>
        </w:rPr>
        <w:fldChar w:fldCharType="separate"/>
      </w:r>
      <w:r w:rsidR="00FB6102" w:rsidRPr="00FB6102">
        <w:rPr>
          <w:rFonts w:cstheme="minorHAnsi"/>
          <w:bCs/>
          <w:noProof/>
          <w:color w:val="000000"/>
        </w:rPr>
        <w:t>(Colling Klein et al., 2018)</w:t>
      </w:r>
      <w:r w:rsidR="00F256FF">
        <w:rPr>
          <w:rStyle w:val="Rimandonotaapidipagina"/>
          <w:rFonts w:cstheme="minorHAnsi"/>
          <w:color w:val="000000"/>
        </w:rPr>
        <w:fldChar w:fldCharType="end"/>
      </w:r>
      <w:r w:rsidRPr="0026496A">
        <w:rPr>
          <w:rFonts w:cstheme="minorHAnsi"/>
          <w:color w:val="000000"/>
        </w:rPr>
        <w:t xml:space="preserve">. </w:t>
      </w:r>
      <w:r w:rsidRPr="00E47EDA">
        <w:rPr>
          <w:rFonts w:cstheme="minorHAnsi"/>
          <w:color w:val="000000"/>
        </w:rPr>
        <w:t xml:space="preserve">Biofuels are classified as first-, second- and third-generation biofuels based on the carbon source of biomass feedstock </w:t>
      </w:r>
      <w:r w:rsidR="00F256FF">
        <w:rPr>
          <w:rStyle w:val="Rimandonotaapidipagina"/>
          <w:rFonts w:cstheme="minorHAnsi"/>
          <w:color w:val="000000"/>
        </w:rPr>
        <w:fldChar w:fldCharType="begin" w:fldLock="1"/>
      </w:r>
      <w:r w:rsidR="00FB6102">
        <w:rPr>
          <w:rFonts w:cstheme="minorHAnsi"/>
          <w:color w:val="000000"/>
        </w:rPr>
        <w:instrText>ADDIN CSL_CITATION {"citationItems":[{"id":"ITEM-1","itemData":{"author":[{"dropping-particle":"","family":"Ziolkowska","given":"Jadwiga R","non-dropping-particle":"","parse-names":false,"suffix":""}],"container-title":"Biofuels for a More Sustainable Future","id":"ITEM-1","issued":{"date-parts":[["2020"]]},"page":"1-19","publisher":"Elsevier","title":"Biofuels technologies: An overview of feedstocks, processes, and technologies","type":"chapter"},"uris":["http://www.mendeley.com/documents/?uuid=d3b5adc4-0f21-41f6-8d5c-843d3c1f9846","http://www.mendeley.com/documents/?uuid=76a6ff94-a2b5-46cf-8743-ef5d787201a7"]}],"mendeley":{"formattedCitation":"(Ziolkowska, 2020)","plainTextFormattedCitation":"(Ziolkowska, 2020)","previouslyFormattedCitation":"(Ziolkowska, 2020)"},"properties":{"noteIndex":0},"schema":"https://github.com/citation-style-language/schema/raw/master/csl-citation.json"}</w:instrText>
      </w:r>
      <w:r w:rsidR="00F256FF">
        <w:rPr>
          <w:rStyle w:val="Rimandonotaapidipagina"/>
          <w:rFonts w:cstheme="minorHAnsi"/>
          <w:color w:val="000000"/>
        </w:rPr>
        <w:fldChar w:fldCharType="separate"/>
      </w:r>
      <w:r w:rsidR="00FB6102" w:rsidRPr="00FB6102">
        <w:rPr>
          <w:rFonts w:cstheme="minorHAnsi"/>
          <w:bCs/>
          <w:noProof/>
          <w:color w:val="000000"/>
          <w:lang w:val="en-US"/>
        </w:rPr>
        <w:t>(Ziolkowska, 2020)</w:t>
      </w:r>
      <w:r w:rsidR="00F256FF">
        <w:rPr>
          <w:rStyle w:val="Rimandonotaapidipagina"/>
          <w:rFonts w:cstheme="minorHAnsi"/>
          <w:color w:val="000000"/>
        </w:rPr>
        <w:fldChar w:fldCharType="end"/>
      </w:r>
      <w:r w:rsidRPr="00E47EDA">
        <w:rPr>
          <w:rFonts w:cstheme="minorHAnsi"/>
          <w:color w:val="000000"/>
        </w:rPr>
        <w:t xml:space="preserve">. </w:t>
      </w:r>
      <w:r w:rsidR="00587378">
        <w:rPr>
          <w:rFonts w:cstheme="minorHAnsi"/>
          <w:color w:val="000000"/>
        </w:rPr>
        <w:t>F</w:t>
      </w:r>
      <w:r w:rsidRPr="00E47EDA">
        <w:rPr>
          <w:rFonts w:cstheme="minorHAnsi"/>
          <w:color w:val="000000"/>
        </w:rPr>
        <w:t>irst-generation biofuels, which are produced directly from food crops, are attractive from</w:t>
      </w:r>
      <w:r w:rsidR="006F0752">
        <w:rPr>
          <w:rFonts w:cstheme="minorHAnsi"/>
          <w:color w:val="000000"/>
        </w:rPr>
        <w:t xml:space="preserve"> a</w:t>
      </w:r>
      <w:r w:rsidRPr="00E47EDA">
        <w:rPr>
          <w:rFonts w:cstheme="minorHAnsi"/>
          <w:color w:val="000000"/>
        </w:rPr>
        <w:t xml:space="preserve"> techno-economic prospective, as they show higher conversion efficiency and lower costs</w:t>
      </w:r>
      <w:r w:rsidR="002F5ED9">
        <w:rPr>
          <w:rFonts w:cstheme="minorHAnsi"/>
          <w:color w:val="000000"/>
        </w:rPr>
        <w:t xml:space="preserve"> compared to the others. However, </w:t>
      </w:r>
      <w:r w:rsidRPr="00E47EDA">
        <w:rPr>
          <w:rFonts w:cstheme="minorHAnsi"/>
          <w:color w:val="000000"/>
        </w:rPr>
        <w:t xml:space="preserve">societal constraints </w:t>
      </w:r>
      <w:r w:rsidR="002F5ED9">
        <w:rPr>
          <w:rFonts w:cstheme="minorHAnsi"/>
          <w:color w:val="000000"/>
        </w:rPr>
        <w:t xml:space="preserve">as food </w:t>
      </w:r>
      <w:r w:rsidR="00587378">
        <w:rPr>
          <w:rFonts w:cstheme="minorHAnsi"/>
          <w:color w:val="000000"/>
        </w:rPr>
        <w:t xml:space="preserve">vs </w:t>
      </w:r>
      <w:r w:rsidR="00AB68FB">
        <w:rPr>
          <w:rFonts w:cstheme="minorHAnsi"/>
          <w:color w:val="000000"/>
        </w:rPr>
        <w:t>f</w:t>
      </w:r>
      <w:r w:rsidR="002F5ED9">
        <w:rPr>
          <w:rFonts w:cstheme="minorHAnsi"/>
          <w:color w:val="000000"/>
        </w:rPr>
        <w:t xml:space="preserve">uel competition </w:t>
      </w:r>
      <w:r w:rsidRPr="00E47EDA">
        <w:rPr>
          <w:rFonts w:cstheme="minorHAnsi"/>
          <w:color w:val="000000"/>
        </w:rPr>
        <w:t>are driving regulations and markets toward exploitation of residual biomass and non-food crops</w:t>
      </w:r>
      <w:r w:rsidR="002F5ED9">
        <w:rPr>
          <w:rFonts w:cstheme="minorHAnsi"/>
          <w:color w:val="000000"/>
        </w:rPr>
        <w:t>, namely second- and third-generation biofuels i.e</w:t>
      </w:r>
      <w:r w:rsidR="00AB68FB">
        <w:rPr>
          <w:rFonts w:cstheme="minorHAnsi"/>
          <w:color w:val="000000"/>
        </w:rPr>
        <w:t xml:space="preserve">. </w:t>
      </w:r>
      <w:r w:rsidRPr="00E47EDA">
        <w:rPr>
          <w:rFonts w:cstheme="minorHAnsi"/>
          <w:color w:val="000000"/>
        </w:rPr>
        <w:t xml:space="preserve">cellulosic/waste biomass and algae </w:t>
      </w:r>
      <w:r w:rsidR="00F256FF">
        <w:rPr>
          <w:rStyle w:val="Rimandonotaapidipagina"/>
          <w:rFonts w:cstheme="minorHAnsi"/>
          <w:color w:val="000000"/>
        </w:rPr>
        <w:fldChar w:fldCharType="begin" w:fldLock="1"/>
      </w:r>
      <w:r w:rsidR="00FB6102">
        <w:rPr>
          <w:rFonts w:cstheme="minorHAnsi"/>
          <w:color w:val="000000"/>
        </w:rPr>
        <w:instrText>ADDIN CSL_CITATION {"citationItems":[{"id":"ITEM-1","itemData":{"author":[{"dropping-particle":"","family":"Hirani","given":"Arvind H","non-dropping-particle":"","parse-names":false,"suffix":""},{"dropping-particle":"","family":"Javed","given":"Nasir","non-dropping-particle":"","parse-names":false,"suffix":""},{"dropping-particle":"","family":"Asif","given":"Muhammad","non-dropping-particle":"","parse-names":false,"suffix":""},{"dropping-particle":"","family":"Basu","given":"Saikat K","non-dropping-particle":"","parse-names":false,"suffix":""},{"dropping-particle":"","family":"Kumar","given":"Ashwani","non-dropping-particle":"","parse-names":false,"suffix":""}],"container-title":"Biofuels: Greenhouse Gas Mitigation and Global Warming","id":"ITEM-1","issued":{"date-parts":[["2018"]]},"page":"141-154","publisher":"Springer","title":"A review on first-and second-generation biofuel productions","type":"chapter"},"uris":["http://www.mendeley.com/documents/?uuid=1da959b1-afa4-488b-8c95-c2b0545d7a64","http://www.mendeley.com/documents/?uuid=ed7dbaba-6ee3-42f3-8f9a-3f01daf2b72e"]}],"mendeley":{"formattedCitation":"(Hirani et al., 2018)","plainTextFormattedCitation":"(Hirani et al., 2018)","previouslyFormattedCitation":"(Hirani, Javed, Asif, Basu, &amp; Kumar, 2018)"},"properties":{"noteIndex":0},"schema":"https://github.com/citation-style-language/schema/raw/master/csl-citation.json"}</w:instrText>
      </w:r>
      <w:r w:rsidR="00F256FF">
        <w:rPr>
          <w:rStyle w:val="Rimandonotaapidipagina"/>
          <w:rFonts w:cstheme="minorHAnsi"/>
          <w:color w:val="000000"/>
        </w:rPr>
        <w:fldChar w:fldCharType="separate"/>
      </w:r>
      <w:r w:rsidR="00FB6102" w:rsidRPr="00FB6102">
        <w:rPr>
          <w:rFonts w:cstheme="minorHAnsi"/>
          <w:noProof/>
          <w:color w:val="000000"/>
        </w:rPr>
        <w:t>(Hirani et al., 2018)</w:t>
      </w:r>
      <w:r w:rsidR="00F256FF">
        <w:rPr>
          <w:rStyle w:val="Rimandonotaapidipagina"/>
          <w:rFonts w:cstheme="minorHAnsi"/>
          <w:color w:val="000000"/>
        </w:rPr>
        <w:fldChar w:fldCharType="end"/>
      </w:r>
      <w:r w:rsidRPr="00361396">
        <w:rPr>
          <w:rFonts w:cstheme="minorHAnsi"/>
          <w:color w:val="000000"/>
        </w:rPr>
        <w:t xml:space="preserve">. </w:t>
      </w:r>
    </w:p>
    <w:p w14:paraId="21F927CE" w14:textId="040FB3CD" w:rsidR="003F716B" w:rsidRDefault="003F716B" w:rsidP="00943B6C">
      <w:pPr>
        <w:spacing w:line="276" w:lineRule="auto"/>
        <w:rPr>
          <w:rFonts w:cstheme="minorHAnsi"/>
          <w:color w:val="000000"/>
        </w:rPr>
      </w:pPr>
      <w:r w:rsidRPr="00E47EDA">
        <w:rPr>
          <w:rFonts w:cstheme="minorHAnsi"/>
          <w:color w:val="000000"/>
        </w:rPr>
        <w:t xml:space="preserve">Moreover, </w:t>
      </w:r>
      <w:r w:rsidRPr="00E47EDA">
        <w:rPr>
          <w:rFonts w:cstheme="minorHAnsi"/>
          <w:color w:val="000000"/>
          <w:lang w:val="en-US"/>
        </w:rPr>
        <w:t xml:space="preserve">engineering supply systems that deliver affordable, high-quality biomass or “biofeedstock” </w:t>
      </w:r>
      <w:r w:rsidR="00587378">
        <w:rPr>
          <w:rFonts w:cstheme="minorHAnsi"/>
          <w:color w:val="000000"/>
          <w:lang w:val="en-US"/>
        </w:rPr>
        <w:t>are</w:t>
      </w:r>
      <w:r w:rsidR="00587378" w:rsidRPr="00E47EDA">
        <w:rPr>
          <w:rFonts w:cstheme="minorHAnsi"/>
          <w:color w:val="000000"/>
          <w:lang w:val="en-US"/>
        </w:rPr>
        <w:t xml:space="preserve"> </w:t>
      </w:r>
      <w:r w:rsidRPr="00E47EDA">
        <w:rPr>
          <w:rFonts w:cstheme="minorHAnsi"/>
          <w:color w:val="000000"/>
          <w:lang w:val="en-US"/>
        </w:rPr>
        <w:t xml:space="preserve">a challenge for the emerging bioenergy industry </w:t>
      </w:r>
      <w:r w:rsidR="00F256FF">
        <w:rPr>
          <w:rStyle w:val="Rimandonotaapidipagina"/>
          <w:rFonts w:cstheme="minorHAnsi"/>
          <w:color w:val="000000"/>
          <w:lang w:val="en-US"/>
        </w:rPr>
        <w:fldChar w:fldCharType="begin" w:fldLock="1"/>
      </w:r>
      <w:r w:rsidR="00FB6102">
        <w:rPr>
          <w:rFonts w:cstheme="minorHAnsi"/>
          <w:color w:val="000000"/>
          <w:lang w:val="en-US"/>
        </w:rPr>
        <w:instrText>ADDIN CSL_CITATION {"citationItems":[{"id":"ITEM-1","itemData":{"DOI":"10.1016/j.biortech.2015.07.009","ISSN":"18732976","abstract":"Decentralized biomass processing facilities, known as biomass depots, may be necessary to achieve feedstock cost, quantity, and quality required to grow the future U.S. bioeconomy. In this paper, we assess three distinct depot configurations for technical difference and economic performance. The depot designs were chosen to compare and contrast a suite of capabilities that a depot could perform ranging from conventional pelleting to sophisticated pretreatment technologies. Our economic analyses indicate that depot processing costs are likely to range from ~US$30 to US$63 per dry metric tonne (Mg), depending upon the specific technology implemented and the energy consumption for processing equipment such as grinders and dryers. We conclude that the benefits of integrating depots into the overall biomass feedstock supply chain will outweigh depot processing costs and that incorporation of this technology should be aggressively pursued.","author":[{"dropping-particle":"","family":"Lamers","given":"Patrick","non-dropping-particle":"","parse-names":false,"suffix":""},{"dropping-particle":"","family":"Roni","given":"Mohammad S.","non-dropping-particle":"","parse-names":false,"suffix":""},{"dropping-particle":"","family":"Tumuluru","given":"Jaya S.","non-dropping-particle":"","parse-names":false,"suffix":""},{"dropping-particle":"","family":"Jacobson","given":"Jacob J.","non-dropping-particle":"","parse-names":false,"suffix":""},{"dropping-particle":"","family":"Cafferty","given":"Kara G.","non-dropping-particle":"","parse-names":false,"suffix":""},{"dropping-particle":"","family":"Hansen","given":"Jason K.","non-dropping-particle":"","parse-names":false,"suffix":""},{"dropping-particle":"","family":"Kenney","given":"Kevin","non-dropping-particle":"","parse-names":false,"suffix":""},{"dropping-particle":"","family":"Teymouri","given":"Farzaneh","non-dropping-particle":"","parse-names":false,"suffix":""},{"dropping-particle":"","family":"Bals","given":"Bryan","non-dropping-particle":"","parse-names":false,"suffix":""}],"container-title":"Bioresource Technology","id":"ITEM-1","issued":{"date-parts":[["2015"]]},"page":"205-213","publisher":"Elsevier Ltd","title":"Techno-economic analysis of decentralized biomass processing depots","type":"article-journal","volume":"194"},"uris":["http://www.mendeley.com/documents/?uuid=08d49ac0-8a31-42d1-ad1c-b0278275d754","http://www.mendeley.com/documents/?uuid=dc433df9-3c19-4255-994a-e67ef757b662"]}],"mendeley":{"formattedCitation":"(Lamers et al., 2015)","plainTextFormattedCitation":"(Lamers et al., 2015)","previouslyFormattedCitation":"(Lamers et al., 2015)"},"properties":{"noteIndex":0},"schema":"https://github.com/citation-style-language/schema/raw/master/csl-citation.json"}</w:instrText>
      </w:r>
      <w:r w:rsidR="00F256FF">
        <w:rPr>
          <w:rStyle w:val="Rimandonotaapidipagina"/>
          <w:rFonts w:cstheme="minorHAnsi"/>
          <w:color w:val="000000"/>
          <w:lang w:val="en-US"/>
        </w:rPr>
        <w:fldChar w:fldCharType="separate"/>
      </w:r>
      <w:r w:rsidR="00FB6102" w:rsidRPr="00FB6102">
        <w:rPr>
          <w:rFonts w:cstheme="minorHAnsi"/>
          <w:noProof/>
          <w:color w:val="000000"/>
          <w:lang w:val="en-US"/>
        </w:rPr>
        <w:t>(Lamers et al., 2015)</w:t>
      </w:r>
      <w:r w:rsidR="00F256FF">
        <w:rPr>
          <w:rStyle w:val="Rimandonotaapidipagina"/>
          <w:rFonts w:cstheme="minorHAnsi"/>
          <w:color w:val="000000"/>
          <w:lang w:val="en-US"/>
        </w:rPr>
        <w:fldChar w:fldCharType="end"/>
      </w:r>
      <w:r w:rsidRPr="00E47EDA">
        <w:rPr>
          <w:rFonts w:cstheme="minorHAnsi"/>
          <w:color w:val="000000"/>
          <w:lang w:val="en-US"/>
        </w:rPr>
        <w:t>. Biomass feedstocks are distributed on broad spatial and temporal scales and have widely different physical and chemical properties</w:t>
      </w:r>
      <w:r w:rsidR="00B20D76">
        <w:rPr>
          <w:rFonts w:cstheme="minorHAnsi"/>
          <w:color w:val="000000"/>
          <w:lang w:val="en-US"/>
        </w:rPr>
        <w:t xml:space="preserve"> </w:t>
      </w:r>
      <w:r w:rsidR="00F256FF">
        <w:rPr>
          <w:rStyle w:val="Rimandonotaapidipagina"/>
          <w:rFonts w:cstheme="minorHAnsi"/>
          <w:color w:val="000000"/>
          <w:lang w:val="en-US"/>
        </w:rPr>
        <w:fldChar w:fldCharType="begin" w:fldLock="1"/>
      </w:r>
      <w:r w:rsidR="00FB6102">
        <w:rPr>
          <w:rFonts w:cstheme="minorHAnsi"/>
          <w:color w:val="000000"/>
          <w:lang w:val="en-US"/>
        </w:rPr>
        <w:instrText>ADDIN CSL_CITATION {"citationItems":[{"id":"ITEM-1","itemData":{"ISSN":"0960-3085","author":[{"dropping-particle":"","family":"Razik","given":"Abdul Halim Abdul","non-dropping-particle":"","parse-names":false,"suffix":""},{"dropping-particle":"","family":"Khor","given":"Cheng Seong","non-dropping-particle":"","parse-names":false,"suffix":""},{"dropping-particle":"","family":"Elkamel","given":"Ali","non-dropping-particle":"","parse-names":false,"suffix":""}],"container-title":"Food and Bioproducts Processing","id":"ITEM-1","issued":{"date-parts":[["2019"]]},"page":"293-305","publisher":"Elsevier","title":"A model-based approach for biomass-to-bioproducts supply Chain network planning optimization","type":"article-journal","volume":"118"},"uris":["http://www.mendeley.com/documents/?uuid=dd03aaf8-ca83-486d-96b3-7e8d36bd6207","http://www.mendeley.com/documents/?uuid=f845cff1-33e7-43fb-af42-1d85b415314d"]}],"mendeley":{"formattedCitation":"(Razik et al., 2019)","plainTextFormattedCitation":"(Razik et al., 2019)","previouslyFormattedCitation":"(Razik, Khor, &amp; Elkamel, 2019)"},"properties":{"noteIndex":0},"schema":"https://github.com/citation-style-language/schema/raw/master/csl-citation.json"}</w:instrText>
      </w:r>
      <w:r w:rsidR="00F256FF">
        <w:rPr>
          <w:rStyle w:val="Rimandonotaapidipagina"/>
          <w:rFonts w:cstheme="minorHAnsi"/>
          <w:color w:val="000000"/>
          <w:lang w:val="en-US"/>
        </w:rPr>
        <w:fldChar w:fldCharType="separate"/>
      </w:r>
      <w:r w:rsidR="00FB6102" w:rsidRPr="00FB6102">
        <w:rPr>
          <w:rFonts w:cstheme="minorHAnsi"/>
          <w:bCs/>
          <w:noProof/>
          <w:color w:val="000000"/>
          <w:lang w:val="en-US"/>
        </w:rPr>
        <w:t>(Razik et al., 2019)</w:t>
      </w:r>
      <w:r w:rsidR="00F256FF">
        <w:rPr>
          <w:rStyle w:val="Rimandonotaapidipagina"/>
          <w:rFonts w:cstheme="minorHAnsi"/>
          <w:color w:val="000000"/>
          <w:lang w:val="en-US"/>
        </w:rPr>
        <w:fldChar w:fldCharType="end"/>
      </w:r>
      <w:r w:rsidRPr="00E47EDA">
        <w:rPr>
          <w:rFonts w:cstheme="minorHAnsi"/>
          <w:color w:val="000000"/>
          <w:lang w:val="en-US"/>
        </w:rPr>
        <w:t>.</w:t>
      </w:r>
      <w:r w:rsidR="00B159D1">
        <w:rPr>
          <w:rFonts w:cstheme="minorHAnsi"/>
          <w:color w:val="000000"/>
        </w:rPr>
        <w:t xml:space="preserve"> </w:t>
      </w:r>
      <w:r w:rsidRPr="00E47EDA">
        <w:rPr>
          <w:rFonts w:cstheme="minorHAnsi"/>
          <w:color w:val="000000"/>
        </w:rPr>
        <w:t xml:space="preserve">“Biofeedstock”, </w:t>
      </w:r>
      <w:r w:rsidR="002F5ED9">
        <w:rPr>
          <w:rFonts w:cstheme="minorHAnsi"/>
          <w:color w:val="000000"/>
        </w:rPr>
        <w:t xml:space="preserve">is a National project </w:t>
      </w:r>
      <w:r w:rsidRPr="00E47EDA">
        <w:rPr>
          <w:rFonts w:cstheme="minorHAnsi"/>
          <w:color w:val="000000"/>
        </w:rPr>
        <w:t xml:space="preserve">funded by the Italian Ministry </w:t>
      </w:r>
      <w:r w:rsidR="00B20D76">
        <w:rPr>
          <w:rFonts w:cstheme="minorHAnsi"/>
          <w:color w:val="000000"/>
        </w:rPr>
        <w:t>of University and Research</w:t>
      </w:r>
      <w:r w:rsidR="009A4394">
        <w:rPr>
          <w:rFonts w:cstheme="minorHAnsi"/>
          <w:color w:val="000000"/>
        </w:rPr>
        <w:t xml:space="preserve">, comprising </w:t>
      </w:r>
      <w:r w:rsidR="009A4394" w:rsidRPr="00E47EDA">
        <w:rPr>
          <w:rFonts w:cstheme="minorHAnsi"/>
        </w:rPr>
        <w:t>12 Italian industrial and academic partners</w:t>
      </w:r>
      <w:r w:rsidR="00B20D76">
        <w:rPr>
          <w:rFonts w:cstheme="minorHAnsi"/>
          <w:color w:val="000000"/>
        </w:rPr>
        <w:t>, aimed</w:t>
      </w:r>
      <w:r w:rsidRPr="00E47EDA">
        <w:rPr>
          <w:rFonts w:cstheme="minorHAnsi"/>
          <w:color w:val="000000"/>
        </w:rPr>
        <w:t xml:space="preserve"> at the development of </w:t>
      </w:r>
      <w:r w:rsidRPr="00E47EDA">
        <w:rPr>
          <w:rFonts w:cstheme="minorHAnsi"/>
          <w:color w:val="000000"/>
          <w:lang w:val="en-US"/>
        </w:rPr>
        <w:t xml:space="preserve">smart technology platforms for the </w:t>
      </w:r>
      <w:r w:rsidR="0008660F" w:rsidRPr="00E47EDA">
        <w:rPr>
          <w:rFonts w:cstheme="minorHAnsi"/>
          <w:color w:val="000000"/>
          <w:lang w:val="en-US"/>
        </w:rPr>
        <w:t xml:space="preserve">residual biomass </w:t>
      </w:r>
      <w:r w:rsidRPr="00E47EDA">
        <w:rPr>
          <w:rFonts w:cstheme="minorHAnsi"/>
          <w:color w:val="000000"/>
          <w:lang w:val="en-US"/>
        </w:rPr>
        <w:t>valorization</w:t>
      </w:r>
      <w:r w:rsidR="0008660F">
        <w:rPr>
          <w:rFonts w:cstheme="minorHAnsi"/>
          <w:color w:val="000000"/>
          <w:lang w:val="en-US"/>
        </w:rPr>
        <w:t xml:space="preserve"> paths.</w:t>
      </w:r>
      <w:r w:rsidRPr="00E47EDA">
        <w:rPr>
          <w:rFonts w:cstheme="minorHAnsi"/>
          <w:color w:val="000000"/>
          <w:lang w:val="en-US"/>
        </w:rPr>
        <w:t xml:space="preserve"> The basic idea behind the project is the development of extended supply chains based on decentralized biomass harvesting and preprocessing stages for the production of “biofeedstocks”, namely biogenic energy carriers. “Biofeedstocks” may conform to specification standards </w:t>
      </w:r>
      <w:r w:rsidR="00B15ADD" w:rsidRPr="00E47EDA">
        <w:rPr>
          <w:rFonts w:cstheme="minorHAnsi"/>
          <w:color w:val="000000"/>
          <w:lang w:val="en-US"/>
        </w:rPr>
        <w:t>to</w:t>
      </w:r>
      <w:r w:rsidRPr="00E47EDA">
        <w:rPr>
          <w:rFonts w:cstheme="minorHAnsi"/>
          <w:color w:val="000000"/>
          <w:lang w:val="en-US"/>
        </w:rPr>
        <w:t xml:space="preserve"> </w:t>
      </w:r>
      <w:r w:rsidRPr="00E47EDA">
        <w:rPr>
          <w:rFonts w:cstheme="minorHAnsi"/>
          <w:color w:val="000000"/>
          <w:lang w:val="en-US"/>
        </w:rPr>
        <w:lastRenderedPageBreak/>
        <w:t xml:space="preserve">represent tradable commodities. They can be eventually upgraded at centralized processing sites or biorefineries for the generation of end products (biofuels and biochemicals) of commercial interest. </w:t>
      </w:r>
      <w:r w:rsidRPr="00E47EDA">
        <w:rPr>
          <w:rFonts w:cstheme="minorHAnsi"/>
          <w:color w:val="000000"/>
        </w:rPr>
        <w:t>In the frame of the Biofeedstock project, viable conversion routes belong</w:t>
      </w:r>
      <w:r w:rsidR="00587378">
        <w:rPr>
          <w:rFonts w:cstheme="minorHAnsi"/>
          <w:color w:val="000000"/>
        </w:rPr>
        <w:t xml:space="preserve"> </w:t>
      </w:r>
      <w:r w:rsidRPr="00E47EDA">
        <w:rPr>
          <w:rFonts w:cstheme="minorHAnsi"/>
          <w:color w:val="000000"/>
        </w:rPr>
        <w:t>to either thermochemical or biochemical pathways. The thermochemical pathway</w:t>
      </w:r>
      <w:r w:rsidR="006F14DB">
        <w:rPr>
          <w:rFonts w:cstheme="minorHAnsi"/>
          <w:color w:val="000000"/>
        </w:rPr>
        <w:t>s</w:t>
      </w:r>
      <w:r w:rsidRPr="00E47EDA">
        <w:rPr>
          <w:rFonts w:cstheme="minorHAnsi"/>
          <w:color w:val="000000"/>
        </w:rPr>
        <w:t xml:space="preserve"> include slow, fast and catalysed pyrolysis, gasification, torrefactio</w:t>
      </w:r>
      <w:r w:rsidR="009A4394">
        <w:rPr>
          <w:rFonts w:cstheme="minorHAnsi"/>
          <w:color w:val="000000"/>
        </w:rPr>
        <w:t>n and hydrothermal liquefaction, while</w:t>
      </w:r>
      <w:r w:rsidRPr="00E47EDA">
        <w:rPr>
          <w:rFonts w:cstheme="minorHAnsi"/>
          <w:color w:val="000000"/>
        </w:rPr>
        <w:t xml:space="preserve"> </w:t>
      </w:r>
      <w:r w:rsidR="009A4394">
        <w:rPr>
          <w:rFonts w:cstheme="minorHAnsi"/>
          <w:color w:val="000000"/>
        </w:rPr>
        <w:t>t</w:t>
      </w:r>
      <w:r w:rsidRPr="00E47EDA">
        <w:rPr>
          <w:rFonts w:cstheme="minorHAnsi"/>
          <w:color w:val="000000"/>
        </w:rPr>
        <w:t>he biochemical pathway</w:t>
      </w:r>
      <w:r w:rsidR="006F14DB">
        <w:rPr>
          <w:rFonts w:cstheme="minorHAnsi"/>
          <w:color w:val="000000"/>
        </w:rPr>
        <w:t>s</w:t>
      </w:r>
      <w:r w:rsidRPr="00E47EDA">
        <w:rPr>
          <w:rFonts w:cstheme="minorHAnsi"/>
          <w:color w:val="000000"/>
        </w:rPr>
        <w:t xml:space="preserve"> include anaerobic and aerobic fermentation of organic substrates. The comparative assessment of alternative valorization strategies may be accomplished by assuming relevant objective functions expressing the yield and quality of the biofeedstock as well as the fate of pollutant precursors. </w:t>
      </w:r>
    </w:p>
    <w:p w14:paraId="6DD26F83" w14:textId="69717E1C" w:rsidR="00125E7E" w:rsidRDefault="00C42B6D" w:rsidP="00943B6C">
      <w:pPr>
        <w:spacing w:line="276" w:lineRule="auto"/>
        <w:rPr>
          <w:rFonts w:cstheme="minorHAnsi"/>
          <w:color w:val="000000"/>
        </w:rPr>
      </w:pPr>
      <w:r>
        <w:rPr>
          <w:rFonts w:cstheme="minorHAnsi"/>
          <w:color w:val="000000"/>
        </w:rPr>
        <w:t>Obviously, the comparison</w:t>
      </w:r>
      <w:r w:rsidR="00A1568B">
        <w:rPr>
          <w:rFonts w:cstheme="minorHAnsi"/>
          <w:color w:val="000000"/>
        </w:rPr>
        <w:t xml:space="preserve"> among the different processes</w:t>
      </w:r>
      <w:r>
        <w:rPr>
          <w:rFonts w:cstheme="minorHAnsi"/>
          <w:color w:val="000000"/>
        </w:rPr>
        <w:t xml:space="preserve"> is possible if models describing the performance of single process, in terms of </w:t>
      </w:r>
      <w:r w:rsidR="00F42F4C">
        <w:rPr>
          <w:rFonts w:cstheme="minorHAnsi"/>
          <w:color w:val="000000"/>
        </w:rPr>
        <w:t xml:space="preserve">quantity and quality of the products, are available. </w:t>
      </w:r>
      <w:r w:rsidR="00690EFE">
        <w:rPr>
          <w:rFonts w:cstheme="minorHAnsi"/>
          <w:color w:val="000000"/>
        </w:rPr>
        <w:t>Generally, m</w:t>
      </w:r>
      <w:r w:rsidR="00F42F4C">
        <w:rPr>
          <w:rFonts w:cstheme="minorHAnsi"/>
          <w:color w:val="000000"/>
        </w:rPr>
        <w:t xml:space="preserve">odels </w:t>
      </w:r>
      <w:r w:rsidR="00A1568B">
        <w:rPr>
          <w:rFonts w:cstheme="minorHAnsi"/>
          <w:color w:val="000000"/>
        </w:rPr>
        <w:t xml:space="preserve">adopted for process simulations </w:t>
      </w:r>
      <w:r w:rsidR="00F42F4C">
        <w:rPr>
          <w:rFonts w:cstheme="minorHAnsi"/>
          <w:color w:val="000000"/>
        </w:rPr>
        <w:t xml:space="preserve">are </w:t>
      </w:r>
      <w:r w:rsidR="00A1568B">
        <w:rPr>
          <w:rFonts w:cstheme="minorHAnsi"/>
          <w:color w:val="000000"/>
        </w:rPr>
        <w:t>based</w:t>
      </w:r>
      <w:r w:rsidR="00F42F4C">
        <w:rPr>
          <w:rFonts w:cstheme="minorHAnsi"/>
          <w:color w:val="000000"/>
        </w:rPr>
        <w:t xml:space="preserve"> on </w:t>
      </w:r>
      <w:r w:rsidR="0053592F">
        <w:rPr>
          <w:rFonts w:cstheme="minorHAnsi"/>
          <w:color w:val="000000"/>
        </w:rPr>
        <w:t>equations</w:t>
      </w:r>
      <w:r w:rsidR="00690EFE">
        <w:rPr>
          <w:rFonts w:cstheme="minorHAnsi"/>
          <w:color w:val="000000"/>
        </w:rPr>
        <w:t>,</w:t>
      </w:r>
      <w:r w:rsidR="0053592F">
        <w:rPr>
          <w:rFonts w:cstheme="minorHAnsi"/>
          <w:color w:val="000000"/>
        </w:rPr>
        <w:t xml:space="preserve"> </w:t>
      </w:r>
      <w:r w:rsidR="00F42F4C">
        <w:rPr>
          <w:rFonts w:cstheme="minorHAnsi"/>
          <w:color w:val="000000"/>
        </w:rPr>
        <w:t xml:space="preserve">which describe the </w:t>
      </w:r>
      <w:r w:rsidR="0053592F">
        <w:rPr>
          <w:rFonts w:cstheme="minorHAnsi"/>
          <w:color w:val="000000"/>
        </w:rPr>
        <w:t xml:space="preserve">chemical-physical </w:t>
      </w:r>
      <w:r w:rsidR="00A1568B">
        <w:rPr>
          <w:rFonts w:cstheme="minorHAnsi"/>
          <w:color w:val="000000"/>
        </w:rPr>
        <w:t xml:space="preserve">phenomena. </w:t>
      </w:r>
      <w:r w:rsidR="006F14DB">
        <w:rPr>
          <w:rFonts w:cstheme="minorHAnsi"/>
          <w:color w:val="000000"/>
        </w:rPr>
        <w:t>This approach</w:t>
      </w:r>
      <w:r w:rsidR="00A1568B">
        <w:rPr>
          <w:rFonts w:cstheme="minorHAnsi"/>
          <w:color w:val="000000"/>
        </w:rPr>
        <w:t xml:space="preserve"> offer</w:t>
      </w:r>
      <w:r w:rsidR="006F14DB">
        <w:rPr>
          <w:rFonts w:cstheme="minorHAnsi"/>
          <w:color w:val="000000"/>
        </w:rPr>
        <w:t>s</w:t>
      </w:r>
      <w:r w:rsidR="00A1568B">
        <w:rPr>
          <w:rFonts w:cstheme="minorHAnsi"/>
          <w:color w:val="000000"/>
        </w:rPr>
        <w:t xml:space="preserve"> high reliability, however </w:t>
      </w:r>
      <w:r w:rsidR="00231FC7">
        <w:rPr>
          <w:rFonts w:cstheme="minorHAnsi"/>
          <w:color w:val="000000"/>
        </w:rPr>
        <w:t>t</w:t>
      </w:r>
      <w:r w:rsidR="00231FC7" w:rsidRPr="00231FC7">
        <w:rPr>
          <w:rFonts w:cstheme="minorHAnsi"/>
          <w:color w:val="000000"/>
        </w:rPr>
        <w:t>he development of models based on physicochemical relations are expensive in terms of time and money</w:t>
      </w:r>
      <w:r w:rsidR="00231FC7">
        <w:rPr>
          <w:rFonts w:cstheme="minorHAnsi"/>
          <w:color w:val="000000"/>
        </w:rPr>
        <w:t xml:space="preserve">. </w:t>
      </w:r>
      <w:r w:rsidR="00A1568B">
        <w:rPr>
          <w:rFonts w:cstheme="minorHAnsi"/>
          <w:color w:val="000000"/>
        </w:rPr>
        <w:t xml:space="preserve">The alternative </w:t>
      </w:r>
      <w:r w:rsidR="00690EFE">
        <w:rPr>
          <w:rFonts w:cstheme="minorHAnsi"/>
          <w:color w:val="000000"/>
        </w:rPr>
        <w:t xml:space="preserve">could be </w:t>
      </w:r>
      <w:r w:rsidR="00A1568B">
        <w:rPr>
          <w:rFonts w:cstheme="minorHAnsi"/>
          <w:color w:val="000000"/>
        </w:rPr>
        <w:t>represented by the application of statistical analysis exploiting dataset edited by scientific literature.</w:t>
      </w:r>
      <w:r w:rsidR="006F14DB">
        <w:rPr>
          <w:rFonts w:cstheme="minorHAnsi"/>
          <w:color w:val="000000"/>
        </w:rPr>
        <w:t xml:space="preserve"> The latter approach provide</w:t>
      </w:r>
      <w:r w:rsidR="00795E54">
        <w:rPr>
          <w:rFonts w:cstheme="minorHAnsi"/>
          <w:color w:val="000000"/>
        </w:rPr>
        <w:t>s</w:t>
      </w:r>
      <w:r w:rsidR="006F14DB">
        <w:rPr>
          <w:rFonts w:cstheme="minorHAnsi"/>
          <w:color w:val="000000"/>
        </w:rPr>
        <w:t xml:space="preserve"> less insights and quality of the process description compared to the other approach, however it </w:t>
      </w:r>
      <w:r w:rsidR="00B15ADD">
        <w:rPr>
          <w:rFonts w:cstheme="minorHAnsi"/>
          <w:color w:val="000000"/>
        </w:rPr>
        <w:t xml:space="preserve">could be useful for the constitution of ‘light’ tools for </w:t>
      </w:r>
      <w:r w:rsidR="00B15ADD" w:rsidRPr="00690EFE">
        <w:rPr>
          <w:rFonts w:cstheme="minorHAnsi"/>
          <w:color w:val="000000"/>
        </w:rPr>
        <w:t>decision-support system</w:t>
      </w:r>
      <w:r w:rsidR="00B15ADD">
        <w:rPr>
          <w:rFonts w:cstheme="minorHAnsi"/>
          <w:color w:val="000000"/>
        </w:rPr>
        <w:t xml:space="preserve">s related to biomass </w:t>
      </w:r>
      <w:r w:rsidR="00E279DF">
        <w:rPr>
          <w:rFonts w:cstheme="minorHAnsi"/>
          <w:color w:val="000000"/>
        </w:rPr>
        <w:t>valorisation</w:t>
      </w:r>
      <w:r w:rsidR="00B15ADD">
        <w:rPr>
          <w:rFonts w:cstheme="minorHAnsi"/>
          <w:color w:val="000000"/>
        </w:rPr>
        <w:t xml:space="preserve">. </w:t>
      </w:r>
      <w:r w:rsidR="00125E7E" w:rsidRPr="00690EFE">
        <w:rPr>
          <w:rFonts w:cstheme="minorHAnsi"/>
          <w:color w:val="000000"/>
        </w:rPr>
        <w:t xml:space="preserve">This work </w:t>
      </w:r>
      <w:r w:rsidRPr="00690EFE">
        <w:rPr>
          <w:rFonts w:cstheme="minorHAnsi"/>
          <w:color w:val="000000"/>
        </w:rPr>
        <w:t xml:space="preserve">focused the attention on the individuation of specific correlations related to the </w:t>
      </w:r>
      <w:r w:rsidR="00125E7E" w:rsidRPr="00690EFE">
        <w:rPr>
          <w:rFonts w:cstheme="minorHAnsi"/>
          <w:color w:val="000000"/>
        </w:rPr>
        <w:t xml:space="preserve">fast pyrolysis process </w:t>
      </w:r>
      <w:r w:rsidR="00CD09A1" w:rsidRPr="00690EFE">
        <w:rPr>
          <w:rFonts w:cstheme="minorHAnsi"/>
          <w:color w:val="000000"/>
        </w:rPr>
        <w:t>representing the first attempt for the building up of the decision-support system. The tool adopted for the implementation of the fast pyrolysis model was the a</w:t>
      </w:r>
      <w:r w:rsidRPr="00690EFE">
        <w:rPr>
          <w:rFonts w:cstheme="minorHAnsi"/>
          <w:color w:val="000000"/>
        </w:rPr>
        <w:t xml:space="preserve">pplication of multivariate statistical </w:t>
      </w:r>
      <w:r w:rsidR="00CD09A1" w:rsidRPr="00690EFE">
        <w:rPr>
          <w:rFonts w:cstheme="minorHAnsi"/>
          <w:color w:val="000000"/>
        </w:rPr>
        <w:t xml:space="preserve">analysis, in particular </w:t>
      </w:r>
      <w:r w:rsidR="006F14DB" w:rsidRPr="00125E7E">
        <w:rPr>
          <w:rFonts w:cstheme="minorHAnsi"/>
          <w:color w:val="000000"/>
        </w:rPr>
        <w:t xml:space="preserve">Canonical Correlation Analysis </w:t>
      </w:r>
      <w:r w:rsidR="006F14DB">
        <w:rPr>
          <w:rFonts w:cstheme="minorHAnsi"/>
          <w:color w:val="000000"/>
        </w:rPr>
        <w:t>(</w:t>
      </w:r>
      <w:r w:rsidR="00CD09A1" w:rsidRPr="00690EFE">
        <w:rPr>
          <w:rFonts w:cstheme="minorHAnsi"/>
          <w:color w:val="000000"/>
        </w:rPr>
        <w:t>CCA</w:t>
      </w:r>
      <w:r w:rsidR="006F14DB">
        <w:rPr>
          <w:rFonts w:cstheme="minorHAnsi"/>
          <w:color w:val="000000"/>
        </w:rPr>
        <w:t>)</w:t>
      </w:r>
      <w:r w:rsidRPr="00690EFE">
        <w:rPr>
          <w:rFonts w:cstheme="minorHAnsi"/>
          <w:color w:val="000000"/>
        </w:rPr>
        <w:t xml:space="preserve">. The database </w:t>
      </w:r>
      <w:r w:rsidR="00CD09A1" w:rsidRPr="00690EFE">
        <w:rPr>
          <w:rFonts w:cstheme="minorHAnsi"/>
          <w:color w:val="000000"/>
        </w:rPr>
        <w:t xml:space="preserve">used </w:t>
      </w:r>
      <w:r w:rsidRPr="00690EFE">
        <w:rPr>
          <w:rFonts w:cstheme="minorHAnsi"/>
          <w:color w:val="000000"/>
        </w:rPr>
        <w:t xml:space="preserve">for the statistical analysis has been edited by the data presented in the scientific literature. </w:t>
      </w:r>
    </w:p>
    <w:p w14:paraId="19F37B69" w14:textId="4D7ED822" w:rsidR="006A795F" w:rsidRDefault="006A795F">
      <w:pPr>
        <w:tabs>
          <w:tab w:val="clear" w:pos="7100"/>
        </w:tabs>
        <w:spacing w:after="200" w:line="276" w:lineRule="auto"/>
        <w:jc w:val="left"/>
        <w:rPr>
          <w:lang w:val="en-US"/>
        </w:rPr>
      </w:pPr>
    </w:p>
    <w:p w14:paraId="6EF7E292" w14:textId="01C9E667" w:rsidR="00125E7E" w:rsidRDefault="00125E7E" w:rsidP="00125E7E">
      <w:pPr>
        <w:pStyle w:val="CETHeading1"/>
        <w:rPr>
          <w:lang w:val="en-GB"/>
        </w:rPr>
      </w:pPr>
      <w:r>
        <w:rPr>
          <w:lang w:val="en-GB"/>
        </w:rPr>
        <w:t>Methodology</w:t>
      </w:r>
    </w:p>
    <w:p w14:paraId="2261918B" w14:textId="5F88A7BB" w:rsidR="003F0765" w:rsidRDefault="00125E7E" w:rsidP="00943B6C">
      <w:pPr>
        <w:pStyle w:val="CETBodytext"/>
        <w:rPr>
          <w:rFonts w:cstheme="minorHAnsi"/>
          <w:color w:val="000000"/>
          <w:lang w:val="en-GB"/>
        </w:rPr>
      </w:pPr>
      <w:r w:rsidRPr="00125E7E">
        <w:rPr>
          <w:rFonts w:cstheme="minorHAnsi"/>
          <w:color w:val="000000"/>
          <w:lang w:val="en-GB"/>
        </w:rPr>
        <w:t>Canonical Correlation Analysis (CCA)</w:t>
      </w:r>
      <w:r w:rsidR="0082737C">
        <w:rPr>
          <w:rFonts w:cstheme="minorHAnsi"/>
          <w:color w:val="000000"/>
          <w:lang w:val="en-GB"/>
        </w:rPr>
        <w:t>, described for the first time by Harold</w:t>
      </w:r>
      <w:r w:rsidR="0082737C" w:rsidRPr="0082737C">
        <w:t xml:space="preserve"> </w:t>
      </w:r>
      <w:r w:rsidR="0082737C" w:rsidRPr="0082737C">
        <w:rPr>
          <w:rFonts w:cstheme="minorHAnsi"/>
          <w:color w:val="000000"/>
          <w:lang w:val="en-GB"/>
        </w:rPr>
        <w:t>Hotelling</w:t>
      </w:r>
      <w:r w:rsidRPr="00125E7E">
        <w:rPr>
          <w:rFonts w:cstheme="minorHAnsi"/>
          <w:color w:val="000000"/>
          <w:lang w:val="en-GB"/>
        </w:rPr>
        <w:t xml:space="preserve"> </w:t>
      </w:r>
      <w:r w:rsidR="00FA31D8">
        <w:rPr>
          <w:rFonts w:cstheme="minorHAnsi"/>
          <w:color w:val="000000"/>
          <w:lang w:val="en-GB"/>
        </w:rPr>
        <w:t xml:space="preserve">in 1936 </w:t>
      </w:r>
      <w:r w:rsidR="00D33897" w:rsidRPr="00D33897">
        <w:rPr>
          <w:rFonts w:cstheme="minorHAnsi"/>
          <w:color w:val="000000"/>
          <w:lang w:val="en-GB"/>
        </w:rPr>
        <w:fldChar w:fldCharType="begin" w:fldLock="1"/>
      </w:r>
      <w:r w:rsidR="00FB6102">
        <w:rPr>
          <w:rFonts w:cstheme="minorHAnsi"/>
          <w:color w:val="000000"/>
          <w:lang w:val="en-GB"/>
        </w:rPr>
        <w:instrText>ADDIN CSL_CITATION {"citationItems":[{"id":"ITEM-1","itemData":{"DOI":"10.1007/978-1-4612-4380-9_14","ISBN":"978-1-4612-4380-9","abstract":"Concepts of correlation and regression may be applied not only to ordinary one-dimensional variates but also to variates of two or more dimensions. Marksmen side by side firing simultaneous shots at targets, so that the deviations are in part due to independent individual errors and in part to common causes such as wind, provide a familiar introduction to the theory of correlation; but only the correlation of the horizontal components is ordinarily discussed, whereas the complex consisting of horizontal and vertical deviations may be even more interesting. The wind at two places may be compared, using both components of the velocity in each place. A fluctuating vector is thus matched at each moment with another fluctuating vector. The study of individual differences in mental and physical traits calls for a detailed study of the relations between sets of correlated variates. For example the scores on a number of mental tests may be compared with physical measurements on the same persons. The questions then arise of determining the number and nature of the independent relations of mind and body shown by these data to exist, and of extracting from the multiplicity of correlations in the system suitable characterizations of these independent relations. As another example, the inheritance of intelligence in rats might be studied by applying not one but s different mental tests to N mothers and to a daughter of each","author":[{"dropping-particle":"","family":"Hotelling","given":"Harold","non-dropping-particle":"","parse-names":false,"suffix":""}],"editor":[{"dropping-particle":"","family":"Kotz","given":"Samuel","non-dropping-particle":"","parse-names":false,"suffix":""},{"dropping-particle":"","family":"Johnson","given":"Norman L","non-dropping-particle":"","parse-names":false,"suffix":""}],"id":"ITEM-1","issued":{"date-parts":[["1992"]]},"page":"162-190","publisher":"Springer New York","publisher-place":"New York, NY","title":"Relations Between Two Sets of Variates BT  - Breakthroughs in Statistics: Methodology and Distribution","type":"chapter"},"uris":["http://www.mendeley.com/documents/?uuid=7434a8de-4001-4e6b-8f4d-549d1805db28"]}],"mendeley":{"formattedCitation":"(Hotelling, 1992)","plainTextFormattedCitation":"(Hotelling, 1992)","previouslyFormattedCitation":"(Hotelling, 1992)"},"properties":{"noteIndex":0},"schema":"https://github.com/citation-style-language/schema/raw/master/csl-citation.json"}</w:instrText>
      </w:r>
      <w:r w:rsidR="00D33897" w:rsidRPr="00D33897">
        <w:rPr>
          <w:rFonts w:cstheme="minorHAnsi"/>
          <w:color w:val="000000"/>
          <w:lang w:val="en-GB"/>
        </w:rPr>
        <w:fldChar w:fldCharType="separate"/>
      </w:r>
      <w:r w:rsidR="00FB6102" w:rsidRPr="00FB6102">
        <w:rPr>
          <w:rFonts w:cstheme="minorHAnsi"/>
          <w:noProof/>
          <w:color w:val="000000"/>
          <w:lang w:val="en-GB"/>
        </w:rPr>
        <w:t>(Hotelling, 1992)</w:t>
      </w:r>
      <w:r w:rsidR="00D33897" w:rsidRPr="00D33897">
        <w:rPr>
          <w:rFonts w:cstheme="minorHAnsi"/>
          <w:color w:val="000000"/>
          <w:lang w:val="en-GB"/>
        </w:rPr>
        <w:fldChar w:fldCharType="end"/>
      </w:r>
      <w:r w:rsidR="004379F0">
        <w:rPr>
          <w:rStyle w:val="Rimandonotaapidipagina"/>
          <w:rFonts w:cstheme="minorHAnsi"/>
          <w:color w:val="000000"/>
          <w:lang w:val="en-GB"/>
        </w:rPr>
        <w:footnoteReference w:id="1"/>
      </w:r>
      <w:r w:rsidR="0082737C">
        <w:rPr>
          <w:rFonts w:cstheme="minorHAnsi"/>
          <w:color w:val="000000"/>
          <w:lang w:val="en-GB"/>
        </w:rPr>
        <w:t xml:space="preserve">, </w:t>
      </w:r>
      <w:r w:rsidRPr="00125E7E">
        <w:rPr>
          <w:rFonts w:cstheme="minorHAnsi"/>
          <w:color w:val="000000"/>
          <w:lang w:val="en-GB"/>
        </w:rPr>
        <w:t>is widely used to extract the correlated patterns between two sets of variables</w:t>
      </w:r>
      <w:r w:rsidR="00CD09A1">
        <w:rPr>
          <w:rFonts w:cstheme="minorHAnsi"/>
          <w:color w:val="000000"/>
          <w:lang w:val="en-GB"/>
        </w:rPr>
        <w:t xml:space="preserve">, </w:t>
      </w:r>
      <w:r w:rsidR="00CD09A1" w:rsidRPr="003F0765">
        <w:rPr>
          <w:rFonts w:cstheme="minorHAnsi"/>
          <w:b/>
          <w:i/>
          <w:color w:val="000000"/>
          <w:lang w:val="en-GB"/>
        </w:rPr>
        <w:t>x</w:t>
      </w:r>
      <w:r w:rsidR="00CD09A1">
        <w:rPr>
          <w:rFonts w:cstheme="minorHAnsi"/>
          <w:color w:val="000000"/>
          <w:lang w:val="en-GB"/>
        </w:rPr>
        <w:t xml:space="preserve"> and </w:t>
      </w:r>
      <w:r w:rsidR="00CD09A1" w:rsidRPr="003F0765">
        <w:rPr>
          <w:rFonts w:cstheme="minorHAnsi"/>
          <w:b/>
          <w:i/>
          <w:color w:val="000000"/>
          <w:lang w:val="en-GB"/>
        </w:rPr>
        <w:t>y</w:t>
      </w:r>
      <w:r w:rsidR="003F0765">
        <w:rPr>
          <w:rFonts w:cstheme="minorHAnsi"/>
          <w:color w:val="000000"/>
          <w:lang w:val="en-GB"/>
        </w:rPr>
        <w:t>.</w:t>
      </w:r>
      <w:r w:rsidRPr="00125E7E">
        <w:rPr>
          <w:rFonts w:cstheme="minorHAnsi"/>
          <w:color w:val="000000"/>
          <w:lang w:val="en-GB"/>
        </w:rPr>
        <w:t xml:space="preserve"> </w:t>
      </w:r>
      <w:r w:rsidR="003F0765" w:rsidRPr="003F0765">
        <w:rPr>
          <w:rFonts w:cstheme="minorHAnsi"/>
          <w:b/>
          <w:i/>
          <w:color w:val="000000"/>
          <w:lang w:val="en-GB"/>
        </w:rPr>
        <w:t>x</w:t>
      </w:r>
      <w:r w:rsidR="003F0765">
        <w:rPr>
          <w:rFonts w:cstheme="minorHAnsi"/>
          <w:color w:val="000000"/>
          <w:lang w:val="en-GB"/>
        </w:rPr>
        <w:t xml:space="preserve"> generally represents the input matrix with size (n </w:t>
      </w:r>
      <w:r w:rsidR="003F0765">
        <w:rPr>
          <w:rFonts w:cs="Arial"/>
          <w:color w:val="000000"/>
          <w:lang w:val="en-GB"/>
        </w:rPr>
        <w:t>X</w:t>
      </w:r>
      <w:r w:rsidR="003F0765">
        <w:rPr>
          <w:rFonts w:cstheme="minorHAnsi"/>
          <w:color w:val="000000"/>
          <w:lang w:val="en-GB"/>
        </w:rPr>
        <w:t xml:space="preserve"> I), where n is the number of observations and </w:t>
      </w:r>
      <w:r w:rsidR="003F0765" w:rsidRPr="00B15ADD">
        <w:rPr>
          <w:rFonts w:cstheme="minorHAnsi"/>
          <w:i/>
          <w:color w:val="000000"/>
          <w:lang w:val="en-GB"/>
        </w:rPr>
        <w:t>I</w:t>
      </w:r>
      <w:r w:rsidR="003F0765">
        <w:rPr>
          <w:rFonts w:cstheme="minorHAnsi"/>
          <w:color w:val="000000"/>
          <w:lang w:val="en-GB"/>
        </w:rPr>
        <w:t xml:space="preserve"> the number of specific input variables; conversely</w:t>
      </w:r>
      <w:r w:rsidR="003F0765">
        <w:rPr>
          <w:rFonts w:cstheme="minorHAnsi"/>
          <w:b/>
          <w:i/>
          <w:color w:val="000000"/>
          <w:lang w:val="en-GB"/>
        </w:rPr>
        <w:t xml:space="preserve">, y </w:t>
      </w:r>
      <w:r w:rsidR="003F0765">
        <w:rPr>
          <w:rFonts w:cstheme="minorHAnsi"/>
          <w:color w:val="000000"/>
          <w:lang w:val="en-GB"/>
        </w:rPr>
        <w:t xml:space="preserve">represents the output matrix with size (n </w:t>
      </w:r>
      <w:r w:rsidR="003F0765">
        <w:rPr>
          <w:rFonts w:cs="Arial"/>
          <w:color w:val="000000"/>
          <w:lang w:val="en-GB"/>
        </w:rPr>
        <w:t>X</w:t>
      </w:r>
      <w:r w:rsidR="003F0765">
        <w:rPr>
          <w:rFonts w:cstheme="minorHAnsi"/>
          <w:color w:val="000000"/>
          <w:lang w:val="en-GB"/>
        </w:rPr>
        <w:t xml:space="preserve"> J), where J the number of specific output variables.</w:t>
      </w:r>
    </w:p>
    <w:p w14:paraId="4D8390A0" w14:textId="7FB84671" w:rsidR="00CD09A1" w:rsidRDefault="00125E7E" w:rsidP="00943B6C">
      <w:pPr>
        <w:pStyle w:val="CETBodytext"/>
        <w:rPr>
          <w:rFonts w:cstheme="minorHAnsi"/>
          <w:color w:val="000000"/>
          <w:lang w:val="en-GB"/>
        </w:rPr>
      </w:pPr>
      <w:r w:rsidRPr="00125E7E">
        <w:rPr>
          <w:rFonts w:cstheme="minorHAnsi"/>
          <w:color w:val="000000"/>
          <w:lang w:val="en-GB"/>
        </w:rPr>
        <w:t xml:space="preserve">CCA looks at two sets of variables for modes of maximum correlation between the two sets. Thus, CCA sits at the top of a hierarchy of regression models </w:t>
      </w:r>
      <w:r w:rsidR="00795E54">
        <w:rPr>
          <w:rFonts w:cstheme="minorHAnsi"/>
          <w:color w:val="000000"/>
          <w:lang w:val="en-GB"/>
        </w:rPr>
        <w:t>which are</w:t>
      </w:r>
      <w:r w:rsidRPr="00125E7E">
        <w:rPr>
          <w:rFonts w:cstheme="minorHAnsi"/>
          <w:color w:val="000000"/>
          <w:lang w:val="en-GB"/>
        </w:rPr>
        <w:t xml:space="preserve"> able to manage multiple predictors (inputs) and multiple predictands (outputs). If </w:t>
      </w:r>
      <w:r w:rsidRPr="00005B03">
        <w:rPr>
          <w:rFonts w:cstheme="minorHAnsi"/>
          <w:b/>
          <w:i/>
          <w:color w:val="000000"/>
          <w:lang w:val="en-GB"/>
        </w:rPr>
        <w:t>x</w:t>
      </w:r>
      <w:r w:rsidRPr="00125E7E">
        <w:rPr>
          <w:rFonts w:cstheme="minorHAnsi"/>
          <w:color w:val="000000"/>
          <w:lang w:val="en-GB"/>
        </w:rPr>
        <w:t xml:space="preserve"> is the set of predictors and </w:t>
      </w:r>
      <w:r w:rsidRPr="00005B03">
        <w:rPr>
          <w:rFonts w:cstheme="minorHAnsi"/>
          <w:b/>
          <w:i/>
          <w:color w:val="000000"/>
          <w:lang w:val="en-GB"/>
        </w:rPr>
        <w:t>y</w:t>
      </w:r>
      <w:r w:rsidRPr="00125E7E">
        <w:rPr>
          <w:rFonts w:cstheme="minorHAnsi"/>
          <w:color w:val="000000"/>
          <w:lang w:val="en-GB"/>
        </w:rPr>
        <w:t xml:space="preserve"> the predictands, then CCA can be used to predict</w:t>
      </w:r>
      <w:r w:rsidRPr="00005B03">
        <w:rPr>
          <w:rFonts w:cstheme="minorHAnsi"/>
          <w:color w:val="000000"/>
          <w:lang w:val="en-GB"/>
        </w:rPr>
        <w:t xml:space="preserve"> </w:t>
      </w:r>
      <w:r w:rsidRPr="00005B03">
        <w:rPr>
          <w:rFonts w:cstheme="minorHAnsi"/>
          <w:b/>
          <w:i/>
          <w:color w:val="000000"/>
          <w:lang w:val="en-GB"/>
        </w:rPr>
        <w:t>y</w:t>
      </w:r>
      <w:r w:rsidRPr="00125E7E">
        <w:rPr>
          <w:rFonts w:cstheme="minorHAnsi"/>
          <w:color w:val="000000"/>
          <w:lang w:val="en-GB"/>
        </w:rPr>
        <w:t xml:space="preserve"> when new observations of </w:t>
      </w:r>
      <w:r w:rsidRPr="00005B03">
        <w:rPr>
          <w:rFonts w:cstheme="minorHAnsi"/>
          <w:b/>
          <w:i/>
          <w:color w:val="000000"/>
          <w:lang w:val="en-GB"/>
        </w:rPr>
        <w:t>x</w:t>
      </w:r>
      <w:r w:rsidRPr="00125E7E">
        <w:rPr>
          <w:rFonts w:cstheme="minorHAnsi"/>
          <w:color w:val="000000"/>
          <w:lang w:val="en-GB"/>
        </w:rPr>
        <w:t xml:space="preserve"> become available</w:t>
      </w:r>
      <w:r>
        <w:rPr>
          <w:rFonts w:cstheme="minorHAnsi"/>
          <w:color w:val="000000"/>
          <w:lang w:val="en-GB"/>
        </w:rPr>
        <w:t xml:space="preserve">. </w:t>
      </w:r>
      <w:r w:rsidR="00CD09A1" w:rsidRPr="00CD09A1">
        <w:rPr>
          <w:rFonts w:cstheme="minorHAnsi"/>
          <w:color w:val="000000"/>
          <w:lang w:val="en-GB"/>
        </w:rPr>
        <w:t xml:space="preserve">The </w:t>
      </w:r>
      <w:r w:rsidR="00CD09A1">
        <w:rPr>
          <w:rFonts w:cstheme="minorHAnsi"/>
          <w:color w:val="000000"/>
          <w:lang w:val="en-GB"/>
        </w:rPr>
        <w:t>method</w:t>
      </w:r>
      <w:r w:rsidR="00CD09A1" w:rsidRPr="00CD09A1">
        <w:rPr>
          <w:rFonts w:cstheme="minorHAnsi"/>
          <w:color w:val="000000"/>
          <w:lang w:val="en-GB"/>
        </w:rPr>
        <w:t xml:space="preserve"> find</w:t>
      </w:r>
      <w:r w:rsidR="00CD09A1">
        <w:rPr>
          <w:rFonts w:cstheme="minorHAnsi"/>
          <w:color w:val="000000"/>
          <w:lang w:val="en-GB"/>
        </w:rPr>
        <w:t>s</w:t>
      </w:r>
      <w:r w:rsidR="00CD09A1" w:rsidRPr="00CD09A1">
        <w:rPr>
          <w:rFonts w:cstheme="minorHAnsi"/>
          <w:color w:val="000000"/>
          <w:lang w:val="en-GB"/>
        </w:rPr>
        <w:t xml:space="preserve"> linear combina</w:t>
      </w:r>
      <w:r w:rsidR="00CD09A1">
        <w:rPr>
          <w:rFonts w:cstheme="minorHAnsi"/>
          <w:color w:val="000000"/>
          <w:lang w:val="en-GB"/>
        </w:rPr>
        <w:t>tions of the original variables,</w:t>
      </w:r>
    </w:p>
    <w:tbl>
      <w:tblPr>
        <w:tblW w:w="5000" w:type="pct"/>
        <w:tblLook w:val="04A0" w:firstRow="1" w:lastRow="0" w:firstColumn="1" w:lastColumn="0" w:noHBand="0" w:noVBand="1"/>
      </w:tblPr>
      <w:tblGrid>
        <w:gridCol w:w="7981"/>
        <w:gridCol w:w="806"/>
      </w:tblGrid>
      <w:tr w:rsidR="005229F9" w:rsidRPr="00B57B36" w14:paraId="3E303CC7" w14:textId="77777777" w:rsidTr="00537DBA">
        <w:tc>
          <w:tcPr>
            <w:tcW w:w="8188" w:type="dxa"/>
            <w:shd w:val="clear" w:color="auto" w:fill="auto"/>
            <w:vAlign w:val="center"/>
          </w:tcPr>
          <w:p w14:paraId="782E681E" w14:textId="553018B6" w:rsidR="005229F9" w:rsidRPr="0000270D" w:rsidRDefault="00A10EA0" w:rsidP="005229F9">
            <w:pPr>
              <w:pStyle w:val="CETBodytext"/>
              <w:ind w:firstLine="284"/>
            </w:pPr>
            <m:oMathPara>
              <m:oMathParaPr>
                <m:jc m:val="left"/>
              </m:oMathParaPr>
              <m:oMath>
                <m:sSub>
                  <m:sSubPr>
                    <m:ctrlPr>
                      <w:rPr>
                        <w:rFonts w:ascii="Cambria Math" w:hAnsi="Cambria Math" w:cstheme="minorHAnsi"/>
                        <w:i/>
                        <w:color w:val="000000"/>
                        <w:lang w:val="en-GB"/>
                      </w:rPr>
                    </m:ctrlPr>
                  </m:sSubPr>
                  <m:e>
                    <m:r>
                      <w:rPr>
                        <w:rFonts w:ascii="Cambria Math" w:hAnsi="Cambria Math" w:cstheme="minorHAnsi"/>
                        <w:color w:val="000000"/>
                        <w:lang w:val="en-GB"/>
                      </w:rPr>
                      <m:t>v</m:t>
                    </m:r>
                  </m:e>
                  <m:sub>
                    <m:r>
                      <w:rPr>
                        <w:rFonts w:ascii="Cambria Math" w:hAnsi="Cambria Math" w:cstheme="minorHAnsi"/>
                        <w:color w:val="000000"/>
                        <w:lang w:val="en-GB"/>
                      </w:rPr>
                      <m:t>m</m:t>
                    </m:r>
                  </m:sub>
                </m:sSub>
                <m:r>
                  <w:rPr>
                    <w:rFonts w:ascii="Cambria Math" w:hAnsi="Cambria Math" w:cstheme="minorHAnsi"/>
                    <w:color w:val="000000"/>
                    <w:lang w:val="en-GB"/>
                  </w:rPr>
                  <m:t>=</m:t>
                </m:r>
                <m:sSubSup>
                  <m:sSubSupPr>
                    <m:ctrlPr>
                      <w:rPr>
                        <w:rFonts w:ascii="Cambria Math" w:hAnsi="Cambria Math" w:cstheme="minorHAnsi"/>
                        <w:i/>
                        <w:color w:val="000000"/>
                        <w:lang w:val="en-GB"/>
                      </w:rPr>
                    </m:ctrlPr>
                  </m:sSubSupPr>
                  <m:e>
                    <m:r>
                      <w:rPr>
                        <w:rFonts w:ascii="Cambria Math" w:hAnsi="Cambria Math" w:cstheme="minorHAnsi"/>
                        <w:color w:val="000000"/>
                        <w:lang w:val="en-GB"/>
                      </w:rPr>
                      <m:t>a</m:t>
                    </m:r>
                  </m:e>
                  <m:sub>
                    <m:r>
                      <w:rPr>
                        <w:rFonts w:ascii="Cambria Math" w:hAnsi="Cambria Math" w:cstheme="minorHAnsi"/>
                        <w:color w:val="000000"/>
                        <w:lang w:val="en-GB"/>
                      </w:rPr>
                      <m:t>m</m:t>
                    </m:r>
                  </m:sub>
                  <m:sup>
                    <m:r>
                      <w:rPr>
                        <w:rFonts w:ascii="Cambria Math" w:hAnsi="Cambria Math" w:cstheme="minorHAnsi"/>
                        <w:color w:val="000000"/>
                        <w:lang w:val="en-GB"/>
                      </w:rPr>
                      <m:t>T</m:t>
                    </m:r>
                  </m:sup>
                </m:sSubSup>
                <m:sSup>
                  <m:sSupPr>
                    <m:ctrlPr>
                      <w:rPr>
                        <w:rFonts w:ascii="Cambria Math" w:hAnsi="Cambria Math" w:cstheme="minorHAnsi"/>
                        <w:i/>
                        <w:color w:val="000000"/>
                        <w:lang w:val="en-GB"/>
                      </w:rPr>
                    </m:ctrlPr>
                  </m:sSupPr>
                  <m:e>
                    <m:r>
                      <w:rPr>
                        <w:rFonts w:ascii="Cambria Math" w:hAnsi="Cambria Math" w:cstheme="minorHAnsi"/>
                        <w:color w:val="000000"/>
                        <w:lang w:val="en-GB"/>
                      </w:rPr>
                      <m:t>x</m:t>
                    </m:r>
                  </m:e>
                  <m:sup>
                    <m:r>
                      <w:rPr>
                        <w:rFonts w:ascii="Cambria Math" w:hAnsi="Cambria Math" w:cstheme="minorHAnsi"/>
                        <w:color w:val="000000"/>
                        <w:lang w:val="en-GB"/>
                      </w:rPr>
                      <m:t>'</m:t>
                    </m:r>
                  </m:sup>
                </m:sSup>
                <m:r>
                  <w:rPr>
                    <w:rFonts w:ascii="Cambria Math" w:hAnsi="Cambria Math" w:cstheme="minorHAnsi"/>
                    <w:color w:val="000000"/>
                    <w:lang w:val="en-GB"/>
                  </w:rPr>
                  <m:t>=</m:t>
                </m:r>
                <m:nary>
                  <m:naryPr>
                    <m:chr m:val="∑"/>
                    <m:limLoc m:val="undOvr"/>
                    <m:ctrlPr>
                      <w:rPr>
                        <w:rFonts w:ascii="Cambria Math" w:hAnsi="Cambria Math" w:cstheme="minorHAnsi"/>
                        <w:i/>
                        <w:color w:val="000000"/>
                        <w:lang w:val="en-GB"/>
                      </w:rPr>
                    </m:ctrlPr>
                  </m:naryPr>
                  <m:sub>
                    <m:r>
                      <w:rPr>
                        <w:rFonts w:ascii="Cambria Math" w:hAnsi="Cambria Math" w:cstheme="minorHAnsi"/>
                        <w:color w:val="000000"/>
                        <w:lang w:val="en-GB"/>
                      </w:rPr>
                      <m:t>i=1</m:t>
                    </m:r>
                  </m:sub>
                  <m:sup>
                    <m:r>
                      <w:rPr>
                        <w:rFonts w:ascii="Cambria Math" w:hAnsi="Cambria Math" w:cstheme="minorHAnsi"/>
                        <w:color w:val="000000"/>
                        <w:lang w:val="en-GB"/>
                      </w:rPr>
                      <m:t>I</m:t>
                    </m:r>
                  </m:sup>
                  <m:e>
                    <m:sSub>
                      <m:sSubPr>
                        <m:ctrlPr>
                          <w:rPr>
                            <w:rFonts w:ascii="Cambria Math" w:hAnsi="Cambria Math" w:cstheme="minorHAnsi"/>
                            <w:i/>
                            <w:color w:val="000000"/>
                            <w:lang w:val="en-GB"/>
                          </w:rPr>
                        </m:ctrlPr>
                      </m:sSubPr>
                      <m:e>
                        <m:r>
                          <w:rPr>
                            <w:rFonts w:ascii="Cambria Math" w:hAnsi="Cambria Math" w:cstheme="minorHAnsi"/>
                            <w:color w:val="000000"/>
                            <w:lang w:val="en-GB"/>
                          </w:rPr>
                          <m:t>a</m:t>
                        </m:r>
                      </m:e>
                      <m:sub>
                        <m:r>
                          <w:rPr>
                            <w:rFonts w:ascii="Cambria Math" w:hAnsi="Cambria Math" w:cstheme="minorHAnsi"/>
                            <w:color w:val="000000"/>
                            <w:lang w:val="en-GB"/>
                          </w:rPr>
                          <m:t>m,i</m:t>
                        </m:r>
                      </m:sub>
                    </m:sSub>
                    <m:sSubSup>
                      <m:sSubSupPr>
                        <m:ctrlPr>
                          <w:rPr>
                            <w:rFonts w:ascii="Cambria Math" w:hAnsi="Cambria Math" w:cstheme="minorHAnsi"/>
                            <w:i/>
                            <w:color w:val="000000"/>
                            <w:lang w:val="en-GB"/>
                          </w:rPr>
                        </m:ctrlPr>
                      </m:sSubSupPr>
                      <m:e>
                        <m:r>
                          <w:rPr>
                            <w:rFonts w:ascii="Cambria Math" w:hAnsi="Cambria Math" w:cstheme="minorHAnsi"/>
                            <w:color w:val="000000"/>
                            <w:lang w:val="en-GB"/>
                          </w:rPr>
                          <m:t>x</m:t>
                        </m:r>
                      </m:e>
                      <m:sub>
                        <m:r>
                          <w:rPr>
                            <w:rFonts w:ascii="Cambria Math" w:hAnsi="Cambria Math" w:cstheme="minorHAnsi"/>
                            <w:color w:val="000000"/>
                            <w:lang w:val="en-GB"/>
                          </w:rPr>
                          <m:t>i</m:t>
                        </m:r>
                      </m:sub>
                      <m:sup>
                        <m:r>
                          <w:rPr>
                            <w:rFonts w:ascii="Cambria Math" w:hAnsi="Cambria Math" w:cstheme="minorHAnsi"/>
                            <w:color w:val="000000"/>
                            <w:lang w:val="en-GB"/>
                          </w:rPr>
                          <m:t>'</m:t>
                        </m:r>
                      </m:sup>
                    </m:sSubSup>
                  </m:e>
                </m:nary>
                <m:r>
                  <w:rPr>
                    <w:rFonts w:ascii="Cambria Math" w:hAnsi="Cambria Math" w:cstheme="minorHAnsi"/>
                    <w:color w:val="000000"/>
                    <w:lang w:val="en-GB"/>
                  </w:rPr>
                  <m:t xml:space="preserve">,     m=1,…, </m:t>
                </m:r>
                <m:r>
                  <m:rPr>
                    <m:sty m:val="p"/>
                  </m:rPr>
                  <w:rPr>
                    <w:rFonts w:ascii="Cambria Math" w:hAnsi="Cambria Math" w:cstheme="minorHAnsi"/>
                    <w:color w:val="000000"/>
                    <w:lang w:val="en-GB"/>
                  </w:rPr>
                  <m:t>min⁡</m:t>
                </m:r>
                <m:r>
                  <w:rPr>
                    <w:rFonts w:ascii="Cambria Math" w:hAnsi="Cambria Math" w:cstheme="minorHAnsi"/>
                    <w:color w:val="000000"/>
                    <w:lang w:val="en-GB"/>
                  </w:rPr>
                  <m:t>(I,J)</m:t>
                </m:r>
              </m:oMath>
            </m:oMathPara>
          </w:p>
        </w:tc>
        <w:tc>
          <w:tcPr>
            <w:tcW w:w="815" w:type="dxa"/>
            <w:shd w:val="clear" w:color="auto" w:fill="auto"/>
            <w:vAlign w:val="center"/>
          </w:tcPr>
          <w:p w14:paraId="275D37BE" w14:textId="255C81B4" w:rsidR="005229F9" w:rsidRPr="00B57B36" w:rsidRDefault="005229F9" w:rsidP="00537DBA">
            <w:pPr>
              <w:pStyle w:val="CETEquation"/>
              <w:jc w:val="right"/>
            </w:pPr>
            <w:r w:rsidRPr="00B57B36">
              <w:t>(1</w:t>
            </w:r>
            <w:r>
              <w:t>a</w:t>
            </w:r>
            <w:r w:rsidRPr="00B57B36">
              <w:t>)</w:t>
            </w:r>
          </w:p>
        </w:tc>
      </w:tr>
    </w:tbl>
    <w:p w14:paraId="5D3D4631" w14:textId="1F179242" w:rsidR="003F0765" w:rsidRDefault="003F0765" w:rsidP="00943B6C">
      <w:pPr>
        <w:pStyle w:val="CETBodytext"/>
        <w:rPr>
          <w:rFonts w:cstheme="minorHAnsi"/>
          <w:color w:val="000000"/>
          <w:lang w:val="en-GB"/>
        </w:rPr>
      </w:pPr>
      <w:r>
        <w:rPr>
          <w:rFonts w:cstheme="minorHAnsi"/>
          <w:color w:val="000000"/>
          <w:lang w:val="en-GB"/>
        </w:rPr>
        <w:t>and</w:t>
      </w:r>
    </w:p>
    <w:tbl>
      <w:tblPr>
        <w:tblW w:w="5000" w:type="pct"/>
        <w:tblLook w:val="04A0" w:firstRow="1" w:lastRow="0" w:firstColumn="1" w:lastColumn="0" w:noHBand="0" w:noVBand="1"/>
      </w:tblPr>
      <w:tblGrid>
        <w:gridCol w:w="7981"/>
        <w:gridCol w:w="806"/>
      </w:tblGrid>
      <w:tr w:rsidR="005229F9" w:rsidRPr="00B57B36" w14:paraId="52DCD6BB" w14:textId="77777777" w:rsidTr="00376A89">
        <w:tc>
          <w:tcPr>
            <w:tcW w:w="7981" w:type="dxa"/>
            <w:shd w:val="clear" w:color="auto" w:fill="auto"/>
            <w:vAlign w:val="center"/>
          </w:tcPr>
          <w:p w14:paraId="0CE952AF" w14:textId="23819649" w:rsidR="005229F9" w:rsidRPr="0000270D" w:rsidRDefault="00A10EA0" w:rsidP="005229F9">
            <w:pPr>
              <w:pStyle w:val="CETBodytext"/>
              <w:ind w:firstLine="284"/>
              <w:rPr>
                <w:rFonts w:cstheme="minorHAnsi"/>
                <w:color w:val="000000"/>
                <w:lang w:val="en-GB"/>
              </w:rPr>
            </w:pPr>
            <m:oMathPara>
              <m:oMathParaPr>
                <m:jc m:val="left"/>
              </m:oMathParaPr>
              <m:oMath>
                <m:sSub>
                  <m:sSubPr>
                    <m:ctrlPr>
                      <w:rPr>
                        <w:rFonts w:ascii="Cambria Math" w:hAnsi="Cambria Math" w:cstheme="minorHAnsi"/>
                        <w:i/>
                        <w:color w:val="000000"/>
                        <w:lang w:val="en-GB"/>
                      </w:rPr>
                    </m:ctrlPr>
                  </m:sSubPr>
                  <m:e>
                    <m:r>
                      <w:rPr>
                        <w:rFonts w:ascii="Cambria Math" w:hAnsi="Cambria Math" w:cstheme="minorHAnsi"/>
                        <w:color w:val="000000"/>
                        <w:lang w:val="en-GB"/>
                      </w:rPr>
                      <m:t>w</m:t>
                    </m:r>
                  </m:e>
                  <m:sub>
                    <m:r>
                      <w:rPr>
                        <w:rFonts w:ascii="Cambria Math" w:hAnsi="Cambria Math" w:cstheme="minorHAnsi"/>
                        <w:color w:val="000000"/>
                        <w:lang w:val="en-GB"/>
                      </w:rPr>
                      <m:t>m</m:t>
                    </m:r>
                  </m:sub>
                </m:sSub>
                <m:r>
                  <w:rPr>
                    <w:rFonts w:ascii="Cambria Math" w:hAnsi="Cambria Math" w:cstheme="minorHAnsi"/>
                    <w:color w:val="000000"/>
                    <w:lang w:val="en-GB"/>
                  </w:rPr>
                  <m:t>=</m:t>
                </m:r>
                <m:sSubSup>
                  <m:sSubSupPr>
                    <m:ctrlPr>
                      <w:rPr>
                        <w:rFonts w:ascii="Cambria Math" w:hAnsi="Cambria Math" w:cstheme="minorHAnsi"/>
                        <w:i/>
                        <w:color w:val="000000"/>
                        <w:lang w:val="en-GB"/>
                      </w:rPr>
                    </m:ctrlPr>
                  </m:sSubSupPr>
                  <m:e>
                    <m:r>
                      <w:rPr>
                        <w:rFonts w:ascii="Cambria Math" w:hAnsi="Cambria Math" w:cstheme="minorHAnsi"/>
                        <w:color w:val="000000"/>
                        <w:lang w:val="en-GB"/>
                      </w:rPr>
                      <m:t>b</m:t>
                    </m:r>
                  </m:e>
                  <m:sub>
                    <m:r>
                      <w:rPr>
                        <w:rFonts w:ascii="Cambria Math" w:hAnsi="Cambria Math" w:cstheme="minorHAnsi"/>
                        <w:color w:val="000000"/>
                        <w:lang w:val="en-GB"/>
                      </w:rPr>
                      <m:t>m</m:t>
                    </m:r>
                  </m:sub>
                  <m:sup>
                    <m:r>
                      <w:rPr>
                        <w:rFonts w:ascii="Cambria Math" w:hAnsi="Cambria Math" w:cstheme="minorHAnsi"/>
                        <w:color w:val="000000"/>
                        <w:lang w:val="en-GB"/>
                      </w:rPr>
                      <m:t>T</m:t>
                    </m:r>
                  </m:sup>
                </m:sSubSup>
                <m:sSup>
                  <m:sSupPr>
                    <m:ctrlPr>
                      <w:rPr>
                        <w:rFonts w:ascii="Cambria Math" w:hAnsi="Cambria Math" w:cstheme="minorHAnsi"/>
                        <w:i/>
                        <w:color w:val="000000"/>
                        <w:lang w:val="en-GB"/>
                      </w:rPr>
                    </m:ctrlPr>
                  </m:sSupPr>
                  <m:e>
                    <m:r>
                      <w:rPr>
                        <w:rFonts w:ascii="Cambria Math" w:hAnsi="Cambria Math" w:cstheme="minorHAnsi"/>
                        <w:color w:val="000000"/>
                        <w:lang w:val="en-GB"/>
                      </w:rPr>
                      <m:t>y</m:t>
                    </m:r>
                  </m:e>
                  <m:sup>
                    <m:r>
                      <w:rPr>
                        <w:rFonts w:ascii="Cambria Math" w:hAnsi="Cambria Math" w:cstheme="minorHAnsi"/>
                        <w:color w:val="000000"/>
                        <w:lang w:val="en-GB"/>
                      </w:rPr>
                      <m:t>'</m:t>
                    </m:r>
                  </m:sup>
                </m:sSup>
                <m:r>
                  <w:rPr>
                    <w:rFonts w:ascii="Cambria Math" w:hAnsi="Cambria Math" w:cstheme="minorHAnsi"/>
                    <w:color w:val="000000"/>
                    <w:lang w:val="en-GB"/>
                  </w:rPr>
                  <m:t>=</m:t>
                </m:r>
                <m:nary>
                  <m:naryPr>
                    <m:chr m:val="∑"/>
                    <m:limLoc m:val="undOvr"/>
                    <m:ctrlPr>
                      <w:rPr>
                        <w:rFonts w:ascii="Cambria Math" w:hAnsi="Cambria Math" w:cstheme="minorHAnsi"/>
                        <w:i/>
                        <w:color w:val="000000"/>
                        <w:lang w:val="en-GB"/>
                      </w:rPr>
                    </m:ctrlPr>
                  </m:naryPr>
                  <m:sub>
                    <m:r>
                      <w:rPr>
                        <w:rFonts w:ascii="Cambria Math" w:hAnsi="Cambria Math" w:cstheme="minorHAnsi"/>
                        <w:color w:val="000000"/>
                        <w:lang w:val="en-GB"/>
                      </w:rPr>
                      <m:t>j=1</m:t>
                    </m:r>
                  </m:sub>
                  <m:sup>
                    <m:r>
                      <w:rPr>
                        <w:rFonts w:ascii="Cambria Math" w:hAnsi="Cambria Math" w:cstheme="minorHAnsi"/>
                        <w:color w:val="000000"/>
                        <w:lang w:val="en-GB"/>
                      </w:rPr>
                      <m:t>J</m:t>
                    </m:r>
                  </m:sup>
                  <m:e>
                    <m:sSub>
                      <m:sSubPr>
                        <m:ctrlPr>
                          <w:rPr>
                            <w:rFonts w:ascii="Cambria Math" w:hAnsi="Cambria Math" w:cstheme="minorHAnsi"/>
                            <w:i/>
                            <w:color w:val="000000"/>
                            <w:lang w:val="en-GB"/>
                          </w:rPr>
                        </m:ctrlPr>
                      </m:sSubPr>
                      <m:e>
                        <m:r>
                          <w:rPr>
                            <w:rFonts w:ascii="Cambria Math" w:hAnsi="Cambria Math" w:cstheme="minorHAnsi"/>
                            <w:color w:val="000000"/>
                            <w:lang w:val="en-GB"/>
                          </w:rPr>
                          <m:t>b</m:t>
                        </m:r>
                      </m:e>
                      <m:sub>
                        <m:r>
                          <w:rPr>
                            <w:rFonts w:ascii="Cambria Math" w:hAnsi="Cambria Math" w:cstheme="minorHAnsi"/>
                            <w:color w:val="000000"/>
                            <w:lang w:val="en-GB"/>
                          </w:rPr>
                          <m:t>m,j</m:t>
                        </m:r>
                      </m:sub>
                    </m:sSub>
                    <m:sSubSup>
                      <m:sSubSupPr>
                        <m:ctrlPr>
                          <w:rPr>
                            <w:rFonts w:ascii="Cambria Math" w:hAnsi="Cambria Math" w:cstheme="minorHAnsi"/>
                            <w:i/>
                            <w:color w:val="000000"/>
                            <w:lang w:val="en-GB"/>
                          </w:rPr>
                        </m:ctrlPr>
                      </m:sSubSupPr>
                      <m:e>
                        <m:r>
                          <w:rPr>
                            <w:rFonts w:ascii="Cambria Math" w:hAnsi="Cambria Math" w:cstheme="minorHAnsi"/>
                            <w:color w:val="000000"/>
                            <w:lang w:val="en-GB"/>
                          </w:rPr>
                          <m:t>y</m:t>
                        </m:r>
                      </m:e>
                      <m:sub>
                        <m:r>
                          <w:rPr>
                            <w:rFonts w:ascii="Cambria Math" w:hAnsi="Cambria Math" w:cstheme="minorHAnsi"/>
                            <w:color w:val="000000"/>
                            <w:lang w:val="en-GB"/>
                          </w:rPr>
                          <m:t>j</m:t>
                        </m:r>
                      </m:sub>
                      <m:sup>
                        <m:r>
                          <w:rPr>
                            <w:rFonts w:ascii="Cambria Math" w:hAnsi="Cambria Math" w:cstheme="minorHAnsi"/>
                            <w:color w:val="000000"/>
                            <w:lang w:val="en-GB"/>
                          </w:rPr>
                          <m:t>'</m:t>
                        </m:r>
                      </m:sup>
                    </m:sSubSup>
                  </m:e>
                </m:nary>
                <m:r>
                  <w:rPr>
                    <w:rFonts w:ascii="Cambria Math" w:hAnsi="Cambria Math" w:cstheme="minorHAnsi"/>
                    <w:color w:val="000000"/>
                    <w:lang w:val="en-GB"/>
                  </w:rPr>
                  <m:t xml:space="preserve">,     m=1,…, </m:t>
                </m:r>
                <m:r>
                  <m:rPr>
                    <m:sty m:val="p"/>
                  </m:rPr>
                  <w:rPr>
                    <w:rFonts w:ascii="Cambria Math" w:hAnsi="Cambria Math" w:cstheme="minorHAnsi"/>
                    <w:color w:val="000000"/>
                    <w:lang w:val="en-GB"/>
                  </w:rPr>
                  <m:t>min⁡</m:t>
                </m:r>
                <m:r>
                  <w:rPr>
                    <w:rFonts w:ascii="Cambria Math" w:hAnsi="Cambria Math" w:cstheme="minorHAnsi"/>
                    <w:color w:val="000000"/>
                    <w:lang w:val="en-GB"/>
                  </w:rPr>
                  <m:t>(I,J)</m:t>
                </m:r>
              </m:oMath>
            </m:oMathPara>
          </w:p>
        </w:tc>
        <w:tc>
          <w:tcPr>
            <w:tcW w:w="806" w:type="dxa"/>
            <w:shd w:val="clear" w:color="auto" w:fill="auto"/>
            <w:vAlign w:val="center"/>
          </w:tcPr>
          <w:p w14:paraId="6E15BC11" w14:textId="398658A4" w:rsidR="005229F9" w:rsidRPr="00B57B36" w:rsidRDefault="005229F9" w:rsidP="005229F9">
            <w:pPr>
              <w:pStyle w:val="CETEquation"/>
              <w:jc w:val="right"/>
            </w:pPr>
            <w:r w:rsidRPr="00B57B36">
              <w:t>(</w:t>
            </w:r>
            <w:r>
              <w:t>1b</w:t>
            </w:r>
            <w:r w:rsidRPr="00B57B36">
              <w:t>)</w:t>
            </w:r>
          </w:p>
        </w:tc>
      </w:tr>
    </w:tbl>
    <w:p w14:paraId="110B1302" w14:textId="0A643834" w:rsidR="005229F9" w:rsidRDefault="003F0765" w:rsidP="00943B6C">
      <w:pPr>
        <w:pStyle w:val="CETBodytext"/>
        <w:rPr>
          <w:rFonts w:cstheme="minorHAnsi"/>
          <w:color w:val="000000"/>
          <w:lang w:val="en-GB"/>
        </w:rPr>
      </w:pPr>
      <w:r w:rsidRPr="003F0765">
        <w:rPr>
          <w:rFonts w:cstheme="minorHAnsi"/>
          <w:color w:val="000000"/>
          <w:lang w:val="en-GB"/>
        </w:rPr>
        <w:t xml:space="preserve">by projecting them onto coefficient vectors </w:t>
      </w:r>
      <w:r w:rsidRPr="00B15ADD">
        <w:rPr>
          <w:rFonts w:cstheme="minorHAnsi"/>
          <w:i/>
          <w:color w:val="000000"/>
          <w:lang w:val="en-GB"/>
        </w:rPr>
        <w:t>a</w:t>
      </w:r>
      <w:r w:rsidRPr="00B15ADD">
        <w:rPr>
          <w:rFonts w:cstheme="minorHAnsi"/>
          <w:i/>
          <w:color w:val="000000"/>
          <w:vertAlign w:val="subscript"/>
          <w:lang w:val="en-GB"/>
        </w:rPr>
        <w:t>m</w:t>
      </w:r>
      <w:r w:rsidRPr="003F0765">
        <w:rPr>
          <w:rFonts w:cstheme="minorHAnsi"/>
          <w:color w:val="000000"/>
          <w:lang w:val="en-GB"/>
        </w:rPr>
        <w:t xml:space="preserve"> and </w:t>
      </w:r>
      <w:r w:rsidRPr="00B15ADD">
        <w:rPr>
          <w:rFonts w:cstheme="minorHAnsi"/>
          <w:i/>
          <w:color w:val="000000"/>
          <w:lang w:val="en-GB"/>
        </w:rPr>
        <w:t>b</w:t>
      </w:r>
      <w:r w:rsidRPr="00B15ADD">
        <w:rPr>
          <w:rFonts w:cstheme="minorHAnsi"/>
          <w:i/>
          <w:color w:val="000000"/>
          <w:vertAlign w:val="subscript"/>
          <w:lang w:val="en-GB"/>
        </w:rPr>
        <w:t>m</w:t>
      </w:r>
      <w:r w:rsidR="005229F9">
        <w:rPr>
          <w:rFonts w:cstheme="minorHAnsi"/>
          <w:color w:val="000000"/>
          <w:lang w:val="en-GB"/>
        </w:rPr>
        <w:t xml:space="preserve">, which are chosen </w:t>
      </w:r>
      <w:r w:rsidR="005229F9" w:rsidRPr="005229F9">
        <w:rPr>
          <w:rFonts w:cstheme="minorHAnsi"/>
          <w:color w:val="000000"/>
          <w:lang w:val="en-GB"/>
        </w:rPr>
        <w:t>such that each</w:t>
      </w:r>
      <w:r w:rsidR="005229F9">
        <w:rPr>
          <w:rFonts w:cstheme="minorHAnsi"/>
          <w:color w:val="000000"/>
          <w:lang w:val="en-GB"/>
        </w:rPr>
        <w:t xml:space="preserve"> </w:t>
      </w:r>
      <w:r w:rsidR="005229F9" w:rsidRPr="005229F9">
        <w:rPr>
          <w:rFonts w:cstheme="minorHAnsi"/>
          <w:color w:val="000000"/>
          <w:lang w:val="en-GB"/>
        </w:rPr>
        <w:t xml:space="preserve">pair of the new variables </w:t>
      </w:r>
      <w:r w:rsidR="005229F9" w:rsidRPr="00B15ADD">
        <w:rPr>
          <w:rFonts w:cstheme="minorHAnsi"/>
          <w:i/>
          <w:color w:val="000000"/>
          <w:lang w:val="en-GB"/>
        </w:rPr>
        <w:t>v</w:t>
      </w:r>
      <w:r w:rsidR="005229F9" w:rsidRPr="00B15ADD">
        <w:rPr>
          <w:rFonts w:cstheme="minorHAnsi"/>
          <w:i/>
          <w:color w:val="000000"/>
          <w:vertAlign w:val="subscript"/>
          <w:lang w:val="en-GB"/>
        </w:rPr>
        <w:t>m</w:t>
      </w:r>
      <w:r w:rsidR="005229F9" w:rsidRPr="005229F9">
        <w:rPr>
          <w:rFonts w:cstheme="minorHAnsi"/>
          <w:color w:val="000000"/>
          <w:lang w:val="en-GB"/>
        </w:rPr>
        <w:t xml:space="preserve"> and </w:t>
      </w:r>
      <w:r w:rsidR="005229F9" w:rsidRPr="00B15ADD">
        <w:rPr>
          <w:rFonts w:cstheme="minorHAnsi"/>
          <w:i/>
          <w:color w:val="000000"/>
          <w:lang w:val="en-GB"/>
        </w:rPr>
        <w:t>w</w:t>
      </w:r>
      <w:r w:rsidR="005229F9" w:rsidRPr="00B15ADD">
        <w:rPr>
          <w:rFonts w:cstheme="minorHAnsi"/>
          <w:i/>
          <w:color w:val="000000"/>
          <w:vertAlign w:val="subscript"/>
          <w:lang w:val="en-GB"/>
        </w:rPr>
        <w:t>m</w:t>
      </w:r>
      <w:r w:rsidR="005229F9" w:rsidRPr="005229F9">
        <w:rPr>
          <w:rFonts w:cstheme="minorHAnsi"/>
          <w:color w:val="000000"/>
          <w:lang w:val="en-GB"/>
        </w:rPr>
        <w:t xml:space="preserve">, called </w:t>
      </w:r>
      <w:r w:rsidR="005229F9" w:rsidRPr="005229F9">
        <w:rPr>
          <w:rFonts w:cstheme="minorHAnsi"/>
          <w:i/>
          <w:color w:val="000000"/>
          <w:lang w:val="en-GB"/>
        </w:rPr>
        <w:t>canonical variates</w:t>
      </w:r>
      <w:r w:rsidR="005229F9" w:rsidRPr="005229F9">
        <w:rPr>
          <w:rFonts w:cstheme="minorHAnsi"/>
          <w:color w:val="000000"/>
          <w:lang w:val="en-GB"/>
        </w:rPr>
        <w:t>, exhibit maximum correlation, while being uncorrelated with the projections of the data onto any of the other identified patterns</w:t>
      </w:r>
      <w:r w:rsidR="005229F9">
        <w:rPr>
          <w:rFonts w:cstheme="minorHAnsi"/>
          <w:color w:val="000000"/>
          <w:lang w:val="en-GB"/>
        </w:rPr>
        <w:t>. In other words, CCA iden</w:t>
      </w:r>
      <w:r w:rsidR="005229F9" w:rsidRPr="005229F9">
        <w:rPr>
          <w:rFonts w:cstheme="minorHAnsi"/>
          <w:color w:val="000000"/>
          <w:lang w:val="en-GB"/>
        </w:rPr>
        <w:t xml:space="preserve">tifies new variables that maximize the interrelationships between two data sets in this sense. The vectors of linear combination weights, </w:t>
      </w:r>
      <w:r w:rsidR="005229F9" w:rsidRPr="00B15ADD">
        <w:rPr>
          <w:rFonts w:cstheme="minorHAnsi"/>
          <w:i/>
          <w:color w:val="000000"/>
          <w:lang w:val="en-GB"/>
        </w:rPr>
        <w:t>a</w:t>
      </w:r>
      <w:r w:rsidR="005229F9" w:rsidRPr="00B15ADD">
        <w:rPr>
          <w:rFonts w:cstheme="minorHAnsi"/>
          <w:i/>
          <w:color w:val="000000"/>
          <w:vertAlign w:val="subscript"/>
          <w:lang w:val="en-GB"/>
        </w:rPr>
        <w:t>m</w:t>
      </w:r>
      <w:r w:rsidR="005229F9" w:rsidRPr="00B15ADD">
        <w:rPr>
          <w:rFonts w:cstheme="minorHAnsi"/>
          <w:i/>
          <w:color w:val="000000"/>
          <w:lang w:val="en-GB"/>
        </w:rPr>
        <w:t xml:space="preserve"> </w:t>
      </w:r>
      <w:r w:rsidR="005229F9" w:rsidRPr="005229F9">
        <w:rPr>
          <w:rFonts w:cstheme="minorHAnsi"/>
          <w:color w:val="000000"/>
          <w:lang w:val="en-GB"/>
        </w:rPr>
        <w:t xml:space="preserve">and </w:t>
      </w:r>
      <w:r w:rsidR="005229F9" w:rsidRPr="00B15ADD">
        <w:rPr>
          <w:rFonts w:cstheme="minorHAnsi"/>
          <w:i/>
          <w:color w:val="000000"/>
          <w:lang w:val="en-GB"/>
        </w:rPr>
        <w:t>b</w:t>
      </w:r>
      <w:r w:rsidR="005229F9" w:rsidRPr="00B15ADD">
        <w:rPr>
          <w:rFonts w:cstheme="minorHAnsi"/>
          <w:i/>
          <w:color w:val="000000"/>
          <w:vertAlign w:val="subscript"/>
          <w:lang w:val="en-GB"/>
        </w:rPr>
        <w:t>m</w:t>
      </w:r>
      <w:r w:rsidR="005229F9" w:rsidRPr="005229F9">
        <w:rPr>
          <w:rFonts w:cstheme="minorHAnsi"/>
          <w:color w:val="000000"/>
          <w:lang w:val="en-GB"/>
        </w:rPr>
        <w:t xml:space="preserve">, are called the </w:t>
      </w:r>
      <w:r w:rsidR="005229F9" w:rsidRPr="005229F9">
        <w:rPr>
          <w:rFonts w:cstheme="minorHAnsi"/>
          <w:i/>
          <w:color w:val="000000"/>
          <w:lang w:val="en-GB"/>
        </w:rPr>
        <w:t>canonical vectors</w:t>
      </w:r>
      <w:r w:rsidR="005229F9" w:rsidRPr="005229F9">
        <w:rPr>
          <w:rFonts w:cstheme="minorHAnsi"/>
          <w:color w:val="000000"/>
          <w:lang w:val="en-GB"/>
        </w:rPr>
        <w:t>.</w:t>
      </w:r>
      <w:r w:rsidR="005229F9">
        <w:rPr>
          <w:rFonts w:cstheme="minorHAnsi"/>
          <w:color w:val="000000"/>
          <w:lang w:val="en-GB"/>
        </w:rPr>
        <w:t xml:space="preserve"> </w:t>
      </w:r>
      <w:r w:rsidR="005229F9" w:rsidRPr="005229F9">
        <w:rPr>
          <w:rFonts w:cstheme="minorHAnsi"/>
          <w:color w:val="000000"/>
          <w:lang w:val="en-GB"/>
        </w:rPr>
        <w:t xml:space="preserve">The number of pairs, M, of canonical variates that can be extracted from the two data sets is equal to the smaller of the dimensions of </w:t>
      </w:r>
      <w:r w:rsidR="005229F9" w:rsidRPr="005229F9">
        <w:rPr>
          <w:rFonts w:cstheme="minorHAnsi"/>
          <w:b/>
          <w:i/>
          <w:color w:val="000000"/>
          <w:lang w:val="en-GB"/>
        </w:rPr>
        <w:t>x</w:t>
      </w:r>
      <w:r w:rsidR="005229F9" w:rsidRPr="005229F9">
        <w:rPr>
          <w:rFonts w:cstheme="minorHAnsi"/>
          <w:color w:val="000000"/>
          <w:lang w:val="en-GB"/>
        </w:rPr>
        <w:t xml:space="preserve"> and </w:t>
      </w:r>
      <w:r w:rsidR="005229F9" w:rsidRPr="005229F9">
        <w:rPr>
          <w:rFonts w:cstheme="minorHAnsi"/>
          <w:b/>
          <w:i/>
          <w:color w:val="000000"/>
          <w:lang w:val="en-GB"/>
        </w:rPr>
        <w:t>y</w:t>
      </w:r>
      <w:r w:rsidR="005229F9" w:rsidRPr="005229F9">
        <w:rPr>
          <w:rFonts w:cstheme="minorHAnsi"/>
          <w:color w:val="000000"/>
          <w:lang w:val="en-GB"/>
        </w:rPr>
        <w:t>.</w:t>
      </w:r>
      <w:r w:rsidR="005229F9">
        <w:rPr>
          <w:rFonts w:cstheme="minorHAnsi"/>
          <w:color w:val="000000"/>
          <w:lang w:val="en-GB"/>
        </w:rPr>
        <w:t xml:space="preserve"> </w:t>
      </w:r>
      <w:r w:rsidR="005229F9" w:rsidRPr="005229F9">
        <w:rPr>
          <w:rFonts w:cstheme="minorHAnsi"/>
          <w:color w:val="000000"/>
          <w:lang w:val="en-GB"/>
        </w:rPr>
        <w:t xml:space="preserve">The canonical vectors </w:t>
      </w:r>
      <w:r w:rsidR="005229F9" w:rsidRPr="00B15ADD">
        <w:rPr>
          <w:rFonts w:cstheme="minorHAnsi"/>
          <w:i/>
          <w:color w:val="000000"/>
          <w:lang w:val="en-GB"/>
        </w:rPr>
        <w:t>a</w:t>
      </w:r>
      <w:r w:rsidR="005229F9" w:rsidRPr="00B15ADD">
        <w:rPr>
          <w:rFonts w:cstheme="minorHAnsi"/>
          <w:i/>
          <w:color w:val="000000"/>
          <w:vertAlign w:val="subscript"/>
          <w:lang w:val="en-GB"/>
        </w:rPr>
        <w:t>m</w:t>
      </w:r>
      <w:r w:rsidR="005229F9" w:rsidRPr="00B15ADD">
        <w:rPr>
          <w:rFonts w:cstheme="minorHAnsi"/>
          <w:i/>
          <w:color w:val="000000"/>
          <w:lang w:val="en-GB"/>
        </w:rPr>
        <w:t xml:space="preserve"> </w:t>
      </w:r>
      <w:r w:rsidR="005229F9" w:rsidRPr="005229F9">
        <w:rPr>
          <w:rFonts w:cstheme="minorHAnsi"/>
          <w:color w:val="000000"/>
          <w:lang w:val="en-GB"/>
        </w:rPr>
        <w:t xml:space="preserve">and </w:t>
      </w:r>
      <w:r w:rsidR="005229F9" w:rsidRPr="0026496A">
        <w:rPr>
          <w:rFonts w:cstheme="minorHAnsi"/>
          <w:i/>
          <w:iCs/>
          <w:color w:val="000000"/>
          <w:lang w:val="en-GB"/>
        </w:rPr>
        <w:t>b</w:t>
      </w:r>
      <w:r w:rsidR="005229F9" w:rsidRPr="006C65E9">
        <w:rPr>
          <w:rFonts w:cstheme="minorHAnsi"/>
          <w:color w:val="000000"/>
          <w:vertAlign w:val="subscript"/>
          <w:lang w:val="en-GB"/>
        </w:rPr>
        <w:t>m</w:t>
      </w:r>
      <w:r w:rsidR="005229F9" w:rsidRPr="005229F9">
        <w:rPr>
          <w:rFonts w:cstheme="minorHAnsi"/>
          <w:color w:val="000000"/>
          <w:lang w:val="en-GB"/>
        </w:rPr>
        <w:t xml:space="preserve"> are the choices that result in the canonical variates having the</w:t>
      </w:r>
      <w:r w:rsidR="005229F9">
        <w:rPr>
          <w:rFonts w:cstheme="minorHAnsi"/>
          <w:color w:val="000000"/>
          <w:lang w:val="en-GB"/>
        </w:rPr>
        <w:t xml:space="preserve"> following </w:t>
      </w:r>
      <w:r w:rsidR="005229F9" w:rsidRPr="005229F9">
        <w:rPr>
          <w:rFonts w:cstheme="minorHAnsi"/>
          <w:color w:val="000000"/>
          <w:lang w:val="en-GB"/>
        </w:rPr>
        <w:t>properties</w:t>
      </w:r>
      <w:r w:rsidR="005229F9">
        <w:rPr>
          <w:rFonts w:cstheme="minorHAnsi"/>
          <w:color w:val="000000"/>
          <w:lang w:val="en-GB"/>
        </w:rPr>
        <w:t>:</w:t>
      </w:r>
    </w:p>
    <w:tbl>
      <w:tblPr>
        <w:tblW w:w="5000" w:type="pct"/>
        <w:tblLook w:val="04A0" w:firstRow="1" w:lastRow="0" w:firstColumn="1" w:lastColumn="0" w:noHBand="0" w:noVBand="1"/>
      </w:tblPr>
      <w:tblGrid>
        <w:gridCol w:w="7980"/>
        <w:gridCol w:w="807"/>
      </w:tblGrid>
      <w:tr w:rsidR="005229F9" w:rsidRPr="00B57B36" w14:paraId="6A1B4332" w14:textId="77777777" w:rsidTr="00537DBA">
        <w:tc>
          <w:tcPr>
            <w:tcW w:w="8188" w:type="dxa"/>
            <w:shd w:val="clear" w:color="auto" w:fill="auto"/>
            <w:vAlign w:val="center"/>
          </w:tcPr>
          <w:p w14:paraId="24606DB3" w14:textId="5EB91356" w:rsidR="005229F9" w:rsidRPr="0000270D" w:rsidRDefault="005229F9" w:rsidP="0000270D">
            <w:pPr>
              <w:pStyle w:val="CETBodytext"/>
              <w:ind w:firstLine="284"/>
              <w:jc w:val="left"/>
              <w:rPr>
                <w:rFonts w:cstheme="minorHAnsi"/>
                <w:color w:val="000000"/>
                <w:lang w:val="en-GB"/>
              </w:rPr>
            </w:pPr>
            <m:oMathPara>
              <m:oMathParaPr>
                <m:jc m:val="left"/>
              </m:oMathParaPr>
              <m:oMath>
                <m:r>
                  <w:rPr>
                    <w:rFonts w:ascii="Cambria Math" w:hAnsi="Cambria Math" w:cstheme="minorHAnsi"/>
                    <w:color w:val="000000"/>
                    <w:sz w:val="16"/>
                    <w:lang w:val="en-GB"/>
                  </w:rPr>
                  <m:t>Corr</m:t>
                </m:r>
                <m:d>
                  <m:dPr>
                    <m:ctrlPr>
                      <w:rPr>
                        <w:rFonts w:ascii="Cambria Math" w:hAnsi="Cambria Math" w:cstheme="minorHAnsi"/>
                        <w:i/>
                        <w:color w:val="000000"/>
                        <w:sz w:val="16"/>
                        <w:lang w:val="en-GB"/>
                      </w:rPr>
                    </m:ctrlPr>
                  </m:d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v</m:t>
                        </m:r>
                      </m:e>
                      <m:sub>
                        <m:r>
                          <w:rPr>
                            <w:rFonts w:ascii="Cambria Math" w:hAnsi="Cambria Math" w:cstheme="minorHAnsi"/>
                            <w:color w:val="000000"/>
                            <w:sz w:val="16"/>
                            <w:lang w:val="en-GB"/>
                          </w:rPr>
                          <m:t>1</m:t>
                        </m:r>
                      </m:sub>
                    </m:sSub>
                    <m:r>
                      <w:rPr>
                        <w:rFonts w:ascii="Cambria Math" w:hAnsi="Cambria Math" w:cstheme="minorHAnsi"/>
                        <w:color w:val="000000"/>
                        <w:sz w:val="16"/>
                        <w:lang w:val="en-GB"/>
                      </w:rPr>
                      <m:t>,</m:t>
                    </m:r>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w</m:t>
                        </m:r>
                      </m:e>
                      <m:sub>
                        <m:r>
                          <w:rPr>
                            <w:rFonts w:ascii="Cambria Math" w:hAnsi="Cambria Math" w:cstheme="minorHAnsi"/>
                            <w:color w:val="000000"/>
                            <w:sz w:val="16"/>
                            <w:lang w:val="en-GB"/>
                          </w:rPr>
                          <m:t>1</m:t>
                        </m:r>
                      </m:sub>
                    </m:sSub>
                  </m:e>
                </m:d>
                <m:r>
                  <w:rPr>
                    <w:rFonts w:ascii="Cambria Math" w:hAnsi="Cambria Math" w:cstheme="minorHAnsi"/>
                    <w:color w:val="000000"/>
                    <w:sz w:val="16"/>
                    <w:lang w:val="en-GB"/>
                  </w:rPr>
                  <m:t>≥Corr</m:t>
                </m:r>
                <m:d>
                  <m:dPr>
                    <m:ctrlPr>
                      <w:rPr>
                        <w:rFonts w:ascii="Cambria Math" w:hAnsi="Cambria Math" w:cstheme="minorHAnsi"/>
                        <w:i/>
                        <w:color w:val="000000"/>
                        <w:sz w:val="16"/>
                        <w:lang w:val="en-GB"/>
                      </w:rPr>
                    </m:ctrlPr>
                  </m:d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v</m:t>
                        </m:r>
                      </m:e>
                      <m:sub>
                        <m:r>
                          <w:rPr>
                            <w:rFonts w:ascii="Cambria Math" w:hAnsi="Cambria Math" w:cstheme="minorHAnsi"/>
                            <w:color w:val="000000"/>
                            <w:sz w:val="16"/>
                            <w:lang w:val="en-GB"/>
                          </w:rPr>
                          <m:t>2</m:t>
                        </m:r>
                      </m:sub>
                    </m:sSub>
                    <m:r>
                      <w:rPr>
                        <w:rFonts w:ascii="Cambria Math" w:hAnsi="Cambria Math" w:cstheme="minorHAnsi"/>
                        <w:color w:val="000000"/>
                        <w:sz w:val="16"/>
                        <w:lang w:val="en-GB"/>
                      </w:rPr>
                      <m:t>,</m:t>
                    </m:r>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w</m:t>
                        </m:r>
                      </m:e>
                      <m:sub>
                        <m:r>
                          <w:rPr>
                            <w:rFonts w:ascii="Cambria Math" w:hAnsi="Cambria Math" w:cstheme="minorHAnsi"/>
                            <w:color w:val="000000"/>
                            <w:sz w:val="16"/>
                            <w:lang w:val="en-GB"/>
                          </w:rPr>
                          <m:t>2</m:t>
                        </m:r>
                      </m:sub>
                    </m:sSub>
                  </m:e>
                </m:d>
                <m:r>
                  <w:rPr>
                    <w:rFonts w:ascii="Cambria Math" w:hAnsi="Cambria Math" w:cstheme="minorHAnsi"/>
                    <w:color w:val="000000"/>
                    <w:sz w:val="16"/>
                    <w:lang w:val="en-GB"/>
                  </w:rPr>
                  <m:t>≥…≥Corr</m:t>
                </m:r>
                <m:d>
                  <m:dPr>
                    <m:ctrlPr>
                      <w:rPr>
                        <w:rFonts w:ascii="Cambria Math" w:hAnsi="Cambria Math" w:cstheme="minorHAnsi"/>
                        <w:i/>
                        <w:color w:val="000000"/>
                        <w:sz w:val="16"/>
                        <w:lang w:val="en-GB"/>
                      </w:rPr>
                    </m:ctrlPr>
                  </m:d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v</m:t>
                        </m:r>
                      </m:e>
                      <m:sub>
                        <m:r>
                          <w:rPr>
                            <w:rFonts w:ascii="Cambria Math" w:hAnsi="Cambria Math" w:cstheme="minorHAnsi"/>
                            <w:color w:val="000000"/>
                            <w:sz w:val="16"/>
                            <w:lang w:val="en-GB"/>
                          </w:rPr>
                          <m:t>M</m:t>
                        </m:r>
                      </m:sub>
                    </m:sSub>
                    <m:r>
                      <w:rPr>
                        <w:rFonts w:ascii="Cambria Math" w:hAnsi="Cambria Math" w:cstheme="minorHAnsi"/>
                        <w:color w:val="000000"/>
                        <w:sz w:val="16"/>
                        <w:lang w:val="en-GB"/>
                      </w:rPr>
                      <m:t>,</m:t>
                    </m:r>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w</m:t>
                        </m:r>
                      </m:e>
                      <m:sub>
                        <m:r>
                          <w:rPr>
                            <w:rFonts w:ascii="Cambria Math" w:hAnsi="Cambria Math" w:cstheme="minorHAnsi"/>
                            <w:color w:val="000000"/>
                            <w:sz w:val="16"/>
                            <w:lang w:val="en-GB"/>
                          </w:rPr>
                          <m:t>M</m:t>
                        </m:r>
                      </m:sub>
                    </m:sSub>
                  </m:e>
                </m:d>
                <m:r>
                  <w:rPr>
                    <w:rFonts w:ascii="Cambria Math" w:hAnsi="Cambria Math" w:cstheme="minorHAnsi"/>
                    <w:color w:val="000000"/>
                    <w:sz w:val="16"/>
                    <w:lang w:val="en-GB"/>
                  </w:rPr>
                  <m:t>≥0</m:t>
                </m:r>
              </m:oMath>
            </m:oMathPara>
          </w:p>
        </w:tc>
        <w:tc>
          <w:tcPr>
            <w:tcW w:w="815" w:type="dxa"/>
            <w:shd w:val="clear" w:color="auto" w:fill="auto"/>
            <w:vAlign w:val="center"/>
          </w:tcPr>
          <w:p w14:paraId="225D232D" w14:textId="7CCD8830" w:rsidR="005229F9" w:rsidRPr="00B57B36" w:rsidRDefault="005229F9" w:rsidP="00537DBA">
            <w:pPr>
              <w:pStyle w:val="CETEquation"/>
              <w:jc w:val="right"/>
            </w:pPr>
            <w:r w:rsidRPr="00B57B36">
              <w:t>(</w:t>
            </w:r>
            <w:r>
              <w:t>2a</w:t>
            </w:r>
            <w:r w:rsidRPr="00B57B36">
              <w:t>)</w:t>
            </w:r>
          </w:p>
        </w:tc>
      </w:tr>
      <w:tr w:rsidR="005229F9" w:rsidRPr="00B57B36" w14:paraId="456CEB97" w14:textId="77777777" w:rsidTr="00537DBA">
        <w:tc>
          <w:tcPr>
            <w:tcW w:w="8188" w:type="dxa"/>
            <w:shd w:val="clear" w:color="auto" w:fill="auto"/>
            <w:vAlign w:val="center"/>
          </w:tcPr>
          <w:p w14:paraId="52F9A780" w14:textId="4C5FB95B" w:rsidR="005229F9" w:rsidRPr="0000270D" w:rsidRDefault="005229F9" w:rsidP="0000270D">
            <w:pPr>
              <w:pStyle w:val="CETBodytext"/>
              <w:ind w:firstLine="284"/>
              <w:jc w:val="left"/>
              <w:rPr>
                <w:rFonts w:cs="Calibri"/>
                <w:color w:val="000000"/>
                <w:sz w:val="16"/>
                <w:lang w:val="en-GB"/>
              </w:rPr>
            </w:pPr>
            <m:oMathPara>
              <m:oMathParaPr>
                <m:jc m:val="left"/>
              </m:oMathParaPr>
              <m:oMath>
                <m:r>
                  <w:rPr>
                    <w:rFonts w:ascii="Cambria Math" w:hAnsi="Cambria Math" w:cstheme="minorHAnsi"/>
                    <w:color w:val="000000"/>
                    <w:sz w:val="16"/>
                    <w:lang w:val="en-GB"/>
                  </w:rPr>
                  <m:t>Corr</m:t>
                </m:r>
                <m:d>
                  <m:dPr>
                    <m:ctrlPr>
                      <w:rPr>
                        <w:rFonts w:ascii="Cambria Math" w:hAnsi="Cambria Math" w:cstheme="minorHAnsi"/>
                        <w:i/>
                        <w:color w:val="000000"/>
                        <w:sz w:val="16"/>
                        <w:lang w:val="en-GB"/>
                      </w:rPr>
                    </m:ctrlPr>
                  </m:d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v</m:t>
                        </m:r>
                      </m:e>
                      <m:sub>
                        <m:r>
                          <w:rPr>
                            <w:rFonts w:ascii="Cambria Math" w:hAnsi="Cambria Math" w:cstheme="minorHAnsi"/>
                            <w:color w:val="000000"/>
                            <w:sz w:val="16"/>
                            <w:lang w:val="en-GB"/>
                          </w:rPr>
                          <m:t>k</m:t>
                        </m:r>
                      </m:sub>
                    </m:sSub>
                    <m:r>
                      <w:rPr>
                        <w:rFonts w:ascii="Cambria Math" w:hAnsi="Cambria Math" w:cstheme="minorHAnsi"/>
                        <w:color w:val="000000"/>
                        <w:sz w:val="16"/>
                        <w:lang w:val="en-GB"/>
                      </w:rPr>
                      <m:t>,</m:t>
                    </m:r>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w</m:t>
                        </m:r>
                      </m:e>
                      <m:sub>
                        <m:r>
                          <w:rPr>
                            <w:rFonts w:ascii="Cambria Math" w:hAnsi="Cambria Math" w:cstheme="minorHAnsi"/>
                            <w:color w:val="000000"/>
                            <w:sz w:val="16"/>
                            <w:lang w:val="en-GB"/>
                          </w:rPr>
                          <m:t>m</m:t>
                        </m:r>
                      </m:sub>
                    </m:sSub>
                  </m:e>
                </m:d>
                <m:r>
                  <w:rPr>
                    <w:rFonts w:ascii="Cambria Math" w:hAnsi="Cambria Math" w:cstheme="minorHAnsi"/>
                    <w:color w:val="000000"/>
                    <w:sz w:val="16"/>
                    <w:lang w:val="en-GB"/>
                  </w:rPr>
                  <m:t>=</m:t>
                </m:r>
                <m:d>
                  <m:dPr>
                    <m:begChr m:val="{"/>
                    <m:endChr m:val=""/>
                    <m:ctrlPr>
                      <w:rPr>
                        <w:rFonts w:ascii="Cambria Math" w:hAnsi="Cambria Math" w:cstheme="minorHAnsi"/>
                        <w:i/>
                        <w:color w:val="000000"/>
                        <w:sz w:val="16"/>
                        <w:lang w:val="en-GB"/>
                      </w:rPr>
                    </m:ctrlPr>
                  </m:dPr>
                  <m:e>
                    <m:eqArr>
                      <m:eqArrPr>
                        <m:ctrlPr>
                          <w:rPr>
                            <w:rFonts w:ascii="Cambria Math" w:hAnsi="Cambria Math" w:cstheme="minorHAnsi"/>
                            <w:i/>
                            <w:color w:val="000000"/>
                            <w:sz w:val="16"/>
                            <w:lang w:val="en-GB"/>
                          </w:rPr>
                        </m:ctrlPr>
                      </m:eqArr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r</m:t>
                            </m:r>
                          </m:e>
                          <m:sub>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C</m:t>
                                </m:r>
                              </m:e>
                              <m:sub>
                                <m:r>
                                  <w:rPr>
                                    <w:rFonts w:ascii="Cambria Math" w:hAnsi="Cambria Math" w:cstheme="minorHAnsi"/>
                                    <w:color w:val="000000"/>
                                    <w:sz w:val="16"/>
                                    <w:lang w:val="en-GB"/>
                                  </w:rPr>
                                  <m:t>m</m:t>
                                </m:r>
                              </m:sub>
                            </m:sSub>
                          </m:sub>
                        </m:sSub>
                        <m:r>
                          <w:rPr>
                            <w:rFonts w:ascii="Cambria Math" w:hAnsi="Cambria Math" w:cstheme="minorHAnsi"/>
                            <w:color w:val="000000"/>
                            <w:sz w:val="16"/>
                            <w:lang w:val="en-GB"/>
                          </w:rPr>
                          <m:t>,   k=m</m:t>
                        </m:r>
                      </m:e>
                      <m:e>
                        <m:r>
                          <w:rPr>
                            <w:rFonts w:ascii="Cambria Math" w:hAnsi="Cambria Math" w:cstheme="minorHAnsi"/>
                            <w:color w:val="000000"/>
                            <w:sz w:val="16"/>
                            <w:lang w:val="en-GB"/>
                          </w:rPr>
                          <m:t>0,   k≠m</m:t>
                        </m:r>
                      </m:e>
                    </m:eqArr>
                  </m:e>
                </m:d>
              </m:oMath>
            </m:oMathPara>
          </w:p>
        </w:tc>
        <w:tc>
          <w:tcPr>
            <w:tcW w:w="815" w:type="dxa"/>
            <w:shd w:val="clear" w:color="auto" w:fill="auto"/>
            <w:vAlign w:val="center"/>
          </w:tcPr>
          <w:p w14:paraId="4E9BADF2" w14:textId="13B8A95F" w:rsidR="005229F9" w:rsidRPr="00B57B36" w:rsidRDefault="00CE06E2" w:rsidP="00537DBA">
            <w:pPr>
              <w:pStyle w:val="CETEquation"/>
              <w:jc w:val="right"/>
            </w:pPr>
            <w:r w:rsidRPr="00B57B36">
              <w:t>(</w:t>
            </w:r>
            <w:r>
              <w:t>2b</w:t>
            </w:r>
            <w:r w:rsidRPr="00B57B36">
              <w:t>)</w:t>
            </w:r>
          </w:p>
        </w:tc>
      </w:tr>
      <w:tr w:rsidR="00CE06E2" w:rsidRPr="00B57B36" w14:paraId="03E1705C" w14:textId="77777777" w:rsidTr="00537DBA">
        <w:tc>
          <w:tcPr>
            <w:tcW w:w="8188" w:type="dxa"/>
            <w:shd w:val="clear" w:color="auto" w:fill="auto"/>
            <w:vAlign w:val="center"/>
          </w:tcPr>
          <w:p w14:paraId="7F3CA448" w14:textId="0A5A0BD3" w:rsidR="00CE06E2" w:rsidRPr="0000270D" w:rsidRDefault="00CE06E2" w:rsidP="0000270D">
            <w:pPr>
              <w:pStyle w:val="CETBodytext"/>
              <w:ind w:firstLine="284"/>
              <w:jc w:val="left"/>
              <w:rPr>
                <w:color w:val="000000"/>
                <w:sz w:val="16"/>
                <w:lang w:val="en-GB"/>
              </w:rPr>
            </w:pPr>
            <m:oMathPara>
              <m:oMathParaPr>
                <m:jc m:val="left"/>
              </m:oMathParaPr>
              <m:oMath>
                <m:r>
                  <w:rPr>
                    <w:rFonts w:ascii="Cambria Math" w:hAnsi="Cambria Math" w:cstheme="minorHAnsi"/>
                    <w:color w:val="000000"/>
                    <w:sz w:val="16"/>
                    <w:lang w:val="en-GB"/>
                  </w:rPr>
                  <m:t>Corr</m:t>
                </m:r>
                <m:d>
                  <m:dPr>
                    <m:ctrlPr>
                      <w:rPr>
                        <w:rFonts w:ascii="Cambria Math" w:hAnsi="Cambria Math" w:cstheme="minorHAnsi"/>
                        <w:i/>
                        <w:color w:val="000000"/>
                        <w:sz w:val="16"/>
                        <w:lang w:val="en-GB"/>
                      </w:rPr>
                    </m:ctrlPr>
                  </m:d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v</m:t>
                        </m:r>
                      </m:e>
                      <m:sub>
                        <m:r>
                          <w:rPr>
                            <w:rFonts w:ascii="Cambria Math" w:hAnsi="Cambria Math" w:cstheme="minorHAnsi"/>
                            <w:color w:val="000000"/>
                            <w:sz w:val="16"/>
                            <w:lang w:val="en-GB"/>
                          </w:rPr>
                          <m:t>k</m:t>
                        </m:r>
                      </m:sub>
                    </m:sSub>
                    <m:r>
                      <w:rPr>
                        <w:rFonts w:ascii="Cambria Math" w:hAnsi="Cambria Math" w:cstheme="minorHAnsi"/>
                        <w:color w:val="000000"/>
                        <w:sz w:val="16"/>
                        <w:lang w:val="en-GB"/>
                      </w:rPr>
                      <m:t>,</m:t>
                    </m:r>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v</m:t>
                        </m:r>
                      </m:e>
                      <m:sub>
                        <m:r>
                          <w:rPr>
                            <w:rFonts w:ascii="Cambria Math" w:hAnsi="Cambria Math" w:cstheme="minorHAnsi"/>
                            <w:color w:val="000000"/>
                            <w:sz w:val="16"/>
                            <w:lang w:val="en-GB"/>
                          </w:rPr>
                          <m:t>m</m:t>
                        </m:r>
                      </m:sub>
                    </m:sSub>
                  </m:e>
                </m:d>
                <m:r>
                  <w:rPr>
                    <w:rFonts w:ascii="Cambria Math" w:hAnsi="Cambria Math" w:cstheme="minorHAnsi"/>
                    <w:color w:val="000000"/>
                    <w:sz w:val="16"/>
                    <w:lang w:val="en-GB"/>
                  </w:rPr>
                  <m:t>=Corr</m:t>
                </m:r>
                <m:d>
                  <m:dPr>
                    <m:ctrlPr>
                      <w:rPr>
                        <w:rFonts w:ascii="Cambria Math" w:hAnsi="Cambria Math" w:cstheme="minorHAnsi"/>
                        <w:i/>
                        <w:color w:val="000000"/>
                        <w:sz w:val="16"/>
                        <w:lang w:val="en-GB"/>
                      </w:rPr>
                    </m:ctrlPr>
                  </m:dPr>
                  <m:e>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w</m:t>
                        </m:r>
                      </m:e>
                      <m:sub>
                        <m:r>
                          <w:rPr>
                            <w:rFonts w:ascii="Cambria Math" w:hAnsi="Cambria Math" w:cstheme="minorHAnsi"/>
                            <w:color w:val="000000"/>
                            <w:sz w:val="16"/>
                            <w:lang w:val="en-GB"/>
                          </w:rPr>
                          <m:t>k</m:t>
                        </m:r>
                      </m:sub>
                    </m:sSub>
                    <m:r>
                      <w:rPr>
                        <w:rFonts w:ascii="Cambria Math" w:hAnsi="Cambria Math" w:cstheme="minorHAnsi"/>
                        <w:color w:val="000000"/>
                        <w:sz w:val="16"/>
                        <w:lang w:val="en-GB"/>
                      </w:rPr>
                      <m:t>,</m:t>
                    </m:r>
                    <m:sSub>
                      <m:sSubPr>
                        <m:ctrlPr>
                          <w:rPr>
                            <w:rFonts w:ascii="Cambria Math" w:hAnsi="Cambria Math" w:cstheme="minorHAnsi"/>
                            <w:i/>
                            <w:color w:val="000000"/>
                            <w:sz w:val="16"/>
                            <w:lang w:val="en-GB"/>
                          </w:rPr>
                        </m:ctrlPr>
                      </m:sSubPr>
                      <m:e>
                        <m:r>
                          <w:rPr>
                            <w:rFonts w:ascii="Cambria Math" w:hAnsi="Cambria Math" w:cstheme="minorHAnsi"/>
                            <w:color w:val="000000"/>
                            <w:sz w:val="16"/>
                            <w:lang w:val="en-GB"/>
                          </w:rPr>
                          <m:t>w</m:t>
                        </m:r>
                      </m:e>
                      <m:sub>
                        <m:r>
                          <w:rPr>
                            <w:rFonts w:ascii="Cambria Math" w:hAnsi="Cambria Math" w:cstheme="minorHAnsi"/>
                            <w:color w:val="000000"/>
                            <w:sz w:val="16"/>
                            <w:lang w:val="en-GB"/>
                          </w:rPr>
                          <m:t>m</m:t>
                        </m:r>
                      </m:sub>
                    </m:sSub>
                  </m:e>
                </m:d>
                <m:r>
                  <w:rPr>
                    <w:rFonts w:ascii="Cambria Math" w:hAnsi="Cambria Math"/>
                    <w:color w:val="000000"/>
                    <w:sz w:val="16"/>
                    <w:lang w:val="en-GB"/>
                  </w:rPr>
                  <m:t xml:space="preserve">=0,   </m:t>
                </m:r>
                <m:r>
                  <w:rPr>
                    <w:rFonts w:ascii="Cambria Math" w:hAnsi="Cambria Math" w:cstheme="minorHAnsi"/>
                    <w:color w:val="000000"/>
                    <w:sz w:val="16"/>
                    <w:lang w:val="en-GB"/>
                  </w:rPr>
                  <m:t>k≠m</m:t>
                </m:r>
              </m:oMath>
            </m:oMathPara>
          </w:p>
        </w:tc>
        <w:tc>
          <w:tcPr>
            <w:tcW w:w="815" w:type="dxa"/>
            <w:shd w:val="clear" w:color="auto" w:fill="auto"/>
            <w:vAlign w:val="center"/>
          </w:tcPr>
          <w:p w14:paraId="54776819" w14:textId="7FE86048" w:rsidR="00CE06E2" w:rsidRPr="00B57B36" w:rsidRDefault="00CE06E2" w:rsidP="00CE06E2">
            <w:pPr>
              <w:pStyle w:val="CETEquation"/>
              <w:jc w:val="right"/>
            </w:pPr>
            <w:r w:rsidRPr="00B57B36">
              <w:t>(</w:t>
            </w:r>
            <w:r>
              <w:t>2c</w:t>
            </w:r>
            <w:r w:rsidRPr="00B57B36">
              <w:t>)</w:t>
            </w:r>
          </w:p>
        </w:tc>
      </w:tr>
    </w:tbl>
    <w:p w14:paraId="7FA33C08" w14:textId="53079B34" w:rsidR="005229F9" w:rsidRDefault="00CE06E2" w:rsidP="00943B6C">
      <w:pPr>
        <w:pStyle w:val="CETBodytext"/>
        <w:rPr>
          <w:rFonts w:cstheme="minorHAnsi"/>
          <w:color w:val="000000"/>
          <w:lang w:val="en-GB"/>
        </w:rPr>
      </w:pPr>
      <w:r>
        <w:rPr>
          <w:rFonts w:cstheme="minorHAnsi"/>
          <w:color w:val="000000"/>
          <w:lang w:val="en-GB"/>
        </w:rPr>
        <w:t>and</w:t>
      </w:r>
    </w:p>
    <w:tbl>
      <w:tblPr>
        <w:tblW w:w="5000" w:type="pct"/>
        <w:tblLook w:val="04A0" w:firstRow="1" w:lastRow="0" w:firstColumn="1" w:lastColumn="0" w:noHBand="0" w:noVBand="1"/>
      </w:tblPr>
      <w:tblGrid>
        <w:gridCol w:w="7980"/>
        <w:gridCol w:w="807"/>
      </w:tblGrid>
      <w:tr w:rsidR="00CE06E2" w:rsidRPr="00B57B36" w14:paraId="01B6D217" w14:textId="77777777" w:rsidTr="00537DBA">
        <w:tc>
          <w:tcPr>
            <w:tcW w:w="8188" w:type="dxa"/>
            <w:shd w:val="clear" w:color="auto" w:fill="auto"/>
            <w:vAlign w:val="center"/>
          </w:tcPr>
          <w:p w14:paraId="281F6E97" w14:textId="2F185D4B" w:rsidR="00CE06E2" w:rsidRPr="0000270D" w:rsidRDefault="00CE06E2" w:rsidP="00537DBA">
            <w:pPr>
              <w:pStyle w:val="CETBodytext"/>
              <w:ind w:firstLine="284"/>
            </w:pPr>
            <m:oMathPara>
              <m:oMathParaPr>
                <m:jc m:val="left"/>
              </m:oMathParaPr>
              <m:oMath>
                <m:r>
                  <w:rPr>
                    <w:rFonts w:ascii="Cambria Math" w:hAnsi="Cambria Math" w:cstheme="minorHAnsi"/>
                    <w:color w:val="000000"/>
                    <w:lang w:val="en-GB"/>
                  </w:rPr>
                  <w:lastRenderedPageBreak/>
                  <m:t>Var</m:t>
                </m:r>
                <m:d>
                  <m:dPr>
                    <m:ctrlPr>
                      <w:rPr>
                        <w:rFonts w:ascii="Cambria Math" w:hAnsi="Cambria Math" w:cstheme="minorHAnsi"/>
                        <w:i/>
                        <w:color w:val="000000"/>
                        <w:lang w:val="en-GB"/>
                      </w:rPr>
                    </m:ctrlPr>
                  </m:dPr>
                  <m:e>
                    <m:sSub>
                      <m:sSubPr>
                        <m:ctrlPr>
                          <w:rPr>
                            <w:rFonts w:ascii="Cambria Math" w:hAnsi="Cambria Math" w:cstheme="minorHAnsi"/>
                            <w:i/>
                            <w:color w:val="000000"/>
                            <w:lang w:val="en-GB"/>
                          </w:rPr>
                        </m:ctrlPr>
                      </m:sSubPr>
                      <m:e>
                        <m:r>
                          <w:rPr>
                            <w:rFonts w:ascii="Cambria Math" w:hAnsi="Cambria Math" w:cstheme="minorHAnsi"/>
                            <w:color w:val="000000"/>
                            <w:lang w:val="en-GB"/>
                          </w:rPr>
                          <m:t>v</m:t>
                        </m:r>
                      </m:e>
                      <m:sub>
                        <m:r>
                          <w:rPr>
                            <w:rFonts w:ascii="Cambria Math" w:hAnsi="Cambria Math" w:cstheme="minorHAnsi"/>
                            <w:color w:val="000000"/>
                            <w:lang w:val="en-GB"/>
                          </w:rPr>
                          <m:t>m</m:t>
                        </m:r>
                      </m:sub>
                    </m:sSub>
                  </m:e>
                </m:d>
                <m:r>
                  <w:rPr>
                    <w:rFonts w:ascii="Cambria Math" w:hAnsi="Cambria Math" w:cstheme="minorHAnsi"/>
                    <w:color w:val="000000"/>
                    <w:lang w:val="en-GB"/>
                  </w:rPr>
                  <m:t>=Var</m:t>
                </m:r>
                <m:d>
                  <m:dPr>
                    <m:ctrlPr>
                      <w:rPr>
                        <w:rFonts w:ascii="Cambria Math" w:hAnsi="Cambria Math" w:cstheme="minorHAnsi"/>
                        <w:i/>
                        <w:color w:val="000000"/>
                        <w:lang w:val="en-GB"/>
                      </w:rPr>
                    </m:ctrlPr>
                  </m:dPr>
                  <m:e>
                    <m:sSub>
                      <m:sSubPr>
                        <m:ctrlPr>
                          <w:rPr>
                            <w:rFonts w:ascii="Cambria Math" w:hAnsi="Cambria Math" w:cstheme="minorHAnsi"/>
                            <w:i/>
                            <w:color w:val="000000"/>
                            <w:lang w:val="en-GB"/>
                          </w:rPr>
                        </m:ctrlPr>
                      </m:sSubPr>
                      <m:e>
                        <m:r>
                          <w:rPr>
                            <w:rFonts w:ascii="Cambria Math" w:hAnsi="Cambria Math" w:cstheme="minorHAnsi"/>
                            <w:color w:val="000000"/>
                            <w:lang w:val="en-GB"/>
                          </w:rPr>
                          <m:t>w</m:t>
                        </m:r>
                      </m:e>
                      <m:sub>
                        <m:r>
                          <w:rPr>
                            <w:rFonts w:ascii="Cambria Math" w:hAnsi="Cambria Math" w:cstheme="minorHAnsi"/>
                            <w:color w:val="000000"/>
                            <w:lang w:val="en-GB"/>
                          </w:rPr>
                          <m:t>m</m:t>
                        </m:r>
                      </m:sub>
                    </m:sSub>
                  </m:e>
                </m:d>
                <m:r>
                  <w:rPr>
                    <w:rFonts w:ascii="Cambria Math" w:hAnsi="Cambria Math" w:cstheme="minorHAnsi"/>
                    <w:color w:val="000000"/>
                    <w:lang w:val="en-GB"/>
                  </w:rPr>
                  <m:t>=1,   m=1,…,M</m:t>
                </m:r>
              </m:oMath>
            </m:oMathPara>
          </w:p>
        </w:tc>
        <w:tc>
          <w:tcPr>
            <w:tcW w:w="815" w:type="dxa"/>
            <w:shd w:val="clear" w:color="auto" w:fill="auto"/>
            <w:vAlign w:val="center"/>
          </w:tcPr>
          <w:p w14:paraId="58E26E85" w14:textId="274D608F" w:rsidR="00CE06E2" w:rsidRPr="00B57B36" w:rsidRDefault="00CE06E2" w:rsidP="00537DBA">
            <w:pPr>
              <w:pStyle w:val="CETEquation"/>
              <w:jc w:val="right"/>
            </w:pPr>
            <w:r w:rsidRPr="00B57B36">
              <w:t>(</w:t>
            </w:r>
            <w:r>
              <w:t>2d</w:t>
            </w:r>
            <w:r w:rsidRPr="00B57B36">
              <w:t>)</w:t>
            </w:r>
          </w:p>
        </w:tc>
      </w:tr>
    </w:tbl>
    <w:p w14:paraId="76AA264B" w14:textId="528709D5" w:rsidR="001277B9" w:rsidRDefault="00CE06E2" w:rsidP="00943B6C">
      <w:pPr>
        <w:pStyle w:val="CETBodytext"/>
        <w:rPr>
          <w:rFonts w:cstheme="minorHAnsi"/>
          <w:color w:val="000000"/>
          <w:lang w:val="en-GB"/>
        </w:rPr>
      </w:pPr>
      <w:r w:rsidRPr="00CE06E2">
        <w:rPr>
          <w:rFonts w:cstheme="minorHAnsi"/>
          <w:color w:val="000000"/>
          <w:lang w:val="en-GB"/>
        </w:rPr>
        <w:t xml:space="preserve">Equation </w:t>
      </w:r>
      <w:r>
        <w:rPr>
          <w:rFonts w:cstheme="minorHAnsi"/>
          <w:color w:val="000000"/>
          <w:lang w:val="en-GB"/>
        </w:rPr>
        <w:t>2a</w:t>
      </w:r>
      <w:r w:rsidRPr="00CE06E2">
        <w:rPr>
          <w:rFonts w:cstheme="minorHAnsi"/>
          <w:color w:val="000000"/>
          <w:lang w:val="en-GB"/>
        </w:rPr>
        <w:t xml:space="preserve"> states that each of the M successive pairs of canonical variates exhibits no greater correlation than the previous pair</w:t>
      </w:r>
      <w:r>
        <w:rPr>
          <w:rFonts w:cstheme="minorHAnsi"/>
          <w:color w:val="000000"/>
          <w:lang w:val="en-GB"/>
        </w:rPr>
        <w:t xml:space="preserve"> and t</w:t>
      </w:r>
      <w:r w:rsidRPr="00CE06E2">
        <w:rPr>
          <w:rFonts w:cstheme="minorHAnsi"/>
          <w:color w:val="000000"/>
          <w:lang w:val="en-GB"/>
        </w:rPr>
        <w:t xml:space="preserve">hese correlations between the pairs of canonical variates are called the canonical correlations, </w:t>
      </w:r>
      <w:r w:rsidRPr="00B15ADD">
        <w:rPr>
          <w:rFonts w:cstheme="minorHAnsi"/>
          <w:i/>
          <w:color w:val="000000"/>
          <w:lang w:val="en-GB"/>
        </w:rPr>
        <w:t>r</w:t>
      </w:r>
      <w:r w:rsidRPr="00B15ADD">
        <w:rPr>
          <w:rFonts w:cstheme="minorHAnsi"/>
          <w:i/>
          <w:color w:val="000000"/>
          <w:vertAlign w:val="subscript"/>
          <w:lang w:val="en-GB"/>
        </w:rPr>
        <w:t>C</w:t>
      </w:r>
      <w:r w:rsidR="001277B9">
        <w:rPr>
          <w:rFonts w:cstheme="minorHAnsi"/>
          <w:color w:val="000000"/>
          <w:lang w:val="en-GB"/>
        </w:rPr>
        <w:t xml:space="preserve">, </w:t>
      </w:r>
      <w:r w:rsidR="001277B9" w:rsidRPr="001277B9">
        <w:rPr>
          <w:rFonts w:cstheme="minorHAnsi"/>
          <w:color w:val="000000"/>
          <w:lang w:val="en-GB"/>
        </w:rPr>
        <w:t>where [R</w:t>
      </w:r>
      <w:r w:rsidR="001277B9" w:rsidRPr="001277B9">
        <w:rPr>
          <w:rFonts w:cstheme="minorHAnsi"/>
          <w:color w:val="000000"/>
          <w:vertAlign w:val="subscript"/>
          <w:lang w:val="en-GB"/>
        </w:rPr>
        <w:t>C</w:t>
      </w:r>
      <w:r w:rsidR="001277B9" w:rsidRPr="001277B9">
        <w:rPr>
          <w:rFonts w:cstheme="minorHAnsi"/>
          <w:color w:val="000000"/>
          <w:lang w:val="en-GB"/>
        </w:rPr>
        <w:t>] is the diagonal matrix</w:t>
      </w:r>
      <w:r w:rsidR="001277B9">
        <w:rPr>
          <w:rFonts w:cstheme="minorHAnsi"/>
          <w:color w:val="000000"/>
          <w:lang w:val="en-GB"/>
        </w:rPr>
        <w:t>:</w:t>
      </w:r>
    </w:p>
    <w:tbl>
      <w:tblPr>
        <w:tblW w:w="5000" w:type="pct"/>
        <w:tblLook w:val="04A0" w:firstRow="1" w:lastRow="0" w:firstColumn="1" w:lastColumn="0" w:noHBand="0" w:noVBand="1"/>
      </w:tblPr>
      <w:tblGrid>
        <w:gridCol w:w="7985"/>
        <w:gridCol w:w="802"/>
      </w:tblGrid>
      <w:tr w:rsidR="00077F0C" w:rsidRPr="00B57B36" w14:paraId="2DFC239D" w14:textId="77777777" w:rsidTr="00077F0C">
        <w:trPr>
          <w:trHeight w:val="680"/>
        </w:trPr>
        <w:tc>
          <w:tcPr>
            <w:tcW w:w="8188" w:type="dxa"/>
            <w:shd w:val="clear" w:color="auto" w:fill="auto"/>
            <w:vAlign w:val="center"/>
          </w:tcPr>
          <w:p w14:paraId="588119F0" w14:textId="048749A4" w:rsidR="001277B9" w:rsidRPr="0000270D" w:rsidRDefault="00A10EA0" w:rsidP="00707456">
            <w:pPr>
              <w:pStyle w:val="CETBodytext"/>
              <w:ind w:firstLine="284"/>
            </w:pPr>
            <m:oMathPara>
              <m:oMathParaPr>
                <m:jc m:val="left"/>
              </m:oMathParaPr>
              <m:oMath>
                <m:sSub>
                  <m:sSubPr>
                    <m:ctrlPr>
                      <w:rPr>
                        <w:rFonts w:ascii="Cambria Math" w:hAnsi="Cambria Math" w:cstheme="minorHAnsi"/>
                        <w:i/>
                        <w:color w:val="000000"/>
                        <w:lang w:val="en-GB"/>
                      </w:rPr>
                    </m:ctrlPr>
                  </m:sSubPr>
                  <m:e>
                    <m:r>
                      <w:rPr>
                        <w:rFonts w:ascii="Cambria Math" w:hAnsi="Cambria Math" w:cstheme="minorHAnsi"/>
                        <w:color w:val="000000"/>
                        <w:lang w:val="en-GB"/>
                      </w:rPr>
                      <m:t>[R</m:t>
                    </m:r>
                  </m:e>
                  <m:sub>
                    <m:r>
                      <w:rPr>
                        <w:rFonts w:ascii="Cambria Math" w:hAnsi="Cambria Math" w:cstheme="minorHAnsi"/>
                        <w:color w:val="000000"/>
                        <w:lang w:val="en-GB"/>
                      </w:rPr>
                      <m:t>C</m:t>
                    </m:r>
                  </m:sub>
                </m:sSub>
                <m:r>
                  <w:rPr>
                    <w:rFonts w:ascii="Cambria Math" w:hAnsi="Cambria Math" w:cstheme="minorHAnsi"/>
                    <w:color w:val="000000"/>
                    <w:lang w:val="en-GB"/>
                  </w:rPr>
                  <m:t>]=</m:t>
                </m:r>
                <m:r>
                  <w:rPr>
                    <w:rFonts w:ascii="Cambria Math" w:hAnsi="Cambria Math"/>
                    <w:color w:val="000000"/>
                    <w:lang w:val="en-GB"/>
                  </w:rPr>
                  <m:t xml:space="preserve"> </m:t>
                </m:r>
                <m:d>
                  <m:dPr>
                    <m:begChr m:val="["/>
                    <m:endChr m:val="]"/>
                    <m:ctrlPr>
                      <w:rPr>
                        <w:rFonts w:ascii="Cambria Math" w:hAnsi="Cambria Math"/>
                        <w:i/>
                        <w:color w:val="000000"/>
                        <w:lang w:val="en-GB"/>
                      </w:rPr>
                    </m:ctrlPr>
                  </m:dPr>
                  <m:e>
                    <m:m>
                      <m:mPr>
                        <m:mcs>
                          <m:mc>
                            <m:mcPr>
                              <m:count m:val="5"/>
                              <m:mcJc m:val="center"/>
                            </m:mcPr>
                          </m:mc>
                        </m:mcs>
                        <m:ctrlPr>
                          <w:rPr>
                            <w:rFonts w:ascii="Cambria Math" w:hAnsi="Cambria Math"/>
                            <w:i/>
                            <w:color w:val="000000"/>
                            <w:lang w:val="en-GB"/>
                          </w:rPr>
                        </m:ctrlPr>
                      </m:mPr>
                      <m:mr>
                        <m:e>
                          <m:sSub>
                            <m:sSubPr>
                              <m:ctrlPr>
                                <w:rPr>
                                  <w:rFonts w:ascii="Cambria Math" w:hAnsi="Cambria Math" w:cstheme="minorHAnsi"/>
                                  <w:i/>
                                  <w:color w:val="000000"/>
                                  <w:lang w:val="en-GB"/>
                                </w:rPr>
                              </m:ctrlPr>
                            </m:sSubPr>
                            <m:e>
                              <m:r>
                                <w:rPr>
                                  <w:rFonts w:ascii="Cambria Math" w:hAnsi="Cambria Math" w:cstheme="minorHAnsi"/>
                                  <w:color w:val="000000"/>
                                  <w:lang w:val="en-GB"/>
                                </w:rPr>
                                <m:t>r</m:t>
                              </m:r>
                            </m:e>
                            <m:sub>
                              <m:sSub>
                                <m:sSubPr>
                                  <m:ctrlPr>
                                    <w:rPr>
                                      <w:rFonts w:ascii="Cambria Math" w:hAnsi="Cambria Math" w:cstheme="minorHAnsi"/>
                                      <w:i/>
                                      <w:color w:val="000000"/>
                                      <w:lang w:val="en-GB"/>
                                    </w:rPr>
                                  </m:ctrlPr>
                                </m:sSubPr>
                                <m:e>
                                  <m:r>
                                    <w:rPr>
                                      <w:rFonts w:ascii="Cambria Math" w:hAnsi="Cambria Math" w:cstheme="minorHAnsi"/>
                                      <w:color w:val="000000"/>
                                      <w:lang w:val="en-GB"/>
                                    </w:rPr>
                                    <m:t>C</m:t>
                                  </m:r>
                                </m:e>
                                <m:sub>
                                  <m:r>
                                    <w:rPr>
                                      <w:rFonts w:ascii="Cambria Math" w:hAnsi="Cambria Math" w:cstheme="minorHAnsi"/>
                                      <w:color w:val="000000"/>
                                      <w:lang w:val="en-GB"/>
                                    </w:rPr>
                                    <m:t>1</m:t>
                                  </m:r>
                                </m:sub>
                              </m:sSub>
                            </m:sub>
                          </m:sSub>
                        </m:e>
                        <m:e>
                          <m:r>
                            <w:rPr>
                              <w:rFonts w:ascii="Cambria Math" w:hAnsi="Cambria Math"/>
                              <w:color w:val="000000"/>
                              <w:lang w:val="en-GB"/>
                            </w:rPr>
                            <m:t>0</m:t>
                          </m:r>
                        </m:e>
                        <m:e>
                          <m:r>
                            <w:rPr>
                              <w:rFonts w:ascii="Cambria Math" w:hAnsi="Cambria Math"/>
                              <w:color w:val="000000"/>
                              <w:lang w:val="en-GB"/>
                            </w:rPr>
                            <m:t>0</m:t>
                          </m:r>
                          <m:ctrlPr>
                            <w:rPr>
                              <w:rFonts w:ascii="Cambria Math" w:eastAsia="Cambria Math" w:hAnsi="Cambria Math" w:cs="Cambria Math"/>
                              <w:i/>
                              <w:color w:val="000000"/>
                              <w:lang w:val="en-GB"/>
                            </w:rPr>
                          </m:ctrlPr>
                        </m:e>
                        <m:e>
                          <m:r>
                            <w:rPr>
                              <w:rFonts w:ascii="Cambria Math" w:hAnsi="Cambria Math" w:cstheme="minorHAnsi"/>
                              <w:color w:val="000000"/>
                              <w:lang w:val="en-GB"/>
                            </w:rPr>
                            <m:t>⋯</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mr>
                      <m:mr>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sSub>
                            <m:sSubPr>
                              <m:ctrlPr>
                                <w:rPr>
                                  <w:rFonts w:ascii="Cambria Math" w:hAnsi="Cambria Math" w:cstheme="minorHAnsi"/>
                                  <w:i/>
                                  <w:color w:val="000000"/>
                                  <w:lang w:val="en-GB"/>
                                </w:rPr>
                              </m:ctrlPr>
                            </m:sSubPr>
                            <m:e>
                              <m:r>
                                <w:rPr>
                                  <w:rFonts w:ascii="Cambria Math" w:hAnsi="Cambria Math" w:cstheme="minorHAnsi"/>
                                  <w:color w:val="000000"/>
                                  <w:lang w:val="en-GB"/>
                                </w:rPr>
                                <m:t>r</m:t>
                              </m:r>
                            </m:e>
                            <m:sub>
                              <m:sSub>
                                <m:sSubPr>
                                  <m:ctrlPr>
                                    <w:rPr>
                                      <w:rFonts w:ascii="Cambria Math" w:hAnsi="Cambria Math" w:cstheme="minorHAnsi"/>
                                      <w:i/>
                                      <w:color w:val="000000"/>
                                      <w:lang w:val="en-GB"/>
                                    </w:rPr>
                                  </m:ctrlPr>
                                </m:sSubPr>
                                <m:e>
                                  <m:r>
                                    <w:rPr>
                                      <w:rFonts w:ascii="Cambria Math" w:hAnsi="Cambria Math" w:cstheme="minorHAnsi"/>
                                      <w:color w:val="000000"/>
                                      <w:lang w:val="en-GB"/>
                                    </w:rPr>
                                    <m:t>C</m:t>
                                  </m:r>
                                </m:e>
                                <m:sub>
                                  <m:r>
                                    <w:rPr>
                                      <w:rFonts w:ascii="Cambria Math" w:hAnsi="Cambria Math" w:cstheme="minorHAnsi"/>
                                      <w:color w:val="000000"/>
                                      <w:lang w:val="en-GB"/>
                                    </w:rPr>
                                    <m:t>2</m:t>
                                  </m:r>
                                </m:sub>
                              </m:sSub>
                            </m:sub>
                          </m:sSub>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r>
                            <w:rPr>
                              <w:rFonts w:ascii="Cambria Math" w:hAnsi="Cambria Math" w:cstheme="minorHAnsi"/>
                              <w:color w:val="000000"/>
                              <w:lang w:val="en-GB"/>
                            </w:rPr>
                            <m:t>⋯</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mr>
                      <m:mr>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sSub>
                            <m:sSubPr>
                              <m:ctrlPr>
                                <w:rPr>
                                  <w:rFonts w:ascii="Cambria Math" w:hAnsi="Cambria Math" w:cstheme="minorHAnsi"/>
                                  <w:i/>
                                  <w:color w:val="000000"/>
                                  <w:lang w:val="en-GB"/>
                                </w:rPr>
                              </m:ctrlPr>
                            </m:sSubPr>
                            <m:e>
                              <m:r>
                                <w:rPr>
                                  <w:rFonts w:ascii="Cambria Math" w:hAnsi="Cambria Math" w:cstheme="minorHAnsi"/>
                                  <w:color w:val="000000"/>
                                  <w:lang w:val="en-GB"/>
                                </w:rPr>
                                <m:t>r</m:t>
                              </m:r>
                            </m:e>
                            <m:sub>
                              <m:sSub>
                                <m:sSubPr>
                                  <m:ctrlPr>
                                    <w:rPr>
                                      <w:rFonts w:ascii="Cambria Math" w:hAnsi="Cambria Math" w:cstheme="minorHAnsi"/>
                                      <w:i/>
                                      <w:color w:val="000000"/>
                                      <w:lang w:val="en-GB"/>
                                    </w:rPr>
                                  </m:ctrlPr>
                                </m:sSubPr>
                                <m:e>
                                  <m:r>
                                    <w:rPr>
                                      <w:rFonts w:ascii="Cambria Math" w:hAnsi="Cambria Math" w:cstheme="minorHAnsi"/>
                                      <w:color w:val="000000"/>
                                      <w:lang w:val="en-GB"/>
                                    </w:rPr>
                                    <m:t>C</m:t>
                                  </m:r>
                                </m:e>
                                <m:sub>
                                  <m:r>
                                    <w:rPr>
                                      <w:rFonts w:ascii="Cambria Math" w:hAnsi="Cambria Math" w:cstheme="minorHAnsi"/>
                                      <w:color w:val="000000"/>
                                      <w:lang w:val="en-GB"/>
                                    </w:rPr>
                                    <m:t>3</m:t>
                                  </m:r>
                                </m:sub>
                              </m:sSub>
                            </m:sub>
                          </m:sSub>
                          <m:ctrlPr>
                            <w:rPr>
                              <w:rFonts w:ascii="Cambria Math" w:eastAsia="Cambria Math" w:hAnsi="Cambria Math" w:cs="Cambria Math"/>
                              <w:i/>
                              <w:color w:val="000000"/>
                              <w:lang w:val="en-GB"/>
                            </w:rPr>
                          </m:ctrlPr>
                        </m:e>
                        <m:e>
                          <m:r>
                            <w:rPr>
                              <w:rFonts w:ascii="Cambria Math" w:hAnsi="Cambria Math" w:cstheme="minorHAnsi"/>
                              <w:color w:val="000000"/>
                              <w:lang w:val="en-GB"/>
                            </w:rPr>
                            <m:t>⋯</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mr>
                      <m:mr>
                        <m:e>
                          <m:r>
                            <w:rPr>
                              <w:rFonts w:ascii="Cambria Math" w:hAnsi="Cambria Math"/>
                              <w:color w:val="000000"/>
                              <w:lang w:val="en-GB"/>
                            </w:rPr>
                            <m:t>⋮</m:t>
                          </m:r>
                        </m:e>
                        <m:e>
                          <m:r>
                            <w:rPr>
                              <w:rFonts w:ascii="Cambria Math" w:hAnsi="Cambria Math"/>
                              <w:color w:val="000000"/>
                              <w:lang w:val="en-GB"/>
                            </w:rPr>
                            <m:t>⋮</m:t>
                          </m:r>
                          <m:ctrlPr>
                            <w:rPr>
                              <w:rFonts w:ascii="Cambria Math" w:eastAsia="Cambria Math" w:hAnsi="Cambria Math" w:cs="Cambria Math"/>
                              <w:i/>
                              <w:color w:val="000000"/>
                              <w:lang w:val="en-GB"/>
                            </w:rPr>
                          </m:ctrlPr>
                        </m:e>
                        <m:e>
                          <m:r>
                            <w:rPr>
                              <w:rFonts w:ascii="Cambria Math" w:hAnsi="Cambria Math"/>
                              <w:color w:val="000000"/>
                              <w:lang w:val="en-GB"/>
                            </w:rPr>
                            <m:t>⋮</m:t>
                          </m:r>
                          <m:ctrlPr>
                            <w:rPr>
                              <w:rFonts w:ascii="Cambria Math" w:eastAsia="Cambria Math" w:hAnsi="Cambria Math" w:cs="Cambria Math"/>
                              <w:i/>
                              <w:color w:val="000000"/>
                              <w:lang w:val="en-GB"/>
                            </w:rPr>
                          </m:ctrlPr>
                        </m:e>
                        <m:e>
                          <m:r>
                            <w:rPr>
                              <w:rFonts w:ascii="Cambria Math" w:hAnsi="Cambria Math"/>
                              <w:color w:val="000000"/>
                              <w:lang w:val="en-GB"/>
                            </w:rPr>
                            <m:t>⋱</m:t>
                          </m:r>
                          <m:ctrlPr>
                            <w:rPr>
                              <w:rFonts w:ascii="Cambria Math" w:eastAsia="Cambria Math" w:hAnsi="Cambria Math" w:cs="Cambria Math"/>
                              <w:i/>
                              <w:color w:val="000000"/>
                              <w:lang w:val="en-GB"/>
                            </w:rPr>
                          </m:ctrlPr>
                        </m:e>
                        <m:e>
                          <m:r>
                            <w:rPr>
                              <w:rFonts w:ascii="Cambria Math" w:hAnsi="Cambria Math"/>
                              <w:color w:val="000000"/>
                              <w:lang w:val="en-GB"/>
                            </w:rPr>
                            <m:t>⋮</m:t>
                          </m:r>
                          <m:ctrlPr>
                            <w:rPr>
                              <w:rFonts w:ascii="Cambria Math" w:eastAsia="Cambria Math" w:hAnsi="Cambria Math" w:cs="Cambria Math"/>
                              <w:i/>
                              <w:color w:val="000000"/>
                              <w:lang w:val="en-GB"/>
                            </w:rPr>
                          </m:ctrlPr>
                        </m:e>
                      </m:mr>
                      <m:mr>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m:t>
                          </m:r>
                          <m:ctrlPr>
                            <w:rPr>
                              <w:rFonts w:ascii="Cambria Math" w:eastAsia="Cambria Math" w:hAnsi="Cambria Math" w:cs="Cambria Math"/>
                              <w:i/>
                              <w:color w:val="000000"/>
                              <w:lang w:val="en-GB"/>
                            </w:rPr>
                          </m:ctrlPr>
                        </m:e>
                        <m:e>
                          <m:r>
                            <w:rPr>
                              <w:rFonts w:ascii="Cambria Math" w:hAnsi="Cambria Math" w:cstheme="minorHAnsi"/>
                              <w:color w:val="000000"/>
                              <w:lang w:val="en-GB"/>
                            </w:rPr>
                            <m:t>⋯</m:t>
                          </m:r>
                          <m:ctrlPr>
                            <w:rPr>
                              <w:rFonts w:ascii="Cambria Math" w:eastAsia="Cambria Math" w:hAnsi="Cambria Math" w:cs="Cambria Math"/>
                              <w:i/>
                              <w:color w:val="000000"/>
                              <w:lang w:val="en-GB"/>
                            </w:rPr>
                          </m:ctrlPr>
                        </m:e>
                        <m:e>
                          <m:sSub>
                            <m:sSubPr>
                              <m:ctrlPr>
                                <w:rPr>
                                  <w:rFonts w:ascii="Cambria Math" w:hAnsi="Cambria Math" w:cstheme="minorHAnsi"/>
                                  <w:i/>
                                  <w:color w:val="000000"/>
                                  <w:lang w:val="en-GB"/>
                                </w:rPr>
                              </m:ctrlPr>
                            </m:sSubPr>
                            <m:e>
                              <m:r>
                                <w:rPr>
                                  <w:rFonts w:ascii="Cambria Math" w:hAnsi="Cambria Math" w:cstheme="minorHAnsi"/>
                                  <w:color w:val="000000"/>
                                  <w:lang w:val="en-GB"/>
                                </w:rPr>
                                <m:t>r</m:t>
                              </m:r>
                            </m:e>
                            <m:sub>
                              <m:sSub>
                                <m:sSubPr>
                                  <m:ctrlPr>
                                    <w:rPr>
                                      <w:rFonts w:ascii="Cambria Math" w:hAnsi="Cambria Math" w:cstheme="minorHAnsi"/>
                                      <w:i/>
                                      <w:color w:val="000000"/>
                                      <w:lang w:val="en-GB"/>
                                    </w:rPr>
                                  </m:ctrlPr>
                                </m:sSubPr>
                                <m:e>
                                  <m:r>
                                    <w:rPr>
                                      <w:rFonts w:ascii="Cambria Math" w:hAnsi="Cambria Math" w:cstheme="minorHAnsi"/>
                                      <w:color w:val="000000"/>
                                      <w:lang w:val="en-GB"/>
                                    </w:rPr>
                                    <m:t>C</m:t>
                                  </m:r>
                                </m:e>
                                <m:sub>
                                  <m:r>
                                    <w:rPr>
                                      <w:rFonts w:ascii="Cambria Math" w:hAnsi="Cambria Math" w:cstheme="minorHAnsi"/>
                                      <w:color w:val="000000"/>
                                      <w:lang w:val="en-GB"/>
                                    </w:rPr>
                                    <m:t>M</m:t>
                                  </m:r>
                                </m:sub>
                              </m:sSub>
                            </m:sub>
                          </m:sSub>
                        </m:e>
                      </m:mr>
                    </m:m>
                  </m:e>
                </m:d>
                <m:r>
                  <w:rPr>
                    <w:rFonts w:ascii="Cambria Math" w:hAnsi="Cambria Math"/>
                    <w:color w:val="000000"/>
                    <w:lang w:val="en-GB"/>
                  </w:rPr>
                  <m:t xml:space="preserve"> </m:t>
                </m:r>
              </m:oMath>
            </m:oMathPara>
          </w:p>
        </w:tc>
        <w:tc>
          <w:tcPr>
            <w:tcW w:w="815" w:type="dxa"/>
            <w:shd w:val="clear" w:color="auto" w:fill="auto"/>
            <w:vAlign w:val="center"/>
          </w:tcPr>
          <w:p w14:paraId="6BCCE1B7" w14:textId="6616E73A" w:rsidR="001277B9" w:rsidRPr="00B57B36" w:rsidRDefault="001277B9" w:rsidP="00077F0C">
            <w:pPr>
              <w:pStyle w:val="CETEquation"/>
              <w:jc w:val="right"/>
            </w:pPr>
            <w:r w:rsidRPr="00B57B36">
              <w:t>(</w:t>
            </w:r>
            <w:r w:rsidR="00077F0C">
              <w:t>3</w:t>
            </w:r>
            <w:r w:rsidRPr="00B57B36">
              <w:t>)</w:t>
            </w:r>
          </w:p>
        </w:tc>
      </w:tr>
    </w:tbl>
    <w:p w14:paraId="680F7015" w14:textId="5B735143" w:rsidR="00C42B6D" w:rsidRDefault="00CE06E2" w:rsidP="00943B6C">
      <w:pPr>
        <w:pStyle w:val="CETBodytext"/>
        <w:rPr>
          <w:rFonts w:cstheme="minorHAnsi"/>
          <w:color w:val="000000"/>
          <w:lang w:val="en-GB"/>
        </w:rPr>
      </w:pPr>
      <w:r w:rsidRPr="00CE06E2">
        <w:rPr>
          <w:rFonts w:cstheme="minorHAnsi"/>
          <w:color w:val="000000"/>
          <w:lang w:val="en-GB"/>
        </w:rPr>
        <w:t xml:space="preserve">Equations </w:t>
      </w:r>
      <w:r>
        <w:rPr>
          <w:rFonts w:cstheme="minorHAnsi"/>
          <w:color w:val="000000"/>
          <w:lang w:val="en-GB"/>
        </w:rPr>
        <w:t>2</w:t>
      </w:r>
      <w:r w:rsidRPr="00CE06E2">
        <w:rPr>
          <w:rFonts w:cstheme="minorHAnsi"/>
          <w:color w:val="000000"/>
          <w:lang w:val="en-GB"/>
        </w:rPr>
        <w:t xml:space="preserve">b and </w:t>
      </w:r>
      <w:r>
        <w:rPr>
          <w:rFonts w:cstheme="minorHAnsi"/>
          <w:color w:val="000000"/>
          <w:lang w:val="en-GB"/>
        </w:rPr>
        <w:t>2</w:t>
      </w:r>
      <w:r w:rsidRPr="00CE06E2">
        <w:rPr>
          <w:rFonts w:cstheme="minorHAnsi"/>
          <w:color w:val="000000"/>
          <w:lang w:val="en-GB"/>
        </w:rPr>
        <w:t>c state that each canonical variate is uncorrelated with all the other canonical variates except its</w:t>
      </w:r>
      <w:r>
        <w:rPr>
          <w:rFonts w:cstheme="minorHAnsi"/>
          <w:color w:val="000000"/>
          <w:lang w:val="en-GB"/>
        </w:rPr>
        <w:t xml:space="preserve"> specific counterpart in the m</w:t>
      </w:r>
      <w:r w:rsidRPr="00CE06E2">
        <w:rPr>
          <w:rFonts w:cstheme="minorHAnsi"/>
          <w:color w:val="000000"/>
          <w:vertAlign w:val="superscript"/>
          <w:lang w:val="en-GB"/>
        </w:rPr>
        <w:t>th</w:t>
      </w:r>
      <w:r w:rsidRPr="00CE06E2">
        <w:rPr>
          <w:rFonts w:cstheme="minorHAnsi"/>
          <w:color w:val="000000"/>
          <w:lang w:val="en-GB"/>
        </w:rPr>
        <w:t xml:space="preserve"> pair</w:t>
      </w:r>
      <w:r w:rsidR="00A2141B">
        <w:rPr>
          <w:rFonts w:cstheme="minorHAnsi"/>
          <w:color w:val="000000"/>
          <w:lang w:val="en-GB"/>
        </w:rPr>
        <w:t>;</w:t>
      </w:r>
      <w:r>
        <w:rPr>
          <w:rFonts w:cstheme="minorHAnsi"/>
          <w:color w:val="000000"/>
          <w:lang w:val="en-GB"/>
        </w:rPr>
        <w:t xml:space="preserve"> finally equation 2d states </w:t>
      </w:r>
      <w:r w:rsidRPr="00CE06E2">
        <w:rPr>
          <w:rFonts w:cstheme="minorHAnsi"/>
          <w:color w:val="000000"/>
          <w:lang w:val="en-GB"/>
        </w:rPr>
        <w:t>that each of the</w:t>
      </w:r>
      <w:r>
        <w:rPr>
          <w:rFonts w:cstheme="minorHAnsi"/>
          <w:color w:val="000000"/>
          <w:lang w:val="en-GB"/>
        </w:rPr>
        <w:t xml:space="preserve"> </w:t>
      </w:r>
      <w:r w:rsidRPr="00CE06E2">
        <w:rPr>
          <w:rFonts w:cstheme="minorHAnsi"/>
          <w:color w:val="000000"/>
          <w:lang w:val="en-GB"/>
        </w:rPr>
        <w:t>canonical variates has variance</w:t>
      </w:r>
      <w:r>
        <w:rPr>
          <w:rFonts w:cstheme="minorHAnsi"/>
          <w:color w:val="000000"/>
          <w:lang w:val="en-GB"/>
        </w:rPr>
        <w:t xml:space="preserve"> equal to 1. </w:t>
      </w:r>
    </w:p>
    <w:p w14:paraId="2714F823" w14:textId="5F913238" w:rsidR="001277B9" w:rsidRDefault="001277B9" w:rsidP="00943B6C">
      <w:pPr>
        <w:pStyle w:val="CETBodytext"/>
        <w:rPr>
          <w:rFonts w:cstheme="minorHAnsi"/>
          <w:color w:val="000000"/>
          <w:lang w:val="en-GB"/>
        </w:rPr>
      </w:pPr>
      <w:r w:rsidRPr="001277B9">
        <w:rPr>
          <w:rFonts w:cstheme="minorHAnsi"/>
          <w:color w:val="000000"/>
          <w:lang w:val="en-GB"/>
        </w:rPr>
        <w:t>The basic idea behind forecasting with CCA is straightforward: si</w:t>
      </w:r>
      <w:r>
        <w:rPr>
          <w:rFonts w:cstheme="minorHAnsi"/>
          <w:color w:val="000000"/>
          <w:lang w:val="en-GB"/>
        </w:rPr>
        <w:t>mple linear regressions are con</w:t>
      </w:r>
      <w:r w:rsidRPr="001277B9">
        <w:rPr>
          <w:rFonts w:cstheme="minorHAnsi"/>
          <w:color w:val="000000"/>
          <w:lang w:val="en-GB"/>
        </w:rPr>
        <w:t>structed that relate the predict</w:t>
      </w:r>
      <w:r w:rsidR="00307B27">
        <w:rPr>
          <w:rFonts w:cstheme="minorHAnsi"/>
          <w:color w:val="000000"/>
          <w:lang w:val="en-GB"/>
        </w:rPr>
        <w:t xml:space="preserve"> </w:t>
      </w:r>
      <w:r w:rsidRPr="001277B9">
        <w:rPr>
          <w:rFonts w:cstheme="minorHAnsi"/>
          <w:color w:val="000000"/>
          <w:lang w:val="en-GB"/>
        </w:rPr>
        <w:t xml:space="preserve">and canonical variates </w:t>
      </w:r>
      <w:r w:rsidRPr="00B15ADD">
        <w:rPr>
          <w:rFonts w:cstheme="minorHAnsi"/>
          <w:i/>
          <w:color w:val="000000"/>
          <w:lang w:val="en-GB"/>
        </w:rPr>
        <w:t>w</w:t>
      </w:r>
      <w:r w:rsidRPr="00B15ADD">
        <w:rPr>
          <w:rFonts w:cstheme="minorHAnsi"/>
          <w:i/>
          <w:color w:val="000000"/>
          <w:vertAlign w:val="subscript"/>
          <w:lang w:val="en-GB"/>
        </w:rPr>
        <w:t>m</w:t>
      </w:r>
      <w:r w:rsidRPr="001277B9">
        <w:rPr>
          <w:rFonts w:cstheme="minorHAnsi"/>
          <w:color w:val="000000"/>
          <w:lang w:val="en-GB"/>
        </w:rPr>
        <w:t xml:space="preserve"> to the predictor canonical variates </w:t>
      </w:r>
      <w:r w:rsidRPr="00B15ADD">
        <w:rPr>
          <w:rFonts w:cstheme="minorHAnsi"/>
          <w:i/>
          <w:color w:val="000000"/>
          <w:lang w:val="en-GB"/>
        </w:rPr>
        <w:t>v</w:t>
      </w:r>
      <w:r w:rsidRPr="00B15ADD">
        <w:rPr>
          <w:rFonts w:cstheme="minorHAnsi"/>
          <w:i/>
          <w:color w:val="000000"/>
          <w:vertAlign w:val="subscript"/>
          <w:lang w:val="en-GB"/>
        </w:rPr>
        <w:t>m</w:t>
      </w:r>
      <w:r w:rsidRPr="001277B9">
        <w:rPr>
          <w:rFonts w:cstheme="minorHAnsi"/>
          <w:color w:val="000000"/>
          <w:lang w:val="en-GB"/>
        </w:rPr>
        <w:t>:</w:t>
      </w:r>
    </w:p>
    <w:tbl>
      <w:tblPr>
        <w:tblW w:w="5000" w:type="pct"/>
        <w:tblLook w:val="04A0" w:firstRow="1" w:lastRow="0" w:firstColumn="1" w:lastColumn="0" w:noHBand="0" w:noVBand="1"/>
      </w:tblPr>
      <w:tblGrid>
        <w:gridCol w:w="7983"/>
        <w:gridCol w:w="804"/>
      </w:tblGrid>
      <w:tr w:rsidR="001277B9" w:rsidRPr="00B57B36" w14:paraId="36BD35E9" w14:textId="77777777" w:rsidTr="00537DBA">
        <w:tc>
          <w:tcPr>
            <w:tcW w:w="8188" w:type="dxa"/>
            <w:shd w:val="clear" w:color="auto" w:fill="auto"/>
            <w:vAlign w:val="center"/>
          </w:tcPr>
          <w:p w14:paraId="078AF252" w14:textId="5F07BFC9" w:rsidR="001277B9" w:rsidRPr="0000270D" w:rsidRDefault="00A10EA0" w:rsidP="004E3733">
            <w:pPr>
              <w:pStyle w:val="CETBodytext"/>
              <w:ind w:firstLine="284"/>
            </w:pPr>
            <m:oMathPara>
              <m:oMathParaPr>
                <m:jc m:val="left"/>
              </m:oMathParaPr>
              <m:oMath>
                <m:sSub>
                  <m:sSubPr>
                    <m:ctrlPr>
                      <w:rPr>
                        <w:rFonts w:ascii="Cambria Math" w:hAnsi="Cambria Math" w:cstheme="minorHAnsi"/>
                        <w:i/>
                        <w:color w:val="000000"/>
                        <w:lang w:val="en-GB"/>
                      </w:rPr>
                    </m:ctrlPr>
                  </m:sSubPr>
                  <m:e>
                    <m:acc>
                      <m:accPr>
                        <m:ctrlPr>
                          <w:rPr>
                            <w:rFonts w:ascii="Cambria Math" w:hAnsi="Cambria Math" w:cstheme="minorHAnsi"/>
                            <w:i/>
                            <w:color w:val="000000"/>
                            <w:lang w:val="en-GB"/>
                          </w:rPr>
                        </m:ctrlPr>
                      </m:accPr>
                      <m:e>
                        <m:r>
                          <w:rPr>
                            <w:rFonts w:ascii="Cambria Math" w:hAnsi="Cambria Math" w:cstheme="minorHAnsi"/>
                            <w:color w:val="000000"/>
                            <w:lang w:val="en-GB"/>
                          </w:rPr>
                          <m:t>w</m:t>
                        </m:r>
                      </m:e>
                    </m:acc>
                  </m:e>
                  <m:sub>
                    <m:r>
                      <w:rPr>
                        <w:rFonts w:ascii="Cambria Math" w:hAnsi="Cambria Math" w:cstheme="minorHAnsi"/>
                        <w:color w:val="000000"/>
                        <w:lang w:val="en-GB"/>
                      </w:rPr>
                      <m:t>m</m:t>
                    </m:r>
                  </m:sub>
                </m:sSub>
                <m:r>
                  <w:rPr>
                    <w:rFonts w:ascii="Cambria Math" w:hAnsi="Cambria Math" w:cstheme="minorHAnsi"/>
                    <w:color w:val="000000"/>
                    <w:lang w:val="en-GB"/>
                  </w:rPr>
                  <m:t>=</m:t>
                </m:r>
                <m:sSub>
                  <m:sSubPr>
                    <m:ctrlPr>
                      <w:rPr>
                        <w:rFonts w:ascii="Cambria Math" w:hAnsi="Cambria Math" w:cstheme="minorHAnsi"/>
                        <w:i/>
                        <w:color w:val="000000"/>
                        <w:lang w:val="en-GB"/>
                      </w:rPr>
                    </m:ctrlPr>
                  </m:sSubPr>
                  <m:e>
                    <m:acc>
                      <m:accPr>
                        <m:ctrlPr>
                          <w:rPr>
                            <w:rFonts w:ascii="Cambria Math" w:hAnsi="Cambria Math" w:cstheme="minorHAnsi"/>
                            <w:i/>
                            <w:color w:val="000000"/>
                            <w:lang w:val="en-GB"/>
                          </w:rPr>
                        </m:ctrlPr>
                      </m:accPr>
                      <m:e>
                        <m:r>
                          <w:rPr>
                            <w:rFonts w:ascii="Cambria Math" w:hAnsi="Cambria Math" w:cstheme="minorHAnsi"/>
                            <w:color w:val="000000"/>
                            <w:lang w:val="en-GB"/>
                          </w:rPr>
                          <m:t>β</m:t>
                        </m:r>
                      </m:e>
                    </m:acc>
                  </m:e>
                  <m:sub>
                    <m:r>
                      <w:rPr>
                        <w:rFonts w:ascii="Cambria Math" w:hAnsi="Cambria Math" w:cstheme="minorHAnsi"/>
                        <w:color w:val="000000"/>
                        <w:lang w:val="en-GB"/>
                      </w:rPr>
                      <m:t>0,m</m:t>
                    </m:r>
                  </m:sub>
                </m:sSub>
                <m:r>
                  <w:rPr>
                    <w:rFonts w:ascii="Cambria Math" w:hAnsi="Cambria Math" w:cstheme="minorHAnsi"/>
                    <w:color w:val="000000"/>
                    <w:lang w:val="en-GB"/>
                  </w:rPr>
                  <m:t>+</m:t>
                </m:r>
                <m:sSub>
                  <m:sSubPr>
                    <m:ctrlPr>
                      <w:rPr>
                        <w:rFonts w:ascii="Cambria Math" w:hAnsi="Cambria Math" w:cstheme="minorHAnsi"/>
                        <w:i/>
                        <w:color w:val="000000"/>
                        <w:lang w:val="en-GB"/>
                      </w:rPr>
                    </m:ctrlPr>
                  </m:sSubPr>
                  <m:e>
                    <m:acc>
                      <m:accPr>
                        <m:ctrlPr>
                          <w:rPr>
                            <w:rFonts w:ascii="Cambria Math" w:hAnsi="Cambria Math" w:cstheme="minorHAnsi"/>
                            <w:i/>
                            <w:color w:val="000000"/>
                            <w:lang w:val="en-GB"/>
                          </w:rPr>
                        </m:ctrlPr>
                      </m:accPr>
                      <m:e>
                        <m:r>
                          <w:rPr>
                            <w:rFonts w:ascii="Cambria Math" w:hAnsi="Cambria Math" w:cstheme="minorHAnsi"/>
                            <w:color w:val="000000"/>
                            <w:lang w:val="en-GB"/>
                          </w:rPr>
                          <m:t>β</m:t>
                        </m:r>
                      </m:e>
                    </m:acc>
                  </m:e>
                  <m:sub>
                    <m:r>
                      <w:rPr>
                        <w:rFonts w:ascii="Cambria Math" w:hAnsi="Cambria Math" w:cstheme="minorHAnsi"/>
                        <w:color w:val="000000"/>
                        <w:lang w:val="en-GB"/>
                      </w:rPr>
                      <m:t>1,m</m:t>
                    </m:r>
                  </m:sub>
                </m:sSub>
                <m:sSub>
                  <m:sSubPr>
                    <m:ctrlPr>
                      <w:rPr>
                        <w:rFonts w:ascii="Cambria Math" w:hAnsi="Cambria Math" w:cstheme="minorHAnsi"/>
                        <w:i/>
                        <w:color w:val="000000"/>
                        <w:lang w:val="en-GB"/>
                      </w:rPr>
                    </m:ctrlPr>
                  </m:sSubPr>
                  <m:e>
                    <m:r>
                      <w:rPr>
                        <w:rFonts w:ascii="Cambria Math" w:hAnsi="Cambria Math" w:cstheme="minorHAnsi"/>
                        <w:color w:val="000000"/>
                        <w:lang w:val="en-GB"/>
                      </w:rPr>
                      <m:t>v</m:t>
                    </m:r>
                  </m:e>
                  <m:sub>
                    <m:r>
                      <w:rPr>
                        <w:rFonts w:ascii="Cambria Math" w:hAnsi="Cambria Math" w:cstheme="minorHAnsi"/>
                        <w:color w:val="000000"/>
                        <w:lang w:val="en-GB"/>
                      </w:rPr>
                      <m:t>m</m:t>
                    </m:r>
                  </m:sub>
                </m:sSub>
                <m:r>
                  <w:rPr>
                    <w:rFonts w:ascii="Cambria Math" w:hAnsi="Cambria Math" w:cstheme="minorHAnsi"/>
                    <w:color w:val="000000"/>
                    <w:lang w:val="en-GB"/>
                  </w:rPr>
                  <m:t>,   m=1,…,M</m:t>
                </m:r>
              </m:oMath>
            </m:oMathPara>
          </w:p>
        </w:tc>
        <w:tc>
          <w:tcPr>
            <w:tcW w:w="815" w:type="dxa"/>
            <w:shd w:val="clear" w:color="auto" w:fill="auto"/>
            <w:vAlign w:val="center"/>
          </w:tcPr>
          <w:p w14:paraId="787EE251" w14:textId="1A22E4EF" w:rsidR="001277B9" w:rsidRPr="00B57B36" w:rsidRDefault="001277B9" w:rsidP="004E3733">
            <w:pPr>
              <w:pStyle w:val="CETEquation"/>
              <w:jc w:val="right"/>
            </w:pPr>
            <w:r w:rsidRPr="00B57B36">
              <w:t>(</w:t>
            </w:r>
            <w:r w:rsidR="004E3733">
              <w:t>4</w:t>
            </w:r>
            <w:r w:rsidRPr="00B57B36">
              <w:t>)</w:t>
            </w:r>
          </w:p>
        </w:tc>
      </w:tr>
    </w:tbl>
    <w:p w14:paraId="7A974F81" w14:textId="0CF31F17" w:rsidR="001277B9" w:rsidRDefault="003248BB" w:rsidP="00943B6C">
      <w:pPr>
        <w:pStyle w:val="CETBodytext"/>
        <w:rPr>
          <w:rFonts w:cstheme="minorHAnsi"/>
          <w:color w:val="000000"/>
          <w:lang w:val="en-GB"/>
        </w:rPr>
      </w:pPr>
      <w:r>
        <w:rPr>
          <w:rFonts w:cstheme="minorHAnsi"/>
          <w:color w:val="000000"/>
          <w:lang w:val="en-GB"/>
        </w:rPr>
        <w:t>w</w:t>
      </w:r>
      <w:r w:rsidR="004E3733">
        <w:rPr>
          <w:rFonts w:cstheme="minorHAnsi"/>
          <w:color w:val="000000"/>
          <w:lang w:val="en-GB"/>
        </w:rPr>
        <w:t xml:space="preserve">here </w:t>
      </w:r>
      <m:oMath>
        <m:sSub>
          <m:sSubPr>
            <m:ctrlPr>
              <w:rPr>
                <w:rFonts w:ascii="Cambria Math" w:hAnsi="Cambria Math" w:cstheme="minorHAnsi"/>
                <w:i/>
                <w:color w:val="000000"/>
                <w:lang w:val="en-GB"/>
              </w:rPr>
            </m:ctrlPr>
          </m:sSubPr>
          <m:e>
            <m:acc>
              <m:accPr>
                <m:ctrlPr>
                  <w:rPr>
                    <w:rFonts w:ascii="Cambria Math" w:hAnsi="Cambria Math" w:cstheme="minorHAnsi"/>
                    <w:i/>
                    <w:color w:val="000000"/>
                    <w:lang w:val="en-GB"/>
                  </w:rPr>
                </m:ctrlPr>
              </m:accPr>
              <m:e>
                <m:r>
                  <w:rPr>
                    <w:rFonts w:ascii="Cambria Math" w:hAnsi="Cambria Math" w:cstheme="minorHAnsi"/>
                    <w:color w:val="000000"/>
                    <w:lang w:val="en-GB"/>
                  </w:rPr>
                  <m:t>β</m:t>
                </m:r>
              </m:e>
            </m:acc>
          </m:e>
          <m:sub>
            <m:r>
              <w:rPr>
                <w:rFonts w:ascii="Cambria Math" w:hAnsi="Cambria Math" w:cstheme="minorHAnsi"/>
                <w:color w:val="000000"/>
                <w:lang w:val="en-GB"/>
              </w:rPr>
              <m:t>0,m</m:t>
            </m:r>
          </m:sub>
        </m:sSub>
      </m:oMath>
      <w:r w:rsidR="004E3733">
        <w:rPr>
          <w:rFonts w:cstheme="minorHAnsi"/>
          <w:color w:val="000000"/>
          <w:lang w:val="en-GB"/>
        </w:rPr>
        <w:t xml:space="preserve">=0, </w:t>
      </w:r>
      <w:r w:rsidR="004E3733" w:rsidRPr="004E3733">
        <w:rPr>
          <w:rFonts w:cstheme="minorHAnsi"/>
          <w:color w:val="000000"/>
          <w:lang w:val="en-GB"/>
        </w:rPr>
        <w:t xml:space="preserve">because the CCA is calculated from the centered data </w:t>
      </w:r>
      <w:r w:rsidR="004E3733" w:rsidRPr="004E3733">
        <w:rPr>
          <w:rFonts w:cstheme="minorHAnsi"/>
          <w:b/>
          <w:i/>
          <w:color w:val="000000"/>
          <w:lang w:val="en-GB"/>
        </w:rPr>
        <w:t>x’</w:t>
      </w:r>
      <w:r w:rsidR="004E3733" w:rsidRPr="004E3733">
        <w:rPr>
          <w:rFonts w:cstheme="minorHAnsi"/>
          <w:color w:val="000000"/>
          <w:lang w:val="en-GB"/>
        </w:rPr>
        <w:t xml:space="preserve"> and </w:t>
      </w:r>
      <w:r w:rsidR="004E3733" w:rsidRPr="004E3733">
        <w:rPr>
          <w:rFonts w:cstheme="minorHAnsi"/>
          <w:b/>
          <w:i/>
          <w:color w:val="000000"/>
          <w:lang w:val="en-GB"/>
        </w:rPr>
        <w:t>y’</w:t>
      </w:r>
      <w:r w:rsidR="004E3733" w:rsidRPr="004E3733">
        <w:rPr>
          <w:rFonts w:cstheme="minorHAnsi"/>
          <w:color w:val="000000"/>
          <w:lang w:val="en-GB"/>
        </w:rPr>
        <w:t xml:space="preserve">, </w:t>
      </w:r>
      <w:r w:rsidR="004E3733">
        <w:rPr>
          <w:rFonts w:cstheme="minorHAnsi"/>
          <w:color w:val="000000"/>
          <w:lang w:val="en-GB"/>
        </w:rPr>
        <w:t xml:space="preserve">and </w:t>
      </w:r>
      <m:oMath>
        <m:sSub>
          <m:sSubPr>
            <m:ctrlPr>
              <w:rPr>
                <w:rFonts w:ascii="Cambria Math" w:hAnsi="Cambria Math" w:cstheme="minorHAnsi"/>
                <w:i/>
                <w:color w:val="000000"/>
                <w:lang w:val="en-GB"/>
              </w:rPr>
            </m:ctrlPr>
          </m:sSubPr>
          <m:e>
            <m:acc>
              <m:accPr>
                <m:ctrlPr>
                  <w:rPr>
                    <w:rFonts w:ascii="Cambria Math" w:hAnsi="Cambria Math" w:cstheme="minorHAnsi"/>
                    <w:i/>
                    <w:color w:val="000000"/>
                    <w:lang w:val="en-GB"/>
                  </w:rPr>
                </m:ctrlPr>
              </m:accPr>
              <m:e>
                <m:r>
                  <w:rPr>
                    <w:rFonts w:ascii="Cambria Math" w:hAnsi="Cambria Math" w:cstheme="minorHAnsi"/>
                    <w:color w:val="000000"/>
                    <w:lang w:val="en-GB"/>
                  </w:rPr>
                  <m:t>β</m:t>
                </m:r>
              </m:e>
            </m:acc>
          </m:e>
          <m:sub>
            <m:r>
              <w:rPr>
                <w:rFonts w:ascii="Cambria Math" w:hAnsi="Cambria Math" w:cstheme="minorHAnsi"/>
                <w:color w:val="000000"/>
                <w:lang w:val="en-GB"/>
              </w:rPr>
              <m:t>1,m</m:t>
            </m:r>
          </m:sub>
        </m:sSub>
      </m:oMath>
      <w:r w:rsidR="004E3733">
        <w:rPr>
          <w:rFonts w:cstheme="minorHAnsi"/>
          <w:color w:val="000000"/>
          <w:lang w:val="en-GB"/>
        </w:rPr>
        <w:t>=</w:t>
      </w:r>
      <m:oMath>
        <m:sSub>
          <m:sSubPr>
            <m:ctrlPr>
              <w:rPr>
                <w:rFonts w:ascii="Cambria Math" w:hAnsi="Cambria Math" w:cstheme="minorHAnsi"/>
                <w:i/>
                <w:color w:val="000000"/>
                <w:lang w:val="en-GB"/>
              </w:rPr>
            </m:ctrlPr>
          </m:sSubPr>
          <m:e>
            <m:r>
              <w:rPr>
                <w:rFonts w:ascii="Cambria Math" w:hAnsi="Cambria Math" w:cstheme="minorHAnsi"/>
                <w:color w:val="000000"/>
                <w:lang w:val="en-GB"/>
              </w:rPr>
              <m:t>r</m:t>
            </m:r>
          </m:e>
          <m:sub>
            <m:sSub>
              <m:sSubPr>
                <m:ctrlPr>
                  <w:rPr>
                    <w:rFonts w:ascii="Cambria Math" w:hAnsi="Cambria Math" w:cstheme="minorHAnsi"/>
                    <w:i/>
                    <w:color w:val="000000"/>
                    <w:lang w:val="en-GB"/>
                  </w:rPr>
                </m:ctrlPr>
              </m:sSubPr>
              <m:e>
                <m:r>
                  <w:rPr>
                    <w:rFonts w:ascii="Cambria Math" w:hAnsi="Cambria Math" w:cstheme="minorHAnsi"/>
                    <w:color w:val="000000"/>
                    <w:lang w:val="en-GB"/>
                  </w:rPr>
                  <m:t>C</m:t>
                </m:r>
              </m:e>
              <m:sub>
                <m:r>
                  <w:rPr>
                    <w:rFonts w:ascii="Cambria Math" w:hAnsi="Cambria Math" w:cstheme="minorHAnsi"/>
                    <w:color w:val="000000"/>
                    <w:lang w:val="en-GB"/>
                  </w:rPr>
                  <m:t>m</m:t>
                </m:r>
              </m:sub>
            </m:sSub>
          </m:sub>
        </m:sSub>
      </m:oMath>
      <w:r w:rsidR="004E3733">
        <w:rPr>
          <w:rFonts w:cstheme="minorHAnsi"/>
          <w:color w:val="000000"/>
          <w:lang w:val="en-GB"/>
        </w:rPr>
        <w:t xml:space="preserve">, </w:t>
      </w:r>
      <w:r w:rsidR="004E3733" w:rsidRPr="004E3733">
        <w:rPr>
          <w:rFonts w:cstheme="minorHAnsi"/>
          <w:color w:val="000000"/>
          <w:lang w:val="en-GB"/>
        </w:rPr>
        <w:t>because the canonical variates are scaled to have unit variance</w:t>
      </w:r>
      <w:r w:rsidR="004E3733">
        <w:rPr>
          <w:rFonts w:cstheme="minorHAnsi"/>
          <w:color w:val="000000"/>
          <w:lang w:val="en-GB"/>
        </w:rPr>
        <w:t xml:space="preserve">, so </w:t>
      </w:r>
      <w:r w:rsidR="004E3733" w:rsidRPr="004E3733">
        <w:rPr>
          <w:rFonts w:cstheme="minorHAnsi"/>
          <w:color w:val="000000"/>
          <w:lang w:val="en-GB"/>
        </w:rPr>
        <w:t>the regression slopes are simply equal to the corresponding canonical correlations</w:t>
      </w:r>
      <w:r w:rsidR="004E3733">
        <w:rPr>
          <w:rFonts w:cstheme="minorHAnsi"/>
          <w:color w:val="000000"/>
          <w:lang w:val="en-GB"/>
        </w:rPr>
        <w:t>.</w:t>
      </w:r>
    </w:p>
    <w:p w14:paraId="247EE117" w14:textId="72016D0D" w:rsidR="006A795F" w:rsidRDefault="0084491B" w:rsidP="00520283">
      <w:pPr>
        <w:pStyle w:val="CETBodytext"/>
        <w:rPr>
          <w:rFonts w:cstheme="minorHAnsi"/>
          <w:color w:val="000000"/>
          <w:lang w:val="en-GB"/>
        </w:rPr>
      </w:pPr>
      <w:r w:rsidRPr="0084491B">
        <w:rPr>
          <w:rFonts w:cstheme="minorHAnsi"/>
          <w:color w:val="000000"/>
          <w:lang w:val="en-GB"/>
        </w:rPr>
        <w:t xml:space="preserve">The database used for the statistical analysis has been </w:t>
      </w:r>
      <w:r>
        <w:rPr>
          <w:rFonts w:cstheme="minorHAnsi"/>
          <w:color w:val="000000"/>
          <w:lang w:val="en-GB"/>
        </w:rPr>
        <w:t>built up</w:t>
      </w:r>
      <w:r w:rsidRPr="0084491B">
        <w:rPr>
          <w:rFonts w:cstheme="minorHAnsi"/>
          <w:color w:val="000000"/>
          <w:lang w:val="en-GB"/>
        </w:rPr>
        <w:t xml:space="preserve"> by the data presented in the scientific literature</w:t>
      </w:r>
      <w:r>
        <w:rPr>
          <w:rFonts w:cstheme="minorHAnsi"/>
          <w:color w:val="000000"/>
          <w:lang w:val="en-GB"/>
        </w:rPr>
        <w:t>, specifically only papers regarding pyrolysis tests in fluidized beds without any catalyst have been considered</w:t>
      </w:r>
      <w:r w:rsidR="0090748B">
        <w:rPr>
          <w:rFonts w:cstheme="minorHAnsi"/>
          <w:color w:val="000000"/>
          <w:lang w:val="en-GB"/>
        </w:rPr>
        <w:t xml:space="preserve"> </w:t>
      </w:r>
      <w:r w:rsidR="00361396">
        <w:rPr>
          <w:rFonts w:cstheme="minorHAnsi"/>
          <w:color w:val="000000"/>
          <w:lang w:val="en-GB"/>
        </w:rPr>
        <w:fldChar w:fldCharType="begin" w:fldLock="1"/>
      </w:r>
      <w:r w:rsidR="00FB6102">
        <w:rPr>
          <w:rFonts w:cstheme="minorHAnsi"/>
          <w:color w:val="000000"/>
          <w:lang w:val="en-GB"/>
        </w:rPr>
        <w:instrText xml:space="preserve">ADDIN CSL_CITATION {"citationItems":[{"id":"ITEM-1","itemData":{"DOI":"10.1016/j.biortech.2008.08.031","ISSN":"09608524","PMID":"18829306","abstract":"Fast pyrolysis of corncob with and without catalyst was investigated in a fluidized bed to determine the effects of pyrolysis parameters (temperature, gas flow rate, static bed height and particle size) and a HZSM-5 zeolite catalyst on the product yields and the qualities of the liquid products. The result showed that the optimal conditions for liquid yield (56.8%) were a pyrolysis temperature of 550 °C, gas flow rate of 3.4 L/min, static bed height of 10 cm and particle size of 1.0-2.0 mm. The presence of the catalyst increased the yields of non-condensable gas, water and coke, while decreased the liquid and char yields. The elemental analysis showed that more than 25% decrease in oxygen content of the collected liquid in the second condenser with HZSM-5 was observed compared with that without catalyst. The H/C, O/C molar ratios and the higher heating value of the oil fraction in the collected liquid with the catalyst were 1.511, 0.149 and 34.6 MJ/kg, respectively. It was indicated that the collected liquid in the second condenser had high qualities and might be used as transport oil. © 2008 Elsevier Ltd. All rights reserved.","author":[{"dropping-particle":"","family":"Zhang","given":"Huiyan","non-dropping-particle":"","parse-names":false,"suffix":""},{"dropping-particle":"","family":"Xiao","given":"Rui","non-dropping-particle":"","parse-names":false,"suffix":""},{"dropping-particle":"","family":"Huang","given":"He","non-dropping-particle":"","parse-names":false,"suffix":""},{"dropping-particle":"","family":"Xiao","given":"Gang","non-dropping-particle":"","parse-names":false,"suffix":""}],"container-title":"Bioresource Technology","id":"ITEM-1","issue":"3","issued":{"date-parts":[["2009"]]},"page":"1428-1434","publisher":"Elsevier Ltd","title":"Comparison of non-catalytic and catalytic fast pyrolysis of corncob in a fluidized bed reactor","type":"article-journal","volume":"100"},"uris":["http://www.mendeley.com/documents/?uuid=f5abe807-9167-404b-b4a1-42c91d4f19f3"]},{"id":"ITEM-2","itemData":{"DOI":"10.1007/s12649-016-9809-5","ISBN":"0123456789","ISSN":"1877265X","abstract":"In this study, catalytic and non-catalytic fast pyrolysis of dried olive husk and olive kernels was carried out. A bubbling fluidised bed reactor was used for the non-catalytic processing of the solid olive wastes. In-situ catalytic upgrading of biomass fast pyrolysis vapours was performed in a fixed bed bench-scale reactor at 500 °C, for catalyst screening purposes. A maximum bio-oil yield of 47.35 wt.% (on dry biomass) was obtained from non-catalytic fast pyrolysis at a reaction temperature of 450 °C, while the bio-oil yield was decreased at 37.14 wt.% when the temperature was increased to 500 °C. In the case of the fixed bed unit tests, the highest liquid (52.66 wt.%) and organics (30.99 wt.%) yield was achieved with the use of the non-catalytic silica sand. Depending on the catalytic material, the liquid yield ranged from 47.03 to 43.96 wt.% the organic yield from 21.15 to 16.34 wt.% on dry biomass. Solid products were increased from 28.23 wt.% for the non-catalytic run to 32.81 wt.% on dry biomass, when MgO (5% Co) was used.","author":[{"dropping-particle":"","family":"Christoforou","given":"Elias A.","non-dropping-particle":"","parse-names":false,"suffix":""},{"dropping-particle":"","family":"Fokaides","given":"Paris A.","non-dropping-particle":"","parse-names":false,"suffix":""},{"dropping-particle":"","family":"Banks","given":"Scott W.","non-dropping-particle":"","parse-names":false,"suffix":""},{"dropping-particle":"","family":"Nowakowski","given":"Daniel","non-dropping-particle":"","parse-names":false,"suffix":""},{"dropping-particle":"V.","family":"Bridgwater","given":"Anthony","non-dropping-particle":"","parse-names":false,"suffix":""},{"dropping-particle":"","family":"Stefanidis","given":"Stelios","non-dropping-particle":"","parse-names":false,"suffix":""},{"dropping-particle":"","family":"Kalogiannis","given":"Kostas G.","non-dropping-particle":"","parse-names":false,"suffix":""},{"dropping-particle":"","family":"Iliopoulou","given":"Eleni F.","non-dropping-particle":"","parse-names":false,"suffix":""},{"dropping-particle":"","family":"Lappas","given":"Angelos A.","non-dropping-particle":"","parse-names":false,"suffix":""}],"container-title":"Waste and Biomass Valorization","id":"ITEM-2","issue":"2","issued":{"date-parts":[["2018"]]},"page":"301-313","publisher":"Springer Netherlands","title":"Comparative Study on Catalytic and Non-Catalytic Pyrolysis of Olive Mill Solid Wastes","type":"article-journal","volume":"9"},"uris":["http://www.mendeley.com/documents/?uuid=d5237b25-f588-45e4-afcf-bce5f2619ba2"]},{"id":"ITEM-3","itemData":{"DOI":"10.1016/j.fuel.2013.01.075","ISSN":"00162361","abstract":"The aim of this study is to characterise and compare fast pyrolysis product yields from straw, high yielding perennial grasses and hardwoods. Feedstocks selected for this study include: wheat straw (Triticum aestivum), switch grass (Panicum virgatum), miscanthus (Miscanthus x giganteus), willow short rotation coppice (Salix viminalis) and beech wood (Fagus sylvatica). The experimental work is divided into two sections: analytical (TGA and Py-GC-MS) and laboratory scale processing using a continuously fed bubbling fluidized bed reactor with a capacity of up to 1 kg/h. Pyrolysis-gas chromatography-mass spectrometry (Py-GC-MS) has been used to quantify pyrolysis products and simulate fast pyrolysis heating rates, in order to study potential key light and medium volatile decomposition products found in these feedstocks. Py-GC-MS quantification results show that the highest yields of furfural (0.57 wt.%), 2-furanmethanol (0.18 wt.%), levoglucosan (0.73 wt.%), 1,2-benzenediol (0.27 wt.%) and 2-methoxy-4-vinylphenol (0.38 wt.%) were found in switch grass, and that willow SRC produced the highest yield of phenol (0.33 wt.%). The bio-oil higher heating value was highest for switch grass (22.3 MJ/kg). Water content within the bio-oil is highest in the straw and perennial grasses and lowest in the hardwood willow SRC. The high bio-oil and char heating value and low water content found in willow SRC, makes this crop an attractive energy feedstock for fast pyrolysis processing, if the associated production costs and harvest yields can be maintained at current reported values. The bio-oil from switch grass has the highest potential for the production of high value chemicals. © 2013 Elsevier Ltd. All rights reserved.","author":[{"dropping-particle":"","family":"Greenhalf","given":"C. E.","non-dropping-particle":"","parse-names":false,"suffix":""},{"dropping-particle":"","family":"Nowakowski","given":"D. J.","non-dropping-particle":"","parse-names":false,"suffix":""},{"dropping-particle":"","family":"Harms","given":"A. B.","non-dropping-particle":"","parse-names":false,"suffix":""},{"dropping-particle":"","family":"Titiloye","given":"J. O.","non-dropping-particle":"","parse-names":false,"suffix":""},{"dropping-particle":"V.","family":"Bridgwater","given":"A.","non-dropping-particle":"","parse-names":false,"suffix":""}],"container-title":"Fuel","id":"ITEM-3","issued":{"date-parts":[["2013"]]},"page":"216-230","publisher":"Elsevier Ltd","title":"A comparative study of straw, perennial grasses and hardwoods in terms of fast pyrolysis products","type":"article-journal","volume":"108"},"uris":["http://www.mendeley.com/documents/?uuid=db7677ec-c47a-40cb-87e6-c2750a2f28ff"]},{"id":"ITEM-4","itemData":{"DOI":"10.1016/j.fuproc.2009.10.012","ISSN":"03783820","abstract":"This paper describes the production and fuel properties of fast pyrolysis oil/bio-diesel blends. The bio-oils used in this study were produced from the fast pyrolysis of woody biomasses, oil mallee and pine. The bio-diesel employed was derived from canola vegetable oil. The conditions used to prepare the bio-oil/bio-diesel blends, as well as some of the fuel properties of the resulting bio-diesel rich phase, are reported. The experimental results show that the solubility of fast pyrolysis oils in bio-diesel is not as high as was previously reported for decanted oils obtained by Auger pyrolysis. The carboxylic acids, mono-phenols, furans and lignin derived oligomers were the compounds most soluble in bio-diesel, while the sugars, on the other hand, showed poor solubility. Although the presence of phenols enhances the oxidation stability of the bio-diesel rich phases, other fuel properties deteriorate. For example, the content of solid residues increased primarily because of the solubilisation of lignin derived oligomers, which were quantified by UV-fluorescence. Concentrations as high as 3.5 mass % of these compounds were observed in the bio-diesel rich phase. The solubility of bio-oil in bio-diesel was enhanced by using ethyl acetate/bio-diesel blends. Some fuel properties of the bio-diesel rich phase, after the removal of ethyl acetate, are reported. © 2009 Elsevier B.V. All rights reserved.","author":[{"dropping-particle":"","family":"Garcia-Perez","given":"Manuel","non-dropping-particle":"","parse-names":false,"suffix":""},{"dropping-particle":"","family":"Shen","given":"Jun","non-dropping-particle":"","parse-names":false,"suffix":""},{"dropping-particle":"","family":"Wang","given":"Xiao Shan","non-dropping-particle":"","parse-names":false,"suffix":""},{"dropping-particle":"","family":"Li","given":"Chun Zhu","non-dropping-particle":"","parse-names":false,"suffix":""}],"container-title":"Fuel Processing Technology","id":"ITEM-4","issue":"3","issued":{"date-parts":[["2010"]]},"page":"296-305","publisher":"Elsevier B.V.","title":"Production and fuel properties of fast pyrolysis oil/bio-diesel blends","type":"article-journal","volume":"91"},"uris":["http://www.mendeley.com/documents/?uuid=32cae345-8cea-4bad-83b0-b64f355a06fd"]},{"id":"ITEM-5","itemData":{"DOI":"10.1016/j.jaap.2008.04.001","author":[{"dropping-particle":"","family":"Jung","given":"Su-hwa","non-dropping-particle":"","parse-names":false,"suffix":""},{"dropping-particle":"","family":"Kang","given":"Bo-sung","non-dropping-particle":"","parse-names":false,"suffix":""},{"dropping-particle":"","family":"Kim","given":"Joo-sik","non-dropping-particle":"","parse-names":false,"suffix":""}],"id":"ITEM-5","issued":{"date-parts":[["2008"]]},"page":"240-247","title":"Production of bio-oil from rice straw and bamboo sawdust under various reaction conditions in a fast pyrolysis plant equipped with a fluidized bed and a char separation system","type":"article-journal","volume":"82"},"uris":["http://www.mendeley.com/documents/?uuid=6caf8f85-fb0e-4c45-929c-735dd81fa693"]},{"id":"ITEM-6","itemData":{"DOI":"10.1016/j.joei.2019.05.001","ISSN":"17460220","abstract":"Bio-oil is a multicomponent mixture of more than 400 types of organic compounds, with high water content. Fractionation of bio-oil may be a more efficient approach for primary separation of bio-oil. In this work, to better understand the effect of fractional condensers on bio-oil yield, physicochemical characteristics, compounds distribution and phenols selection during biomass fast pyrolysis process, a semi-automatic controlled fluidized bed reactor biomass fast pyrolysis system with four-stage condensers was developed. Average temperatures of Condensers 1, 2, 3, 4 were 32.39 °C, 26.74 °C, 24.06 °C and 23.68 °C, respectively. And the bio-oil yields of Condenser 1, 2, 3, and 4 were 26.82%, 7.31%, 1.48% and 9.69%, respectively. Bio-oil collected from Condenser 4 had the lowest water content (9.68 wt%), the lowest acidity (pH = 3.67), and the highest HHV (29.2 MJ/kg). The highest relative contents of compounds collected from Condenser 1, 2, 3 and 4 were 1-(4-hydroxy-3-methoxyphenyl)-2-Propanone (6.95%), trans-Isoeugenol (6.63%), Creosol (5.28%), and trans-Isoeugenol (6.69%), respectively. Fractional condensers affected the compounds distribution, but it has a stronger effect on relative heavy compounds (molar mass &gt; 250) and a weaker effect on relative light compounds (molar mass &lt; 200). Fractional condensers were more conducive to the selection of phenols with relative yield of more than 30%. Phenols, acids and furfurans tended to distribute at higher temperature, while alcohols, ethers and hydrocarbons tended to distribute at relative lower temperature, but the difference was small. The research has provided a reference for the production of bio-oil.","author":[{"dropping-particle":"","family":"Chai","given":"Meiyun","non-dropping-particle":"","parse-names":false,"suffix":""},{"dropping-particle":"","family":"He","given":"Yifeng","non-dropping-particle":"","parse-names":false,"suffix":""},{"dropping-particle":"","family":"Nishu","given":"","non-dropping-particle":"","parse-names":false,"suffix":""},{"dropping-particle":"","family":"Sun","given":"Chen","non-dropping-particle":"","parse-names":false,"suffix":""},{"dropping-particle":"","family":"Liu","given":"Ronghou","non-dropping-particle":"","parse-names":false,"suffix":""}],"container-title":"Journal of the Energy Institute","id":"ITEM-6","issue":"2","issued":{"date-parts":[["2020"]]},"page":"811-821","publisher":"Elsevier Ltd","title":"Effect of fractional condensers on characteristics, compounds distribution and phenols selection of bio-oil from pine sawdust fast pyrolysis","type":"article-journal","volume":"93"},"uris":["http://www.mendeley.com/documents/?uuid=8909f096-8c8f-4ca7-9c83-e534a25b85de"]},{"id":"ITEM-7","itemData":{"DOI":"10.1016/j.renene.2018.09.103","ISSN":"18790682","abstract":"Macroalgae contain significant amounts of inorganic compounds (K, Na, Mg, and Ca) that cause problems during thermal processing (ash fouling or agglomeration of char and bed material). The macroalga Saccharina japonica (S.J) was demineralized with diluted acid solution to remove inorganic species before using this matter for fast pyrolysis in a bubbling fluidized-bed reactor. The effect of acid washing on the product yield and the quality of bio-oil was systematically investigated. When the pyrolysis temperature increased from 400 to 500 °C, the bio-oil yield was 39.70–45.36 wt%. The major compounds in the bio-oil were levoglucosan and di-anhydromannitol. The fractional catalytic pyrolysis of pre-treated S. japonica using HZSM-5 catalyst (calcined at 550 °C) was investigated in fluidized-bed reactor under the same conditions. Pyrolysis of the pretreated sample with catalyst resulted in 35.37–39.05 wt% liquid yield, which was lower than that from using silica sand. Using HZSM-5 catalytic pyrolysis bio-oil showed a decrease in dianhydromannitol and 2-furyl methyl ketone, and an increase in aromatic compounds such as derivatives of phenol, indole, and naphthalene. The effect of pretreatment by acid washing, and the effect of this catalyst on the pyrolysis product distribution and composition were clarified in relation to previous work.","author":[{"dropping-particle":"","family":"Ly","given":"Hoang Vu","non-dropping-particle":"","parse-names":false,"suffix":""},{"dropping-particle":"","family":"Choi","given":"Jae Hyung","non-dropping-particle":"","parse-names":false,"suffix":""},{"dropping-particle":"","family":"Woo","given":"Hee Chul","non-dropping-particle":"","parse-names":false,"suffix":""},{"dropping-particle":"","family":"Kim","given":"Seung Soo","non-dropping-particle":"","parse-names":false,"suffix":""},{"dropping-particle":"","family":"Kim","given":"Jinsoo","non-dropping-particle":"","parse-names":false,"suffix":""}],"container-title":"Renewable Energy","id":"ITEM-7","issued":{"date-parts":[["2019"]]},"page":"11-22","publisher":"Elsevier Ltd","title":"Upgrading bio-oil by catalytic fast pyrolysis of acid-washed Saccharina japonica alga in a fluidized-bed reactor","type":"article-journal","volume":"133"},"uris":["http://www.mendeley.com/documents/?uuid=04a84445-cc60-4826-82c4-2bd57b995d9a"]},{"id":"ITEM-8","itemData":{"DOI":"10.1016/j.renene.2019.10.141","ISSN":"18790682","abstract":"Bamboo has been considered a potential feedstock of energy for the future. It can be subjected to the pyrolysis for biofuels production. The thermogravimetric analysis (TGA) combined with differential thermogravimetric analysis (DTG) for bamboo was carried out prior to pyrolysis. The thermal degradation of bamboo was mainly between 230 and 420 °C. The conventional pyrolysis of bamboo was investigated in a bubbling fluidized-bed reactor using silica sand. The product distribution and composition of pyrolysis bio-oil were dependent on biomass component and operating conditions such as pyrolysis temperature, fluidization velocity, and particle size of biomass. The fractional catalytic pyrolysis of bamboo was also studied to upgrade the pyrolysis vapor, using HZSM-5 and red mud. The highest yield of bio-oil was 54.03 wt% compared to 49.14 wt% and 50.34 wt% of HZSM-5 and red mud catalyst, respectively. In the red mud catalytic pyrolysis, the oxygen content was rejected from pyrolysis vapor mostly via decarboxylation to produce more CO2 than CO; in contrast, for the HZSM-5 catalytic pyrolysis, the production of CO through decarbonylation was more favored than CO2. The main composition of catalytic pyrolysis bio-oil was 4-vinylphenol, which was employed as a raw material source to synthesize valuable material for energy storage.","author":[{"dropping-particle":"","family":"Ly","given":"Hoang Vu","non-dropping-particle":"","parse-names":false,"suffix":""},{"dropping-particle":"","family":"Park","given":"Jeong Woo","non-dropping-particle":"","parse-names":false,"suffix":""},{"dropping-particle":"","family":"Kim","given":"Seung Soo","non-dropping-particle":"","parse-names":false,"suffix":""},{"dropping-particle":"","family":"Hwang","given":"Hyun Tae","non-dropping-particle":"","parse-names":false,"suffix":""},{"dropping-particle":"","family":"Kim","given":"Jinsoo","non-dropping-particle":"","parse-names":false,"suffix":""},{"dropping-particle":"","family":"Woo","given":"Hee Chul","non-dropping-particle":"","parse-names":false,"suffix":""}],"container-title":"Renewable Energy","id":"ITEM-8","issued":{"date-parts":[["2020"]]},"page":"1434-1445","publisher":"Elsevier Ltd","title":"Catalytic pyrolysis of bamboo in a bubbling fluidized-bed reactor with two different catalysts: HZSM-5 and red mud for upgrading bio-oil","type":"article-journal","volume":"149"},"uris":["http://www.mendeley.com/documents/?uuid=b506e600-c963-4100-a0e3-f699fa87f728"]},{"id":"ITEM-9","itemData":{"DOI":"10.1016/S0360-5442(00)00009-8","ISSN":"03605442","abstract":"Rice husks were pyrolysed in a fluidised bed reactor at 400, 450, 500, 550 and 600°C. The rice husks were then pyrolysed at 550°C with zeolite ZSM-5 catalyst upgrading of the pyrolysis vapours at catalyst temperatures of 400, 450, 500, 550, and 600°C. The pyrolysis oils were collected in a series of condensers and cold traps and analysed to determine their yield and composition in relation to process conditions. The gases were analysed off-line by packed column gas chromatography. The pyrolysis oils before catalysis were homogeneous, of low viscosity and highly oxygenated. Polycyclic aromatic hydrocarbons (PAH) were present in the oils at low concentration and increased in concentration with increasing temperature of pyrolysis. Oxygenated compounds in the oils consisted mainly of phenols, cresols, benzenediols and guaiacol and their alkylated derivatives. In the presence of the catalyst the yield of oil was markedly reduced, although the oxygen content of the oil was reduced with the formation of coke on the catalyst. The influence of the catalyst was to convert the oxygen in the pyrolysis oil to largely H2O at the lower catalyst temperatures and to largely CO and CO2 at the higher catalyst temperatures. The molecular weight distribution of the oils was decreased after catalysis and further decreased with increasing temperature of catalysis. The catalysed oils were markedly increased in single ring and PAH compared to uncatalysed biomass pyrolysis oils. The concentration of aromatic and polycyclic aromatic species increased with increasing catalyst temperature. © 2000 Elsevier Science Ltd.","author":[{"dropping-particle":"","family":"Williams","given":"Paul T.","non-dropping-particle":"","parse-names":false,"suffix":""},{"dropping-particle":"","family":"Nugranad","given":"Nittaya","non-dropping-particle":"","parse-names":false,"suffix":""}],"container-title":"Energy","id":"ITEM-9","issue":"6","issued":{"date-parts":[["2000"]]},"page":"493-513","title":"Comparison of products from the pyrolysis and catalytic pyrolysis of rice husks","type":"article-journal","volume":"25"},"uris":["http://www.mendeley.com/documents/?uuid=46562f4a-68dc-4f0a-b49d-09bb4de4f937"]},{"id":"ITEM-10","itemData":{"DOI":"10.1021/acs.energyfuels.5b02165","ISSN":"15205029","abstract":"In situ and ex situ catalytic pyrolysis were compared in a system with two 2-in. bubbling fluidized bed reactors. Pine was pyrolyzed in the system with a catalyst, HZSM-5 with a silica-to-alumina ratio of 30, placed either in the first (pyrolysis) reactor or the second (upgrading) reactor. Both the pyrolysis and upgrading temperatures were 500 °C, and the weight hourly space velocity was 1.1 h-1. Five catalytic cycles were completed in each experiment. The catalytic cycles were continued until oxygenates in the vapors became dominant. The catalyst was then oxidized, after which a new catalytic cycle was begun. The in situ configuration gave slightly higher oil yield but also higher oxygen content than the ex situ configuration, which indicates that the catalyst deactivated faster in the in situ configuration than the ex situ configuration. Analysis of the spent catalysts confirmed higher accumulation of metals in the in situ experiment. In all experiments, the organic oil mass yields varied between 14 and 17% and the carbon efficiencies between 20 and 25%. The organic oxygen concentrations in the oils were 16-18%, which represented a 45% reduction compared to corresponding noncatalytic pyrolysis oils prepared in the same fluidized bed reactor system. GC/MS analysis showed the oils to contain one- to four-ring aromatic hydrocarbons and a variety of oxygenates (phenols, furans, benzofurans, methoxyphenols, naphthalenols, indenols). High fractions of oxygen were rejected as water, CO, and CO2, which indicates the importance of dehydration, decarbonylation, and decarboxylation reactions. Light gases were the major sources of carbon losses, followed by char and coke.","author":[{"dropping-particle":"","family":"Iisa","given":"Kristiina","non-dropping-particle":"","parse-names":false,"suffix":""},{"dropping-particle":"","family":"French","given":"Richard J.","non-dropping-particle":"","parse-names":false,"suffix":""},{"dropping-particle":"","family":"Orton","given":"Kellene A.","non-dropping-particle":"","parse-names":false,"suffix":""},{"dropping-particle":"","family":"Yung","given":"Matthew M.","non-dropping-particle":"","parse-names":false,"suffix":""},{"dropping-particle":"","family":"Johnson","given":"David K.","non-dropping-particle":"","parse-names":false,"suffix":""},{"dropping-particle":"","family":"Dam","given":"Jeroen","non-dropping-particle":"Ten","parse-names":false,"suffix":""},{"dropping-particle":"","family":"Watson","given":"Michael J.","non-dropping-particle":"","parse-names":false,"suffix":""},{"dropping-particle":"","family":"Nimlos","given":"Mark R.","non-dropping-particle":"","parse-names":false,"suffix":""}],"container-title":"Energy and Fuels","id":"ITEM-10","issue":"3","issued":{"date-parts":[["2016"]]},"page":"2144-2157","title":"In Situ and ex Situ Catalytic Pyrolysis of Pine in a Bench-Scale Fluidized Bed Reactor System","type":"article-journal","volume":"30"},"uris":["http://www.mendeley.com/documents/?uuid=110d3d05-1a07-4cd3-be83-17ac92b390ed"]},{"id":"ITEM-11","itemData":{"DOI":"10.1021/acs.energyfuels.7b02786","ISSN":"15205029","abstract":"Catalytic fast pyrolysis of eucalyptus wood was performed on a continuous laboratory-scale fluidized bed fast pyrolysis system. Catalytic activity was monitored from use of fresh catalyst up to a cumulative biomass/catalyst ratio (B/C) of 4:1 over extruded pellets of three different ZSM-5 catalysts by tracking CO, CO2, H2, and C2H4 production and bio-oil quality. The catalysts employed were extruded HZSM-5 with two different silica/alumina ratios (30 and 80) as well as one modified with Ga (SiO2/Al2O3 = 30) by ion exchange, which was reduced under H2 prior to pyrolysis. The deactivation of the catalysts over the course of the experiment was reflected in the decline in deoxygenation activity, following the order HZSM-5 (30) &gt; HZSM-5 (80) &gt; GaZSM-5 (30). HZSM-5 (30) lost most of its activity before a cumulative B/C of 2:1 was reached, while HZSM-5 (80) still showed significant deoxygenated activity at this exposure level. GaZSM-5 (30) still showed deoxygenation activity at B/C of &gt;4:1. The improvement exhibited by HZSM-5 with an increasing SiO2/Al2O3 ratio was attributed to reduced acid site density that decreased the propensity for coke formation as a result of reactions occurring between substrates at adjacent active acid sites. For reduced GaZSM-5, initial dehydrogenation activity aided in the production of aromatics by the olefin oligomerization and aromatization route up to B/C of </w:instrText>
      </w:r>
      <w:r w:rsidR="00FB6102">
        <w:rPr>
          <w:rFonts w:ascii="Cambria Math" w:hAnsi="Cambria Math" w:cs="Cambria Math"/>
          <w:color w:val="000000"/>
          <w:lang w:val="en-GB"/>
        </w:rPr>
        <w:instrText>∼</w:instrText>
      </w:r>
      <w:r w:rsidR="00FB6102">
        <w:rPr>
          <w:rFonts w:cstheme="minorHAnsi"/>
          <w:color w:val="000000"/>
          <w:lang w:val="en-GB"/>
        </w:rPr>
        <w:instrText>1.5:1, after which Ga became completely oxidized; however, the oxidized GaZSM-5 catalyst continued to exhibit improved decarbonylation and decarboxylation activities.","author":[{"dropping-particle":"","family":"Mullen","given":"Charles A.","non-dropping-particle":"","parse-names":false,"suffix":""},{"dropping-particle":"","family":"Tarves","given":"Paul C.","non-dropping-particle":"","parse-names":false,"suffix":""},{"dropping-particle":"","family":"Raymundo","given":"Lucas M.","non-dropping-particle":"","parse-names":false,"suffix":""},{"dropping-particle":"","family":"Schultz","given":"Emerson L.","non-dropping-particle":"","parse-names":false,"suffix":""},{"dropping-particle":"","family":"Boateng","given":"Akwasi A.","non-dropping-particle":"","parse-names":false,"suffix":""},{"dropping-particle":"","family":"Trierweiler","given":"Jorge O.","non-dropping-particle":"","parse-names":false,"suffix":""}],"container-title":"Energy and Fuels","id":"ITEM-11","issue":"2","issued":{"date-parts":[["2018"]]},"page":"1771-1778","title":"Fluidized Bed Catalytic Pyrolysis of Eucalyptus over HZSM-5: Effect of Acid Density and Gallium Modification on Catalyst Deactivation","type":"article-journal","volume":"32"},"uris":["http://www.mendeley.com/documents/?uuid=53a9ae75-0524-4a03-8894-1e58eff4110b"]},{"id":"ITEM-12","itemData":{"DOI":"10.1039/c4gc00571f","ISSN":"14639270","abstract":"Catalytic fast pyrolysis of pine sawdust was successfully carried out in VTT's 20 kg h-1 Process Development Unit using a spray dried HZSM-5 catalyst. Approximately 250 kg of partially deoxygenated pyrolysis oil was produced over a period of four days. The catalytically produced pyrolysis oil had an average moisture content of 8.3 wt%, and average carbon and oxygen contents of 72.0 and 21.5 wt% on a dry basis, respectively. Approximately 24% of the original biomass carbon was present in the pyrolysis oil, whereas 14% of carbon was in the form of aqueous side products, which totaled approximately 600 kg. The pyrolysis oil contained a high amount of lignin derived water-insoluble material, as well as 6.4 wt% of aromatic hydrocarbons. The majority of the carbohydrate derived products, i.e. acids, aldehydes, ketones and sugar-type compounds, were found in the aqueous product fraction. While the quality of pyrolysis oil remained quite stable during the four day experiment, distinct changes were observed in the properties and the behavior of the catalyst. Coke formation was heaviest at the beginning of the experiment, and then subsided over time. Catalyst micropore area and volume also decreased during the experiment. This transformation was accompanied by apparent changes in the crystallinity and the structure of the catalyst. Scanning electron microscope images of the catalyst also revealed clear physical damage to the particles. Biomass alkali metals also deposited on the catalyst, and the spent catalyst contained a total of 1.1 wt% of Ca, K, Mg and P after the experiment. A linear correlation was observed between catalyst alkali metal content and acidity, which indicated that biomass alkalis substituted the proton functionalities of the HZSM-5 acid sites. This journal is © the Partner Organisations 2014.","author":[{"dropping-particle":"","family":"Paasikallio","given":"Ville","non-dropping-particle":"","parse-names":false,"suffix":""},{"dropping-particle":"","family":"Lindfors","given":"Christian","non-dropping-particle":"","parse-names":false,"suffix":""},{"dropping-particle":"","family":"Kuoppala","given":"Eeva","non-dropping-particle":"","parse-names":false,"suffix":""},{"dropping-particle":"","family":"Solantausta","given":"Yrjö","non-dropping-particle":"","parse-names":false,"suffix":""},{"dropping-particle":"","family":"Oasmaa","given":"Anja","non-dropping-particle":"","parse-names":false,"suffix":""},{"dropping-particle":"","family":"Lehto","given":"Jani","non-dropping-particle":"","parse-names":false,"suffix":""},{"dropping-particle":"","family":"Lehtonen","given":"Juha","non-dropping-particle":"","parse-names":false,"suffix":""}],"container-title":"Green Chemistry","id":"ITEM-12","issue":"7","issued":{"date-parts":[["2014"]]},"page":"3549-3559","title":"Product quality and catalyst deactivation in a four day catalytic fast pyrolysis production run","type":"article-journal","volume":"16"},"uris":["http://www.mendeley.com/documents/?uuid=905dfffb-f1c5-4b3b-96bf-83708cd8a626"]}],"mendeley":{"formattedCitation":"(Chai et al., 2020; Christoforou et al., 2018; Garcia-Perez et al., 2010; Greenhalf et al., 2013; Iisa et al., 2016; Jung et al., 2008; Ly et al., 2019, 2020; Mullen et al., 2018; Paasikallio et al., 2014; Williams et al., 2000; Zhang et al., 2009)","plainTextFormattedCitation":"(Chai et al., 2020; Christoforou et al., 2018; Garcia-Perez et al., 2010; Greenhalf et al., 2013; Iisa et al., 2016; Jung et al., 2008; Ly et al., 2019, 2020; Mullen et al., 2018; Paasikallio et al., 2014; Williams et al., 2000; Zhang et al., 2009)","previouslyFormattedCitation":"(Chai, He, Nishu, Sun, &amp; Liu, 2020; Christoforou et al., 2018; Garcia-Perez, Shen, Wang, &amp; Li, 2010; Greenhalf, Nowakowski, Harms, Titiloye, &amp; Bridgwater, 2013; Iisa et al., 2016; Jung, Kang, &amp; Kim, 2008; Ly, Choi, Woo, Kim, &amp; Kim, 2019; Ly et al., 2020; Mullen et al., 2018; Paasikallio et al., 2014; Williams &amp; Nugranad, 2000; Zhang, Xiao, Huang, &amp; Xiao, 2009)"},"properties":{"noteIndex":0},"schema":"https://github.com/citation-style-language/schema/raw/master/csl-citation.json"}</w:instrText>
      </w:r>
      <w:r w:rsidR="00361396">
        <w:rPr>
          <w:rFonts w:cstheme="minorHAnsi"/>
          <w:color w:val="000000"/>
          <w:lang w:val="en-GB"/>
        </w:rPr>
        <w:fldChar w:fldCharType="separate"/>
      </w:r>
      <w:r w:rsidR="00FB6102" w:rsidRPr="00FB6102">
        <w:rPr>
          <w:rFonts w:cstheme="minorHAnsi"/>
          <w:noProof/>
          <w:color w:val="000000"/>
          <w:lang w:val="en-GB"/>
        </w:rPr>
        <w:t>(Chai et al., 2020; Christoforou et al., 2018; Garcia-Perez et al., 2010; Greenhalf et al., 2013; Iisa et al., 2016; Jung et al., 2008; Ly et al., 2019, 2020; Mullen et al., 2018; Paasikallio et al., 2014; Williams et al., 2000; Zhang et al., 2009)</w:t>
      </w:r>
      <w:r w:rsidR="00361396">
        <w:rPr>
          <w:rFonts w:cstheme="minorHAnsi"/>
          <w:color w:val="000000"/>
          <w:lang w:val="en-GB"/>
        </w:rPr>
        <w:fldChar w:fldCharType="end"/>
      </w:r>
      <w:r>
        <w:rPr>
          <w:rFonts w:cstheme="minorHAnsi"/>
          <w:color w:val="000000"/>
          <w:lang w:val="en-GB"/>
        </w:rPr>
        <w:t xml:space="preserve">. Furthermore, only tests carried out in the temperature range of 450-550°C have been collected because representative of the optimal </w:t>
      </w:r>
      <w:r w:rsidR="0090748B">
        <w:rPr>
          <w:rFonts w:cstheme="minorHAnsi"/>
          <w:color w:val="000000"/>
          <w:lang w:val="en-GB"/>
        </w:rPr>
        <w:t>range in terms of bio-</w:t>
      </w:r>
      <w:r w:rsidR="00520283">
        <w:rPr>
          <w:rFonts w:cstheme="minorHAnsi"/>
          <w:color w:val="000000"/>
          <w:lang w:val="en-GB"/>
        </w:rPr>
        <w:t>liquid</w:t>
      </w:r>
      <w:r w:rsidR="00520283">
        <w:rPr>
          <w:rStyle w:val="Rimandonotaapidipagina"/>
          <w:rFonts w:cstheme="minorHAnsi"/>
          <w:color w:val="000000"/>
          <w:lang w:val="en-GB"/>
        </w:rPr>
        <w:footnoteReference w:id="2"/>
      </w:r>
      <w:r w:rsidR="00520283">
        <w:rPr>
          <w:rFonts w:cstheme="minorHAnsi"/>
          <w:color w:val="000000"/>
          <w:lang w:val="en-GB"/>
        </w:rPr>
        <w:t xml:space="preserve"> </w:t>
      </w:r>
      <w:r w:rsidR="00361396">
        <w:rPr>
          <w:rFonts w:cstheme="minorHAnsi"/>
          <w:color w:val="000000"/>
          <w:lang w:val="en-GB"/>
        </w:rPr>
        <w:t xml:space="preserve">yield, so obtaining a dataset with 59 observations. </w:t>
      </w:r>
      <w:r w:rsidR="00520283">
        <w:rPr>
          <w:rFonts w:cstheme="minorHAnsi"/>
          <w:color w:val="000000"/>
          <w:lang w:val="en-GB"/>
        </w:rPr>
        <w:t xml:space="preserve">The input data </w:t>
      </w:r>
      <w:r w:rsidR="00520283" w:rsidRPr="00520283">
        <w:rPr>
          <w:rFonts w:cstheme="minorHAnsi"/>
          <w:b/>
          <w:i/>
          <w:color w:val="000000"/>
          <w:lang w:val="en-GB"/>
        </w:rPr>
        <w:t>x</w:t>
      </w:r>
      <w:r w:rsidR="00520283">
        <w:rPr>
          <w:rFonts w:cstheme="minorHAnsi"/>
          <w:color w:val="000000"/>
          <w:lang w:val="en-GB"/>
        </w:rPr>
        <w:t xml:space="preserve"> have been constituted by combination of ultimate and proximate analysis of the </w:t>
      </w:r>
      <w:r w:rsidR="00F303C6">
        <w:rPr>
          <w:rFonts w:cstheme="minorHAnsi"/>
          <w:color w:val="000000"/>
          <w:lang w:val="en-GB"/>
        </w:rPr>
        <w:t xml:space="preserve">raw </w:t>
      </w:r>
      <w:r w:rsidR="00520283">
        <w:rPr>
          <w:rFonts w:cstheme="minorHAnsi"/>
          <w:color w:val="000000"/>
          <w:lang w:val="en-GB"/>
        </w:rPr>
        <w:t xml:space="preserve">biomass, while the output data </w:t>
      </w:r>
      <w:r w:rsidR="00520283" w:rsidRPr="00520283">
        <w:rPr>
          <w:rFonts w:cstheme="minorHAnsi"/>
          <w:b/>
          <w:i/>
          <w:color w:val="000000"/>
          <w:lang w:val="en-GB"/>
        </w:rPr>
        <w:t>y</w:t>
      </w:r>
      <w:r w:rsidR="00520283">
        <w:rPr>
          <w:rFonts w:cstheme="minorHAnsi"/>
          <w:color w:val="000000"/>
          <w:lang w:val="en-GB"/>
        </w:rPr>
        <w:t xml:space="preserve"> report bio liquid and bio char yields, and the weight H/C and O/C ratios in the bio liquid. </w:t>
      </w:r>
      <w:r w:rsidR="00B4022A" w:rsidRPr="00B4022A">
        <w:rPr>
          <w:rFonts w:cstheme="minorHAnsi"/>
          <w:color w:val="000000"/>
          <w:lang w:val="en-GB"/>
        </w:rPr>
        <w:t>Table 1 summarizes the input and output variables used</w:t>
      </w:r>
      <w:r w:rsidR="00F303C6">
        <w:rPr>
          <w:rFonts w:cstheme="minorHAnsi"/>
          <w:color w:val="000000"/>
          <w:lang w:val="en-GB"/>
        </w:rPr>
        <w:t xml:space="preserve"> for CCA.</w:t>
      </w:r>
    </w:p>
    <w:p w14:paraId="1CB4F89B" w14:textId="4BBF019C" w:rsidR="0084491B" w:rsidRDefault="0084491B" w:rsidP="001277B9">
      <w:pPr>
        <w:pStyle w:val="CETBodytext"/>
        <w:ind w:firstLine="284"/>
        <w:rPr>
          <w:rFonts w:cstheme="minorHAnsi"/>
          <w:color w:val="000000"/>
          <w:lang w:val="en-GB"/>
        </w:rPr>
      </w:pPr>
    </w:p>
    <w:p w14:paraId="4EC0CF04" w14:textId="78E002E8" w:rsidR="00B4022A" w:rsidRPr="00B57B36" w:rsidRDefault="00B4022A" w:rsidP="00376A89">
      <w:pPr>
        <w:pStyle w:val="CETTabletitle"/>
        <w:spacing w:before="0"/>
      </w:pPr>
      <w:r w:rsidRPr="00B57B36">
        <w:t xml:space="preserve">Table 1: </w:t>
      </w:r>
      <w:r w:rsidR="0003434D">
        <w:t xml:space="preserve">Variables of </w:t>
      </w:r>
      <w:r w:rsidR="00BE2B9B" w:rsidRPr="00BE2B9B">
        <w:rPr>
          <w:b/>
        </w:rPr>
        <w:t>x</w:t>
      </w:r>
      <w:r w:rsidRPr="00B4022A">
        <w:t xml:space="preserve"> and </w:t>
      </w:r>
      <w:r w:rsidR="00BE2B9B" w:rsidRPr="00BE2B9B">
        <w:rPr>
          <w:b/>
        </w:rPr>
        <w:t>y</w:t>
      </w:r>
      <w:r w:rsidRPr="00B4022A">
        <w:t xml:space="preserve"> used </w:t>
      </w:r>
      <w:r>
        <w:t xml:space="preserve">for </w:t>
      </w:r>
      <w:r w:rsidRPr="00B4022A">
        <w:t>CCA statistical analysis</w:t>
      </w:r>
      <w:r w:rsidR="00F303C6">
        <w:t>.</w:t>
      </w:r>
    </w:p>
    <w:tbl>
      <w:tblPr>
        <w:tblW w:w="85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0"/>
        <w:gridCol w:w="3402"/>
        <w:gridCol w:w="850"/>
        <w:gridCol w:w="3402"/>
      </w:tblGrid>
      <w:tr w:rsidR="00B4022A" w:rsidRPr="00B4022A" w14:paraId="41C221B3" w14:textId="77777777" w:rsidTr="00B4022A">
        <w:tc>
          <w:tcPr>
            <w:tcW w:w="850" w:type="dxa"/>
            <w:tcBorders>
              <w:top w:val="single" w:sz="12" w:space="0" w:color="008000"/>
              <w:bottom w:val="single" w:sz="6" w:space="0" w:color="008000"/>
            </w:tcBorders>
            <w:shd w:val="clear" w:color="auto" w:fill="FFFFFF"/>
            <w:vAlign w:val="center"/>
          </w:tcPr>
          <w:p w14:paraId="55D2B61A" w14:textId="02CC8371"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i/>
                <w:sz w:val="18"/>
                <w:szCs w:val="18"/>
              </w:rPr>
              <w:t>x</w:t>
            </w:r>
            <w:r w:rsidRPr="00B4022A">
              <w:rPr>
                <w:rFonts w:ascii="Arial" w:hAnsi="Arial" w:cs="Arial"/>
                <w:sz w:val="18"/>
                <w:szCs w:val="18"/>
              </w:rPr>
              <w:t xml:space="preserve"> data</w:t>
            </w:r>
          </w:p>
        </w:tc>
        <w:tc>
          <w:tcPr>
            <w:tcW w:w="3402" w:type="dxa"/>
            <w:tcBorders>
              <w:top w:val="single" w:sz="12" w:space="0" w:color="008000"/>
              <w:bottom w:val="single" w:sz="6" w:space="0" w:color="008000"/>
            </w:tcBorders>
            <w:shd w:val="clear" w:color="auto" w:fill="FFFFFF"/>
            <w:vAlign w:val="center"/>
          </w:tcPr>
          <w:p w14:paraId="0FA0E1A2" w14:textId="73366816"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rPr>
              <w:t>Definition</w:t>
            </w:r>
          </w:p>
        </w:tc>
        <w:tc>
          <w:tcPr>
            <w:tcW w:w="850" w:type="dxa"/>
            <w:tcBorders>
              <w:top w:val="single" w:sz="12" w:space="0" w:color="008000"/>
              <w:bottom w:val="single" w:sz="6" w:space="0" w:color="008000"/>
            </w:tcBorders>
            <w:shd w:val="clear" w:color="auto" w:fill="FFFFFF"/>
            <w:vAlign w:val="center"/>
          </w:tcPr>
          <w:p w14:paraId="29FCC3B1" w14:textId="417F9238"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i/>
                <w:sz w:val="18"/>
                <w:szCs w:val="18"/>
              </w:rPr>
              <w:t>y</w:t>
            </w:r>
            <w:r w:rsidRPr="00B4022A">
              <w:rPr>
                <w:rFonts w:ascii="Arial" w:hAnsi="Arial" w:cs="Arial"/>
                <w:sz w:val="18"/>
                <w:szCs w:val="18"/>
              </w:rPr>
              <w:t xml:space="preserve"> data</w:t>
            </w:r>
          </w:p>
        </w:tc>
        <w:tc>
          <w:tcPr>
            <w:tcW w:w="3402" w:type="dxa"/>
            <w:tcBorders>
              <w:top w:val="single" w:sz="12" w:space="0" w:color="008000"/>
              <w:bottom w:val="single" w:sz="6" w:space="0" w:color="008000"/>
            </w:tcBorders>
            <w:shd w:val="clear" w:color="auto" w:fill="FFFFFF"/>
            <w:vAlign w:val="center"/>
          </w:tcPr>
          <w:p w14:paraId="60EC2DD9" w14:textId="182F6237" w:rsidR="00B4022A" w:rsidRPr="00B4022A" w:rsidRDefault="00B4022A" w:rsidP="00B4022A">
            <w:pPr>
              <w:pStyle w:val="CETBodytext"/>
              <w:ind w:right="-1"/>
              <w:jc w:val="center"/>
              <w:rPr>
                <w:rFonts w:cs="Arial"/>
                <w:szCs w:val="18"/>
                <w:lang w:val="en-GB"/>
              </w:rPr>
            </w:pPr>
            <w:r w:rsidRPr="00B4022A">
              <w:rPr>
                <w:rFonts w:cs="Arial"/>
                <w:szCs w:val="18"/>
              </w:rPr>
              <w:t>Definition</w:t>
            </w:r>
          </w:p>
        </w:tc>
      </w:tr>
      <w:tr w:rsidR="00B4022A" w:rsidRPr="00B4022A" w14:paraId="483156EA" w14:textId="77777777" w:rsidTr="00B4022A">
        <w:tc>
          <w:tcPr>
            <w:tcW w:w="850" w:type="dxa"/>
            <w:shd w:val="clear" w:color="auto" w:fill="FFFFFF"/>
            <w:vAlign w:val="center"/>
          </w:tcPr>
          <w:p w14:paraId="4F939629" w14:textId="5A6F0323"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rPr>
              <w:t>M/CM</w:t>
            </w:r>
          </w:p>
        </w:tc>
        <w:tc>
          <w:tcPr>
            <w:tcW w:w="3402" w:type="dxa"/>
            <w:shd w:val="clear" w:color="auto" w:fill="FFFFFF"/>
            <w:vAlign w:val="center"/>
          </w:tcPr>
          <w:p w14:paraId="6BF47D55" w14:textId="72F87B75"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Moisture to Combustible matter weight ratio of raw biomass on dry basis</w:t>
            </w:r>
          </w:p>
        </w:tc>
        <w:tc>
          <w:tcPr>
            <w:tcW w:w="850" w:type="dxa"/>
            <w:shd w:val="clear" w:color="auto" w:fill="FFFFFF"/>
            <w:vAlign w:val="center"/>
          </w:tcPr>
          <w:p w14:paraId="1D7908F0" w14:textId="5714C4AF"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w% Bio Liquid</w:t>
            </w:r>
          </w:p>
        </w:tc>
        <w:tc>
          <w:tcPr>
            <w:tcW w:w="3402" w:type="dxa"/>
            <w:shd w:val="clear" w:color="auto" w:fill="FFFFFF"/>
            <w:vAlign w:val="center"/>
          </w:tcPr>
          <w:p w14:paraId="475897C2" w14:textId="508B985B" w:rsidR="00B4022A" w:rsidRPr="00C40E88" w:rsidRDefault="00B4022A" w:rsidP="00B4022A">
            <w:pPr>
              <w:pStyle w:val="CETBodytext"/>
              <w:ind w:right="-1"/>
              <w:jc w:val="center"/>
              <w:rPr>
                <w:rFonts w:cs="Arial"/>
                <w:szCs w:val="18"/>
                <w:lang w:val="en-GB"/>
              </w:rPr>
            </w:pPr>
            <w:r w:rsidRPr="00C40E88">
              <w:rPr>
                <w:rFonts w:cs="Arial"/>
                <w:szCs w:val="18"/>
                <w:lang w:val="en-GB"/>
              </w:rPr>
              <w:t>Weight yield of bio liquid</w:t>
            </w:r>
          </w:p>
        </w:tc>
      </w:tr>
      <w:tr w:rsidR="00B4022A" w:rsidRPr="00B4022A" w14:paraId="2FD8EECE" w14:textId="77777777" w:rsidTr="00B4022A">
        <w:tc>
          <w:tcPr>
            <w:tcW w:w="850" w:type="dxa"/>
            <w:shd w:val="clear" w:color="auto" w:fill="FFFFFF"/>
            <w:vAlign w:val="center"/>
          </w:tcPr>
          <w:p w14:paraId="315C7765" w14:textId="35CEF76C"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A/CM</w:t>
            </w:r>
          </w:p>
        </w:tc>
        <w:tc>
          <w:tcPr>
            <w:tcW w:w="3402" w:type="dxa"/>
            <w:shd w:val="clear" w:color="auto" w:fill="FFFFFF"/>
            <w:vAlign w:val="center"/>
          </w:tcPr>
          <w:p w14:paraId="435D337C" w14:textId="14288EA3"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Ash to Combustible matter weight ratio of raw biomass on dry basis</w:t>
            </w:r>
          </w:p>
        </w:tc>
        <w:tc>
          <w:tcPr>
            <w:tcW w:w="850" w:type="dxa"/>
            <w:shd w:val="clear" w:color="auto" w:fill="FFFFFF"/>
            <w:vAlign w:val="center"/>
          </w:tcPr>
          <w:p w14:paraId="698CF50F" w14:textId="162C3CD7"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w% Bio Char</w:t>
            </w:r>
          </w:p>
        </w:tc>
        <w:tc>
          <w:tcPr>
            <w:tcW w:w="3402" w:type="dxa"/>
            <w:shd w:val="clear" w:color="auto" w:fill="FFFFFF"/>
            <w:vAlign w:val="center"/>
          </w:tcPr>
          <w:p w14:paraId="5FA2388F" w14:textId="282B7F90" w:rsidR="00B4022A" w:rsidRPr="00B4022A" w:rsidRDefault="00B4022A" w:rsidP="00B4022A">
            <w:pPr>
              <w:pStyle w:val="CETBodytext"/>
              <w:ind w:right="-1"/>
              <w:jc w:val="center"/>
              <w:rPr>
                <w:rFonts w:cs="Arial"/>
                <w:szCs w:val="18"/>
                <w:lang w:val="en-GB"/>
              </w:rPr>
            </w:pPr>
            <w:r w:rsidRPr="00B4022A">
              <w:rPr>
                <w:rFonts w:cs="Arial"/>
                <w:szCs w:val="18"/>
                <w:lang w:val="en-GB"/>
              </w:rPr>
              <w:t>Weight yield of bio char</w:t>
            </w:r>
          </w:p>
        </w:tc>
      </w:tr>
      <w:tr w:rsidR="00B4022A" w:rsidRPr="00B4022A" w14:paraId="418E6BBD" w14:textId="77777777" w:rsidTr="00B4022A">
        <w:tc>
          <w:tcPr>
            <w:tcW w:w="850" w:type="dxa"/>
            <w:shd w:val="clear" w:color="auto" w:fill="FFFFFF"/>
            <w:vAlign w:val="center"/>
          </w:tcPr>
          <w:p w14:paraId="05EB1842" w14:textId="7B159885"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H/C</w:t>
            </w:r>
          </w:p>
        </w:tc>
        <w:tc>
          <w:tcPr>
            <w:tcW w:w="3402" w:type="dxa"/>
            <w:shd w:val="clear" w:color="auto" w:fill="FFFFFF"/>
            <w:vAlign w:val="center"/>
          </w:tcPr>
          <w:p w14:paraId="270E5C58" w14:textId="1727DB5D"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Hydrogen to Carbon weight ratio of raw biomass on dry basis</w:t>
            </w:r>
          </w:p>
        </w:tc>
        <w:tc>
          <w:tcPr>
            <w:tcW w:w="850" w:type="dxa"/>
            <w:shd w:val="clear" w:color="auto" w:fill="FFFFFF"/>
            <w:vAlign w:val="center"/>
          </w:tcPr>
          <w:p w14:paraId="6CF95091" w14:textId="573E4690"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(O/C)</w:t>
            </w:r>
            <w:r w:rsidRPr="00B4022A">
              <w:rPr>
                <w:rFonts w:ascii="Arial" w:hAnsi="Arial" w:cs="Arial"/>
                <w:sz w:val="18"/>
                <w:szCs w:val="18"/>
                <w:vertAlign w:val="subscript"/>
                <w:lang w:val="en-GB"/>
              </w:rPr>
              <w:t>BL</w:t>
            </w:r>
          </w:p>
        </w:tc>
        <w:tc>
          <w:tcPr>
            <w:tcW w:w="3402" w:type="dxa"/>
            <w:shd w:val="clear" w:color="auto" w:fill="FFFFFF"/>
            <w:vAlign w:val="center"/>
          </w:tcPr>
          <w:p w14:paraId="3394B826" w14:textId="68B4A126" w:rsidR="00B4022A" w:rsidRPr="00B4022A" w:rsidRDefault="00B4022A" w:rsidP="00B4022A">
            <w:pPr>
              <w:pStyle w:val="CETBodytext"/>
              <w:ind w:right="-1"/>
              <w:jc w:val="center"/>
              <w:rPr>
                <w:rFonts w:cs="Arial"/>
                <w:szCs w:val="18"/>
                <w:lang w:val="en-GB"/>
              </w:rPr>
            </w:pPr>
            <w:r w:rsidRPr="00B4022A">
              <w:rPr>
                <w:rFonts w:cs="Arial"/>
                <w:szCs w:val="18"/>
                <w:lang w:val="en-GB"/>
              </w:rPr>
              <w:t>Oxygen to Carbon weight ratio in the bio liquid</w:t>
            </w:r>
          </w:p>
        </w:tc>
      </w:tr>
      <w:tr w:rsidR="00B4022A" w:rsidRPr="00B4022A" w14:paraId="1BE9E0D8" w14:textId="77777777" w:rsidTr="00B4022A">
        <w:tc>
          <w:tcPr>
            <w:tcW w:w="850" w:type="dxa"/>
            <w:shd w:val="clear" w:color="auto" w:fill="FFFFFF"/>
            <w:vAlign w:val="center"/>
          </w:tcPr>
          <w:p w14:paraId="0C47467D" w14:textId="462279D9"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N/C</w:t>
            </w:r>
          </w:p>
        </w:tc>
        <w:tc>
          <w:tcPr>
            <w:tcW w:w="3402" w:type="dxa"/>
            <w:shd w:val="clear" w:color="auto" w:fill="FFFFFF"/>
            <w:vAlign w:val="center"/>
          </w:tcPr>
          <w:p w14:paraId="2567E0B6" w14:textId="559DD329"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Nitrogen to Carbon weight ratio of raw biomass on dry basis</w:t>
            </w:r>
          </w:p>
        </w:tc>
        <w:tc>
          <w:tcPr>
            <w:tcW w:w="850" w:type="dxa"/>
            <w:shd w:val="clear" w:color="auto" w:fill="FFFFFF"/>
            <w:vAlign w:val="center"/>
          </w:tcPr>
          <w:p w14:paraId="1D245B8B" w14:textId="03D04A15" w:rsidR="00B4022A" w:rsidRPr="00B4022A" w:rsidRDefault="00B4022A" w:rsidP="00B4022A">
            <w:pPr>
              <w:pStyle w:val="Nessunaspaziatura"/>
              <w:jc w:val="center"/>
              <w:rPr>
                <w:rFonts w:ascii="Arial" w:hAnsi="Arial" w:cs="Arial"/>
                <w:sz w:val="18"/>
                <w:szCs w:val="18"/>
                <w:lang w:val="en-GB"/>
              </w:rPr>
            </w:pPr>
            <w:r w:rsidRPr="00B4022A">
              <w:rPr>
                <w:rFonts w:ascii="Arial" w:hAnsi="Arial" w:cs="Arial"/>
                <w:sz w:val="18"/>
                <w:szCs w:val="18"/>
                <w:lang w:val="en-GB"/>
              </w:rPr>
              <w:t>(H/C)</w:t>
            </w:r>
            <w:r w:rsidRPr="00B4022A">
              <w:rPr>
                <w:rFonts w:ascii="Arial" w:hAnsi="Arial" w:cs="Arial"/>
                <w:sz w:val="18"/>
                <w:szCs w:val="18"/>
                <w:vertAlign w:val="subscript"/>
                <w:lang w:val="en-GB"/>
              </w:rPr>
              <w:t>BL</w:t>
            </w:r>
          </w:p>
        </w:tc>
        <w:tc>
          <w:tcPr>
            <w:tcW w:w="3402" w:type="dxa"/>
            <w:shd w:val="clear" w:color="auto" w:fill="FFFFFF"/>
            <w:vAlign w:val="center"/>
          </w:tcPr>
          <w:p w14:paraId="16D8AA88" w14:textId="32EE9516" w:rsidR="00B4022A" w:rsidRPr="00B4022A" w:rsidRDefault="00B4022A" w:rsidP="00B4022A">
            <w:pPr>
              <w:pStyle w:val="CETBodytext"/>
              <w:ind w:right="-1"/>
              <w:jc w:val="center"/>
              <w:rPr>
                <w:rFonts w:cs="Arial"/>
                <w:szCs w:val="18"/>
                <w:lang w:val="en-GB"/>
              </w:rPr>
            </w:pPr>
            <w:r w:rsidRPr="00B4022A">
              <w:rPr>
                <w:rFonts w:cs="Arial"/>
                <w:szCs w:val="18"/>
                <w:lang w:val="en-GB"/>
              </w:rPr>
              <w:t>Hydrogen to Carbon weight ratio in the bio liquid</w:t>
            </w:r>
          </w:p>
        </w:tc>
      </w:tr>
      <w:tr w:rsidR="00B4022A" w:rsidRPr="00B4022A" w14:paraId="14457B98" w14:textId="77777777" w:rsidTr="00B4022A">
        <w:tc>
          <w:tcPr>
            <w:tcW w:w="850" w:type="dxa"/>
            <w:shd w:val="clear" w:color="auto" w:fill="FFFFFF"/>
            <w:vAlign w:val="center"/>
          </w:tcPr>
          <w:p w14:paraId="27E036B6" w14:textId="42354F03" w:rsidR="00B4022A" w:rsidRPr="00B4022A" w:rsidRDefault="00B4022A" w:rsidP="00B4022A">
            <w:pPr>
              <w:pStyle w:val="Nessunaspaziatura"/>
              <w:ind w:right="-1"/>
              <w:jc w:val="center"/>
              <w:rPr>
                <w:rFonts w:ascii="Arial" w:hAnsi="Arial" w:cs="Arial"/>
                <w:sz w:val="18"/>
                <w:szCs w:val="18"/>
                <w:lang w:val="en-GB"/>
              </w:rPr>
            </w:pPr>
            <w:r w:rsidRPr="00B4022A">
              <w:rPr>
                <w:rFonts w:ascii="Arial" w:hAnsi="Arial" w:cs="Arial"/>
                <w:sz w:val="18"/>
                <w:szCs w:val="18"/>
                <w:lang w:val="en-GB"/>
              </w:rPr>
              <w:t>O/C</w:t>
            </w:r>
          </w:p>
        </w:tc>
        <w:tc>
          <w:tcPr>
            <w:tcW w:w="3402" w:type="dxa"/>
            <w:shd w:val="clear" w:color="auto" w:fill="FFFFFF"/>
            <w:vAlign w:val="center"/>
          </w:tcPr>
          <w:p w14:paraId="5F9FA694" w14:textId="4CD68150" w:rsidR="00B4022A" w:rsidRPr="00B4022A" w:rsidRDefault="00B4022A" w:rsidP="00B4022A">
            <w:pPr>
              <w:pStyle w:val="CETBodytext"/>
              <w:ind w:right="-1"/>
              <w:jc w:val="center"/>
              <w:rPr>
                <w:rFonts w:cs="Arial"/>
                <w:szCs w:val="18"/>
                <w:lang w:val="en-GB"/>
              </w:rPr>
            </w:pPr>
            <w:r w:rsidRPr="00B4022A">
              <w:rPr>
                <w:rFonts w:cs="Arial"/>
                <w:szCs w:val="18"/>
                <w:lang w:val="en-GB"/>
              </w:rPr>
              <w:t>Oxygen to Carbon weight ratio of raw biomass on dry basis</w:t>
            </w:r>
          </w:p>
        </w:tc>
        <w:tc>
          <w:tcPr>
            <w:tcW w:w="850" w:type="dxa"/>
            <w:shd w:val="clear" w:color="auto" w:fill="FFFFFF"/>
            <w:vAlign w:val="center"/>
          </w:tcPr>
          <w:p w14:paraId="0AC65A07" w14:textId="77777777" w:rsidR="00B4022A" w:rsidRPr="00B4022A" w:rsidRDefault="00B4022A" w:rsidP="00B4022A">
            <w:pPr>
              <w:pStyle w:val="CETBodytext"/>
              <w:ind w:right="-1"/>
              <w:jc w:val="center"/>
              <w:rPr>
                <w:rFonts w:cs="Arial"/>
                <w:szCs w:val="18"/>
                <w:lang w:val="en-GB"/>
              </w:rPr>
            </w:pPr>
          </w:p>
        </w:tc>
        <w:tc>
          <w:tcPr>
            <w:tcW w:w="3402" w:type="dxa"/>
            <w:shd w:val="clear" w:color="auto" w:fill="FFFFFF"/>
            <w:vAlign w:val="center"/>
          </w:tcPr>
          <w:p w14:paraId="76788559" w14:textId="77777777" w:rsidR="00B4022A" w:rsidRPr="00B4022A" w:rsidRDefault="00B4022A" w:rsidP="00B4022A">
            <w:pPr>
              <w:pStyle w:val="CETBodytext"/>
              <w:ind w:right="-1"/>
              <w:jc w:val="center"/>
              <w:rPr>
                <w:rFonts w:cs="Arial"/>
                <w:szCs w:val="18"/>
                <w:lang w:val="en-GB"/>
              </w:rPr>
            </w:pPr>
          </w:p>
        </w:tc>
      </w:tr>
    </w:tbl>
    <w:p w14:paraId="5FB137E8" w14:textId="77777777" w:rsidR="005A7769" w:rsidRPr="00B4022A" w:rsidRDefault="005A7769" w:rsidP="00B4022A">
      <w:pPr>
        <w:pStyle w:val="CETBodytext"/>
        <w:ind w:firstLine="284"/>
        <w:rPr>
          <w:rFonts w:cstheme="minorHAnsi"/>
          <w:color w:val="000000"/>
          <w:lang w:val="en-GB"/>
        </w:rPr>
      </w:pPr>
    </w:p>
    <w:p w14:paraId="2F2C9A57" w14:textId="60F1DDCC" w:rsidR="0084491B" w:rsidRPr="00B4022A" w:rsidRDefault="00707456" w:rsidP="001277B9">
      <w:pPr>
        <w:pStyle w:val="CETBodytext"/>
        <w:ind w:firstLine="284"/>
        <w:rPr>
          <w:rFonts w:cstheme="minorHAnsi"/>
          <w:color w:val="000000"/>
          <w:lang w:val="en-GB"/>
        </w:rPr>
      </w:pPr>
      <w:r>
        <w:rPr>
          <w:rFonts w:cstheme="minorHAnsi"/>
          <w:color w:val="000000"/>
          <w:lang w:val="en-GB"/>
        </w:rPr>
        <w:t>The CCA analysis has been implemented in MatLab</w:t>
      </w:r>
      <w:r>
        <w:rPr>
          <w:rFonts w:cs="Arial"/>
          <w:color w:val="000000"/>
          <w:lang w:val="en-GB"/>
        </w:rPr>
        <w:t>™</w:t>
      </w:r>
      <w:r>
        <w:rPr>
          <w:rFonts w:cstheme="minorHAnsi"/>
          <w:color w:val="000000"/>
          <w:lang w:val="en-GB"/>
        </w:rPr>
        <w:t xml:space="preserve"> environment by the utilization of the command </w:t>
      </w:r>
      <w:r w:rsidRPr="00A721C1">
        <w:rPr>
          <w:rFonts w:cstheme="minorHAnsi"/>
          <w:i/>
          <w:color w:val="000000"/>
          <w:lang w:val="en-GB"/>
        </w:rPr>
        <w:t>canoncorr(</w:t>
      </w:r>
      <w:r w:rsidRPr="00A721C1">
        <w:rPr>
          <w:rFonts w:cstheme="minorHAnsi"/>
          <w:b/>
          <w:i/>
          <w:color w:val="000000"/>
          <w:lang w:val="en-GB"/>
        </w:rPr>
        <w:t>x</w:t>
      </w:r>
      <w:r w:rsidRPr="00A721C1">
        <w:rPr>
          <w:rFonts w:cstheme="minorHAnsi"/>
          <w:i/>
          <w:color w:val="000000"/>
          <w:lang w:val="en-GB"/>
        </w:rPr>
        <w:t>,</w:t>
      </w:r>
      <w:r w:rsidRPr="00A721C1">
        <w:rPr>
          <w:rFonts w:cstheme="minorHAnsi"/>
          <w:b/>
          <w:i/>
          <w:color w:val="000000"/>
          <w:lang w:val="en-GB"/>
        </w:rPr>
        <w:t>y</w:t>
      </w:r>
      <w:r w:rsidRPr="00A721C1">
        <w:rPr>
          <w:rFonts w:cstheme="minorHAnsi"/>
          <w:i/>
          <w:color w:val="000000"/>
          <w:lang w:val="en-GB"/>
        </w:rPr>
        <w:t>)</w:t>
      </w:r>
      <w:r w:rsidR="00A721C1">
        <w:rPr>
          <w:rFonts w:cstheme="minorHAnsi"/>
          <w:color w:val="000000"/>
          <w:lang w:val="en-GB"/>
        </w:rPr>
        <w:t xml:space="preserve"> which computes the </w:t>
      </w:r>
      <w:r w:rsidR="00A721C1" w:rsidRPr="00A721C1">
        <w:rPr>
          <w:rFonts w:cstheme="minorHAnsi"/>
          <w:color w:val="000000"/>
          <w:lang w:val="en-GB"/>
        </w:rPr>
        <w:t xml:space="preserve">canonical vectors </w:t>
      </w:r>
      <w:r w:rsidR="00A721C1" w:rsidRPr="00B15ADD">
        <w:rPr>
          <w:rFonts w:cstheme="minorHAnsi"/>
          <w:i/>
          <w:color w:val="000000"/>
          <w:lang w:val="en-GB"/>
        </w:rPr>
        <w:t>a</w:t>
      </w:r>
      <w:r w:rsidR="00A721C1" w:rsidRPr="00B15ADD">
        <w:rPr>
          <w:rFonts w:cstheme="minorHAnsi"/>
          <w:i/>
          <w:color w:val="000000"/>
          <w:vertAlign w:val="subscript"/>
          <w:lang w:val="en-GB"/>
        </w:rPr>
        <w:t>m</w:t>
      </w:r>
      <w:r w:rsidR="00A721C1" w:rsidRPr="00A721C1">
        <w:rPr>
          <w:rFonts w:cstheme="minorHAnsi"/>
          <w:color w:val="000000"/>
          <w:lang w:val="en-GB"/>
        </w:rPr>
        <w:t xml:space="preserve"> and </w:t>
      </w:r>
      <w:r w:rsidR="00A721C1" w:rsidRPr="00B15ADD">
        <w:rPr>
          <w:rFonts w:cstheme="minorHAnsi"/>
          <w:i/>
          <w:color w:val="000000"/>
          <w:lang w:val="en-GB"/>
        </w:rPr>
        <w:t>b</w:t>
      </w:r>
      <w:r w:rsidR="00A721C1" w:rsidRPr="00B15ADD">
        <w:rPr>
          <w:rFonts w:cstheme="minorHAnsi"/>
          <w:i/>
          <w:color w:val="000000"/>
          <w:vertAlign w:val="subscript"/>
          <w:lang w:val="en-GB"/>
        </w:rPr>
        <w:t>m</w:t>
      </w:r>
      <w:r w:rsidR="00A721C1" w:rsidRPr="00A721C1">
        <w:rPr>
          <w:rFonts w:cstheme="minorHAnsi"/>
          <w:color w:val="000000"/>
          <w:lang w:val="en-GB"/>
        </w:rPr>
        <w:t xml:space="preserve">, and the canonical variates </w:t>
      </w:r>
      <w:r w:rsidR="00A721C1" w:rsidRPr="00B15ADD">
        <w:rPr>
          <w:rFonts w:cstheme="minorHAnsi"/>
          <w:i/>
          <w:color w:val="000000"/>
          <w:lang w:val="en-GB"/>
        </w:rPr>
        <w:t>v</w:t>
      </w:r>
      <w:r w:rsidR="00A721C1" w:rsidRPr="00B15ADD">
        <w:rPr>
          <w:rFonts w:cstheme="minorHAnsi"/>
          <w:i/>
          <w:color w:val="000000"/>
          <w:vertAlign w:val="subscript"/>
          <w:lang w:val="en-GB"/>
        </w:rPr>
        <w:t>m</w:t>
      </w:r>
      <w:r w:rsidR="00A721C1" w:rsidRPr="00A721C1">
        <w:rPr>
          <w:rFonts w:cstheme="minorHAnsi"/>
          <w:color w:val="000000"/>
          <w:lang w:val="en-GB"/>
        </w:rPr>
        <w:t xml:space="preserve"> and </w:t>
      </w:r>
      <w:r w:rsidR="00A721C1" w:rsidRPr="00B15ADD">
        <w:rPr>
          <w:rFonts w:cstheme="minorHAnsi"/>
          <w:i/>
          <w:color w:val="000000"/>
          <w:lang w:val="en-GB"/>
        </w:rPr>
        <w:t>w</w:t>
      </w:r>
      <w:r w:rsidR="00A721C1" w:rsidRPr="00B15ADD">
        <w:rPr>
          <w:rFonts w:cstheme="minorHAnsi"/>
          <w:i/>
          <w:color w:val="000000"/>
          <w:vertAlign w:val="subscript"/>
          <w:lang w:val="en-GB"/>
        </w:rPr>
        <w:t>m</w:t>
      </w:r>
      <w:r w:rsidR="00A721C1">
        <w:rPr>
          <w:rFonts w:cstheme="minorHAnsi"/>
          <w:color w:val="000000"/>
          <w:lang w:val="en-GB"/>
        </w:rPr>
        <w:t xml:space="preserve">. </w:t>
      </w:r>
      <w:r w:rsidR="00A721C1" w:rsidRPr="00A721C1">
        <w:rPr>
          <w:rFonts w:cstheme="minorHAnsi"/>
          <w:color w:val="000000"/>
          <w:lang w:val="en-GB"/>
        </w:rPr>
        <w:t>The performance indicators MAE, MSE, SAE, MAPE and R</w:t>
      </w:r>
      <w:r w:rsidR="00A721C1" w:rsidRPr="00A721C1">
        <w:rPr>
          <w:rFonts w:cstheme="minorHAnsi"/>
          <w:color w:val="000000"/>
          <w:vertAlign w:val="superscript"/>
          <w:lang w:val="en-GB"/>
        </w:rPr>
        <w:t>2</w:t>
      </w:r>
      <w:r w:rsidR="00A721C1">
        <w:rPr>
          <w:rFonts w:cstheme="minorHAnsi"/>
          <w:color w:val="000000"/>
          <w:vertAlign w:val="superscript"/>
          <w:lang w:val="en-GB"/>
        </w:rPr>
        <w:t xml:space="preserve"> </w:t>
      </w:r>
      <w:r w:rsidR="008004A5">
        <w:rPr>
          <w:rStyle w:val="Rimandonotaapidipagina"/>
          <w:rFonts w:cstheme="minorHAnsi"/>
          <w:color w:val="000000"/>
          <w:lang w:val="en-GB"/>
        </w:rPr>
        <w:footnoteReference w:id="3"/>
      </w:r>
      <w:r w:rsidR="008004A5">
        <w:rPr>
          <w:rFonts w:cstheme="minorHAnsi"/>
          <w:color w:val="000000"/>
          <w:lang w:val="en-GB"/>
        </w:rPr>
        <w:t xml:space="preserve"> </w:t>
      </w:r>
      <w:r w:rsidR="00413B0C">
        <w:rPr>
          <w:rFonts w:cstheme="minorHAnsi"/>
          <w:color w:val="000000"/>
          <w:lang w:val="en-GB"/>
        </w:rPr>
        <w:t xml:space="preserve">have been </w:t>
      </w:r>
      <w:r w:rsidR="00A721C1" w:rsidRPr="00A721C1">
        <w:rPr>
          <w:rFonts w:cstheme="minorHAnsi"/>
          <w:color w:val="000000"/>
          <w:lang w:val="en-GB"/>
        </w:rPr>
        <w:t xml:space="preserve">calculated in the evaluation of the </w:t>
      </w:r>
      <w:r w:rsidR="00413B0C">
        <w:rPr>
          <w:rFonts w:cstheme="minorHAnsi"/>
          <w:color w:val="000000"/>
          <w:lang w:val="en-GB"/>
        </w:rPr>
        <w:t xml:space="preserve">correlations between </w:t>
      </w:r>
      <w:r w:rsidR="00413B0C" w:rsidRPr="00413B0C">
        <w:rPr>
          <w:rFonts w:cstheme="minorHAnsi"/>
          <w:b/>
          <w:i/>
          <w:color w:val="000000"/>
          <w:lang w:val="en-GB"/>
        </w:rPr>
        <w:t>x</w:t>
      </w:r>
      <w:r w:rsidR="00413B0C">
        <w:rPr>
          <w:rFonts w:cstheme="minorHAnsi"/>
          <w:color w:val="000000"/>
          <w:lang w:val="en-GB"/>
        </w:rPr>
        <w:t xml:space="preserve"> and </w:t>
      </w:r>
      <w:r w:rsidR="00413B0C" w:rsidRPr="00413B0C">
        <w:rPr>
          <w:rFonts w:cstheme="minorHAnsi"/>
          <w:b/>
          <w:i/>
          <w:color w:val="000000"/>
          <w:lang w:val="en-GB"/>
        </w:rPr>
        <w:t>y</w:t>
      </w:r>
      <w:r w:rsidR="00413B0C">
        <w:rPr>
          <w:rFonts w:cstheme="minorHAnsi"/>
          <w:color w:val="000000"/>
          <w:lang w:val="en-GB"/>
        </w:rPr>
        <w:t xml:space="preserve"> </w:t>
      </w:r>
      <w:r w:rsidR="00A721C1" w:rsidRPr="00A721C1">
        <w:rPr>
          <w:rFonts w:cstheme="minorHAnsi"/>
          <w:color w:val="000000"/>
          <w:lang w:val="en-GB"/>
        </w:rPr>
        <w:t xml:space="preserve">but for simplification, only MAPE </w:t>
      </w:r>
      <w:r w:rsidR="00A721C1">
        <w:rPr>
          <w:rFonts w:cstheme="minorHAnsi"/>
          <w:color w:val="000000"/>
          <w:lang w:val="en-GB"/>
        </w:rPr>
        <w:t>has</w:t>
      </w:r>
      <w:r w:rsidR="00A721C1" w:rsidRPr="00A721C1">
        <w:rPr>
          <w:rFonts w:cstheme="minorHAnsi"/>
          <w:color w:val="000000"/>
          <w:lang w:val="en-GB"/>
        </w:rPr>
        <w:t xml:space="preserve"> been reported here.</w:t>
      </w:r>
    </w:p>
    <w:p w14:paraId="75865FA0" w14:textId="2443AFC6" w:rsidR="0084491B" w:rsidRPr="00B4022A" w:rsidRDefault="0084491B" w:rsidP="001277B9">
      <w:pPr>
        <w:pStyle w:val="CETBodytext"/>
        <w:ind w:firstLine="284"/>
        <w:rPr>
          <w:rFonts w:cstheme="minorHAnsi"/>
          <w:color w:val="000000"/>
          <w:lang w:val="en-GB"/>
        </w:rPr>
      </w:pPr>
    </w:p>
    <w:p w14:paraId="2B1A141C" w14:textId="6849D39A" w:rsidR="00413B0C" w:rsidRDefault="00413B0C" w:rsidP="00413B0C">
      <w:pPr>
        <w:pStyle w:val="CETHeading1"/>
        <w:rPr>
          <w:lang w:val="en-GB"/>
        </w:rPr>
      </w:pPr>
      <w:r>
        <w:rPr>
          <w:lang w:val="en-GB"/>
        </w:rPr>
        <w:t>Results</w:t>
      </w:r>
    </w:p>
    <w:p w14:paraId="3E8BB0C4" w14:textId="3BC17346" w:rsidR="00B15ADD" w:rsidRDefault="00796652" w:rsidP="00932992">
      <w:pPr>
        <w:tabs>
          <w:tab w:val="clear" w:pos="7100"/>
        </w:tabs>
        <w:spacing w:after="200" w:line="276" w:lineRule="auto"/>
      </w:pPr>
      <w:r>
        <w:t xml:space="preserve">Table 2 reports the linear correlations and relative MAPE obtained by CCA from </w:t>
      </w:r>
      <w:r w:rsidRPr="00796652">
        <w:rPr>
          <w:b/>
          <w:i/>
        </w:rPr>
        <w:t>x</w:t>
      </w:r>
      <w:r>
        <w:t xml:space="preserve"> and </w:t>
      </w:r>
      <w:r w:rsidRPr="00796652">
        <w:rPr>
          <w:b/>
          <w:i/>
        </w:rPr>
        <w:t>y</w:t>
      </w:r>
      <w:r>
        <w:t xml:space="preserve"> data. </w:t>
      </w:r>
      <w:r w:rsidR="00932992">
        <w:t>In general, good prediction performance have been obtained for all outputs, witnessed by the MAPE values which are lower than 10%, except for (O/C)</w:t>
      </w:r>
      <w:r w:rsidR="00932992" w:rsidRPr="00932992">
        <w:rPr>
          <w:vertAlign w:val="subscript"/>
        </w:rPr>
        <w:t>BL</w:t>
      </w:r>
      <w:r w:rsidR="00932992">
        <w:t xml:space="preserve"> which is around 13%. </w:t>
      </w:r>
      <w:r w:rsidR="00C66C68">
        <w:t xml:space="preserve">Figure 1 shows a comparison between experimental and </w:t>
      </w:r>
      <w:r w:rsidR="00C66C68">
        <w:lastRenderedPageBreak/>
        <w:t xml:space="preserve">predicted values for all outputs considered. </w:t>
      </w:r>
      <w:r w:rsidR="00500334">
        <w:t>I</w:t>
      </w:r>
      <w:r w:rsidR="00500334" w:rsidRPr="00932992">
        <w:t xml:space="preserve">nteresting </w:t>
      </w:r>
      <w:r w:rsidR="00500334">
        <w:t>the results show</w:t>
      </w:r>
      <w:r w:rsidR="00932992" w:rsidRPr="00932992">
        <w:t xml:space="preserve"> </w:t>
      </w:r>
      <w:r w:rsidR="00500334">
        <w:t xml:space="preserve">the Bio-liquid production yield is highly dependent on the </w:t>
      </w:r>
      <w:r w:rsidR="00932992">
        <w:t>presence of ash (A</w:t>
      </w:r>
      <w:r w:rsidR="00932992" w:rsidRPr="00932992">
        <w:t>/CM)</w:t>
      </w:r>
      <w:r w:rsidR="00500334">
        <w:t>.</w:t>
      </w:r>
      <w:r w:rsidR="00932992" w:rsidRPr="00932992">
        <w:t xml:space="preserve"> </w:t>
      </w:r>
      <w:r w:rsidR="00500334">
        <w:t xml:space="preserve">In particular, </w:t>
      </w:r>
      <w:r w:rsidR="007122AB">
        <w:t xml:space="preserve">the </w:t>
      </w:r>
      <w:r w:rsidR="00500334">
        <w:t xml:space="preserve">larger is the ash content, </w:t>
      </w:r>
      <w:r w:rsidR="007122AB">
        <w:t xml:space="preserve">the </w:t>
      </w:r>
      <w:r w:rsidR="00500334">
        <w:t>lower amount bio-liquid and higher bio-char are produced.</w:t>
      </w:r>
      <w:r w:rsidR="00932992" w:rsidRPr="00932992">
        <w:t xml:space="preserve"> </w:t>
      </w:r>
    </w:p>
    <w:p w14:paraId="0D884C72" w14:textId="77777777" w:rsidR="00B15ADD" w:rsidRDefault="00B15ADD" w:rsidP="00B15ADD">
      <w:pPr>
        <w:pStyle w:val="CETTabletitle"/>
      </w:pPr>
      <w:r>
        <w:t xml:space="preserve">Table 2: </w:t>
      </w:r>
      <w:r w:rsidRPr="00F675DA">
        <w:rPr>
          <w:b/>
        </w:rPr>
        <w:t>x</w:t>
      </w:r>
      <w:r>
        <w:t>-</w:t>
      </w:r>
      <w:r w:rsidRPr="00F675DA">
        <w:rPr>
          <w:b/>
        </w:rPr>
        <w:t>y</w:t>
      </w:r>
      <w:r>
        <w:t xml:space="preserve"> correlations from CCA Analysis</w:t>
      </w:r>
    </w:p>
    <w:tbl>
      <w:tblPr>
        <w:tblStyle w:val="Grigliatabel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9"/>
        <w:gridCol w:w="727"/>
        <w:gridCol w:w="553"/>
      </w:tblGrid>
      <w:tr w:rsidR="00B15ADD" w:rsidRPr="0021609B" w14:paraId="5C78C4B2" w14:textId="77777777" w:rsidTr="00347B66">
        <w:tc>
          <w:tcPr>
            <w:tcW w:w="7509" w:type="dxa"/>
            <w:vAlign w:val="center"/>
          </w:tcPr>
          <w:p w14:paraId="40E970F4" w14:textId="77777777" w:rsidR="00B15ADD" w:rsidRPr="00AA0B96" w:rsidRDefault="00B15ADD" w:rsidP="00347B66">
            <w:pPr>
              <w:pStyle w:val="CETEquation"/>
              <w:jc w:val="center"/>
            </w:pPr>
            <w:r w:rsidRPr="00AA0B96">
              <w:t>Correlations</w:t>
            </w:r>
          </w:p>
        </w:tc>
        <w:tc>
          <w:tcPr>
            <w:tcW w:w="727" w:type="dxa"/>
            <w:vAlign w:val="center"/>
          </w:tcPr>
          <w:p w14:paraId="569F1BAD" w14:textId="77777777" w:rsidR="00B15ADD" w:rsidRPr="00AA0B96" w:rsidRDefault="00B15ADD" w:rsidP="00347B66">
            <w:pPr>
              <w:pStyle w:val="CETEquation"/>
              <w:jc w:val="center"/>
            </w:pPr>
            <w:r w:rsidRPr="00AA0B96">
              <w:t>MAPE</w:t>
            </w:r>
          </w:p>
        </w:tc>
        <w:tc>
          <w:tcPr>
            <w:tcW w:w="553" w:type="dxa"/>
            <w:vAlign w:val="center"/>
          </w:tcPr>
          <w:p w14:paraId="30F5B04A" w14:textId="77777777" w:rsidR="00B15ADD" w:rsidRPr="0021609B" w:rsidRDefault="00B15ADD" w:rsidP="00347B66">
            <w:pPr>
              <w:tabs>
                <w:tab w:val="left" w:pos="6000"/>
              </w:tabs>
              <w:jc w:val="center"/>
              <w:rPr>
                <w:rFonts w:ascii="Times New Roman" w:hAnsi="Times New Roman"/>
              </w:rPr>
            </w:pPr>
          </w:p>
        </w:tc>
      </w:tr>
      <w:tr w:rsidR="00B15ADD" w14:paraId="5E1390BA" w14:textId="77777777" w:rsidTr="00347B66">
        <w:tc>
          <w:tcPr>
            <w:tcW w:w="7509" w:type="dxa"/>
            <w:vAlign w:val="center"/>
          </w:tcPr>
          <w:p w14:paraId="201EDB40" w14:textId="77777777" w:rsidR="00B15ADD" w:rsidRPr="00AA0B96" w:rsidRDefault="00B15ADD" w:rsidP="00347B66">
            <w:pPr>
              <w:jc w:val="center"/>
            </w:pPr>
            <m:oMathPara>
              <m:oMathParaPr>
                <m:jc m:val="left"/>
              </m:oMathParaPr>
              <m:oMath>
                <m:r>
                  <w:rPr>
                    <w:rFonts w:ascii="Cambria Math" w:hAnsi="Cambria Math"/>
                  </w:rPr>
                  <m:t>w% Bio Liquid=1.36×</m:t>
                </m:r>
                <m:f>
                  <m:fPr>
                    <m:ctrlPr>
                      <w:rPr>
                        <w:rFonts w:ascii="Cambria Math" w:hAnsi="Cambria Math"/>
                        <w:i/>
                      </w:rPr>
                    </m:ctrlPr>
                  </m:fPr>
                  <m:num>
                    <m:r>
                      <w:rPr>
                        <w:rFonts w:ascii="Cambria Math" w:hAnsi="Cambria Math"/>
                      </w:rPr>
                      <m:t>M</m:t>
                    </m:r>
                  </m:num>
                  <m:den>
                    <m:r>
                      <w:rPr>
                        <w:rFonts w:ascii="Cambria Math" w:hAnsi="Cambria Math"/>
                      </w:rPr>
                      <m:t>CM</m:t>
                    </m:r>
                  </m:den>
                </m:f>
                <m:r>
                  <w:rPr>
                    <w:rFonts w:ascii="Cambria Math" w:hAnsi="Cambria Math"/>
                  </w:rPr>
                  <m:t>-20.92×</m:t>
                </m:r>
                <m:f>
                  <m:fPr>
                    <m:ctrlPr>
                      <w:rPr>
                        <w:rFonts w:ascii="Cambria Math" w:hAnsi="Cambria Math"/>
                        <w:i/>
                      </w:rPr>
                    </m:ctrlPr>
                  </m:fPr>
                  <m:num>
                    <m:r>
                      <w:rPr>
                        <w:rFonts w:ascii="Cambria Math" w:hAnsi="Cambria Math"/>
                      </w:rPr>
                      <m:t>A</m:t>
                    </m:r>
                  </m:num>
                  <m:den>
                    <m:r>
                      <w:rPr>
                        <w:rFonts w:ascii="Cambria Math" w:hAnsi="Cambria Math"/>
                      </w:rPr>
                      <m:t>CM</m:t>
                    </m:r>
                  </m:den>
                </m:f>
                <m:r>
                  <w:rPr>
                    <w:rFonts w:ascii="Cambria Math" w:hAnsi="Cambria Math"/>
                  </w:rPr>
                  <m:t>-262.55×</m:t>
                </m:r>
                <m:f>
                  <m:fPr>
                    <m:ctrlPr>
                      <w:rPr>
                        <w:rFonts w:ascii="Cambria Math" w:hAnsi="Cambria Math"/>
                        <w:i/>
                      </w:rPr>
                    </m:ctrlPr>
                  </m:fPr>
                  <m:num>
                    <m:r>
                      <w:rPr>
                        <w:rFonts w:ascii="Cambria Math" w:hAnsi="Cambria Math"/>
                      </w:rPr>
                      <m:t>H</m:t>
                    </m:r>
                  </m:num>
                  <m:den>
                    <m:r>
                      <w:rPr>
                        <w:rFonts w:ascii="Cambria Math" w:hAnsi="Cambria Math"/>
                      </w:rPr>
                      <m:t>C</m:t>
                    </m:r>
                  </m:den>
                </m:f>
                <m:r>
                  <w:rPr>
                    <w:rFonts w:ascii="Cambria Math" w:hAnsi="Cambria Math"/>
                  </w:rPr>
                  <m:t>-46.74×</m:t>
                </m:r>
                <m:f>
                  <m:fPr>
                    <m:ctrlPr>
                      <w:rPr>
                        <w:rFonts w:ascii="Cambria Math" w:hAnsi="Cambria Math"/>
                        <w:i/>
                      </w:rPr>
                    </m:ctrlPr>
                  </m:fPr>
                  <m:num>
                    <m:r>
                      <w:rPr>
                        <w:rFonts w:ascii="Cambria Math" w:hAnsi="Cambria Math"/>
                      </w:rPr>
                      <m:t>N</m:t>
                    </m:r>
                  </m:num>
                  <m:den>
                    <m:r>
                      <w:rPr>
                        <w:rFonts w:ascii="Cambria Math" w:hAnsi="Cambria Math"/>
                      </w:rPr>
                      <m:t>C</m:t>
                    </m:r>
                  </m:den>
                </m:f>
                <m:r>
                  <w:rPr>
                    <w:rFonts w:ascii="Cambria Math" w:hAnsi="Cambria Math"/>
                  </w:rPr>
                  <m:t>-26.09×</m:t>
                </m:r>
                <m:f>
                  <m:fPr>
                    <m:ctrlPr>
                      <w:rPr>
                        <w:rFonts w:ascii="Cambria Math" w:hAnsi="Cambria Math"/>
                        <w:i/>
                      </w:rPr>
                    </m:ctrlPr>
                  </m:fPr>
                  <m:num>
                    <m:r>
                      <w:rPr>
                        <w:rFonts w:ascii="Cambria Math" w:hAnsi="Cambria Math"/>
                      </w:rPr>
                      <m:t>O</m:t>
                    </m:r>
                  </m:num>
                  <m:den>
                    <m:r>
                      <w:rPr>
                        <w:rFonts w:ascii="Cambria Math" w:hAnsi="Cambria Math"/>
                      </w:rPr>
                      <m:t>C</m:t>
                    </m:r>
                  </m:den>
                </m:f>
                <m:r>
                  <w:rPr>
                    <w:rFonts w:ascii="Cambria Math" w:hAnsi="Cambria Math"/>
                  </w:rPr>
                  <m:t>+118.63</m:t>
                </m:r>
              </m:oMath>
            </m:oMathPara>
          </w:p>
        </w:tc>
        <w:tc>
          <w:tcPr>
            <w:tcW w:w="727" w:type="dxa"/>
            <w:vAlign w:val="center"/>
          </w:tcPr>
          <w:p w14:paraId="5ACDE005" w14:textId="77777777" w:rsidR="00B15ADD" w:rsidRPr="00AA0B96" w:rsidRDefault="00B15ADD" w:rsidP="00347B66">
            <w:pPr>
              <w:pStyle w:val="CETEquation"/>
              <w:jc w:val="center"/>
            </w:pPr>
            <w:r w:rsidRPr="00AA0B96">
              <w:t>7.66</w:t>
            </w:r>
          </w:p>
        </w:tc>
        <w:tc>
          <w:tcPr>
            <w:tcW w:w="553" w:type="dxa"/>
            <w:vAlign w:val="center"/>
          </w:tcPr>
          <w:p w14:paraId="2717FB61" w14:textId="77777777" w:rsidR="00B15ADD" w:rsidRPr="00AA0B96" w:rsidRDefault="00B15ADD" w:rsidP="00347B66">
            <w:pPr>
              <w:pStyle w:val="CETEquation"/>
              <w:jc w:val="right"/>
            </w:pPr>
            <w:r w:rsidRPr="00AA0B96">
              <w:t>(5)</w:t>
            </w:r>
          </w:p>
        </w:tc>
      </w:tr>
      <w:tr w:rsidR="00B15ADD" w14:paraId="03457863" w14:textId="77777777" w:rsidTr="00347B66">
        <w:tc>
          <w:tcPr>
            <w:tcW w:w="7509" w:type="dxa"/>
            <w:vAlign w:val="center"/>
          </w:tcPr>
          <w:p w14:paraId="2FA41D44" w14:textId="77777777" w:rsidR="00B15ADD" w:rsidRPr="00AA0B96" w:rsidRDefault="00B15ADD" w:rsidP="00347B66">
            <w:pPr>
              <w:jc w:val="center"/>
            </w:pPr>
            <m:oMathPara>
              <m:oMathParaPr>
                <m:jc m:val="left"/>
              </m:oMathParaPr>
              <m:oMath>
                <m:r>
                  <w:rPr>
                    <w:rFonts w:ascii="Cambria Math" w:hAnsi="Cambria Math"/>
                  </w:rPr>
                  <m:t>w% Bio Char=81.30×</m:t>
                </m:r>
                <m:f>
                  <m:fPr>
                    <m:ctrlPr>
                      <w:rPr>
                        <w:rFonts w:ascii="Cambria Math" w:hAnsi="Cambria Math"/>
                        <w:i/>
                      </w:rPr>
                    </m:ctrlPr>
                  </m:fPr>
                  <m:num>
                    <m:r>
                      <w:rPr>
                        <w:rFonts w:ascii="Cambria Math" w:hAnsi="Cambria Math"/>
                      </w:rPr>
                      <m:t>M</m:t>
                    </m:r>
                  </m:num>
                  <m:den>
                    <m:r>
                      <w:rPr>
                        <w:rFonts w:ascii="Cambria Math" w:hAnsi="Cambria Math"/>
                      </w:rPr>
                      <m:t>CM</m:t>
                    </m:r>
                  </m:den>
                </m:f>
                <m:r>
                  <w:rPr>
                    <w:rFonts w:ascii="Cambria Math" w:hAnsi="Cambria Math"/>
                  </w:rPr>
                  <m:t>+21.35×</m:t>
                </m:r>
                <m:f>
                  <m:fPr>
                    <m:ctrlPr>
                      <w:rPr>
                        <w:rFonts w:ascii="Cambria Math" w:hAnsi="Cambria Math"/>
                        <w:i/>
                      </w:rPr>
                    </m:ctrlPr>
                  </m:fPr>
                  <m:num>
                    <m:r>
                      <w:rPr>
                        <w:rFonts w:ascii="Cambria Math" w:hAnsi="Cambria Math"/>
                      </w:rPr>
                      <m:t>A</m:t>
                    </m:r>
                  </m:num>
                  <m:den>
                    <m:r>
                      <w:rPr>
                        <w:rFonts w:ascii="Cambria Math" w:hAnsi="Cambria Math"/>
                      </w:rPr>
                      <m:t>CM</m:t>
                    </m:r>
                  </m:den>
                </m:f>
                <m:r>
                  <w:rPr>
                    <w:rFonts w:ascii="Cambria Math" w:hAnsi="Cambria Math"/>
                  </w:rPr>
                  <m:t>+199.60×</m:t>
                </m:r>
                <m:f>
                  <m:fPr>
                    <m:ctrlPr>
                      <w:rPr>
                        <w:rFonts w:ascii="Cambria Math" w:hAnsi="Cambria Math"/>
                        <w:i/>
                      </w:rPr>
                    </m:ctrlPr>
                  </m:fPr>
                  <m:num>
                    <m:r>
                      <w:rPr>
                        <w:rFonts w:ascii="Cambria Math" w:hAnsi="Cambria Math"/>
                      </w:rPr>
                      <m:t>H</m:t>
                    </m:r>
                  </m:num>
                  <m:den>
                    <m:r>
                      <w:rPr>
                        <w:rFonts w:ascii="Cambria Math" w:hAnsi="Cambria Math"/>
                      </w:rPr>
                      <m:t>C</m:t>
                    </m:r>
                  </m:den>
                </m:f>
                <m:r>
                  <w:rPr>
                    <w:rFonts w:ascii="Cambria Math" w:hAnsi="Cambria Math"/>
                  </w:rPr>
                  <m:t>-38.64×</m:t>
                </m:r>
                <m:f>
                  <m:fPr>
                    <m:ctrlPr>
                      <w:rPr>
                        <w:rFonts w:ascii="Cambria Math" w:hAnsi="Cambria Math"/>
                        <w:i/>
                      </w:rPr>
                    </m:ctrlPr>
                  </m:fPr>
                  <m:num>
                    <m:r>
                      <w:rPr>
                        <w:rFonts w:ascii="Cambria Math" w:hAnsi="Cambria Math"/>
                      </w:rPr>
                      <m:t>N</m:t>
                    </m:r>
                  </m:num>
                  <m:den>
                    <m:r>
                      <w:rPr>
                        <w:rFonts w:ascii="Cambria Math" w:hAnsi="Cambria Math"/>
                      </w:rPr>
                      <m:t>C</m:t>
                    </m:r>
                  </m:den>
                </m:f>
                <m:r>
                  <w:rPr>
                    <w:rFonts w:ascii="Cambria Math" w:hAnsi="Cambria Math"/>
                  </w:rPr>
                  <m:t>+12.25×</m:t>
                </m:r>
                <m:f>
                  <m:fPr>
                    <m:ctrlPr>
                      <w:rPr>
                        <w:rFonts w:ascii="Cambria Math" w:hAnsi="Cambria Math"/>
                        <w:i/>
                      </w:rPr>
                    </m:ctrlPr>
                  </m:fPr>
                  <m:num>
                    <m:r>
                      <w:rPr>
                        <w:rFonts w:ascii="Cambria Math" w:hAnsi="Cambria Math"/>
                      </w:rPr>
                      <m:t>O</m:t>
                    </m:r>
                  </m:num>
                  <m:den>
                    <m:r>
                      <w:rPr>
                        <w:rFonts w:ascii="Cambria Math" w:hAnsi="Cambria Math"/>
                      </w:rPr>
                      <m:t>C</m:t>
                    </m:r>
                  </m:den>
                </m:f>
                <m:r>
                  <w:rPr>
                    <w:rFonts w:ascii="Cambria Math" w:hAnsi="Cambria Math"/>
                  </w:rPr>
                  <m:t>-23.05</m:t>
                </m:r>
              </m:oMath>
            </m:oMathPara>
          </w:p>
        </w:tc>
        <w:tc>
          <w:tcPr>
            <w:tcW w:w="727" w:type="dxa"/>
            <w:vAlign w:val="center"/>
          </w:tcPr>
          <w:p w14:paraId="4603908C" w14:textId="77777777" w:rsidR="00B15ADD" w:rsidRPr="00AA0B96" w:rsidRDefault="00B15ADD" w:rsidP="00347B66">
            <w:pPr>
              <w:pStyle w:val="CETEquation"/>
              <w:jc w:val="center"/>
            </w:pPr>
            <w:r w:rsidRPr="00AA0B96">
              <w:t>9.11</w:t>
            </w:r>
          </w:p>
        </w:tc>
        <w:tc>
          <w:tcPr>
            <w:tcW w:w="553" w:type="dxa"/>
            <w:vAlign w:val="center"/>
          </w:tcPr>
          <w:p w14:paraId="11CD1258" w14:textId="77777777" w:rsidR="00B15ADD" w:rsidRPr="00AA0B96" w:rsidRDefault="00B15ADD" w:rsidP="00347B66">
            <w:pPr>
              <w:pStyle w:val="CETEquation"/>
              <w:jc w:val="right"/>
            </w:pPr>
            <w:r w:rsidRPr="00AA0B96">
              <w:t>(6)</w:t>
            </w:r>
          </w:p>
        </w:tc>
      </w:tr>
      <w:tr w:rsidR="00B15ADD" w14:paraId="1D78D304" w14:textId="77777777" w:rsidTr="00347B66">
        <w:tc>
          <w:tcPr>
            <w:tcW w:w="7509" w:type="dxa"/>
            <w:vAlign w:val="center"/>
          </w:tcPr>
          <w:p w14:paraId="1B282D35" w14:textId="77777777" w:rsidR="00B15ADD" w:rsidRPr="00AA0B96" w:rsidRDefault="00A10EA0" w:rsidP="00347B66">
            <w:pPr>
              <w:jc w:val="center"/>
            </w:pPr>
            <m:oMathPara>
              <m:oMathParaPr>
                <m:jc m:val="left"/>
              </m:oMathPara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O</m:t>
                            </m:r>
                          </m:num>
                          <m:den>
                            <m:r>
                              <w:rPr>
                                <w:rFonts w:ascii="Cambria Math" w:hAnsi="Cambria Math"/>
                              </w:rPr>
                              <m:t>C</m:t>
                            </m:r>
                          </m:den>
                        </m:f>
                      </m:e>
                    </m:d>
                  </m:e>
                  <m:sub>
                    <m:r>
                      <w:rPr>
                        <w:rFonts w:ascii="Cambria Math" w:hAnsi="Cambria Math"/>
                      </w:rPr>
                      <m:t>BL</m:t>
                    </m:r>
                  </m:sub>
                </m:sSub>
                <m:r>
                  <w:rPr>
                    <w:rFonts w:ascii="Cambria Math" w:hAnsi="Cambria Math"/>
                  </w:rPr>
                  <m:t>=-2.02×</m:t>
                </m:r>
                <m:f>
                  <m:fPr>
                    <m:ctrlPr>
                      <w:rPr>
                        <w:rFonts w:ascii="Cambria Math" w:hAnsi="Cambria Math"/>
                        <w:i/>
                      </w:rPr>
                    </m:ctrlPr>
                  </m:fPr>
                  <m:num>
                    <m:r>
                      <w:rPr>
                        <w:rFonts w:ascii="Cambria Math" w:hAnsi="Cambria Math"/>
                      </w:rPr>
                      <m:t>M</m:t>
                    </m:r>
                  </m:num>
                  <m:den>
                    <m:r>
                      <w:rPr>
                        <w:rFonts w:ascii="Cambria Math" w:hAnsi="Cambria Math"/>
                      </w:rPr>
                      <m:t>CM</m:t>
                    </m:r>
                  </m:den>
                </m:f>
                <m:r>
                  <w:rPr>
                    <w:rFonts w:ascii="Cambria Math" w:hAnsi="Cambria Math"/>
                  </w:rPr>
                  <m:t>+0.60×</m:t>
                </m:r>
                <m:f>
                  <m:fPr>
                    <m:ctrlPr>
                      <w:rPr>
                        <w:rFonts w:ascii="Cambria Math" w:hAnsi="Cambria Math"/>
                        <w:i/>
                      </w:rPr>
                    </m:ctrlPr>
                  </m:fPr>
                  <m:num>
                    <m:r>
                      <w:rPr>
                        <w:rFonts w:ascii="Cambria Math" w:hAnsi="Cambria Math"/>
                      </w:rPr>
                      <m:t>A</m:t>
                    </m:r>
                  </m:num>
                  <m:den>
                    <m:r>
                      <w:rPr>
                        <w:rFonts w:ascii="Cambria Math" w:hAnsi="Cambria Math"/>
                      </w:rPr>
                      <m:t>CM</m:t>
                    </m:r>
                  </m:den>
                </m:f>
                <m:r>
                  <w:rPr>
                    <w:rFonts w:ascii="Cambria Math" w:hAnsi="Cambria Math"/>
                  </w:rPr>
                  <m:t>-4.77×</m:t>
                </m:r>
                <m:f>
                  <m:fPr>
                    <m:ctrlPr>
                      <w:rPr>
                        <w:rFonts w:ascii="Cambria Math" w:hAnsi="Cambria Math"/>
                        <w:i/>
                      </w:rPr>
                    </m:ctrlPr>
                  </m:fPr>
                  <m:num>
                    <m:r>
                      <w:rPr>
                        <w:rFonts w:ascii="Cambria Math" w:hAnsi="Cambria Math"/>
                      </w:rPr>
                      <m:t>H</m:t>
                    </m:r>
                  </m:num>
                  <m:den>
                    <m:r>
                      <w:rPr>
                        <w:rFonts w:ascii="Cambria Math" w:hAnsi="Cambria Math"/>
                      </w:rPr>
                      <m:t>C</m:t>
                    </m:r>
                  </m:den>
                </m:f>
                <m:r>
                  <w:rPr>
                    <w:rFonts w:ascii="Cambria Math" w:hAnsi="Cambria Math"/>
                  </w:rPr>
                  <m:t>-4.22×</m:t>
                </m:r>
                <m:f>
                  <m:fPr>
                    <m:ctrlPr>
                      <w:rPr>
                        <w:rFonts w:ascii="Cambria Math" w:hAnsi="Cambria Math"/>
                        <w:i/>
                      </w:rPr>
                    </m:ctrlPr>
                  </m:fPr>
                  <m:num>
                    <m:r>
                      <w:rPr>
                        <w:rFonts w:ascii="Cambria Math" w:hAnsi="Cambria Math"/>
                      </w:rPr>
                      <m:t>N</m:t>
                    </m:r>
                  </m:num>
                  <m:den>
                    <m:r>
                      <w:rPr>
                        <w:rFonts w:ascii="Cambria Math" w:hAnsi="Cambria Math"/>
                      </w:rPr>
                      <m:t>C</m:t>
                    </m:r>
                  </m:den>
                </m:f>
                <m:r>
                  <w:rPr>
                    <w:rFonts w:ascii="Cambria Math" w:hAnsi="Cambria Math"/>
                  </w:rPr>
                  <m:t>-0.08×</m:t>
                </m:r>
                <m:f>
                  <m:fPr>
                    <m:ctrlPr>
                      <w:rPr>
                        <w:rFonts w:ascii="Cambria Math" w:hAnsi="Cambria Math"/>
                        <w:i/>
                      </w:rPr>
                    </m:ctrlPr>
                  </m:fPr>
                  <m:num>
                    <m:r>
                      <w:rPr>
                        <w:rFonts w:ascii="Cambria Math" w:hAnsi="Cambria Math"/>
                      </w:rPr>
                      <m:t>O</m:t>
                    </m:r>
                  </m:num>
                  <m:den>
                    <m:r>
                      <w:rPr>
                        <w:rFonts w:ascii="Cambria Math" w:hAnsi="Cambria Math"/>
                      </w:rPr>
                      <m:t>C</m:t>
                    </m:r>
                  </m:den>
                </m:f>
                <m:r>
                  <w:rPr>
                    <w:rFonts w:ascii="Cambria Math" w:hAnsi="Cambria Math"/>
                  </w:rPr>
                  <m:t>+1.53</m:t>
                </m:r>
              </m:oMath>
            </m:oMathPara>
          </w:p>
        </w:tc>
        <w:tc>
          <w:tcPr>
            <w:tcW w:w="727" w:type="dxa"/>
            <w:vAlign w:val="center"/>
          </w:tcPr>
          <w:p w14:paraId="6F5B096B" w14:textId="77777777" w:rsidR="00B15ADD" w:rsidRPr="00AA0B96" w:rsidRDefault="00B15ADD" w:rsidP="00347B66">
            <w:pPr>
              <w:pStyle w:val="CETEquation"/>
              <w:jc w:val="center"/>
            </w:pPr>
            <w:r w:rsidRPr="00AA0B96">
              <w:t>13.27</w:t>
            </w:r>
          </w:p>
        </w:tc>
        <w:tc>
          <w:tcPr>
            <w:tcW w:w="553" w:type="dxa"/>
            <w:vAlign w:val="center"/>
          </w:tcPr>
          <w:p w14:paraId="12854370" w14:textId="77777777" w:rsidR="00B15ADD" w:rsidRPr="00AA0B96" w:rsidRDefault="00B15ADD" w:rsidP="00347B66">
            <w:pPr>
              <w:pStyle w:val="CETEquation"/>
              <w:jc w:val="right"/>
            </w:pPr>
            <w:r w:rsidRPr="00AA0B96">
              <w:t>(7)</w:t>
            </w:r>
          </w:p>
        </w:tc>
      </w:tr>
      <w:tr w:rsidR="00B15ADD" w14:paraId="29ECEB40" w14:textId="77777777" w:rsidTr="00347B66">
        <w:tc>
          <w:tcPr>
            <w:tcW w:w="7509" w:type="dxa"/>
            <w:vAlign w:val="center"/>
          </w:tcPr>
          <w:p w14:paraId="3F440430" w14:textId="77777777" w:rsidR="00B15ADD" w:rsidRPr="00AA0B96" w:rsidRDefault="00A10EA0" w:rsidP="00347B66">
            <w:pPr>
              <w:jc w:val="center"/>
              <w:rPr>
                <w:rFonts w:eastAsiaTheme="minorEastAsia"/>
              </w:rPr>
            </w:pPr>
            <m:oMathPara>
              <m:oMathParaPr>
                <m:jc m:val="left"/>
              </m:oMathPara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C</m:t>
                            </m:r>
                          </m:den>
                        </m:f>
                      </m:e>
                    </m:d>
                  </m:e>
                  <m:sub>
                    <m:r>
                      <w:rPr>
                        <w:rFonts w:ascii="Cambria Math" w:hAnsi="Cambria Math"/>
                      </w:rPr>
                      <m:t>BL</m:t>
                    </m:r>
                  </m:sub>
                </m:sSub>
                <m:r>
                  <w:rPr>
                    <w:rFonts w:ascii="Cambria Math" w:hAnsi="Cambria Math"/>
                  </w:rPr>
                  <m:t>=-0.27×</m:t>
                </m:r>
                <m:f>
                  <m:fPr>
                    <m:ctrlPr>
                      <w:rPr>
                        <w:rFonts w:ascii="Cambria Math" w:hAnsi="Cambria Math"/>
                        <w:i/>
                      </w:rPr>
                    </m:ctrlPr>
                  </m:fPr>
                  <m:num>
                    <m:r>
                      <w:rPr>
                        <w:rFonts w:ascii="Cambria Math" w:hAnsi="Cambria Math"/>
                      </w:rPr>
                      <m:t>M</m:t>
                    </m:r>
                  </m:num>
                  <m:den>
                    <m:r>
                      <w:rPr>
                        <w:rFonts w:ascii="Cambria Math" w:hAnsi="Cambria Math"/>
                      </w:rPr>
                      <m:t>CM</m:t>
                    </m:r>
                  </m:den>
                </m:f>
                <m:r>
                  <w:rPr>
                    <w:rFonts w:ascii="Cambria Math" w:hAnsi="Cambria Math"/>
                  </w:rPr>
                  <m:t>+0.07×</m:t>
                </m:r>
                <m:f>
                  <m:fPr>
                    <m:ctrlPr>
                      <w:rPr>
                        <w:rFonts w:ascii="Cambria Math" w:hAnsi="Cambria Math"/>
                        <w:i/>
                      </w:rPr>
                    </m:ctrlPr>
                  </m:fPr>
                  <m:num>
                    <m:r>
                      <w:rPr>
                        <w:rFonts w:ascii="Cambria Math" w:hAnsi="Cambria Math"/>
                      </w:rPr>
                      <m:t>A</m:t>
                    </m:r>
                  </m:num>
                  <m:den>
                    <m:r>
                      <w:rPr>
                        <w:rFonts w:ascii="Cambria Math" w:hAnsi="Cambria Math"/>
                      </w:rPr>
                      <m:t>CM</m:t>
                    </m:r>
                  </m:den>
                </m:f>
                <m:r>
                  <w:rPr>
                    <w:rFonts w:ascii="Cambria Math" w:hAnsi="Cambria Math"/>
                  </w:rPr>
                  <m:t>-0.42×</m:t>
                </m:r>
                <m:f>
                  <m:fPr>
                    <m:ctrlPr>
                      <w:rPr>
                        <w:rFonts w:ascii="Cambria Math" w:hAnsi="Cambria Math"/>
                        <w:i/>
                      </w:rPr>
                    </m:ctrlPr>
                  </m:fPr>
                  <m:num>
                    <m:r>
                      <w:rPr>
                        <w:rFonts w:ascii="Cambria Math" w:hAnsi="Cambria Math"/>
                      </w:rPr>
                      <m:t>H</m:t>
                    </m:r>
                  </m:num>
                  <m:den>
                    <m:r>
                      <w:rPr>
                        <w:rFonts w:ascii="Cambria Math" w:hAnsi="Cambria Math"/>
                      </w:rPr>
                      <m:t>C</m:t>
                    </m:r>
                  </m:den>
                </m:f>
                <m:r>
                  <w:rPr>
                    <w:rFonts w:ascii="Cambria Math" w:hAnsi="Cambria Math"/>
                  </w:rPr>
                  <m:t>-0.58×</m:t>
                </m:r>
                <m:f>
                  <m:fPr>
                    <m:ctrlPr>
                      <w:rPr>
                        <w:rFonts w:ascii="Cambria Math" w:hAnsi="Cambria Math"/>
                        <w:i/>
                      </w:rPr>
                    </m:ctrlPr>
                  </m:fPr>
                  <m:num>
                    <m:r>
                      <w:rPr>
                        <w:rFonts w:ascii="Cambria Math" w:hAnsi="Cambria Math"/>
                      </w:rPr>
                      <m:t>N</m:t>
                    </m:r>
                  </m:num>
                  <m:den>
                    <m:r>
                      <w:rPr>
                        <w:rFonts w:ascii="Cambria Math" w:hAnsi="Cambria Math"/>
                      </w:rPr>
                      <m:t>C</m:t>
                    </m:r>
                  </m:den>
                </m:f>
                <m:r>
                  <w:rPr>
                    <w:rFonts w:ascii="Cambria Math" w:hAnsi="Cambria Math"/>
                  </w:rPr>
                  <m:t>+0.04×</m:t>
                </m:r>
                <m:f>
                  <m:fPr>
                    <m:ctrlPr>
                      <w:rPr>
                        <w:rFonts w:ascii="Cambria Math" w:hAnsi="Cambria Math"/>
                        <w:i/>
                      </w:rPr>
                    </m:ctrlPr>
                  </m:fPr>
                  <m:num>
                    <m:r>
                      <w:rPr>
                        <w:rFonts w:ascii="Cambria Math" w:hAnsi="Cambria Math"/>
                      </w:rPr>
                      <m:t>O</m:t>
                    </m:r>
                  </m:num>
                  <m:den>
                    <m:r>
                      <w:rPr>
                        <w:rFonts w:ascii="Cambria Math" w:hAnsi="Cambria Math"/>
                      </w:rPr>
                      <m:t>C</m:t>
                    </m:r>
                  </m:den>
                </m:f>
                <m:r>
                  <w:rPr>
                    <w:rFonts w:ascii="Cambria Math" w:hAnsi="Cambria Math"/>
                  </w:rPr>
                  <m:t>+0.16</m:t>
                </m:r>
              </m:oMath>
            </m:oMathPara>
          </w:p>
        </w:tc>
        <w:tc>
          <w:tcPr>
            <w:tcW w:w="727" w:type="dxa"/>
            <w:vAlign w:val="center"/>
          </w:tcPr>
          <w:p w14:paraId="2F618712" w14:textId="77777777" w:rsidR="00B15ADD" w:rsidRPr="00AA0B96" w:rsidRDefault="00B15ADD" w:rsidP="00347B66">
            <w:pPr>
              <w:pStyle w:val="CETEquation"/>
              <w:jc w:val="center"/>
            </w:pPr>
            <w:r w:rsidRPr="00AA0B96">
              <w:t>7.27</w:t>
            </w:r>
          </w:p>
        </w:tc>
        <w:tc>
          <w:tcPr>
            <w:tcW w:w="553" w:type="dxa"/>
            <w:vAlign w:val="center"/>
          </w:tcPr>
          <w:p w14:paraId="4B878B04" w14:textId="77777777" w:rsidR="00B15ADD" w:rsidRPr="00AA0B96" w:rsidRDefault="00B15ADD" w:rsidP="00347B66">
            <w:pPr>
              <w:pStyle w:val="CETEquation"/>
              <w:jc w:val="right"/>
            </w:pPr>
            <w:r w:rsidRPr="00AA0B96">
              <w:t>(8)</w:t>
            </w:r>
          </w:p>
        </w:tc>
      </w:tr>
    </w:tbl>
    <w:p w14:paraId="35931DA5" w14:textId="77777777" w:rsidR="007122AB" w:rsidRDefault="007122AB" w:rsidP="00932992">
      <w:pPr>
        <w:tabs>
          <w:tab w:val="clear" w:pos="7100"/>
        </w:tabs>
        <w:spacing w:after="200" w:line="276" w:lineRule="auto"/>
      </w:pPr>
    </w:p>
    <w:p w14:paraId="78D55F6A" w14:textId="07701F79" w:rsidR="00932992" w:rsidRDefault="00932992" w:rsidP="00932992">
      <w:pPr>
        <w:tabs>
          <w:tab w:val="clear" w:pos="7100"/>
        </w:tabs>
        <w:spacing w:after="200" w:line="276" w:lineRule="auto"/>
      </w:pPr>
      <w:r w:rsidRPr="00932992">
        <w:t xml:space="preserve">This </w:t>
      </w:r>
      <w:r w:rsidR="00500334">
        <w:t>result can be explained considering</w:t>
      </w:r>
      <w:r w:rsidRPr="00932992">
        <w:t xml:space="preserve">: i) the ash, as a non-pyrolyzable fraction, remains in the solid state, consequently its higher content (typical of agricultural residues) increases the production of the solid phase to the detriment of the others; ii) </w:t>
      </w:r>
      <w:r w:rsidR="00500334">
        <w:t>the ash has</w:t>
      </w:r>
      <w:r w:rsidRPr="00932992">
        <w:t xml:space="preserve"> c</w:t>
      </w:r>
      <w:r>
        <w:t>atalytic properties</w:t>
      </w:r>
      <w:r w:rsidRPr="00932992">
        <w:t xml:space="preserve"> which favo</w:t>
      </w:r>
      <w:r>
        <w:t>u</w:t>
      </w:r>
      <w:r w:rsidRPr="00932992">
        <w:t>r the cracking phenomena of the pyrolysis vapo</w:t>
      </w:r>
      <w:r>
        <w:t>u</w:t>
      </w:r>
      <w:r w:rsidRPr="00932992">
        <w:t xml:space="preserve">rs, consequently producing a smaller amount of bio-liquid. Furthermore, even a higher carbon content </w:t>
      </w:r>
      <w:r>
        <w:t xml:space="preserve">in the raw biomass </w:t>
      </w:r>
      <w:r w:rsidRPr="00932992">
        <w:t xml:space="preserve">has a positive effect for the production of the bio-liquid, </w:t>
      </w:r>
      <w:r w:rsidR="00500334">
        <w:t>indeed</w:t>
      </w:r>
      <w:r w:rsidRPr="00932992">
        <w:t xml:space="preserve"> lower ratios of </w:t>
      </w:r>
      <w:r>
        <w:t>H/</w:t>
      </w:r>
      <w:r w:rsidRPr="00932992">
        <w:t>C</w:t>
      </w:r>
      <w:r>
        <w:t>, N/C and O/</w:t>
      </w:r>
      <w:r w:rsidRPr="00932992">
        <w:t xml:space="preserve">C tend to increase the yield of bio-liquid, while the situation is almost </w:t>
      </w:r>
      <w:r w:rsidR="00500334">
        <w:t>the reverse</w:t>
      </w:r>
      <w:r w:rsidR="00500334" w:rsidRPr="00932992">
        <w:t xml:space="preserve"> </w:t>
      </w:r>
      <w:r w:rsidRPr="00932992">
        <w:t>for the soli</w:t>
      </w:r>
      <w:r>
        <w:t>d phase.</w:t>
      </w:r>
    </w:p>
    <w:p w14:paraId="19749FB1" w14:textId="47120C8D" w:rsidR="00CA155C" w:rsidRDefault="00FA31D8" w:rsidP="00B15ADD">
      <w:pPr>
        <w:keepNext/>
        <w:tabs>
          <w:tab w:val="clear" w:pos="7100"/>
        </w:tabs>
        <w:spacing w:line="276" w:lineRule="auto"/>
        <w:jc w:val="center"/>
      </w:pPr>
      <w:r>
        <w:rPr>
          <w:noProof/>
          <w:lang w:val="it-IT" w:eastAsia="it-IT"/>
        </w:rPr>
        <w:drawing>
          <wp:inline distT="0" distB="0" distL="0" distR="0" wp14:anchorId="68596C09" wp14:editId="3ED0CD1F">
            <wp:extent cx="5580000" cy="4106223"/>
            <wp:effectExtent l="0" t="0" r="190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000" cy="4106223"/>
                    </a:xfrm>
                    <a:prstGeom prst="rect">
                      <a:avLst/>
                    </a:prstGeom>
                    <a:noFill/>
                  </pic:spPr>
                </pic:pic>
              </a:graphicData>
            </a:graphic>
          </wp:inline>
        </w:drawing>
      </w:r>
    </w:p>
    <w:p w14:paraId="04604421" w14:textId="77777777" w:rsidR="00B15ADD" w:rsidRPr="00796652" w:rsidRDefault="00B15ADD" w:rsidP="00B15ADD">
      <w:pPr>
        <w:pStyle w:val="CETCaption"/>
        <w:spacing w:before="0"/>
        <w:jc w:val="center"/>
        <w:rPr>
          <w:rStyle w:val="CETCaptionCarattere"/>
          <w:i/>
        </w:rPr>
      </w:pPr>
      <w:r w:rsidRPr="00796652">
        <w:rPr>
          <w:rStyle w:val="CETCaptionCarattere"/>
          <w:i/>
        </w:rPr>
        <w:t xml:space="preserve">Figure </w:t>
      </w:r>
      <w:r w:rsidRPr="00796652">
        <w:rPr>
          <w:rStyle w:val="CETCaptionCarattere"/>
          <w:i/>
        </w:rPr>
        <w:fldChar w:fldCharType="begin"/>
      </w:r>
      <w:r w:rsidRPr="00796652">
        <w:rPr>
          <w:rStyle w:val="CETCaptionCarattere"/>
          <w:i/>
        </w:rPr>
        <w:instrText xml:space="preserve"> SEQ Figure \* ARABIC </w:instrText>
      </w:r>
      <w:r w:rsidRPr="00796652">
        <w:rPr>
          <w:rStyle w:val="CETCaptionCarattere"/>
          <w:i/>
        </w:rPr>
        <w:fldChar w:fldCharType="separate"/>
      </w:r>
      <w:r w:rsidRPr="00796652">
        <w:rPr>
          <w:rStyle w:val="CETCaptionCarattere"/>
          <w:i/>
        </w:rPr>
        <w:t>1</w:t>
      </w:r>
      <w:r w:rsidRPr="00796652">
        <w:rPr>
          <w:rStyle w:val="CETCaptionCarattere"/>
          <w:i/>
        </w:rPr>
        <w:fldChar w:fldCharType="end"/>
      </w:r>
      <w:r w:rsidRPr="00796652">
        <w:rPr>
          <w:rStyle w:val="CETCaptionCarattere"/>
          <w:i/>
        </w:rPr>
        <w:t xml:space="preserve">: </w:t>
      </w:r>
      <w:r w:rsidRPr="004D3B6D">
        <w:rPr>
          <w:rStyle w:val="CETCaptionCarattere"/>
          <w:i/>
        </w:rPr>
        <w:t xml:space="preserve">Comparison of the predicted value of the </w:t>
      </w:r>
      <w:r>
        <w:rPr>
          <w:rStyle w:val="CETCaptionCarattere"/>
          <w:i/>
        </w:rPr>
        <w:t>CCA</w:t>
      </w:r>
      <w:r w:rsidRPr="004D3B6D">
        <w:rPr>
          <w:rStyle w:val="CETCaptionCarattere"/>
          <w:i/>
        </w:rPr>
        <w:t xml:space="preserve"> model with experimental values</w:t>
      </w:r>
      <w:r>
        <w:rPr>
          <w:rStyle w:val="CETCaptionCarattere"/>
          <w:i/>
        </w:rPr>
        <w:t>.</w:t>
      </w:r>
    </w:p>
    <w:p w14:paraId="1B8E6A18" w14:textId="4616E04D" w:rsidR="00932992" w:rsidRDefault="00932992" w:rsidP="00CC6995">
      <w:pPr>
        <w:tabs>
          <w:tab w:val="clear" w:pos="7100"/>
        </w:tabs>
        <w:spacing w:line="276" w:lineRule="auto"/>
      </w:pPr>
      <w:bookmarkStart w:id="1" w:name="_Hlk109233015"/>
      <w:r>
        <w:t>Regarding the O/</w:t>
      </w:r>
      <w:r w:rsidRPr="00932992">
        <w:t>C ratio in the bio</w:t>
      </w:r>
      <w:r w:rsidR="00500334">
        <w:t>-</w:t>
      </w:r>
      <w:r w:rsidRPr="00932992">
        <w:t>liquid</w:t>
      </w:r>
      <w:r>
        <w:t>, a significant effect of the M/CM, H/</w:t>
      </w:r>
      <w:r w:rsidRPr="00932992">
        <w:t>C a</w:t>
      </w:r>
      <w:r>
        <w:t>nd N/</w:t>
      </w:r>
      <w:r w:rsidRPr="00932992">
        <w:t>C</w:t>
      </w:r>
      <w:r>
        <w:t xml:space="preserve"> ratios can be noted, but the O/</w:t>
      </w:r>
      <w:r w:rsidRPr="00932992">
        <w:t xml:space="preserve">C of the </w:t>
      </w:r>
      <w:r>
        <w:t>raw</w:t>
      </w:r>
      <w:r w:rsidRPr="00932992">
        <w:t xml:space="preserve"> biomass </w:t>
      </w:r>
      <w:r w:rsidR="00500334">
        <w:t>seem</w:t>
      </w:r>
      <w:r w:rsidR="007122AB">
        <w:t>s</w:t>
      </w:r>
      <w:r w:rsidR="00500334">
        <w:t xml:space="preserve"> </w:t>
      </w:r>
      <w:r w:rsidRPr="00932992">
        <w:t>not</w:t>
      </w:r>
      <w:r w:rsidR="00500334">
        <w:t xml:space="preserve"> </w:t>
      </w:r>
      <w:r w:rsidR="007122AB">
        <w:t xml:space="preserve">to </w:t>
      </w:r>
      <w:r w:rsidR="00500334">
        <w:t>be</w:t>
      </w:r>
      <w:r w:rsidRPr="00932992">
        <w:t xml:space="preserve"> very relevant. This result is perhaps </w:t>
      </w:r>
      <w:r w:rsidR="00500334">
        <w:t>imputable</w:t>
      </w:r>
      <w:r w:rsidR="00500334" w:rsidRPr="00932992">
        <w:t xml:space="preserve"> </w:t>
      </w:r>
      <w:r w:rsidRPr="00932992">
        <w:t xml:space="preserve">to the nature of the macro-components making up the biomass and their relative decomposition pathways and how humidity can </w:t>
      </w:r>
      <w:r w:rsidRPr="00932992">
        <w:lastRenderedPageBreak/>
        <w:t>play a role i</w:t>
      </w:r>
      <w:r>
        <w:t>n these pathways. Conversely, H/</w:t>
      </w:r>
      <w:r w:rsidRPr="00932992">
        <w:t xml:space="preserve">C in bio-liquid appears to have a roughly equal dependence </w:t>
      </w:r>
      <w:r w:rsidR="00D31E38">
        <w:t>on</w:t>
      </w:r>
      <w:r w:rsidR="00D31E38" w:rsidRPr="00932992">
        <w:t xml:space="preserve"> </w:t>
      </w:r>
      <w:r w:rsidRPr="00932992">
        <w:t>all inputs.</w:t>
      </w:r>
    </w:p>
    <w:p w14:paraId="71DC76D6" w14:textId="0E3D0D24" w:rsidR="00413B0C" w:rsidRDefault="00541ECF" w:rsidP="00500334">
      <w:pPr>
        <w:pStyle w:val="CETHeading1"/>
        <w:spacing w:after="200" w:line="276" w:lineRule="auto"/>
      </w:pPr>
      <w:r>
        <w:rPr>
          <w:lang w:val="en-GB"/>
        </w:rPr>
        <w:t>Conclusions</w:t>
      </w:r>
    </w:p>
    <w:p w14:paraId="1F820049" w14:textId="1C3B1DCF" w:rsidR="00476329" w:rsidRDefault="00CC6995" w:rsidP="00943B6C">
      <w:pPr>
        <w:pStyle w:val="CETListbullets"/>
        <w:ind w:left="0" w:firstLine="0"/>
      </w:pPr>
      <w:r>
        <w:t xml:space="preserve">The present work investigated the </w:t>
      </w:r>
      <w:r w:rsidR="001C7918">
        <w:t xml:space="preserve">applicability of </w:t>
      </w:r>
      <w:r w:rsidR="001C7918" w:rsidRPr="00690EFE">
        <w:rPr>
          <w:rFonts w:cstheme="minorHAnsi"/>
          <w:color w:val="000000"/>
        </w:rPr>
        <w:t>statistical analysis</w:t>
      </w:r>
      <w:r w:rsidR="001C7918">
        <w:t xml:space="preserve"> </w:t>
      </w:r>
      <w:r>
        <w:t>f</w:t>
      </w:r>
      <w:r w:rsidR="001C7918">
        <w:t>or</w:t>
      </w:r>
      <w:r>
        <w:t xml:space="preserve"> </w:t>
      </w:r>
      <w:r w:rsidR="001C7918">
        <w:t>describing thermochemical processes with</w:t>
      </w:r>
      <w:r>
        <w:t xml:space="preserve"> simple linear correlations.</w:t>
      </w:r>
      <w:r w:rsidR="009A4394">
        <w:t xml:space="preserve"> </w:t>
      </w:r>
      <w:r w:rsidR="00347B66">
        <w:t xml:space="preserve">The CCA method represents the first attempt to create simple tools for evaluating the performance of different processes for the residual biomass valorisation. </w:t>
      </w:r>
      <w:r w:rsidR="001C7918">
        <w:t>In particular</w:t>
      </w:r>
      <w:r w:rsidR="00B062D8">
        <w:t>,</w:t>
      </w:r>
      <w:r w:rsidR="001C7918">
        <w:t xml:space="preserve"> CCA was used to quantitatively and qualitatively describe the process outputs.</w:t>
      </w:r>
      <w:r w:rsidR="00347B66">
        <w:t xml:space="preserve"> The results show that the predicted values</w:t>
      </w:r>
      <w:r w:rsidR="007949F9">
        <w:t xml:space="preserve"> of bio-liquid and bio-char yield, and O/C and H/C ratios</w:t>
      </w:r>
      <w:r w:rsidR="00347B66">
        <w:t xml:space="preserve"> are within the 20% of error with respect to </w:t>
      </w:r>
      <w:r w:rsidR="007949F9">
        <w:t xml:space="preserve">their </w:t>
      </w:r>
      <w:r w:rsidR="00347B66">
        <w:t>experimental values.</w:t>
      </w:r>
      <w:r w:rsidR="001C7918">
        <w:t xml:space="preserve"> </w:t>
      </w:r>
      <w:r w:rsidR="00307B27">
        <w:t>The</w:t>
      </w:r>
      <w:r w:rsidR="00221FBA">
        <w:t xml:space="preserve"> main </w:t>
      </w:r>
      <w:r w:rsidR="00347B66">
        <w:t>advantage of using</w:t>
      </w:r>
      <w:r w:rsidR="00221FBA">
        <w:t xml:space="preserve"> </w:t>
      </w:r>
      <w:r w:rsidR="00307B27">
        <w:t>th</w:t>
      </w:r>
      <w:r w:rsidR="00347B66">
        <w:t>e</w:t>
      </w:r>
      <w:r w:rsidR="00307B27">
        <w:t xml:space="preserve"> CCA is </w:t>
      </w:r>
      <w:r w:rsidR="00347B66">
        <w:t>its</w:t>
      </w:r>
      <w:r w:rsidR="00221FBA">
        <w:t xml:space="preserve"> simple implementation</w:t>
      </w:r>
      <w:r w:rsidR="00D31E38">
        <w:t>.</w:t>
      </w:r>
      <w:r w:rsidR="00307B27">
        <w:t xml:space="preserve"> </w:t>
      </w:r>
      <w:r w:rsidR="00D31E38">
        <w:t>H</w:t>
      </w:r>
      <w:r w:rsidR="00307B27">
        <w:t>owever,</w:t>
      </w:r>
      <w:r w:rsidR="00221FBA">
        <w:t xml:space="preserve"> </w:t>
      </w:r>
      <w:r w:rsidR="00476329">
        <w:t xml:space="preserve">the main limitation is that it only applies linear correlations between inputs and outputs; despite this, results can be considered acceptable considering the trade-off between prediction performance and computational time requirement. </w:t>
      </w:r>
    </w:p>
    <w:p w14:paraId="51767483" w14:textId="68C40F21" w:rsidR="007949F9" w:rsidRDefault="006B433E" w:rsidP="00943B6C">
      <w:pPr>
        <w:pStyle w:val="CETListbullets"/>
        <w:ind w:left="0" w:firstLine="0"/>
      </w:pPr>
      <w:r>
        <w:t xml:space="preserve">Future perspectives </w:t>
      </w:r>
      <w:r w:rsidR="00C26985">
        <w:t>are</w:t>
      </w:r>
      <w:r>
        <w:t xml:space="preserve"> to find useful prediction models</w:t>
      </w:r>
      <w:r w:rsidRPr="006B433E">
        <w:t xml:space="preserve"> looking for the </w:t>
      </w:r>
      <w:r>
        <w:t>optimal</w:t>
      </w:r>
      <w:r w:rsidRPr="006B433E">
        <w:t xml:space="preserve"> compromise between prediction efficiency and computation speed</w:t>
      </w:r>
      <w:r>
        <w:t xml:space="preserve">, in order to develop </w:t>
      </w:r>
      <w:r w:rsidRPr="006B433E">
        <w:t xml:space="preserve">an efficient decision-support system and </w:t>
      </w:r>
      <w:r w:rsidR="00D31E38">
        <w:t xml:space="preserve">a </w:t>
      </w:r>
      <w:r w:rsidRPr="006B433E">
        <w:t>platform for comparative assessment of alternative pathways for the production of bio-based fuels</w:t>
      </w:r>
      <w:r>
        <w:t xml:space="preserve"> and chemicals</w:t>
      </w:r>
      <w:r w:rsidRPr="006B433E">
        <w:t xml:space="preserve"> from raw biomass residues and their blends.</w:t>
      </w:r>
      <w:r w:rsidR="00061653" w:rsidRPr="00061653">
        <w:t xml:space="preserve"> </w:t>
      </w:r>
      <w:r w:rsidR="00061653">
        <w:t xml:space="preserve">Other techniques, such as machine learning, can be used for more complex prediction based on non-linear correlations. Furthermore, </w:t>
      </w:r>
      <w:r w:rsidR="00C26985">
        <w:t xml:space="preserve">for all techniques based on datamining, </w:t>
      </w:r>
      <w:r w:rsidR="00D31E38">
        <w:t>their</w:t>
      </w:r>
      <w:r w:rsidR="00C26985">
        <w:t xml:space="preserve"> applicability strictly depends on the quality of dataset used. </w:t>
      </w:r>
      <w:r w:rsidR="00C26985" w:rsidRPr="006A4C8A">
        <w:t>In this sense</w:t>
      </w:r>
      <w:r w:rsidR="00C26985">
        <w:t>,</w:t>
      </w:r>
      <w:r w:rsidR="00C26985" w:rsidRPr="006A4C8A">
        <w:t xml:space="preserve"> techniques based on natural language process </w:t>
      </w:r>
      <w:r w:rsidR="00C26985">
        <w:t xml:space="preserve">for text generation </w:t>
      </w:r>
      <w:r w:rsidR="00C26985" w:rsidRPr="006A4C8A">
        <w:t xml:space="preserve">can </w:t>
      </w:r>
      <w:r w:rsidR="00C26985">
        <w:t>help the compiling</w:t>
      </w:r>
      <w:r w:rsidR="00C26985" w:rsidRPr="006A4C8A">
        <w:t xml:space="preserve"> of </w:t>
      </w:r>
      <w:r w:rsidR="00C26985">
        <w:t xml:space="preserve">large </w:t>
      </w:r>
      <w:r w:rsidR="00C26985" w:rsidRPr="006A4C8A">
        <w:t>datasets</w:t>
      </w:r>
      <w:r w:rsidR="00C26985">
        <w:t xml:space="preserve">. </w:t>
      </w:r>
    </w:p>
    <w:bookmarkEnd w:id="1"/>
    <w:p w14:paraId="459D05E6" w14:textId="77777777" w:rsidR="00600535" w:rsidRPr="00B57B36" w:rsidRDefault="00600535" w:rsidP="00600535">
      <w:pPr>
        <w:pStyle w:val="CETAcknowledgementstitle"/>
      </w:pPr>
      <w:r w:rsidRPr="00B57B36">
        <w:t>Acknowledgments</w:t>
      </w:r>
    </w:p>
    <w:p w14:paraId="33F8138F" w14:textId="1BBBF751" w:rsidR="00600535" w:rsidRPr="00B57B36" w:rsidRDefault="00CC6995" w:rsidP="00600535">
      <w:pPr>
        <w:pStyle w:val="CETBodytext"/>
        <w:rPr>
          <w:lang w:val="en-GB"/>
        </w:rPr>
      </w:pPr>
      <w:r w:rsidRPr="00CC6995">
        <w:rPr>
          <w:lang w:val="en-GB"/>
        </w:rPr>
        <w:t>This study has been carried out in the frame of the project PON ARS01_00985: Biofeedstock: Development of Integrated Technological Platforms for Residual Biomass Exploitation, funded by the Italian Ministry for University and Research.</w:t>
      </w:r>
    </w:p>
    <w:p w14:paraId="4F1327F8" w14:textId="77777777" w:rsidR="00600535" w:rsidRPr="00B57B36" w:rsidRDefault="00600535" w:rsidP="00600535">
      <w:pPr>
        <w:pStyle w:val="CETReference"/>
      </w:pPr>
      <w:r w:rsidRPr="00B57B36">
        <w:t>References</w:t>
      </w:r>
    </w:p>
    <w:p w14:paraId="52D137D9" w14:textId="05DFACB3" w:rsidR="00FB6102" w:rsidRPr="00FB6102" w:rsidRDefault="00F256FF" w:rsidP="00FB6102">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FB6102" w:rsidRPr="00FB6102">
        <w:rPr>
          <w:rFonts w:cs="Arial"/>
          <w:noProof/>
          <w:szCs w:val="24"/>
        </w:rPr>
        <w:t xml:space="preserve">Chai, M., He, Y., Nishu, Sun, C., &amp; Liu, R. (2020). Effect of fractional condensers on characteristics, compounds distribution and phenols selection of bio-oil from pine sawdust fast pyrolysis. </w:t>
      </w:r>
      <w:r w:rsidR="00FB6102" w:rsidRPr="00FB6102">
        <w:rPr>
          <w:rFonts w:cs="Arial"/>
          <w:i/>
          <w:iCs/>
          <w:noProof/>
          <w:szCs w:val="24"/>
        </w:rPr>
        <w:t>Journal of the Energy Institute</w:t>
      </w:r>
      <w:r w:rsidR="00FB6102" w:rsidRPr="00FB6102">
        <w:rPr>
          <w:rFonts w:cs="Arial"/>
          <w:noProof/>
          <w:szCs w:val="24"/>
        </w:rPr>
        <w:t xml:space="preserve">, </w:t>
      </w:r>
      <w:r w:rsidR="00FB6102" w:rsidRPr="00FB6102">
        <w:rPr>
          <w:rFonts w:cs="Arial"/>
          <w:i/>
          <w:iCs/>
          <w:noProof/>
          <w:szCs w:val="24"/>
        </w:rPr>
        <w:t>93</w:t>
      </w:r>
      <w:r w:rsidR="00FB6102" w:rsidRPr="00FB6102">
        <w:rPr>
          <w:rFonts w:cs="Arial"/>
          <w:noProof/>
          <w:szCs w:val="24"/>
        </w:rPr>
        <w:t>(2), 811–821. doi: 10.1016/j.joei.2019.05.001</w:t>
      </w:r>
    </w:p>
    <w:p w14:paraId="3F5873F9"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Christoforou, E. A., Fokaides, P. A., Banks, S. W., Nowakowski, D., Bridgwater, A. V., Stefanidis, S., Kalogiannis, K. G., Iliopoulou, E. F., &amp; Lappas, A. A. (2018). Comparative Study on Catalytic and Non-Catalytic Pyrolysis of Olive Mill Solid Wastes. </w:t>
      </w:r>
      <w:r w:rsidRPr="00FB6102">
        <w:rPr>
          <w:rFonts w:cs="Arial"/>
          <w:i/>
          <w:iCs/>
          <w:noProof/>
          <w:szCs w:val="24"/>
        </w:rPr>
        <w:t>Waste and Biomass Valorization</w:t>
      </w:r>
      <w:r w:rsidRPr="00FB6102">
        <w:rPr>
          <w:rFonts w:cs="Arial"/>
          <w:noProof/>
          <w:szCs w:val="24"/>
        </w:rPr>
        <w:t xml:space="preserve">, </w:t>
      </w:r>
      <w:r w:rsidRPr="00FB6102">
        <w:rPr>
          <w:rFonts w:cs="Arial"/>
          <w:i/>
          <w:iCs/>
          <w:noProof/>
          <w:szCs w:val="24"/>
        </w:rPr>
        <w:t>9</w:t>
      </w:r>
      <w:r w:rsidRPr="00FB6102">
        <w:rPr>
          <w:rFonts w:cs="Arial"/>
          <w:noProof/>
          <w:szCs w:val="24"/>
        </w:rPr>
        <w:t>(2), 301–313. doi: 10.1007/s12649-016-9809-5</w:t>
      </w:r>
    </w:p>
    <w:p w14:paraId="3F65DFC3"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Colling Klein, B., Bonomi, A., &amp; Maciel Filho, R. (2018). Integration of microalgae production with industrial biofuel facilities: A critical review. </w:t>
      </w:r>
      <w:r w:rsidRPr="00FB6102">
        <w:rPr>
          <w:rFonts w:cs="Arial"/>
          <w:i/>
          <w:iCs/>
          <w:noProof/>
          <w:szCs w:val="24"/>
        </w:rPr>
        <w:t>Renewable and Sustainable Energy Reviews</w:t>
      </w:r>
      <w:r w:rsidRPr="00FB6102">
        <w:rPr>
          <w:rFonts w:cs="Arial"/>
          <w:noProof/>
          <w:szCs w:val="24"/>
        </w:rPr>
        <w:t xml:space="preserve">, </w:t>
      </w:r>
      <w:r w:rsidRPr="00FB6102">
        <w:rPr>
          <w:rFonts w:cs="Arial"/>
          <w:i/>
          <w:iCs/>
          <w:noProof/>
          <w:szCs w:val="24"/>
        </w:rPr>
        <w:t>82</w:t>
      </w:r>
      <w:r w:rsidRPr="00FB6102">
        <w:rPr>
          <w:rFonts w:cs="Arial"/>
          <w:noProof/>
          <w:szCs w:val="24"/>
        </w:rPr>
        <w:t>, 1376–1392. doi: 10.1016/j.rser.2017.04.063</w:t>
      </w:r>
    </w:p>
    <w:p w14:paraId="4246208B"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Council, O. F. T. H. E. (2018). </w:t>
      </w:r>
      <w:r w:rsidRPr="00FB6102">
        <w:rPr>
          <w:rFonts w:cs="Arial"/>
          <w:i/>
          <w:iCs/>
          <w:noProof/>
          <w:szCs w:val="24"/>
        </w:rPr>
        <w:t>DIRECTIVE (EU) 2018/2001 OF THE EUROPEAN PARLIAMENT AND OF THE COUNCIL of 11 December 2018 on the promotion of the use of energy from renewable sources (recast)</w:t>
      </w:r>
      <w:r w:rsidRPr="00FB6102">
        <w:rPr>
          <w:rFonts w:cs="Arial"/>
          <w:noProof/>
          <w:szCs w:val="24"/>
        </w:rPr>
        <w:t xml:space="preserve">. </w:t>
      </w:r>
      <w:r w:rsidRPr="00FB6102">
        <w:rPr>
          <w:rFonts w:cs="Arial"/>
          <w:i/>
          <w:iCs/>
          <w:noProof/>
          <w:szCs w:val="24"/>
        </w:rPr>
        <w:t>2018</w:t>
      </w:r>
      <w:r w:rsidRPr="00FB6102">
        <w:rPr>
          <w:rFonts w:cs="Arial"/>
          <w:noProof/>
          <w:szCs w:val="24"/>
        </w:rPr>
        <w:t>(April 2009).</w:t>
      </w:r>
    </w:p>
    <w:p w14:paraId="175B5322"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European Union. (2009). DIRECTIVE 2009/28/EC of the European Parliament and of the Council. </w:t>
      </w:r>
      <w:r w:rsidRPr="00FB6102">
        <w:rPr>
          <w:rFonts w:cs="Arial"/>
          <w:i/>
          <w:iCs/>
          <w:noProof/>
          <w:szCs w:val="24"/>
        </w:rPr>
        <w:t>Official Journal of the European Union</w:t>
      </w:r>
      <w:r w:rsidRPr="00FB6102">
        <w:rPr>
          <w:rFonts w:cs="Arial"/>
          <w:noProof/>
          <w:szCs w:val="24"/>
        </w:rPr>
        <w:t xml:space="preserve">, </w:t>
      </w:r>
      <w:r w:rsidRPr="00FB6102">
        <w:rPr>
          <w:rFonts w:cs="Arial"/>
          <w:i/>
          <w:iCs/>
          <w:noProof/>
          <w:szCs w:val="24"/>
        </w:rPr>
        <w:t>5</w:t>
      </w:r>
      <w:r w:rsidRPr="00FB6102">
        <w:rPr>
          <w:rFonts w:cs="Arial"/>
          <w:noProof/>
          <w:szCs w:val="24"/>
        </w:rPr>
        <w:t>(1), L 140/16-L 140/62.</w:t>
      </w:r>
    </w:p>
    <w:p w14:paraId="259102A4"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Garcia-Perez, M., Shen, J., Wang, X. S., &amp; Li, C. Z. (2010). Production and fuel properties of fast pyrolysis oil/bio-diesel blends. </w:t>
      </w:r>
      <w:r w:rsidRPr="00FB6102">
        <w:rPr>
          <w:rFonts w:cs="Arial"/>
          <w:i/>
          <w:iCs/>
          <w:noProof/>
          <w:szCs w:val="24"/>
        </w:rPr>
        <w:t>Fuel Processing Technology</w:t>
      </w:r>
      <w:r w:rsidRPr="00FB6102">
        <w:rPr>
          <w:rFonts w:cs="Arial"/>
          <w:noProof/>
          <w:szCs w:val="24"/>
        </w:rPr>
        <w:t xml:space="preserve">, </w:t>
      </w:r>
      <w:r w:rsidRPr="00FB6102">
        <w:rPr>
          <w:rFonts w:cs="Arial"/>
          <w:i/>
          <w:iCs/>
          <w:noProof/>
          <w:szCs w:val="24"/>
        </w:rPr>
        <w:t>91</w:t>
      </w:r>
      <w:r w:rsidRPr="00FB6102">
        <w:rPr>
          <w:rFonts w:cs="Arial"/>
          <w:noProof/>
          <w:szCs w:val="24"/>
        </w:rPr>
        <w:t>(3), 296–305. doi: 10.1016/j.fuproc.2009.10.012</w:t>
      </w:r>
    </w:p>
    <w:p w14:paraId="471F0566"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Greenhalf, C. E., Nowakowski, D. J., Harms, A. B., Titiloye, J. O., &amp; Bridgwater, A. V. (2013). A comparative study of straw, perennial grasses and hardwoods in terms of fast pyrolysis products. </w:t>
      </w:r>
      <w:r w:rsidRPr="00FB6102">
        <w:rPr>
          <w:rFonts w:cs="Arial"/>
          <w:i/>
          <w:iCs/>
          <w:noProof/>
          <w:szCs w:val="24"/>
        </w:rPr>
        <w:t>Fuel</w:t>
      </w:r>
      <w:r w:rsidRPr="00FB6102">
        <w:rPr>
          <w:rFonts w:cs="Arial"/>
          <w:noProof/>
          <w:szCs w:val="24"/>
        </w:rPr>
        <w:t xml:space="preserve">, </w:t>
      </w:r>
      <w:r w:rsidRPr="00FB6102">
        <w:rPr>
          <w:rFonts w:cs="Arial"/>
          <w:i/>
          <w:iCs/>
          <w:noProof/>
          <w:szCs w:val="24"/>
        </w:rPr>
        <w:t>108</w:t>
      </w:r>
      <w:r w:rsidRPr="00FB6102">
        <w:rPr>
          <w:rFonts w:cs="Arial"/>
          <w:noProof/>
          <w:szCs w:val="24"/>
        </w:rPr>
        <w:t>, 216–230. doi: 10.1016/j.fuel.2013.01.075</w:t>
      </w:r>
    </w:p>
    <w:p w14:paraId="0C1F0043"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Hirani, A. H., Javed, N., Asif, M., Basu, S. K., &amp; Kumar, A. (2018). A review on first-and second-generation biofuel productions. In Biofuels: Greenhouse Gas Mitigation and Global Warming (pp. 141–154). Springer.</w:t>
      </w:r>
    </w:p>
    <w:p w14:paraId="1C59B487"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Hotelling, H. (1992). </w:t>
      </w:r>
      <w:r w:rsidRPr="00FB6102">
        <w:rPr>
          <w:rFonts w:cs="Arial"/>
          <w:i/>
          <w:iCs/>
          <w:noProof/>
          <w:szCs w:val="24"/>
        </w:rPr>
        <w:t>Relations Between Two Sets of Variates BT  - Breakthroughs in Statistics: Methodology and Distribution</w:t>
      </w:r>
      <w:r w:rsidRPr="00FB6102">
        <w:rPr>
          <w:rFonts w:cs="Arial"/>
          <w:noProof/>
          <w:szCs w:val="24"/>
        </w:rPr>
        <w:t xml:space="preserve"> (S. Kotz &amp; N. L. Johnson (eds.); pp. 162–190). New York, NY: Springer New York. doi: 10.1007/978-1-4612-4380-9_14</w:t>
      </w:r>
    </w:p>
    <w:p w14:paraId="386F5CA3"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i/>
          <w:iCs/>
          <w:noProof/>
          <w:szCs w:val="24"/>
        </w:rPr>
        <w:t>IEA (2019), World Energy Outlook 2019, IEA, Paris https://www.iea.org/reports/world-energy-outlook-2019</w:t>
      </w:r>
      <w:r w:rsidRPr="00FB6102">
        <w:rPr>
          <w:rFonts w:cs="Arial"/>
          <w:noProof/>
          <w:szCs w:val="24"/>
        </w:rPr>
        <w:t>. (2019).</w:t>
      </w:r>
    </w:p>
    <w:p w14:paraId="23419888"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Iisa, K., French, R. J., Orton, K. A., Yung, M. M., Johnson, D. K., Ten Dam, J., Watson, M. J., &amp; Nimlos, M. R. (2016). In Situ and ex Situ Catalytic Pyrolysis of Pine in a Bench-Scale Fluidized Bed Reactor System. </w:t>
      </w:r>
      <w:r w:rsidRPr="00FB6102">
        <w:rPr>
          <w:rFonts w:cs="Arial"/>
          <w:i/>
          <w:iCs/>
          <w:noProof/>
          <w:szCs w:val="24"/>
        </w:rPr>
        <w:t>Energy and Fuels</w:t>
      </w:r>
      <w:r w:rsidRPr="00FB6102">
        <w:rPr>
          <w:rFonts w:cs="Arial"/>
          <w:noProof/>
          <w:szCs w:val="24"/>
        </w:rPr>
        <w:t xml:space="preserve">, </w:t>
      </w:r>
      <w:r w:rsidRPr="00FB6102">
        <w:rPr>
          <w:rFonts w:cs="Arial"/>
          <w:i/>
          <w:iCs/>
          <w:noProof/>
          <w:szCs w:val="24"/>
        </w:rPr>
        <w:t>30</w:t>
      </w:r>
      <w:r w:rsidRPr="00FB6102">
        <w:rPr>
          <w:rFonts w:cs="Arial"/>
          <w:noProof/>
          <w:szCs w:val="24"/>
        </w:rPr>
        <w:t>(3), 2144–2157. doi: 10.1021/acs.energyfuels.5b02165</w:t>
      </w:r>
    </w:p>
    <w:p w14:paraId="26855F8A"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Jung, S., Kang, B., &amp; Kim, J. (2008). </w:t>
      </w:r>
      <w:r w:rsidRPr="00FB6102">
        <w:rPr>
          <w:rFonts w:cs="Arial"/>
          <w:i/>
          <w:iCs/>
          <w:noProof/>
          <w:szCs w:val="24"/>
        </w:rPr>
        <w:t>Production of bio-oil from rice straw and bamboo sawdust under various reaction conditions in a fast pyrolysis plant equipped with a fluidized bed and a char separation system</w:t>
      </w:r>
      <w:r w:rsidRPr="00FB6102">
        <w:rPr>
          <w:rFonts w:cs="Arial"/>
          <w:noProof/>
          <w:szCs w:val="24"/>
        </w:rPr>
        <w:t xml:space="preserve">. </w:t>
      </w:r>
      <w:r w:rsidRPr="00FB6102">
        <w:rPr>
          <w:rFonts w:cs="Arial"/>
          <w:i/>
          <w:iCs/>
          <w:noProof/>
          <w:szCs w:val="24"/>
        </w:rPr>
        <w:t>82</w:t>
      </w:r>
      <w:r w:rsidRPr="00FB6102">
        <w:rPr>
          <w:rFonts w:cs="Arial"/>
          <w:noProof/>
          <w:szCs w:val="24"/>
        </w:rPr>
        <w:t>, 240–247. doi: 10.1016/j.jaap.2008.04.001</w:t>
      </w:r>
    </w:p>
    <w:p w14:paraId="65AF0B92"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Lamers, P., Roni, M. S., Tumuluru, J. S., Jacobson, J. J., Cafferty, K. G., Hansen, J. K., Kenney, K., Teymouri, </w:t>
      </w:r>
      <w:r w:rsidRPr="00FB6102">
        <w:rPr>
          <w:rFonts w:cs="Arial"/>
          <w:noProof/>
          <w:szCs w:val="24"/>
        </w:rPr>
        <w:lastRenderedPageBreak/>
        <w:t xml:space="preserve">F., &amp; Bals, B. (2015). Techno-economic analysis of decentralized biomass processing depots. </w:t>
      </w:r>
      <w:r w:rsidRPr="00FB6102">
        <w:rPr>
          <w:rFonts w:cs="Arial"/>
          <w:i/>
          <w:iCs/>
          <w:noProof/>
          <w:szCs w:val="24"/>
        </w:rPr>
        <w:t>Bioresource Technology</w:t>
      </w:r>
      <w:r w:rsidRPr="00FB6102">
        <w:rPr>
          <w:rFonts w:cs="Arial"/>
          <w:noProof/>
          <w:szCs w:val="24"/>
        </w:rPr>
        <w:t xml:space="preserve">, </w:t>
      </w:r>
      <w:r w:rsidRPr="00FB6102">
        <w:rPr>
          <w:rFonts w:cs="Arial"/>
          <w:i/>
          <w:iCs/>
          <w:noProof/>
          <w:szCs w:val="24"/>
        </w:rPr>
        <w:t>194</w:t>
      </w:r>
      <w:r w:rsidRPr="00FB6102">
        <w:rPr>
          <w:rFonts w:cs="Arial"/>
          <w:noProof/>
          <w:szCs w:val="24"/>
        </w:rPr>
        <w:t>, 205–213. doi: 10.1016/j.biortech.2015.07.009</w:t>
      </w:r>
    </w:p>
    <w:p w14:paraId="075BC319"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Littlejohns, J., Rehmann, L., Murdy, R., Oo, A., &amp; Neill, S. (2018). Current state and future prospects for liquid biofuels in Canada. </w:t>
      </w:r>
      <w:r w:rsidRPr="00FB6102">
        <w:rPr>
          <w:rFonts w:cs="Arial"/>
          <w:i/>
          <w:iCs/>
          <w:noProof/>
          <w:szCs w:val="24"/>
        </w:rPr>
        <w:t>Biofuel Research Journal</w:t>
      </w:r>
      <w:r w:rsidRPr="00FB6102">
        <w:rPr>
          <w:rFonts w:cs="Arial"/>
          <w:noProof/>
          <w:szCs w:val="24"/>
        </w:rPr>
        <w:t xml:space="preserve">, </w:t>
      </w:r>
      <w:r w:rsidRPr="00FB6102">
        <w:rPr>
          <w:rFonts w:cs="Arial"/>
          <w:i/>
          <w:iCs/>
          <w:noProof/>
          <w:szCs w:val="24"/>
        </w:rPr>
        <w:t>5</w:t>
      </w:r>
      <w:r w:rsidRPr="00FB6102">
        <w:rPr>
          <w:rFonts w:cs="Arial"/>
          <w:noProof/>
          <w:szCs w:val="24"/>
        </w:rPr>
        <w:t>(1), 759–779.</w:t>
      </w:r>
    </w:p>
    <w:p w14:paraId="66584E80"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Ly, H. V., Choi, J. H., Woo, H. C., Kim, S. S., &amp; Kim, J. (2019). Upgrading bio-oil by catalytic fast pyrolysis of acid-washed Saccharina japonica alga in a fluidized-bed reactor. </w:t>
      </w:r>
      <w:r w:rsidRPr="00FB6102">
        <w:rPr>
          <w:rFonts w:cs="Arial"/>
          <w:i/>
          <w:iCs/>
          <w:noProof/>
          <w:szCs w:val="24"/>
        </w:rPr>
        <w:t>Renewable Energy</w:t>
      </w:r>
      <w:r w:rsidRPr="00FB6102">
        <w:rPr>
          <w:rFonts w:cs="Arial"/>
          <w:noProof/>
          <w:szCs w:val="24"/>
        </w:rPr>
        <w:t xml:space="preserve">, </w:t>
      </w:r>
      <w:r w:rsidRPr="00FB6102">
        <w:rPr>
          <w:rFonts w:cs="Arial"/>
          <w:i/>
          <w:iCs/>
          <w:noProof/>
          <w:szCs w:val="24"/>
        </w:rPr>
        <w:t>133</w:t>
      </w:r>
      <w:r w:rsidRPr="00FB6102">
        <w:rPr>
          <w:rFonts w:cs="Arial"/>
          <w:noProof/>
          <w:szCs w:val="24"/>
        </w:rPr>
        <w:t>, 11–22. doi: 10.1016/j.renene.2018.09.103</w:t>
      </w:r>
    </w:p>
    <w:p w14:paraId="64C87C15"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Ly, H. V., Park, J. W., Kim, S. S., Hwang, H. T., Kim, J., &amp; Woo, H. C. (2020). Catalytic pyrolysis of bamboo in a bubbling fluidized-bed reactor with two different catalysts: HZSM-5 and red mud for upgrading bio-oil. </w:t>
      </w:r>
      <w:r w:rsidRPr="00FB6102">
        <w:rPr>
          <w:rFonts w:cs="Arial"/>
          <w:i/>
          <w:iCs/>
          <w:noProof/>
          <w:szCs w:val="24"/>
        </w:rPr>
        <w:t>Renewable Energy</w:t>
      </w:r>
      <w:r w:rsidRPr="00FB6102">
        <w:rPr>
          <w:rFonts w:cs="Arial"/>
          <w:noProof/>
          <w:szCs w:val="24"/>
        </w:rPr>
        <w:t xml:space="preserve">, </w:t>
      </w:r>
      <w:r w:rsidRPr="00FB6102">
        <w:rPr>
          <w:rFonts w:cs="Arial"/>
          <w:i/>
          <w:iCs/>
          <w:noProof/>
          <w:szCs w:val="24"/>
        </w:rPr>
        <w:t>149</w:t>
      </w:r>
      <w:r w:rsidRPr="00FB6102">
        <w:rPr>
          <w:rFonts w:cs="Arial"/>
          <w:noProof/>
          <w:szCs w:val="24"/>
        </w:rPr>
        <w:t>, 1434–1445. doi: 10.1016/j.renene.2019.10.141</w:t>
      </w:r>
    </w:p>
    <w:p w14:paraId="7A4D2DEF"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Mullen, C. A., Tarves, P. C., Raymundo, L. M., Schultz, E. L., Boateng, A. A., &amp; Trierweiler, J. O. (2018). Fluidized Bed Catalytic Pyrolysis of Eucalyptus over HZSM-5: Effect of Acid Density and Gallium Modification on Catalyst Deactivation. </w:t>
      </w:r>
      <w:r w:rsidRPr="00FB6102">
        <w:rPr>
          <w:rFonts w:cs="Arial"/>
          <w:i/>
          <w:iCs/>
          <w:noProof/>
          <w:szCs w:val="24"/>
        </w:rPr>
        <w:t>Energy and Fuels</w:t>
      </w:r>
      <w:r w:rsidRPr="00FB6102">
        <w:rPr>
          <w:rFonts w:cs="Arial"/>
          <w:noProof/>
          <w:szCs w:val="24"/>
        </w:rPr>
        <w:t xml:space="preserve">, </w:t>
      </w:r>
      <w:r w:rsidRPr="00FB6102">
        <w:rPr>
          <w:rFonts w:cs="Arial"/>
          <w:i/>
          <w:iCs/>
          <w:noProof/>
          <w:szCs w:val="24"/>
        </w:rPr>
        <w:t>32</w:t>
      </w:r>
      <w:r w:rsidRPr="00FB6102">
        <w:rPr>
          <w:rFonts w:cs="Arial"/>
          <w:noProof/>
          <w:szCs w:val="24"/>
        </w:rPr>
        <w:t>(2), 1771–1778. doi: 10.1021/acs.energyfuels.7b02786</w:t>
      </w:r>
    </w:p>
    <w:p w14:paraId="7DE810C6"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Paasikallio, V., Lindfors, C., Kuoppala, E., Solantausta, Y., Oasmaa, A., Lehto, J., &amp; Lehtonen, J. (2014). Product quality and catalyst deactivation in a four day catalytic fast pyrolysis production run. </w:t>
      </w:r>
      <w:r w:rsidRPr="00FB6102">
        <w:rPr>
          <w:rFonts w:cs="Arial"/>
          <w:i/>
          <w:iCs/>
          <w:noProof/>
          <w:szCs w:val="24"/>
        </w:rPr>
        <w:t>Green Chemistry</w:t>
      </w:r>
      <w:r w:rsidRPr="00FB6102">
        <w:rPr>
          <w:rFonts w:cs="Arial"/>
          <w:noProof/>
          <w:szCs w:val="24"/>
        </w:rPr>
        <w:t xml:space="preserve">, </w:t>
      </w:r>
      <w:r w:rsidRPr="00FB6102">
        <w:rPr>
          <w:rFonts w:cs="Arial"/>
          <w:i/>
          <w:iCs/>
          <w:noProof/>
          <w:szCs w:val="24"/>
        </w:rPr>
        <w:t>16</w:t>
      </w:r>
      <w:r w:rsidRPr="00FB6102">
        <w:rPr>
          <w:rFonts w:cs="Arial"/>
          <w:noProof/>
          <w:szCs w:val="24"/>
        </w:rPr>
        <w:t>(7), 3549–3559. doi: 10.1039/c4gc00571f</w:t>
      </w:r>
    </w:p>
    <w:p w14:paraId="4AD86BF2"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Razik, A. H. A., Khor, C. S., &amp; Elkamel, A. (2019). A model-based approach for biomass-to-bioproducts supply Chain network planning optimization. </w:t>
      </w:r>
      <w:r w:rsidRPr="00FB6102">
        <w:rPr>
          <w:rFonts w:cs="Arial"/>
          <w:i/>
          <w:iCs/>
          <w:noProof/>
          <w:szCs w:val="24"/>
        </w:rPr>
        <w:t>Food and Bioproducts Processing</w:t>
      </w:r>
      <w:r w:rsidRPr="00FB6102">
        <w:rPr>
          <w:rFonts w:cs="Arial"/>
          <w:noProof/>
          <w:szCs w:val="24"/>
        </w:rPr>
        <w:t xml:space="preserve">, </w:t>
      </w:r>
      <w:r w:rsidRPr="00FB6102">
        <w:rPr>
          <w:rFonts w:cs="Arial"/>
          <w:i/>
          <w:iCs/>
          <w:noProof/>
          <w:szCs w:val="24"/>
        </w:rPr>
        <w:t>118</w:t>
      </w:r>
      <w:r w:rsidRPr="00FB6102">
        <w:rPr>
          <w:rFonts w:cs="Arial"/>
          <w:noProof/>
          <w:szCs w:val="24"/>
        </w:rPr>
        <w:t>, 293–305.</w:t>
      </w:r>
    </w:p>
    <w:p w14:paraId="6BB21208"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Williams, P. T., &amp; Nugranad, N. (2000). Comparison of products from the pyrolysis and catalytic pyrolysis of rice husks. </w:t>
      </w:r>
      <w:r w:rsidRPr="00FB6102">
        <w:rPr>
          <w:rFonts w:cs="Arial"/>
          <w:i/>
          <w:iCs/>
          <w:noProof/>
          <w:szCs w:val="24"/>
        </w:rPr>
        <w:t>Energy</w:t>
      </w:r>
      <w:r w:rsidRPr="00FB6102">
        <w:rPr>
          <w:rFonts w:cs="Arial"/>
          <w:noProof/>
          <w:szCs w:val="24"/>
        </w:rPr>
        <w:t xml:space="preserve">, </w:t>
      </w:r>
      <w:r w:rsidRPr="00FB6102">
        <w:rPr>
          <w:rFonts w:cs="Arial"/>
          <w:i/>
          <w:iCs/>
          <w:noProof/>
          <w:szCs w:val="24"/>
        </w:rPr>
        <w:t>25</w:t>
      </w:r>
      <w:r w:rsidRPr="00FB6102">
        <w:rPr>
          <w:rFonts w:cs="Arial"/>
          <w:noProof/>
          <w:szCs w:val="24"/>
        </w:rPr>
        <w:t>(6), 493–513. doi: 10.1016/S0360-5442(00)00009-8</w:t>
      </w:r>
    </w:p>
    <w:p w14:paraId="296AA50F" w14:textId="77777777" w:rsidR="00FB6102" w:rsidRPr="00FB6102" w:rsidRDefault="00FB6102" w:rsidP="00FB6102">
      <w:pPr>
        <w:widowControl w:val="0"/>
        <w:autoSpaceDE w:val="0"/>
        <w:autoSpaceDN w:val="0"/>
        <w:adjustRightInd w:val="0"/>
        <w:spacing w:line="240" w:lineRule="auto"/>
        <w:ind w:left="480" w:hanging="480"/>
        <w:rPr>
          <w:rFonts w:cs="Arial"/>
          <w:noProof/>
          <w:szCs w:val="24"/>
        </w:rPr>
      </w:pPr>
      <w:r w:rsidRPr="00FB6102">
        <w:rPr>
          <w:rFonts w:cs="Arial"/>
          <w:noProof/>
          <w:szCs w:val="24"/>
        </w:rPr>
        <w:t xml:space="preserve">Zhang, H., Xiao, R., Huang, H., &amp; Xiao, G. (2009). Comparison of non-catalytic and catalytic fast pyrolysis of corncob in a fluidized bed reactor. </w:t>
      </w:r>
      <w:r w:rsidRPr="00FB6102">
        <w:rPr>
          <w:rFonts w:cs="Arial"/>
          <w:i/>
          <w:iCs/>
          <w:noProof/>
          <w:szCs w:val="24"/>
        </w:rPr>
        <w:t>Bioresource Technology</w:t>
      </w:r>
      <w:r w:rsidRPr="00FB6102">
        <w:rPr>
          <w:rFonts w:cs="Arial"/>
          <w:noProof/>
          <w:szCs w:val="24"/>
        </w:rPr>
        <w:t xml:space="preserve">, </w:t>
      </w:r>
      <w:r w:rsidRPr="00FB6102">
        <w:rPr>
          <w:rFonts w:cs="Arial"/>
          <w:i/>
          <w:iCs/>
          <w:noProof/>
          <w:szCs w:val="24"/>
        </w:rPr>
        <w:t>100</w:t>
      </w:r>
      <w:r w:rsidRPr="00FB6102">
        <w:rPr>
          <w:rFonts w:cs="Arial"/>
          <w:noProof/>
          <w:szCs w:val="24"/>
        </w:rPr>
        <w:t>(3), 1428–1434. doi: 10.1016/j.biortech.2008.08.031</w:t>
      </w:r>
    </w:p>
    <w:p w14:paraId="7B4AF681" w14:textId="77777777" w:rsidR="00FB6102" w:rsidRPr="00FB6102" w:rsidRDefault="00FB6102" w:rsidP="00FB6102">
      <w:pPr>
        <w:widowControl w:val="0"/>
        <w:autoSpaceDE w:val="0"/>
        <w:autoSpaceDN w:val="0"/>
        <w:adjustRightInd w:val="0"/>
        <w:spacing w:line="240" w:lineRule="auto"/>
        <w:ind w:left="480" w:hanging="480"/>
        <w:rPr>
          <w:rFonts w:cs="Arial"/>
          <w:noProof/>
        </w:rPr>
      </w:pPr>
      <w:r w:rsidRPr="00FB6102">
        <w:rPr>
          <w:rFonts w:cs="Arial"/>
          <w:noProof/>
          <w:szCs w:val="24"/>
        </w:rPr>
        <w:t>Ziolkowska, J. R. (2020). Biofuels technologies: An overview of feedstocks, processes, and technologies. In Biofuels for a More Sustainable Future (pp. 1–19). Elsevier.</w:t>
      </w:r>
    </w:p>
    <w:p w14:paraId="19C4FC68" w14:textId="3DB4F1D7" w:rsidR="004628D2" w:rsidRDefault="00F256FF" w:rsidP="00AB6CE8">
      <w:pPr>
        <w:widowControl w:val="0"/>
        <w:autoSpaceDE w:val="0"/>
        <w:autoSpaceDN w:val="0"/>
        <w:adjustRightInd w:val="0"/>
        <w:spacing w:line="240" w:lineRule="auto"/>
        <w:ind w:left="480" w:hanging="48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6E72" w16cex:dateUtc="2022-07-20T10:07:00Z"/>
  <w16cex:commentExtensible w16cex:durableId="26826168" w16cex:dateUtc="2022-07-20T09:11:00Z"/>
  <w16cex:commentExtensible w16cex:durableId="2682C3AF" w16cex:dateUtc="2022-07-20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046D8" w16cid:durableId="268257F2"/>
  <w16cid:commentId w16cid:paraId="081F4594" w16cid:durableId="268257F3"/>
  <w16cid:commentId w16cid:paraId="4C977A5A" w16cid:durableId="26896FE8"/>
  <w16cid:commentId w16cid:paraId="62B76307" w16cid:durableId="268257F4"/>
  <w16cid:commentId w16cid:paraId="41C5E51D" w16cid:durableId="268257F5"/>
  <w16cid:commentId w16cid:paraId="01484C3F" w16cid:durableId="268257F6"/>
  <w16cid:commentId w16cid:paraId="7F3F103E" w16cid:durableId="268257F7"/>
  <w16cid:commentId w16cid:paraId="15215A29" w16cid:durableId="268257F8"/>
  <w16cid:commentId w16cid:paraId="1CF1C0F8" w16cid:durableId="26896FEE"/>
  <w16cid:commentId w16cid:paraId="442D664F" w16cid:durableId="268257F9"/>
  <w16cid:commentId w16cid:paraId="79267C08" w16cid:durableId="26826E72"/>
  <w16cid:commentId w16cid:paraId="6E3F22CC" w16cid:durableId="268257FA"/>
  <w16cid:commentId w16cid:paraId="759FB34E" w16cid:durableId="26826168"/>
  <w16cid:commentId w16cid:paraId="58465E24" w16cid:durableId="2682C3AF"/>
  <w16cid:commentId w16cid:paraId="506A27E1" w16cid:durableId="268257FB"/>
  <w16cid:commentId w16cid:paraId="365D8976" w16cid:durableId="26896FF5"/>
  <w16cid:commentId w16cid:paraId="3D6F3C40" w16cid:durableId="26896FF6"/>
  <w16cid:commentId w16cid:paraId="6F67288E" w16cid:durableId="26896FF7"/>
  <w16cid:commentId w16cid:paraId="638BD076" w16cid:durableId="26896FF8"/>
  <w16cid:commentId w16cid:paraId="7DF8DB14" w16cid:durableId="268257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F6418" w14:textId="77777777" w:rsidR="00784251" w:rsidRDefault="00784251" w:rsidP="004F5E36">
      <w:r>
        <w:separator/>
      </w:r>
    </w:p>
  </w:endnote>
  <w:endnote w:type="continuationSeparator" w:id="0">
    <w:p w14:paraId="750B88D5" w14:textId="77777777" w:rsidR="00784251" w:rsidRDefault="0078425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7D89" w14:textId="77777777" w:rsidR="00784251" w:rsidRDefault="00784251" w:rsidP="004F5E36">
      <w:r>
        <w:separator/>
      </w:r>
    </w:p>
  </w:footnote>
  <w:footnote w:type="continuationSeparator" w:id="0">
    <w:p w14:paraId="62417225" w14:textId="77777777" w:rsidR="00784251" w:rsidRDefault="00784251" w:rsidP="004F5E36">
      <w:r>
        <w:continuationSeparator/>
      </w:r>
    </w:p>
  </w:footnote>
  <w:footnote w:id="1">
    <w:p w14:paraId="300E3529" w14:textId="6E8A3995" w:rsidR="00FD2E47" w:rsidRPr="004379F0" w:rsidRDefault="00FD2E47">
      <w:pPr>
        <w:pStyle w:val="Testonotaapidipagina"/>
      </w:pPr>
      <w:r>
        <w:rPr>
          <w:rStyle w:val="Rimandonotaapidipagina"/>
        </w:rPr>
        <w:footnoteRef/>
      </w:r>
      <w:r>
        <w:t xml:space="preserve"> The reference refers to the reprinting of the original paper in the book ‘</w:t>
      </w:r>
      <w:r w:rsidRPr="004379F0">
        <w:t>Breakthroughs in Statistics. Springer Series in Statistics</w:t>
      </w:r>
      <w:r>
        <w:t>’ of 1992.</w:t>
      </w:r>
    </w:p>
  </w:footnote>
  <w:footnote w:id="2">
    <w:p w14:paraId="1A009C07" w14:textId="29F365F9" w:rsidR="00FD2E47" w:rsidRPr="00520283" w:rsidRDefault="00FD2E47">
      <w:pPr>
        <w:pStyle w:val="Testonotaapidipagina"/>
      </w:pPr>
      <w:r>
        <w:rPr>
          <w:rStyle w:val="Rimandonotaapidipagina"/>
        </w:rPr>
        <w:footnoteRef/>
      </w:r>
      <w:r>
        <w:t xml:space="preserve"> The bio liquid corresponds to the liquid organic phase + the pyrolytic water.</w:t>
      </w:r>
    </w:p>
  </w:footnote>
  <w:footnote w:id="3">
    <w:p w14:paraId="57426DA5" w14:textId="610743E2" w:rsidR="00FD2E47" w:rsidRPr="008004A5" w:rsidRDefault="00FD2E47">
      <w:pPr>
        <w:pStyle w:val="Testonotaapidipagina"/>
      </w:pPr>
      <w:r>
        <w:rPr>
          <w:rStyle w:val="Rimandonotaapidipagina"/>
        </w:rPr>
        <w:footnoteRef/>
      </w:r>
      <w:r>
        <w:t xml:space="preserve"> </w:t>
      </w:r>
      <w:r w:rsidRPr="008004A5">
        <w:t>MAE=mean absolute error; MSE=mean square error; SAE= sum absolute error; MAPE=mean absolute percentage error; R</w:t>
      </w:r>
      <w:r w:rsidRPr="0026496A">
        <w:rPr>
          <w:vertAlign w:val="superscript"/>
        </w:rPr>
        <w:t>2</w:t>
      </w:r>
      <w:r w:rsidRPr="008004A5">
        <w:t>=coefficient of determination.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0D"/>
    <w:rsid w:val="000027C0"/>
    <w:rsid w:val="000052FB"/>
    <w:rsid w:val="00005B03"/>
    <w:rsid w:val="000117CB"/>
    <w:rsid w:val="000267B5"/>
    <w:rsid w:val="0003148D"/>
    <w:rsid w:val="00031EEC"/>
    <w:rsid w:val="0003434D"/>
    <w:rsid w:val="00051566"/>
    <w:rsid w:val="00060499"/>
    <w:rsid w:val="00061653"/>
    <w:rsid w:val="00061A05"/>
    <w:rsid w:val="00062A9A"/>
    <w:rsid w:val="00065058"/>
    <w:rsid w:val="00070540"/>
    <w:rsid w:val="00077F0C"/>
    <w:rsid w:val="0008287C"/>
    <w:rsid w:val="0008660F"/>
    <w:rsid w:val="00086C39"/>
    <w:rsid w:val="000A03B2"/>
    <w:rsid w:val="000D0268"/>
    <w:rsid w:val="000D0FFD"/>
    <w:rsid w:val="000D34BE"/>
    <w:rsid w:val="000E102F"/>
    <w:rsid w:val="000E36F1"/>
    <w:rsid w:val="000E3A73"/>
    <w:rsid w:val="000E414A"/>
    <w:rsid w:val="000E7E4B"/>
    <w:rsid w:val="000F093C"/>
    <w:rsid w:val="000F3831"/>
    <w:rsid w:val="000F787B"/>
    <w:rsid w:val="0012091F"/>
    <w:rsid w:val="0012198D"/>
    <w:rsid w:val="00125E7E"/>
    <w:rsid w:val="00126BC2"/>
    <w:rsid w:val="001277B9"/>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C7918"/>
    <w:rsid w:val="001D0CFB"/>
    <w:rsid w:val="001D21AF"/>
    <w:rsid w:val="001D53FC"/>
    <w:rsid w:val="001F42A5"/>
    <w:rsid w:val="001F7B9D"/>
    <w:rsid w:val="00201C93"/>
    <w:rsid w:val="00203DB1"/>
    <w:rsid w:val="00221FBA"/>
    <w:rsid w:val="002224B4"/>
    <w:rsid w:val="00231FC7"/>
    <w:rsid w:val="002447EF"/>
    <w:rsid w:val="00247722"/>
    <w:rsid w:val="00251550"/>
    <w:rsid w:val="00251F8F"/>
    <w:rsid w:val="00256615"/>
    <w:rsid w:val="00263B05"/>
    <w:rsid w:val="0026496A"/>
    <w:rsid w:val="0027221A"/>
    <w:rsid w:val="00275B61"/>
    <w:rsid w:val="00280FAF"/>
    <w:rsid w:val="00282656"/>
    <w:rsid w:val="0029031E"/>
    <w:rsid w:val="00296B83"/>
    <w:rsid w:val="002A6A44"/>
    <w:rsid w:val="002A6FE9"/>
    <w:rsid w:val="002B4015"/>
    <w:rsid w:val="002B78CE"/>
    <w:rsid w:val="002C2FB6"/>
    <w:rsid w:val="002E5FA7"/>
    <w:rsid w:val="002F3309"/>
    <w:rsid w:val="002F5ED9"/>
    <w:rsid w:val="002F7E44"/>
    <w:rsid w:val="003008CE"/>
    <w:rsid w:val="003009B7"/>
    <w:rsid w:val="00300E56"/>
    <w:rsid w:val="0030469C"/>
    <w:rsid w:val="00307B27"/>
    <w:rsid w:val="00321CA6"/>
    <w:rsid w:val="00323763"/>
    <w:rsid w:val="003248BB"/>
    <w:rsid w:val="00334C09"/>
    <w:rsid w:val="00347B66"/>
    <w:rsid w:val="00361396"/>
    <w:rsid w:val="003723D4"/>
    <w:rsid w:val="00376A89"/>
    <w:rsid w:val="00381905"/>
    <w:rsid w:val="00384CC8"/>
    <w:rsid w:val="003871FD"/>
    <w:rsid w:val="00397B4F"/>
    <w:rsid w:val="003A1E30"/>
    <w:rsid w:val="003A2829"/>
    <w:rsid w:val="003A3614"/>
    <w:rsid w:val="003A7D1C"/>
    <w:rsid w:val="003B304B"/>
    <w:rsid w:val="003B3146"/>
    <w:rsid w:val="003B3A7E"/>
    <w:rsid w:val="003F015E"/>
    <w:rsid w:val="003F0765"/>
    <w:rsid w:val="003F716B"/>
    <w:rsid w:val="00400414"/>
    <w:rsid w:val="00413B0C"/>
    <w:rsid w:val="0041446B"/>
    <w:rsid w:val="004379F0"/>
    <w:rsid w:val="0044071E"/>
    <w:rsid w:val="0044329C"/>
    <w:rsid w:val="0044620D"/>
    <w:rsid w:val="00453E24"/>
    <w:rsid w:val="00457456"/>
    <w:rsid w:val="004577FE"/>
    <w:rsid w:val="00457B9C"/>
    <w:rsid w:val="0046164A"/>
    <w:rsid w:val="004628D2"/>
    <w:rsid w:val="00462DCD"/>
    <w:rsid w:val="004648AD"/>
    <w:rsid w:val="004703A9"/>
    <w:rsid w:val="004760DE"/>
    <w:rsid w:val="00476329"/>
    <w:rsid w:val="004763D7"/>
    <w:rsid w:val="0048162C"/>
    <w:rsid w:val="004820E4"/>
    <w:rsid w:val="004866EB"/>
    <w:rsid w:val="004867CB"/>
    <w:rsid w:val="004A004E"/>
    <w:rsid w:val="004A24CF"/>
    <w:rsid w:val="004C3D1D"/>
    <w:rsid w:val="004C3D84"/>
    <w:rsid w:val="004C5108"/>
    <w:rsid w:val="004C7913"/>
    <w:rsid w:val="004D3B6D"/>
    <w:rsid w:val="004E3733"/>
    <w:rsid w:val="004E4DD6"/>
    <w:rsid w:val="004F5E36"/>
    <w:rsid w:val="004F791C"/>
    <w:rsid w:val="00500334"/>
    <w:rsid w:val="00504FF1"/>
    <w:rsid w:val="0050513A"/>
    <w:rsid w:val="00507B47"/>
    <w:rsid w:val="00507BEF"/>
    <w:rsid w:val="00507CC9"/>
    <w:rsid w:val="005119A5"/>
    <w:rsid w:val="005127E5"/>
    <w:rsid w:val="00520283"/>
    <w:rsid w:val="005229F9"/>
    <w:rsid w:val="005278B7"/>
    <w:rsid w:val="00532016"/>
    <w:rsid w:val="005346C8"/>
    <w:rsid w:val="0053592F"/>
    <w:rsid w:val="00537DBA"/>
    <w:rsid w:val="00541ECF"/>
    <w:rsid w:val="00543E7D"/>
    <w:rsid w:val="00547A68"/>
    <w:rsid w:val="005531C9"/>
    <w:rsid w:val="00570C43"/>
    <w:rsid w:val="00585A04"/>
    <w:rsid w:val="00587378"/>
    <w:rsid w:val="005A1235"/>
    <w:rsid w:val="005A550B"/>
    <w:rsid w:val="005A7769"/>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0EFE"/>
    <w:rsid w:val="00693766"/>
    <w:rsid w:val="006A3281"/>
    <w:rsid w:val="006A4C8A"/>
    <w:rsid w:val="006A795F"/>
    <w:rsid w:val="006B1D21"/>
    <w:rsid w:val="006B433E"/>
    <w:rsid w:val="006B43B9"/>
    <w:rsid w:val="006B4888"/>
    <w:rsid w:val="006C2E45"/>
    <w:rsid w:val="006C359C"/>
    <w:rsid w:val="006C5579"/>
    <w:rsid w:val="006C65E9"/>
    <w:rsid w:val="006D0744"/>
    <w:rsid w:val="006D6117"/>
    <w:rsid w:val="006D6E8B"/>
    <w:rsid w:val="006E030C"/>
    <w:rsid w:val="006E737D"/>
    <w:rsid w:val="006F0752"/>
    <w:rsid w:val="006F14DB"/>
    <w:rsid w:val="00707456"/>
    <w:rsid w:val="007122AB"/>
    <w:rsid w:val="00713973"/>
    <w:rsid w:val="00720A24"/>
    <w:rsid w:val="007214D3"/>
    <w:rsid w:val="00732386"/>
    <w:rsid w:val="0073514D"/>
    <w:rsid w:val="007447F3"/>
    <w:rsid w:val="00745C67"/>
    <w:rsid w:val="0075499F"/>
    <w:rsid w:val="007661C8"/>
    <w:rsid w:val="00766669"/>
    <w:rsid w:val="0077098D"/>
    <w:rsid w:val="00784251"/>
    <w:rsid w:val="0078750C"/>
    <w:rsid w:val="007931FA"/>
    <w:rsid w:val="007949F9"/>
    <w:rsid w:val="00795E54"/>
    <w:rsid w:val="00796652"/>
    <w:rsid w:val="007A11E2"/>
    <w:rsid w:val="007A4861"/>
    <w:rsid w:val="007A7BBA"/>
    <w:rsid w:val="007B0C50"/>
    <w:rsid w:val="007B48F9"/>
    <w:rsid w:val="007C1A43"/>
    <w:rsid w:val="007E0B84"/>
    <w:rsid w:val="007E66A9"/>
    <w:rsid w:val="0080013E"/>
    <w:rsid w:val="008004A5"/>
    <w:rsid w:val="00813288"/>
    <w:rsid w:val="008168FC"/>
    <w:rsid w:val="0082737C"/>
    <w:rsid w:val="00830996"/>
    <w:rsid w:val="008345F1"/>
    <w:rsid w:val="0084491B"/>
    <w:rsid w:val="00865B07"/>
    <w:rsid w:val="008667EA"/>
    <w:rsid w:val="0087637F"/>
    <w:rsid w:val="00892AD5"/>
    <w:rsid w:val="008A1512"/>
    <w:rsid w:val="008D32B9"/>
    <w:rsid w:val="008D433B"/>
    <w:rsid w:val="008D4A16"/>
    <w:rsid w:val="008E566E"/>
    <w:rsid w:val="008F6796"/>
    <w:rsid w:val="0090161A"/>
    <w:rsid w:val="00901EB6"/>
    <w:rsid w:val="00904C62"/>
    <w:rsid w:val="0090748B"/>
    <w:rsid w:val="00912F95"/>
    <w:rsid w:val="00922BA8"/>
    <w:rsid w:val="00924DAC"/>
    <w:rsid w:val="00927058"/>
    <w:rsid w:val="00932992"/>
    <w:rsid w:val="00942750"/>
    <w:rsid w:val="00943B6C"/>
    <w:rsid w:val="009450CE"/>
    <w:rsid w:val="00947179"/>
    <w:rsid w:val="0095164B"/>
    <w:rsid w:val="0095201C"/>
    <w:rsid w:val="00954090"/>
    <w:rsid w:val="009573E7"/>
    <w:rsid w:val="00963E05"/>
    <w:rsid w:val="00964A45"/>
    <w:rsid w:val="00967843"/>
    <w:rsid w:val="00967D54"/>
    <w:rsid w:val="00971028"/>
    <w:rsid w:val="00993B84"/>
    <w:rsid w:val="00996483"/>
    <w:rsid w:val="00996F5A"/>
    <w:rsid w:val="009A2C66"/>
    <w:rsid w:val="009A4394"/>
    <w:rsid w:val="009B041A"/>
    <w:rsid w:val="009C37C3"/>
    <w:rsid w:val="009C7C86"/>
    <w:rsid w:val="009D2FF7"/>
    <w:rsid w:val="009E39BE"/>
    <w:rsid w:val="009E7884"/>
    <w:rsid w:val="009E788A"/>
    <w:rsid w:val="009E7AE3"/>
    <w:rsid w:val="009F0E08"/>
    <w:rsid w:val="00A1568B"/>
    <w:rsid w:val="00A1763D"/>
    <w:rsid w:val="00A17CEC"/>
    <w:rsid w:val="00A2141B"/>
    <w:rsid w:val="00A27EF0"/>
    <w:rsid w:val="00A42361"/>
    <w:rsid w:val="00A50B20"/>
    <w:rsid w:val="00A51390"/>
    <w:rsid w:val="00A60D13"/>
    <w:rsid w:val="00A721C1"/>
    <w:rsid w:val="00A7223D"/>
    <w:rsid w:val="00A72745"/>
    <w:rsid w:val="00A76EFC"/>
    <w:rsid w:val="00A91010"/>
    <w:rsid w:val="00A97F29"/>
    <w:rsid w:val="00AA0B96"/>
    <w:rsid w:val="00AA702E"/>
    <w:rsid w:val="00AB0964"/>
    <w:rsid w:val="00AB187A"/>
    <w:rsid w:val="00AB5011"/>
    <w:rsid w:val="00AB68FB"/>
    <w:rsid w:val="00AB6CE8"/>
    <w:rsid w:val="00AC7368"/>
    <w:rsid w:val="00AD16B9"/>
    <w:rsid w:val="00AE2A4C"/>
    <w:rsid w:val="00AE377D"/>
    <w:rsid w:val="00AF0EBA"/>
    <w:rsid w:val="00B005EF"/>
    <w:rsid w:val="00B02C8A"/>
    <w:rsid w:val="00B062D8"/>
    <w:rsid w:val="00B159D1"/>
    <w:rsid w:val="00B15ADD"/>
    <w:rsid w:val="00B17FBD"/>
    <w:rsid w:val="00B20D76"/>
    <w:rsid w:val="00B315A6"/>
    <w:rsid w:val="00B31813"/>
    <w:rsid w:val="00B33365"/>
    <w:rsid w:val="00B363FC"/>
    <w:rsid w:val="00B401FB"/>
    <w:rsid w:val="00B4022A"/>
    <w:rsid w:val="00B57B36"/>
    <w:rsid w:val="00B57E6F"/>
    <w:rsid w:val="00B8686D"/>
    <w:rsid w:val="00B93F69"/>
    <w:rsid w:val="00BA3ECC"/>
    <w:rsid w:val="00BB1DDC"/>
    <w:rsid w:val="00BB6D3D"/>
    <w:rsid w:val="00BB7AAE"/>
    <w:rsid w:val="00BC30C9"/>
    <w:rsid w:val="00BD077D"/>
    <w:rsid w:val="00BE23CB"/>
    <w:rsid w:val="00BE2B9B"/>
    <w:rsid w:val="00BE3E58"/>
    <w:rsid w:val="00C01616"/>
    <w:rsid w:val="00C0162B"/>
    <w:rsid w:val="00C02C8F"/>
    <w:rsid w:val="00C068ED"/>
    <w:rsid w:val="00C22E0C"/>
    <w:rsid w:val="00C26985"/>
    <w:rsid w:val="00C345B1"/>
    <w:rsid w:val="00C40142"/>
    <w:rsid w:val="00C40E88"/>
    <w:rsid w:val="00C42B6D"/>
    <w:rsid w:val="00C52C3C"/>
    <w:rsid w:val="00C57182"/>
    <w:rsid w:val="00C57863"/>
    <w:rsid w:val="00C640AF"/>
    <w:rsid w:val="00C655FD"/>
    <w:rsid w:val="00C66C68"/>
    <w:rsid w:val="00C75407"/>
    <w:rsid w:val="00C870A8"/>
    <w:rsid w:val="00C94434"/>
    <w:rsid w:val="00CA0D75"/>
    <w:rsid w:val="00CA155C"/>
    <w:rsid w:val="00CA1C95"/>
    <w:rsid w:val="00CA5A9C"/>
    <w:rsid w:val="00CC4C20"/>
    <w:rsid w:val="00CC6995"/>
    <w:rsid w:val="00CD09A1"/>
    <w:rsid w:val="00CD3517"/>
    <w:rsid w:val="00CD5FE2"/>
    <w:rsid w:val="00CE06E2"/>
    <w:rsid w:val="00CE7C68"/>
    <w:rsid w:val="00CF3584"/>
    <w:rsid w:val="00D02B4C"/>
    <w:rsid w:val="00D040C4"/>
    <w:rsid w:val="00D20AD1"/>
    <w:rsid w:val="00D31E38"/>
    <w:rsid w:val="00D33897"/>
    <w:rsid w:val="00D46B7E"/>
    <w:rsid w:val="00D57C84"/>
    <w:rsid w:val="00D6057D"/>
    <w:rsid w:val="00D71640"/>
    <w:rsid w:val="00D836C5"/>
    <w:rsid w:val="00D84576"/>
    <w:rsid w:val="00DA1399"/>
    <w:rsid w:val="00DA24C6"/>
    <w:rsid w:val="00DA4D7B"/>
    <w:rsid w:val="00DB2EAC"/>
    <w:rsid w:val="00DD271C"/>
    <w:rsid w:val="00DD69B7"/>
    <w:rsid w:val="00DE264A"/>
    <w:rsid w:val="00DE2DB4"/>
    <w:rsid w:val="00DF5072"/>
    <w:rsid w:val="00E02D18"/>
    <w:rsid w:val="00E041E7"/>
    <w:rsid w:val="00E06A84"/>
    <w:rsid w:val="00E16B84"/>
    <w:rsid w:val="00E2299E"/>
    <w:rsid w:val="00E23CA1"/>
    <w:rsid w:val="00E279DF"/>
    <w:rsid w:val="00E409A8"/>
    <w:rsid w:val="00E50C12"/>
    <w:rsid w:val="00E578D3"/>
    <w:rsid w:val="00E65B91"/>
    <w:rsid w:val="00E706B5"/>
    <w:rsid w:val="00E7209D"/>
    <w:rsid w:val="00E72EAD"/>
    <w:rsid w:val="00E77223"/>
    <w:rsid w:val="00E8528B"/>
    <w:rsid w:val="00E85B94"/>
    <w:rsid w:val="00E92EFC"/>
    <w:rsid w:val="00E978D0"/>
    <w:rsid w:val="00EA4613"/>
    <w:rsid w:val="00EA5478"/>
    <w:rsid w:val="00EA7F91"/>
    <w:rsid w:val="00EB1523"/>
    <w:rsid w:val="00EB2E98"/>
    <w:rsid w:val="00EC0E49"/>
    <w:rsid w:val="00EC101F"/>
    <w:rsid w:val="00EC1D9F"/>
    <w:rsid w:val="00EE0131"/>
    <w:rsid w:val="00EE17B0"/>
    <w:rsid w:val="00EE527A"/>
    <w:rsid w:val="00EF06D9"/>
    <w:rsid w:val="00F00073"/>
    <w:rsid w:val="00F256FF"/>
    <w:rsid w:val="00F303C6"/>
    <w:rsid w:val="00F30C64"/>
    <w:rsid w:val="00F32BA2"/>
    <w:rsid w:val="00F32CDB"/>
    <w:rsid w:val="00F42F4C"/>
    <w:rsid w:val="00F462CD"/>
    <w:rsid w:val="00F565FE"/>
    <w:rsid w:val="00F62065"/>
    <w:rsid w:val="00F63A70"/>
    <w:rsid w:val="00F675DA"/>
    <w:rsid w:val="00F7534E"/>
    <w:rsid w:val="00F83A40"/>
    <w:rsid w:val="00FA1802"/>
    <w:rsid w:val="00FA21D0"/>
    <w:rsid w:val="00FA31D8"/>
    <w:rsid w:val="00FA4A23"/>
    <w:rsid w:val="00FA5F5F"/>
    <w:rsid w:val="00FB6102"/>
    <w:rsid w:val="00FB730C"/>
    <w:rsid w:val="00FC2695"/>
    <w:rsid w:val="00FC3E03"/>
    <w:rsid w:val="00FC3FC1"/>
    <w:rsid w:val="00FD2E47"/>
    <w:rsid w:val="00FE69C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Rimandonotaapidipagina">
    <w:name w:val="footnote reference"/>
    <w:basedOn w:val="Carpredefinitoparagrafo"/>
    <w:uiPriority w:val="99"/>
    <w:semiHidden/>
    <w:unhideWhenUsed/>
    <w:rsid w:val="00F256FF"/>
    <w:rPr>
      <w:vertAlign w:val="superscript"/>
    </w:rPr>
  </w:style>
  <w:style w:type="character" w:styleId="Testosegnaposto">
    <w:name w:val="Placeholder Text"/>
    <w:basedOn w:val="Carpredefinitoparagrafo"/>
    <w:uiPriority w:val="99"/>
    <w:semiHidden/>
    <w:rsid w:val="00CD09A1"/>
    <w:rPr>
      <w:color w:val="808080"/>
    </w:rPr>
  </w:style>
  <w:style w:type="paragraph" w:styleId="Nessunaspaziatura">
    <w:name w:val="No Spacing"/>
    <w:uiPriority w:val="1"/>
    <w:qFormat/>
    <w:rsid w:val="00B4022A"/>
    <w:pPr>
      <w:spacing w:after="0" w:line="240" w:lineRule="auto"/>
    </w:pPr>
  </w:style>
  <w:style w:type="paragraph" w:styleId="Revisione">
    <w:name w:val="Revision"/>
    <w:hidden/>
    <w:uiPriority w:val="99"/>
    <w:semiHidden/>
    <w:rsid w:val="0012198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519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ncenzodelduca@stems.cnr.it"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4E4BADD81CE4841A05492A9EE320A38" ma:contentTypeVersion="14" ma:contentTypeDescription="Creare un nuovo documento." ma:contentTypeScope="" ma:versionID="332f9de4d16fd62a7af226af12b6b736">
  <xsd:schema xmlns:xsd="http://www.w3.org/2001/XMLSchema" xmlns:xs="http://www.w3.org/2001/XMLSchema" xmlns:p="http://schemas.microsoft.com/office/2006/metadata/properties" xmlns:ns3="872151f4-b13a-4806-8827-013deced4a32" xmlns:ns4="70fde86d-f1aa-4b46-b4ed-af96870b39a9" targetNamespace="http://schemas.microsoft.com/office/2006/metadata/properties" ma:root="true" ma:fieldsID="e94fca5d8e2efff8e40c69421d22eea3" ns3:_="" ns4:_="">
    <xsd:import namespace="872151f4-b13a-4806-8827-013deced4a32"/>
    <xsd:import namespace="70fde86d-f1aa-4b46-b4ed-af96870b3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151f4-b13a-4806-8827-013deced4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de86d-f1aa-4b46-b4ed-af96870b39a9"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3D66-B4E1-4B8B-9E03-FE124EC43E2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0fde86d-f1aa-4b46-b4ed-af96870b39a9"/>
    <ds:schemaRef ds:uri="http://schemas.microsoft.com/office/2006/documentManagement/types"/>
    <ds:schemaRef ds:uri="872151f4-b13a-4806-8827-013deced4a32"/>
    <ds:schemaRef ds:uri="http://www.w3.org/XML/1998/namespace"/>
    <ds:schemaRef ds:uri="http://purl.org/dc/dcmitype/"/>
  </ds:schemaRefs>
</ds:datastoreItem>
</file>

<file path=customXml/itemProps2.xml><?xml version="1.0" encoding="utf-8"?>
<ds:datastoreItem xmlns:ds="http://schemas.openxmlformats.org/officeDocument/2006/customXml" ds:itemID="{268588EA-62C4-4C46-B230-B1D3C004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151f4-b13a-4806-8827-013deced4a32"/>
    <ds:schemaRef ds:uri="70fde86d-f1aa-4b46-b4ed-af96870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03398-EB4C-488D-B3FE-A9110D278786}">
  <ds:schemaRefs>
    <ds:schemaRef ds:uri="http://schemas.microsoft.com/sharepoint/v3/contenttype/forms"/>
  </ds:schemaRefs>
</ds:datastoreItem>
</file>

<file path=customXml/itemProps4.xml><?xml version="1.0" encoding="utf-8"?>
<ds:datastoreItem xmlns:ds="http://schemas.openxmlformats.org/officeDocument/2006/customXml" ds:itemID="{2042B5A9-CECE-4EAE-826D-10FD252D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10331</Words>
  <Characters>58887</Characters>
  <Application>Microsoft Office Word</Application>
  <DocSecurity>4</DocSecurity>
  <Lines>490</Lines>
  <Paragraphs>138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coppola</cp:lastModifiedBy>
  <cp:revision>2</cp:revision>
  <cp:lastPrinted>2015-05-12T18:31:00Z</cp:lastPrinted>
  <dcterms:created xsi:type="dcterms:W3CDTF">2022-07-29T15:26:00Z</dcterms:created>
  <dcterms:modified xsi:type="dcterms:W3CDTF">2022-07-29T15:26:00Z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http://www.zotero.org/styles/begell-house-apa</vt:lpwstr>
  </property>
  <property fmtid="{D5CDD505-2E9C-101B-9397-08002B2CF9AE}" pid="7" name="Mendeley Recent Style Name 1_1">
    <vt:lpwstr>Begell House - APA</vt:lpwstr>
  </property>
  <property fmtid="{D5CDD505-2E9C-101B-9397-08002B2CF9AE}" pid="8" name="Mendeley Recent Style Id 2_1">
    <vt:lpwstr>http://www.zotero.org/styles/copernicus-publications</vt:lpwstr>
  </property>
  <property fmtid="{D5CDD505-2E9C-101B-9397-08002B2CF9AE}" pid="9" name="Mendeley Recent Style Name 2_1">
    <vt:lpwstr>Copernicus Publications</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http://www.zotero.org/styles/nature</vt:lpwstr>
  </property>
  <property fmtid="{D5CDD505-2E9C-101B-9397-08002B2CF9AE}" pid="13" name="Mendeley Recent Style Name 4_1">
    <vt:lpwstr>Nature</vt:lpwstr>
  </property>
  <property fmtid="{D5CDD505-2E9C-101B-9397-08002B2CF9AE}" pid="14" name="Mendeley Recent Style Id 5_1">
    <vt:lpwstr>http://www.zotero.org/styles/renewable-and-sustainable-energy-reviews</vt:lpwstr>
  </property>
  <property fmtid="{D5CDD505-2E9C-101B-9397-08002B2CF9AE}" pid="15" name="Mendeley Recent Style Name 5_1">
    <vt:lpwstr>Renewable and Sustainable Energy Reviews</vt:lpwstr>
  </property>
  <property fmtid="{D5CDD505-2E9C-101B-9397-08002B2CF9AE}" pid="16" name="Mendeley Recent Style Id 6_1">
    <vt:lpwstr>http://www.zotero.org/styles/standards-in-genomic-sciences</vt:lpwstr>
  </property>
  <property fmtid="{D5CDD505-2E9C-101B-9397-08002B2CF9AE}" pid="17" name="Mendeley Recent Style Name 6_1">
    <vt:lpwstr>Standards in Genomic Sciences</vt:lpwstr>
  </property>
  <property fmtid="{D5CDD505-2E9C-101B-9397-08002B2CF9AE}" pid="18" name="Mendeley Recent Style Id 7_1">
    <vt:lpwstr>http://www.zotero.org/styles/sustainability</vt:lpwstr>
  </property>
  <property fmtid="{D5CDD505-2E9C-101B-9397-08002B2CF9AE}" pid="19" name="Mendeley Recent Style Name 7_1">
    <vt:lpwstr>Sustainability</vt:lpwstr>
  </property>
  <property fmtid="{D5CDD505-2E9C-101B-9397-08002B2CF9AE}" pid="20" name="Mendeley Recent Style Id 8_1">
    <vt:lpwstr>http://www.zotero.org/styles/taylor-and-francis-apa</vt:lpwstr>
  </property>
  <property fmtid="{D5CDD505-2E9C-101B-9397-08002B2CF9AE}" pid="21" name="Mendeley Recent Style Name 8_1">
    <vt:lpwstr>Taylor &amp; Francis - APA</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http://www.zotero.org/styles/begell-house-apa</vt:lpwstr>
  </property>
  <property fmtid="{D5CDD505-2E9C-101B-9397-08002B2CF9AE}" pid="25" name="Mendeley Document_1">
    <vt:lpwstr>True</vt:lpwstr>
  </property>
  <property fmtid="{D5CDD505-2E9C-101B-9397-08002B2CF9AE}" pid="26" name="Mendeley Unique User Id_1">
    <vt:lpwstr>6605a31d-d395-31a9-bcd4-a212184d44b0</vt:lpwstr>
  </property>
  <property fmtid="{D5CDD505-2E9C-101B-9397-08002B2CF9AE}" pid="27" name="ContentTypeId">
    <vt:lpwstr>0x01010094E4BADD81CE4841A05492A9EE320A38</vt:lpwstr>
  </property>
</Properties>
</file>