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 xml:space="preserve">Guest </w:t>
            </w:r>
            <w:proofErr w:type="spellStart"/>
            <w:r w:rsidRPr="0044071E">
              <w:rPr>
                <w:rFonts w:ascii="Tahoma" w:hAnsi="Tahoma" w:cs="Tahoma"/>
                <w:iCs/>
                <w:color w:val="333333"/>
                <w:sz w:val="14"/>
                <w:szCs w:val="14"/>
                <w:lang w:val="it-IT" w:eastAsia="it-IT"/>
              </w:rPr>
              <w:t>Editors</w:t>
            </w:r>
            <w:proofErr w:type="spellEnd"/>
            <w:r w:rsidRPr="0044071E">
              <w:rPr>
                <w:rFonts w:ascii="Tahoma" w:hAnsi="Tahoma" w:cs="Tahoma"/>
                <w:iCs/>
                <w:color w:val="333333"/>
                <w:sz w:val="14"/>
                <w:szCs w:val="14"/>
                <w:lang w:val="it-IT" w:eastAsia="it-IT"/>
              </w:rPr>
              <w:t>:</w:t>
            </w:r>
            <w:r w:rsidR="001D21AF" w:rsidRPr="0044071E">
              <w:rPr>
                <w:rFonts w:ascii="Tahoma" w:hAnsi="Tahoma" w:cs="Tahoma"/>
                <w:color w:val="000000"/>
                <w:sz w:val="14"/>
                <w:szCs w:val="14"/>
                <w:shd w:val="clear" w:color="auto" w:fill="FFFFFF"/>
                <w:lang w:val="it-IT"/>
              </w:rPr>
              <w:t xml:space="preserve"> </w:t>
            </w:r>
            <w:r w:rsidR="004C3D84" w:rsidRPr="00E54C6B">
              <w:rPr>
                <w:sz w:val="14"/>
                <w:szCs w:val="14"/>
                <w:lang w:val="it-IT"/>
              </w:rPr>
              <w:t xml:space="preserve">David </w:t>
            </w:r>
            <w:proofErr w:type="spellStart"/>
            <w:r w:rsidR="004C3D84" w:rsidRPr="00E54C6B">
              <w:rPr>
                <w:sz w:val="14"/>
                <w:szCs w:val="14"/>
                <w:lang w:val="it-IT"/>
              </w:rPr>
              <w:t>Bogle</w:t>
            </w:r>
            <w:proofErr w:type="spellEnd"/>
            <w:r w:rsidR="004C3D84" w:rsidRPr="00E54C6B">
              <w:rPr>
                <w:sz w:val="14"/>
                <w:szCs w:val="14"/>
                <w:lang w:val="it-IT"/>
              </w:rPr>
              <w:t>,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6BAF1BED" w:rsidR="00E978D0" w:rsidRPr="00B57B36" w:rsidRDefault="00CC603A" w:rsidP="00E978D0">
      <w:pPr>
        <w:pStyle w:val="CETTitle"/>
      </w:pPr>
      <w:r>
        <w:t xml:space="preserve">Analysis </w:t>
      </w:r>
      <w:r w:rsidR="00D32BB4">
        <w:t>of an integrated energy system aimed at the offshore production of methanol</w:t>
      </w:r>
    </w:p>
    <w:p w14:paraId="0488FED2" w14:textId="16178857" w:rsidR="00B57E6F" w:rsidRPr="00942467" w:rsidRDefault="00C70709" w:rsidP="00B57E6F">
      <w:pPr>
        <w:pStyle w:val="CETAuthors"/>
        <w:rPr>
          <w:lang w:val="it-IT"/>
        </w:rPr>
      </w:pPr>
      <w:r w:rsidRPr="00942467">
        <w:rPr>
          <w:lang w:val="it-IT"/>
        </w:rPr>
        <w:t>Leonardo Bozzoli</w:t>
      </w:r>
      <w:r w:rsidR="003E0DC1">
        <w:rPr>
          <w:lang w:val="it-IT"/>
        </w:rPr>
        <w:t>*</w:t>
      </w:r>
      <w:r w:rsidRPr="00942467">
        <w:rPr>
          <w:lang w:val="it-IT"/>
        </w:rPr>
        <w:t>, Mariasole Cipolletta, Valeria Casson Moreno, Valerio Cozzani</w:t>
      </w:r>
    </w:p>
    <w:p w14:paraId="6B2D21B3" w14:textId="0EFF26F3" w:rsidR="00B57E6F" w:rsidRPr="005941BA" w:rsidRDefault="005941BA" w:rsidP="00B57E6F">
      <w:pPr>
        <w:pStyle w:val="CETAddress"/>
        <w:rPr>
          <w:lang w:val="it-IT"/>
        </w:rPr>
      </w:pPr>
      <w:r w:rsidRPr="005941BA">
        <w:rPr>
          <w:lang w:val="it-IT"/>
        </w:rPr>
        <w:t>Alma Mater Studiorum - Università di Bologna, Dipartimento di Ingegneria Civile, Chimica, Ambientale e dei Materiali, via Terracini 28, 40131 Bologna, Italy</w:t>
      </w:r>
    </w:p>
    <w:p w14:paraId="73F1267A" w14:textId="209E0B03" w:rsidR="00B57E6F" w:rsidRPr="005941BA" w:rsidRDefault="005941BA" w:rsidP="00B57E6F">
      <w:pPr>
        <w:pStyle w:val="CETemail"/>
        <w:rPr>
          <w:lang w:val="en-US"/>
        </w:rPr>
      </w:pPr>
      <w:r>
        <w:rPr>
          <w:lang w:val="en-US"/>
        </w:rPr>
        <w:t>l</w:t>
      </w:r>
      <w:r w:rsidRPr="005941BA">
        <w:rPr>
          <w:lang w:val="en-US"/>
        </w:rPr>
        <w:t>eonardo.bozzoli@u</w:t>
      </w:r>
      <w:r>
        <w:rPr>
          <w:lang w:val="en-US"/>
        </w:rPr>
        <w:t>nibo.it</w:t>
      </w:r>
    </w:p>
    <w:p w14:paraId="37A61FCE" w14:textId="7B32131B" w:rsidR="00DA24C6" w:rsidRPr="00DA36D9" w:rsidRDefault="00F175A6" w:rsidP="00DA36D9">
      <w:pPr>
        <w:pStyle w:val="CETBodytext"/>
      </w:pPr>
      <w:r>
        <w:t>T</w:t>
      </w:r>
      <w:r w:rsidR="00A633D5">
        <w:t>h</w:t>
      </w:r>
      <w:r w:rsidR="00906F6B">
        <w:t>e</w:t>
      </w:r>
      <w:r w:rsidR="00A633D5">
        <w:t xml:space="preserve"> results of the </w:t>
      </w:r>
      <w:r w:rsidR="00753596">
        <w:t xml:space="preserve">offshore </w:t>
      </w:r>
      <w:r w:rsidR="00A633D5">
        <w:t>integration of fossil and renewable energ</w:t>
      </w:r>
      <w:r w:rsidR="001A43A1">
        <w:t>y sources</w:t>
      </w:r>
      <w:r w:rsidR="00E408F8">
        <w:t xml:space="preserve"> (RESs)</w:t>
      </w:r>
      <w:r w:rsidR="00A633D5">
        <w:t xml:space="preserve"> to produce an energy vector, namely methanol</w:t>
      </w:r>
      <w:r>
        <w:t>, are discussed</w:t>
      </w:r>
      <w:r w:rsidR="00A633D5">
        <w:t>. The methodology developed and hereby presented</w:t>
      </w:r>
      <w:r w:rsidR="00996AD0">
        <w:t>,</w:t>
      </w:r>
      <w:r w:rsidR="00A633D5">
        <w:t xml:space="preserve"> allowed</w:t>
      </w:r>
      <w:r w:rsidR="00084B60">
        <w:t xml:space="preserve"> at first</w:t>
      </w:r>
      <w:r w:rsidR="00A633D5">
        <w:t xml:space="preserve"> the </w:t>
      </w:r>
      <w:r w:rsidR="00982466">
        <w:t xml:space="preserve">selection </w:t>
      </w:r>
      <w:r w:rsidR="00A633D5">
        <w:t>of the best technology for offshore RESs exploitation, where</w:t>
      </w:r>
      <w:r w:rsidR="00FE726A">
        <w:t xml:space="preserve"> </w:t>
      </w:r>
      <w:r w:rsidR="0006004C">
        <w:t xml:space="preserve">a </w:t>
      </w:r>
      <w:r w:rsidR="00FE726A">
        <w:t>near</w:t>
      </w:r>
      <w:r w:rsidR="00982466">
        <w:t>-to-</w:t>
      </w:r>
      <w:r w:rsidR="00FE726A">
        <w:t xml:space="preserve">decommissioning platform </w:t>
      </w:r>
      <w:r w:rsidR="00A633D5">
        <w:t xml:space="preserve">is used </w:t>
      </w:r>
      <w:r w:rsidR="00FE726A">
        <w:t xml:space="preserve">as </w:t>
      </w:r>
      <w:r w:rsidR="00996AD0">
        <w:t xml:space="preserve">an energy </w:t>
      </w:r>
      <w:r w:rsidR="00FE726A">
        <w:t>hub</w:t>
      </w:r>
      <w:r w:rsidR="00C410DD">
        <w:t xml:space="preserve">. </w:t>
      </w:r>
      <w:r>
        <w:t>Based on the availability of natural gas from the depleted reservoir</w:t>
      </w:r>
      <w:r w:rsidR="00E20E40">
        <w:t xml:space="preserve">, </w:t>
      </w:r>
      <w:r>
        <w:t xml:space="preserve">the most suitable process for offshore methanol production was chosen </w:t>
      </w:r>
      <w:r w:rsidR="00E20E40">
        <w:t>a</w:t>
      </w:r>
      <w:r w:rsidR="00C410DD">
        <w:t xml:space="preserve">mong various </w:t>
      </w:r>
      <w:r>
        <w:t xml:space="preserve">alternative </w:t>
      </w:r>
      <w:r w:rsidR="00C410DD">
        <w:t>innovative process</w:t>
      </w:r>
      <w:r w:rsidR="006E08A9">
        <w:t>es</w:t>
      </w:r>
      <w:r w:rsidR="00FE726A">
        <w:t xml:space="preserve">. </w:t>
      </w:r>
      <w:r>
        <w:t>The optimal mix for energy production was then identified</w:t>
      </w:r>
      <w:r w:rsidR="00922263">
        <w:t xml:space="preserve"> </w:t>
      </w:r>
      <w:r w:rsidR="00545DBE">
        <w:t xml:space="preserve">by </w:t>
      </w:r>
      <w:r w:rsidR="00982466">
        <w:t xml:space="preserve">varying the number of </w:t>
      </w:r>
      <w:r w:rsidR="00870EC8">
        <w:t>converter</w:t>
      </w:r>
      <w:r w:rsidR="0006004C">
        <w:t xml:space="preserve">s </w:t>
      </w:r>
      <w:r w:rsidR="00023578">
        <w:t>for</w:t>
      </w:r>
      <w:r w:rsidR="00870EC8">
        <w:t xml:space="preserve"> </w:t>
      </w:r>
      <w:r w:rsidR="00982466">
        <w:t xml:space="preserve">each </w:t>
      </w:r>
      <w:r w:rsidR="0006004C">
        <w:t>RES</w:t>
      </w:r>
      <w:r>
        <w:t>.</w:t>
      </w:r>
      <w:r w:rsidR="00870EC8">
        <w:t xml:space="preserve"> </w:t>
      </w:r>
      <w:r w:rsidR="00996AD0">
        <w:t>Finally</w:t>
      </w:r>
      <w:r w:rsidR="00E62007">
        <w:t>,</w:t>
      </w:r>
      <w:r w:rsidR="00A633D5">
        <w:t xml:space="preserve"> the </w:t>
      </w:r>
      <w:r w:rsidR="00996AD0">
        <w:t xml:space="preserve">methanol production </w:t>
      </w:r>
      <w:r w:rsidR="00A633D5">
        <w:t xml:space="preserve">process </w:t>
      </w:r>
      <w:r w:rsidR="00996AD0">
        <w:t>was</w:t>
      </w:r>
      <w:r w:rsidR="00A633D5">
        <w:t xml:space="preserve"> designed </w:t>
      </w:r>
      <w:r w:rsidR="00F77C5D">
        <w:t>on the basis of</w:t>
      </w:r>
      <w:r w:rsidR="00A633D5">
        <w:t xml:space="preserve"> the available </w:t>
      </w:r>
      <w:r>
        <w:t xml:space="preserve">electric </w:t>
      </w:r>
      <w:r w:rsidR="00A633D5">
        <w:t>power</w:t>
      </w:r>
      <w:r w:rsidR="00E62007">
        <w:t>,</w:t>
      </w:r>
      <w:r w:rsidR="00A633D5">
        <w:t xml:space="preserve"> </w:t>
      </w:r>
      <w:r w:rsidR="00996AD0">
        <w:t xml:space="preserve">including </w:t>
      </w:r>
      <w:r w:rsidR="00A633D5">
        <w:t>a backup system</w:t>
      </w:r>
      <w:r w:rsidR="00996AD0">
        <w:t xml:space="preserve"> based on </w:t>
      </w:r>
      <w:r>
        <w:t>natural gas</w:t>
      </w:r>
      <w:r w:rsidR="00996AD0">
        <w:t>,</w:t>
      </w:r>
      <w:r w:rsidR="00A633D5">
        <w:t xml:space="preserve"> </w:t>
      </w:r>
      <w:r w:rsidR="00996AD0">
        <w:t xml:space="preserve">to </w:t>
      </w:r>
      <w:r w:rsidR="00982466">
        <w:t xml:space="preserve">perform </w:t>
      </w:r>
      <w:r w:rsidR="00996AD0">
        <w:t>RESs valley filling</w:t>
      </w:r>
      <w:r w:rsidR="00906F6B">
        <w:t xml:space="preserve"> </w:t>
      </w:r>
      <w:r w:rsidR="00F77C5D">
        <w:t xml:space="preserve">and </w:t>
      </w:r>
      <w:r w:rsidR="00906F6B">
        <w:t>to achieve a st</w:t>
      </w:r>
      <w:r w:rsidR="007E1088">
        <w:t>ea</w:t>
      </w:r>
      <w:r w:rsidR="00906F6B">
        <w:t>dy state process</w:t>
      </w:r>
      <w:r w:rsidR="00996AD0">
        <w:t>.</w:t>
      </w:r>
    </w:p>
    <w:p w14:paraId="476B2F2E" w14:textId="1E9C26D3" w:rsidR="00600535" w:rsidRDefault="00600535" w:rsidP="00600535">
      <w:pPr>
        <w:pStyle w:val="CETHeading1"/>
        <w:rPr>
          <w:lang w:val="en-GB"/>
        </w:rPr>
      </w:pPr>
      <w:r w:rsidRPr="00B57B36">
        <w:rPr>
          <w:lang w:val="en-GB"/>
        </w:rPr>
        <w:t>Introduction</w:t>
      </w:r>
    </w:p>
    <w:p w14:paraId="2A116313" w14:textId="4C58B4B1" w:rsidR="00574C65" w:rsidRPr="00820D4D" w:rsidRDefault="00893F9E" w:rsidP="00820D4D">
      <w:pPr>
        <w:pStyle w:val="CETBodytext"/>
      </w:pPr>
      <w:r w:rsidRPr="00E34BAA">
        <w:t xml:space="preserve">The decommissioning of an offshore platform is </w:t>
      </w:r>
      <w:r w:rsidR="00F175A6">
        <w:t>the final</w:t>
      </w:r>
      <w:r w:rsidR="0094775B" w:rsidRPr="00E34BAA">
        <w:t xml:space="preserve"> step in its life</w:t>
      </w:r>
      <w:r w:rsidR="00F175A6">
        <w:t xml:space="preserve"> cycle</w:t>
      </w:r>
      <w:r w:rsidR="00982466">
        <w:t xml:space="preserve"> and</w:t>
      </w:r>
      <w:r w:rsidR="0094775B" w:rsidRPr="00E34BAA">
        <w:t xml:space="preserve"> consist</w:t>
      </w:r>
      <w:r w:rsidR="00982466">
        <w:t>s</w:t>
      </w:r>
      <w:r w:rsidR="0094775B" w:rsidRPr="00E34BAA">
        <w:t xml:space="preserve"> </w:t>
      </w:r>
      <w:r w:rsidR="00894B2F" w:rsidRPr="00E34BAA">
        <w:t>o</w:t>
      </w:r>
      <w:r w:rsidR="00894B2F">
        <w:t>f</w:t>
      </w:r>
      <w:r w:rsidR="00894B2F" w:rsidRPr="00E34BAA">
        <w:t xml:space="preserve"> </w:t>
      </w:r>
      <w:r w:rsidR="0094775B" w:rsidRPr="00E34BAA">
        <w:t xml:space="preserve">the total or partial removal of the installation, a technically complex and highly impacting process from both </w:t>
      </w:r>
      <w:r w:rsidR="00982466">
        <w:t xml:space="preserve">the </w:t>
      </w:r>
      <w:r w:rsidR="0094775B" w:rsidRPr="00E34BAA">
        <w:t>environmental and economic standpoints</w:t>
      </w:r>
      <w:r w:rsidR="00B474DF" w:rsidRPr="00E34BAA">
        <w:t xml:space="preserve"> </w:t>
      </w:r>
      <w:r w:rsidR="001D0767" w:rsidRPr="00E34BAA">
        <w:fldChar w:fldCharType="begin" w:fldLock="1"/>
      </w:r>
      <w:r w:rsidR="001D0767" w:rsidRPr="00E34BAA">
        <w:instrText>ADDIN CSL_CITATION {"citationItems":[{"id":"ITEM-1","itemData":{"abstract":"This report provides detailed information on the methodology, techniques, engineering considerations, and costs associated with decommissioning offshore assets. The report includes all aspects of the decommissioning process from including planning, well abandonment, pipeline decommissioning, platform decommissioning, disposal, and site clearance. Cost estimates are presented for individual aspects of representative facilities and components. The study compares estimated decommissioning costs to actual costs and discusses the variances and their causes. Conclusions and recommendations for improving the quality of decommissioning cost estimates are also provided. Decommissioning safety performance, environmental performance, and regulations are compared for jurisdictions with offshore oil production around the world","author":[{"dropping-particle":"","family":"ICF International","given":"","non-dropping-particle":"","parse-names":false,"suffix":""}],"id":"ITEM-1","issued":{"date-parts":[["2015"]]},"page":"1-241","title":"Decommissioning Methodology and Cost Evaluation","type":"article-journal"},"uris":["http://www.mendeley.com/documents/?uuid=56ef9369-7472-4e0d-9a62-2d11b4b70146"]}],"mendeley":{"formattedCitation":"(ICF International, 2015)","plainTextFormattedCitation":"(ICF International, 2015)","previouslyFormattedCitation":"(ICF International, 2015)"},"properties":{"noteIndex":0},"schema":"https://github.com/citation-style-language/schema/raw/master/csl-citation.json"}</w:instrText>
      </w:r>
      <w:r w:rsidR="001D0767" w:rsidRPr="00E34BAA">
        <w:fldChar w:fldCharType="separate"/>
      </w:r>
      <w:r w:rsidR="001D0767" w:rsidRPr="00E34BAA">
        <w:rPr>
          <w:noProof/>
        </w:rPr>
        <w:t>(ICF International, 2015)</w:t>
      </w:r>
      <w:r w:rsidR="001D0767" w:rsidRPr="00E34BAA">
        <w:fldChar w:fldCharType="end"/>
      </w:r>
      <w:r w:rsidR="0094775B" w:rsidRPr="00E34BAA">
        <w:t xml:space="preserve">. </w:t>
      </w:r>
      <w:r w:rsidR="0094775B" w:rsidRPr="00820D4D">
        <w:t xml:space="preserve">Moreover, in the exploited reservoir, fossil sources may still be present, even if their production and transport to the shore </w:t>
      </w:r>
      <w:r w:rsidR="006839E7" w:rsidRPr="00820D4D">
        <w:t xml:space="preserve">may </w:t>
      </w:r>
      <w:r w:rsidR="0094775B" w:rsidRPr="00C440FF">
        <w:t>be not economically viable due to their low pressure or low flow</w:t>
      </w:r>
      <w:r w:rsidR="00944260" w:rsidRPr="00C440FF">
        <w:t xml:space="preserve"> </w:t>
      </w:r>
      <w:r w:rsidR="0094775B" w:rsidRPr="00C440FF">
        <w:t>rate, as for the case of strained offshore platforms</w:t>
      </w:r>
      <w:r w:rsidR="00B474DF" w:rsidRPr="00C440FF">
        <w:t xml:space="preserve"> </w:t>
      </w:r>
      <w:r w:rsidR="001D0767" w:rsidRPr="00820D4D">
        <w:fldChar w:fldCharType="begin" w:fldLock="1"/>
      </w:r>
      <w:r w:rsidR="00AC5BD9" w:rsidRPr="008528F8">
        <w:instrText>ADDIN CSL_CITATION {"citationItems":[{"id":"ITEM-1","itemData":{"DOI":"10.1016/J.EIAR.2020.106536","ISSN":"0195-9255","abstract":"Platform decommissioning decision making is a major issue as many of the existing offshore oil and gas platforms (OOGPs) require to be decommissioned. The cost and environmental impact are two main criteria for OOGP decommissioning. This paper reviews OOGP decommissioning factors and the current estimation methodologies of decommissioning cost and environmental impact. Six factors are identified: (1) platform types and complexity, (2) decommissioning options, (3) technical approaches, (4) circumstances, (5) regulations, and (6) strategies, followed by a detailed review of the estimation methodologies of cost and environmental impact. Descriptive statistics are common cost estimation, together with standard-based and index-based cost estimations. For environmental impact estimation, qualitative methods like ranking decommissioning options based on expert option, and quantitative methods like emission calculation based on equipment utilization, duty cycles, and emission factors are commonly used. The findings of this paper indicate that current OOGP decommissioning databases are incomplete, leading to inaccurate and subjective decommissioning cost estimation, and incomplete environmental impact estimation. Recommendations include integrating 3D information modeling with cost indexing to estimate cost, and with life cycle assessment to estimate environmental impact. OOGP decommissioning regulations should include strategies and rules for estimation, and formulating a roadmap with a long-term perspective is necessary.","author":[{"dropping-particle":"","family":"Tan","given":"Yi","non-dropping-particle":"","parse-names":false,"suffix":""},{"dropping-particle":"","family":"Li","given":"Hong Xian","non-dropping-particle":"","parse-names":false,"suffix":""},{"dropping-particle":"","family":"Cheng","given":"Jack C.P.","non-dropping-particle":"","parse-names":false,"suffix":""},{"dropping-particle":"","family":"Wang","given":"Jun","non-dropping-particle":"","parse-names":false,"suffix":""},{"dropping-particle":"","family":"Jiang","given":"Boya","non-dropping-particle":"","parse-names":false,"suffix":""},{"dropping-particle":"","family":"Song","given":"Yongze","non-dropping-particle":"","parse-names":false,"suffix":""},{"dropping-particle":"","family":"Wang","given":"Xiangyu","non-dropping-particle":"","parse-names":false,"suffix":""}],"container-title":"Environmental Impact Assessment Review","id":"ITEM-1","issued":{"date-parts":[["2021","3","1"]]},"page":"106536","publisher":"Elsevier","title":"Cost and environmental impact estimation methodology and potential impact factors in offshore oil and gas platform decommissioning: A review","type":"article-journal","volume":"87"},"uris":["http://www.mendeley.com/documents/?uuid=71a26d4b-e676-331c-bd9c-a67cab750364"]}],"mendeley":{"formattedCitation":"(Tan et al., 2021)","plainTextFormattedCitation":"(Tan et al., 2021)","previouslyFormattedCitation":"(Tan et al., 2021)"},"properties":{"noteIndex":0},"schema":"https://github.com/citation-style-language/schema/raw/master/csl-citation.json"}</w:instrText>
      </w:r>
      <w:r w:rsidR="001D0767" w:rsidRPr="00820D4D">
        <w:fldChar w:fldCharType="separate"/>
      </w:r>
      <w:r w:rsidR="001D0767" w:rsidRPr="0099598B">
        <w:rPr>
          <w:noProof/>
        </w:rPr>
        <w:t>(Tan et al., 2021)</w:t>
      </w:r>
      <w:r w:rsidR="001D0767" w:rsidRPr="00820D4D">
        <w:fldChar w:fldCharType="end"/>
      </w:r>
      <w:r w:rsidR="0094775B" w:rsidRPr="00820D4D">
        <w:t>.</w:t>
      </w:r>
    </w:p>
    <w:p w14:paraId="0AE985A8" w14:textId="653D0C45" w:rsidR="005A58F3" w:rsidRPr="00C440FF" w:rsidRDefault="005A58F3" w:rsidP="00820D4D">
      <w:pPr>
        <w:pStyle w:val="CETBodytext"/>
      </w:pPr>
      <w:r w:rsidRPr="00C440FF">
        <w:t>T</w:t>
      </w:r>
      <w:r w:rsidR="00097967" w:rsidRPr="00C440FF">
        <w:t>he high number of decommissioning offshore platform</w:t>
      </w:r>
      <w:r w:rsidR="006839E7" w:rsidRPr="00C440FF">
        <w:t>s</w:t>
      </w:r>
      <w:r w:rsidRPr="00C440FF">
        <w:t>,</w:t>
      </w:r>
      <w:r w:rsidR="00C17806" w:rsidRPr="00C440FF">
        <w:t xml:space="preserve"> </w:t>
      </w:r>
      <w:r w:rsidR="00922263">
        <w:t xml:space="preserve">e.g. </w:t>
      </w:r>
      <w:r w:rsidR="00C3316A" w:rsidRPr="00C440FF">
        <w:t xml:space="preserve">5048 in 2017 in the </w:t>
      </w:r>
      <w:r w:rsidR="00BC1F73" w:rsidRPr="00C440FF">
        <w:t xml:space="preserve">Gulf of Mexico </w:t>
      </w:r>
      <w:r w:rsidR="00C3316A" w:rsidRPr="00C440FF">
        <w:t>(</w:t>
      </w:r>
      <w:r w:rsidR="0060450D" w:rsidRPr="00820D4D">
        <w:fldChar w:fldCharType="begin" w:fldLock="1"/>
      </w:r>
      <w:r w:rsidR="00AC5BD9" w:rsidRPr="008528F8">
        <w:instrText>ADDIN CSL_CITATION {"citationItems":[{"id":"ITEM-1","itemData":{"author":[{"dropping-particle":"","family":"Kaiser","given":"Mark J","non-dropping-particle":"","parse-names":false,"suffix":""}],"id":"ITEM-1","issued":{"date-parts":[["2019"]]},"title":"Gulf of Mexico Decommissioning Trends and Operating Cost Estimation Gulf of Mexico Decommissioning Trends and Operating Cost Estimation","type":"article-journal"},"uris":["http://www.mendeley.com/documents/?uuid=c66284f0-a6ef-473f-9de3-b9bbab729e36","http://www.mendeley.com/documents/?uuid=3d4898ac-3d2f-4ac8-831d-5e5b6f405079"]}],"mendeley":{"formattedCitation":"(Kaiser, 2019)","manualFormatting":"Kaiser, 2019)","plainTextFormattedCitation":"(Kaiser, 2019)","previouslyFormattedCitation":"(Kaiser, 2019)"},"properties":{"noteIndex":0},"schema":"https://github.com/citation-style-language/schema/raw/master/csl-citation.json"}</w:instrText>
      </w:r>
      <w:r w:rsidR="0060450D" w:rsidRPr="00820D4D">
        <w:fldChar w:fldCharType="separate"/>
      </w:r>
      <w:r w:rsidR="0060450D" w:rsidRPr="0099598B">
        <w:rPr>
          <w:noProof/>
        </w:rPr>
        <w:t>Kaiser</w:t>
      </w:r>
      <w:r w:rsidR="00C3316A" w:rsidRPr="0099598B">
        <w:rPr>
          <w:noProof/>
        </w:rPr>
        <w:t>,</w:t>
      </w:r>
      <w:r w:rsidR="0060450D" w:rsidRPr="00951208">
        <w:rPr>
          <w:noProof/>
        </w:rPr>
        <w:t xml:space="preserve"> 2019)</w:t>
      </w:r>
      <w:r w:rsidR="0060450D" w:rsidRPr="00820D4D">
        <w:fldChar w:fldCharType="end"/>
      </w:r>
      <w:r w:rsidR="00C17806" w:rsidRPr="00820D4D">
        <w:t xml:space="preserve"> and</w:t>
      </w:r>
      <w:r w:rsidR="00F325BC" w:rsidRPr="00820D4D">
        <w:t xml:space="preserve"> 48 in 2021 in </w:t>
      </w:r>
      <w:r w:rsidR="00545DBE">
        <w:t xml:space="preserve">the </w:t>
      </w:r>
      <w:r w:rsidR="00F325BC" w:rsidRPr="00C440FF">
        <w:t>United Kingdom Continental Shelf (UK)</w:t>
      </w:r>
      <w:r w:rsidR="00C17806" w:rsidRPr="00C440FF">
        <w:t xml:space="preserve"> </w:t>
      </w:r>
      <w:r w:rsidR="00BC1F73" w:rsidRPr="00C440FF">
        <w:t xml:space="preserve">in </w:t>
      </w:r>
      <w:r w:rsidR="00545DBE">
        <w:t xml:space="preserve">the </w:t>
      </w:r>
      <w:r w:rsidR="00BC1F73" w:rsidRPr="00C440FF">
        <w:t>North Sea</w:t>
      </w:r>
      <w:r w:rsidR="00B474DF" w:rsidRPr="00C440FF">
        <w:t xml:space="preserve"> </w:t>
      </w:r>
      <w:r w:rsidR="00793166" w:rsidRPr="00820D4D">
        <w:fldChar w:fldCharType="begin" w:fldLock="1"/>
      </w:r>
      <w:r w:rsidR="002C7B5F" w:rsidRPr="008528F8">
        <w:instrText>ADDIN CSL_CITATION {"citationItems":[{"id":"ITEM-1","itemData":{"URL":"www.gov.uk/guidance/oil-and-gas-decommissioning-of-offshore-installations-and-pipelines","accessed":{"date-parts":[["2022","2","2"]]},"id":"ITEM-1","issued":{"date-parts":[["2022"]]},"title":"Oil and gas: decommissioning of offshore installations and pipelines - GOV.UK","type":"webpage"},"uris":["http://www.mendeley.com/documents/?uuid=625de74a-ec29-3e1c-8fe0-ea9e5311ec51","http://www.mendeley.com/documents/?uuid=15502442-3b9f-4670-868d-1110f2a17344"]}],"mendeley":{"formattedCitation":"(“Oil and gas: decommissioning of offshore installations and pipelines - GOV.UK,” 2022)","manualFormatting":"(GOV.UK, 2022)","plainTextFormattedCitation":"(“Oil and gas: decommissioning of offshore installations and pipelines - GOV.UK,” 2022)","previouslyFormattedCitation":"(“Oil and gas: decommissioning of offshore installations and pipelines - GOV.UK,” 2022)"},"properties":{"noteIndex":0},"schema":"https://github.com/citation-style-language/schema/raw/master/csl-citation.json"}</w:instrText>
      </w:r>
      <w:r w:rsidR="00793166" w:rsidRPr="00820D4D">
        <w:fldChar w:fldCharType="separate"/>
      </w:r>
      <w:r w:rsidR="00F325BC" w:rsidRPr="00E34BAA">
        <w:rPr>
          <w:noProof/>
        </w:rPr>
        <w:t>(</w:t>
      </w:r>
      <w:r w:rsidR="001B00D0" w:rsidRPr="00E34BAA">
        <w:rPr>
          <w:noProof/>
        </w:rPr>
        <w:t>GOV.UK</w:t>
      </w:r>
      <w:r w:rsidR="00F325BC" w:rsidRPr="00E34BAA">
        <w:rPr>
          <w:noProof/>
        </w:rPr>
        <w:t>,</w:t>
      </w:r>
      <w:r w:rsidR="001B00D0" w:rsidRPr="0099598B">
        <w:rPr>
          <w:noProof/>
        </w:rPr>
        <w:t xml:space="preserve"> 2022)</w:t>
      </w:r>
      <w:r w:rsidR="00793166" w:rsidRPr="00820D4D">
        <w:fldChar w:fldCharType="end"/>
      </w:r>
      <w:r w:rsidRPr="00820D4D">
        <w:t>, can be an opportunity</w:t>
      </w:r>
      <w:r w:rsidR="004930AB" w:rsidRPr="00820D4D">
        <w:t xml:space="preserve"> </w:t>
      </w:r>
      <w:r w:rsidR="00AD2191" w:rsidRPr="00C440FF">
        <w:t>to re-use structures for other application</w:t>
      </w:r>
      <w:r w:rsidR="006839E7" w:rsidRPr="00C440FF">
        <w:t>s</w:t>
      </w:r>
      <w:r w:rsidR="00AD2191" w:rsidRPr="00C440FF">
        <w:t xml:space="preserve"> </w:t>
      </w:r>
      <w:r w:rsidR="00700A35" w:rsidRPr="00820D4D">
        <w:fldChar w:fldCharType="begin" w:fldLock="1"/>
      </w:r>
      <w:r w:rsidR="004D464F">
        <w:instrText>ADDIN CSL_CITATION {"citationItems":[{"id":"ITEM-1","itemData":{"author":[{"dropping-particle":"","family":"Ministro dello Sviluppo Economico","given":"","non-dropping-particle":"","parse-names":false,"suffix":""}],"id":"ITEM-1","issued":{"date-parts":[["2019"]]},"title":"Guidelines for mining disposal of platforms for offshore hydrocarbons cultivation and related infrastructures (in italian)","type":"article-journal"},"uris":["http://www.mendeley.com/documents/?uuid=e90f25d7-ef9f-4230-aabf-454af86ae701"]}],"mendeley":{"formattedCitation":"(Ministro dello Sviluppo Economico, 2019)","manualFormatting":"(Ministry of Economic Development, 2019)","plainTextFormattedCitation":"(Ministro dello Sviluppo Economico, 2019)","previouslyFormattedCitation":"(Economico, 2019)"},"properties":{"noteIndex":0},"schema":"https://github.com/citation-style-language/schema/raw/master/csl-citation.json"}</w:instrText>
      </w:r>
      <w:r w:rsidR="00700A35" w:rsidRPr="00820D4D">
        <w:fldChar w:fldCharType="separate"/>
      </w:r>
      <w:r w:rsidR="00700A35" w:rsidRPr="0099598B">
        <w:rPr>
          <w:noProof/>
        </w:rPr>
        <w:t>(</w:t>
      </w:r>
      <w:r w:rsidR="006035F5" w:rsidRPr="0099598B">
        <w:rPr>
          <w:noProof/>
        </w:rPr>
        <w:t>Ministry of Eco</w:t>
      </w:r>
      <w:r w:rsidR="006035F5" w:rsidRPr="00910900">
        <w:rPr>
          <w:noProof/>
        </w:rPr>
        <w:t>nomic Development</w:t>
      </w:r>
      <w:r w:rsidR="00700A35" w:rsidRPr="00951208">
        <w:rPr>
          <w:noProof/>
        </w:rPr>
        <w:t>, 2019)</w:t>
      </w:r>
      <w:r w:rsidR="00700A35" w:rsidRPr="00820D4D">
        <w:fldChar w:fldCharType="end"/>
      </w:r>
      <w:r w:rsidR="00AD2191" w:rsidRPr="00820D4D">
        <w:t>, for example</w:t>
      </w:r>
      <w:r w:rsidR="00944260" w:rsidRPr="00820D4D">
        <w:t>,</w:t>
      </w:r>
      <w:r w:rsidRPr="00C440FF">
        <w:t xml:space="preserve"> to create </w:t>
      </w:r>
      <w:r w:rsidR="00944260" w:rsidRPr="00C440FF">
        <w:t xml:space="preserve">a </w:t>
      </w:r>
      <w:r w:rsidRPr="00C440FF">
        <w:t xml:space="preserve">hub for the production of renewable energy </w:t>
      </w:r>
      <w:r w:rsidR="009A3888" w:rsidRPr="00C440FF">
        <w:t xml:space="preserve">and </w:t>
      </w:r>
      <w:r w:rsidRPr="00C440FF">
        <w:t>synthetic fuels or energy vectors</w:t>
      </w:r>
      <w:r w:rsidR="00CD562C" w:rsidRPr="00820D4D">
        <w:t xml:space="preserve"> </w:t>
      </w:r>
      <w:r w:rsidR="00CD562C" w:rsidRPr="00820D4D">
        <w:fldChar w:fldCharType="begin" w:fldLock="1"/>
      </w:r>
      <w:r w:rsidR="005308A8" w:rsidRPr="008528F8">
        <w:instrText>ADDIN CSL_CITATION {"citationItems":[{"id":"ITEM-1","itemData":{"DOI":"10.1016/j.ijhydene.2019.11.215","ISSN":"03603199","abstract":"Chemical storage of electric energy is recognised as a potential solution to improve the penetration of renewable energy. The coupling of renewable power production with offshore oil &amp; gas exploitation by converting electricity into synthetic fuels represents an opportunity to valorize renewables in remote areas in an energy transition panorama. The present study aims at a comparison of alternative power-to-gas and power-to-liquid strategies for the conversion of offshore wind power into different chemical energy vectors (hydrogen, synthetic natural gas and methanol), taking advantage of conventional offshore oil &amp; gas infrastructures for energy conversion and synthetic fuel transportation. A set of technical, economic, environmental and profitability performance indicators was defined to allow the comparison. A case study in the North Sea was analysed. The results showed that electrolyzers capacity and offshore-onshore distance play an important role on economic indicators. Sensitivity analysis was carried out to test the robustness of the results.","author":[{"dropping-particle":"","family":"Crivellari","given":"Anna","non-dropping-particle":"","parse-names":false,"suffix":""},{"dropping-particle":"","family":"Cozzani","given":"Valerio","non-dropping-particle":"","parse-names":false,"suffix":""}],"container-title":"International Journal of Hydrogen Energy","id":"ITEM-1","issue":"4","issued":{"date-parts":[["2020"]]},"page":"2936-2953","publisher":"Elsevier Ltd","title":"Offshore renewable energy exploitation strategies in remote areas by power-to-gas and power-to-liquid conversion","type":"article-journal","volume":"45"},"uris":["http://www.mendeley.com/documents/?uuid=aeb5b33a-8df9-4d99-8781-b97c56db90f6"]}],"mendeley":{"formattedCitation":"(Crivellari and Cozzani, 2020)","plainTextFormattedCitation":"(Crivellari and Cozzani, 2020)","previouslyFormattedCitation":"(Crivellari and Cozzani, 2020)"},"properties":{"noteIndex":0},"schema":"https://github.com/citation-style-language/schema/raw/master/csl-citation.json"}</w:instrText>
      </w:r>
      <w:r w:rsidR="00CD562C" w:rsidRPr="00820D4D">
        <w:fldChar w:fldCharType="separate"/>
      </w:r>
      <w:r w:rsidR="00CD562C" w:rsidRPr="0099598B">
        <w:rPr>
          <w:noProof/>
        </w:rPr>
        <w:t>(Crivellari and Cozzani, 2020)</w:t>
      </w:r>
      <w:r w:rsidR="00CD562C" w:rsidRPr="00820D4D">
        <w:fldChar w:fldCharType="end"/>
      </w:r>
      <w:r w:rsidRPr="00820D4D">
        <w:t xml:space="preserve">. </w:t>
      </w:r>
      <w:r w:rsidRPr="00C440FF">
        <w:t xml:space="preserve">Indeed, to produce energy vectors, carbon substrates are needed and some may be taken from </w:t>
      </w:r>
      <w:r w:rsidR="006839E7" w:rsidRPr="00C440FF">
        <w:t xml:space="preserve">the </w:t>
      </w:r>
      <w:r w:rsidRPr="00C440FF">
        <w:t>reservoir.</w:t>
      </w:r>
    </w:p>
    <w:p w14:paraId="2FAD66D2" w14:textId="15F2FD83" w:rsidR="000146A7" w:rsidRPr="00C440FF" w:rsidRDefault="007D5200" w:rsidP="00C440FF">
      <w:pPr>
        <w:pStyle w:val="CETBodytext"/>
      </w:pPr>
      <w:r w:rsidRPr="00C440FF">
        <w:t xml:space="preserve">The offshore context represents an opportunity </w:t>
      </w:r>
      <w:r w:rsidR="00155D91" w:rsidRPr="00C440FF">
        <w:t xml:space="preserve">for </w:t>
      </w:r>
      <w:r w:rsidR="00CC5085">
        <w:t xml:space="preserve">the </w:t>
      </w:r>
      <w:r w:rsidRPr="00C440FF">
        <w:t xml:space="preserve">exploitation of </w:t>
      </w:r>
      <w:r w:rsidR="006839E7" w:rsidRPr="00C440FF">
        <w:t>RES</w:t>
      </w:r>
      <w:r w:rsidR="00CC5085">
        <w:t>s</w:t>
      </w:r>
      <w:r w:rsidRPr="00820D4D">
        <w:t xml:space="preserve"> as wind, wave, tidal and sun, with several advantages compared to the onshore </w:t>
      </w:r>
      <w:r w:rsidR="00CC5085">
        <w:t>context</w:t>
      </w:r>
      <w:r w:rsidRPr="00820D4D">
        <w:t>, for example</w:t>
      </w:r>
      <w:r w:rsidR="00944260" w:rsidRPr="00820D4D">
        <w:t>,</w:t>
      </w:r>
      <w:r w:rsidRPr="00C440FF">
        <w:t xml:space="preserve"> a more stable energy intensity</w:t>
      </w:r>
      <w:r w:rsidR="00BF7888" w:rsidRPr="00C440FF">
        <w:t>,</w:t>
      </w:r>
      <w:r w:rsidRPr="00C440FF">
        <w:t xml:space="preserve"> a higher energy density</w:t>
      </w:r>
      <w:r w:rsidR="00BF7888" w:rsidRPr="00820D4D">
        <w:t xml:space="preserve"> and </w:t>
      </w:r>
      <w:r w:rsidR="00CC5085">
        <w:t xml:space="preserve">the </w:t>
      </w:r>
      <w:r w:rsidR="00BF7888" w:rsidRPr="00820D4D">
        <w:t xml:space="preserve">availability of space without subtracting land for other uses </w:t>
      </w:r>
      <w:r w:rsidR="00BF4486" w:rsidRPr="00820D4D">
        <w:fldChar w:fldCharType="begin" w:fldLock="1"/>
      </w:r>
      <w:r w:rsidR="0058784C" w:rsidRPr="008528F8">
        <w:instrText>ADDIN CSL_CITATION {"citationItems":[{"id":"ITEM-1","itemData":{"DOI":"10.1016/b978-0-323-89823-2.00002-6","ISBN":"9780323898232","abstract":"This chapter presents general information about power production from offshore renewable energy sources (offshore wind, solar wave, tidal currents) including the energy conversion principles and the available energy conversion technologies. Main drawbacks associated to the transportation of offshore renewable power to onshore areas and integration into the electrical grid are summarized. Solutions addressing the synergy of offshore renewable exploitation with offshore oil and gas infrastructures in decommissioning or depleted hydrocarbons fields are proposed, leading to the development of innovative offshore hybrid energy systems.","author":[{"dropping-particle":"","family":"Dincer","given":"Ibrahim","non-dropping-particle":"","parse-names":false,"suffix":""},{"dropping-particle":"","family":"Cozzani","given":"Valerio","non-dropping-particle":"","parse-names":false,"suffix":""},{"dropping-particle":"","family":"Crivellari","given":"Anna","non-dropping-particle":"","parse-names":false,"suffix":""}],"container-title":"Hybrid Energy Systems for Offshore Applications","id":"ITEM-1","issued":{"date-parts":[["2021"]]},"page":"7-18","title":"Offshore renewable energy options","type":"article-journal"},"uris":["http://www.mendeley.com/documents/?uuid=ca2dbee1-0fd8-49f1-bdb7-08e37f011dbd"]}],"mendeley":{"formattedCitation":"(Dincer et al., 2021)","plainTextFormattedCitation":"(Dincer et al., 2021)","previouslyFormattedCitation":"(Dincer et al., 2021)"},"properties":{"noteIndex":0},"schema":"https://github.com/citation-style-language/schema/raw/master/csl-citation.json"}</w:instrText>
      </w:r>
      <w:r w:rsidR="00BF4486" w:rsidRPr="00820D4D">
        <w:fldChar w:fldCharType="separate"/>
      </w:r>
      <w:r w:rsidR="00BF4486" w:rsidRPr="0099598B">
        <w:rPr>
          <w:noProof/>
        </w:rPr>
        <w:t>(Dincer et al., 2021)</w:t>
      </w:r>
      <w:r w:rsidR="00BF4486" w:rsidRPr="00820D4D">
        <w:fldChar w:fldCharType="end"/>
      </w:r>
      <w:r w:rsidRPr="00820D4D">
        <w:t>.</w:t>
      </w:r>
      <w:r w:rsidR="00072D04" w:rsidRPr="00820D4D">
        <w:t xml:space="preserve"> </w:t>
      </w:r>
    </w:p>
    <w:p w14:paraId="50590430" w14:textId="2763743F" w:rsidR="0060450D" w:rsidRPr="00820D4D" w:rsidRDefault="007D572A" w:rsidP="008528F8">
      <w:pPr>
        <w:pStyle w:val="CETBodytext"/>
      </w:pPr>
      <w:r>
        <w:t>A</w:t>
      </w:r>
      <w:r w:rsidRPr="008528F8">
        <w:t xml:space="preserve">mong all </w:t>
      </w:r>
      <w:r>
        <w:t>ene</w:t>
      </w:r>
      <w:r w:rsidR="0060450D" w:rsidRPr="008528F8">
        <w:t xml:space="preserve">rgy vectors, methanol is one of the most promising </w:t>
      </w:r>
      <w:r w:rsidR="005308A8" w:rsidRPr="00820D4D">
        <w:fldChar w:fldCharType="begin" w:fldLock="1"/>
      </w:r>
      <w:r w:rsidR="007315B4">
        <w:instrText>ADDIN CSL_CITATION {"citationItems":[{"id":"ITEM-1","itemData":{"DOI":"10.1016/j.adapen.2021.100050","ISSN":"26667924","abstract":"The importing of renewable energy will be one part of the process of defossilizing the energy systems of countries and regions, which are currently heavily dependent on the import of fossil-based energy carriers. This study investigates the possibility of importing renewable methanol comprised of hydrogen and carbon dioxide. Based on a methanol synthesis simulation model, the net production costs of methanol are derived as a function of hydrogen and carbon dioxide expenses. These findings enable a comparison of the import costs of methanol and hydrogen. For this, the hydrogen production and distribution costs for 2030 as reported in a recent study for four different origin/destination country combinations are considered. With the predicted hydrogen production costs of 1.35–2 €/kg and additional shipping costs, methanol can be imported for 370–600 €/t if renewable or process-related carbon dioxide is available at costs of 100 €/t or below in the hydrogen-producing country. Compared to the current fossil market price of approximately 400 €/t, renewable methanol could therefore become cost-competitive. Within the range of carbon dioxide prices of 30–100 €/t, both hydrogen and methanol exhibit comparable energy-specific import costs of 18–30 €/GJ. Hence, the additional costs for upgrading hydrogen to methanol are balanced out by the lower shipping costs of methanol compared to hydrogen. Lastly, a comparison for producing methanol in the hydrogen's origin or destination country indicates that carbon dioxide in the destination country must be 181–228 €/t less expensive than that in the origin country, to balance out the more expensive shipping costs for hydrogen.","author":[{"dropping-particle":"","family":"Schorn","given":"Felix","non-dropping-particle":"","parse-names":false,"suffix":""},{"dropping-particle":"","family":"Breuer","given":"Janos L.","non-dropping-particle":"","parse-names":false,"suffix":""},{"dropping-particle":"","family":"Samsun","given":"Remzi Can","non-dropping-particle":"","parse-names":false,"suffix":""},{"dropping-particle":"","family":"Schnorbus","given":"Thorsten","non-dropping-particle":"","parse-names":false,"suffix":""},{"dropping-particle":"","family":"Heuser","given":"Benedikt","non-dropping-particle":"","parse-names":false,"suffix":""},{"dropping-particle":"","family":"Peters","given":"Ralf","non-dropping-particle":"","parse-names":false,"suffix":""},{"dropping-particle":"","family":"Stolten","given":"Detlef","non-dropping-particle":"","parse-names":false,"suffix":""}],"container-title":"Advances in Applied Energy","id":"ITEM-1","issue":"June","issued":{"date-parts":[["2021"]]},"page":"100050","publisher":"Elsevier Ltd","title":"Methanol as a renewable energy carrier: An assessment of production and transportation costs for selected global locations","type":"article-journal","volume":"3"},"uris":["http://www.mendeley.com/documents/?uuid=d43f95f6-5e27-423f-b7ad-3bf93b39767b"]}],"mendeley":{"formattedCitation":"(Schorn et al., 2021)","plainTextFormattedCitation":"(Schorn et al., 2021)","previouslyFormattedCitation":"(Schorn et al., 2021)"},"properties":{"noteIndex":0},"schema":"https://github.com/citation-style-language/schema/raw/master/csl-citation.json"}</w:instrText>
      </w:r>
      <w:r w:rsidR="005308A8" w:rsidRPr="00820D4D">
        <w:fldChar w:fldCharType="separate"/>
      </w:r>
      <w:r w:rsidR="005308A8" w:rsidRPr="0099598B">
        <w:rPr>
          <w:noProof/>
        </w:rPr>
        <w:t>(Schorn et al., 2021)</w:t>
      </w:r>
      <w:r w:rsidR="005308A8" w:rsidRPr="00820D4D">
        <w:fldChar w:fldCharType="end"/>
      </w:r>
      <w:r w:rsidR="006B5A4D" w:rsidRPr="00820D4D">
        <w:t xml:space="preserve">, </w:t>
      </w:r>
      <w:r w:rsidR="0060450D" w:rsidRPr="00820D4D">
        <w:t>thanks to its low carbon content and its physical characteristic</w:t>
      </w:r>
      <w:r w:rsidR="006839E7" w:rsidRPr="00C440FF">
        <w:t>s</w:t>
      </w:r>
      <w:r w:rsidR="0060450D" w:rsidRPr="00C440FF">
        <w:t xml:space="preserve"> at atmospheric conditions. Besides, it can also be used as a fuel, either blended with gas</w:t>
      </w:r>
      <w:r w:rsidR="0060450D" w:rsidRPr="008528F8">
        <w:t xml:space="preserve">oline in conventional internal combustion engines or alone with minor </w:t>
      </w:r>
      <w:r w:rsidR="00CC5085">
        <w:t xml:space="preserve">devices </w:t>
      </w:r>
      <w:r w:rsidR="0060450D" w:rsidRPr="008528F8">
        <w:t>modifications. Last but not least, methanol is a precursor largely used in the chemical and process industry</w:t>
      </w:r>
      <w:r w:rsidR="00152E77" w:rsidRPr="008528F8">
        <w:t xml:space="preserve"> </w:t>
      </w:r>
      <w:r w:rsidR="00152E77" w:rsidRPr="00820D4D">
        <w:fldChar w:fldCharType="begin" w:fldLock="1"/>
      </w:r>
      <w:r w:rsidR="00574869" w:rsidRPr="008528F8">
        <w:instrText>ADDIN CSL_CITATION {"citationItems":[{"id":"ITEM-1","itemData":{"URL":"pubchem.ncbi.nlm.nih.gov/compound/Methanol#section=Use-and-Manufacturing","accessed":{"date-parts":[["2022","2","2"]]},"author":[{"dropping-particle":"","family":"PubChem","given":"","non-dropping-particle":"","parse-names":false,"suffix":""}],"id":"ITEM-1","issued":{"date-parts":[["2022"]]},"title":"Methanol | CH3OH - PubChem","type":"webpage"},"uris":["http://www.mendeley.com/documents/?uuid=cbdebadb-b221-3fb7-87e8-55d495704db4","http://www.mendeley.com/documents/?uuid=ce6d5fe8-4edf-4be8-bb3a-e207fa75c0c2"]}],"mendeley":{"formattedCitation":"(PubChem, 2022)","manualFormatting":"(PubChem, 2022)","plainTextFormattedCitation":"(PubChem, 2022)","previouslyFormattedCitation":"(PubChem, 2022)"},"properties":{"noteIndex":0},"schema":"https://github.com/citation-style-language/schema/raw/master/csl-citation.json"}</w:instrText>
      </w:r>
      <w:r w:rsidR="00152E77" w:rsidRPr="00820D4D">
        <w:fldChar w:fldCharType="separate"/>
      </w:r>
      <w:r w:rsidR="00152E77" w:rsidRPr="0099598B">
        <w:rPr>
          <w:noProof/>
        </w:rPr>
        <w:t>(</w:t>
      </w:r>
      <w:r w:rsidR="00152E77" w:rsidRPr="00E34BAA">
        <w:rPr>
          <w:noProof/>
        </w:rPr>
        <w:t>PubChem</w:t>
      </w:r>
      <w:r w:rsidR="00152E77" w:rsidRPr="0099598B">
        <w:rPr>
          <w:noProof/>
        </w:rPr>
        <w:t>, 2022)</w:t>
      </w:r>
      <w:r w:rsidR="00152E77" w:rsidRPr="00820D4D">
        <w:fldChar w:fldCharType="end"/>
      </w:r>
      <w:r w:rsidR="0060450D" w:rsidRPr="00820D4D">
        <w:t>.</w:t>
      </w:r>
    </w:p>
    <w:p w14:paraId="38B84B84" w14:textId="55B81B4D" w:rsidR="00F175A6" w:rsidRDefault="00012BDE" w:rsidP="008528F8">
      <w:pPr>
        <w:pStyle w:val="CETBodytext"/>
      </w:pPr>
      <w:r w:rsidRPr="00C440FF">
        <w:t xml:space="preserve">In </w:t>
      </w:r>
      <w:r w:rsidR="00F175A6">
        <w:t>the</w:t>
      </w:r>
      <w:r w:rsidR="001A43A1">
        <w:t xml:space="preserve"> </w:t>
      </w:r>
      <w:r w:rsidRPr="00C440FF">
        <w:t>literature</w:t>
      </w:r>
      <w:r w:rsidR="001A43A1">
        <w:t>,</w:t>
      </w:r>
      <w:r w:rsidRPr="00C440FF">
        <w:t xml:space="preserve"> </w:t>
      </w:r>
      <w:r w:rsidR="00F175A6">
        <w:t xml:space="preserve">to the best of authors knowledge, </w:t>
      </w:r>
      <w:r w:rsidRPr="00C440FF">
        <w:t xml:space="preserve">there is not a comprehensive approach for </w:t>
      </w:r>
      <w:r w:rsidR="006839E7" w:rsidRPr="00C440FF">
        <w:t xml:space="preserve">the </w:t>
      </w:r>
      <w:r w:rsidRPr="00C440FF">
        <w:t xml:space="preserve">design </w:t>
      </w:r>
      <w:r w:rsidR="006839E7" w:rsidRPr="00C440FF">
        <w:t>of energy systems integrating the RESs available</w:t>
      </w:r>
      <w:r w:rsidRPr="00C440FF">
        <w:t xml:space="preserve"> around an offshore platform to be exploited in the framework of Power to Liquid (P2L)</w:t>
      </w:r>
      <w:r w:rsidR="00F175A6">
        <w:t xml:space="preserve"> processes</w:t>
      </w:r>
      <w:r w:rsidRPr="00C440FF">
        <w:t xml:space="preserve">. </w:t>
      </w:r>
      <w:r w:rsidR="00806D85" w:rsidRPr="00820D4D">
        <w:fldChar w:fldCharType="begin" w:fldLock="1"/>
      </w:r>
      <w:r w:rsidR="00CD249C" w:rsidRPr="008528F8">
        <w:instrText>ADDIN CSL_CITATION {"citationItems":[{"id":"ITEM-1","itemData":{"DOI":"10.1016/j.enconman.2018.07.068","ISSN":"01968904","abstract":"Methanol is an important platform chemical. The conversion of natural gas is the most widely used technology to produce methanol. With the development of chemical industry, the situation of energy shortage has become very serious. The exploration and adoption of renewable energy is an alternative way to solve the crisis of energy shortage. Wind energy is one of the most prominent energy source among all renewable energy sources in the Chinese energy markets. In this paper, wind energy integrated with natural-gas-to-methanol (WGTM) process is proposed. Performance analysis including carbon efficiency, energy efficiency, production cost, carbon reduction benefit, and impact of carbon tax is conducted. Based on the comparison results of NGTM (natural-gas-to-methanol) and WGTM (wind energy integrated with natural-gas-to-methanol), it can be concluded that the proposed system may be ready for industrialization at the near future. The wind energy integration provides a promising way to reduce carbon dioxide emission. The WGTM can be a flexible way to slow down the GHG effect.","author":[{"dropping-particle":"","family":"Yang","given":"Sheng","non-dropping-particle":"","parse-names":false,"suffix":""},{"dropping-particle":"","family":"Chen","given":"Qianqian","non-dropping-particle":"","parse-names":false,"suffix":""},{"dropping-particle":"","family":"Liu","given":"Zhiqiang","non-dropping-particle":"","parse-names":false,"suffix":""},{"dropping-particle":"","family":"Wang","given":"Yifan","non-dropping-particle":"","parse-names":false,"suffix":""},{"dropping-particle":"","family":"Tang","given":"Zhiyong","non-dropping-particle":"","parse-names":false,"suffix":""},{"dropping-particle":"","family":"Sun","given":"Yuhan","non-dropping-particle":"","parse-names":false,"suffix":""}],"container-title":"Energy Conversion and Management","id":"ITEM-1","issue":"August","issued":{"date-parts":[["2018"]]},"page":"735-742","publisher":"Elsevier","title":"Performance analysis of the wind energy integrated with a natural-gas-to-methanol process","type":"article-journal","volume":"173"},"uris":["http://www.mendeley.com/documents/?uuid=bd3a8ecd-b93b-4aba-a859-e249e15db6fc","http://www.mendeley.com/documents/?uuid=bbc6c8d8-0c22-4e24-a6f1-700fe67f4e01"]}],"mendeley":{"formattedCitation":"(Yang et al., 2018)","manualFormatting":"Yang et al., (2018)","plainTextFormattedCitation":"(Yang et al., 2018)","previouslyFormattedCitation":"(Yang et al., 2018)"},"properties":{"noteIndex":0},"schema":"https://github.com/citation-style-language/schema/raw/master/csl-citation.json"}</w:instrText>
      </w:r>
      <w:r w:rsidR="00806D85" w:rsidRPr="00820D4D">
        <w:fldChar w:fldCharType="separate"/>
      </w:r>
      <w:r w:rsidR="00806D85" w:rsidRPr="0099598B">
        <w:rPr>
          <w:noProof/>
        </w:rPr>
        <w:t xml:space="preserve">Yang et al. </w:t>
      </w:r>
      <w:r w:rsidR="00E63C29" w:rsidRPr="00951208">
        <w:rPr>
          <w:noProof/>
        </w:rPr>
        <w:t>(</w:t>
      </w:r>
      <w:r w:rsidR="00806D85" w:rsidRPr="00951208">
        <w:rPr>
          <w:noProof/>
        </w:rPr>
        <w:t>2018)</w:t>
      </w:r>
      <w:r w:rsidR="00806D85" w:rsidRPr="00820D4D">
        <w:fldChar w:fldCharType="end"/>
      </w:r>
      <w:r w:rsidR="00E63C29" w:rsidRPr="00820D4D">
        <w:t xml:space="preserve"> design</w:t>
      </w:r>
      <w:r w:rsidR="006839E7" w:rsidRPr="00820D4D">
        <w:t>ed</w:t>
      </w:r>
      <w:r w:rsidR="00E63C29" w:rsidRPr="00C440FF">
        <w:t xml:space="preserve"> a gas-to-methanol process based on integration </w:t>
      </w:r>
      <w:r w:rsidR="006839E7" w:rsidRPr="00C440FF">
        <w:t xml:space="preserve">among </w:t>
      </w:r>
      <w:r w:rsidR="00E63C29" w:rsidRPr="00C440FF">
        <w:t>methane</w:t>
      </w:r>
      <w:r w:rsidR="00383D5B" w:rsidRPr="00C440FF">
        <w:t>, electricity</w:t>
      </w:r>
      <w:r w:rsidR="00E63C29" w:rsidRPr="00C440FF">
        <w:t xml:space="preserve"> and wind turbine</w:t>
      </w:r>
      <w:r w:rsidR="006839E7" w:rsidRPr="00C440FF">
        <w:t>s</w:t>
      </w:r>
      <w:r w:rsidR="00E63C29" w:rsidRPr="00C440FF">
        <w:t xml:space="preserve"> to provide energy for the process</w:t>
      </w:r>
      <w:r w:rsidR="00F175A6">
        <w:t>. However, the study</w:t>
      </w:r>
      <w:r w:rsidR="004930AB" w:rsidRPr="008528F8">
        <w:t xml:space="preserve"> </w:t>
      </w:r>
      <w:r w:rsidR="009D7895" w:rsidRPr="008528F8">
        <w:t xml:space="preserve">focused mostly on </w:t>
      </w:r>
      <w:r w:rsidR="00AA1ED7" w:rsidRPr="008528F8">
        <w:t>process design and carbon efficiency calculation</w:t>
      </w:r>
      <w:r w:rsidR="00E63C29" w:rsidRPr="008528F8">
        <w:t>.</w:t>
      </w:r>
    </w:p>
    <w:p w14:paraId="5CD1CF4A" w14:textId="7B2BDC5E" w:rsidR="00012BDE" w:rsidRPr="00C440FF" w:rsidRDefault="00F175A6" w:rsidP="008528F8">
      <w:pPr>
        <w:pStyle w:val="CETBodytext"/>
      </w:pPr>
      <w:r>
        <w:t>T</w:t>
      </w:r>
      <w:r w:rsidR="00012BDE" w:rsidRPr="008528F8">
        <w:t xml:space="preserve">he aim of the present study </w:t>
      </w:r>
      <w:r w:rsidR="00C71986">
        <w:t>was</w:t>
      </w:r>
      <w:r w:rsidR="00741D96">
        <w:t xml:space="preserve"> </w:t>
      </w:r>
      <w:r w:rsidR="00012BDE" w:rsidRPr="008528F8">
        <w:t xml:space="preserve">the development of a new methodology to optimize renewable energy </w:t>
      </w:r>
      <w:r w:rsidR="009A3888" w:rsidRPr="008528F8">
        <w:t xml:space="preserve">production </w:t>
      </w:r>
      <w:r w:rsidR="00012BDE" w:rsidRPr="008528F8">
        <w:t xml:space="preserve">from different </w:t>
      </w:r>
      <w:r w:rsidR="006839E7" w:rsidRPr="008528F8">
        <w:t>RESs</w:t>
      </w:r>
      <w:r w:rsidR="00012BDE" w:rsidRPr="008528F8">
        <w:t xml:space="preserve"> to support offshore methanol production</w:t>
      </w:r>
      <w:r w:rsidR="00AA1ED7" w:rsidRPr="008528F8">
        <w:t xml:space="preserve"> through </w:t>
      </w:r>
      <w:r w:rsidR="00155D91" w:rsidRPr="008528F8">
        <w:t xml:space="preserve">an </w:t>
      </w:r>
      <w:r w:rsidR="00AA1ED7" w:rsidRPr="008528F8">
        <w:t>innovative process</w:t>
      </w:r>
      <w:r w:rsidR="00012BDE" w:rsidRPr="008528F8">
        <w:t xml:space="preserve">. The proposed methodology </w:t>
      </w:r>
      <w:r w:rsidR="00C71986">
        <w:t>was</w:t>
      </w:r>
      <w:r w:rsidR="00012BDE" w:rsidRPr="008528F8">
        <w:t xml:space="preserve"> then applied to a case study </w:t>
      </w:r>
      <w:r w:rsidR="001F4B5C">
        <w:t>(</w:t>
      </w:r>
      <w:r w:rsidR="00012BDE" w:rsidRPr="008528F8">
        <w:t xml:space="preserve">i.e. an offshore gas platform located in the north </w:t>
      </w:r>
      <w:r w:rsidR="00012BDE" w:rsidRPr="008528F8">
        <w:lastRenderedPageBreak/>
        <w:t>Adriatic</w:t>
      </w:r>
      <w:r w:rsidR="00012BDE" w:rsidRPr="00996AD0">
        <w:t xml:space="preserve"> </w:t>
      </w:r>
      <w:r w:rsidR="00012BDE" w:rsidRPr="00820D4D">
        <w:t>Sea</w:t>
      </w:r>
      <w:r w:rsidR="001F0F48" w:rsidRPr="00820D4D">
        <w:t xml:space="preserve"> with natural gas residual flo</w:t>
      </w:r>
      <w:r w:rsidR="001F0F48" w:rsidRPr="00C440FF">
        <w:t>wrate</w:t>
      </w:r>
      <w:r w:rsidR="001F4B5C">
        <w:t>)</w:t>
      </w:r>
      <w:r w:rsidR="005D7744" w:rsidRPr="00C440FF">
        <w:t>.</w:t>
      </w:r>
      <w:r w:rsidR="00AA0841">
        <w:t xml:space="preserve"> </w:t>
      </w:r>
      <w:r w:rsidR="00CC5085">
        <w:t>T</w:t>
      </w:r>
      <w:r w:rsidR="005D7744" w:rsidRPr="00C440FF">
        <w:t>he following assumption</w:t>
      </w:r>
      <w:r w:rsidR="0052073C" w:rsidRPr="008528F8">
        <w:t>s were made</w:t>
      </w:r>
      <w:r w:rsidR="001F4B5C">
        <w:t xml:space="preserve"> in the definition of the case study</w:t>
      </w:r>
      <w:r w:rsidR="005D7744" w:rsidRPr="008528F8">
        <w:t>:</w:t>
      </w:r>
      <w:r w:rsidR="009A3888" w:rsidRPr="008528F8">
        <w:t xml:space="preserve"> the process</w:t>
      </w:r>
      <w:r w:rsidR="00012BDE" w:rsidRPr="008528F8">
        <w:t xml:space="preserve"> energetic self-sustainability </w:t>
      </w:r>
      <w:r w:rsidR="00C71986">
        <w:t>was</w:t>
      </w:r>
      <w:r w:rsidR="005D7744" w:rsidRPr="008528F8">
        <w:t xml:space="preserve"> reached through</w:t>
      </w:r>
      <w:r w:rsidR="00012BDE" w:rsidRPr="008528F8">
        <w:t xml:space="preserve"> the available </w:t>
      </w:r>
      <w:r w:rsidR="0052073C" w:rsidRPr="008528F8">
        <w:t>RESs</w:t>
      </w:r>
      <w:r w:rsidR="00012BDE" w:rsidRPr="008528F8">
        <w:t xml:space="preserve"> (i.e. wind, </w:t>
      </w:r>
      <w:r w:rsidR="001F0F48" w:rsidRPr="008528F8">
        <w:t xml:space="preserve">wave </w:t>
      </w:r>
      <w:r w:rsidR="00012BDE" w:rsidRPr="008528F8">
        <w:t xml:space="preserve">and </w:t>
      </w:r>
      <w:r w:rsidR="00AA0841">
        <w:t>sun</w:t>
      </w:r>
      <w:r w:rsidR="00012BDE" w:rsidRPr="008528F8">
        <w:t>)</w:t>
      </w:r>
      <w:r w:rsidR="009A3888" w:rsidRPr="008528F8">
        <w:t xml:space="preserve"> </w:t>
      </w:r>
      <w:r w:rsidR="008132B4">
        <w:t>and</w:t>
      </w:r>
      <w:r w:rsidR="0052073C" w:rsidRPr="008528F8">
        <w:t xml:space="preserve"> </w:t>
      </w:r>
      <w:r w:rsidR="001F4B5C" w:rsidRPr="008528F8">
        <w:t>the backup system</w:t>
      </w:r>
      <w:r w:rsidR="004B5479">
        <w:t xml:space="preserve">, </w:t>
      </w:r>
      <w:r w:rsidR="001F4B5C">
        <w:t xml:space="preserve">supposed to be fed by </w:t>
      </w:r>
      <w:r w:rsidR="009A3888" w:rsidRPr="008528F8">
        <w:t xml:space="preserve">fossil </w:t>
      </w:r>
      <w:r w:rsidR="0052073C" w:rsidRPr="008528F8">
        <w:t>fuels</w:t>
      </w:r>
      <w:r w:rsidR="00F77C5D">
        <w:t xml:space="preserve">. The management of </w:t>
      </w:r>
      <w:r w:rsidR="001F0F48" w:rsidRPr="008528F8">
        <w:t>the</w:t>
      </w:r>
      <w:r w:rsidR="0052073C" w:rsidRPr="008528F8">
        <w:t xml:space="preserve"> </w:t>
      </w:r>
      <w:r w:rsidR="00063707">
        <w:t xml:space="preserve">electrical </w:t>
      </w:r>
      <w:r w:rsidR="00004DBD">
        <w:t>power</w:t>
      </w:r>
      <w:r w:rsidR="00922263" w:rsidRPr="008528F8">
        <w:t xml:space="preserve"> </w:t>
      </w:r>
      <w:r w:rsidR="0052073C" w:rsidRPr="008528F8">
        <w:t>excess</w:t>
      </w:r>
      <w:r w:rsidR="001F0F48" w:rsidRPr="008528F8">
        <w:t xml:space="preserve"> produced by converters </w:t>
      </w:r>
      <w:r w:rsidR="00C71986">
        <w:t>was</w:t>
      </w:r>
      <w:r w:rsidR="00DC43E0" w:rsidRPr="008528F8">
        <w:t xml:space="preserve"> </w:t>
      </w:r>
      <w:r w:rsidR="00F77C5D">
        <w:t>considered out of scope of the present study, that focused on the assessment of the methanol production system.</w:t>
      </w:r>
      <w:r w:rsidR="00F77C5D" w:rsidRPr="008528F8" w:rsidDel="00F77C5D">
        <w:t xml:space="preserve"> </w:t>
      </w:r>
    </w:p>
    <w:p w14:paraId="5741900F" w14:textId="370A1E7D" w:rsidR="00453E24" w:rsidRDefault="00A16F5E" w:rsidP="00453E24">
      <w:pPr>
        <w:pStyle w:val="CETHeading1"/>
      </w:pPr>
      <w:r>
        <w:t>Methodology</w:t>
      </w:r>
    </w:p>
    <w:p w14:paraId="4F65C889" w14:textId="1CFB16E2" w:rsidR="008C1211" w:rsidRDefault="00207160" w:rsidP="00820D4D">
      <w:pPr>
        <w:pStyle w:val="CETBodytext"/>
      </w:pPr>
      <w:bookmarkStart w:id="0" w:name="_Hlk96006215"/>
      <w:r>
        <w:rPr>
          <w:noProof/>
          <w:lang w:val="en-GB" w:eastAsia="en-GB"/>
        </w:rPr>
        <mc:AlternateContent>
          <mc:Choice Requires="wps">
            <w:drawing>
              <wp:anchor distT="0" distB="0" distL="114300" distR="114300" simplePos="0" relativeHeight="251653120" behindDoc="0" locked="0" layoutInCell="1" allowOverlap="1" wp14:anchorId="75F01E09" wp14:editId="347DB530">
                <wp:simplePos x="0" y="0"/>
                <wp:positionH relativeFrom="margin">
                  <wp:posOffset>-1905</wp:posOffset>
                </wp:positionH>
                <wp:positionV relativeFrom="paragraph">
                  <wp:posOffset>2053921</wp:posOffset>
                </wp:positionV>
                <wp:extent cx="5589270" cy="369570"/>
                <wp:effectExtent l="0" t="0" r="0" b="0"/>
                <wp:wrapThrough wrapText="bothSides">
                  <wp:wrapPolygon edited="0">
                    <wp:start x="0" y="0"/>
                    <wp:lineTo x="0" y="20041"/>
                    <wp:lineTo x="21497" y="20041"/>
                    <wp:lineTo x="21497"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5589270" cy="369570"/>
                        </a:xfrm>
                        <a:prstGeom prst="rect">
                          <a:avLst/>
                        </a:prstGeom>
                        <a:solidFill>
                          <a:prstClr val="white"/>
                        </a:solidFill>
                        <a:ln>
                          <a:noFill/>
                        </a:ln>
                      </wps:spPr>
                      <wps:txbx>
                        <w:txbxContent>
                          <w:p w14:paraId="53D6C64C" w14:textId="6733BD00" w:rsidR="00045BAE" w:rsidRPr="00786DD4" w:rsidRDefault="00045BAE" w:rsidP="005E4409">
                            <w:pPr>
                              <w:pStyle w:val="CETCaption"/>
                              <w:rPr>
                                <w:noProof/>
                              </w:rPr>
                            </w:pPr>
                            <w:r>
                              <w:t xml:space="preserve">Figure </w:t>
                            </w:r>
                            <w:fldSimple w:instr=" SEQ MySeq  \* MERGEFORMAT ">
                              <w:r>
                                <w:rPr>
                                  <w:noProof/>
                                </w:rPr>
                                <w:t>1</w:t>
                              </w:r>
                            </w:fldSimple>
                            <w:r>
                              <w:t>: schematic representation of the proposed methodological steps.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01E09" id="_x0000_t202" coordsize="21600,21600" o:spt="202" path="m,l,21600r21600,l21600,xe">
                <v:stroke joinstyle="miter"/>
                <v:path gradientshapeok="t" o:connecttype="rect"/>
              </v:shapetype>
              <v:shape id="Text Box 4" o:spid="_x0000_s1026" type="#_x0000_t202" style="position:absolute;left:0;text-align:left;margin-left:-.15pt;margin-top:161.75pt;width:440.1pt;height:29.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" stroked="f">
                <v:textbox inset="0,0,0,0">
                  <w:txbxContent>
                    <w:p w14:paraId="53D6C64C" w14:textId="6733BD00" w:rsidR="00045BAE" w:rsidRPr="00786DD4" w:rsidRDefault="00045BAE" w:rsidP="005E4409">
                      <w:pPr>
                        <w:pStyle w:val="CETCaption"/>
                        <w:rPr>
                          <w:noProof/>
                        </w:rPr>
                      </w:pPr>
                      <w:r>
                        <w:t xml:space="preserve">Figure </w:t>
                      </w:r>
                      <w:fldSimple w:instr=" SEQ MySeq  \* MERGEFORMAT ">
                        <w:r>
                          <w:rPr>
                            <w:noProof/>
                          </w:rPr>
                          <w:t>1</w:t>
                        </w:r>
                      </w:fldSimple>
                      <w:r>
                        <w:t>: schematic representation of the proposed methodological steps.</w:t>
                      </w:r>
                    </w:p>
                  </w:txbxContent>
                </v:textbox>
                <w10:wrap type="through" anchorx="margin"/>
              </v:shape>
            </w:pict>
          </mc:Fallback>
        </mc:AlternateContent>
      </w:r>
      <w:r w:rsidRPr="00EB1CA7">
        <w:rPr>
          <w:noProof/>
          <w:lang w:val="en-GB" w:eastAsia="en-GB"/>
        </w:rPr>
        <w:drawing>
          <wp:anchor distT="0" distB="0" distL="114300" distR="114300" simplePos="0" relativeHeight="251670528" behindDoc="0" locked="0" layoutInCell="1" allowOverlap="1" wp14:anchorId="3EB77192" wp14:editId="67A9A514">
            <wp:simplePos x="0" y="0"/>
            <wp:positionH relativeFrom="column">
              <wp:posOffset>635</wp:posOffset>
            </wp:positionH>
            <wp:positionV relativeFrom="paragraph">
              <wp:posOffset>320040</wp:posOffset>
            </wp:positionV>
            <wp:extent cx="5589270" cy="17354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9270" cy="173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653" w:rsidRPr="00820D4D">
        <w:t>In this paragraph</w:t>
      </w:r>
      <w:r w:rsidR="005E7653" w:rsidRPr="00C440FF">
        <w:t xml:space="preserve"> the methodology</w:t>
      </w:r>
      <w:r w:rsidR="00612F99" w:rsidRPr="00C440FF">
        <w:t xml:space="preserve"> developed </w:t>
      </w:r>
      <w:r w:rsidR="00291668">
        <w:t>to obtain</w:t>
      </w:r>
      <w:r w:rsidR="005E7653" w:rsidRPr="00C440FF">
        <w:t xml:space="preserve"> a</w:t>
      </w:r>
      <w:r w:rsidR="005260DC" w:rsidRPr="00C440FF">
        <w:t xml:space="preserve">n </w:t>
      </w:r>
      <w:r w:rsidR="00612F99" w:rsidRPr="008528F8">
        <w:t xml:space="preserve">optimized </w:t>
      </w:r>
      <w:r w:rsidR="00233F1F">
        <w:t>hybrid</w:t>
      </w:r>
      <w:r w:rsidR="00233F1F" w:rsidRPr="008528F8">
        <w:t xml:space="preserve"> </w:t>
      </w:r>
      <w:r w:rsidR="005260DC" w:rsidRPr="008528F8">
        <w:t xml:space="preserve">energy system </w:t>
      </w:r>
      <w:r w:rsidR="005E7653" w:rsidRPr="008528F8">
        <w:t>for</w:t>
      </w:r>
      <w:r w:rsidR="005260DC" w:rsidRPr="008528F8">
        <w:t xml:space="preserve"> </w:t>
      </w:r>
      <w:r w:rsidR="00612F99" w:rsidRPr="008528F8">
        <w:t xml:space="preserve">the self-sustained </w:t>
      </w:r>
      <w:r w:rsidR="005260DC" w:rsidRPr="008528F8">
        <w:t xml:space="preserve">offshore </w:t>
      </w:r>
      <w:r w:rsidR="00DC43E0" w:rsidRPr="008528F8">
        <w:t>production</w:t>
      </w:r>
      <w:r w:rsidR="00612F99" w:rsidRPr="008528F8">
        <w:t xml:space="preserve"> of methanol</w:t>
      </w:r>
      <w:r w:rsidR="008258B1" w:rsidRPr="008528F8">
        <w:t xml:space="preserve"> </w:t>
      </w:r>
      <w:r w:rsidR="001A43A1">
        <w:t>is</w:t>
      </w:r>
      <w:r w:rsidR="005E7653" w:rsidRPr="008528F8">
        <w:t xml:space="preserve"> described.</w:t>
      </w:r>
      <w:r w:rsidR="00640453" w:rsidRPr="008528F8">
        <w:t xml:space="preserve"> </w:t>
      </w:r>
      <w:r w:rsidR="0058784C" w:rsidRPr="008528F8">
        <w:t xml:space="preserve">It </w:t>
      </w:r>
      <w:r w:rsidR="00C71986">
        <w:t>was</w:t>
      </w:r>
      <w:r w:rsidR="005E7653" w:rsidRPr="008528F8">
        <w:t xml:space="preserve"> divided in</w:t>
      </w:r>
      <w:r w:rsidR="00155D91" w:rsidRPr="008528F8">
        <w:t>to</w:t>
      </w:r>
      <w:r w:rsidR="005E7653" w:rsidRPr="008528F8">
        <w:t xml:space="preserve"> </w:t>
      </w:r>
      <w:r w:rsidR="00076EA7">
        <w:t>five</w:t>
      </w:r>
      <w:r w:rsidR="005E7653" w:rsidRPr="008528F8">
        <w:t xml:space="preserve"> steps</w:t>
      </w:r>
      <w:r w:rsidR="00612F99" w:rsidRPr="008528F8">
        <w:t>, as</w:t>
      </w:r>
      <w:r w:rsidR="00DD6E13" w:rsidRPr="008528F8">
        <w:t xml:space="preserve"> shown in </w:t>
      </w:r>
      <w:r w:rsidR="0094266E" w:rsidRPr="008528F8">
        <w:t>F</w:t>
      </w:r>
      <w:r w:rsidR="00DD6E13" w:rsidRPr="008528F8">
        <w:t>igure 1.</w:t>
      </w:r>
      <w:r w:rsidR="00640453" w:rsidRPr="008528F8">
        <w:t xml:space="preserve"> </w:t>
      </w:r>
    </w:p>
    <w:p w14:paraId="46E4B4AF" w14:textId="044D295B" w:rsidR="005260DC" w:rsidRPr="008528F8" w:rsidRDefault="000A4601" w:rsidP="00C440FF">
      <w:pPr>
        <w:pStyle w:val="CETBodytext"/>
      </w:pPr>
      <w:r w:rsidRPr="008528F8">
        <w:t>At step 1</w:t>
      </w:r>
      <w:r w:rsidR="003A554A" w:rsidRPr="008528F8">
        <w:t>, the</w:t>
      </w:r>
      <w:r w:rsidR="005310EF" w:rsidRPr="008528F8">
        <w:t xml:space="preserve"> offshore</w:t>
      </w:r>
      <w:r w:rsidR="003A554A" w:rsidRPr="008528F8">
        <w:t xml:space="preserve"> site </w:t>
      </w:r>
      <w:r w:rsidR="00466A22" w:rsidRPr="008528F8">
        <w:t>has to be</w:t>
      </w:r>
      <w:r w:rsidR="003A554A" w:rsidRPr="008528F8">
        <w:t xml:space="preserve"> chosen and </w:t>
      </w:r>
      <w:r w:rsidR="0045120D" w:rsidRPr="008528F8">
        <w:t xml:space="preserve">some considerations have to be done </w:t>
      </w:r>
      <w:r w:rsidR="003A554A" w:rsidRPr="008528F8">
        <w:t xml:space="preserve">to </w:t>
      </w:r>
      <w:r w:rsidR="005310EF" w:rsidRPr="008528F8">
        <w:t xml:space="preserve">drive </w:t>
      </w:r>
      <w:r w:rsidR="00466A22" w:rsidRPr="008528F8">
        <w:t>this</w:t>
      </w:r>
      <w:r w:rsidR="003A554A" w:rsidRPr="008528F8">
        <w:t xml:space="preserve"> choice. Firstly</w:t>
      </w:r>
      <w:r w:rsidR="00AF2046" w:rsidRPr="008528F8">
        <w:t>,</w:t>
      </w:r>
      <w:r w:rsidR="003A554A" w:rsidRPr="008528F8">
        <w:t xml:space="preserve"> the choice </w:t>
      </w:r>
      <w:r w:rsidR="00CC5085">
        <w:t xml:space="preserve">of the site </w:t>
      </w:r>
      <w:r w:rsidR="00004DBD">
        <w:t>i</w:t>
      </w:r>
      <w:r w:rsidR="00076EA7">
        <w:t>s</w:t>
      </w:r>
      <w:r w:rsidR="00AF2046" w:rsidRPr="008528F8">
        <w:t xml:space="preserve"> related </w:t>
      </w:r>
      <w:r w:rsidR="008C6AE1" w:rsidRPr="008528F8">
        <w:t xml:space="preserve">to </w:t>
      </w:r>
      <w:r w:rsidR="00AF2046" w:rsidRPr="008528F8">
        <w:t xml:space="preserve">the presence of a </w:t>
      </w:r>
      <w:r w:rsidR="008C6AE1" w:rsidRPr="008528F8">
        <w:t xml:space="preserve">platform </w:t>
      </w:r>
      <w:r w:rsidR="00AF2046" w:rsidRPr="008528F8">
        <w:t>close to</w:t>
      </w:r>
      <w:r w:rsidR="003A554A" w:rsidRPr="008528F8">
        <w:t xml:space="preserve"> </w:t>
      </w:r>
      <w:r w:rsidR="005310EF" w:rsidRPr="008528F8">
        <w:t xml:space="preserve">the </w:t>
      </w:r>
      <w:r w:rsidR="003A554A" w:rsidRPr="008528F8">
        <w:t>decommissioning</w:t>
      </w:r>
      <w:r w:rsidR="00253A4C" w:rsidRPr="008528F8">
        <w:t xml:space="preserve">-phase; </w:t>
      </w:r>
      <w:r w:rsidRPr="008528F8">
        <w:t xml:space="preserve">secondly, </w:t>
      </w:r>
      <w:r w:rsidR="0058784C" w:rsidRPr="008528F8">
        <w:t xml:space="preserve">as reported in literature </w:t>
      </w:r>
      <w:r w:rsidR="00004DBD">
        <w:t>(</w:t>
      </w:r>
      <w:r w:rsidR="0058784C" w:rsidRPr="00820D4D">
        <w:fldChar w:fldCharType="begin" w:fldLock="1"/>
      </w:r>
      <w:r w:rsidR="00280D7C" w:rsidRPr="008528F8">
        <w:instrText>ADDIN CSL_CITATION {"citationItems":[{"id":"ITEM-1","itemData":{"DOI":"10.1016/j.jclepro.2021.126226","ISSN":"09596526","abstract":"Due to rapidly increasing world population and growing energy demands, the development of cleaner technologies to exploit renewable energy systems has become of primary importance in the collective efforts to reduce greenhouse gases emissions. The chemical conversion of renewable power into synthetic liquid fuels, such as methanol, allows an easier storage and transportation and avoids any fluctuating issues. Alternative process routes for methanol production other than from raw materials derived from fossil fuels have, during the past decade, grown in interest, where valorising the carbon capture and utilization concept and promoting synergies with the oil &amp; gas industry are potentially achieved. The aim of this study is, in this regard, to investigate the sustainability aspects of alternative processes for synthetic methanol synthesis by applying a systematic methodology based on multi-criteria performance indicators (such as technological, economic, environmental and inherent safety). A total of eleven alternative methanol production schemes, based on synthetic methane or carbon dioxide transformation, are considered, analyzed and comparatively evaluated. The present results demonstrate that the process schemes using catalytic hydrogenation of carbon dioxide offers the best performance when considering a methanol capacity of 500 kg/h. A sensitivity analysis based on the Monte Carlo approach is also performed to verify the robustness of the results.","author":[{"dropping-particle":"","family":"Crivellari","given":"A.","non-dropping-particle":"","parse-names":false,"suffix":""},{"dropping-particle":"","family":"Casson Moreno","given":"V.","non-dropping-particle":"","parse-names":false,"suffix":""},{"dropping-particle":"","family":"Cozzani","given":"V.","non-dropping-particle":"","parse-names":false,"suffix":""},{"dropping-particle":"","family":"Dincer","given":"I.","non-dropping-particle":"","parse-names":false,"suffix":""}],"container-title":"Journal of Cleaner Production","id":"ITEM-1","issued":{"date-parts":[["2021"]]},"page":"126226","publisher":"Elsevier Ltd","title":"Multi-criteria sustainability assessment of potential methanol production processes","type":"article-journal","volume":"293"},"uris":["http://www.mendeley.com/documents/?uuid=cb75a8e8-ef64-485d-aa06-346ecbd91fb4"]}],"mendeley":{"formattedCitation":"(Crivellari et al., 2021)","manualFormatting":"Crivellari et al. (2021)","plainTextFormattedCitation":"(Crivellari et al., 2021)","previouslyFormattedCitation":"(Crivellari et al., 2021)"},"properties":{"noteIndex":0},"schema":"https://github.com/citation-style-language/schema/raw/master/csl-citation.json"}</w:instrText>
      </w:r>
      <w:r w:rsidR="0058784C" w:rsidRPr="00820D4D">
        <w:fldChar w:fldCharType="separate"/>
      </w:r>
      <w:r w:rsidR="0058784C" w:rsidRPr="0099598B">
        <w:rPr>
          <w:noProof/>
        </w:rPr>
        <w:t>Crivellari et al.</w:t>
      </w:r>
      <w:r w:rsidR="00004DBD">
        <w:rPr>
          <w:noProof/>
        </w:rPr>
        <w:t>,</w:t>
      </w:r>
      <w:r w:rsidR="00087814">
        <w:rPr>
          <w:noProof/>
        </w:rPr>
        <w:t xml:space="preserve"> </w:t>
      </w:r>
      <w:r w:rsidR="0058784C" w:rsidRPr="0099598B">
        <w:rPr>
          <w:noProof/>
        </w:rPr>
        <w:t>2021)</w:t>
      </w:r>
      <w:r w:rsidR="0058784C" w:rsidRPr="00820D4D">
        <w:fldChar w:fldCharType="end"/>
      </w:r>
      <w:r w:rsidR="0058784C" w:rsidRPr="00820D4D">
        <w:t xml:space="preserve">, </w:t>
      </w:r>
      <w:r w:rsidR="00004DBD" w:rsidRPr="00820D4D">
        <w:t>CO</w:t>
      </w:r>
      <w:r w:rsidR="00004DBD" w:rsidRPr="0099598B">
        <w:rPr>
          <w:vertAlign w:val="subscript"/>
        </w:rPr>
        <w:t>2</w:t>
      </w:r>
      <w:r w:rsidR="00004DBD" w:rsidRPr="00820D4D">
        <w:t xml:space="preserve"> or CH</w:t>
      </w:r>
      <w:r w:rsidR="00004DBD" w:rsidRPr="0099598B">
        <w:rPr>
          <w:vertAlign w:val="subscript"/>
        </w:rPr>
        <w:t>4</w:t>
      </w:r>
      <w:r w:rsidR="00004DBD" w:rsidRPr="00820D4D">
        <w:t xml:space="preserve"> </w:t>
      </w:r>
      <w:r w:rsidR="00004DBD">
        <w:t>are</w:t>
      </w:r>
      <w:r w:rsidR="00004DBD" w:rsidRPr="00820D4D">
        <w:t xml:space="preserve"> needed as pr</w:t>
      </w:r>
      <w:r w:rsidR="00004DBD" w:rsidRPr="00C440FF">
        <w:t xml:space="preserve">ecursors </w:t>
      </w:r>
      <w:r w:rsidR="0058784C" w:rsidRPr="00820D4D">
        <w:t xml:space="preserve">to produce methanol through innovative processes, </w:t>
      </w:r>
      <w:r w:rsidR="00155D91" w:rsidRPr="00C440FF">
        <w:t>thus</w:t>
      </w:r>
      <w:r w:rsidR="00172743" w:rsidRPr="00C440FF">
        <w:t xml:space="preserve"> o</w:t>
      </w:r>
      <w:r w:rsidR="00BB3EC5" w:rsidRPr="00C440FF">
        <w:t xml:space="preserve">ther </w:t>
      </w:r>
      <w:r w:rsidR="00253A4C" w:rsidRPr="00C440FF">
        <w:t>important aspect</w:t>
      </w:r>
      <w:r w:rsidR="00BB3EC5" w:rsidRPr="00C440FF">
        <w:t>s</w:t>
      </w:r>
      <w:r w:rsidR="00253A4C" w:rsidRPr="00C440FF">
        <w:t xml:space="preserve"> </w:t>
      </w:r>
      <w:r w:rsidR="00076EA7">
        <w:t>were</w:t>
      </w:r>
      <w:r w:rsidR="00253A4C" w:rsidRPr="008528F8">
        <w:t xml:space="preserve"> the composition and the flowrate of the residual gas </w:t>
      </w:r>
      <w:r w:rsidR="00CC5085">
        <w:t>from</w:t>
      </w:r>
      <w:r w:rsidR="00CC5085" w:rsidRPr="008528F8">
        <w:t xml:space="preserve"> </w:t>
      </w:r>
      <w:r w:rsidR="00253A4C" w:rsidRPr="008528F8">
        <w:t xml:space="preserve">the </w:t>
      </w:r>
      <w:r w:rsidR="00004DBD">
        <w:t>reservoir</w:t>
      </w:r>
      <w:r w:rsidR="00172743" w:rsidRPr="008528F8">
        <w:t>.</w:t>
      </w:r>
      <w:r w:rsidR="00253A4C" w:rsidRPr="008528F8">
        <w:t xml:space="preserve"> </w:t>
      </w:r>
      <w:r w:rsidR="00004DBD">
        <w:t>Actually, in case natural gas i</w:t>
      </w:r>
      <w:r w:rsidR="00076EA7">
        <w:t>s</w:t>
      </w:r>
      <w:r w:rsidR="00172743" w:rsidRPr="008528F8">
        <w:t xml:space="preserve"> </w:t>
      </w:r>
      <w:r w:rsidR="00253A4C" w:rsidRPr="008528F8">
        <w:t xml:space="preserve">not present </w:t>
      </w:r>
      <w:r w:rsidR="00004DBD">
        <w:t>in a sufficient amount</w:t>
      </w:r>
      <w:r w:rsidR="00253A4C" w:rsidRPr="00820D4D">
        <w:t xml:space="preserve">, </w:t>
      </w:r>
      <w:r w:rsidR="00172743" w:rsidRPr="00820D4D">
        <w:t xml:space="preserve">it </w:t>
      </w:r>
      <w:r w:rsidR="00802802">
        <w:t>had</w:t>
      </w:r>
      <w:r w:rsidR="00253A4C" w:rsidRPr="00C440FF">
        <w:t xml:space="preserve"> to be imported </w:t>
      </w:r>
      <w:r w:rsidR="00E0499A">
        <w:t xml:space="preserve">or produced </w:t>
      </w:r>
      <w:r w:rsidR="00253A4C" w:rsidRPr="00C440FF">
        <w:t xml:space="preserve">on the platform. </w:t>
      </w:r>
      <w:r w:rsidR="00155D91" w:rsidRPr="008528F8">
        <w:t>The l</w:t>
      </w:r>
      <w:r w:rsidR="0062401A" w:rsidRPr="008528F8">
        <w:t xml:space="preserve">ast </w:t>
      </w:r>
      <w:r w:rsidR="00155D91" w:rsidRPr="008528F8">
        <w:t>phase</w:t>
      </w:r>
      <w:r w:rsidR="0062401A" w:rsidRPr="008528F8">
        <w:t xml:space="preserve"> of the first step </w:t>
      </w:r>
      <w:r w:rsidRPr="008528F8">
        <w:t>consist</w:t>
      </w:r>
      <w:r w:rsidR="00004DBD">
        <w:t>s</w:t>
      </w:r>
      <w:r w:rsidRPr="008528F8">
        <w:t xml:space="preserve"> in checking </w:t>
      </w:r>
      <w:r w:rsidR="0062401A" w:rsidRPr="008528F8">
        <w:t xml:space="preserve">the </w:t>
      </w:r>
      <w:r w:rsidR="00DC43E0" w:rsidRPr="008528F8">
        <w:t xml:space="preserve">availability of </w:t>
      </w:r>
      <w:proofErr w:type="spellStart"/>
      <w:r w:rsidR="00DC43E0" w:rsidRPr="008528F8">
        <w:t>meteo</w:t>
      </w:r>
      <w:proofErr w:type="spellEnd"/>
      <w:r w:rsidRPr="008528F8">
        <w:t>-</w:t>
      </w:r>
      <w:r w:rsidR="00DC43E0" w:rsidRPr="008528F8">
        <w:t xml:space="preserve">climatic </w:t>
      </w:r>
      <w:r w:rsidR="0062401A" w:rsidRPr="008528F8">
        <w:t xml:space="preserve">data </w:t>
      </w:r>
      <w:r w:rsidR="003B498D" w:rsidRPr="008528F8">
        <w:t>related to</w:t>
      </w:r>
      <w:r w:rsidR="000F6CAE" w:rsidRPr="008528F8">
        <w:t xml:space="preserve"> </w:t>
      </w:r>
      <w:r w:rsidR="00DB2567" w:rsidRPr="008528F8">
        <w:t>the different</w:t>
      </w:r>
      <w:r w:rsidR="000F6CAE" w:rsidRPr="008528F8">
        <w:t xml:space="preserve"> </w:t>
      </w:r>
      <w:r w:rsidR="003B498D" w:rsidRPr="008528F8">
        <w:t>RESs</w:t>
      </w:r>
      <w:r w:rsidR="000F6CAE" w:rsidRPr="00820D4D">
        <w:t>.</w:t>
      </w:r>
      <w:r w:rsidR="0008211F" w:rsidRPr="00820D4D">
        <w:t xml:space="preserve"> </w:t>
      </w:r>
      <w:r w:rsidR="00084B60" w:rsidRPr="00C440FF">
        <w:t xml:space="preserve">Data collected must cover at least one year to investigate all seasonal variations, while timestep </w:t>
      </w:r>
      <w:r w:rsidR="00802802">
        <w:t>ha</w:t>
      </w:r>
      <w:r w:rsidR="00004DBD">
        <w:t>s</w:t>
      </w:r>
      <w:r w:rsidR="00084B60" w:rsidRPr="00C440FF">
        <w:t xml:space="preserve"> to be </w:t>
      </w:r>
      <w:r w:rsidR="00894B2F">
        <w:t>one</w:t>
      </w:r>
      <w:r w:rsidR="00084B60" w:rsidRPr="00C440FF">
        <w:t xml:space="preserve"> hour</w:t>
      </w:r>
      <w:r w:rsidR="0045120D">
        <w:t xml:space="preserve"> or lower</w:t>
      </w:r>
      <w:r w:rsidR="00084B60" w:rsidRPr="00C440FF">
        <w:t xml:space="preserve"> </w:t>
      </w:r>
      <w:r w:rsidR="00004DBD">
        <w:t>due to</w:t>
      </w:r>
      <w:r w:rsidR="00084B60" w:rsidRPr="00C440FF">
        <w:t xml:space="preserve"> RESs unpredictab</w:t>
      </w:r>
      <w:r w:rsidR="00084B60" w:rsidRPr="008528F8">
        <w:t>ility.</w:t>
      </w:r>
    </w:p>
    <w:p w14:paraId="010B3CF5" w14:textId="49E9789B" w:rsidR="00DB2567" w:rsidRPr="00820D4D" w:rsidRDefault="009477E2" w:rsidP="008528F8">
      <w:pPr>
        <w:pStyle w:val="CETBodytext"/>
      </w:pPr>
      <w:r w:rsidRPr="008528F8">
        <w:t xml:space="preserve">The second step </w:t>
      </w:r>
      <w:r w:rsidR="00004DBD">
        <w:t>i</w:t>
      </w:r>
      <w:r w:rsidR="00CC5085">
        <w:t>s</w:t>
      </w:r>
      <w:r w:rsidR="0062401A" w:rsidRPr="008528F8">
        <w:t xml:space="preserve"> </w:t>
      </w:r>
      <w:r w:rsidRPr="008528F8">
        <w:t xml:space="preserve">the elaboration of </w:t>
      </w:r>
      <w:r w:rsidR="00782697" w:rsidRPr="008528F8">
        <w:t xml:space="preserve">the </w:t>
      </w:r>
      <w:r w:rsidRPr="008528F8">
        <w:t xml:space="preserve">collected data to evaluate </w:t>
      </w:r>
      <w:r w:rsidR="003B498D" w:rsidRPr="008528F8">
        <w:t xml:space="preserve">the energy potential </w:t>
      </w:r>
      <w:r w:rsidR="0045120D">
        <w:t>of</w:t>
      </w:r>
      <w:r w:rsidR="0045120D" w:rsidRPr="008528F8">
        <w:t xml:space="preserve"> </w:t>
      </w:r>
      <w:r w:rsidR="003B498D" w:rsidRPr="008528F8">
        <w:t>each source in the site</w:t>
      </w:r>
      <w:r w:rsidRPr="008528F8">
        <w:t xml:space="preserve">. After that, the optimal converter </w:t>
      </w:r>
      <w:r w:rsidR="00004DBD">
        <w:t>i</w:t>
      </w:r>
      <w:r w:rsidR="00CC5085">
        <w:t>s</w:t>
      </w:r>
      <w:r w:rsidRPr="008528F8">
        <w:t xml:space="preserve"> selected for each source</w:t>
      </w:r>
      <w:r w:rsidR="0045120D">
        <w:t>,</w:t>
      </w:r>
      <w:r w:rsidRPr="008528F8">
        <w:t xml:space="preserve"> </w:t>
      </w:r>
      <w:r w:rsidR="001C494E" w:rsidRPr="008528F8">
        <w:t>considering</w:t>
      </w:r>
      <w:r w:rsidRPr="008528F8">
        <w:t xml:space="preserve"> the </w:t>
      </w:r>
      <w:r w:rsidR="00A564B4" w:rsidRPr="008528F8">
        <w:t>potentiality</w:t>
      </w:r>
      <w:r w:rsidR="00F42CC5" w:rsidRPr="008528F8">
        <w:t xml:space="preserve"> and the operating conditions</w:t>
      </w:r>
      <w:r w:rsidR="00A564B4" w:rsidRPr="008528F8">
        <w:t xml:space="preserve"> for which the converter </w:t>
      </w:r>
      <w:r w:rsidR="00C71986">
        <w:t>was</w:t>
      </w:r>
      <w:r w:rsidR="00A564B4" w:rsidRPr="008528F8">
        <w:t xml:space="preserve"> designed</w:t>
      </w:r>
      <w:r w:rsidRPr="008528F8">
        <w:t>.</w:t>
      </w:r>
    </w:p>
    <w:p w14:paraId="5D468A69" w14:textId="0E47DF6D" w:rsidR="00D336FC" w:rsidRPr="00820D4D" w:rsidRDefault="00782697" w:rsidP="00820D4D">
      <w:pPr>
        <w:pStyle w:val="CETBodytext"/>
      </w:pPr>
      <w:r w:rsidRPr="00820D4D">
        <w:t>T</w:t>
      </w:r>
      <w:r w:rsidR="00466A22" w:rsidRPr="00820D4D">
        <w:t xml:space="preserve">he </w:t>
      </w:r>
      <w:r w:rsidR="0008211F" w:rsidRPr="00C440FF">
        <w:t xml:space="preserve">third </w:t>
      </w:r>
      <w:r w:rsidR="00466A22" w:rsidRPr="00C440FF">
        <w:t xml:space="preserve">step </w:t>
      </w:r>
      <w:r w:rsidR="00004DBD">
        <w:t>i</w:t>
      </w:r>
      <w:r w:rsidR="00802802">
        <w:t>s</w:t>
      </w:r>
      <w:r w:rsidR="00466A22" w:rsidRPr="00C440FF">
        <w:t xml:space="preserve"> the calculation of </w:t>
      </w:r>
      <w:r w:rsidR="00D336FC" w:rsidRPr="00C440FF">
        <w:t>the power production</w:t>
      </w:r>
      <w:r w:rsidR="00266982" w:rsidRPr="00C440FF">
        <w:t xml:space="preserve"> curves</w:t>
      </w:r>
      <w:r w:rsidR="00D336FC" w:rsidRPr="00C440FF">
        <w:t xml:space="preserve">, according to </w:t>
      </w:r>
      <w:r w:rsidR="00266982" w:rsidRPr="00C440FF">
        <w:t xml:space="preserve">both collected data and converters performance. </w:t>
      </w:r>
      <w:r w:rsidR="0019719D" w:rsidRPr="00C440FF">
        <w:t>For the</w:t>
      </w:r>
      <w:r w:rsidR="0019719D" w:rsidRPr="008528F8">
        <w:t xml:space="preserve"> solar </w:t>
      </w:r>
      <w:r w:rsidR="006B27C9" w:rsidRPr="008528F8">
        <w:t>power production</w:t>
      </w:r>
      <w:r w:rsidR="009C5E17">
        <w:t xml:space="preserve">, equations reported in </w:t>
      </w:r>
      <w:r w:rsidR="009C5E17" w:rsidRPr="00820D4D">
        <w:fldChar w:fldCharType="begin" w:fldLock="1"/>
      </w:r>
      <w:r w:rsidR="00615AB3">
        <w:instrText>ADDIN CSL_CITATION {"citationItems":[{"id":"ITEM-1","itemData":{"author":[{"dropping-particle":"","family":"European Commission","given":"","non-dropping-particle":"","parse-names":false,"suffix":""}],"id":"ITEM-1","issued":{"date-parts":[["2016"]]},"title":"UNI/TS 11300-4. Energy performance of buildings. Part 4: Renowable energy and other generation systems for space heating and domestic hot water production.","type":"article-journal"},"uris":["http://www.mendeley.com/documents/?uuid=d9ae310a-faba-4f11-8838-896b46c3ac33"]}],"mendeley":{"formattedCitation":"(European Commission, 2016)","manualFormatting":"(UNI, 2016)","plainTextFormattedCitation":"(European Commission, 2016)","previouslyFormattedCitation":"(European Commission, 2016)"},"properties":{"noteIndex":0},"schema":"https://github.com/citation-style-language/schema/raw/master/csl-citation.json"}</w:instrText>
      </w:r>
      <w:r w:rsidR="009C5E17" w:rsidRPr="00820D4D">
        <w:fldChar w:fldCharType="separate"/>
      </w:r>
      <w:r w:rsidR="009C5E17" w:rsidRPr="00FA0D6B">
        <w:rPr>
          <w:noProof/>
        </w:rPr>
        <w:t>(UNI, 2016)</w:t>
      </w:r>
      <w:r w:rsidR="009C5E17" w:rsidRPr="00820D4D">
        <w:fldChar w:fldCharType="end"/>
      </w:r>
      <w:r w:rsidR="009C5E17">
        <w:t xml:space="preserve"> were used</w:t>
      </w:r>
      <w:r w:rsidR="00A36728" w:rsidRPr="00820D4D">
        <w:t>.</w:t>
      </w:r>
      <w:r w:rsidR="003B559C" w:rsidRPr="00820D4D">
        <w:t xml:space="preserve"> The power</w:t>
      </w:r>
      <w:r w:rsidR="00CC5085">
        <w:t>s</w:t>
      </w:r>
      <w:r w:rsidR="003B559C" w:rsidRPr="00820D4D">
        <w:t xml:space="preserve"> produced by</w:t>
      </w:r>
      <w:r w:rsidR="00CC5085">
        <w:t xml:space="preserve"> the</w:t>
      </w:r>
      <w:r w:rsidR="003B559C" w:rsidRPr="00820D4D">
        <w:t xml:space="preserve"> wind </w:t>
      </w:r>
      <w:r w:rsidR="00EA5485" w:rsidRPr="00C440FF">
        <w:t>turbine (WT)</w:t>
      </w:r>
      <w:r w:rsidR="003B559C" w:rsidRPr="00C440FF">
        <w:t xml:space="preserve"> and by </w:t>
      </w:r>
      <w:r w:rsidR="00CC5085">
        <w:t xml:space="preserve">the </w:t>
      </w:r>
      <w:r w:rsidR="003B559C" w:rsidRPr="00C440FF">
        <w:t>wave energy converter</w:t>
      </w:r>
      <w:r w:rsidR="00716D06" w:rsidRPr="00C440FF">
        <w:t xml:space="preserve"> (WEC)</w:t>
      </w:r>
      <w:r w:rsidR="003B559C" w:rsidRPr="00C440FF">
        <w:t xml:space="preserve"> </w:t>
      </w:r>
      <w:r w:rsidR="00004DBD">
        <w:t>a</w:t>
      </w:r>
      <w:r w:rsidR="00741D96">
        <w:t>re</w:t>
      </w:r>
      <w:r w:rsidR="003B559C" w:rsidRPr="00C440FF">
        <w:t xml:space="preserve"> calculated using respectively power curve</w:t>
      </w:r>
      <w:r w:rsidR="00584279">
        <w:t xml:space="preserve"> </w:t>
      </w:r>
      <w:r w:rsidR="00584279">
        <w:fldChar w:fldCharType="begin" w:fldLock="1"/>
      </w:r>
      <w:r w:rsidR="008B3EBC">
        <w:instrText>ADDIN CSL_CITATION {"citationItems":[{"id":"ITEM-1","itemData":{"author":[{"dropping-particle":"","family":"Napolitano","given":"Fabio","non-dropping-particle":"","parse-names":false,"suffix":""}],"id":"ITEM-1","issued":{"date-parts":[["2021"]]},"page":"1-153","title":"System for the production and conversion of electrical energy","type":"article-journal"},"uris":["http://www.mendeley.com/documents/?uuid=70b48c02-71ad-403a-bb01-454fb195d791"]}],"mendeley":{"formattedCitation":"(Napolitano, 2021)","plainTextFormattedCitation":"(Napolitano, 2021)","previouslyFormattedCitation":"(Napolitano, 2021)"},"properties":{"noteIndex":0},"schema":"https://github.com/citation-style-language/schema/raw/master/csl-citation.json"}</w:instrText>
      </w:r>
      <w:r w:rsidR="00584279">
        <w:fldChar w:fldCharType="separate"/>
      </w:r>
      <w:r w:rsidR="00584279" w:rsidRPr="00584279">
        <w:rPr>
          <w:noProof/>
        </w:rPr>
        <w:t>(Napolitano, 2021)</w:t>
      </w:r>
      <w:r w:rsidR="00584279">
        <w:fldChar w:fldCharType="end"/>
      </w:r>
      <w:r w:rsidR="003B559C" w:rsidRPr="00C440FF">
        <w:t xml:space="preserve"> and</w:t>
      </w:r>
      <w:r w:rsidR="003B559C" w:rsidRPr="008528F8">
        <w:t xml:space="preserve"> power matrix</w:t>
      </w:r>
      <w:r w:rsidR="007A62D1" w:rsidRPr="008528F8">
        <w:t xml:space="preserve"> </w:t>
      </w:r>
      <w:r w:rsidR="00650662">
        <w:fldChar w:fldCharType="begin" w:fldLock="1"/>
      </w:r>
      <w:r w:rsidR="00650662">
        <w:instrText>ADDIN CSL_CITATION {"citationItems":[{"id":"ITEM-1","itemData":{"DOI":"10.1016/j.renene.2014.11.050","ISSN":"18790682","abstract":"Power generation from wave power has a large potential to contribute to our electric energy production, and today, many wave power projects are close to be commercialized. However, one key issue to solve for many projects is to decrease the cost per installed kW. One way to do this is to investigate which parameters that have a significant impact on the wave energy converters (WEC) performance.In this paper, experimental results on power absorption from a directly driven point absorbing WEC are presented. The experiments have been carried out at the Lysekil research site in Sweden. To investigate the performance of the WEC, the absorbed power and the speed of the translator are compared. The result confirms that the buoy size and the translator weight have a large impact on the power absorption from the generator. By optimizing the buoy size and translator weight, the WEC is believed to produce power more evenly over the upward and downward cycle.Moreover, to predict the maximum power limit during normal operation, a simulation model has been derived. The results correlates well with experimental data during normal operation.","author":[{"dropping-particle":"","family":"Lejerskog","given":"Erik","non-dropping-particle":"","parse-names":false,"suffix":""},{"dropping-particle":"","family":"Boström","given":"Cecilia","non-dropping-particle":"","parse-names":false,"suffix":""},{"dropping-particle":"","family":"Hai","given":"Ling","non-dropping-particle":"","parse-names":false,"suffix":""},{"dropping-particle":"","family":"Waters","given":"Rafael","non-dropping-particle":"","parse-names":false,"suffix":""},{"dropping-particle":"","family":"Leijon","given":"Mats","non-dropping-particle":"","parse-names":false,"suffix":""}],"container-title":"Renewable Energy","id":"ITEM-1","issue":"May","issued":{"date-parts":[["2015"]]},"page":"9-14","publisher":"Elsevier Ltd","title":"Experimental results on power absorption from a wave energy converter at the Lysekil wave energy research site","type":"article-journal","volume":"77"},"uris":["http://www.mendeley.com/documents/?uuid=3cb2cc22-59ce-4773-b899-1a1ef5b2eaa2"]}],"mendeley":{"formattedCitation":"(Lejerskog et al., 2015)","plainTextFormattedCitation":"(Lejerskog et al., 2015)","previouslyFormattedCitation":"(Lejerskog et al., 2015)"},"properties":{"noteIndex":0},"schema":"https://github.com/citation-style-language/schema/raw/master/csl-citation.json"}</w:instrText>
      </w:r>
      <w:r w:rsidR="00650662">
        <w:fldChar w:fldCharType="separate"/>
      </w:r>
      <w:r w:rsidR="00650662" w:rsidRPr="00195D52">
        <w:rPr>
          <w:noProof/>
        </w:rPr>
        <w:t>(Lejerskog et al., 2015)</w:t>
      </w:r>
      <w:r w:rsidR="00650662">
        <w:fldChar w:fldCharType="end"/>
      </w:r>
      <w:r w:rsidR="00650662" w:rsidRPr="008528F8">
        <w:t xml:space="preserve"> </w:t>
      </w:r>
      <w:r w:rsidR="007A62D1" w:rsidRPr="008528F8">
        <w:t>(</w:t>
      </w:r>
      <w:r w:rsidR="0008211F" w:rsidRPr="008528F8">
        <w:t xml:space="preserve">as </w:t>
      </w:r>
      <w:r w:rsidR="007A62D1" w:rsidRPr="008528F8">
        <w:t xml:space="preserve">shown </w:t>
      </w:r>
      <w:r w:rsidR="00CF4DE1">
        <w:t xml:space="preserve">in </w:t>
      </w:r>
      <w:r w:rsidR="0008211F" w:rsidRPr="008528F8">
        <w:t>section 4 of the present paper</w:t>
      </w:r>
      <w:r w:rsidR="007A62D1" w:rsidRPr="008528F8">
        <w:t>)</w:t>
      </w:r>
      <w:r w:rsidR="00716D06" w:rsidRPr="008528F8">
        <w:t xml:space="preserve">, two tools </w:t>
      </w:r>
      <w:r w:rsidR="00004DBD">
        <w:t>provided</w:t>
      </w:r>
      <w:r w:rsidR="00716D06" w:rsidRPr="008528F8">
        <w:t xml:space="preserve"> by constructor</w:t>
      </w:r>
      <w:r w:rsidR="00CC5085">
        <w:t>s</w:t>
      </w:r>
      <w:r w:rsidR="00716D06" w:rsidRPr="008528F8">
        <w:t xml:space="preserve"> and specific for each converter</w:t>
      </w:r>
      <w:r w:rsidR="003B559C" w:rsidRPr="00820D4D">
        <w:t xml:space="preserve">. </w:t>
      </w:r>
      <w:r w:rsidR="008F73DC" w:rsidRPr="00820D4D">
        <w:t>The tools work getting as input one or more site variables</w:t>
      </w:r>
      <w:r w:rsidR="00CC5085">
        <w:t xml:space="preserve"> and providing in</w:t>
      </w:r>
      <w:r w:rsidR="008F73DC" w:rsidRPr="00820D4D">
        <w:t xml:space="preserve"> output the power produced by the converter</w:t>
      </w:r>
      <w:r w:rsidR="000953CF">
        <w:t>s</w:t>
      </w:r>
      <w:r w:rsidR="008F73DC" w:rsidRPr="00820D4D">
        <w:t xml:space="preserve">; the input needed </w:t>
      </w:r>
      <w:r w:rsidR="008F73DC" w:rsidRPr="00C440FF">
        <w:t xml:space="preserve">for </w:t>
      </w:r>
      <w:r w:rsidR="00155D91" w:rsidRPr="00C440FF">
        <w:t xml:space="preserve">the </w:t>
      </w:r>
      <w:r w:rsidR="008F73DC" w:rsidRPr="00C440FF">
        <w:t xml:space="preserve">power curve is the wind </w:t>
      </w:r>
      <w:r w:rsidR="00CC5085">
        <w:t>speed</w:t>
      </w:r>
      <w:r w:rsidR="00CC5085" w:rsidRPr="00C440FF">
        <w:t xml:space="preserve"> </w:t>
      </w:r>
      <w:r w:rsidR="008F73DC" w:rsidRPr="00C440FF">
        <w:t xml:space="preserve">while inputs needed for </w:t>
      </w:r>
      <w:r w:rsidR="00CC5085">
        <w:t xml:space="preserve">the </w:t>
      </w:r>
      <w:r w:rsidR="00234E4C" w:rsidRPr="00C440FF">
        <w:t xml:space="preserve">power matrix are </w:t>
      </w:r>
      <w:r w:rsidR="00234E4C" w:rsidRPr="00E34BAA">
        <w:t>Hs (</w:t>
      </w:r>
      <w:r w:rsidR="00CC5085">
        <w:t xml:space="preserve">significant </w:t>
      </w:r>
      <w:r w:rsidR="00234E4C" w:rsidRPr="00E34BAA">
        <w:t>wave height</w:t>
      </w:r>
      <w:r w:rsidR="0008211F" w:rsidRPr="00E34BAA">
        <w:t>, in m</w:t>
      </w:r>
      <w:r w:rsidR="00234E4C" w:rsidRPr="00E34BAA">
        <w:t xml:space="preserve">) and </w:t>
      </w:r>
      <w:proofErr w:type="spellStart"/>
      <w:r w:rsidR="00234E4C" w:rsidRPr="00E34BAA">
        <w:t>Te</w:t>
      </w:r>
      <w:proofErr w:type="spellEnd"/>
      <w:r w:rsidR="00234E4C" w:rsidRPr="00E34BAA">
        <w:t xml:space="preserve"> (</w:t>
      </w:r>
      <w:r w:rsidR="00CC5085">
        <w:t xml:space="preserve">equivalent </w:t>
      </w:r>
      <w:r w:rsidR="00234E4C" w:rsidRPr="00E34BAA">
        <w:t>wave period</w:t>
      </w:r>
      <w:r w:rsidR="0008211F" w:rsidRPr="00E34BAA">
        <w:t>, in s</w:t>
      </w:r>
      <w:r w:rsidR="00234E4C" w:rsidRPr="00E34BAA">
        <w:t>)</w:t>
      </w:r>
      <w:r w:rsidR="008F73DC" w:rsidRPr="00820D4D">
        <w:t xml:space="preserve">. </w:t>
      </w:r>
    </w:p>
    <w:p w14:paraId="4381B319" w14:textId="6A4A20AE" w:rsidR="009477E2" w:rsidRDefault="00D336FC">
      <w:pPr>
        <w:pStyle w:val="CETBodytext"/>
      </w:pPr>
      <w:r w:rsidRPr="00E230B5">
        <w:t xml:space="preserve">The fourth </w:t>
      </w:r>
      <w:r w:rsidR="00782697" w:rsidRPr="00E230B5">
        <w:t xml:space="preserve">step </w:t>
      </w:r>
      <w:r w:rsidRPr="00E230B5">
        <w:t xml:space="preserve">of the methodology </w:t>
      </w:r>
      <w:r w:rsidR="00085D5A" w:rsidRPr="00E230B5">
        <w:t>consist</w:t>
      </w:r>
      <w:r w:rsidR="00004DBD">
        <w:t>s</w:t>
      </w:r>
      <w:r w:rsidR="00085D5A" w:rsidRPr="00E230B5">
        <w:t xml:space="preserve"> </w:t>
      </w:r>
      <w:r w:rsidR="0008211F" w:rsidRPr="00E230B5">
        <w:t>o</w:t>
      </w:r>
      <w:r w:rsidR="00D24060">
        <w:t>f</w:t>
      </w:r>
      <w:r w:rsidR="00E7493C" w:rsidRPr="00E230B5">
        <w:t xml:space="preserve"> (i)</w:t>
      </w:r>
      <w:r w:rsidR="00155D91" w:rsidRPr="00E230B5">
        <w:t xml:space="preserve"> </w:t>
      </w:r>
      <w:r w:rsidRPr="00E230B5">
        <w:t xml:space="preserve">the </w:t>
      </w:r>
      <w:r w:rsidR="002F2EA3" w:rsidRPr="00E230B5">
        <w:t xml:space="preserve">elaboration of </w:t>
      </w:r>
      <w:r w:rsidR="002B73FF" w:rsidRPr="00E230B5">
        <w:t>power production</w:t>
      </w:r>
      <w:r w:rsidR="002F2EA3" w:rsidRPr="00E230B5">
        <w:t xml:space="preserve"> </w:t>
      </w:r>
      <w:r w:rsidR="00CC5085">
        <w:t xml:space="preserve">curves </w:t>
      </w:r>
      <w:r w:rsidR="002F2EA3" w:rsidRPr="00E230B5">
        <w:t>by each converter</w:t>
      </w:r>
      <w:r w:rsidR="002B73FF" w:rsidRPr="00E230B5">
        <w:t xml:space="preserve"> to determinate the optimal converters mix and </w:t>
      </w:r>
      <w:r w:rsidR="00E7493C" w:rsidRPr="00E230B5">
        <w:t xml:space="preserve">(ii) </w:t>
      </w:r>
      <w:r w:rsidR="002B73FF" w:rsidRPr="00E230B5">
        <w:t>the</w:t>
      </w:r>
      <w:r w:rsidR="00E7493C" w:rsidRPr="00E230B5">
        <w:t xml:space="preserve"> determination of</w:t>
      </w:r>
      <w:r w:rsidR="002B73FF" w:rsidRPr="00E230B5">
        <w:t xml:space="preserve"> </w:t>
      </w:r>
      <w:r w:rsidR="0049031A" w:rsidRPr="00E230B5">
        <w:t>process</w:t>
      </w:r>
      <w:r w:rsidR="002B73FF" w:rsidRPr="00E230B5">
        <w:t xml:space="preserve"> potentiality</w:t>
      </w:r>
      <w:r w:rsidR="002F2EA3" w:rsidRPr="00E230B5">
        <w:t xml:space="preserve">, </w:t>
      </w:r>
      <w:r w:rsidR="005F1AC0" w:rsidRPr="00E230B5">
        <w:t>two</w:t>
      </w:r>
      <w:r w:rsidR="00640453" w:rsidRPr="00E230B5">
        <w:t xml:space="preserve"> aspects</w:t>
      </w:r>
      <w:r w:rsidR="00782697" w:rsidRPr="00E230B5">
        <w:t xml:space="preserve"> </w:t>
      </w:r>
      <w:r w:rsidR="00640453" w:rsidRPr="00E230B5">
        <w:t>strictly interconnected</w:t>
      </w:r>
      <w:r w:rsidR="00A21020" w:rsidRPr="00E230B5">
        <w:t>; indeed</w:t>
      </w:r>
      <w:r w:rsidR="00CF4DE1" w:rsidRPr="00E230B5">
        <w:t>,</w:t>
      </w:r>
      <w:r w:rsidR="0082753A" w:rsidRPr="00E230B5">
        <w:t xml:space="preserve"> </w:t>
      </w:r>
      <w:r w:rsidR="00A21020" w:rsidRPr="00E230B5">
        <w:t>give</w:t>
      </w:r>
      <w:r w:rsidR="00002D4F">
        <w:t>n</w:t>
      </w:r>
      <w:r w:rsidR="00A21020" w:rsidRPr="00E230B5">
        <w:t xml:space="preserve"> </w:t>
      </w:r>
      <w:r w:rsidR="005C5974" w:rsidRPr="00E230B5">
        <w:t>a mix</w:t>
      </w:r>
      <w:r w:rsidR="00A21020" w:rsidRPr="00E230B5">
        <w:t xml:space="preserve"> of converters</w:t>
      </w:r>
      <w:r w:rsidR="002F2EA3" w:rsidRPr="00E230B5">
        <w:t xml:space="preserve">, </w:t>
      </w:r>
      <w:r w:rsidR="00A21020" w:rsidRPr="00E230B5">
        <w:t xml:space="preserve">a process characterized by a </w:t>
      </w:r>
      <w:r w:rsidR="001F6107" w:rsidRPr="00E230B5">
        <w:t xml:space="preserve">higher </w:t>
      </w:r>
      <w:r w:rsidR="00A21020" w:rsidRPr="00E230B5">
        <w:t xml:space="preserve">production capacity requires a </w:t>
      </w:r>
      <w:r w:rsidR="00353927">
        <w:t>more powerful</w:t>
      </w:r>
      <w:r w:rsidR="00353927" w:rsidRPr="00E230B5">
        <w:t xml:space="preserve"> </w:t>
      </w:r>
      <w:r w:rsidR="001F6107" w:rsidRPr="00E230B5">
        <w:t>backup system</w:t>
      </w:r>
      <w:r w:rsidR="00353927">
        <w:t xml:space="preserve"> to act</w:t>
      </w:r>
      <w:r w:rsidR="001F6107" w:rsidRPr="00E230B5">
        <w:t xml:space="preserve"> when RESs </w:t>
      </w:r>
      <w:r w:rsidR="00AF451E" w:rsidRPr="00E230B5">
        <w:t>cannot</w:t>
      </w:r>
      <w:r w:rsidR="001F6107" w:rsidRPr="00E230B5">
        <w:t xml:space="preserve"> sustain the process</w:t>
      </w:r>
      <w:r w:rsidR="00A026FA" w:rsidRPr="00E230B5">
        <w:t>,</w:t>
      </w:r>
      <w:r w:rsidR="00B15EBE" w:rsidRPr="00E230B5">
        <w:t xml:space="preserve"> resulting in </w:t>
      </w:r>
      <w:r w:rsidR="00A21020" w:rsidRPr="00E230B5">
        <w:t xml:space="preserve">a </w:t>
      </w:r>
      <w:r w:rsidR="00B15EBE" w:rsidRPr="00E230B5">
        <w:t>hig</w:t>
      </w:r>
      <w:r w:rsidR="00E43682" w:rsidRPr="00E230B5">
        <w:t>h</w:t>
      </w:r>
      <w:r w:rsidR="00B15EBE" w:rsidRPr="00E230B5">
        <w:t>er fossil fuel consumption</w:t>
      </w:r>
      <w:r w:rsidR="005F1AC0" w:rsidRPr="00E230B5">
        <w:t>.</w:t>
      </w:r>
      <w:r w:rsidR="00AF451E" w:rsidRPr="00E230B5">
        <w:t xml:space="preserve"> The</w:t>
      </w:r>
      <w:r w:rsidR="0082021E" w:rsidRPr="00E230B5">
        <w:t xml:space="preserve"> elaboration of power production </w:t>
      </w:r>
      <w:r w:rsidR="00353927">
        <w:t xml:space="preserve">curves </w:t>
      </w:r>
      <w:r w:rsidR="0049031A" w:rsidRPr="00E230B5">
        <w:t>consist</w:t>
      </w:r>
      <w:r w:rsidR="00E85E90" w:rsidRPr="00E230B5">
        <w:t>ed</w:t>
      </w:r>
      <w:r w:rsidR="0082021E" w:rsidRPr="00E230B5">
        <w:t xml:space="preserve"> on</w:t>
      </w:r>
      <w:r w:rsidR="00AF451E" w:rsidRPr="00E230B5">
        <w:t xml:space="preserve"> divi</w:t>
      </w:r>
      <w:r w:rsidR="00093507" w:rsidRPr="00E230B5">
        <w:t>di</w:t>
      </w:r>
      <w:r w:rsidR="00AF451E" w:rsidRPr="00E230B5">
        <w:t>ng the power produced by each converter in power classes,</w:t>
      </w:r>
      <w:r w:rsidR="00AD7502" w:rsidRPr="00E230B5">
        <w:t xml:space="preserve"> (e.g. class 1</w:t>
      </w:r>
      <w:r w:rsidR="002F2EA3" w:rsidRPr="00E230B5">
        <w:t>:</w:t>
      </w:r>
      <w:r w:rsidR="00AD7502" w:rsidRPr="00E230B5">
        <w:t xml:space="preserve"> 0</w:t>
      </w:r>
      <w:r w:rsidR="00EC3F72">
        <w:t>-</w:t>
      </w:r>
      <w:r w:rsidR="00AD7502" w:rsidRPr="00E230B5">
        <w:t>2 kW</w:t>
      </w:r>
      <w:r w:rsidR="00CD08D8" w:rsidRPr="00E230B5">
        <w:t>, class 2: 2</w:t>
      </w:r>
      <w:r w:rsidR="00EC3F72">
        <w:t>-</w:t>
      </w:r>
      <w:r w:rsidR="00CD08D8" w:rsidRPr="00E230B5">
        <w:t>4kW,..</w:t>
      </w:r>
      <w:r w:rsidR="00AD7502" w:rsidRPr="00E230B5">
        <w:t>)</w:t>
      </w:r>
      <w:r w:rsidR="00AF451E" w:rsidRPr="00E230B5">
        <w:t xml:space="preserve">, </w:t>
      </w:r>
      <w:r w:rsidR="00EC3F72">
        <w:t xml:space="preserve">in order to </w:t>
      </w:r>
      <w:r w:rsidR="00AF451E" w:rsidRPr="00E230B5">
        <w:t>identi</w:t>
      </w:r>
      <w:r w:rsidR="00A026FA" w:rsidRPr="00E230B5">
        <w:t>fy</w:t>
      </w:r>
      <w:r w:rsidR="00EC3F72">
        <w:t>:</w:t>
      </w:r>
      <w:r w:rsidR="00A026FA" w:rsidRPr="00E230B5">
        <w:t xml:space="preserve"> </w:t>
      </w:r>
      <w:r w:rsidR="00093507" w:rsidRPr="00E230B5">
        <w:t xml:space="preserve">(i) </w:t>
      </w:r>
      <w:r w:rsidR="00A026FA" w:rsidRPr="00E230B5">
        <w:t xml:space="preserve">the number of hours of power production </w:t>
      </w:r>
      <w:r w:rsidR="00EC3F72">
        <w:t>per</w:t>
      </w:r>
      <w:r w:rsidR="00EC3F72" w:rsidRPr="00E230B5">
        <w:t xml:space="preserve"> </w:t>
      </w:r>
      <w:r w:rsidR="00A026FA" w:rsidRPr="00E230B5">
        <w:t>each power class</w:t>
      </w:r>
      <w:r w:rsidR="0049031A" w:rsidRPr="00E230B5">
        <w:t xml:space="preserve">, </w:t>
      </w:r>
      <w:r w:rsidR="00093507" w:rsidRPr="00E230B5">
        <w:t xml:space="preserve">(ii) </w:t>
      </w:r>
      <w:r w:rsidR="0049031A" w:rsidRPr="00E230B5">
        <w:t>the number of hours of no power</w:t>
      </w:r>
      <w:r w:rsidR="00EC3F72">
        <w:t xml:space="preserve"> generation</w:t>
      </w:r>
      <w:r w:rsidR="0049031A" w:rsidRPr="00E230B5">
        <w:t xml:space="preserve"> and </w:t>
      </w:r>
      <w:r w:rsidR="00093507" w:rsidRPr="00E230B5">
        <w:t xml:space="preserve">(iii) </w:t>
      </w:r>
      <w:r w:rsidR="0049031A" w:rsidRPr="00E230B5">
        <w:t xml:space="preserve">the most frequent power </w:t>
      </w:r>
      <w:r w:rsidR="003B7FBB" w:rsidRPr="00E230B5">
        <w:t>c</w:t>
      </w:r>
      <w:r w:rsidR="005B0F9B" w:rsidRPr="00E230B5">
        <w:t>la</w:t>
      </w:r>
      <w:r w:rsidR="003B7FBB" w:rsidRPr="00E230B5">
        <w:t>ss</w:t>
      </w:r>
      <w:r w:rsidR="0049031A" w:rsidRPr="00E230B5">
        <w:t xml:space="preserve"> of power </w:t>
      </w:r>
      <w:r w:rsidR="00EC3F72">
        <w:t xml:space="preserve">production </w:t>
      </w:r>
      <w:r w:rsidR="00067C18" w:rsidRPr="00E230B5">
        <w:t>for</w:t>
      </w:r>
      <w:r w:rsidR="0049031A" w:rsidRPr="00E230B5">
        <w:t xml:space="preserve"> each converter</w:t>
      </w:r>
      <w:r w:rsidR="00CD08D8" w:rsidRPr="00E230B5">
        <w:t xml:space="preserve"> </w:t>
      </w:r>
      <w:r w:rsidR="00EC3F72">
        <w:t xml:space="preserve">as </w:t>
      </w:r>
      <w:r w:rsidR="00CD08D8" w:rsidRPr="00E230B5">
        <w:t xml:space="preserve">to evaluate the contribute that each converter </w:t>
      </w:r>
      <w:r w:rsidR="00E230B5" w:rsidRPr="00E230B5">
        <w:t>could</w:t>
      </w:r>
      <w:r w:rsidR="00CD08D8" w:rsidRPr="00E230B5">
        <w:t xml:space="preserve"> bring to the mix</w:t>
      </w:r>
      <w:r w:rsidR="00A026FA" w:rsidRPr="00E230B5">
        <w:t>.</w:t>
      </w:r>
      <w:r w:rsidR="005F1AC0" w:rsidRPr="00E230B5">
        <w:t xml:space="preserve"> </w:t>
      </w:r>
      <w:r w:rsidR="009B3E3B" w:rsidRPr="00E230B5">
        <w:t>Then</w:t>
      </w:r>
      <w:r w:rsidR="0049031A" w:rsidRPr="00E230B5">
        <w:t xml:space="preserve">, two parameters </w:t>
      </w:r>
      <w:r w:rsidR="00004DBD">
        <w:t>a</w:t>
      </w:r>
      <w:r w:rsidR="00E85E90" w:rsidRPr="00E230B5">
        <w:t>re</w:t>
      </w:r>
      <w:r w:rsidR="0049031A" w:rsidRPr="00E230B5">
        <w:t xml:space="preserve"> calculated for several converters </w:t>
      </w:r>
      <w:r w:rsidR="00EC3F72">
        <w:t xml:space="preserve">combinations </w:t>
      </w:r>
      <w:r w:rsidR="0049031A" w:rsidRPr="00E230B5">
        <w:t>and several power</w:t>
      </w:r>
      <w:r w:rsidR="00CF4DE1" w:rsidRPr="00E230B5">
        <w:t>-</w:t>
      </w:r>
      <w:r w:rsidR="0049031A" w:rsidRPr="00E230B5">
        <w:t>threshold</w:t>
      </w:r>
      <w:r w:rsidR="00EC3F72">
        <w:t>s</w:t>
      </w:r>
      <w:r w:rsidR="0049031A" w:rsidRPr="00E230B5">
        <w:t xml:space="preserve"> </w:t>
      </w:r>
      <w:r w:rsidR="00EC3F72">
        <w:t>related to</w:t>
      </w:r>
      <w:r w:rsidR="00EC3F72" w:rsidRPr="00E230B5">
        <w:t xml:space="preserve"> </w:t>
      </w:r>
      <w:r w:rsidR="00CF4DE1" w:rsidRPr="00E230B5">
        <w:t xml:space="preserve">the </w:t>
      </w:r>
      <w:r w:rsidR="0049031A" w:rsidRPr="00E230B5">
        <w:t>synthesis process</w:t>
      </w:r>
      <w:r w:rsidR="00067C18" w:rsidRPr="00E230B5">
        <w:t>,</w:t>
      </w:r>
      <w:r w:rsidR="0049031A" w:rsidRPr="00E230B5">
        <w:t xml:space="preserve"> </w:t>
      </w:r>
      <w:r w:rsidR="00EC3F72">
        <w:t>based on</w:t>
      </w:r>
      <w:r w:rsidR="00470DDA" w:rsidRPr="00E230B5">
        <w:t xml:space="preserve"> </w:t>
      </w:r>
      <w:r w:rsidR="0049031A" w:rsidRPr="00E230B5">
        <w:t xml:space="preserve">previous </w:t>
      </w:r>
      <w:r w:rsidR="00470DDA" w:rsidRPr="00E230B5">
        <w:t>calculations</w:t>
      </w:r>
      <w:r w:rsidR="0049031A" w:rsidRPr="00E230B5">
        <w:t>:</w:t>
      </w:r>
      <w:r w:rsidR="00BC2A0D" w:rsidRPr="00E230B5">
        <w:t xml:space="preserve"> </w:t>
      </w:r>
      <w:r w:rsidR="00076FCF" w:rsidRPr="00E230B5">
        <w:t xml:space="preserve">the number </w:t>
      </w:r>
      <w:r w:rsidR="00056E64" w:rsidRPr="00E230B5">
        <w:t xml:space="preserve">of hours in which converters </w:t>
      </w:r>
      <w:r w:rsidR="00004DBD">
        <w:t>a</w:t>
      </w:r>
      <w:r w:rsidR="005D12E8">
        <w:t>re</w:t>
      </w:r>
      <w:r w:rsidR="000953CF">
        <w:t xml:space="preserve"> not </w:t>
      </w:r>
      <w:r w:rsidR="00056E64" w:rsidRPr="00E230B5">
        <w:t>able to fully sustain the process and the average power to be supplied to the process by the backup system</w:t>
      </w:r>
      <w:r w:rsidR="00067C18" w:rsidRPr="00E230B5">
        <w:t xml:space="preserve"> during </w:t>
      </w:r>
      <w:r w:rsidR="005C5974" w:rsidRPr="00E230B5">
        <w:t xml:space="preserve">these </w:t>
      </w:r>
      <w:r w:rsidR="00004DBD">
        <w:t>time periods</w:t>
      </w:r>
      <w:r w:rsidR="00C04395" w:rsidRPr="00E230B5">
        <w:t>.</w:t>
      </w:r>
      <w:r w:rsidR="00952377" w:rsidRPr="00E230B5">
        <w:t xml:space="preserve"> </w:t>
      </w:r>
      <w:r w:rsidR="00C20BB8" w:rsidRPr="00E230B5">
        <w:t xml:space="preserve">The aim </w:t>
      </w:r>
      <w:r w:rsidR="00004DBD">
        <w:t>i</w:t>
      </w:r>
      <w:r w:rsidR="00C71986">
        <w:t>s</w:t>
      </w:r>
      <w:r w:rsidR="00C20BB8" w:rsidRPr="00E230B5">
        <w:t xml:space="preserve"> to find the optimal compromise between </w:t>
      </w:r>
      <w:r w:rsidR="006E0450">
        <w:t xml:space="preserve">the potentialities of the renewable generation system and of the methanol </w:t>
      </w:r>
      <w:r w:rsidR="00C20BB8" w:rsidRPr="00E230B5">
        <w:t>process</w:t>
      </w:r>
      <w:r w:rsidR="00EF18A0" w:rsidRPr="00E230B5">
        <w:t>, to reach the lowest fossil fuel utilization</w:t>
      </w:r>
      <w:r w:rsidR="00AC28AE" w:rsidRPr="00E230B5">
        <w:t xml:space="preserve"> without oversizing the </w:t>
      </w:r>
      <w:r w:rsidR="00260188" w:rsidRPr="00E230B5">
        <w:t>converters mix</w:t>
      </w:r>
      <w:r w:rsidR="00EF18A0" w:rsidRPr="00E230B5">
        <w:t>.</w:t>
      </w:r>
    </w:p>
    <w:p w14:paraId="115F12AF" w14:textId="77777777" w:rsidR="00007EA9" w:rsidRPr="008528F8" w:rsidRDefault="00007EA9" w:rsidP="00EB1CA7">
      <w:pPr>
        <w:pStyle w:val="CETBodytext"/>
      </w:pPr>
      <w:r w:rsidRPr="00820D4D">
        <w:lastRenderedPageBreak/>
        <w:t>After determining the</w:t>
      </w:r>
      <w:r w:rsidRPr="00C440FF">
        <w:t xml:space="preserve"> plant size, </w:t>
      </w:r>
      <w:r w:rsidR="00EB1CA7">
        <w:t>the last step consist</w:t>
      </w:r>
      <w:r w:rsidR="00004DBD">
        <w:t>s</w:t>
      </w:r>
      <w:r w:rsidR="00EB1CA7">
        <w:t xml:space="preserve"> </w:t>
      </w:r>
      <w:r w:rsidR="00004DBD">
        <w:t>in</w:t>
      </w:r>
      <w:r w:rsidR="00EB1CA7">
        <w:t xml:space="preserve"> the </w:t>
      </w:r>
      <w:r w:rsidRPr="00C440FF">
        <w:t>conceptual design of the process</w:t>
      </w:r>
      <w:r w:rsidR="00E45E4B">
        <w:t xml:space="preserve"> </w:t>
      </w:r>
      <w:r w:rsidRPr="00C440FF">
        <w:t xml:space="preserve">through </w:t>
      </w:r>
      <w:r w:rsidR="00C01289">
        <w:t xml:space="preserve">a </w:t>
      </w:r>
      <w:r w:rsidRPr="00C440FF">
        <w:t>software such as Aspen HYSYS</w:t>
      </w:r>
      <w:r w:rsidR="00004DBD">
        <w:t>. T</w:t>
      </w:r>
      <w:r w:rsidRPr="00C440FF">
        <w:t xml:space="preserve">he design </w:t>
      </w:r>
      <w:r w:rsidR="00004DBD">
        <w:t>i</w:t>
      </w:r>
      <w:r w:rsidR="00C01289">
        <w:t>s</w:t>
      </w:r>
      <w:r w:rsidRPr="00C440FF">
        <w:t xml:space="preserve"> implemented </w:t>
      </w:r>
      <w:r w:rsidRPr="008528F8">
        <w:t>considering the offshore environment constrain</w:t>
      </w:r>
      <w:r w:rsidR="00C01289">
        <w:t>ts</w:t>
      </w:r>
      <w:r w:rsidRPr="008528F8">
        <w:t xml:space="preserve"> (</w:t>
      </w:r>
      <w:r w:rsidR="00004DBD">
        <w:t>e.g.</w:t>
      </w:r>
      <w:r w:rsidRPr="008528F8">
        <w:t xml:space="preserve"> the temperature of </w:t>
      </w:r>
      <w:r w:rsidR="00C01289">
        <w:t>sea</w:t>
      </w:r>
      <w:r w:rsidRPr="008528F8">
        <w:t>water, if used as cooling). Then</w:t>
      </w:r>
      <w:r w:rsidR="00004DBD">
        <w:t>,</w:t>
      </w:r>
      <w:r w:rsidRPr="008528F8">
        <w:t xml:space="preserve"> the backup system </w:t>
      </w:r>
      <w:r w:rsidR="00004DBD">
        <w:t>i</w:t>
      </w:r>
      <w:r w:rsidR="00FA5F8C">
        <w:t>s</w:t>
      </w:r>
      <w:r w:rsidR="006778D9">
        <w:t xml:space="preserve"> </w:t>
      </w:r>
      <w:r w:rsidRPr="008528F8">
        <w:t>also designed, choosing the most suitable option for the context, considering the available fossil sources and the nature of power required by the process (i.e. thermal</w:t>
      </w:r>
      <w:r w:rsidR="00004DBD">
        <w:t xml:space="preserve"> or</w:t>
      </w:r>
      <w:r w:rsidRPr="008528F8">
        <w:t xml:space="preserve"> electric).</w:t>
      </w:r>
    </w:p>
    <w:bookmarkEnd w:id="0"/>
    <w:p w14:paraId="677EBFF0" w14:textId="46265406" w:rsidR="00600535" w:rsidRDefault="00D24A0E" w:rsidP="00600535">
      <w:pPr>
        <w:pStyle w:val="CETHeading1"/>
        <w:tabs>
          <w:tab w:val="clear" w:pos="360"/>
          <w:tab w:val="right" w:pos="7100"/>
        </w:tabs>
        <w:jc w:val="both"/>
        <w:rPr>
          <w:lang w:val="en-GB"/>
        </w:rPr>
      </w:pPr>
      <w:r>
        <w:rPr>
          <w:lang w:val="en-GB"/>
        </w:rPr>
        <w:t xml:space="preserve">Case study characterization </w:t>
      </w:r>
    </w:p>
    <w:p w14:paraId="77B8A3A2" w14:textId="404A4347" w:rsidR="004C2998" w:rsidRDefault="0082323E" w:rsidP="004C2998">
      <w:pPr>
        <w:pStyle w:val="CETBodytext"/>
        <w:rPr>
          <w:lang w:val="en-GB"/>
        </w:rPr>
      </w:pPr>
      <w:r>
        <w:rPr>
          <w:lang w:val="en-GB"/>
        </w:rPr>
        <w:t>To demonstrate</w:t>
      </w:r>
      <w:r w:rsidR="004625CB">
        <w:rPr>
          <w:lang w:val="en-GB"/>
        </w:rPr>
        <w:t xml:space="preserve"> the application of the proposed approach, an offshore natural gas platform </w:t>
      </w:r>
      <w:r w:rsidR="00004DBD">
        <w:rPr>
          <w:lang w:val="en-GB"/>
        </w:rPr>
        <w:t xml:space="preserve">in the </w:t>
      </w:r>
      <w:r w:rsidR="00087814">
        <w:rPr>
          <w:lang w:val="en-GB"/>
        </w:rPr>
        <w:t>Adriatic Sea</w:t>
      </w:r>
      <w:r w:rsidR="00004DBD">
        <w:rPr>
          <w:lang w:val="en-GB"/>
        </w:rPr>
        <w:t xml:space="preserve"> </w:t>
      </w:r>
      <w:r w:rsidR="004625CB">
        <w:rPr>
          <w:lang w:val="en-GB"/>
        </w:rPr>
        <w:t xml:space="preserve">was </w:t>
      </w:r>
      <w:r w:rsidR="00004DBD">
        <w:rPr>
          <w:lang w:val="en-GB"/>
        </w:rPr>
        <w:t>used as a case-study</w:t>
      </w:r>
      <w:r w:rsidR="004625CB">
        <w:rPr>
          <w:lang w:val="en-GB"/>
        </w:rPr>
        <w:t xml:space="preserve">. </w:t>
      </w:r>
      <w:r w:rsidR="004C2998">
        <w:rPr>
          <w:lang w:val="en-GB"/>
        </w:rPr>
        <w:t>The platform</w:t>
      </w:r>
      <w:r w:rsidR="004625CB">
        <w:rPr>
          <w:lang w:val="en-GB"/>
        </w:rPr>
        <w:t xml:space="preserve"> </w:t>
      </w:r>
      <w:r w:rsidR="00004DBD">
        <w:rPr>
          <w:lang w:val="en-GB"/>
        </w:rPr>
        <w:t xml:space="preserve">selected </w:t>
      </w:r>
      <w:r w:rsidR="004625CB">
        <w:rPr>
          <w:lang w:val="en-GB"/>
        </w:rPr>
        <w:t>is</w:t>
      </w:r>
      <w:r w:rsidR="004C2998">
        <w:rPr>
          <w:lang w:val="en-GB"/>
        </w:rPr>
        <w:t xml:space="preserve"> Garibaldi C</w:t>
      </w:r>
      <w:r w:rsidR="00AD38E9">
        <w:rPr>
          <w:lang w:val="en-GB"/>
        </w:rPr>
        <w:t xml:space="preserve"> </w:t>
      </w:r>
      <w:r w:rsidR="00F54F8E">
        <w:rPr>
          <w:lang w:val="en-GB"/>
        </w:rPr>
        <w:fldChar w:fldCharType="begin" w:fldLock="1"/>
      </w:r>
      <w:r w:rsidR="00574869">
        <w:rPr>
          <w:lang w:val="en-GB"/>
        </w:rPr>
        <w:instrText>ADDIN CSL_CITATION {"citationItems":[{"id":"ITEM-1","itemData":{"URL":"unmig.mise.gov.it/index.php/it/dati/ricerca-e-coltivazione-di-idrocarburi/piattaforme-marine","accessed":{"date-parts":[["2022","2","15"]]},"author":[{"dropping-particle":"","family":"Ministery of ecologic Transition","given":"","non-dropping-particle":"","parse-names":false,"suffix":""}],"id":"ITEM-1","issued":{"date-parts":[["2020"]]},"title":"Italian Offshore platform","type":"webpage"},"uris":["http://www.mendeley.com/documents/?uuid=3f365ae3-b58e-3da8-992e-1dc2fcace0df"]}],"mendeley":{"formattedCitation":"(Ministery of ecologic Transition, 2020)","plainTextFormattedCitation":"(Ministery of ecologic Transition, 2020)","previouslyFormattedCitation":"(Ministery of ecologic Transition, 2020)"},"properties":{"noteIndex":0},"schema":"https://github.com/citation-style-language/schema/raw/master/csl-citation.json"}</w:instrText>
      </w:r>
      <w:r w:rsidR="00F54F8E">
        <w:rPr>
          <w:lang w:val="en-GB"/>
        </w:rPr>
        <w:fldChar w:fldCharType="separate"/>
      </w:r>
      <w:r w:rsidR="00F54F8E" w:rsidRPr="00F54F8E">
        <w:rPr>
          <w:noProof/>
          <w:lang w:val="en-GB"/>
        </w:rPr>
        <w:t>(Ministery of ecologic Transition, 2020)</w:t>
      </w:r>
      <w:r w:rsidR="00F54F8E">
        <w:rPr>
          <w:lang w:val="en-GB"/>
        </w:rPr>
        <w:fldChar w:fldCharType="end"/>
      </w:r>
      <w:r w:rsidR="004C2998">
        <w:rPr>
          <w:lang w:val="en-GB"/>
        </w:rPr>
        <w:t xml:space="preserve">, </w:t>
      </w:r>
      <w:r w:rsidR="004625CB">
        <w:rPr>
          <w:lang w:val="en-GB"/>
        </w:rPr>
        <w:t>located</w:t>
      </w:r>
      <w:r w:rsidR="00792FDF">
        <w:rPr>
          <w:lang w:val="en-GB"/>
        </w:rPr>
        <w:t xml:space="preserve"> </w:t>
      </w:r>
      <w:r w:rsidR="004C2998">
        <w:rPr>
          <w:lang w:val="en-GB"/>
        </w:rPr>
        <w:t>18 km off the co</w:t>
      </w:r>
      <w:r w:rsidR="00792FDF">
        <w:rPr>
          <w:lang w:val="en-GB"/>
        </w:rPr>
        <w:t>a</w:t>
      </w:r>
      <w:r w:rsidR="004C2998">
        <w:rPr>
          <w:lang w:val="en-GB"/>
        </w:rPr>
        <w:t xml:space="preserve">st of Ravenna, in </w:t>
      </w:r>
      <w:r w:rsidR="004625CB">
        <w:rPr>
          <w:lang w:val="en-GB"/>
        </w:rPr>
        <w:t xml:space="preserve">the North </w:t>
      </w:r>
      <w:r w:rsidR="003E6CD0">
        <w:rPr>
          <w:lang w:val="en-GB"/>
        </w:rPr>
        <w:t>Adriatic Sea</w:t>
      </w:r>
      <w:r w:rsidR="004625CB">
        <w:rPr>
          <w:lang w:val="en-GB"/>
        </w:rPr>
        <w:t xml:space="preserve">. The choice was driven by two main reasons: (i) the availability </w:t>
      </w:r>
      <w:r>
        <w:rPr>
          <w:lang w:val="en-GB"/>
        </w:rPr>
        <w:t xml:space="preserve">of </w:t>
      </w:r>
      <w:r w:rsidR="004625CB">
        <w:rPr>
          <w:lang w:val="en-GB"/>
        </w:rPr>
        <w:t>data o</w:t>
      </w:r>
      <w:r w:rsidR="005B0F9B">
        <w:rPr>
          <w:lang w:val="en-GB"/>
        </w:rPr>
        <w:t>f</w:t>
      </w:r>
      <w:r w:rsidR="004625CB">
        <w:rPr>
          <w:lang w:val="en-GB"/>
        </w:rPr>
        <w:t xml:space="preserve"> the flowrate natural gas and its composition (i.e. </w:t>
      </w:r>
      <w:r w:rsidR="00527F40">
        <w:rPr>
          <w:lang w:val="en-GB"/>
        </w:rPr>
        <w:t xml:space="preserve">846 </w:t>
      </w:r>
      <w:proofErr w:type="spellStart"/>
      <w:r w:rsidR="00527F40">
        <w:rPr>
          <w:lang w:val="en-GB"/>
        </w:rPr>
        <w:t>kmol</w:t>
      </w:r>
      <w:proofErr w:type="spellEnd"/>
      <w:r w:rsidR="00527F40">
        <w:rPr>
          <w:lang w:val="en-GB"/>
        </w:rPr>
        <w:t>/d</w:t>
      </w:r>
      <w:r w:rsidR="004625CB">
        <w:rPr>
          <w:lang w:val="en-GB"/>
        </w:rPr>
        <w:t xml:space="preserve"> of almost pure methane</w:t>
      </w:r>
      <w:r w:rsidR="00280D7C">
        <w:rPr>
          <w:lang w:val="en-GB"/>
        </w:rPr>
        <w:t>)</w:t>
      </w:r>
      <w:r w:rsidR="00792FDF">
        <w:rPr>
          <w:lang w:val="en-GB"/>
        </w:rPr>
        <w:t xml:space="preserve"> </w:t>
      </w:r>
      <w:r w:rsidR="00792FDF">
        <w:rPr>
          <w:lang w:val="en-GB"/>
        </w:rPr>
        <w:fldChar w:fldCharType="begin" w:fldLock="1"/>
      </w:r>
      <w:r w:rsidR="00686DAE">
        <w:rPr>
          <w:lang w:val="en-GB"/>
        </w:rPr>
        <w:instrText>ADDIN CSL_CITATION {"citationItems":[{"id":"ITEM-1","itemData":{"URL":"www.affaritaliani.it/economia/eni-benvenuti-sulla-garibaldi-c-596839.html","accessed":{"date-parts":[["2020","11","20"]]},"author":[{"dropping-particle":"","family":"Gamna","given":"Valentina","non-dropping-particle":"","parse-names":false,"suffix":""}],"id":"ITEM-1","issued":{"date-parts":[["2019"]]},"title":"Eni opens the doors of the Garibaldi C platform: the Italian Affairs tour (in Italian)","type":"webpage"},"uris":["http://www.mendeley.com/documents/?uuid=ea38e33b-5267-34fd-b16f-b508dcf6ae26"]}],"mendeley":{"formattedCitation":"(Gamna, 2019)","plainTextFormattedCitation":"(Gamna, 2019)","previouslyFormattedCitation":"(Gamna, 2019)"},"properties":{"noteIndex":0},"schema":"https://github.com/citation-style-language/schema/raw/master/csl-citation.json"}</w:instrText>
      </w:r>
      <w:r w:rsidR="00792FDF">
        <w:rPr>
          <w:lang w:val="en-GB"/>
        </w:rPr>
        <w:fldChar w:fldCharType="separate"/>
      </w:r>
      <w:r w:rsidR="00792FDF" w:rsidRPr="00792FDF">
        <w:rPr>
          <w:noProof/>
          <w:lang w:val="en-GB"/>
        </w:rPr>
        <w:t>(Gamna, 2019)</w:t>
      </w:r>
      <w:r w:rsidR="00792FDF">
        <w:rPr>
          <w:lang w:val="en-GB"/>
        </w:rPr>
        <w:fldChar w:fldCharType="end"/>
      </w:r>
      <w:r w:rsidR="00527F40">
        <w:rPr>
          <w:lang w:val="en-GB"/>
        </w:rPr>
        <w:t xml:space="preserve">, and </w:t>
      </w:r>
      <w:r w:rsidR="005B0F9B">
        <w:rPr>
          <w:lang w:val="en-GB"/>
        </w:rPr>
        <w:t xml:space="preserve">(ii) </w:t>
      </w:r>
      <w:r w:rsidR="004625CB">
        <w:rPr>
          <w:lang w:val="en-GB"/>
        </w:rPr>
        <w:t xml:space="preserve">the availability of data related to the </w:t>
      </w:r>
      <w:r w:rsidR="00C01289">
        <w:rPr>
          <w:lang w:val="en-GB"/>
        </w:rPr>
        <w:t xml:space="preserve">exploitable </w:t>
      </w:r>
      <w:r w:rsidR="004625CB">
        <w:rPr>
          <w:lang w:val="en-GB"/>
        </w:rPr>
        <w:t>RESs</w:t>
      </w:r>
      <w:r>
        <w:rPr>
          <w:lang w:val="en-GB"/>
        </w:rPr>
        <w:t>,</w:t>
      </w:r>
      <w:r w:rsidR="004625CB">
        <w:rPr>
          <w:lang w:val="en-GB"/>
        </w:rPr>
        <w:t xml:space="preserve"> </w:t>
      </w:r>
      <w:r>
        <w:rPr>
          <w:lang w:val="en-GB"/>
        </w:rPr>
        <w:t>provided by</w:t>
      </w:r>
      <w:r w:rsidR="004625CB">
        <w:rPr>
          <w:lang w:val="en-GB"/>
        </w:rPr>
        <w:t xml:space="preserve"> </w:t>
      </w:r>
      <w:r w:rsidR="000B48E8">
        <w:rPr>
          <w:lang w:val="en-GB"/>
        </w:rPr>
        <w:t xml:space="preserve">a </w:t>
      </w:r>
      <w:r w:rsidR="00C01289">
        <w:rPr>
          <w:lang w:val="en-GB"/>
        </w:rPr>
        <w:t xml:space="preserve">metric </w:t>
      </w:r>
      <w:r w:rsidR="000B48E8">
        <w:rPr>
          <w:lang w:val="en-GB"/>
        </w:rPr>
        <w:t>wave buoy called Nausicaa</w:t>
      </w:r>
      <w:r w:rsidR="00792FDF">
        <w:rPr>
          <w:lang w:val="en-GB"/>
        </w:rPr>
        <w:t>, located 5.3 km from Ravenna coast</w:t>
      </w:r>
      <w:r w:rsidR="000B48E8">
        <w:rPr>
          <w:lang w:val="en-GB"/>
        </w:rPr>
        <w:t>.</w:t>
      </w:r>
      <w:r w:rsidR="00527F40">
        <w:rPr>
          <w:lang w:val="en-GB"/>
        </w:rPr>
        <w:t xml:space="preserve"> </w:t>
      </w:r>
    </w:p>
    <w:p w14:paraId="77EA6509" w14:textId="2163FD93" w:rsidR="00032C7E" w:rsidRPr="008528F8" w:rsidRDefault="00876851" w:rsidP="00820D4D">
      <w:pPr>
        <w:pStyle w:val="CETBodytext"/>
      </w:pPr>
      <w:r w:rsidRPr="00184F0F">
        <w:t>The</w:t>
      </w:r>
      <w:r w:rsidR="00E95769" w:rsidRPr="00184F0F">
        <w:t xml:space="preserve"> energy vector production</w:t>
      </w:r>
      <w:r w:rsidRPr="00184F0F">
        <w:t xml:space="preserve"> process was </w:t>
      </w:r>
      <w:r w:rsidR="00184F0F">
        <w:t>selected</w:t>
      </w:r>
      <w:r w:rsidRPr="00184F0F">
        <w:t xml:space="preserve"> starting from an accurate literature analysis</w:t>
      </w:r>
      <w:r w:rsidR="004F316F" w:rsidRPr="00184F0F">
        <w:t xml:space="preserve"> </w:t>
      </w:r>
      <w:r w:rsidR="005C42AE" w:rsidRPr="00184F0F">
        <w:t>focused on</w:t>
      </w:r>
      <w:r w:rsidR="005C42AE" w:rsidRPr="00C440FF">
        <w:t xml:space="preserve"> innovative processes for methanol synthesis</w:t>
      </w:r>
      <w:r w:rsidRPr="00C440FF">
        <w:t xml:space="preserve">. </w:t>
      </w:r>
      <w:r w:rsidR="005C42AE" w:rsidRPr="00C440FF">
        <w:t xml:space="preserve">In the </w:t>
      </w:r>
      <w:r w:rsidR="00184F0F">
        <w:t>study by</w:t>
      </w:r>
      <w:r w:rsidR="005C42AE" w:rsidRPr="00C440FF">
        <w:t xml:space="preserve"> </w:t>
      </w:r>
      <w:r w:rsidR="00F454FC" w:rsidRPr="00820D4D">
        <w:fldChar w:fldCharType="begin" w:fldLock="1"/>
      </w:r>
      <w:r w:rsidR="00CD249C" w:rsidRPr="008528F8">
        <w:instrText>ADDIN CSL_CITATION {"citationItems":[{"id":"ITEM-1","itemData":{"DOI":"10.1016/j.jclepro.2021.126226","ISSN":"09596526","abstract":"Due to rapidly increasing world population and growing energy demands, the development of cleaner technologies to exploit renewable energy systems has become of primary importance in the collective efforts to reduce greenhouse gases emissions. The chemical conversion of renewable power into synthetic liquid fuels, such as methanol, allows an easier storage and transportation and avoids any fluctuating issues. Alternative process routes for methanol production other than from raw materials derived from fossil fuels have, during the past decade, grown in interest, where valorising the carbon capture and utilization concept and promoting synergies with the oil &amp; gas industry are potentially achieved. The aim of this study is, in this regard, to investigate the sustainability aspects of alternative processes for synthetic methanol synthesis by applying a systematic methodology based on multi-criteria performance indicators (such as technological, economic, environmental and inherent safety). A total of eleven alternative methanol production schemes, based on synthetic methane or carbon dioxide transformation, are considered, analyzed and comparatively evaluated. The present results demonstrate that the process schemes using catalytic hydrogenation of carbon dioxide offers the best performance when considering a methanol capacity of 500 kg/h. A sensitivity analysis based on the Monte Carlo approach is also performed to verify the robustness of the results.","author":[{"dropping-particle":"","family":"Crivellari","given":"A.","non-dropping-particle":"","parse-names":false,"suffix":""},{"dropping-particle":"","family":"Casson Moreno","given":"V.","non-dropping-particle":"","parse-names":false,"suffix":""},{"dropping-particle":"","family":"Cozzani","given":"V.","non-dropping-particle":"","parse-names":false,"suffix":""},{"dropping-particle":"","family":"Dincer","given":"I.","non-dropping-particle":"","parse-names":false,"suffix":""}],"container-title":"Journal of Cleaner Production","id":"ITEM-1","issued":{"date-parts":[["2021"]]},"page":"126226","publisher":"Elsevier Ltd","title":"Multi-criteria sustainability assessment of potential methanol production processes","type":"article-journal","volume":"293"},"uris":["http://www.mendeley.com/documents/?uuid=cb75a8e8-ef64-485d-aa06-346ecbd91fb4","http://www.mendeley.com/documents/?uuid=0961b3be-cbc1-4d39-a106-243fb3541426"]}],"mendeley":{"formattedCitation":"(Crivellari et al., 2021)","manualFormatting":"Crivellari et al. (2021)","plainTextFormattedCitation":"(Crivellari et al., 2021)","previouslyFormattedCitation":"(Crivellari et al., 2021)"},"properties":{"noteIndex":0},"schema":"https://github.com/citation-style-language/schema/raw/master/csl-citation.json"}</w:instrText>
      </w:r>
      <w:r w:rsidR="00F454FC" w:rsidRPr="00820D4D">
        <w:fldChar w:fldCharType="separate"/>
      </w:r>
      <w:r w:rsidR="00F454FC" w:rsidRPr="0099598B">
        <w:rPr>
          <w:noProof/>
        </w:rPr>
        <w:t>Crivellari et al. (2021)</w:t>
      </w:r>
      <w:r w:rsidR="00F454FC" w:rsidRPr="00820D4D">
        <w:fldChar w:fldCharType="end"/>
      </w:r>
      <w:r w:rsidR="005C42AE" w:rsidRPr="00820D4D">
        <w:t xml:space="preserve">, </w:t>
      </w:r>
      <w:r w:rsidR="004625CB" w:rsidRPr="00820D4D">
        <w:t>eleven</w:t>
      </w:r>
      <w:r w:rsidR="005C42AE" w:rsidRPr="00C440FF">
        <w:t xml:space="preserve"> innovative processes were reported</w:t>
      </w:r>
      <w:r w:rsidR="00184F0F">
        <w:t>. N</w:t>
      </w:r>
      <w:r w:rsidR="004625CB" w:rsidRPr="008528F8">
        <w:t>ine</w:t>
      </w:r>
      <w:r w:rsidR="005C42AE" w:rsidRPr="008528F8">
        <w:t xml:space="preserve"> of them </w:t>
      </w:r>
      <w:r w:rsidR="00184F0F">
        <w:t xml:space="preserve">are </w:t>
      </w:r>
      <w:r w:rsidR="005C42AE" w:rsidRPr="008528F8">
        <w:t>based on partial oxidation of methanol</w:t>
      </w:r>
      <w:r w:rsidR="000B48E8" w:rsidRPr="008528F8">
        <w:t>,</w:t>
      </w:r>
      <w:r w:rsidR="005C42AE" w:rsidRPr="008528F8">
        <w:t xml:space="preserve"> while </w:t>
      </w:r>
      <w:r w:rsidR="0082323E" w:rsidRPr="008528F8">
        <w:t xml:space="preserve">the </w:t>
      </w:r>
      <w:r w:rsidR="005C42AE" w:rsidRPr="008528F8">
        <w:t>other</w:t>
      </w:r>
      <w:r w:rsidR="0082323E" w:rsidRPr="008528F8">
        <w:t>s</w:t>
      </w:r>
      <w:r w:rsidR="005C42AE" w:rsidRPr="008528F8">
        <w:t xml:space="preserve"> </w:t>
      </w:r>
      <w:r w:rsidR="004625CB" w:rsidRPr="008528F8">
        <w:t>two</w:t>
      </w:r>
      <w:r w:rsidR="005C42AE" w:rsidRPr="008528F8">
        <w:t xml:space="preserve"> </w:t>
      </w:r>
      <w:r w:rsidR="00184F0F">
        <w:t xml:space="preserve">are </w:t>
      </w:r>
      <w:r w:rsidR="005C42AE" w:rsidRPr="008528F8">
        <w:t>based on CO</w:t>
      </w:r>
      <w:r w:rsidR="005C42AE" w:rsidRPr="0099598B">
        <w:rPr>
          <w:vertAlign w:val="subscript"/>
        </w:rPr>
        <w:t>2</w:t>
      </w:r>
      <w:r w:rsidR="005C42AE" w:rsidRPr="00820D4D">
        <w:t xml:space="preserve"> </w:t>
      </w:r>
      <w:r w:rsidR="00C01289">
        <w:t>hydrogenation</w:t>
      </w:r>
      <w:r w:rsidR="005C42AE" w:rsidRPr="00820D4D">
        <w:t xml:space="preserve">. </w:t>
      </w:r>
      <w:r w:rsidR="00D45AB5" w:rsidRPr="00820D4D">
        <w:t xml:space="preserve">Given </w:t>
      </w:r>
      <w:r w:rsidR="005C42AE" w:rsidRPr="00C440FF">
        <w:t xml:space="preserve">the </w:t>
      </w:r>
      <w:r w:rsidR="00184F0F">
        <w:t>reservoir fluid</w:t>
      </w:r>
      <w:r w:rsidR="00C01289">
        <w:t xml:space="preserve"> (</w:t>
      </w:r>
      <w:r w:rsidR="005C42AE" w:rsidRPr="00C440FF">
        <w:t xml:space="preserve">high </w:t>
      </w:r>
      <w:r w:rsidR="00184F0F">
        <w:t xml:space="preserve">amount </w:t>
      </w:r>
      <w:r w:rsidR="005C42AE" w:rsidRPr="00C440FF">
        <w:t>of CH</w:t>
      </w:r>
      <w:r w:rsidR="005C42AE" w:rsidRPr="0099598B">
        <w:rPr>
          <w:vertAlign w:val="subscript"/>
        </w:rPr>
        <w:t>4</w:t>
      </w:r>
      <w:r w:rsidR="005C42AE" w:rsidRPr="00820D4D">
        <w:t xml:space="preserve"> and low</w:t>
      </w:r>
      <w:r w:rsidR="000B48E8" w:rsidRPr="00820D4D">
        <w:t xml:space="preserve"> </w:t>
      </w:r>
      <w:r w:rsidR="00184F0F">
        <w:t>amount</w:t>
      </w:r>
      <w:r w:rsidR="00C01289" w:rsidRPr="00820D4D">
        <w:t xml:space="preserve"> </w:t>
      </w:r>
      <w:r w:rsidR="005C42AE" w:rsidRPr="00C440FF">
        <w:t>of CO</w:t>
      </w:r>
      <w:r w:rsidR="005C42AE" w:rsidRPr="0099598B">
        <w:rPr>
          <w:vertAlign w:val="subscript"/>
        </w:rPr>
        <w:t>2</w:t>
      </w:r>
      <w:r w:rsidR="00C01289">
        <w:t>)</w:t>
      </w:r>
      <w:r w:rsidR="005C42AE" w:rsidRPr="00820D4D">
        <w:t xml:space="preserve"> the process </w:t>
      </w:r>
      <w:r w:rsidR="00184F0F">
        <w:t>selected</w:t>
      </w:r>
      <w:r w:rsidR="00D45AB5" w:rsidRPr="00820D4D">
        <w:t xml:space="preserve"> </w:t>
      </w:r>
      <w:r w:rsidR="00184F0F">
        <w:t xml:space="preserve">for methanol production </w:t>
      </w:r>
      <w:r w:rsidR="00D45AB5" w:rsidRPr="00820D4D">
        <w:t>was methane-based</w:t>
      </w:r>
      <w:r w:rsidR="00AF2046" w:rsidRPr="00C440FF">
        <w:t xml:space="preserve">. Among all, the best option was the </w:t>
      </w:r>
      <w:r w:rsidR="00D45AB5" w:rsidRPr="00C440FF">
        <w:t xml:space="preserve">radical </w:t>
      </w:r>
      <w:r w:rsidR="00AF2046" w:rsidRPr="00C440FF">
        <w:t xml:space="preserve">partial oxidation of methane in gaseous phase </w:t>
      </w:r>
      <w:r w:rsidR="00F85ED9" w:rsidRPr="00820D4D">
        <w:fldChar w:fldCharType="begin" w:fldLock="1"/>
      </w:r>
      <w:r w:rsidR="001D0767" w:rsidRPr="008528F8">
        <w:instrText>ADDIN CSL_CITATION {"citationItems":[{"id":"ITEM-1","itemData":{"DOI":"10.1021/ie00074a008","ISSN":"15205045","abstract":"The gas-phase homogeneous partial oxidation of methane with oxygen was studied over a range of operating conditions in a high-pressure tubular reactor. The experimental data indicated that methanol selectivities of 70-80% could be achieved at methane conversions of 8-10% by operating at suitable reaction conditions. The higher methanol selectivities obtained in this study were probably due to the use of a Pyrex glass liner in the reactor, which may have minimized surface reactions. © 1988, American Chemical Society. All rights reserved.","author":[{"dropping-particle":"","family":"Yarlagadda","given":"Prasad S.","non-dropping-particle":"","parse-names":false,"suffix":""},{"dropping-particle":"","family":"Morton","given":"Lawrence A.","non-dropping-particle":"","parse-names":false,"suffix":""},{"dropping-particle":"","family":"Hunter","given":"Norman R.","non-dropping-particle":"","parse-names":false,"suffix":""},{"dropping-particle":"","family":"Gesser","given":"Hyman D.","non-dropping-particle":"","parse-names":false,"suffix":""}],"container-title":"Industrial and Engineering Chemistry Research","id":"ITEM-1","issue":"2","issued":{"date-parts":[["1988"]]},"page":"252-256","title":"Direct conversion of methane to methanol in a flow reactor","type":"article-journal","volume":"27"},"uris":["http://www.mendeley.com/documents/?uuid=cf64cf54-bc76-4c5b-97de-b42f28fea6c9"]}],"mendeley":{"formattedCitation":"(Yarlagadda et al., 1988)","plainTextFormattedCitation":"(Yarlagadda et al., 1988)","previouslyFormattedCitation":"(Yarlagadda et al., 1988)"},"properties":{"noteIndex":0},"schema":"https://github.com/citation-style-language/schema/raw/master/csl-citation.json"}</w:instrText>
      </w:r>
      <w:r w:rsidR="00F85ED9" w:rsidRPr="00820D4D">
        <w:fldChar w:fldCharType="separate"/>
      </w:r>
      <w:r w:rsidR="00F85ED9" w:rsidRPr="0099598B">
        <w:rPr>
          <w:noProof/>
        </w:rPr>
        <w:t>(Yarlagadda et al., 1988)</w:t>
      </w:r>
      <w:r w:rsidR="00F85ED9" w:rsidRPr="00820D4D">
        <w:fldChar w:fldCharType="end"/>
      </w:r>
      <w:r w:rsidR="00AF2046" w:rsidRPr="00820D4D">
        <w:t xml:space="preserve"> thanks to its high</w:t>
      </w:r>
      <w:r w:rsidR="00AF2046" w:rsidRPr="00C440FF">
        <w:t xml:space="preserve"> yield</w:t>
      </w:r>
      <w:r w:rsidR="00032C7E">
        <w:t xml:space="preserve"> (7.22 %),</w:t>
      </w:r>
      <w:r w:rsidR="00AF2046" w:rsidRPr="00C440FF">
        <w:t xml:space="preserve"> selectivity</w:t>
      </w:r>
      <w:r w:rsidR="00C01289">
        <w:t xml:space="preserve"> (</w:t>
      </w:r>
      <w:r w:rsidR="00032C7E">
        <w:t>76 %</w:t>
      </w:r>
      <w:r w:rsidR="00C01289">
        <w:t>)</w:t>
      </w:r>
      <w:r w:rsidR="00032C7E">
        <w:t xml:space="preserve"> and final concentration (6.6 % mol).</w:t>
      </w:r>
    </w:p>
    <w:p w14:paraId="75092649" w14:textId="22593A1E" w:rsidR="00AF03F4" w:rsidRPr="00404D8A" w:rsidRDefault="00FC71F1" w:rsidP="00AF03F4">
      <w:pPr>
        <w:pStyle w:val="CETHeading1"/>
        <w:rPr>
          <w:lang w:val="en-GB"/>
        </w:rPr>
      </w:pPr>
      <w:r w:rsidRPr="00404D8A">
        <w:rPr>
          <w:lang w:val="en-GB"/>
        </w:rPr>
        <w:t>Results and discussion</w:t>
      </w:r>
    </w:p>
    <w:p w14:paraId="11A276B0" w14:textId="1403B351" w:rsidR="00AF03F4" w:rsidRPr="00E34BAA" w:rsidRDefault="007832CB" w:rsidP="00820D4D">
      <w:pPr>
        <w:pStyle w:val="CETBodytext"/>
      </w:pPr>
      <w:r w:rsidRPr="00E34BAA">
        <w:t xml:space="preserve">Once </w:t>
      </w:r>
      <w:r w:rsidR="00E47A3E" w:rsidRPr="00E34BAA">
        <w:t xml:space="preserve">the offshore platform was selected, the data for the </w:t>
      </w:r>
      <w:r w:rsidR="00404D8A">
        <w:t xml:space="preserve">exploitable </w:t>
      </w:r>
      <w:r w:rsidR="00E47A3E" w:rsidRPr="00E34BAA">
        <w:t xml:space="preserve">RESs </w:t>
      </w:r>
      <w:r w:rsidR="00404D8A">
        <w:t xml:space="preserve">in the area </w:t>
      </w:r>
      <w:r w:rsidR="00E47A3E" w:rsidRPr="00E34BAA">
        <w:t>were collected</w:t>
      </w:r>
      <w:r w:rsidR="00E95769" w:rsidRPr="00E34BAA">
        <w:t xml:space="preserve"> (according to step 1 of Figure 1)</w:t>
      </w:r>
      <w:r w:rsidR="00E47A3E" w:rsidRPr="00E34BAA">
        <w:t xml:space="preserve">. </w:t>
      </w:r>
      <w:r w:rsidR="00D81EA2" w:rsidRPr="00E34BAA">
        <w:t xml:space="preserve">Sun, wind and wave energy </w:t>
      </w:r>
      <w:r w:rsidR="007E7655">
        <w:t>were</w:t>
      </w:r>
      <w:r w:rsidR="00D81EA2" w:rsidRPr="00E34BAA">
        <w:t xml:space="preserve"> considered i</w:t>
      </w:r>
      <w:r w:rsidR="00E47A3E" w:rsidRPr="00E34BAA">
        <w:t xml:space="preserve">n the present </w:t>
      </w:r>
      <w:r w:rsidR="00404D8A">
        <w:t>study. T</w:t>
      </w:r>
      <w:r w:rsidR="00E47A3E" w:rsidRPr="00E34BAA">
        <w:t>he related hourly data were downloaded for a representative year (i.e. 2017)</w:t>
      </w:r>
      <w:r w:rsidR="00280D7C" w:rsidRPr="00E34BAA">
        <w:t>.</w:t>
      </w:r>
      <w:r w:rsidR="00E47A3E" w:rsidRPr="00E34BAA">
        <w:t xml:space="preserve"> </w:t>
      </w:r>
      <w:r w:rsidR="0003492F" w:rsidRPr="00E34BAA">
        <w:t xml:space="preserve">As mentioned in the previous paragraph, wave data collected from a </w:t>
      </w:r>
      <w:r w:rsidR="00FE492E" w:rsidRPr="00E34BAA">
        <w:t xml:space="preserve">metric </w:t>
      </w:r>
      <w:r w:rsidR="0003492F" w:rsidRPr="00E34BAA">
        <w:t>wave buoy (Nausicaa)</w:t>
      </w:r>
      <w:r w:rsidR="00FE492E">
        <w:t xml:space="preserve"> were obtained from the“D</w:t>
      </w:r>
      <w:r w:rsidR="00482A00" w:rsidRPr="00E34BAA">
        <w:t>ext3r</w:t>
      </w:r>
      <w:r w:rsidR="00FE492E">
        <w:t>”</w:t>
      </w:r>
      <w:r w:rsidR="00405476" w:rsidRPr="00E34BAA">
        <w:t xml:space="preserve"> database </w:t>
      </w:r>
      <w:r w:rsidR="00405476" w:rsidRPr="00E34BAA">
        <w:fldChar w:fldCharType="begin" w:fldLock="1"/>
      </w:r>
      <w:r w:rsidR="00574869" w:rsidRPr="00E34BAA">
        <w:instrText>ADDIN CSL_CITATION {"citationItems":[{"id":"ITEM-1","itemData":{"URL":"simc.arpae.it/dext3r/","accessed":{"date-parts":[["2019","11","11"]]},"author":[{"dropping-particle":"","family":"Arpae","given":"","non-dropping-particle":"","parse-names":false,"suffix":""}],"id":"ITEM-1","issued":{"date-parts":[["2019"]]},"title":"dext3r","type":"webpage"},"uris":["http://www.mendeley.com/documents/?uuid=0481b6e5-17bf-3c88-8c60-cc5de7a4e7cb"]}],"mendeley":{"formattedCitation":"(Arpae, 2019)","plainTextFormattedCitation":"(Arpae, 2019)","previouslyFormattedCitation":"(Arpae, 2019)"},"properties":{"noteIndex":0},"schema":"https://github.com/citation-style-language/schema/raw/master/csl-citation.json"}</w:instrText>
      </w:r>
      <w:r w:rsidR="00405476" w:rsidRPr="00E34BAA">
        <w:fldChar w:fldCharType="separate"/>
      </w:r>
      <w:r w:rsidR="00405476" w:rsidRPr="00E34BAA">
        <w:rPr>
          <w:noProof/>
        </w:rPr>
        <w:t>(Arpae, 2019)</w:t>
      </w:r>
      <w:r w:rsidR="00405476" w:rsidRPr="00E34BAA">
        <w:fldChar w:fldCharType="end"/>
      </w:r>
      <w:r w:rsidR="00A904D7" w:rsidRPr="00E34BAA">
        <w:t>.</w:t>
      </w:r>
      <w:r w:rsidR="00482A00" w:rsidRPr="00E34BAA">
        <w:t xml:space="preserve"> </w:t>
      </w:r>
      <w:r w:rsidR="00807B79" w:rsidRPr="00381257">
        <w:t xml:space="preserve">For solar radiation and wind </w:t>
      </w:r>
      <w:r w:rsidR="00FE492E">
        <w:t>speed</w:t>
      </w:r>
      <w:r w:rsidR="00FE492E" w:rsidRPr="00381257">
        <w:t xml:space="preserve"> </w:t>
      </w:r>
      <w:r w:rsidR="00807B79" w:rsidRPr="00381257">
        <w:t xml:space="preserve">(at </w:t>
      </w:r>
      <w:r w:rsidR="00FE492E">
        <w:t xml:space="preserve">the heights of </w:t>
      </w:r>
      <w:r w:rsidR="00807B79" w:rsidRPr="00381257">
        <w:t>10 and 100 m</w:t>
      </w:r>
      <w:r w:rsidR="00FE492E">
        <w:t xml:space="preserve">, </w:t>
      </w:r>
      <w:r w:rsidR="00807B79" w:rsidRPr="00381257">
        <w:t>respectively)</w:t>
      </w:r>
      <w:r w:rsidR="00482A00" w:rsidRPr="00E34BAA">
        <w:t xml:space="preserve"> </w:t>
      </w:r>
      <w:r w:rsidR="00FC5600" w:rsidRPr="00E34BAA">
        <w:t xml:space="preserve">the </w:t>
      </w:r>
      <w:r w:rsidR="00482A00" w:rsidRPr="00E34BAA">
        <w:t>E</w:t>
      </w:r>
      <w:r w:rsidR="00FC5600" w:rsidRPr="00E34BAA">
        <w:t>ur</w:t>
      </w:r>
      <w:r w:rsidR="00A904D7" w:rsidRPr="00E34BAA">
        <w:t>o</w:t>
      </w:r>
      <w:r w:rsidR="00FC5600" w:rsidRPr="00E34BAA">
        <w:t xml:space="preserve">pean </w:t>
      </w:r>
      <w:r w:rsidR="00482A00" w:rsidRPr="00E34BAA">
        <w:t>C</w:t>
      </w:r>
      <w:r w:rsidR="00FC5600" w:rsidRPr="00E34BAA">
        <w:t>entre for Medium-Range Weather Forecast</w:t>
      </w:r>
      <w:r w:rsidR="00482A00" w:rsidRPr="00E34BAA">
        <w:t xml:space="preserve"> </w:t>
      </w:r>
      <w:r w:rsidR="00A904D7" w:rsidRPr="00E34BAA">
        <w:fldChar w:fldCharType="begin" w:fldLock="1"/>
      </w:r>
      <w:r w:rsidR="00574869" w:rsidRPr="00E34BAA">
        <w:instrText>ADDIN CSL_CITATION {"citationItems":[{"id":"ITEM-1","itemData":{"URL":"cds.climate.copernicus.eu/#!/home","author":[{"dropping-particle":"","family":"ECMWF","given":"","non-dropping-particle":"","parse-names":false,"suffix":""}],"id":"ITEM-1","issued":{"date-parts":[["2022"]]},"title":"Climate Data Store","type":"webpage"},"uris":["http://www.mendeley.com/documents/?uuid=4743ba34-3907-40e8-b0f5-876b1a53cca3"]}],"mendeley":{"formattedCitation":"(ECMWF, 2022)","plainTextFormattedCitation":"(ECMWF, 2022)","previouslyFormattedCitation":"(ECMWF, 2022)"},"properties":{"noteIndex":0},"schema":"https://github.com/citation-style-language/schema/raw/master/csl-citation.json"}</w:instrText>
      </w:r>
      <w:r w:rsidR="00A904D7" w:rsidRPr="00E34BAA">
        <w:fldChar w:fldCharType="separate"/>
      </w:r>
      <w:r w:rsidR="00A904D7" w:rsidRPr="00E34BAA">
        <w:rPr>
          <w:noProof/>
        </w:rPr>
        <w:t>(ECMWF, 2022)</w:t>
      </w:r>
      <w:r w:rsidR="00A904D7" w:rsidRPr="00E34BAA">
        <w:fldChar w:fldCharType="end"/>
      </w:r>
      <w:r w:rsidR="00A904D7" w:rsidRPr="00E34BAA">
        <w:t xml:space="preserve"> </w:t>
      </w:r>
      <w:r w:rsidR="002A5E3C" w:rsidRPr="00E34BAA">
        <w:t>database</w:t>
      </w:r>
      <w:r w:rsidR="00482A00" w:rsidRPr="00E34BAA">
        <w:t xml:space="preserve"> </w:t>
      </w:r>
      <w:r w:rsidR="006E6455">
        <w:t>was</w:t>
      </w:r>
      <w:r w:rsidR="00482A00" w:rsidRPr="00E34BAA">
        <w:t xml:space="preserve"> used</w:t>
      </w:r>
      <w:r w:rsidR="00FC5600" w:rsidRPr="00E34BAA">
        <w:t>.</w:t>
      </w:r>
    </w:p>
    <w:p w14:paraId="0B3EA670" w14:textId="484CCE46" w:rsidR="00483FF9" w:rsidRPr="00E34BAA" w:rsidRDefault="00483FF9" w:rsidP="00820D4D">
      <w:pPr>
        <w:pStyle w:val="CETBodytext"/>
      </w:pPr>
      <w:r w:rsidRPr="00E34BAA">
        <w:t>The potentialit</w:t>
      </w:r>
      <w:r w:rsidR="007E7655">
        <w:t>ies</w:t>
      </w:r>
      <w:r w:rsidRPr="00E34BAA">
        <w:t xml:space="preserve"> for each RES </w:t>
      </w:r>
      <w:r w:rsidR="007E7655">
        <w:t>were</w:t>
      </w:r>
      <w:r w:rsidRPr="00E34BAA">
        <w:t xml:space="preserve"> calculated</w:t>
      </w:r>
      <w:r w:rsidR="00A9754C" w:rsidRPr="00E34BAA">
        <w:t xml:space="preserve"> a</w:t>
      </w:r>
      <w:r w:rsidR="003D723A" w:rsidRPr="00E34BAA">
        <w:t xml:space="preserve">ccording to step </w:t>
      </w:r>
      <w:r w:rsidR="00A9754C" w:rsidRPr="00E34BAA">
        <w:t>2</w:t>
      </w:r>
      <w:r w:rsidR="003D723A" w:rsidRPr="00E34BAA">
        <w:t xml:space="preserve"> of the methodology</w:t>
      </w:r>
      <w:r w:rsidRPr="00E34BAA">
        <w:t>. For the case of solar energy</w:t>
      </w:r>
      <w:r w:rsidR="006E6455">
        <w:t>,</w:t>
      </w:r>
      <w:r w:rsidR="0043548B" w:rsidRPr="00E34BAA">
        <w:t xml:space="preserve"> </w:t>
      </w:r>
      <w:r w:rsidRPr="00E34BAA">
        <w:t xml:space="preserve">total </w:t>
      </w:r>
      <w:r w:rsidR="006E6455">
        <w:t>irradiation</w:t>
      </w:r>
      <w:r w:rsidRPr="00E34BAA">
        <w:t xml:space="preserve"> </w:t>
      </w:r>
      <w:r w:rsidR="00CF4DE1">
        <w:t xml:space="preserve">on a surface with </w:t>
      </w:r>
      <w:r w:rsidR="0072613E">
        <w:t>optimal</w:t>
      </w:r>
      <w:r w:rsidR="00CF4DE1">
        <w:t xml:space="preserve"> tilt</w:t>
      </w:r>
      <w:r w:rsidR="00A45FF4" w:rsidRPr="00E34BAA">
        <w:t xml:space="preserve"> </w:t>
      </w:r>
      <w:r w:rsidR="006A5B49" w:rsidRPr="00E34BAA">
        <w:t>(34°)</w:t>
      </w:r>
      <w:r w:rsidR="006A5B49">
        <w:t xml:space="preserve"> </w:t>
      </w:r>
      <w:r w:rsidR="007E7655">
        <w:t>was</w:t>
      </w:r>
      <w:r w:rsidRPr="00E34BAA">
        <w:t xml:space="preserve"> calculated</w:t>
      </w:r>
      <w:r w:rsidR="003D723A" w:rsidRPr="00E34BAA">
        <w:t xml:space="preserve"> </w:t>
      </w:r>
      <w:r w:rsidRPr="00E34BAA">
        <w:t xml:space="preserve">equal to 5950 </w:t>
      </w:r>
      <w:r w:rsidR="00585A55" w:rsidRPr="00E34BAA">
        <w:t>k</w:t>
      </w:r>
      <w:r w:rsidRPr="00E34BAA">
        <w:t>J/m</w:t>
      </w:r>
      <w:r w:rsidRPr="00DB1136">
        <w:rPr>
          <w:vertAlign w:val="superscript"/>
        </w:rPr>
        <w:t>2</w:t>
      </w:r>
      <w:r w:rsidR="00FE492E">
        <w:t>/</w:t>
      </w:r>
      <w:r w:rsidRPr="00E34BAA">
        <w:t>y</w:t>
      </w:r>
      <w:r w:rsidR="00585A55" w:rsidRPr="00E34BAA">
        <w:t xml:space="preserve"> (the average </w:t>
      </w:r>
      <w:r w:rsidR="006E6455">
        <w:t>ir</w:t>
      </w:r>
      <w:r w:rsidR="00585A55" w:rsidRPr="00E34BAA">
        <w:t xml:space="preserve">radiation </w:t>
      </w:r>
      <w:r w:rsidR="00E91951" w:rsidRPr="00E34BAA">
        <w:t xml:space="preserve">from </w:t>
      </w:r>
      <w:r w:rsidR="00FE492E">
        <w:t>N</w:t>
      </w:r>
      <w:r w:rsidR="00E91951" w:rsidRPr="00E34BAA">
        <w:t xml:space="preserve">orth to </w:t>
      </w:r>
      <w:r w:rsidR="00FE492E">
        <w:t>S</w:t>
      </w:r>
      <w:r w:rsidR="00E91951" w:rsidRPr="00E34BAA">
        <w:t xml:space="preserve">outh in </w:t>
      </w:r>
      <w:r w:rsidR="00585A55" w:rsidRPr="00E34BAA">
        <w:t xml:space="preserve">Italy </w:t>
      </w:r>
      <w:r w:rsidR="00FE492E">
        <w:t>ranges</w:t>
      </w:r>
      <w:r w:rsidR="00585A55" w:rsidRPr="00E34BAA">
        <w:t xml:space="preserve"> </w:t>
      </w:r>
      <w:r w:rsidR="00E91951" w:rsidRPr="00E34BAA">
        <w:t xml:space="preserve">from </w:t>
      </w:r>
      <w:r w:rsidR="00585A55" w:rsidRPr="00E34BAA">
        <w:t>3</w:t>
      </w:r>
      <w:r w:rsidR="00197637" w:rsidRPr="00E34BAA">
        <w:t>5</w:t>
      </w:r>
      <w:r w:rsidR="00585A55" w:rsidRPr="00E34BAA">
        <w:t>00 kJ/m</w:t>
      </w:r>
      <w:r w:rsidR="00585A55" w:rsidRPr="00DB1136">
        <w:rPr>
          <w:vertAlign w:val="superscript"/>
        </w:rPr>
        <w:t>2</w:t>
      </w:r>
      <w:r w:rsidR="00FE492E">
        <w:t>/</w:t>
      </w:r>
      <w:r w:rsidR="00585A55" w:rsidRPr="00E34BAA">
        <w:t xml:space="preserve">y </w:t>
      </w:r>
      <w:r w:rsidR="00E91951" w:rsidRPr="00E34BAA">
        <w:t>to 6</w:t>
      </w:r>
      <w:r w:rsidR="00197637" w:rsidRPr="00E34BAA">
        <w:t>7</w:t>
      </w:r>
      <w:r w:rsidR="00E91951" w:rsidRPr="00E34BAA">
        <w:t>00 kJ/m</w:t>
      </w:r>
      <w:r w:rsidR="00E91951" w:rsidRPr="00DB1136">
        <w:rPr>
          <w:vertAlign w:val="superscript"/>
        </w:rPr>
        <w:t>2</w:t>
      </w:r>
      <w:r w:rsidR="00FE492E">
        <w:t>/</w:t>
      </w:r>
      <w:r w:rsidR="00E91951" w:rsidRPr="00E34BAA">
        <w:t>y)</w:t>
      </w:r>
      <w:r w:rsidR="0098150C">
        <w:t xml:space="preserve"> </w:t>
      </w:r>
      <w:r w:rsidR="00195D52">
        <w:fldChar w:fldCharType="begin" w:fldLock="1"/>
      </w:r>
      <w:r w:rsidR="008B3EBC">
        <w:instrText>ADDIN CSL_CITATION {"citationItems":[{"id":"ITEM-1","itemData":{"URL":"re.jrc.ec.europa.eu/pvg_tools/en/","accessed":{"date-parts":[["2022","2","28"]]},"id":"ITEM-1","issued":{"date-parts":[["2022"]]},"title":"JRC Photovoltaic Geographical Information System (PVGIS) - European Commission","type":"webpage"},"uris":["http://www.mendeley.com/documents/?uuid=09a7206b-3bf1-395b-ac0c-c44bbd09922d"]}],"mendeley":{"formattedCitation":"(“JRC Photovoltaic Geographical Information System (PVGIS) - European Commission,” 2022)","manualFormatting":"(European Commission, 2022)","plainTextFormattedCitation":"(“JRC Photovoltaic Geographical Information System (PVGIS) - European Commission,” 2022)","previouslyFormattedCitation":"(“JRC Photovoltaic Geographical Information System (PVGIS) - European Commission,” 2022)"},"properties":{"noteIndex":0},"schema":"https://github.com/citation-style-language/schema/raw/master/csl-citation.json"}</w:instrText>
      </w:r>
      <w:r w:rsidR="00195D52">
        <w:fldChar w:fldCharType="separate"/>
      </w:r>
      <w:r w:rsidR="00195D52" w:rsidRPr="00195D52">
        <w:rPr>
          <w:noProof/>
        </w:rPr>
        <w:t>(European Commission, 2022)</w:t>
      </w:r>
      <w:r w:rsidR="00195D52">
        <w:fldChar w:fldCharType="end"/>
      </w:r>
      <w:r w:rsidRPr="00E34BAA">
        <w:t xml:space="preserve">. After data elaboration </w:t>
      </w:r>
      <w:r w:rsidR="00D960C6">
        <w:t>for</w:t>
      </w:r>
      <w:r w:rsidR="00D960C6" w:rsidRPr="00E34BAA">
        <w:t xml:space="preserve"> </w:t>
      </w:r>
      <w:r w:rsidRPr="00E34BAA">
        <w:t xml:space="preserve">the two heights, Weibull distribution </w:t>
      </w:r>
      <w:r w:rsidR="00CF4DE1" w:rsidRPr="00E34BAA">
        <w:t>show</w:t>
      </w:r>
      <w:r w:rsidR="00CF4DE1">
        <w:t>ed</w:t>
      </w:r>
      <w:r w:rsidR="00CF4DE1" w:rsidRPr="00E34BAA">
        <w:t xml:space="preserve"> </w:t>
      </w:r>
      <w:r w:rsidRPr="00E34BAA">
        <w:t xml:space="preserve">a low energy density: the yearly average wind </w:t>
      </w:r>
      <w:r w:rsidR="00FE492E">
        <w:t>speed</w:t>
      </w:r>
      <w:r w:rsidR="00FE492E" w:rsidRPr="00E34BAA">
        <w:t xml:space="preserve"> </w:t>
      </w:r>
      <w:r w:rsidRPr="00E34BAA">
        <w:t>at 10 m was 2.95 m/s</w:t>
      </w:r>
      <w:r w:rsidR="00FE492E">
        <w:t xml:space="preserve"> and</w:t>
      </w:r>
      <w:r w:rsidRPr="00E34BAA">
        <w:t xml:space="preserve"> 4.21</w:t>
      </w:r>
      <w:r w:rsidR="006A5B49">
        <w:t xml:space="preserve"> m/s</w:t>
      </w:r>
      <w:r w:rsidRPr="00E34BAA">
        <w:t xml:space="preserve"> at 100 m height. Regarding the wave energy potential, the </w:t>
      </w:r>
      <w:r w:rsidR="007E7655" w:rsidRPr="00E34BAA">
        <w:t xml:space="preserve">yearly </w:t>
      </w:r>
      <w:r w:rsidRPr="00E34BAA">
        <w:t xml:space="preserve">average power </w:t>
      </w:r>
      <w:r w:rsidR="0043548B" w:rsidRPr="00E34BAA">
        <w:t>was</w:t>
      </w:r>
      <w:r w:rsidRPr="00E34BAA">
        <w:t xml:space="preserve"> 1.02 kW/m, an extremely low value</w:t>
      </w:r>
      <w:r w:rsidR="00615AB3">
        <w:t xml:space="preserve"> </w:t>
      </w:r>
      <w:r w:rsidR="00615AB3">
        <w:fldChar w:fldCharType="begin" w:fldLock="1"/>
      </w:r>
      <w:r w:rsidR="00584279">
        <w:instrText>ADDIN CSL_CITATION {"citationItems":[{"id":"ITEM-1","itemData":{"DOI":"10.1115/OMAE2010-20473","ISBN":"9780791849118","abstract":"In this paper the evaluation of the global wave energy potential is presented based on data from a global wind-wave model (validated and calibrated against satellite altimeter data) and buoy data (the WorldWaves database). The theoretical potential was computed first using all the available wave data and, in a second step, areas in which the power level is very low (P≤5kW/m) were excluded. Finally, in the third step, areas impacted by sea ice were removed. Annual and seasonal power distributions are presented both in tables and maps. The technical resource was also assessed for the west coast of Iberian peninsula showing a significant power decrease from north to south within only 500 km. Copyright © 2010 by ASME.","author":[{"dropping-particle":"","family":"Mørk","given":"Gunnar","non-dropping-particle":"","parse-names":false,"suffix":""},{"dropping-particle":"","family":"Barstow","given":"Stephen","non-dropping-particle":"","parse-names":false,"suffix":""},{"dropping-particle":"","family":"Kabuth","given":"Alina","non-dropping-particle":"","parse-names":false,"suffix":""},{"dropping-particle":"","family":"Pontes","given":"M. Teresa","non-dropping-particle":"","parse-names":false,"suffix":""}],"container-title":"Proceedings of the International Conference on Offshore Mechanics and Arctic Engineering - OMAE","id":"ITEM-1","issue":"June 2010","issued":{"date-parts":[["2010"]]},"page":"447-454","title":"Assessing the global wave energy potential","type":"article-journal","volume":"3"},"uris":["http://www.mendeley.com/documents/?uuid=fc1dd610-489f-49be-9ee6-fd5f659ce86a"]}],"mendeley":{"formattedCitation":"(Mørk et al., 2010)","plainTextFormattedCitation":"(Mørk et al., 2010)","previouslyFormattedCitation":"(Mørk et al., 2010)"},"properties":{"noteIndex":0},"schema":"https://github.com/citation-style-language/schema/raw/master/csl-citation.json"}</w:instrText>
      </w:r>
      <w:r w:rsidR="00615AB3">
        <w:fldChar w:fldCharType="separate"/>
      </w:r>
      <w:r w:rsidR="00615AB3" w:rsidRPr="00615AB3">
        <w:rPr>
          <w:noProof/>
        </w:rPr>
        <w:t>(Mørk et al., 2010)</w:t>
      </w:r>
      <w:r w:rsidR="00615AB3">
        <w:fldChar w:fldCharType="end"/>
      </w:r>
      <w:r w:rsidRPr="00E34BAA">
        <w:t xml:space="preserve">. After the potentiality estimation, </w:t>
      </w:r>
      <w:r w:rsidR="00FE492E">
        <w:t xml:space="preserve">the </w:t>
      </w:r>
      <w:r w:rsidR="00757063" w:rsidRPr="00E34BAA">
        <w:t xml:space="preserve">second phase of step </w:t>
      </w:r>
      <w:r w:rsidR="00D960C6">
        <w:t>2</w:t>
      </w:r>
      <w:r w:rsidR="00D960C6" w:rsidRPr="00E34BAA">
        <w:t xml:space="preserve"> </w:t>
      </w:r>
      <w:r w:rsidR="00661D19" w:rsidRPr="00E34BAA">
        <w:t>consisted o</w:t>
      </w:r>
      <w:r w:rsidR="00FE492E">
        <w:t>f</w:t>
      </w:r>
      <w:r w:rsidR="00757063" w:rsidRPr="00E34BAA">
        <w:t xml:space="preserve"> the </w:t>
      </w:r>
      <w:r w:rsidR="00404D8A">
        <w:t xml:space="preserve">selection of </w:t>
      </w:r>
      <w:r w:rsidRPr="00E34BAA">
        <w:t xml:space="preserve">energy converters. </w:t>
      </w:r>
      <w:r w:rsidR="00FE492E">
        <w:t>The h</w:t>
      </w:r>
      <w:r w:rsidRPr="00E34BAA">
        <w:t>igh</w:t>
      </w:r>
      <w:r w:rsidR="00FE492E">
        <w:t>-</w:t>
      </w:r>
      <w:r w:rsidRPr="00E34BAA">
        <w:t>efficiency</w:t>
      </w:r>
      <w:r w:rsidR="008F08E5">
        <w:t xml:space="preserve"> photovoltaic</w:t>
      </w:r>
      <w:r w:rsidRPr="00E34BAA">
        <w:t xml:space="preserve"> </w:t>
      </w:r>
      <w:r w:rsidR="008F08E5">
        <w:t>(</w:t>
      </w:r>
      <w:r w:rsidR="00585AF8">
        <w:t>PV</w:t>
      </w:r>
      <w:r w:rsidR="008F08E5">
        <w:t>)</w:t>
      </w:r>
      <w:r w:rsidR="00585AF8" w:rsidRPr="00E34BAA">
        <w:t xml:space="preserve"> </w:t>
      </w:r>
      <w:r w:rsidRPr="00E34BAA">
        <w:t xml:space="preserve">panel called </w:t>
      </w:r>
      <w:proofErr w:type="spellStart"/>
      <w:r w:rsidRPr="00E34BAA">
        <w:t>Maxeon</w:t>
      </w:r>
      <w:proofErr w:type="spellEnd"/>
      <w:r w:rsidRPr="00E34BAA">
        <w:t xml:space="preserve"> 3 400 W </w:t>
      </w:r>
      <w:r w:rsidR="00B0436C">
        <w:fldChar w:fldCharType="begin" w:fldLock="1"/>
      </w:r>
      <w:r w:rsidR="00B0436C">
        <w:instrText>ADDIN CSL_CITATION {"citationItems":[{"id":"ITEM-1","itemData":{"URL":"sunpower.maxeon.com/it/sites/default/files/2019-09/sunpower-maxeon-3-modulo-residenziale-400-390-370.pdf","accessed":{"date-parts":[["2022","2","17"]]},"author":[{"dropping-particle":"","family":"SunPower","given":"","non-dropping-particle":"","parse-names":false,"suffix":""}],"id":"ITEM-1","issued":{"date-parts":[["2019"]]},"title":"Sunpower Maxeon 3 400 W","type":"webpage"},"uris":["http://www.mendeley.com/documents/?uuid=e672017a-e79e-303b-ba77-6806101b51f5"]}],"mendeley":{"formattedCitation":"(SunPower, 2019)","plainTextFormattedCitation":"(SunPower, 2019)","previouslyFormattedCitation":"(SunPower, 2019)"},"properties":{"noteIndex":0},"schema":"https://github.com/citation-style-language/schema/raw/master/csl-citation.json"}</w:instrText>
      </w:r>
      <w:r w:rsidR="00B0436C">
        <w:fldChar w:fldCharType="separate"/>
      </w:r>
      <w:r w:rsidR="00B0436C" w:rsidRPr="00B0436C">
        <w:rPr>
          <w:noProof/>
        </w:rPr>
        <w:t>(SunPower, 2019)</w:t>
      </w:r>
      <w:r w:rsidR="00B0436C">
        <w:fldChar w:fldCharType="end"/>
      </w:r>
      <w:r w:rsidR="00B0436C">
        <w:t xml:space="preserve"> </w:t>
      </w:r>
      <w:r w:rsidRPr="00E34BAA">
        <w:t xml:space="preserve">was chosen. The </w:t>
      </w:r>
      <w:r w:rsidR="00FE492E">
        <w:t>WT</w:t>
      </w:r>
      <w:r w:rsidR="009F0CEA" w:rsidRPr="00E34BAA">
        <w:t xml:space="preserve"> </w:t>
      </w:r>
      <w:r w:rsidRPr="00E34BAA">
        <w:t xml:space="preserve">choice was directed to the </w:t>
      </w:r>
      <w:proofErr w:type="spellStart"/>
      <w:r w:rsidRPr="00E34BAA">
        <w:t>Goldwind</w:t>
      </w:r>
      <w:proofErr w:type="spellEnd"/>
      <w:r w:rsidRPr="00E34BAA">
        <w:t xml:space="preserve"> </w:t>
      </w:r>
      <w:r w:rsidR="00650662">
        <w:t>GW/1500</w:t>
      </w:r>
      <w:r w:rsidRPr="00E34BAA">
        <w:t xml:space="preserve"> PMDD</w:t>
      </w:r>
      <w:r w:rsidR="00B0436C">
        <w:t xml:space="preserve"> </w:t>
      </w:r>
      <w:r w:rsidR="00B0436C">
        <w:fldChar w:fldCharType="begin" w:fldLock="1"/>
      </w:r>
      <w:r w:rsidR="002702A7">
        <w:instrText>ADDIN CSL_CITATION {"citationItems":[{"id":"ITEM-1","itemData":{"author":[{"dropping-particle":"","family":"Goldwind","given":"","non-dropping-particle":"","parse-names":false,"suffix":""}],"id":"ITEM-1","issue":"8","issued":{"date-parts":[["2015"]]},"title":"Goldwind 1.5 MW","type":"article-journal","volume":"1888"},"uris":["http://www.mendeley.com/documents/?uuid=239e2965-2c80-47bd-970e-38402728d1cc"]}],"mendeley":{"formattedCitation":"(Goldwind, 2015)","plainTextFormattedCitation":"(Goldwind, 2015)","previouslyFormattedCitation":"(Goldwind, 2015)"},"properties":{"noteIndex":0},"schema":"https://github.com/citation-style-language/schema/raw/master/csl-citation.json"}</w:instrText>
      </w:r>
      <w:r w:rsidR="00B0436C">
        <w:fldChar w:fldCharType="separate"/>
      </w:r>
      <w:r w:rsidR="00B0436C" w:rsidRPr="00B0436C">
        <w:rPr>
          <w:noProof/>
        </w:rPr>
        <w:t>(Goldwind, 2015)</w:t>
      </w:r>
      <w:r w:rsidR="00B0436C">
        <w:fldChar w:fldCharType="end"/>
      </w:r>
      <w:r w:rsidR="00650662">
        <w:t>,</w:t>
      </w:r>
      <w:r w:rsidRPr="00E34BAA">
        <w:t xml:space="preserve"> with a hub height of 85 m</w:t>
      </w:r>
      <w:r w:rsidR="00FE492E">
        <w:t xml:space="preserve"> able</w:t>
      </w:r>
      <w:r w:rsidRPr="00E34BAA">
        <w:t xml:space="preserve"> to exploit the higher </w:t>
      </w:r>
      <w:r w:rsidR="00FE492E">
        <w:t>speeds</w:t>
      </w:r>
      <w:r w:rsidR="00FE492E" w:rsidRPr="00E34BAA">
        <w:t xml:space="preserve"> </w:t>
      </w:r>
      <w:r w:rsidRPr="00E34BAA">
        <w:t>at higher height</w:t>
      </w:r>
      <w:r w:rsidR="00FE492E">
        <w:t>, with</w:t>
      </w:r>
      <w:r w:rsidRPr="00E34BAA">
        <w:t xml:space="preserve"> a cut</w:t>
      </w:r>
      <w:r w:rsidR="00FE492E">
        <w:t>-</w:t>
      </w:r>
      <w:r w:rsidRPr="00E34BAA">
        <w:t>in of 2</w:t>
      </w:r>
      <w:r w:rsidR="00FE492E">
        <w:t>.</w:t>
      </w:r>
      <w:r w:rsidRPr="00E34BAA">
        <w:t>5 m</w:t>
      </w:r>
      <w:r w:rsidRPr="00820D4D">
        <w:t>/s</w:t>
      </w:r>
      <w:r w:rsidR="00FE492E">
        <w:t>, a parameter which enables</w:t>
      </w:r>
      <w:r w:rsidR="00437823">
        <w:t xml:space="preserve"> </w:t>
      </w:r>
      <w:r w:rsidR="00FE492E">
        <w:t xml:space="preserve">to </w:t>
      </w:r>
      <w:r w:rsidRPr="00E34BAA">
        <w:t xml:space="preserve">better exploit the low potentiality. The most suitable </w:t>
      </w:r>
      <w:r w:rsidR="00FE492E">
        <w:t>WEC</w:t>
      </w:r>
      <w:r w:rsidR="00FE492E" w:rsidRPr="00E34BAA">
        <w:t xml:space="preserve"> </w:t>
      </w:r>
      <w:r w:rsidRPr="00E34BAA">
        <w:t xml:space="preserve">for the given wave </w:t>
      </w:r>
      <w:r w:rsidR="006A5B49">
        <w:t xml:space="preserve">motion </w:t>
      </w:r>
      <w:r w:rsidRPr="00E34BAA">
        <w:t>condition</w:t>
      </w:r>
      <w:r w:rsidR="003E4D11">
        <w:t>s</w:t>
      </w:r>
      <w:r w:rsidRPr="00E34BAA">
        <w:t xml:space="preserve"> was the L9 </w:t>
      </w:r>
      <w:proofErr w:type="spellStart"/>
      <w:r w:rsidRPr="00E34BAA">
        <w:t>Lysekil</w:t>
      </w:r>
      <w:proofErr w:type="spellEnd"/>
      <w:r w:rsidRPr="00E34BAA">
        <w:t xml:space="preserve"> </w:t>
      </w:r>
      <w:r w:rsidRPr="00E34BAA">
        <w:fldChar w:fldCharType="begin" w:fldLock="1"/>
      </w:r>
      <w:r w:rsidRPr="00E34BAA">
        <w:instrText>ADDIN CSL_CITATION {"citationItems":[{"id":"ITEM-1","itemData":{"DOI":"10.1016/j.renene.2014.11.050","ISSN":"18790682","abstract":"Power generation from wave power has a large potential to contribute to our electric energy production, and today, many wave power projects are close to be commercialized. However, one key issue to solve for many projects is to decrease the cost per installed kW. One way to do this is to investigate which parameters that have a significant impact on the wave energy converters (WEC) performance.In this paper, experimental results on power absorption from a directly driven point absorbing WEC are presented. The experiments have been carried out at the Lysekil research site in Sweden. To investigate the performance of the WEC, the absorbed power and the speed of the translator are compared. The result confirms that the buoy size and the translator weight have a large impact on the power absorption from the generator. By optimizing the buoy size and translator weight, the WEC is believed to produce power more evenly over the upward and downward cycle.Moreover, to predict the maximum power limit during normal operation, a simulation model has been derived. The results correlates well with experimental data during normal operation.","author":[{"dropping-particle":"","family":"Lejerskog","given":"Erik","non-dropping-particle":"","parse-names":false,"suffix":""},{"dropping-particle":"","family":"Boström","given":"Cecilia","non-dropping-particle":"","parse-names":false,"suffix":""},{"dropping-particle":"","family":"Hai","given":"Ling","non-dropping-particle":"","parse-names":false,"suffix":""},{"dropping-particle":"","family":"Waters","given":"Rafael","non-dropping-particle":"","parse-names":false,"suffix":""},{"dropping-particle":"","family":"Leijon","given":"Mats","non-dropping-particle":"","parse-names":false,"suffix":""}],"container-title":"Renewable Energy","id":"ITEM-1","issue":"May","issued":{"date-parts":[["2015"]]},"page":"9-14","publisher":"Elsevier Ltd","title":"Experimental results on power absorption from a wave energy converter at the Lysekil wave energy research site","type":"article-journal","volume":"77"},"uris":["http://www.mendeley.com/documents/?uuid=3cb2cc22-59ce-4773-b899-1a1ef5b2eaa2"]}],"mendeley":{"formattedCitation":"(Lejerskog et al., 2015)","plainTextFormattedCitation":"(Lejerskog et al., 2015)","previouslyFormattedCitation":"(Lejerskog et al., 2015)"},"properties":{"noteIndex":0},"schema":"https://github.com/citation-style-language/schema/raw/master/csl-citation.json"}</w:instrText>
      </w:r>
      <w:r w:rsidRPr="00E34BAA">
        <w:fldChar w:fldCharType="separate"/>
      </w:r>
      <w:r w:rsidRPr="00E34BAA">
        <w:rPr>
          <w:noProof/>
        </w:rPr>
        <w:t>(Lejerskog et al., 2015)</w:t>
      </w:r>
      <w:r w:rsidRPr="00E34BAA">
        <w:fldChar w:fldCharType="end"/>
      </w:r>
      <w:r w:rsidRPr="00E34BAA">
        <w:t>, a point absorber with a maximum power output of about 20 kW and a cut</w:t>
      </w:r>
      <w:r w:rsidR="003E4D11">
        <w:t>-</w:t>
      </w:r>
      <w:r w:rsidRPr="00E34BAA">
        <w:t xml:space="preserve">in </w:t>
      </w:r>
      <w:r w:rsidR="003E4D11">
        <w:t xml:space="preserve">of </w:t>
      </w:r>
      <w:r w:rsidRPr="00E34BAA">
        <w:t xml:space="preserve">Hs = 0.25 m and </w:t>
      </w:r>
      <w:proofErr w:type="spellStart"/>
      <w:r w:rsidRPr="00E34BAA">
        <w:t>Te</w:t>
      </w:r>
      <w:proofErr w:type="spellEnd"/>
      <w:r w:rsidRPr="00E34BAA">
        <w:t xml:space="preserve"> = 2.5 s.</w:t>
      </w:r>
    </w:p>
    <w:p w14:paraId="7D7CCAB2" w14:textId="79467D9D" w:rsidR="003E1A26" w:rsidRDefault="004E197C" w:rsidP="00C440FF">
      <w:pPr>
        <w:pStyle w:val="CETBodytext"/>
      </w:pPr>
      <w:r w:rsidRPr="009C5E17">
        <w:rPr>
          <w:noProof/>
          <w:lang w:val="en-GB" w:eastAsia="en-GB"/>
        </w:rPr>
        <w:drawing>
          <wp:anchor distT="0" distB="0" distL="114300" distR="114300" simplePos="0" relativeHeight="251667455" behindDoc="0" locked="0" layoutInCell="1" allowOverlap="1" wp14:anchorId="6CBF5208" wp14:editId="6590CDBD">
            <wp:simplePos x="0" y="0"/>
            <wp:positionH relativeFrom="margin">
              <wp:posOffset>386715</wp:posOffset>
            </wp:positionH>
            <wp:positionV relativeFrom="paragraph">
              <wp:posOffset>714213</wp:posOffset>
            </wp:positionV>
            <wp:extent cx="4805680" cy="1724025"/>
            <wp:effectExtent l="0" t="0" r="0" b="9525"/>
            <wp:wrapTopAndBottom/>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568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52E">
        <w:rPr>
          <w:noProof/>
          <w:lang w:val="en-GB" w:eastAsia="en-GB"/>
        </w:rPr>
        <mc:AlternateContent>
          <mc:Choice Requires="wps">
            <w:drawing>
              <wp:anchor distT="0" distB="0" distL="114300" distR="114300" simplePos="0" relativeHeight="251652095" behindDoc="0" locked="0" layoutInCell="1" allowOverlap="1" wp14:anchorId="76C9F0C3" wp14:editId="2690526A">
                <wp:simplePos x="0" y="0"/>
                <wp:positionH relativeFrom="page">
                  <wp:align>center</wp:align>
                </wp:positionH>
                <wp:positionV relativeFrom="paragraph">
                  <wp:posOffset>2523874</wp:posOffset>
                </wp:positionV>
                <wp:extent cx="5579745" cy="327660"/>
                <wp:effectExtent l="0" t="0" r="1905" b="0"/>
                <wp:wrapTopAndBottom/>
                <wp:docPr id="76" name="Text Box 76"/>
                <wp:cNvGraphicFramePr/>
                <a:graphic xmlns:a="http://schemas.openxmlformats.org/drawingml/2006/main">
                  <a:graphicData uri="http://schemas.microsoft.com/office/word/2010/wordprocessingShape">
                    <wps:wsp>
                      <wps:cNvSpPr txBox="1"/>
                      <wps:spPr>
                        <a:xfrm>
                          <a:off x="0" y="0"/>
                          <a:ext cx="5579745" cy="327660"/>
                        </a:xfrm>
                        <a:prstGeom prst="rect">
                          <a:avLst/>
                        </a:prstGeom>
                        <a:solidFill>
                          <a:prstClr val="white"/>
                        </a:solidFill>
                        <a:ln>
                          <a:noFill/>
                        </a:ln>
                      </wps:spPr>
                      <wps:txbx>
                        <w:txbxContent>
                          <w:p w14:paraId="6000C213" w14:textId="29A547B2" w:rsidR="00045BAE" w:rsidRPr="0051414D" w:rsidRDefault="00045BAE" w:rsidP="00022B94">
                            <w:pPr>
                              <w:pStyle w:val="CETCaption"/>
                              <w:rPr>
                                <w:noProof/>
                              </w:rPr>
                            </w:pPr>
                            <w:r w:rsidRPr="00415DFA">
                              <w:t xml:space="preserve">Figure </w:t>
                            </w:r>
                            <w:fldSimple w:instr=" SEQ MySeq \* MERGEFORMAT ">
                              <w:r>
                                <w:rPr>
                                  <w:noProof/>
                                </w:rPr>
                                <w:t>2</w:t>
                              </w:r>
                            </w:fldSimple>
                            <w:r w:rsidRPr="00415DFA">
                              <w:t xml:space="preserve">: (a) L9 point absorber power matrix; (b) Goldwing </w:t>
                            </w:r>
                            <w:r w:rsidR="00B24525">
                              <w:t>WT</w:t>
                            </w:r>
                            <w:r w:rsidRPr="00415DFA">
                              <w:t xml:space="preserve"> power curve.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F0C3" id="Text Box 76" o:spid="_x0000_s1027" type="#_x0000_t202" style="position:absolute;left:0;text-align:left;margin-left:0;margin-top:198.75pt;width:439.35pt;height:25.8pt;z-index:25165209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" stroked="f">
                <v:textbox inset="0,0,0,0">
                  <w:txbxContent>
                    <w:p w14:paraId="6000C213" w14:textId="29A547B2" w:rsidR="00045BAE" w:rsidRPr="0051414D" w:rsidRDefault="00045BAE" w:rsidP="00022B94">
                      <w:pPr>
                        <w:pStyle w:val="CETCaption"/>
                        <w:rPr>
                          <w:noProof/>
                        </w:rPr>
                      </w:pPr>
                      <w:r w:rsidRPr="00415DFA">
                        <w:t xml:space="preserve">Figure </w:t>
                      </w:r>
                      <w:fldSimple w:instr=" SEQ MySeq \* MERGEFORMAT ">
                        <w:r>
                          <w:rPr>
                            <w:noProof/>
                          </w:rPr>
                          <w:t>2</w:t>
                        </w:r>
                      </w:fldSimple>
                      <w:r w:rsidRPr="00415DFA">
                        <w:t xml:space="preserve">: (a) L9 point absorber power matrix; (b) Goldwing </w:t>
                      </w:r>
                      <w:r w:rsidR="00B24525">
                        <w:t>WT</w:t>
                      </w:r>
                      <w:r w:rsidRPr="00415DFA">
                        <w:t xml:space="preserve"> power curve.</w:t>
                      </w:r>
                    </w:p>
                  </w:txbxContent>
                </v:textbox>
                <w10:wrap type="topAndBottom" anchorx="page"/>
              </v:shape>
            </w:pict>
          </mc:Fallback>
        </mc:AlternateContent>
      </w:r>
      <w:r w:rsidR="003B341E" w:rsidRPr="00E34BAA">
        <w:t xml:space="preserve">At step </w:t>
      </w:r>
      <w:r w:rsidR="00D960C6">
        <w:t>3</w:t>
      </w:r>
      <w:r w:rsidR="003B341E" w:rsidRPr="00E34BAA">
        <w:t>,</w:t>
      </w:r>
      <w:r w:rsidR="00483FF9" w:rsidRPr="00E34BAA">
        <w:t xml:space="preserve"> the energy and </w:t>
      </w:r>
      <w:r w:rsidR="008A752E">
        <w:t xml:space="preserve">the </w:t>
      </w:r>
      <w:r w:rsidR="00483FF9" w:rsidRPr="00E34BAA">
        <w:t>power produced from e</w:t>
      </w:r>
      <w:r w:rsidR="00404D8A">
        <w:t>ach</w:t>
      </w:r>
      <w:r w:rsidR="00483FF9" w:rsidRPr="00E34BAA">
        <w:t xml:space="preserve"> single converter</w:t>
      </w:r>
      <w:r w:rsidR="003B341E" w:rsidRPr="00E34BAA">
        <w:t xml:space="preserve"> </w:t>
      </w:r>
      <w:r w:rsidR="00E04475">
        <w:t>were</w:t>
      </w:r>
      <w:r w:rsidR="003B341E" w:rsidRPr="00E34BAA">
        <w:t xml:space="preserve"> calculated</w:t>
      </w:r>
      <w:r w:rsidR="009C3F13">
        <w:t xml:space="preserve"> (</w:t>
      </w:r>
      <w:r w:rsidR="00D960C6">
        <w:t xml:space="preserve">as reported in </w:t>
      </w:r>
      <w:r w:rsidR="009C3F13">
        <w:t>Table 1)</w:t>
      </w:r>
      <w:r w:rsidR="00483FF9" w:rsidRPr="00E34BAA">
        <w:t xml:space="preserve">. </w:t>
      </w:r>
      <w:r w:rsidR="009C3F13">
        <w:t>PV</w:t>
      </w:r>
      <w:r w:rsidR="00483FF9" w:rsidRPr="00E34BAA">
        <w:t xml:space="preserve"> panels</w:t>
      </w:r>
      <w:r w:rsidR="009C3F13">
        <w:t xml:space="preserve"> productio</w:t>
      </w:r>
      <w:r w:rsidR="0097314F">
        <w:t xml:space="preserve">n was calculated </w:t>
      </w:r>
      <w:r w:rsidR="009C3F13">
        <w:t>considering</w:t>
      </w:r>
      <w:r w:rsidR="00483FF9" w:rsidRPr="00E34BAA">
        <w:t xml:space="preserve"> 949 m</w:t>
      </w:r>
      <w:r w:rsidR="00483FF9" w:rsidRPr="00437823">
        <w:rPr>
          <w:vertAlign w:val="superscript"/>
        </w:rPr>
        <w:t>2</w:t>
      </w:r>
      <w:r w:rsidR="00483FF9" w:rsidRPr="00E34BAA">
        <w:t xml:space="preserve"> (</w:t>
      </w:r>
      <w:r w:rsidR="00045BAE">
        <w:t xml:space="preserve">platform </w:t>
      </w:r>
      <w:r w:rsidR="00483FF9" w:rsidRPr="00E34BAA">
        <w:t xml:space="preserve">area </w:t>
      </w:r>
      <w:r w:rsidR="00045BAE" w:rsidRPr="00E34BAA">
        <w:t xml:space="preserve">available </w:t>
      </w:r>
      <w:r w:rsidR="00045BAE">
        <w:t xml:space="preserve">for </w:t>
      </w:r>
      <w:r w:rsidR="008F7084">
        <w:t>panels</w:t>
      </w:r>
      <w:r w:rsidR="00045BAE">
        <w:t xml:space="preserve"> installation</w:t>
      </w:r>
      <w:r w:rsidR="00483FF9" w:rsidRPr="00E34BAA">
        <w:t xml:space="preserve">). Using the power curve of the </w:t>
      </w:r>
      <w:r w:rsidR="00045BAE">
        <w:t>WT</w:t>
      </w:r>
      <w:r w:rsidR="00483FF9" w:rsidRPr="00E34BAA">
        <w:t xml:space="preserve"> (Figure </w:t>
      </w:r>
      <w:r w:rsidR="00820D4D">
        <w:t>2</w:t>
      </w:r>
      <w:r w:rsidR="00820D4D" w:rsidRPr="00E34BAA">
        <w:t>b</w:t>
      </w:r>
      <w:r w:rsidR="00483FF9" w:rsidRPr="00E34BAA">
        <w:t>), for a given average hourly velocity</w:t>
      </w:r>
      <w:r w:rsidR="003B341E" w:rsidRPr="00E34BAA">
        <w:t>,</w:t>
      </w:r>
      <w:r w:rsidR="00483FF9" w:rsidRPr="00E34BAA">
        <w:t xml:space="preserve"> the average hourly power output </w:t>
      </w:r>
      <w:r w:rsidR="00E04475">
        <w:t xml:space="preserve">was </w:t>
      </w:r>
      <w:r w:rsidR="003B341E" w:rsidRPr="00E34BAA">
        <w:t>determined</w:t>
      </w:r>
      <w:r w:rsidR="00483FF9" w:rsidRPr="00E34BAA">
        <w:t>. A similar procedure was carried out for the point absorber converter, using</w:t>
      </w:r>
      <w:r w:rsidR="006A5B49">
        <w:t xml:space="preserve"> data of</w:t>
      </w:r>
      <w:r w:rsidR="00483FF9" w:rsidRPr="00E34BAA">
        <w:t xml:space="preserve"> Hs and </w:t>
      </w:r>
      <w:proofErr w:type="spellStart"/>
      <w:r w:rsidR="00483FF9" w:rsidRPr="00E34BAA">
        <w:t>Te</w:t>
      </w:r>
      <w:proofErr w:type="spellEnd"/>
      <w:r w:rsidR="00483FF9" w:rsidRPr="00E34BAA">
        <w:t xml:space="preserve"> as input for the power matrix (Figure </w:t>
      </w:r>
      <w:r w:rsidR="00820D4D">
        <w:t>2</w:t>
      </w:r>
      <w:r w:rsidR="00820D4D" w:rsidRPr="00E34BAA">
        <w:t>a</w:t>
      </w:r>
      <w:r w:rsidR="00483FF9" w:rsidRPr="00E34BAA">
        <w:t xml:space="preserve">) </w:t>
      </w:r>
      <w:r w:rsidR="00483FF9" w:rsidRPr="00E34BAA">
        <w:fldChar w:fldCharType="begin" w:fldLock="1"/>
      </w:r>
      <w:r w:rsidR="00483FF9" w:rsidRPr="00E34BAA">
        <w:instrText>ADDIN CSL_CITATION {"citationItems":[{"id":"ITEM-1","itemData":{"DOI":"10.3390/en9090730","ISSN":"19961073","abstract":"The Lysekil wave energy converter (WEC), developed by the wave energy research group of Uppsala University, has evolved through a variety of mechanical designs since the first prototype was installed in 2006. The hundreds of engineering decisions made throughout the design processes have been based on a combination of theory, know-how from previous experiments, and educated guesses. One key parameter in the design of the WECs linear generator is the stroke length. A long stroke requires a taller WEC with associated economical and mechanical challenges, but a short stroke limits the power production. The 2-m stroke of the current WECs has been an educated guess for the Swedish wave climate, though the consequences of this choice on energy absorption have not been studied. When the WEC technology is considered for international waters, with larger waves and challenges of energy absorption and survivability, the subject of stroke length becomes even more relevant. This paper studies the impact of generator stroke length on energy absorption for three sites off the coasts of Sweden, Chile and Scotland. 2-m, 4-m, and unlimited stroke are considered. Power matrices for the studied WEC prototype are presented for each of the studied stroke lengths. Presented results quantify the losses incurred by a limited stroke. The results indicate that a 2-m stroke length is likely to be a good choice for Sweden, but 4-m is likely to be necessary in more energetic international waters.","author":[{"dropping-particle":"","family":"Hong","given":"Yue","non-dropping-particle":"","parse-names":false,"suffix":""},{"dropping-particle":"","family":"Eriksson","given":"Mikael","non-dropping-particle":"","parse-names":false,"suffix":""},{"dropping-particle":"","family":"Boström","given":"Cecilia","non-dropping-particle":"","parse-names":false,"suffix":""},{"dropping-particle":"","family":"Waters","given":"Rafael","non-dropping-particle":"","parse-names":false,"suffix":""}],"container-title":"Energies","id":"ITEM-1","issue":"9","issued":{"date-parts":[["2016"]]},"title":"Impact of generator stroke length on energy production for a direct drivewave energy converter","type":"article-journal","volume":"9"},"uris":["http://www.mendeley.com/documents/?uuid=60ce3cfe-73b4-4863-b191-b1814bb2cef7"]}],"mendeley":{"formattedCitation":"(Hong et al., 2016)","plainTextFormattedCitation":"(Hong et al., 2016)","previouslyFormattedCitation":"(Hong et al., 2016)"},"properties":{"noteIndex":0},"schema":"https://github.com/citation-style-language/schema/raw/master/csl-citation.json"}</w:instrText>
      </w:r>
      <w:r w:rsidR="00483FF9" w:rsidRPr="00E34BAA">
        <w:fldChar w:fldCharType="separate"/>
      </w:r>
      <w:r w:rsidR="00483FF9" w:rsidRPr="00E34BAA">
        <w:rPr>
          <w:noProof/>
        </w:rPr>
        <w:t>(Hong et al., 2016)</w:t>
      </w:r>
      <w:r w:rsidR="00483FF9" w:rsidRPr="00E34BAA">
        <w:fldChar w:fldCharType="end"/>
      </w:r>
      <w:r w:rsidR="009C3F13">
        <w:t>.</w:t>
      </w:r>
    </w:p>
    <w:p w14:paraId="27DBB1A0" w14:textId="09E8FF3B" w:rsidR="00064142" w:rsidRDefault="00064142" w:rsidP="00076EA7">
      <w:pPr>
        <w:pStyle w:val="CETCaption"/>
      </w:pPr>
      <w:r>
        <w:lastRenderedPageBreak/>
        <w:t xml:space="preserve">Table </w:t>
      </w:r>
      <w:r>
        <w:fldChar w:fldCharType="begin"/>
      </w:r>
      <w:r>
        <w:instrText xml:space="preserve"> SEQ Table \* ARABIC </w:instrText>
      </w:r>
      <w:r>
        <w:fldChar w:fldCharType="separate"/>
      </w:r>
      <w:r w:rsidR="0066707C">
        <w:rPr>
          <w:noProof/>
        </w:rPr>
        <w:t>1</w:t>
      </w:r>
      <w:r>
        <w:fldChar w:fldCharType="end"/>
      </w:r>
      <w:r>
        <w:t>:</w:t>
      </w:r>
      <w:r w:rsidR="00912917">
        <w:t xml:space="preserve"> </w:t>
      </w:r>
      <w:r w:rsidR="008A3DC0" w:rsidRPr="00076EA7">
        <w:t>C</w:t>
      </w:r>
      <w:r w:rsidR="00027D03" w:rsidRPr="00076EA7">
        <w:t>onverters</w:t>
      </w:r>
      <w:r w:rsidR="00027D03">
        <w:t xml:space="preserve"> </w:t>
      </w:r>
      <w:r w:rsidR="00045BAE">
        <w:t xml:space="preserve">peak </w:t>
      </w:r>
      <w:r w:rsidR="00912917">
        <w:t xml:space="preserve">power and energy </w:t>
      </w:r>
      <w:r w:rsidR="00045BAE">
        <w:t xml:space="preserve">generation </w:t>
      </w:r>
      <w:r w:rsidR="00912917">
        <w:t>data</w:t>
      </w:r>
      <w:r w:rsidR="00045BAE">
        <w:t xml:space="preserve"> in the studied year</w:t>
      </w:r>
      <w:r w:rsidR="00912917">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984"/>
        <w:gridCol w:w="2126"/>
        <w:gridCol w:w="2552"/>
      </w:tblGrid>
      <w:tr w:rsidR="00733B94" w:rsidRPr="00B57B36" w14:paraId="71B6C635" w14:textId="77777777" w:rsidTr="00E34BAA">
        <w:trPr>
          <w:trHeight w:val="250"/>
        </w:trPr>
        <w:tc>
          <w:tcPr>
            <w:tcW w:w="2127" w:type="dxa"/>
            <w:tcBorders>
              <w:top w:val="single" w:sz="12" w:space="0" w:color="008000"/>
              <w:bottom w:val="single" w:sz="6" w:space="0" w:color="008000"/>
            </w:tcBorders>
            <w:shd w:val="clear" w:color="auto" w:fill="FFFFFF"/>
            <w:vAlign w:val="center"/>
          </w:tcPr>
          <w:p w14:paraId="67D0805B" w14:textId="3AE0EA5E" w:rsidR="00733B94" w:rsidRPr="00D96526" w:rsidRDefault="00733B94" w:rsidP="00733B94">
            <w:pPr>
              <w:pStyle w:val="CETBodytext"/>
              <w:jc w:val="center"/>
              <w:rPr>
                <w:rFonts w:cs="Arial"/>
                <w:szCs w:val="18"/>
                <w:lang w:val="en-GB"/>
              </w:rPr>
            </w:pPr>
            <w:r>
              <w:rPr>
                <w:rFonts w:cs="Arial"/>
                <w:szCs w:val="18"/>
                <w:lang w:val="en-GB"/>
              </w:rPr>
              <w:t>Converter</w:t>
            </w:r>
          </w:p>
        </w:tc>
        <w:tc>
          <w:tcPr>
            <w:tcW w:w="1984" w:type="dxa"/>
            <w:tcBorders>
              <w:top w:val="single" w:sz="12" w:space="0" w:color="008000"/>
              <w:bottom w:val="single" w:sz="6" w:space="0" w:color="008000"/>
            </w:tcBorders>
            <w:shd w:val="clear" w:color="auto" w:fill="FFFFFF"/>
            <w:vAlign w:val="center"/>
          </w:tcPr>
          <w:p w14:paraId="44D9007F" w14:textId="517F2B8B" w:rsidR="00733B94" w:rsidRPr="00D96526" w:rsidRDefault="00D960C6" w:rsidP="00045BAE">
            <w:pPr>
              <w:pStyle w:val="CETBodytext"/>
              <w:jc w:val="center"/>
              <w:rPr>
                <w:rFonts w:cs="Arial"/>
                <w:bCs/>
                <w:color w:val="000000"/>
                <w:szCs w:val="18"/>
              </w:rPr>
            </w:pPr>
            <w:r>
              <w:rPr>
                <w:rFonts w:cs="Arial"/>
                <w:szCs w:val="18"/>
                <w:lang w:val="en-GB"/>
              </w:rPr>
              <w:t xml:space="preserve">Peak </w:t>
            </w:r>
            <w:r w:rsidR="007F2689">
              <w:rPr>
                <w:rFonts w:cs="Arial"/>
                <w:szCs w:val="18"/>
                <w:lang w:val="en-GB"/>
              </w:rPr>
              <w:t>power [kW]</w:t>
            </w:r>
          </w:p>
        </w:tc>
        <w:tc>
          <w:tcPr>
            <w:tcW w:w="2126" w:type="dxa"/>
            <w:tcBorders>
              <w:top w:val="single" w:sz="12" w:space="0" w:color="008000"/>
              <w:bottom w:val="single" w:sz="6" w:space="0" w:color="008000"/>
            </w:tcBorders>
            <w:shd w:val="clear" w:color="auto" w:fill="FFFFFF"/>
            <w:vAlign w:val="center"/>
          </w:tcPr>
          <w:p w14:paraId="38A37376" w14:textId="160A6BAB" w:rsidR="00733B94" w:rsidRPr="00D96526" w:rsidRDefault="00733B94" w:rsidP="00045BAE">
            <w:pPr>
              <w:pStyle w:val="CETBodytext"/>
              <w:ind w:right="-1"/>
              <w:jc w:val="center"/>
              <w:rPr>
                <w:rFonts w:cs="Arial"/>
                <w:bCs/>
                <w:color w:val="000000"/>
                <w:szCs w:val="18"/>
              </w:rPr>
            </w:pPr>
            <w:r>
              <w:rPr>
                <w:rFonts w:cs="Arial"/>
                <w:bCs/>
                <w:color w:val="000000"/>
                <w:szCs w:val="18"/>
              </w:rPr>
              <w:t>Annual energy</w:t>
            </w:r>
            <w:r w:rsidR="00C84BE7">
              <w:rPr>
                <w:rFonts w:cs="Arial"/>
                <w:bCs/>
                <w:color w:val="000000"/>
                <w:szCs w:val="18"/>
              </w:rPr>
              <w:t xml:space="preserve"> [MWh/y]</w:t>
            </w:r>
          </w:p>
        </w:tc>
        <w:tc>
          <w:tcPr>
            <w:tcW w:w="2552" w:type="dxa"/>
            <w:tcBorders>
              <w:top w:val="single" w:sz="12" w:space="0" w:color="008000"/>
              <w:bottom w:val="single" w:sz="6" w:space="0" w:color="008000"/>
            </w:tcBorders>
            <w:shd w:val="clear" w:color="auto" w:fill="FFFFFF"/>
            <w:vAlign w:val="center"/>
          </w:tcPr>
          <w:p w14:paraId="719154CC" w14:textId="5226774C" w:rsidR="00733B94" w:rsidRPr="00D96526" w:rsidRDefault="00733B94" w:rsidP="00045BAE">
            <w:pPr>
              <w:pStyle w:val="CETBodytext"/>
              <w:ind w:right="-1"/>
              <w:jc w:val="center"/>
              <w:rPr>
                <w:rFonts w:cs="Arial"/>
                <w:bCs/>
                <w:color w:val="000000"/>
                <w:szCs w:val="18"/>
              </w:rPr>
            </w:pPr>
            <w:r>
              <w:rPr>
                <w:rFonts w:cs="Arial"/>
                <w:bCs/>
                <w:color w:val="000000"/>
                <w:szCs w:val="18"/>
              </w:rPr>
              <w:t>Yearly average power</w:t>
            </w:r>
            <w:r w:rsidR="00C84BE7">
              <w:rPr>
                <w:rFonts w:cs="Arial"/>
                <w:bCs/>
                <w:color w:val="000000"/>
                <w:szCs w:val="18"/>
              </w:rPr>
              <w:t xml:space="preserve"> [</w:t>
            </w:r>
            <w:r w:rsidR="0058393C">
              <w:rPr>
                <w:rFonts w:cs="Arial"/>
                <w:bCs/>
                <w:color w:val="000000"/>
                <w:szCs w:val="18"/>
              </w:rPr>
              <w:t>kW]</w:t>
            </w:r>
          </w:p>
        </w:tc>
      </w:tr>
      <w:tr w:rsidR="00733B94" w:rsidRPr="00D96526" w14:paraId="43C0C1F0" w14:textId="77777777" w:rsidTr="00E34BAA">
        <w:trPr>
          <w:trHeight w:val="329"/>
        </w:trPr>
        <w:tc>
          <w:tcPr>
            <w:tcW w:w="2127" w:type="dxa"/>
            <w:tcBorders>
              <w:top w:val="single" w:sz="6" w:space="0" w:color="008000"/>
              <w:bottom w:val="single" w:sz="6" w:space="0" w:color="008000"/>
            </w:tcBorders>
            <w:shd w:val="clear" w:color="auto" w:fill="FFFFFF"/>
            <w:vAlign w:val="center"/>
          </w:tcPr>
          <w:p w14:paraId="64C46061" w14:textId="4A238BEC" w:rsidR="00733B94" w:rsidRPr="004500D2" w:rsidRDefault="008E5E5F" w:rsidP="007F2689">
            <w:pPr>
              <w:pStyle w:val="CETBodytext"/>
              <w:spacing w:before="20" w:after="20" w:line="20" w:lineRule="atLeast"/>
              <w:contextualSpacing/>
              <w:jc w:val="center"/>
              <w:rPr>
                <w:rFonts w:cs="Arial"/>
                <w:szCs w:val="18"/>
              </w:rPr>
            </w:pPr>
            <w:r>
              <w:rPr>
                <w:rFonts w:cs="Arial"/>
                <w:bCs/>
                <w:color w:val="000000"/>
                <w:szCs w:val="18"/>
              </w:rPr>
              <w:t>PV</w:t>
            </w:r>
            <w:r w:rsidR="00733B94">
              <w:rPr>
                <w:rFonts w:cs="Arial"/>
                <w:bCs/>
                <w:color w:val="000000"/>
                <w:szCs w:val="18"/>
              </w:rPr>
              <w:t xml:space="preserve"> panel</w:t>
            </w:r>
          </w:p>
        </w:tc>
        <w:tc>
          <w:tcPr>
            <w:tcW w:w="1984" w:type="dxa"/>
            <w:tcBorders>
              <w:top w:val="single" w:sz="6" w:space="0" w:color="008000"/>
              <w:bottom w:val="single" w:sz="6" w:space="0" w:color="008000"/>
            </w:tcBorders>
            <w:shd w:val="clear" w:color="auto" w:fill="FFFFFF"/>
            <w:vAlign w:val="center"/>
          </w:tcPr>
          <w:p w14:paraId="411FA145" w14:textId="57C5FA23" w:rsidR="00733B94" w:rsidRPr="004500D2" w:rsidRDefault="007F2689" w:rsidP="0058393C">
            <w:pPr>
              <w:pStyle w:val="CETBodytext"/>
              <w:spacing w:before="20" w:after="20" w:line="20" w:lineRule="atLeast"/>
              <w:contextualSpacing/>
              <w:jc w:val="center"/>
              <w:rPr>
                <w:rFonts w:cs="Arial"/>
                <w:color w:val="000000"/>
                <w:szCs w:val="18"/>
              </w:rPr>
            </w:pPr>
            <w:r>
              <w:rPr>
                <w:rFonts w:cs="Arial"/>
                <w:color w:val="000000"/>
                <w:szCs w:val="18"/>
              </w:rPr>
              <w:t>215</w:t>
            </w:r>
          </w:p>
        </w:tc>
        <w:tc>
          <w:tcPr>
            <w:tcW w:w="2126" w:type="dxa"/>
            <w:tcBorders>
              <w:top w:val="single" w:sz="6" w:space="0" w:color="008000"/>
              <w:bottom w:val="single" w:sz="6" w:space="0" w:color="008000"/>
            </w:tcBorders>
            <w:shd w:val="clear" w:color="auto" w:fill="FFFFFF"/>
            <w:vAlign w:val="center"/>
          </w:tcPr>
          <w:p w14:paraId="7DADD79D" w14:textId="68B7C363" w:rsidR="00733B94" w:rsidRPr="004500D2" w:rsidRDefault="00C84BE7" w:rsidP="00064142">
            <w:pPr>
              <w:pStyle w:val="CETBodytext"/>
              <w:spacing w:before="20" w:after="20" w:line="20" w:lineRule="atLeast"/>
              <w:contextualSpacing/>
              <w:jc w:val="center"/>
              <w:rPr>
                <w:rFonts w:cs="Arial"/>
                <w:szCs w:val="18"/>
                <w:lang w:val="en-GB"/>
              </w:rPr>
            </w:pPr>
            <w:r>
              <w:rPr>
                <w:rFonts w:cs="Arial"/>
                <w:szCs w:val="18"/>
                <w:lang w:val="en-GB"/>
              </w:rPr>
              <w:t>283</w:t>
            </w:r>
          </w:p>
        </w:tc>
        <w:tc>
          <w:tcPr>
            <w:tcW w:w="2552" w:type="dxa"/>
            <w:tcBorders>
              <w:top w:val="single" w:sz="6" w:space="0" w:color="008000"/>
              <w:bottom w:val="single" w:sz="6" w:space="0" w:color="008000"/>
            </w:tcBorders>
            <w:shd w:val="clear" w:color="auto" w:fill="FFFFFF"/>
            <w:vAlign w:val="center"/>
          </w:tcPr>
          <w:p w14:paraId="52B1C37E" w14:textId="054FE9D0" w:rsidR="00733B94" w:rsidRPr="004500D2" w:rsidRDefault="0058393C" w:rsidP="008E5E5F">
            <w:pPr>
              <w:pStyle w:val="CETBodytext"/>
              <w:spacing w:before="20" w:after="20" w:line="20" w:lineRule="atLeast"/>
              <w:contextualSpacing/>
              <w:jc w:val="center"/>
              <w:rPr>
                <w:rFonts w:cs="Arial"/>
                <w:szCs w:val="18"/>
                <w:lang w:val="en-GB"/>
              </w:rPr>
            </w:pPr>
            <w:r>
              <w:rPr>
                <w:rFonts w:cs="Arial"/>
                <w:szCs w:val="18"/>
                <w:lang w:val="en-GB"/>
              </w:rPr>
              <w:t>32.4</w:t>
            </w:r>
          </w:p>
        </w:tc>
      </w:tr>
      <w:tr w:rsidR="00733B94" w:rsidRPr="00D96526" w14:paraId="598F089D" w14:textId="77777777" w:rsidTr="00E34BAA">
        <w:trPr>
          <w:trHeight w:val="318"/>
        </w:trPr>
        <w:tc>
          <w:tcPr>
            <w:tcW w:w="2127" w:type="dxa"/>
            <w:tcBorders>
              <w:top w:val="single" w:sz="6" w:space="0" w:color="008000"/>
              <w:bottom w:val="single" w:sz="6" w:space="0" w:color="008000"/>
            </w:tcBorders>
            <w:shd w:val="clear" w:color="auto" w:fill="FFFFFF"/>
            <w:vAlign w:val="center"/>
          </w:tcPr>
          <w:p w14:paraId="54DCE82E" w14:textId="0A861181" w:rsidR="00733B94" w:rsidRPr="004500D2" w:rsidRDefault="00E0499A" w:rsidP="007F2689">
            <w:pPr>
              <w:pStyle w:val="CETBodytext"/>
              <w:spacing w:before="20" w:after="20" w:line="20" w:lineRule="atLeast"/>
              <w:contextualSpacing/>
              <w:jc w:val="center"/>
              <w:rPr>
                <w:rFonts w:cs="Arial"/>
                <w:bCs/>
                <w:color w:val="000000"/>
                <w:szCs w:val="18"/>
              </w:rPr>
            </w:pPr>
            <w:r>
              <w:rPr>
                <w:rFonts w:cs="Arial"/>
                <w:bCs/>
                <w:color w:val="000000"/>
                <w:szCs w:val="18"/>
              </w:rPr>
              <w:t>WT</w:t>
            </w:r>
          </w:p>
        </w:tc>
        <w:tc>
          <w:tcPr>
            <w:tcW w:w="1984" w:type="dxa"/>
            <w:tcBorders>
              <w:top w:val="single" w:sz="6" w:space="0" w:color="008000"/>
              <w:bottom w:val="single" w:sz="6" w:space="0" w:color="008000"/>
            </w:tcBorders>
            <w:shd w:val="clear" w:color="auto" w:fill="FFFFFF"/>
            <w:vAlign w:val="center"/>
          </w:tcPr>
          <w:p w14:paraId="33CB57E6" w14:textId="5C069C05" w:rsidR="00733B94" w:rsidRPr="004500D2" w:rsidRDefault="007F2689" w:rsidP="0058393C">
            <w:pPr>
              <w:pStyle w:val="CETBodytext"/>
              <w:spacing w:before="20" w:after="20" w:line="20" w:lineRule="atLeast"/>
              <w:contextualSpacing/>
              <w:jc w:val="center"/>
              <w:rPr>
                <w:rFonts w:cs="Arial"/>
                <w:color w:val="000000"/>
                <w:szCs w:val="18"/>
              </w:rPr>
            </w:pPr>
            <w:r>
              <w:rPr>
                <w:rFonts w:cs="Arial"/>
                <w:color w:val="000000"/>
                <w:szCs w:val="18"/>
              </w:rPr>
              <w:t>1500</w:t>
            </w:r>
          </w:p>
        </w:tc>
        <w:tc>
          <w:tcPr>
            <w:tcW w:w="2126" w:type="dxa"/>
            <w:tcBorders>
              <w:top w:val="single" w:sz="6" w:space="0" w:color="008000"/>
              <w:bottom w:val="single" w:sz="6" w:space="0" w:color="008000"/>
            </w:tcBorders>
            <w:shd w:val="clear" w:color="auto" w:fill="FFFFFF"/>
            <w:vAlign w:val="center"/>
          </w:tcPr>
          <w:p w14:paraId="33D5D4A2" w14:textId="7C99664D" w:rsidR="00733B94" w:rsidRPr="004500D2" w:rsidRDefault="0058393C" w:rsidP="00064142">
            <w:pPr>
              <w:pStyle w:val="CETBodytext"/>
              <w:spacing w:before="20" w:after="20" w:line="20" w:lineRule="atLeast"/>
              <w:contextualSpacing/>
              <w:jc w:val="center"/>
              <w:rPr>
                <w:rFonts w:cs="Arial"/>
                <w:color w:val="000000"/>
                <w:szCs w:val="18"/>
              </w:rPr>
            </w:pPr>
            <w:r>
              <w:rPr>
                <w:rFonts w:cs="Arial"/>
                <w:color w:val="000000"/>
                <w:szCs w:val="18"/>
              </w:rPr>
              <w:t>2580</w:t>
            </w:r>
          </w:p>
        </w:tc>
        <w:tc>
          <w:tcPr>
            <w:tcW w:w="2552" w:type="dxa"/>
            <w:tcBorders>
              <w:top w:val="single" w:sz="6" w:space="0" w:color="008000"/>
              <w:bottom w:val="single" w:sz="6" w:space="0" w:color="008000"/>
            </w:tcBorders>
            <w:shd w:val="clear" w:color="auto" w:fill="FFFFFF"/>
            <w:vAlign w:val="center"/>
          </w:tcPr>
          <w:p w14:paraId="341C6AE2" w14:textId="603BC6BD" w:rsidR="00733B94" w:rsidRPr="004500D2" w:rsidRDefault="0058393C" w:rsidP="008E5E5F">
            <w:pPr>
              <w:pStyle w:val="CETBodytext"/>
              <w:spacing w:before="20" w:after="20" w:line="20" w:lineRule="atLeast"/>
              <w:contextualSpacing/>
              <w:jc w:val="center"/>
              <w:rPr>
                <w:rFonts w:cs="Arial"/>
                <w:color w:val="000000"/>
                <w:szCs w:val="18"/>
              </w:rPr>
            </w:pPr>
            <w:r>
              <w:rPr>
                <w:rFonts w:cs="Arial"/>
                <w:color w:val="000000"/>
                <w:szCs w:val="18"/>
              </w:rPr>
              <w:t>294</w:t>
            </w:r>
          </w:p>
        </w:tc>
      </w:tr>
      <w:tr w:rsidR="007F2689" w:rsidRPr="00D96526" w14:paraId="6B3FD3A9" w14:textId="77777777" w:rsidTr="00E34BAA">
        <w:trPr>
          <w:trHeight w:val="248"/>
        </w:trPr>
        <w:tc>
          <w:tcPr>
            <w:tcW w:w="2127" w:type="dxa"/>
            <w:tcBorders>
              <w:top w:val="single" w:sz="6" w:space="0" w:color="008000"/>
              <w:bottom w:val="single" w:sz="12" w:space="0" w:color="008000"/>
            </w:tcBorders>
            <w:shd w:val="clear" w:color="auto" w:fill="FFFFFF"/>
            <w:vAlign w:val="center"/>
          </w:tcPr>
          <w:p w14:paraId="63FD2D6E" w14:textId="335E4E45" w:rsidR="007F2689" w:rsidRPr="004500D2" w:rsidRDefault="00E0499A" w:rsidP="007F2689">
            <w:pPr>
              <w:pStyle w:val="CETBodytext"/>
              <w:spacing w:before="20" w:after="20" w:line="20" w:lineRule="atLeast"/>
              <w:contextualSpacing/>
              <w:jc w:val="center"/>
              <w:rPr>
                <w:rFonts w:cs="Arial"/>
                <w:bCs/>
                <w:color w:val="000000"/>
                <w:szCs w:val="18"/>
              </w:rPr>
            </w:pPr>
            <w:r>
              <w:rPr>
                <w:rFonts w:cs="Arial"/>
                <w:bCs/>
                <w:color w:val="000000"/>
                <w:szCs w:val="18"/>
              </w:rPr>
              <w:t>WEC</w:t>
            </w:r>
          </w:p>
        </w:tc>
        <w:tc>
          <w:tcPr>
            <w:tcW w:w="1984" w:type="dxa"/>
            <w:tcBorders>
              <w:top w:val="single" w:sz="6" w:space="0" w:color="008000"/>
              <w:bottom w:val="single" w:sz="12" w:space="0" w:color="008000"/>
            </w:tcBorders>
            <w:shd w:val="clear" w:color="auto" w:fill="FFFFFF"/>
            <w:vAlign w:val="center"/>
          </w:tcPr>
          <w:p w14:paraId="4ECEBC01" w14:textId="18A67EEA" w:rsidR="007F2689" w:rsidRPr="004500D2" w:rsidRDefault="007F2689" w:rsidP="0058393C">
            <w:pPr>
              <w:pStyle w:val="CETBodytext"/>
              <w:spacing w:before="20" w:after="20" w:line="20" w:lineRule="atLeast"/>
              <w:contextualSpacing/>
              <w:jc w:val="center"/>
              <w:rPr>
                <w:rFonts w:cs="Arial"/>
                <w:color w:val="000000"/>
                <w:szCs w:val="18"/>
              </w:rPr>
            </w:pPr>
            <w:r>
              <w:rPr>
                <w:rFonts w:cs="Arial"/>
                <w:color w:val="000000"/>
                <w:szCs w:val="18"/>
              </w:rPr>
              <w:t>20</w:t>
            </w:r>
          </w:p>
        </w:tc>
        <w:tc>
          <w:tcPr>
            <w:tcW w:w="2126" w:type="dxa"/>
            <w:tcBorders>
              <w:top w:val="single" w:sz="6" w:space="0" w:color="008000"/>
              <w:bottom w:val="single" w:sz="12" w:space="0" w:color="008000"/>
            </w:tcBorders>
            <w:shd w:val="clear" w:color="auto" w:fill="FFFFFF"/>
            <w:vAlign w:val="center"/>
          </w:tcPr>
          <w:p w14:paraId="2515EB19" w14:textId="704429EF" w:rsidR="007F2689" w:rsidRPr="004500D2" w:rsidRDefault="0058393C" w:rsidP="0058393C">
            <w:pPr>
              <w:pStyle w:val="CETBodytext"/>
              <w:spacing w:before="20" w:after="20" w:line="20" w:lineRule="atLeast"/>
              <w:contextualSpacing/>
              <w:jc w:val="center"/>
              <w:rPr>
                <w:rFonts w:cs="Arial"/>
                <w:szCs w:val="18"/>
                <w:lang w:val="en-GB"/>
              </w:rPr>
            </w:pPr>
            <w:r>
              <w:rPr>
                <w:rFonts w:cs="Arial"/>
                <w:szCs w:val="18"/>
                <w:lang w:val="en-GB"/>
              </w:rPr>
              <w:t>5</w:t>
            </w:r>
          </w:p>
        </w:tc>
        <w:tc>
          <w:tcPr>
            <w:tcW w:w="2552" w:type="dxa"/>
            <w:tcBorders>
              <w:top w:val="single" w:sz="6" w:space="0" w:color="008000"/>
              <w:bottom w:val="single" w:sz="12" w:space="0" w:color="008000"/>
            </w:tcBorders>
            <w:shd w:val="clear" w:color="auto" w:fill="FFFFFF"/>
            <w:vAlign w:val="center"/>
          </w:tcPr>
          <w:p w14:paraId="05628E1B" w14:textId="1404D638" w:rsidR="007F2689" w:rsidRPr="004500D2" w:rsidRDefault="0058393C" w:rsidP="0058393C">
            <w:pPr>
              <w:pStyle w:val="CETBodytext"/>
              <w:spacing w:before="20" w:after="20" w:line="20" w:lineRule="atLeast"/>
              <w:contextualSpacing/>
              <w:jc w:val="center"/>
              <w:rPr>
                <w:rFonts w:cs="Arial"/>
                <w:szCs w:val="18"/>
                <w:lang w:val="en-GB"/>
              </w:rPr>
            </w:pPr>
            <w:r>
              <w:rPr>
                <w:rFonts w:cs="Arial"/>
                <w:szCs w:val="18"/>
                <w:lang w:val="en-GB"/>
              </w:rPr>
              <w:t>0.58</w:t>
            </w:r>
          </w:p>
        </w:tc>
      </w:tr>
    </w:tbl>
    <w:p w14:paraId="29121608" w14:textId="77777777" w:rsidR="008A752E" w:rsidRDefault="008A752E" w:rsidP="00820D4D">
      <w:pPr>
        <w:pStyle w:val="CETBodytext"/>
      </w:pPr>
    </w:p>
    <w:p w14:paraId="6BD88CDB" w14:textId="0A62DBFD" w:rsidR="00007EA9" w:rsidRDefault="00007EA9" w:rsidP="00820D4D">
      <w:pPr>
        <w:pStyle w:val="CETBodytext"/>
      </w:pPr>
      <w:r w:rsidRPr="00E34BAA">
        <w:t>In Figure 3</w:t>
      </w:r>
      <w:r w:rsidR="00C26831">
        <w:t>,</w:t>
      </w:r>
      <w:r w:rsidRPr="00E34BAA">
        <w:t xml:space="preserve"> data of each converter elaborated as described in step 4 of the methodology</w:t>
      </w:r>
      <w:r w:rsidR="00C26831">
        <w:t xml:space="preserve"> are presented</w:t>
      </w:r>
      <w:r w:rsidRPr="00E34BAA">
        <w:t>. Higher power class correspond</w:t>
      </w:r>
      <w:r w:rsidR="00CF4DE1">
        <w:t>s</w:t>
      </w:r>
      <w:r w:rsidRPr="00E34BAA">
        <w:t xml:space="preserve"> to higher power produced. </w:t>
      </w:r>
      <w:r w:rsidR="00045BAE">
        <w:t xml:space="preserve">The </w:t>
      </w:r>
      <w:r w:rsidRPr="00E34BAA">
        <w:t>WEC and PV panel</w:t>
      </w:r>
      <w:r w:rsidR="00CF4DE1">
        <w:t>s</w:t>
      </w:r>
      <w:r w:rsidRPr="00E34BAA">
        <w:t xml:space="preserve"> </w:t>
      </w:r>
      <w:r w:rsidR="00C26831">
        <w:t xml:space="preserve">do </w:t>
      </w:r>
      <w:r w:rsidRPr="00E34BAA">
        <w:t xml:space="preserve">not produce power for about half </w:t>
      </w:r>
      <w:r w:rsidR="009C3F13">
        <w:t>of the tim</w:t>
      </w:r>
      <w:r w:rsidR="00404D8A">
        <w:t>e. T</w:t>
      </w:r>
      <w:r w:rsidR="00045BAE">
        <w:t xml:space="preserve">he </w:t>
      </w:r>
      <w:r w:rsidRPr="00E34BAA">
        <w:t xml:space="preserve">WEC </w:t>
      </w:r>
      <w:r w:rsidR="000A03E7">
        <w:t>has</w:t>
      </w:r>
      <w:r w:rsidRPr="00E34BAA">
        <w:t xml:space="preserve"> the high</w:t>
      </w:r>
      <w:r w:rsidR="00CF4DE1">
        <w:t>est</w:t>
      </w:r>
      <w:r w:rsidRPr="00E34BAA">
        <w:t xml:space="preserve"> percentage of operating time in </w:t>
      </w:r>
      <w:r w:rsidR="00CF4DE1">
        <w:t xml:space="preserve">the two </w:t>
      </w:r>
      <w:r w:rsidRPr="00E34BAA">
        <w:t>lowe</w:t>
      </w:r>
      <w:r w:rsidR="00CF4DE1">
        <w:t>st</w:t>
      </w:r>
      <w:r w:rsidRPr="00E34BAA">
        <w:t xml:space="preserve"> power classes, due to low wave potentiality</w:t>
      </w:r>
      <w:r w:rsidR="00404D8A">
        <w:t>. The</w:t>
      </w:r>
      <w:r w:rsidRPr="00E34BAA">
        <w:t xml:space="preserve"> PV panel</w:t>
      </w:r>
      <w:r w:rsidR="00CF4DE1">
        <w:t>s</w:t>
      </w:r>
      <w:r w:rsidR="009C3F13">
        <w:t xml:space="preserve"> show</w:t>
      </w:r>
      <w:r w:rsidR="00045BAE">
        <w:t>ed</w:t>
      </w:r>
      <w:r w:rsidR="009C3F13">
        <w:t xml:space="preserve"> an increasing power production for increasing power class</w:t>
      </w:r>
      <w:r w:rsidR="000A03E7">
        <w:t>es</w:t>
      </w:r>
      <w:r w:rsidRPr="00E34BAA">
        <w:t>. WT was the most operative converter due to a relative</w:t>
      </w:r>
      <w:r w:rsidR="00CF4DE1">
        <w:t>ly</w:t>
      </w:r>
      <w:r w:rsidRPr="00E34BAA">
        <w:t xml:space="preserve"> low time </w:t>
      </w:r>
      <w:r w:rsidR="0066707C">
        <w:t>of no</w:t>
      </w:r>
      <w:r w:rsidR="00441F86">
        <w:t>n-</w:t>
      </w:r>
      <w:r w:rsidR="0066707C">
        <w:t xml:space="preserve">energy production </w:t>
      </w:r>
      <w:r w:rsidRPr="00E34BAA">
        <w:t>(27 %). Then, to achieve the maximum exploitation of RESs without oversizing the converters mix</w:t>
      </w:r>
      <w:r w:rsidR="000A03E7">
        <w:t xml:space="preserve"> (and therefore the backup system)</w:t>
      </w:r>
      <w:r w:rsidRPr="00E34BAA">
        <w:t>, in the second phase of step 4 several combinations of converters and process size</w:t>
      </w:r>
      <w:r w:rsidR="00045BAE">
        <w:t>s</w:t>
      </w:r>
      <w:r w:rsidRPr="00E34BAA">
        <w:t xml:space="preserve"> were </w:t>
      </w:r>
      <w:r w:rsidR="00045BAE">
        <w:t>considered</w:t>
      </w:r>
      <w:r w:rsidRPr="00E34BAA">
        <w:t xml:space="preserve">, as </w:t>
      </w:r>
      <w:r w:rsidR="00404D8A">
        <w:t>shown</w:t>
      </w:r>
      <w:r w:rsidRPr="00E34BAA">
        <w:t xml:space="preserve"> in Table </w:t>
      </w:r>
      <w:r w:rsidR="007315B4">
        <w:t>2</w:t>
      </w:r>
      <w:r w:rsidRPr="00E34BAA">
        <w:t>. Four plant potentialit</w:t>
      </w:r>
      <w:r w:rsidR="00045BAE">
        <w:t>ies</w:t>
      </w:r>
      <w:r w:rsidRPr="00E34BAA">
        <w:t xml:space="preserve"> (60, 100, 200, 400 kW) and 4 converters combinations</w:t>
      </w:r>
      <w:r w:rsidR="004A06C2">
        <w:t xml:space="preserve"> for the </w:t>
      </w:r>
      <w:r w:rsidR="00420E5F">
        <w:t>hybrid energy system</w:t>
      </w:r>
      <w:r w:rsidRPr="00E34BAA">
        <w:t xml:space="preserve"> (949 m</w:t>
      </w:r>
      <w:r w:rsidRPr="00437823">
        <w:rPr>
          <w:vertAlign w:val="superscript"/>
        </w:rPr>
        <w:t>2</w:t>
      </w:r>
      <w:r w:rsidRPr="00E34BAA">
        <w:t xml:space="preserve"> PV panels, 1 or 3 </w:t>
      </w:r>
      <w:r w:rsidR="00045BAE">
        <w:t>WTs</w:t>
      </w:r>
      <w:r w:rsidRPr="00E34BAA">
        <w:t xml:space="preserve">, 10, 50 or 100 </w:t>
      </w:r>
      <w:r w:rsidR="00045BAE">
        <w:t>WECs</w:t>
      </w:r>
      <w:r w:rsidRPr="00E34BAA">
        <w:t xml:space="preserve">) were </w:t>
      </w:r>
      <w:r w:rsidR="00404D8A">
        <w:t>considered</w:t>
      </w:r>
      <w:r w:rsidRPr="00E34BAA">
        <w:t xml:space="preserve">. </w:t>
      </w:r>
      <w:r w:rsidR="00404D8A">
        <w:t>T</w:t>
      </w:r>
      <w:r w:rsidRPr="00E34BAA">
        <w:t>he number of hours in which the back</w:t>
      </w:r>
      <w:r w:rsidR="00045BAE">
        <w:t>-</w:t>
      </w:r>
      <w:r w:rsidRPr="00E34BAA">
        <w:t>up system ha</w:t>
      </w:r>
      <w:r w:rsidR="00B93833">
        <w:t>d</w:t>
      </w:r>
      <w:r w:rsidRPr="00E34BAA">
        <w:t xml:space="preserve"> to sustain (partially or full</w:t>
      </w:r>
      <w:r w:rsidR="009C3F13">
        <w:t>y</w:t>
      </w:r>
      <w:r w:rsidRPr="00E34BAA">
        <w:t xml:space="preserve">) the process and the average power needed in those hours </w:t>
      </w:r>
      <w:r w:rsidR="00B93833">
        <w:t>were</w:t>
      </w:r>
      <w:r w:rsidR="000A03E7">
        <w:t xml:space="preserve"> </w:t>
      </w:r>
      <w:r w:rsidRPr="00E34BAA">
        <w:t>calculated</w:t>
      </w:r>
      <w:r w:rsidR="00404D8A" w:rsidRPr="00404D8A">
        <w:t xml:space="preserve"> </w:t>
      </w:r>
      <w:r w:rsidR="00404D8A">
        <w:t>f</w:t>
      </w:r>
      <w:r w:rsidR="00404D8A" w:rsidRPr="00E34BAA">
        <w:t>or each combination</w:t>
      </w:r>
      <w:r w:rsidRPr="00E34BAA">
        <w:t xml:space="preserve">. Considering the results shown in Table </w:t>
      </w:r>
      <w:r w:rsidR="007315B4">
        <w:t>2</w:t>
      </w:r>
      <w:r w:rsidRPr="00E34BAA">
        <w:t>, a configuration characteri</w:t>
      </w:r>
      <w:r w:rsidR="00CF4DE1">
        <w:t>z</w:t>
      </w:r>
      <w:r w:rsidRPr="00E34BAA">
        <w:t xml:space="preserve">ed by 60 kW of </w:t>
      </w:r>
      <w:r w:rsidR="000A5E92">
        <w:t>power</w:t>
      </w:r>
      <w:r w:rsidRPr="00E34BAA">
        <w:t xml:space="preserve"> available for the </w:t>
      </w:r>
      <w:r w:rsidR="00045BAE">
        <w:t xml:space="preserve">methanol </w:t>
      </w:r>
      <w:r w:rsidRPr="00E34BAA">
        <w:t>process</w:t>
      </w:r>
      <w:r w:rsidR="000A5E92">
        <w:t xml:space="preserve"> </w:t>
      </w:r>
      <w:r w:rsidR="00045BAE">
        <w:t xml:space="preserve">and </w:t>
      </w:r>
      <w:r w:rsidRPr="00E34BAA">
        <w:t>sustained by 949 m</w:t>
      </w:r>
      <w:r w:rsidRPr="00437823">
        <w:rPr>
          <w:vertAlign w:val="superscript"/>
        </w:rPr>
        <w:t>2</w:t>
      </w:r>
      <w:r w:rsidRPr="00E34BAA">
        <w:t xml:space="preserve"> of PV panels, 1 WT and 50 WECs was selected as optimal.</w:t>
      </w:r>
    </w:p>
    <w:p w14:paraId="6C119552" w14:textId="77777777" w:rsidR="007B23E9" w:rsidRDefault="007B23E9" w:rsidP="00820D4D">
      <w:pPr>
        <w:pStyle w:val="CETBodytext"/>
      </w:pPr>
    </w:p>
    <w:p w14:paraId="315E22BF" w14:textId="799C17AF" w:rsidR="007B23E9" w:rsidRDefault="007B23E9" w:rsidP="00820D4D">
      <w:pPr>
        <w:pStyle w:val="CETBodytext"/>
      </w:pPr>
      <w:r>
        <w:rPr>
          <w:noProof/>
          <w:lang w:val="en-GB" w:eastAsia="en-GB"/>
        </w:rPr>
        <mc:AlternateContent>
          <mc:Choice Requires="wps">
            <w:drawing>
              <wp:anchor distT="0" distB="0" distL="114300" distR="114300" simplePos="0" relativeHeight="251666432" behindDoc="0" locked="0" layoutInCell="1" allowOverlap="1" wp14:anchorId="78B24118" wp14:editId="2318E8E9">
                <wp:simplePos x="0" y="0"/>
                <wp:positionH relativeFrom="margin">
                  <wp:posOffset>-1905</wp:posOffset>
                </wp:positionH>
                <wp:positionV relativeFrom="paragraph">
                  <wp:posOffset>3238236</wp:posOffset>
                </wp:positionV>
                <wp:extent cx="5579745" cy="635"/>
                <wp:effectExtent l="0" t="0" r="1905" b="4445"/>
                <wp:wrapTopAndBottom/>
                <wp:docPr id="75" name="Text Box 75"/>
                <wp:cNvGraphicFramePr/>
                <a:graphic xmlns:a="http://schemas.openxmlformats.org/drawingml/2006/main">
                  <a:graphicData uri="http://schemas.microsoft.com/office/word/2010/wordprocessingShape">
                    <wps:wsp>
                      <wps:cNvSpPr txBox="1"/>
                      <wps:spPr>
                        <a:xfrm>
                          <a:off x="0" y="0"/>
                          <a:ext cx="5579745" cy="635"/>
                        </a:xfrm>
                        <a:prstGeom prst="rect">
                          <a:avLst/>
                        </a:prstGeom>
                        <a:solidFill>
                          <a:prstClr val="white"/>
                        </a:solidFill>
                        <a:ln>
                          <a:noFill/>
                        </a:ln>
                      </wps:spPr>
                      <wps:txbx>
                        <w:txbxContent>
                          <w:p w14:paraId="49F14036" w14:textId="6588D07E" w:rsidR="00045BAE" w:rsidRPr="008528F8" w:rsidRDefault="00045BAE" w:rsidP="00E34BAA">
                            <w:pPr>
                              <w:pStyle w:val="CETCaption"/>
                            </w:pPr>
                            <w:r w:rsidRPr="0042273D">
                              <w:t xml:space="preserve">Figure </w:t>
                            </w:r>
                            <w:r w:rsidRPr="00022B94">
                              <w:fldChar w:fldCharType="begin"/>
                            </w:r>
                            <w:r w:rsidRPr="008528F8">
                              <w:instrText xml:space="preserve"> SEQ MySeq  \* MERGEFORMAT </w:instrText>
                            </w:r>
                            <w:r w:rsidRPr="00022B94">
                              <w:fldChar w:fldCharType="separate"/>
                            </w:r>
                            <w:r>
                              <w:rPr>
                                <w:noProof/>
                              </w:rPr>
                              <w:t>3</w:t>
                            </w:r>
                            <w:r w:rsidRPr="00022B94">
                              <w:fldChar w:fldCharType="end"/>
                            </w:r>
                            <w:r w:rsidRPr="00022B94">
                              <w:t xml:space="preserve">: </w:t>
                            </w:r>
                            <w:r>
                              <w:t xml:space="preserve">Power classes generation performance of each conversion device: </w:t>
                            </w:r>
                            <w:r w:rsidRPr="00022B94">
                              <w:t>(</w:t>
                            </w:r>
                            <w:r w:rsidR="00CE5EF3">
                              <w:fldChar w:fldCharType="begin"/>
                            </w:r>
                            <w:r w:rsidR="00CE5EF3">
                              <w:instrText xml:space="preserve"> SEQ \* alphabetic n \* MERGEFORMAT </w:instrText>
                            </w:r>
                            <w:r w:rsidR="00CE5EF3">
                              <w:fldChar w:fldCharType="separate"/>
                            </w:r>
                            <w:r w:rsidRPr="008528F8">
                              <w:t>a</w:t>
                            </w:r>
                            <w:r w:rsidR="00CE5EF3">
                              <w:fldChar w:fldCharType="end"/>
                            </w:r>
                            <w:r w:rsidRPr="008528F8">
                              <w:t>)</w:t>
                            </w:r>
                            <w:r>
                              <w:t xml:space="preserve"> WT</w:t>
                            </w:r>
                            <w:r w:rsidRPr="008528F8">
                              <w:t>; (</w:t>
                            </w:r>
                            <w:r w:rsidR="00CE5EF3">
                              <w:fldChar w:fldCharType="begin"/>
                            </w:r>
                            <w:r w:rsidR="00CE5EF3">
                              <w:instrText xml:space="preserve"> SEQ \* alphabetic n \* MERGEFORMAT </w:instrText>
                            </w:r>
                            <w:r w:rsidR="00CE5EF3">
                              <w:fldChar w:fldCharType="separate"/>
                            </w:r>
                            <w:r w:rsidRPr="008528F8">
                              <w:t>b</w:t>
                            </w:r>
                            <w:r w:rsidR="00CE5EF3">
                              <w:fldChar w:fldCharType="end"/>
                            </w:r>
                            <w:r w:rsidRPr="008528F8">
                              <w:t>)</w:t>
                            </w:r>
                            <w:r>
                              <w:t xml:space="preserve"> PV panels</w:t>
                            </w:r>
                            <w:r w:rsidRPr="008528F8">
                              <w:t>; (</w:t>
                            </w:r>
                            <w:r w:rsidR="00CE5EF3">
                              <w:fldChar w:fldCharType="begin"/>
                            </w:r>
                            <w:r w:rsidR="00CE5EF3">
                              <w:instrText xml:space="preserve"> SEQ \* alphabetic n \* MERGEFORMAT </w:instrText>
                            </w:r>
                            <w:r w:rsidR="00CE5EF3">
                              <w:fldChar w:fldCharType="separate"/>
                            </w:r>
                            <w:r w:rsidRPr="008528F8">
                              <w:t>c</w:t>
                            </w:r>
                            <w:r w:rsidR="00CE5EF3">
                              <w:fldChar w:fldCharType="end"/>
                            </w:r>
                            <w:r w:rsidRPr="008528F8">
                              <w:t xml:space="preserve">) </w:t>
                            </w:r>
                            <w:r>
                              <w:t xml:space="preserve">WEC. Per each power class, the power fraction produced </w:t>
                            </w:r>
                            <w:r w:rsidR="00404D8A">
                              <w:t>on a yearly basis</w:t>
                            </w:r>
                            <w:r w:rsidR="009B699D">
                              <w:t xml:space="preserve"> </w:t>
                            </w:r>
                            <w:r>
                              <w:t xml:space="preserve">and the </w:t>
                            </w:r>
                            <w:r w:rsidR="00404D8A">
                              <w:t xml:space="preserve">yearly </w:t>
                            </w:r>
                            <w:r>
                              <w:t xml:space="preserve">generation frequency are displayed.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78B24118" id="Text Box 75" o:spid="_x0000_s1028" type="#_x0000_t202" style="position:absolute;left:0;text-align:left;margin-left:-.15pt;margin-top:255pt;width:439.35pt;height:.0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" stroked="f">
                <v:textbox style="mso-fit-shape-to-text:t" inset="0,0,0,0">
                  <w:txbxContent>
                    <w:p w14:paraId="49F14036" w14:textId="6588D07E" w:rsidR="00045BAE" w:rsidRPr="008528F8" w:rsidRDefault="00045BAE" w:rsidP="00E34BAA">
                      <w:pPr>
                        <w:pStyle w:val="CETCaption"/>
                      </w:pPr>
                      <w:r w:rsidRPr="0042273D">
                        <w:t xml:space="preserve">Figure </w:t>
                      </w:r>
                      <w:r w:rsidRPr="00022B94">
                        <w:fldChar w:fldCharType="begin"/>
                      </w:r>
                      <w:r w:rsidRPr="008528F8">
                        <w:instrText xml:space="preserve"> SEQ MySeq  \* MERGEFORMAT </w:instrText>
                      </w:r>
                      <w:r w:rsidRPr="00022B94">
                        <w:fldChar w:fldCharType="separate"/>
                      </w:r>
                      <w:r>
                        <w:rPr>
                          <w:noProof/>
                        </w:rPr>
                        <w:t>3</w:t>
                      </w:r>
                      <w:r w:rsidRPr="00022B94">
                        <w:fldChar w:fldCharType="end"/>
                      </w:r>
                      <w:r w:rsidRPr="00022B94">
                        <w:t xml:space="preserve">: </w:t>
                      </w:r>
                      <w:r>
                        <w:t xml:space="preserve">Power classes generation performance of each conversion device: </w:t>
                      </w:r>
                      <w:r w:rsidRPr="00022B94">
                        <w:t>(</w:t>
                      </w:r>
                      <w:r w:rsidR="00CE5EF3">
                        <w:fldChar w:fldCharType="begin"/>
                      </w:r>
                      <w:r w:rsidR="00CE5EF3">
                        <w:instrText xml:space="preserve"> SEQ \* alphabetic n \* MERGEFORMAT </w:instrText>
                      </w:r>
                      <w:r w:rsidR="00CE5EF3">
                        <w:fldChar w:fldCharType="separate"/>
                      </w:r>
                      <w:r w:rsidRPr="008528F8">
                        <w:t>a</w:t>
                      </w:r>
                      <w:r w:rsidR="00CE5EF3">
                        <w:fldChar w:fldCharType="end"/>
                      </w:r>
                      <w:r w:rsidRPr="008528F8">
                        <w:t>)</w:t>
                      </w:r>
                      <w:r>
                        <w:t xml:space="preserve"> WT</w:t>
                      </w:r>
                      <w:r w:rsidRPr="008528F8">
                        <w:t>; (</w:t>
                      </w:r>
                      <w:r w:rsidR="00CE5EF3">
                        <w:fldChar w:fldCharType="begin"/>
                      </w:r>
                      <w:r w:rsidR="00CE5EF3">
                        <w:instrText xml:space="preserve"> SEQ \* alphabetic n \* MERGEFORMAT </w:instrText>
                      </w:r>
                      <w:r w:rsidR="00CE5EF3">
                        <w:fldChar w:fldCharType="separate"/>
                      </w:r>
                      <w:r w:rsidRPr="008528F8">
                        <w:t>b</w:t>
                      </w:r>
                      <w:r w:rsidR="00CE5EF3">
                        <w:fldChar w:fldCharType="end"/>
                      </w:r>
                      <w:r w:rsidRPr="008528F8">
                        <w:t>)</w:t>
                      </w:r>
                      <w:r>
                        <w:t xml:space="preserve"> PV panels</w:t>
                      </w:r>
                      <w:r w:rsidRPr="008528F8">
                        <w:t>; (</w:t>
                      </w:r>
                      <w:r w:rsidR="00CE5EF3">
                        <w:fldChar w:fldCharType="begin"/>
                      </w:r>
                      <w:r w:rsidR="00CE5EF3">
                        <w:instrText xml:space="preserve"> SEQ \* alphabetic n \* MERGEFORMAT </w:instrText>
                      </w:r>
                      <w:r w:rsidR="00CE5EF3">
                        <w:fldChar w:fldCharType="separate"/>
                      </w:r>
                      <w:r w:rsidRPr="008528F8">
                        <w:t>c</w:t>
                      </w:r>
                      <w:r w:rsidR="00CE5EF3">
                        <w:fldChar w:fldCharType="end"/>
                      </w:r>
                      <w:r w:rsidRPr="008528F8">
                        <w:t xml:space="preserve">) </w:t>
                      </w:r>
                      <w:r>
                        <w:t xml:space="preserve">WEC. Per each power class, the power fraction produced </w:t>
                      </w:r>
                      <w:r w:rsidR="00404D8A">
                        <w:t>on a yearly basis</w:t>
                      </w:r>
                      <w:r w:rsidR="009B699D">
                        <w:t xml:space="preserve"> </w:t>
                      </w:r>
                      <w:r>
                        <w:t xml:space="preserve">and the </w:t>
                      </w:r>
                      <w:r w:rsidR="00404D8A">
                        <w:t xml:space="preserve">yearly </w:t>
                      </w:r>
                      <w:r>
                        <w:t xml:space="preserve">generation frequency are displayed. </w:t>
                      </w:r>
                    </w:p>
                  </w:txbxContent>
                </v:textbox>
                <w10:wrap type="topAndBottom" anchorx="margin"/>
              </v:shape>
            </w:pict>
          </mc:Fallback>
        </mc:AlternateContent>
      </w:r>
      <w:r>
        <w:rPr>
          <w:noProof/>
        </w:rPr>
        <w:drawing>
          <wp:inline distT="0" distB="0" distL="0" distR="0" wp14:anchorId="400B3628" wp14:editId="29A08278">
            <wp:extent cx="5612246" cy="30882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2934" cy="3094137"/>
                    </a:xfrm>
                    <a:prstGeom prst="rect">
                      <a:avLst/>
                    </a:prstGeom>
                    <a:noFill/>
                  </pic:spPr>
                </pic:pic>
              </a:graphicData>
            </a:graphic>
          </wp:inline>
        </w:drawing>
      </w:r>
    </w:p>
    <w:p w14:paraId="0FA9ACC5" w14:textId="6F325963" w:rsidR="00080D90" w:rsidRDefault="00080D90" w:rsidP="00820D4D">
      <w:pPr>
        <w:pStyle w:val="CETBodytext"/>
      </w:pPr>
    </w:p>
    <w:p w14:paraId="17591EEE" w14:textId="31A70C0D" w:rsidR="00545DBE" w:rsidRPr="00E34BAA" w:rsidRDefault="00545DBE" w:rsidP="00820D4D">
      <w:pPr>
        <w:pStyle w:val="CETBodytext"/>
      </w:pPr>
    </w:p>
    <w:p w14:paraId="646BA58A" w14:textId="6A62ECAF" w:rsidR="00004F74" w:rsidRDefault="00F53780" w:rsidP="006F2EC1">
      <w:pPr>
        <w:pStyle w:val="CETBodytext"/>
        <w:rPr>
          <w:lang w:val="en-GB"/>
        </w:rPr>
      </w:pPr>
      <w:r>
        <w:rPr>
          <w:lang w:val="en-GB"/>
        </w:rPr>
        <w:t xml:space="preserve">The fifth step </w:t>
      </w:r>
      <w:r w:rsidR="00B93833">
        <w:rPr>
          <w:lang w:val="en-GB"/>
        </w:rPr>
        <w:t>was</w:t>
      </w:r>
      <w:r>
        <w:rPr>
          <w:lang w:val="en-GB"/>
        </w:rPr>
        <w:t xml:space="preserve"> the process conceptual design starting from data reported in </w:t>
      </w:r>
      <w:r w:rsidR="00404D8A">
        <w:rPr>
          <w:lang w:val="en-GB"/>
        </w:rPr>
        <w:t xml:space="preserve">the </w:t>
      </w:r>
      <w:r>
        <w:rPr>
          <w:lang w:val="en-GB"/>
        </w:rPr>
        <w:t>literature (Yarlagadda et al.,1988)</w:t>
      </w:r>
      <w:r w:rsidR="00404D8A">
        <w:rPr>
          <w:lang w:val="en-GB"/>
        </w:rPr>
        <w:t>. T</w:t>
      </w:r>
      <w:r>
        <w:rPr>
          <w:lang w:val="en-GB"/>
        </w:rPr>
        <w:t>his step was carried out with Aspen HYSYS, obtaining both data regarding methanol production and required</w:t>
      </w:r>
      <w:r w:rsidR="007E6329" w:rsidRPr="007E6329">
        <w:rPr>
          <w:lang w:val="en-GB"/>
        </w:rPr>
        <w:t xml:space="preserve"> </w:t>
      </w:r>
      <w:r w:rsidR="007E6329">
        <w:rPr>
          <w:lang w:val="en-GB"/>
        </w:rPr>
        <w:t>energy. An iterative process consisting in scaling HYSYS output data was carried out to size the process with</w:t>
      </w:r>
      <w:r w:rsidR="00432F40" w:rsidRPr="00432F40">
        <w:rPr>
          <w:lang w:val="en-GB"/>
        </w:rPr>
        <w:t xml:space="preserve"> </w:t>
      </w:r>
      <w:r w:rsidR="00432F40">
        <w:rPr>
          <w:lang w:val="en-GB"/>
        </w:rPr>
        <w:t>the chosen potentiality, considering 10 % of power for auxiliaries.</w:t>
      </w:r>
      <w:bookmarkStart w:id="1" w:name="_GoBack"/>
      <w:bookmarkEnd w:id="1"/>
      <w:r w:rsidR="00545DBE" w:rsidRPr="00545DBE">
        <w:rPr>
          <w:lang w:val="en-GB"/>
        </w:rPr>
        <w:t xml:space="preserve"> </w:t>
      </w:r>
      <w:r w:rsidR="00545DBE">
        <w:rPr>
          <w:lang w:val="en-GB"/>
        </w:rPr>
        <w:t>The final sizing resulted in 60 kW</w:t>
      </w:r>
      <w:r w:rsidR="006B4EE9">
        <w:rPr>
          <w:lang w:val="en-GB"/>
        </w:rPr>
        <w:t xml:space="preserve"> consisting of:</w:t>
      </w:r>
      <w:r w:rsidR="00545DBE">
        <w:rPr>
          <w:lang w:val="en-GB"/>
        </w:rPr>
        <w:t xml:space="preserve"> 43.25 </w:t>
      </w:r>
      <w:proofErr w:type="spellStart"/>
      <w:r w:rsidR="00545DBE">
        <w:rPr>
          <w:lang w:val="en-GB"/>
        </w:rPr>
        <w:t>kW</w:t>
      </w:r>
      <w:r w:rsidR="00545DBE" w:rsidRPr="00996AD0">
        <w:rPr>
          <w:vertAlign w:val="subscript"/>
          <w:lang w:val="en-GB"/>
        </w:rPr>
        <w:t>t</w:t>
      </w:r>
      <w:proofErr w:type="spellEnd"/>
      <w:r w:rsidR="00545DBE">
        <w:rPr>
          <w:lang w:val="en-GB"/>
        </w:rPr>
        <w:t xml:space="preserve">, 11.30 </w:t>
      </w:r>
      <w:proofErr w:type="spellStart"/>
      <w:r w:rsidR="00545DBE">
        <w:rPr>
          <w:lang w:val="en-GB"/>
        </w:rPr>
        <w:t>kW</w:t>
      </w:r>
      <w:r w:rsidR="00545DBE" w:rsidRPr="00996AD0">
        <w:rPr>
          <w:vertAlign w:val="subscript"/>
          <w:lang w:val="en-GB"/>
        </w:rPr>
        <w:t>e</w:t>
      </w:r>
      <w:proofErr w:type="spellEnd"/>
      <w:r w:rsidR="00545DBE">
        <w:rPr>
          <w:lang w:val="en-GB"/>
        </w:rPr>
        <w:t xml:space="preserve"> and 5.45 </w:t>
      </w:r>
      <w:proofErr w:type="spellStart"/>
      <w:r w:rsidR="00545DBE">
        <w:rPr>
          <w:lang w:val="en-GB"/>
        </w:rPr>
        <w:t>kW</w:t>
      </w:r>
      <w:r w:rsidR="00545DBE" w:rsidRPr="00996AD0">
        <w:rPr>
          <w:vertAlign w:val="subscript"/>
          <w:lang w:val="en-GB"/>
        </w:rPr>
        <w:t>e</w:t>
      </w:r>
      <w:proofErr w:type="spellEnd"/>
      <w:r w:rsidR="00545DBE">
        <w:rPr>
          <w:lang w:val="en-GB"/>
        </w:rPr>
        <w:t xml:space="preserve"> for auxiliaries.</w:t>
      </w:r>
      <w:r w:rsidR="00432F40" w:rsidRPr="00291668">
        <w:rPr>
          <w:lang w:val="en-GB"/>
        </w:rPr>
        <w:t xml:space="preserve"> </w:t>
      </w:r>
      <w:r w:rsidR="00432F40">
        <w:rPr>
          <w:lang w:val="en-GB"/>
        </w:rPr>
        <w:t>Methanol produced with 60 kW was 389 kg/d.</w:t>
      </w:r>
      <w:r w:rsidR="00432F40" w:rsidRPr="00432F40">
        <w:rPr>
          <w:lang w:val="en-GB"/>
        </w:rPr>
        <w:t xml:space="preserve"> </w:t>
      </w:r>
      <w:r w:rsidR="00432F40">
        <w:rPr>
          <w:lang w:val="en-GB"/>
        </w:rPr>
        <w:t>The process flow sheet is shown in Figure 4. As expected, the power production of the proposed mix was not able to cover 100 % of the process energy requirements: 625 hours (7 % of the total running time) were not covered by the RESs.</w:t>
      </w:r>
    </w:p>
    <w:p w14:paraId="158DB73F" w14:textId="75852571" w:rsidR="0066707C" w:rsidRDefault="0066707C" w:rsidP="008A3DC0">
      <w:pPr>
        <w:pStyle w:val="CETCaption"/>
      </w:pPr>
      <w:r>
        <w:lastRenderedPageBreak/>
        <w:t xml:space="preserve">Table </w:t>
      </w:r>
      <w:r>
        <w:fldChar w:fldCharType="begin"/>
      </w:r>
      <w:r>
        <w:instrText xml:space="preserve"> SEQ Table \* ARABIC </w:instrText>
      </w:r>
      <w:r>
        <w:fldChar w:fldCharType="separate"/>
      </w:r>
      <w:r>
        <w:rPr>
          <w:noProof/>
        </w:rPr>
        <w:t>2</w:t>
      </w:r>
      <w:r>
        <w:fldChar w:fldCharType="end"/>
      </w:r>
      <w:r w:rsidR="008A3DC0">
        <w:t>:</w:t>
      </w:r>
      <w:r w:rsidRPr="0066707C">
        <w:t xml:space="preserve"> </w:t>
      </w:r>
      <w:r>
        <w:t xml:space="preserve">Possible configurations for the hybrid energy system. NE means not enough and </w:t>
      </w:r>
      <w:r w:rsidRPr="004500D2">
        <w:rPr>
          <w:rFonts w:cs="Arial"/>
          <w:color w:val="000000"/>
          <w:szCs w:val="18"/>
        </w:rPr>
        <w:t>P̅</w:t>
      </w:r>
      <w:r>
        <w:rPr>
          <w:rFonts w:cs="Arial"/>
          <w:color w:val="000000"/>
          <w:szCs w:val="18"/>
        </w:rPr>
        <w:t xml:space="preserve"> is the average power to be supplied in the respective associate hours.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56"/>
        <w:gridCol w:w="1354"/>
        <w:gridCol w:w="1351"/>
        <w:gridCol w:w="1352"/>
        <w:gridCol w:w="1354"/>
        <w:gridCol w:w="1222"/>
      </w:tblGrid>
      <w:tr w:rsidR="003951C5" w:rsidRPr="00B57B36" w14:paraId="03758226" w14:textId="040C35A6" w:rsidTr="008A3DC0">
        <w:trPr>
          <w:trHeight w:val="250"/>
        </w:trPr>
        <w:tc>
          <w:tcPr>
            <w:tcW w:w="2156" w:type="dxa"/>
            <w:tcBorders>
              <w:top w:val="single" w:sz="12" w:space="0" w:color="008000"/>
              <w:bottom w:val="single" w:sz="6" w:space="0" w:color="008000"/>
            </w:tcBorders>
            <w:shd w:val="clear" w:color="auto" w:fill="FFFFFF"/>
            <w:vAlign w:val="center"/>
          </w:tcPr>
          <w:p w14:paraId="2C467D90" w14:textId="1C2A8787" w:rsidR="003951C5" w:rsidRPr="00BA7256" w:rsidRDefault="003951C5" w:rsidP="008A3DC0">
            <w:pPr>
              <w:pStyle w:val="CETTabletitle"/>
              <w:spacing w:before="0" w:after="0"/>
              <w:rPr>
                <w:rFonts w:cs="Arial"/>
                <w:i w:val="0"/>
                <w:szCs w:val="18"/>
              </w:rPr>
            </w:pPr>
            <w:r w:rsidRPr="00BA7256">
              <w:rPr>
                <w:rFonts w:cs="Arial"/>
                <w:i w:val="0"/>
                <w:szCs w:val="18"/>
              </w:rPr>
              <w:t>Configuration</w:t>
            </w:r>
          </w:p>
        </w:tc>
        <w:tc>
          <w:tcPr>
            <w:tcW w:w="1354" w:type="dxa"/>
            <w:tcBorders>
              <w:top w:val="single" w:sz="12" w:space="0" w:color="008000"/>
              <w:bottom w:val="single" w:sz="6" w:space="0" w:color="008000"/>
            </w:tcBorders>
            <w:shd w:val="clear" w:color="auto" w:fill="FFFFFF"/>
            <w:vAlign w:val="center"/>
          </w:tcPr>
          <w:p w14:paraId="7154558E" w14:textId="77777777" w:rsidR="003951C5" w:rsidRPr="00D96526" w:rsidRDefault="003951C5" w:rsidP="0099598B">
            <w:pPr>
              <w:pStyle w:val="CETBodytext"/>
              <w:jc w:val="center"/>
              <w:rPr>
                <w:rFonts w:cs="Arial"/>
                <w:bCs/>
                <w:color w:val="000000"/>
                <w:szCs w:val="18"/>
              </w:rPr>
            </w:pPr>
          </w:p>
        </w:tc>
        <w:tc>
          <w:tcPr>
            <w:tcW w:w="5279" w:type="dxa"/>
            <w:gridSpan w:val="4"/>
            <w:tcBorders>
              <w:top w:val="single" w:sz="12" w:space="0" w:color="008000"/>
              <w:bottom w:val="single" w:sz="6" w:space="0" w:color="008000"/>
            </w:tcBorders>
            <w:shd w:val="clear" w:color="auto" w:fill="FFFFFF"/>
            <w:vAlign w:val="center"/>
          </w:tcPr>
          <w:p w14:paraId="6372C6B1" w14:textId="35587AA2" w:rsidR="003951C5" w:rsidRPr="00D96526" w:rsidRDefault="001D3AB5">
            <w:pPr>
              <w:pStyle w:val="CETBodytext"/>
              <w:ind w:right="-1"/>
              <w:jc w:val="center"/>
              <w:rPr>
                <w:rFonts w:cs="Arial"/>
                <w:bCs/>
                <w:color w:val="000000"/>
                <w:szCs w:val="18"/>
              </w:rPr>
            </w:pPr>
            <w:r>
              <w:rPr>
                <w:rFonts w:cs="Arial"/>
                <w:szCs w:val="18"/>
                <w:lang w:val="en-GB"/>
              </w:rPr>
              <w:t>Plant potentiality</w:t>
            </w:r>
          </w:p>
        </w:tc>
      </w:tr>
      <w:tr w:rsidR="003951C5" w:rsidRPr="00D96526" w14:paraId="5C2E3ADB" w14:textId="77777777" w:rsidTr="008A3DC0">
        <w:trPr>
          <w:trHeight w:val="301"/>
        </w:trPr>
        <w:tc>
          <w:tcPr>
            <w:tcW w:w="2156" w:type="dxa"/>
            <w:tcBorders>
              <w:top w:val="single" w:sz="6" w:space="0" w:color="008000"/>
              <w:bottom w:val="single" w:sz="6" w:space="0" w:color="008000"/>
            </w:tcBorders>
            <w:shd w:val="clear" w:color="auto" w:fill="FFFFFF"/>
            <w:vAlign w:val="center"/>
          </w:tcPr>
          <w:p w14:paraId="2F82CE7C" w14:textId="77777777" w:rsidR="003951C5" w:rsidRPr="004500D2" w:rsidRDefault="003951C5" w:rsidP="00996AD0">
            <w:pPr>
              <w:pStyle w:val="CETBodytext"/>
              <w:spacing w:line="20" w:lineRule="atLeast"/>
              <w:contextualSpacing/>
              <w:jc w:val="center"/>
              <w:rPr>
                <w:rFonts w:cs="Arial"/>
                <w:bCs/>
                <w:color w:val="000000"/>
                <w:szCs w:val="18"/>
              </w:rPr>
            </w:pPr>
            <w:bookmarkStart w:id="2" w:name="_Hlk95147600"/>
          </w:p>
        </w:tc>
        <w:tc>
          <w:tcPr>
            <w:tcW w:w="1354" w:type="dxa"/>
            <w:tcBorders>
              <w:top w:val="single" w:sz="6" w:space="0" w:color="008000"/>
              <w:bottom w:val="single" w:sz="6" w:space="0" w:color="008000"/>
            </w:tcBorders>
            <w:shd w:val="clear" w:color="auto" w:fill="FFFFFF"/>
            <w:vAlign w:val="center"/>
          </w:tcPr>
          <w:p w14:paraId="48383F6A" w14:textId="77777777" w:rsidR="003951C5" w:rsidRPr="004500D2" w:rsidRDefault="003951C5" w:rsidP="00996AD0">
            <w:pPr>
              <w:pStyle w:val="CETBodytext"/>
              <w:spacing w:line="20" w:lineRule="atLeast"/>
              <w:contextualSpacing/>
              <w:jc w:val="center"/>
              <w:rPr>
                <w:rFonts w:cs="Arial"/>
                <w:color w:val="000000"/>
                <w:szCs w:val="18"/>
              </w:rPr>
            </w:pPr>
          </w:p>
        </w:tc>
        <w:tc>
          <w:tcPr>
            <w:tcW w:w="1351" w:type="dxa"/>
            <w:tcBorders>
              <w:top w:val="single" w:sz="6" w:space="0" w:color="008000"/>
              <w:bottom w:val="single" w:sz="6" w:space="0" w:color="008000"/>
            </w:tcBorders>
            <w:shd w:val="clear" w:color="auto" w:fill="FFFFFF"/>
            <w:vAlign w:val="center"/>
          </w:tcPr>
          <w:p w14:paraId="30E5B394" w14:textId="77113629" w:rsidR="003951C5" w:rsidRPr="004500D2" w:rsidRDefault="003951C5" w:rsidP="00996AD0">
            <w:pPr>
              <w:pStyle w:val="CETBodytext"/>
              <w:spacing w:line="20" w:lineRule="atLeast"/>
              <w:contextualSpacing/>
              <w:jc w:val="center"/>
              <w:rPr>
                <w:rFonts w:cs="Arial"/>
                <w:color w:val="000000"/>
                <w:szCs w:val="18"/>
              </w:rPr>
            </w:pPr>
            <w:r w:rsidRPr="00D96526">
              <w:rPr>
                <w:rFonts w:cs="Arial"/>
                <w:bCs/>
                <w:color w:val="000000"/>
                <w:szCs w:val="18"/>
              </w:rPr>
              <w:t>60 kW</w:t>
            </w:r>
          </w:p>
        </w:tc>
        <w:tc>
          <w:tcPr>
            <w:tcW w:w="1352" w:type="dxa"/>
            <w:tcBorders>
              <w:top w:val="single" w:sz="6" w:space="0" w:color="008000"/>
              <w:bottom w:val="single" w:sz="6" w:space="0" w:color="008000"/>
            </w:tcBorders>
            <w:shd w:val="clear" w:color="auto" w:fill="FFFFFF"/>
            <w:vAlign w:val="center"/>
          </w:tcPr>
          <w:p w14:paraId="77270815" w14:textId="6A57AF63" w:rsidR="003951C5" w:rsidRPr="004500D2" w:rsidRDefault="003951C5" w:rsidP="00996AD0">
            <w:pPr>
              <w:pStyle w:val="CETBodytext"/>
              <w:spacing w:line="20" w:lineRule="atLeast"/>
              <w:contextualSpacing/>
              <w:jc w:val="center"/>
              <w:rPr>
                <w:rFonts w:cs="Arial"/>
                <w:color w:val="000000"/>
                <w:szCs w:val="18"/>
              </w:rPr>
            </w:pPr>
            <w:r w:rsidRPr="00D96526">
              <w:rPr>
                <w:rFonts w:cs="Arial"/>
                <w:bCs/>
                <w:color w:val="000000"/>
                <w:szCs w:val="18"/>
              </w:rPr>
              <w:t>100 kW</w:t>
            </w:r>
          </w:p>
        </w:tc>
        <w:tc>
          <w:tcPr>
            <w:tcW w:w="1354" w:type="dxa"/>
            <w:tcBorders>
              <w:top w:val="single" w:sz="6" w:space="0" w:color="008000"/>
              <w:bottom w:val="single" w:sz="6" w:space="0" w:color="008000"/>
            </w:tcBorders>
            <w:shd w:val="clear" w:color="auto" w:fill="FFFFFF"/>
            <w:vAlign w:val="center"/>
          </w:tcPr>
          <w:p w14:paraId="2F6E0D3C" w14:textId="40F069C4" w:rsidR="003951C5" w:rsidRPr="004500D2" w:rsidRDefault="003951C5" w:rsidP="00996AD0">
            <w:pPr>
              <w:tabs>
                <w:tab w:val="clear" w:pos="7100"/>
              </w:tabs>
              <w:spacing w:line="20" w:lineRule="atLeast"/>
              <w:contextualSpacing/>
              <w:jc w:val="center"/>
              <w:rPr>
                <w:rFonts w:cs="Arial"/>
                <w:color w:val="000000"/>
                <w:szCs w:val="18"/>
              </w:rPr>
            </w:pPr>
            <w:r w:rsidRPr="00D96526">
              <w:rPr>
                <w:rFonts w:cs="Arial"/>
                <w:bCs/>
                <w:color w:val="000000"/>
                <w:szCs w:val="18"/>
              </w:rPr>
              <w:t>200 kW</w:t>
            </w:r>
          </w:p>
        </w:tc>
        <w:tc>
          <w:tcPr>
            <w:tcW w:w="1222" w:type="dxa"/>
            <w:tcBorders>
              <w:top w:val="single" w:sz="6" w:space="0" w:color="008000"/>
              <w:bottom w:val="single" w:sz="6" w:space="0" w:color="008000"/>
            </w:tcBorders>
            <w:vAlign w:val="center"/>
          </w:tcPr>
          <w:p w14:paraId="2BFE7729" w14:textId="10842DC4" w:rsidR="003951C5" w:rsidRPr="004500D2" w:rsidRDefault="003951C5" w:rsidP="00996AD0">
            <w:pPr>
              <w:tabs>
                <w:tab w:val="clear" w:pos="7100"/>
              </w:tabs>
              <w:spacing w:line="20" w:lineRule="atLeast"/>
              <w:contextualSpacing/>
              <w:jc w:val="center"/>
              <w:rPr>
                <w:rFonts w:cs="Arial"/>
                <w:color w:val="000000"/>
                <w:szCs w:val="18"/>
              </w:rPr>
            </w:pPr>
            <w:r w:rsidRPr="00D96526">
              <w:rPr>
                <w:rFonts w:cs="Arial"/>
                <w:bCs/>
                <w:color w:val="000000"/>
                <w:szCs w:val="18"/>
              </w:rPr>
              <w:t>400 kW</w:t>
            </w:r>
          </w:p>
        </w:tc>
      </w:tr>
      <w:tr w:rsidR="003951C5" w:rsidRPr="00D96526" w14:paraId="7C27342E" w14:textId="2E20CA8A" w:rsidTr="008A3DC0">
        <w:trPr>
          <w:trHeight w:val="383"/>
        </w:trPr>
        <w:tc>
          <w:tcPr>
            <w:tcW w:w="2156" w:type="dxa"/>
            <w:tcBorders>
              <w:top w:val="single" w:sz="6" w:space="0" w:color="008000"/>
              <w:bottom w:val="single" w:sz="6" w:space="0" w:color="008000"/>
            </w:tcBorders>
            <w:shd w:val="clear" w:color="auto" w:fill="FFFFFF"/>
          </w:tcPr>
          <w:p w14:paraId="4E0E8AE6" w14:textId="22CBC399" w:rsidR="003951C5" w:rsidRPr="004500D2" w:rsidRDefault="003951C5" w:rsidP="003951C5">
            <w:pPr>
              <w:pStyle w:val="CETBodytext"/>
              <w:spacing w:before="20" w:after="20" w:line="20" w:lineRule="atLeast"/>
              <w:contextualSpacing/>
              <w:jc w:val="center"/>
              <w:rPr>
                <w:rFonts w:cs="Arial"/>
                <w:szCs w:val="18"/>
              </w:rPr>
            </w:pPr>
            <w:r w:rsidRPr="004500D2">
              <w:rPr>
                <w:rFonts w:cs="Arial"/>
                <w:bCs/>
                <w:color w:val="000000"/>
                <w:szCs w:val="18"/>
              </w:rPr>
              <w:t>949 m</w:t>
            </w:r>
            <w:r w:rsidRPr="004500D2">
              <w:rPr>
                <w:rFonts w:cs="Arial"/>
                <w:bCs/>
                <w:color w:val="000000"/>
                <w:szCs w:val="18"/>
                <w:vertAlign w:val="superscript"/>
              </w:rPr>
              <w:t>2</w:t>
            </w:r>
            <w:r w:rsidRPr="004500D2">
              <w:rPr>
                <w:rFonts w:cs="Arial"/>
                <w:bCs/>
                <w:color w:val="000000"/>
                <w:szCs w:val="18"/>
              </w:rPr>
              <w:t>, 1 WT 1500, 10 WEC</w:t>
            </w:r>
          </w:p>
        </w:tc>
        <w:tc>
          <w:tcPr>
            <w:tcW w:w="1354" w:type="dxa"/>
            <w:tcBorders>
              <w:top w:val="single" w:sz="6" w:space="0" w:color="008000"/>
              <w:bottom w:val="single" w:sz="6" w:space="0" w:color="008000"/>
            </w:tcBorders>
            <w:shd w:val="clear" w:color="auto" w:fill="FFFFFF"/>
          </w:tcPr>
          <w:p w14:paraId="2C40E1D4" w14:textId="518A39D5"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color w:val="000000"/>
                <w:szCs w:val="18"/>
              </w:rPr>
              <w:t>n hours N</w:t>
            </w:r>
            <w:r>
              <w:rPr>
                <w:rFonts w:cs="Arial"/>
                <w:color w:val="000000"/>
                <w:szCs w:val="18"/>
              </w:rPr>
              <w:t>E</w:t>
            </w:r>
          </w:p>
          <w:p w14:paraId="3598153C" w14:textId="50245AA8"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color w:val="000000"/>
                <w:szCs w:val="18"/>
              </w:rPr>
              <w:t>P̅ [kW]</w:t>
            </w:r>
          </w:p>
        </w:tc>
        <w:tc>
          <w:tcPr>
            <w:tcW w:w="1351" w:type="dxa"/>
            <w:tcBorders>
              <w:top w:val="single" w:sz="6" w:space="0" w:color="008000"/>
              <w:bottom w:val="single" w:sz="6" w:space="0" w:color="008000"/>
            </w:tcBorders>
            <w:shd w:val="clear" w:color="auto" w:fill="FFFFFF"/>
          </w:tcPr>
          <w:p w14:paraId="4C727453" w14:textId="77777777"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color w:val="000000"/>
                <w:szCs w:val="18"/>
              </w:rPr>
              <w:t>2279</w:t>
            </w:r>
          </w:p>
          <w:p w14:paraId="7ECF4224" w14:textId="3B575445"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color w:val="000000"/>
                <w:szCs w:val="18"/>
              </w:rPr>
              <w:t>42</w:t>
            </w:r>
            <w:r>
              <w:rPr>
                <w:rFonts w:cs="Arial"/>
                <w:color w:val="000000"/>
                <w:szCs w:val="18"/>
              </w:rPr>
              <w:t>.</w:t>
            </w:r>
            <w:r w:rsidRPr="004500D2">
              <w:rPr>
                <w:rFonts w:cs="Arial"/>
                <w:color w:val="000000"/>
                <w:szCs w:val="18"/>
              </w:rPr>
              <w:t>8</w:t>
            </w:r>
          </w:p>
        </w:tc>
        <w:tc>
          <w:tcPr>
            <w:tcW w:w="1352" w:type="dxa"/>
            <w:tcBorders>
              <w:top w:val="single" w:sz="6" w:space="0" w:color="008000"/>
              <w:bottom w:val="single" w:sz="6" w:space="0" w:color="008000"/>
            </w:tcBorders>
            <w:shd w:val="clear" w:color="auto" w:fill="FFFFFF"/>
          </w:tcPr>
          <w:p w14:paraId="2DAE72DC" w14:textId="77777777"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color w:val="000000"/>
                <w:szCs w:val="18"/>
              </w:rPr>
              <w:t>3227</w:t>
            </w:r>
          </w:p>
          <w:p w14:paraId="702960DA" w14:textId="5F6D950C"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color w:val="000000"/>
                <w:szCs w:val="18"/>
              </w:rPr>
              <w:t>64</w:t>
            </w:r>
            <w:r>
              <w:rPr>
                <w:rFonts w:cs="Arial"/>
                <w:color w:val="000000"/>
                <w:szCs w:val="18"/>
              </w:rPr>
              <w:t>.</w:t>
            </w:r>
            <w:r w:rsidRPr="004500D2">
              <w:rPr>
                <w:rFonts w:cs="Arial"/>
                <w:color w:val="000000"/>
                <w:szCs w:val="18"/>
              </w:rPr>
              <w:t>1</w:t>
            </w:r>
          </w:p>
        </w:tc>
        <w:tc>
          <w:tcPr>
            <w:tcW w:w="1354" w:type="dxa"/>
            <w:tcBorders>
              <w:top w:val="single" w:sz="6" w:space="0" w:color="008000"/>
              <w:bottom w:val="single" w:sz="6" w:space="0" w:color="008000"/>
            </w:tcBorders>
            <w:shd w:val="clear" w:color="auto" w:fill="FFFFFF"/>
          </w:tcPr>
          <w:p w14:paraId="0A7592AC" w14:textId="77777777" w:rsidR="003951C5" w:rsidRPr="004500D2" w:rsidRDefault="003951C5" w:rsidP="003951C5">
            <w:pPr>
              <w:tabs>
                <w:tab w:val="clear" w:pos="7100"/>
              </w:tabs>
              <w:spacing w:before="20" w:after="20" w:line="20" w:lineRule="atLeast"/>
              <w:contextualSpacing/>
              <w:jc w:val="center"/>
              <w:rPr>
                <w:rFonts w:cs="Arial"/>
                <w:color w:val="000000"/>
                <w:szCs w:val="18"/>
              </w:rPr>
            </w:pPr>
            <w:r w:rsidRPr="004500D2">
              <w:rPr>
                <w:rFonts w:cs="Arial"/>
                <w:color w:val="000000"/>
                <w:szCs w:val="18"/>
              </w:rPr>
              <w:t>5029</w:t>
            </w:r>
          </w:p>
          <w:p w14:paraId="7E757C1C" w14:textId="54A126BA"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color w:val="000000"/>
                <w:szCs w:val="18"/>
              </w:rPr>
              <w:t>126</w:t>
            </w:r>
            <w:r>
              <w:rPr>
                <w:rFonts w:cs="Arial"/>
                <w:color w:val="000000"/>
                <w:szCs w:val="18"/>
              </w:rPr>
              <w:t>.</w:t>
            </w:r>
            <w:r w:rsidRPr="004500D2">
              <w:rPr>
                <w:rFonts w:cs="Arial"/>
                <w:color w:val="000000"/>
                <w:szCs w:val="18"/>
              </w:rPr>
              <w:t>3</w:t>
            </w:r>
          </w:p>
        </w:tc>
        <w:tc>
          <w:tcPr>
            <w:tcW w:w="1222" w:type="dxa"/>
            <w:tcBorders>
              <w:top w:val="single" w:sz="6" w:space="0" w:color="008000"/>
              <w:bottom w:val="single" w:sz="6" w:space="0" w:color="008000"/>
            </w:tcBorders>
          </w:tcPr>
          <w:p w14:paraId="37D932BB" w14:textId="77777777" w:rsidR="003951C5" w:rsidRPr="004500D2" w:rsidRDefault="003951C5" w:rsidP="003951C5">
            <w:pPr>
              <w:tabs>
                <w:tab w:val="clear" w:pos="7100"/>
              </w:tabs>
              <w:spacing w:before="20" w:after="20" w:line="20" w:lineRule="atLeast"/>
              <w:contextualSpacing/>
              <w:jc w:val="center"/>
              <w:rPr>
                <w:rFonts w:cs="Arial"/>
                <w:color w:val="000000"/>
                <w:szCs w:val="18"/>
              </w:rPr>
            </w:pPr>
            <w:r w:rsidRPr="004500D2">
              <w:rPr>
                <w:rFonts w:cs="Arial"/>
                <w:color w:val="000000"/>
                <w:szCs w:val="18"/>
              </w:rPr>
              <w:t>6607</w:t>
            </w:r>
          </w:p>
          <w:p w14:paraId="5F978275" w14:textId="48CA8623" w:rsidR="003951C5" w:rsidRPr="004500D2" w:rsidRDefault="003951C5" w:rsidP="003951C5">
            <w:pPr>
              <w:tabs>
                <w:tab w:val="clear" w:pos="7100"/>
              </w:tabs>
              <w:spacing w:before="20" w:after="20" w:line="20" w:lineRule="atLeast"/>
              <w:contextualSpacing/>
              <w:jc w:val="center"/>
              <w:rPr>
                <w:rFonts w:cs="Arial"/>
                <w:color w:val="000000"/>
                <w:szCs w:val="18"/>
              </w:rPr>
            </w:pPr>
            <w:r w:rsidRPr="004500D2">
              <w:rPr>
                <w:rFonts w:cs="Arial"/>
                <w:color w:val="000000"/>
                <w:szCs w:val="18"/>
              </w:rPr>
              <w:t>276</w:t>
            </w:r>
            <w:r>
              <w:rPr>
                <w:rFonts w:cs="Arial"/>
                <w:color w:val="000000"/>
                <w:szCs w:val="18"/>
              </w:rPr>
              <w:t>.</w:t>
            </w:r>
            <w:r w:rsidRPr="004500D2">
              <w:rPr>
                <w:rFonts w:cs="Arial"/>
                <w:color w:val="000000"/>
                <w:szCs w:val="18"/>
              </w:rPr>
              <w:t>2</w:t>
            </w:r>
          </w:p>
        </w:tc>
      </w:tr>
      <w:bookmarkEnd w:id="2"/>
      <w:tr w:rsidR="003951C5" w:rsidRPr="00D96526" w14:paraId="175B08F3" w14:textId="77777777" w:rsidTr="008A3DC0">
        <w:trPr>
          <w:trHeight w:val="318"/>
        </w:trPr>
        <w:tc>
          <w:tcPr>
            <w:tcW w:w="2156" w:type="dxa"/>
            <w:tcBorders>
              <w:top w:val="single" w:sz="6" w:space="0" w:color="008000"/>
              <w:bottom w:val="single" w:sz="6" w:space="0" w:color="008000"/>
            </w:tcBorders>
            <w:shd w:val="clear" w:color="auto" w:fill="FFFFFF"/>
          </w:tcPr>
          <w:p w14:paraId="759463B4" w14:textId="264E413C" w:rsidR="003951C5" w:rsidRPr="004500D2" w:rsidRDefault="003951C5" w:rsidP="003951C5">
            <w:pPr>
              <w:pStyle w:val="CETBodytext"/>
              <w:spacing w:before="20" w:after="20" w:line="20" w:lineRule="atLeast"/>
              <w:contextualSpacing/>
              <w:jc w:val="center"/>
              <w:rPr>
                <w:rFonts w:cs="Arial"/>
                <w:bCs/>
                <w:color w:val="000000"/>
                <w:szCs w:val="18"/>
              </w:rPr>
            </w:pPr>
            <w:r w:rsidRPr="004500D2">
              <w:rPr>
                <w:rFonts w:cs="Arial"/>
                <w:bCs/>
                <w:color w:val="000000"/>
                <w:szCs w:val="18"/>
              </w:rPr>
              <w:t>949 m</w:t>
            </w:r>
            <w:r w:rsidRPr="004500D2">
              <w:rPr>
                <w:rFonts w:cs="Arial"/>
                <w:bCs/>
                <w:color w:val="000000"/>
                <w:szCs w:val="18"/>
                <w:vertAlign w:val="superscript"/>
              </w:rPr>
              <w:t>2</w:t>
            </w:r>
            <w:r w:rsidRPr="004500D2">
              <w:rPr>
                <w:rFonts w:cs="Arial"/>
                <w:bCs/>
                <w:color w:val="000000"/>
                <w:szCs w:val="18"/>
              </w:rPr>
              <w:t>, 1 WT 1500, 50 WEC</w:t>
            </w:r>
          </w:p>
        </w:tc>
        <w:tc>
          <w:tcPr>
            <w:tcW w:w="1354" w:type="dxa"/>
            <w:tcBorders>
              <w:top w:val="single" w:sz="6" w:space="0" w:color="008000"/>
              <w:bottom w:val="single" w:sz="6" w:space="0" w:color="008000"/>
            </w:tcBorders>
            <w:shd w:val="clear" w:color="auto" w:fill="FFFFFF"/>
          </w:tcPr>
          <w:p w14:paraId="73954225" w14:textId="3C099BC9"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color w:val="000000"/>
                <w:szCs w:val="18"/>
              </w:rPr>
              <w:t>n hours N</w:t>
            </w:r>
            <w:r>
              <w:rPr>
                <w:rFonts w:cs="Arial"/>
                <w:color w:val="000000"/>
                <w:szCs w:val="18"/>
              </w:rPr>
              <w:t>E</w:t>
            </w:r>
          </w:p>
          <w:p w14:paraId="2018ACEC" w14:textId="40177EC0"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color w:val="000000"/>
                <w:szCs w:val="18"/>
              </w:rPr>
              <w:t>P̅ [kW]</w:t>
            </w:r>
          </w:p>
        </w:tc>
        <w:tc>
          <w:tcPr>
            <w:tcW w:w="1351" w:type="dxa"/>
            <w:tcBorders>
              <w:top w:val="single" w:sz="6" w:space="0" w:color="008000"/>
              <w:bottom w:val="single" w:sz="6" w:space="0" w:color="008000"/>
            </w:tcBorders>
            <w:shd w:val="clear" w:color="auto" w:fill="FFFFFF"/>
          </w:tcPr>
          <w:p w14:paraId="60666896"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2121</w:t>
            </w:r>
          </w:p>
          <w:p w14:paraId="6DAE8E7B" w14:textId="7F702FE3"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szCs w:val="18"/>
                <w:lang w:val="en-GB"/>
              </w:rPr>
              <w:t>41</w:t>
            </w:r>
            <w:r>
              <w:rPr>
                <w:rFonts w:cs="Arial"/>
                <w:szCs w:val="18"/>
                <w:lang w:val="en-GB"/>
              </w:rPr>
              <w:t>.</w:t>
            </w:r>
            <w:r w:rsidRPr="004500D2">
              <w:rPr>
                <w:rFonts w:cs="Arial"/>
                <w:szCs w:val="18"/>
                <w:lang w:val="en-GB"/>
              </w:rPr>
              <w:t>4</w:t>
            </w:r>
          </w:p>
        </w:tc>
        <w:tc>
          <w:tcPr>
            <w:tcW w:w="1352" w:type="dxa"/>
            <w:tcBorders>
              <w:top w:val="single" w:sz="6" w:space="0" w:color="008000"/>
              <w:bottom w:val="single" w:sz="6" w:space="0" w:color="008000"/>
            </w:tcBorders>
            <w:shd w:val="clear" w:color="auto" w:fill="FFFFFF"/>
          </w:tcPr>
          <w:p w14:paraId="18E45710"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3060</w:t>
            </w:r>
          </w:p>
          <w:p w14:paraId="5C9D0017" w14:textId="1F403139"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szCs w:val="18"/>
                <w:lang w:val="en-GB"/>
              </w:rPr>
              <w:t>62</w:t>
            </w:r>
            <w:r>
              <w:rPr>
                <w:rFonts w:cs="Arial"/>
                <w:szCs w:val="18"/>
                <w:lang w:val="en-GB"/>
              </w:rPr>
              <w:t>.</w:t>
            </w:r>
            <w:r w:rsidRPr="004500D2">
              <w:rPr>
                <w:rFonts w:cs="Arial"/>
                <w:szCs w:val="18"/>
                <w:lang w:val="en-GB"/>
              </w:rPr>
              <w:t>4</w:t>
            </w:r>
          </w:p>
        </w:tc>
        <w:tc>
          <w:tcPr>
            <w:tcW w:w="1354" w:type="dxa"/>
            <w:tcBorders>
              <w:top w:val="single" w:sz="6" w:space="0" w:color="008000"/>
              <w:bottom w:val="single" w:sz="6" w:space="0" w:color="008000"/>
            </w:tcBorders>
            <w:shd w:val="clear" w:color="auto" w:fill="FFFFFF"/>
          </w:tcPr>
          <w:p w14:paraId="364EA6BC"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4902</w:t>
            </w:r>
          </w:p>
          <w:p w14:paraId="0E19527E" w14:textId="16E66C0F" w:rsidR="003951C5" w:rsidRPr="004500D2" w:rsidRDefault="003951C5" w:rsidP="003951C5">
            <w:pPr>
              <w:tabs>
                <w:tab w:val="clear" w:pos="7100"/>
              </w:tabs>
              <w:spacing w:before="20" w:after="20" w:line="20" w:lineRule="atLeast"/>
              <w:contextualSpacing/>
              <w:jc w:val="center"/>
              <w:rPr>
                <w:rFonts w:cs="Arial"/>
                <w:color w:val="000000"/>
                <w:szCs w:val="18"/>
              </w:rPr>
            </w:pPr>
            <w:r w:rsidRPr="004500D2">
              <w:rPr>
                <w:rFonts w:cs="Arial"/>
                <w:szCs w:val="18"/>
              </w:rPr>
              <w:t>123</w:t>
            </w:r>
            <w:r>
              <w:rPr>
                <w:rFonts w:cs="Arial"/>
                <w:szCs w:val="18"/>
              </w:rPr>
              <w:t>.</w:t>
            </w:r>
            <w:r w:rsidRPr="004500D2">
              <w:rPr>
                <w:rFonts w:cs="Arial"/>
                <w:szCs w:val="18"/>
              </w:rPr>
              <w:t>3</w:t>
            </w:r>
          </w:p>
        </w:tc>
        <w:tc>
          <w:tcPr>
            <w:tcW w:w="1222" w:type="dxa"/>
            <w:tcBorders>
              <w:top w:val="single" w:sz="6" w:space="0" w:color="008000"/>
              <w:bottom w:val="single" w:sz="6" w:space="0" w:color="008000"/>
            </w:tcBorders>
          </w:tcPr>
          <w:p w14:paraId="1F0EAA2C"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6499</w:t>
            </w:r>
          </w:p>
          <w:p w14:paraId="7C7E60F8" w14:textId="4683A3C4" w:rsidR="003951C5" w:rsidRPr="004500D2" w:rsidRDefault="003951C5" w:rsidP="003951C5">
            <w:pPr>
              <w:tabs>
                <w:tab w:val="clear" w:pos="7100"/>
              </w:tabs>
              <w:spacing w:before="20" w:after="20" w:line="20" w:lineRule="atLeast"/>
              <w:contextualSpacing/>
              <w:jc w:val="center"/>
              <w:rPr>
                <w:rFonts w:cs="Arial"/>
                <w:color w:val="000000"/>
                <w:szCs w:val="18"/>
              </w:rPr>
            </w:pPr>
            <w:r w:rsidRPr="004500D2">
              <w:rPr>
                <w:rFonts w:cs="Arial"/>
                <w:szCs w:val="18"/>
              </w:rPr>
              <w:t>272</w:t>
            </w:r>
            <w:r>
              <w:rPr>
                <w:rFonts w:cs="Arial"/>
                <w:szCs w:val="18"/>
              </w:rPr>
              <w:t>.</w:t>
            </w:r>
            <w:r w:rsidRPr="004500D2">
              <w:rPr>
                <w:rFonts w:cs="Arial"/>
                <w:szCs w:val="18"/>
              </w:rPr>
              <w:t>1</w:t>
            </w:r>
          </w:p>
        </w:tc>
      </w:tr>
      <w:tr w:rsidR="003951C5" w:rsidRPr="00D96526" w14:paraId="5B89506C" w14:textId="77777777" w:rsidTr="008A3DC0">
        <w:trPr>
          <w:trHeight w:val="127"/>
        </w:trPr>
        <w:tc>
          <w:tcPr>
            <w:tcW w:w="2156" w:type="dxa"/>
            <w:tcBorders>
              <w:top w:val="single" w:sz="6" w:space="0" w:color="008000"/>
              <w:bottom w:val="single" w:sz="6" w:space="0" w:color="008000"/>
            </w:tcBorders>
            <w:shd w:val="clear" w:color="auto" w:fill="FFFFFF"/>
          </w:tcPr>
          <w:p w14:paraId="6906DD11" w14:textId="29EA6FC5" w:rsidR="003951C5" w:rsidRPr="004500D2" w:rsidRDefault="003951C5" w:rsidP="003951C5">
            <w:pPr>
              <w:pStyle w:val="CETBodytext"/>
              <w:spacing w:before="20" w:after="20" w:line="20" w:lineRule="atLeast"/>
              <w:contextualSpacing/>
              <w:jc w:val="center"/>
              <w:rPr>
                <w:rFonts w:cs="Arial"/>
                <w:bCs/>
                <w:color w:val="000000"/>
                <w:szCs w:val="18"/>
              </w:rPr>
            </w:pPr>
            <w:r w:rsidRPr="004500D2">
              <w:rPr>
                <w:rFonts w:cs="Arial"/>
                <w:bCs/>
                <w:color w:val="000000"/>
                <w:szCs w:val="18"/>
              </w:rPr>
              <w:t>949 m</w:t>
            </w:r>
            <w:r w:rsidRPr="004500D2">
              <w:rPr>
                <w:rFonts w:cs="Arial"/>
                <w:bCs/>
                <w:color w:val="000000"/>
                <w:szCs w:val="18"/>
                <w:vertAlign w:val="superscript"/>
              </w:rPr>
              <w:t>2</w:t>
            </w:r>
            <w:r w:rsidRPr="004500D2">
              <w:rPr>
                <w:rFonts w:cs="Arial"/>
                <w:bCs/>
                <w:color w:val="000000"/>
                <w:szCs w:val="18"/>
              </w:rPr>
              <w:t>, 1 WT 1500, 100 WEC</w:t>
            </w:r>
          </w:p>
        </w:tc>
        <w:tc>
          <w:tcPr>
            <w:tcW w:w="1354" w:type="dxa"/>
            <w:tcBorders>
              <w:top w:val="single" w:sz="6" w:space="0" w:color="008000"/>
              <w:bottom w:val="single" w:sz="6" w:space="0" w:color="008000"/>
            </w:tcBorders>
            <w:shd w:val="clear" w:color="auto" w:fill="FFFFFF"/>
          </w:tcPr>
          <w:p w14:paraId="5CB99113" w14:textId="3C03840A"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color w:val="000000"/>
                <w:szCs w:val="18"/>
              </w:rPr>
              <w:t>n hours N</w:t>
            </w:r>
            <w:r>
              <w:rPr>
                <w:rFonts w:cs="Arial"/>
                <w:color w:val="000000"/>
                <w:szCs w:val="18"/>
              </w:rPr>
              <w:t>E</w:t>
            </w:r>
          </w:p>
          <w:p w14:paraId="287D62C4" w14:textId="55FF72FF"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color w:val="000000"/>
                <w:szCs w:val="18"/>
              </w:rPr>
              <w:t>P̅ [kW]</w:t>
            </w:r>
          </w:p>
        </w:tc>
        <w:tc>
          <w:tcPr>
            <w:tcW w:w="1351" w:type="dxa"/>
            <w:tcBorders>
              <w:top w:val="single" w:sz="6" w:space="0" w:color="008000"/>
              <w:bottom w:val="single" w:sz="6" w:space="0" w:color="008000"/>
            </w:tcBorders>
            <w:shd w:val="clear" w:color="auto" w:fill="FFFFFF"/>
          </w:tcPr>
          <w:p w14:paraId="43EB8C75"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2011</w:t>
            </w:r>
          </w:p>
          <w:p w14:paraId="6D42C6D4" w14:textId="6A60F86F"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40</w:t>
            </w:r>
            <w:r>
              <w:rPr>
                <w:rFonts w:cs="Arial"/>
                <w:szCs w:val="18"/>
                <w:lang w:val="en-GB"/>
              </w:rPr>
              <w:t>.</w:t>
            </w:r>
            <w:r w:rsidRPr="004500D2">
              <w:rPr>
                <w:rFonts w:cs="Arial"/>
                <w:szCs w:val="18"/>
                <w:lang w:val="en-GB"/>
              </w:rPr>
              <w:t>0</w:t>
            </w:r>
          </w:p>
        </w:tc>
        <w:tc>
          <w:tcPr>
            <w:tcW w:w="1352" w:type="dxa"/>
            <w:tcBorders>
              <w:top w:val="single" w:sz="6" w:space="0" w:color="008000"/>
              <w:bottom w:val="single" w:sz="6" w:space="0" w:color="008000"/>
            </w:tcBorders>
            <w:shd w:val="clear" w:color="auto" w:fill="FFFFFF"/>
          </w:tcPr>
          <w:p w14:paraId="282D0E6C"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2876</w:t>
            </w:r>
          </w:p>
          <w:p w14:paraId="35D293C0" w14:textId="165932D3"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61</w:t>
            </w:r>
            <w:r>
              <w:rPr>
                <w:rFonts w:cs="Arial"/>
                <w:szCs w:val="18"/>
                <w:lang w:val="en-GB"/>
              </w:rPr>
              <w:t>.</w:t>
            </w:r>
            <w:r w:rsidRPr="004500D2">
              <w:rPr>
                <w:rFonts w:cs="Arial"/>
                <w:szCs w:val="18"/>
                <w:lang w:val="en-GB"/>
              </w:rPr>
              <w:t>7</w:t>
            </w:r>
          </w:p>
        </w:tc>
        <w:tc>
          <w:tcPr>
            <w:tcW w:w="1354" w:type="dxa"/>
            <w:tcBorders>
              <w:top w:val="single" w:sz="6" w:space="0" w:color="008000"/>
              <w:bottom w:val="single" w:sz="6" w:space="0" w:color="008000"/>
            </w:tcBorders>
            <w:shd w:val="clear" w:color="auto" w:fill="FFFFFF"/>
          </w:tcPr>
          <w:p w14:paraId="04E44ADD"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4739</w:t>
            </w:r>
          </w:p>
          <w:p w14:paraId="6A7AF368" w14:textId="234E1858"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120</w:t>
            </w:r>
            <w:r>
              <w:rPr>
                <w:rFonts w:cs="Arial"/>
                <w:szCs w:val="18"/>
                <w:lang w:val="en-GB"/>
              </w:rPr>
              <w:t>.</w:t>
            </w:r>
            <w:r w:rsidRPr="004500D2">
              <w:rPr>
                <w:rFonts w:cs="Arial"/>
                <w:szCs w:val="18"/>
                <w:lang w:val="en-GB"/>
              </w:rPr>
              <w:t>8</w:t>
            </w:r>
          </w:p>
        </w:tc>
        <w:tc>
          <w:tcPr>
            <w:tcW w:w="1222" w:type="dxa"/>
            <w:tcBorders>
              <w:top w:val="single" w:sz="6" w:space="0" w:color="008000"/>
              <w:bottom w:val="single" w:sz="6" w:space="0" w:color="008000"/>
            </w:tcBorders>
          </w:tcPr>
          <w:p w14:paraId="5E2B433A"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6366</w:t>
            </w:r>
          </w:p>
          <w:p w14:paraId="09D8C1A3" w14:textId="680E81D9"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268</w:t>
            </w:r>
            <w:r>
              <w:rPr>
                <w:rFonts w:cs="Arial"/>
                <w:szCs w:val="18"/>
                <w:lang w:val="en-GB"/>
              </w:rPr>
              <w:t>.</w:t>
            </w:r>
            <w:r w:rsidRPr="004500D2">
              <w:rPr>
                <w:rFonts w:cs="Arial"/>
                <w:szCs w:val="18"/>
                <w:lang w:val="en-GB"/>
              </w:rPr>
              <w:t>1</w:t>
            </w:r>
          </w:p>
        </w:tc>
      </w:tr>
      <w:tr w:rsidR="003951C5" w:rsidRPr="00D96526" w14:paraId="570EB085" w14:textId="77777777" w:rsidTr="008A3DC0">
        <w:trPr>
          <w:trHeight w:val="247"/>
        </w:trPr>
        <w:tc>
          <w:tcPr>
            <w:tcW w:w="2156" w:type="dxa"/>
            <w:tcBorders>
              <w:top w:val="single" w:sz="6" w:space="0" w:color="008000"/>
              <w:bottom w:val="single" w:sz="12" w:space="0" w:color="008000"/>
            </w:tcBorders>
            <w:shd w:val="clear" w:color="auto" w:fill="FFFFFF"/>
          </w:tcPr>
          <w:p w14:paraId="77AC3211" w14:textId="7F82B314" w:rsidR="003951C5" w:rsidRPr="004500D2" w:rsidRDefault="003951C5" w:rsidP="003951C5">
            <w:pPr>
              <w:pStyle w:val="CETBodytext"/>
              <w:spacing w:before="20" w:after="20" w:line="20" w:lineRule="atLeast"/>
              <w:contextualSpacing/>
              <w:jc w:val="center"/>
              <w:rPr>
                <w:rFonts w:cs="Arial"/>
                <w:bCs/>
                <w:color w:val="000000"/>
                <w:szCs w:val="18"/>
              </w:rPr>
            </w:pPr>
            <w:r w:rsidRPr="004500D2">
              <w:rPr>
                <w:rFonts w:cs="Arial"/>
                <w:bCs/>
                <w:color w:val="000000"/>
                <w:szCs w:val="18"/>
              </w:rPr>
              <w:t>949 m</w:t>
            </w:r>
            <w:r w:rsidRPr="004500D2">
              <w:rPr>
                <w:rFonts w:cs="Arial"/>
                <w:bCs/>
                <w:color w:val="000000"/>
                <w:szCs w:val="18"/>
                <w:vertAlign w:val="superscript"/>
              </w:rPr>
              <w:t>2</w:t>
            </w:r>
            <w:r w:rsidRPr="004500D2">
              <w:rPr>
                <w:rFonts w:cs="Arial"/>
                <w:bCs/>
                <w:color w:val="000000"/>
                <w:szCs w:val="18"/>
              </w:rPr>
              <w:t>, 3 WT 1500, 100 WEC</w:t>
            </w:r>
          </w:p>
        </w:tc>
        <w:tc>
          <w:tcPr>
            <w:tcW w:w="1354" w:type="dxa"/>
            <w:tcBorders>
              <w:top w:val="single" w:sz="6" w:space="0" w:color="008000"/>
              <w:bottom w:val="single" w:sz="12" w:space="0" w:color="008000"/>
            </w:tcBorders>
            <w:shd w:val="clear" w:color="auto" w:fill="FFFFFF"/>
          </w:tcPr>
          <w:p w14:paraId="4CBA4A38" w14:textId="45209CDA"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color w:val="000000"/>
                <w:szCs w:val="18"/>
              </w:rPr>
              <w:t>n hours N</w:t>
            </w:r>
            <w:r>
              <w:rPr>
                <w:rFonts w:cs="Arial"/>
                <w:color w:val="000000"/>
                <w:szCs w:val="18"/>
              </w:rPr>
              <w:t>E</w:t>
            </w:r>
          </w:p>
          <w:p w14:paraId="2105D740" w14:textId="21BE2907" w:rsidR="003951C5" w:rsidRPr="004500D2" w:rsidRDefault="003951C5" w:rsidP="003951C5">
            <w:pPr>
              <w:pStyle w:val="CETBodytext"/>
              <w:spacing w:before="20" w:after="20" w:line="20" w:lineRule="atLeast"/>
              <w:contextualSpacing/>
              <w:jc w:val="center"/>
              <w:rPr>
                <w:rFonts w:cs="Arial"/>
                <w:color w:val="000000"/>
                <w:szCs w:val="18"/>
              </w:rPr>
            </w:pPr>
            <w:r w:rsidRPr="004500D2">
              <w:rPr>
                <w:rFonts w:cs="Arial"/>
                <w:color w:val="000000"/>
                <w:szCs w:val="18"/>
              </w:rPr>
              <w:t>P̅ [kW]</w:t>
            </w:r>
          </w:p>
        </w:tc>
        <w:tc>
          <w:tcPr>
            <w:tcW w:w="1351" w:type="dxa"/>
            <w:tcBorders>
              <w:top w:val="single" w:sz="6" w:space="0" w:color="008000"/>
              <w:bottom w:val="single" w:sz="12" w:space="0" w:color="008000"/>
            </w:tcBorders>
            <w:shd w:val="clear" w:color="auto" w:fill="FFFFFF"/>
          </w:tcPr>
          <w:p w14:paraId="1738AD7D"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1655</w:t>
            </w:r>
          </w:p>
          <w:p w14:paraId="781F717D" w14:textId="7B8E33DD"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42</w:t>
            </w:r>
            <w:r>
              <w:rPr>
                <w:rFonts w:cs="Arial"/>
                <w:szCs w:val="18"/>
                <w:lang w:val="en-GB"/>
              </w:rPr>
              <w:t>.</w:t>
            </w:r>
            <w:r w:rsidRPr="004500D2">
              <w:rPr>
                <w:rFonts w:cs="Arial"/>
                <w:szCs w:val="18"/>
                <w:lang w:val="en-GB"/>
              </w:rPr>
              <w:t>0</w:t>
            </w:r>
          </w:p>
        </w:tc>
        <w:tc>
          <w:tcPr>
            <w:tcW w:w="1352" w:type="dxa"/>
            <w:tcBorders>
              <w:top w:val="single" w:sz="6" w:space="0" w:color="008000"/>
              <w:bottom w:val="single" w:sz="12" w:space="0" w:color="008000"/>
            </w:tcBorders>
            <w:shd w:val="clear" w:color="auto" w:fill="FFFFFF"/>
          </w:tcPr>
          <w:p w14:paraId="47F28C72"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2207</w:t>
            </w:r>
          </w:p>
          <w:p w14:paraId="6951ADF0" w14:textId="459CA961"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67</w:t>
            </w:r>
            <w:r>
              <w:rPr>
                <w:rFonts w:cs="Arial"/>
                <w:szCs w:val="18"/>
                <w:lang w:val="en-GB"/>
              </w:rPr>
              <w:t>.</w:t>
            </w:r>
            <w:r w:rsidRPr="004500D2">
              <w:rPr>
                <w:rFonts w:cs="Arial"/>
                <w:szCs w:val="18"/>
                <w:lang w:val="en-GB"/>
              </w:rPr>
              <w:t>0</w:t>
            </w:r>
          </w:p>
        </w:tc>
        <w:tc>
          <w:tcPr>
            <w:tcW w:w="1354" w:type="dxa"/>
            <w:tcBorders>
              <w:top w:val="single" w:sz="6" w:space="0" w:color="008000"/>
              <w:bottom w:val="single" w:sz="12" w:space="0" w:color="008000"/>
            </w:tcBorders>
            <w:shd w:val="clear" w:color="auto" w:fill="FFFFFF"/>
          </w:tcPr>
          <w:p w14:paraId="681CDB37"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3333</w:t>
            </w:r>
          </w:p>
          <w:p w14:paraId="7D8AAED2" w14:textId="6D99EC01"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130</w:t>
            </w:r>
            <w:r>
              <w:rPr>
                <w:rFonts w:cs="Arial"/>
                <w:szCs w:val="18"/>
                <w:lang w:val="en-GB"/>
              </w:rPr>
              <w:t>.</w:t>
            </w:r>
            <w:r w:rsidRPr="004500D2">
              <w:rPr>
                <w:rFonts w:cs="Arial"/>
                <w:szCs w:val="18"/>
                <w:lang w:val="en-GB"/>
              </w:rPr>
              <w:t>0</w:t>
            </w:r>
          </w:p>
        </w:tc>
        <w:tc>
          <w:tcPr>
            <w:tcW w:w="1222" w:type="dxa"/>
            <w:tcBorders>
              <w:top w:val="single" w:sz="6" w:space="0" w:color="008000"/>
              <w:bottom w:val="single" w:sz="12" w:space="0" w:color="008000"/>
            </w:tcBorders>
          </w:tcPr>
          <w:p w14:paraId="08C9A799" w14:textId="77777777"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4443</w:t>
            </w:r>
          </w:p>
          <w:p w14:paraId="4C6197F0" w14:textId="5F191CF0" w:rsidR="003951C5" w:rsidRPr="004500D2" w:rsidRDefault="003951C5" w:rsidP="003951C5">
            <w:pPr>
              <w:pStyle w:val="CETBodytext"/>
              <w:spacing w:before="20" w:after="20" w:line="20" w:lineRule="atLeast"/>
              <w:contextualSpacing/>
              <w:jc w:val="center"/>
              <w:rPr>
                <w:rFonts w:cs="Arial"/>
                <w:szCs w:val="18"/>
                <w:lang w:val="en-GB"/>
              </w:rPr>
            </w:pPr>
            <w:r w:rsidRPr="004500D2">
              <w:rPr>
                <w:rFonts w:cs="Arial"/>
                <w:szCs w:val="18"/>
                <w:lang w:val="en-GB"/>
              </w:rPr>
              <w:t>274</w:t>
            </w:r>
            <w:r>
              <w:rPr>
                <w:rFonts w:cs="Arial"/>
                <w:szCs w:val="18"/>
                <w:lang w:val="en-GB"/>
              </w:rPr>
              <w:t>.</w:t>
            </w:r>
            <w:r w:rsidRPr="004500D2">
              <w:rPr>
                <w:rFonts w:cs="Arial"/>
                <w:szCs w:val="18"/>
                <w:lang w:val="en-GB"/>
              </w:rPr>
              <w:t>0</w:t>
            </w:r>
          </w:p>
        </w:tc>
      </w:tr>
    </w:tbl>
    <w:p w14:paraId="352F2798" w14:textId="77777777" w:rsidR="00807B79" w:rsidRDefault="00807B79" w:rsidP="001C494E">
      <w:pPr>
        <w:pStyle w:val="CETBodytext"/>
        <w:rPr>
          <w:lang w:val="en-GB"/>
        </w:rPr>
      </w:pPr>
    </w:p>
    <w:p w14:paraId="3C6851F4" w14:textId="17295DAE" w:rsidR="00807B79" w:rsidRDefault="007D572A" w:rsidP="001C494E">
      <w:pPr>
        <w:pStyle w:val="CETBodytext"/>
        <w:rPr>
          <w:lang w:val="en-GB"/>
        </w:rPr>
      </w:pPr>
      <w:r>
        <w:rPr>
          <w:lang w:val="en-GB"/>
        </w:rPr>
        <w:t xml:space="preserve">The appropriate backup system had to be chosen given the energy requirements </w:t>
      </w:r>
      <w:r w:rsidR="00404D8A">
        <w:rPr>
          <w:lang w:val="en-GB"/>
        </w:rPr>
        <w:t xml:space="preserve">of the facilities </w:t>
      </w:r>
      <w:r>
        <w:rPr>
          <w:lang w:val="en-GB"/>
        </w:rPr>
        <w:t xml:space="preserve">(43.25 </w:t>
      </w:r>
      <w:proofErr w:type="spellStart"/>
      <w:r>
        <w:rPr>
          <w:lang w:val="en-GB"/>
        </w:rPr>
        <w:t>kW</w:t>
      </w:r>
      <w:r w:rsidRPr="00BC5CDD">
        <w:rPr>
          <w:vertAlign w:val="subscript"/>
          <w:lang w:val="en-GB"/>
        </w:rPr>
        <w:t>t</w:t>
      </w:r>
      <w:proofErr w:type="spellEnd"/>
      <w:r>
        <w:rPr>
          <w:lang w:val="en-GB"/>
        </w:rPr>
        <w:t xml:space="preserve">, 16.75 </w:t>
      </w:r>
      <w:proofErr w:type="spellStart"/>
      <w:r>
        <w:rPr>
          <w:lang w:val="en-GB"/>
        </w:rPr>
        <w:t>kW</w:t>
      </w:r>
      <w:r w:rsidRPr="00BC5CDD">
        <w:rPr>
          <w:vertAlign w:val="subscript"/>
          <w:lang w:val="en-GB"/>
        </w:rPr>
        <w:t>e</w:t>
      </w:r>
      <w:proofErr w:type="spellEnd"/>
      <w:r>
        <w:rPr>
          <w:lang w:val="en-GB"/>
        </w:rPr>
        <w:t>).</w:t>
      </w:r>
      <w:r w:rsidR="00C34D9C">
        <w:rPr>
          <w:lang w:val="en-GB"/>
        </w:rPr>
        <w:t xml:space="preserve"> </w:t>
      </w:r>
      <w:r w:rsidR="00864127">
        <w:rPr>
          <w:lang w:val="en-GB"/>
        </w:rPr>
        <w:t>A</w:t>
      </w:r>
      <w:r w:rsidR="00091AD5">
        <w:rPr>
          <w:lang w:val="en-GB"/>
        </w:rPr>
        <w:t xml:space="preserve"> </w:t>
      </w:r>
      <w:r w:rsidR="00585AF8">
        <w:rPr>
          <w:lang w:val="en-GB"/>
        </w:rPr>
        <w:t>Combined Heat and Power</w:t>
      </w:r>
      <w:r w:rsidR="00091AD5">
        <w:rPr>
          <w:lang w:val="en-GB"/>
        </w:rPr>
        <w:t xml:space="preserve"> </w:t>
      </w:r>
      <w:r w:rsidR="00585AF8">
        <w:rPr>
          <w:lang w:val="en-GB"/>
        </w:rPr>
        <w:t xml:space="preserve">generator </w:t>
      </w:r>
      <w:r w:rsidR="00091AD5">
        <w:rPr>
          <w:lang w:val="en-GB"/>
        </w:rPr>
        <w:t>Microturbine</w:t>
      </w:r>
      <w:r w:rsidR="00864127">
        <w:rPr>
          <w:lang w:val="en-GB"/>
        </w:rPr>
        <w:t xml:space="preserve"> was </w:t>
      </w:r>
      <w:r w:rsidR="00FB42ED">
        <w:rPr>
          <w:lang w:val="en-GB"/>
        </w:rPr>
        <w:t>chosen as</w:t>
      </w:r>
      <w:r w:rsidR="00761C0D">
        <w:rPr>
          <w:lang w:val="en-GB"/>
        </w:rPr>
        <w:t xml:space="preserve"> a</w:t>
      </w:r>
      <w:r w:rsidR="00FB42ED">
        <w:rPr>
          <w:lang w:val="en-GB"/>
        </w:rPr>
        <w:t xml:space="preserve"> </w:t>
      </w:r>
      <w:r w:rsidR="00864127">
        <w:rPr>
          <w:lang w:val="en-GB"/>
        </w:rPr>
        <w:t>suitable system, and after check</w:t>
      </w:r>
      <w:r w:rsidR="00761C0D">
        <w:rPr>
          <w:lang w:val="en-GB"/>
        </w:rPr>
        <w:t>ing</w:t>
      </w:r>
      <w:r w:rsidR="00864127">
        <w:rPr>
          <w:lang w:val="en-GB"/>
        </w:rPr>
        <w:t xml:space="preserve"> the </w:t>
      </w:r>
      <w:r w:rsidR="00761C0D">
        <w:rPr>
          <w:lang w:val="en-GB"/>
        </w:rPr>
        <w:t xml:space="preserve">possible heat recovery from </w:t>
      </w:r>
      <w:r w:rsidR="00371DF1">
        <w:rPr>
          <w:lang w:val="en-GB"/>
        </w:rPr>
        <w:t>the exhaust</w:t>
      </w:r>
      <w:r w:rsidR="00864127">
        <w:rPr>
          <w:lang w:val="en-GB"/>
        </w:rPr>
        <w:t xml:space="preserve"> </w:t>
      </w:r>
      <w:r w:rsidR="00761C0D">
        <w:rPr>
          <w:lang w:val="en-GB"/>
        </w:rPr>
        <w:t>stream</w:t>
      </w:r>
      <w:r w:rsidR="00864127">
        <w:rPr>
          <w:lang w:val="en-GB"/>
        </w:rPr>
        <w:t xml:space="preserve">, a </w:t>
      </w:r>
      <w:r w:rsidR="000A5E92">
        <w:rPr>
          <w:lang w:val="en-GB"/>
        </w:rPr>
        <w:t>microturbine</w:t>
      </w:r>
      <w:r w:rsidR="00864127">
        <w:rPr>
          <w:lang w:val="en-GB"/>
        </w:rPr>
        <w:t xml:space="preserve"> </w:t>
      </w:r>
      <w:r w:rsidR="00A5159B">
        <w:rPr>
          <w:lang w:val="en-GB"/>
        </w:rPr>
        <w:t xml:space="preserve">with 30 </w:t>
      </w:r>
      <w:proofErr w:type="spellStart"/>
      <w:r w:rsidR="00A5159B">
        <w:rPr>
          <w:lang w:val="en-GB"/>
        </w:rPr>
        <w:t>kW</w:t>
      </w:r>
      <w:r w:rsidR="00A5159B" w:rsidRPr="00BC5CDD">
        <w:rPr>
          <w:vertAlign w:val="subscript"/>
          <w:lang w:val="en-GB"/>
        </w:rPr>
        <w:t>e</w:t>
      </w:r>
      <w:proofErr w:type="spellEnd"/>
      <w:r w:rsidR="00A5159B">
        <w:rPr>
          <w:lang w:val="en-GB"/>
        </w:rPr>
        <w:t xml:space="preserve"> and 60 </w:t>
      </w:r>
      <w:proofErr w:type="spellStart"/>
      <w:r w:rsidR="00A5159B">
        <w:rPr>
          <w:lang w:val="en-GB"/>
        </w:rPr>
        <w:t>kW</w:t>
      </w:r>
      <w:r w:rsidR="00A5159B" w:rsidRPr="00BC5CDD">
        <w:rPr>
          <w:vertAlign w:val="subscript"/>
          <w:lang w:val="en-GB"/>
        </w:rPr>
        <w:t>t</w:t>
      </w:r>
      <w:proofErr w:type="spellEnd"/>
      <w:r w:rsidR="00A5159B">
        <w:rPr>
          <w:lang w:val="en-GB"/>
        </w:rPr>
        <w:t xml:space="preserve"> </w:t>
      </w:r>
      <w:r w:rsidR="009C3F13">
        <w:rPr>
          <w:lang w:val="en-GB"/>
        </w:rPr>
        <w:t xml:space="preserve">of maximum power output </w:t>
      </w:r>
      <w:r w:rsidR="00091AD5">
        <w:rPr>
          <w:lang w:val="en-GB"/>
        </w:rPr>
        <w:t xml:space="preserve">was </w:t>
      </w:r>
      <w:r w:rsidR="00E57BE6">
        <w:rPr>
          <w:lang w:val="en-GB"/>
        </w:rPr>
        <w:t>selected</w:t>
      </w:r>
      <w:r w:rsidR="00091AD5">
        <w:rPr>
          <w:lang w:val="en-GB"/>
        </w:rPr>
        <w:t xml:space="preserve">. </w:t>
      </w:r>
      <w:r w:rsidR="00696408">
        <w:rPr>
          <w:lang w:val="en-GB"/>
        </w:rPr>
        <w:t>Considering 2121 h/y</w:t>
      </w:r>
      <w:r w:rsidR="00A5159B">
        <w:rPr>
          <w:lang w:val="en-GB"/>
        </w:rPr>
        <w:t xml:space="preserve"> of operation</w:t>
      </w:r>
      <w:r w:rsidR="008D1EE1">
        <w:rPr>
          <w:lang w:val="en-GB"/>
        </w:rPr>
        <w:t xml:space="preserve"> </w:t>
      </w:r>
      <w:r w:rsidR="00E57BE6">
        <w:rPr>
          <w:lang w:val="en-GB"/>
        </w:rPr>
        <w:t xml:space="preserve">during </w:t>
      </w:r>
      <w:r w:rsidR="00FB42ED">
        <w:rPr>
          <w:lang w:val="en-GB"/>
        </w:rPr>
        <w:t xml:space="preserve">which it has to partially or fully sustain the process </w:t>
      </w:r>
      <w:r w:rsidR="0094188C">
        <w:rPr>
          <w:lang w:val="en-GB"/>
        </w:rPr>
        <w:t>(24</w:t>
      </w:r>
      <w:r w:rsidR="006D5819">
        <w:rPr>
          <w:lang w:val="en-GB"/>
        </w:rPr>
        <w:t>.</w:t>
      </w:r>
      <w:r w:rsidR="0094188C">
        <w:rPr>
          <w:lang w:val="en-GB"/>
        </w:rPr>
        <w:t xml:space="preserve">2 % of </w:t>
      </w:r>
      <w:r w:rsidR="00FB42ED">
        <w:rPr>
          <w:lang w:val="en-GB"/>
        </w:rPr>
        <w:t>the year</w:t>
      </w:r>
      <w:r w:rsidR="0094188C">
        <w:rPr>
          <w:lang w:val="en-GB"/>
        </w:rPr>
        <w:t>)</w:t>
      </w:r>
      <w:r w:rsidR="00BD017E">
        <w:rPr>
          <w:lang w:val="en-GB"/>
        </w:rPr>
        <w:t>, with an average power</w:t>
      </w:r>
      <w:r w:rsidR="00A5159B">
        <w:rPr>
          <w:lang w:val="en-GB"/>
        </w:rPr>
        <w:t xml:space="preserve"> </w:t>
      </w:r>
      <w:r w:rsidR="00E57BE6">
        <w:rPr>
          <w:lang w:val="en-GB"/>
        </w:rPr>
        <w:t xml:space="preserve">supply </w:t>
      </w:r>
      <w:r w:rsidR="00BD017E">
        <w:rPr>
          <w:lang w:val="en-GB"/>
        </w:rPr>
        <w:t>of 41</w:t>
      </w:r>
      <w:r w:rsidR="00B85176">
        <w:rPr>
          <w:lang w:val="en-GB"/>
        </w:rPr>
        <w:t>.</w:t>
      </w:r>
      <w:r w:rsidR="00BD017E">
        <w:rPr>
          <w:lang w:val="en-GB"/>
        </w:rPr>
        <w:t>4 kW</w:t>
      </w:r>
      <w:r w:rsidR="00696408">
        <w:rPr>
          <w:lang w:val="en-GB"/>
        </w:rPr>
        <w:t xml:space="preserve">, </w:t>
      </w:r>
      <w:r w:rsidR="00BD017E">
        <w:rPr>
          <w:lang w:val="en-GB"/>
        </w:rPr>
        <w:t>the backup system will consume 17950 kg of methane</w:t>
      </w:r>
      <w:r w:rsidR="00404D8A">
        <w:rPr>
          <w:lang w:val="en-GB"/>
        </w:rPr>
        <w:t>. This corresponds to</w:t>
      </w:r>
      <w:r w:rsidR="00BD017E">
        <w:rPr>
          <w:lang w:val="en-GB"/>
        </w:rPr>
        <w:t xml:space="preserve"> 0</w:t>
      </w:r>
      <w:r w:rsidR="00B85176">
        <w:rPr>
          <w:lang w:val="en-GB"/>
        </w:rPr>
        <w:t>.</w:t>
      </w:r>
      <w:r w:rsidR="00BD017E">
        <w:rPr>
          <w:lang w:val="en-GB"/>
        </w:rPr>
        <w:t xml:space="preserve">36 % </w:t>
      </w:r>
      <w:r w:rsidR="00E57BE6">
        <w:rPr>
          <w:lang w:val="en-GB"/>
        </w:rPr>
        <w:t>of the amount extracted</w:t>
      </w:r>
      <w:r w:rsidR="00A633D5">
        <w:rPr>
          <w:lang w:val="en-GB"/>
        </w:rPr>
        <w:t xml:space="preserve"> </w:t>
      </w:r>
      <w:r w:rsidR="00E57BE6">
        <w:rPr>
          <w:lang w:val="en-GB"/>
        </w:rPr>
        <w:t>yearly from</w:t>
      </w:r>
      <w:r w:rsidR="00437823">
        <w:rPr>
          <w:lang w:val="en-GB"/>
        </w:rPr>
        <w:t xml:space="preserve"> </w:t>
      </w:r>
      <w:r w:rsidR="00BD017E">
        <w:rPr>
          <w:lang w:val="en-GB"/>
        </w:rPr>
        <w:t>the well</w:t>
      </w:r>
      <w:r w:rsidR="00FB7AAB">
        <w:rPr>
          <w:lang w:val="en-GB"/>
        </w:rPr>
        <w:t xml:space="preserve"> (</w:t>
      </w:r>
      <w:r w:rsidR="00922705">
        <w:rPr>
          <w:lang w:val="en-GB"/>
        </w:rPr>
        <w:t xml:space="preserve">at </w:t>
      </w:r>
      <w:r w:rsidR="00E57BE6">
        <w:rPr>
          <w:lang w:val="en-GB"/>
        </w:rPr>
        <w:t>nominal potentiality, the micro-turbine would</w:t>
      </w:r>
      <w:r w:rsidR="00FB7AAB">
        <w:rPr>
          <w:lang w:val="en-GB"/>
        </w:rPr>
        <w:t xml:space="preserve"> </w:t>
      </w:r>
      <w:r w:rsidR="00CB0D8C">
        <w:rPr>
          <w:lang w:val="en-GB"/>
        </w:rPr>
        <w:t>use</w:t>
      </w:r>
      <w:r w:rsidR="00FB7AAB">
        <w:rPr>
          <w:lang w:val="en-GB"/>
        </w:rPr>
        <w:t xml:space="preserve"> 1</w:t>
      </w:r>
      <w:r w:rsidR="00B85176">
        <w:rPr>
          <w:lang w:val="en-GB"/>
        </w:rPr>
        <w:t>.</w:t>
      </w:r>
      <w:r w:rsidR="00FB7AAB">
        <w:rPr>
          <w:lang w:val="en-GB"/>
        </w:rPr>
        <w:t xml:space="preserve">5 % of the </w:t>
      </w:r>
      <w:r w:rsidR="00E57BE6">
        <w:rPr>
          <w:lang w:val="en-GB"/>
        </w:rPr>
        <w:t xml:space="preserve">total </w:t>
      </w:r>
      <w:r w:rsidR="00CB0D8C">
        <w:rPr>
          <w:lang w:val="en-GB"/>
        </w:rPr>
        <w:t xml:space="preserve">natural gas </w:t>
      </w:r>
      <w:r w:rsidR="00FB7AAB">
        <w:rPr>
          <w:lang w:val="en-GB"/>
        </w:rPr>
        <w:t>flow</w:t>
      </w:r>
      <w:r w:rsidR="00E57BE6">
        <w:rPr>
          <w:lang w:val="en-GB"/>
        </w:rPr>
        <w:t xml:space="preserve"> rate</w:t>
      </w:r>
      <w:r w:rsidR="00FB7AAB">
        <w:rPr>
          <w:lang w:val="en-GB"/>
        </w:rPr>
        <w:t>)</w:t>
      </w:r>
      <w:r w:rsidR="007845BE">
        <w:rPr>
          <w:lang w:val="en-GB"/>
        </w:rPr>
        <w:t xml:space="preserve"> and it will provide 16</w:t>
      </w:r>
      <w:r w:rsidR="00B85176">
        <w:rPr>
          <w:lang w:val="en-GB"/>
        </w:rPr>
        <w:t>.</w:t>
      </w:r>
      <w:r w:rsidR="007845BE">
        <w:rPr>
          <w:lang w:val="en-GB"/>
        </w:rPr>
        <w:t>7 % of total energy to the process</w:t>
      </w:r>
      <w:r w:rsidR="00BD017E">
        <w:rPr>
          <w:lang w:val="en-GB"/>
        </w:rPr>
        <w:t>.</w:t>
      </w:r>
    </w:p>
    <w:p w14:paraId="634ABE29" w14:textId="77777777" w:rsidR="00792470" w:rsidRDefault="00792470" w:rsidP="001C494E">
      <w:pPr>
        <w:pStyle w:val="CETBodytext"/>
        <w:rPr>
          <w:lang w:val="en-GB"/>
        </w:rPr>
      </w:pPr>
    </w:p>
    <w:p w14:paraId="3BFC27D6" w14:textId="320FF5D9" w:rsidR="00316BB0" w:rsidRDefault="007E6329" w:rsidP="00807B79">
      <w:pPr>
        <w:pStyle w:val="CETBodytext"/>
        <w:rPr>
          <w:lang w:val="en-GB"/>
        </w:rPr>
      </w:pPr>
      <w:r>
        <w:rPr>
          <w:noProof/>
          <w:lang w:val="en-GB" w:eastAsia="en-GB"/>
        </w:rPr>
        <mc:AlternateContent>
          <mc:Choice Requires="wps">
            <w:drawing>
              <wp:anchor distT="0" distB="0" distL="114300" distR="114300" simplePos="0" relativeHeight="251654144" behindDoc="0" locked="0" layoutInCell="1" allowOverlap="1" wp14:anchorId="0021C991" wp14:editId="12AEAC43">
                <wp:simplePos x="0" y="0"/>
                <wp:positionH relativeFrom="margin">
                  <wp:align>right</wp:align>
                </wp:positionH>
                <wp:positionV relativeFrom="paragraph">
                  <wp:posOffset>2606675</wp:posOffset>
                </wp:positionV>
                <wp:extent cx="5573395" cy="449580"/>
                <wp:effectExtent l="0" t="0" r="8255" b="7620"/>
                <wp:wrapSquare wrapText="bothSides"/>
                <wp:docPr id="7" name="Text Box 7"/>
                <wp:cNvGraphicFramePr/>
                <a:graphic xmlns:a="http://schemas.openxmlformats.org/drawingml/2006/main">
                  <a:graphicData uri="http://schemas.microsoft.com/office/word/2010/wordprocessingShape">
                    <wps:wsp>
                      <wps:cNvSpPr txBox="1"/>
                      <wps:spPr>
                        <a:xfrm>
                          <a:off x="0" y="0"/>
                          <a:ext cx="5573395" cy="449580"/>
                        </a:xfrm>
                        <a:prstGeom prst="rect">
                          <a:avLst/>
                        </a:prstGeom>
                        <a:solidFill>
                          <a:prstClr val="white"/>
                        </a:solidFill>
                        <a:ln>
                          <a:noFill/>
                        </a:ln>
                      </wps:spPr>
                      <wps:txbx>
                        <w:txbxContent>
                          <w:p w14:paraId="7C8C2EE1" w14:textId="6B25A604" w:rsidR="00045BAE" w:rsidRPr="00985F1A" w:rsidRDefault="00045BAE" w:rsidP="005E4409">
                            <w:pPr>
                              <w:pStyle w:val="CETCaption"/>
                              <w:rPr>
                                <w:noProof/>
                              </w:rPr>
                            </w:pPr>
                            <w:r>
                              <w:t xml:space="preserve">Figure </w:t>
                            </w:r>
                            <w:fldSimple w:instr=" SEQ MySeq \* MERGEFORMAT ">
                              <w:r w:rsidR="00BA7256">
                                <w:rPr>
                                  <w:noProof/>
                                </w:rPr>
                                <w:t>4</w:t>
                              </w:r>
                            </w:fldSimple>
                            <w:r>
                              <w:t xml:space="preserve">: process scheme </w:t>
                            </w:r>
                            <w:r w:rsidR="00CB0D8C">
                              <w:t xml:space="preserve">considered </w:t>
                            </w:r>
                            <w:r>
                              <w:t xml:space="preserve">for the </w:t>
                            </w:r>
                            <w:r w:rsidR="00CB0D8C">
                              <w:t xml:space="preserve">HYSYS simulations of methanol </w:t>
                            </w:r>
                            <w:r>
                              <w:t>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21C991" id="Text Box 7" o:spid="_x0000_s1029" type="#_x0000_t202" style="position:absolute;left:0;text-align:left;margin-left:387.65pt;margin-top:205.25pt;width:438.85pt;height:35.4pt;z-index:2516541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" stroked="f">
                <v:textbox style="mso-fit-shape-to-text:t" inset="0,0,0,0">
                  <w:txbxContent>
                    <w:p w14:paraId="7C8C2EE1" w14:textId="6B25A604" w:rsidR="00045BAE" w:rsidRPr="00985F1A" w:rsidRDefault="00045BAE" w:rsidP="005E4409">
                      <w:pPr>
                        <w:pStyle w:val="CETCaption"/>
                        <w:rPr>
                          <w:noProof/>
                        </w:rPr>
                      </w:pPr>
                      <w:r>
                        <w:t xml:space="preserve">Figure </w:t>
                      </w:r>
                      <w:fldSimple w:instr=" SEQ MySeq \* MERGEFORMAT ">
                        <w:r w:rsidR="00BA7256">
                          <w:rPr>
                            <w:noProof/>
                          </w:rPr>
                          <w:t>4</w:t>
                        </w:r>
                      </w:fldSimple>
                      <w:r>
                        <w:t xml:space="preserve">: process scheme </w:t>
                      </w:r>
                      <w:r w:rsidR="00CB0D8C">
                        <w:t xml:space="preserve">considered </w:t>
                      </w:r>
                      <w:r>
                        <w:t xml:space="preserve">for the </w:t>
                      </w:r>
                      <w:r w:rsidR="00CB0D8C">
                        <w:t xml:space="preserve">HYSYS simulations of methanol </w:t>
                      </w:r>
                      <w:r>
                        <w:t>production.</w:t>
                      </w:r>
                    </w:p>
                  </w:txbxContent>
                </v:textbox>
                <w10:wrap type="square" anchorx="margin"/>
              </v:shape>
            </w:pict>
          </mc:Fallback>
        </mc:AlternateContent>
      </w:r>
      <w:r w:rsidR="00007EA9">
        <w:rPr>
          <w:noProof/>
          <w:lang w:val="en-GB" w:eastAsia="en-GB"/>
        </w:rPr>
        <w:drawing>
          <wp:inline distT="0" distB="0" distL="0" distR="0" wp14:anchorId="13DA6D07" wp14:editId="147E2DD7">
            <wp:extent cx="5579110" cy="2590800"/>
            <wp:effectExtent l="0" t="0" r="254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3462" cy="2592821"/>
                    </a:xfrm>
                    <a:prstGeom prst="rect">
                      <a:avLst/>
                    </a:prstGeom>
                    <a:noFill/>
                    <a:ln>
                      <a:noFill/>
                    </a:ln>
                  </pic:spPr>
                </pic:pic>
              </a:graphicData>
            </a:graphic>
          </wp:inline>
        </w:drawing>
      </w:r>
      <w:r w:rsidR="00807B79" w:rsidRPr="00807B79">
        <w:rPr>
          <w:lang w:val="en-GB"/>
        </w:rPr>
        <w:t xml:space="preserve"> </w:t>
      </w:r>
    </w:p>
    <w:p w14:paraId="53211886" w14:textId="75A91AC3" w:rsidR="00807B79" w:rsidRDefault="00807B79" w:rsidP="00807B79">
      <w:pPr>
        <w:pStyle w:val="CETBodytext"/>
        <w:rPr>
          <w:lang w:val="en-GB"/>
        </w:rPr>
      </w:pPr>
      <w:r>
        <w:rPr>
          <w:lang w:val="en-GB"/>
        </w:rPr>
        <w:t xml:space="preserve">The approach presented </w:t>
      </w:r>
      <w:r w:rsidR="00737D88">
        <w:rPr>
          <w:lang w:val="en-GB"/>
        </w:rPr>
        <w:t>was</w:t>
      </w:r>
      <w:r>
        <w:rPr>
          <w:lang w:val="en-GB"/>
        </w:rPr>
        <w:t xml:space="preserve"> applied to a case study chosen</w:t>
      </w:r>
      <w:r w:rsidR="00E57BE6">
        <w:rPr>
          <w:lang w:val="en-GB"/>
        </w:rPr>
        <w:t xml:space="preserve"> accordingly to</w:t>
      </w:r>
      <w:r>
        <w:rPr>
          <w:lang w:val="en-GB"/>
        </w:rPr>
        <w:t xml:space="preserve"> the platform characteristic</w:t>
      </w:r>
      <w:r w:rsidR="00E57BE6">
        <w:rPr>
          <w:lang w:val="en-GB"/>
        </w:rPr>
        <w:t>s</w:t>
      </w:r>
      <w:r w:rsidR="00CB0D8C">
        <w:rPr>
          <w:lang w:val="en-GB"/>
        </w:rPr>
        <w:t xml:space="preserve">. However, </w:t>
      </w:r>
      <w:r>
        <w:rPr>
          <w:lang w:val="en-GB"/>
        </w:rPr>
        <w:t>it is</w:t>
      </w:r>
      <w:r w:rsidR="00CB0D8C">
        <w:rPr>
          <w:lang w:val="en-GB"/>
        </w:rPr>
        <w:t xml:space="preserve"> important to remark</w:t>
      </w:r>
      <w:r>
        <w:rPr>
          <w:lang w:val="en-GB"/>
        </w:rPr>
        <w:t xml:space="preserve"> that the RESs potentiality </w:t>
      </w:r>
      <w:r w:rsidR="00CB0D8C">
        <w:rPr>
          <w:lang w:val="en-GB"/>
        </w:rPr>
        <w:t>a</w:t>
      </w:r>
      <w:r>
        <w:rPr>
          <w:lang w:val="en-GB"/>
        </w:rPr>
        <w:t>re very low in the geographical area considered. This was in part due to the position of the buoy, located at 5.3 km from the coast (</w:t>
      </w:r>
      <w:r w:rsidR="00CB0D8C">
        <w:rPr>
          <w:lang w:val="en-GB"/>
        </w:rPr>
        <w:t xml:space="preserve">the </w:t>
      </w:r>
      <w:r>
        <w:rPr>
          <w:lang w:val="en-GB"/>
        </w:rPr>
        <w:t>platform is 18 km from the coast), determining a lower density of wind and wave</w:t>
      </w:r>
      <w:r w:rsidRPr="005A7B30">
        <w:rPr>
          <w:lang w:val="en-GB"/>
        </w:rPr>
        <w:t xml:space="preserve"> </w:t>
      </w:r>
      <w:r>
        <w:rPr>
          <w:lang w:val="en-GB"/>
        </w:rPr>
        <w:t xml:space="preserve">energy </w:t>
      </w:r>
      <w:r>
        <w:rPr>
          <w:lang w:val="en-GB"/>
        </w:rPr>
        <w:fldChar w:fldCharType="begin" w:fldLock="1"/>
      </w:r>
      <w:r>
        <w:rPr>
          <w:lang w:val="en-GB"/>
        </w:rPr>
        <w:instrText>ADDIN CSL_CITATION {"citationItems":[{"id":"ITEM-1","itemData":{"DOI":"10.1016/j.renene.2010.07.009","ISSN":"09601481","abstract":"At the beginning of 2010, only 2000 wind megawatts had been installed offshore. Although the first offshore wind farm experiment took place in 1990, most of the facilities built up to now have been pilot projects. Then, offshore wind power can be considered as an incipient market. However, just at this moment, the growth of this technology finally seems to be happening, being several countries at the top of its development (the United Kingdom, Denmark, Holland, Sweden and Germany). This current situation, the raw materials problems and the general commitments to reduce the emissions of greenhouse gases are leading to predict a promising future for this technology. This paper deals with a brief revision of the state of the art of offshore wind power, followed by a critical discussion about the causes of the recently growth that is currently happening. The discussion is based on the comparison of offshore wind energy with other renewable energies (like onshore wind, marine hydrodynamics, hydraulic, solar, etc.) and even with conventional power. © 2010 Elsevier Ltd.","author":[{"dropping-particle":"","family":"Esteban","given":"M. Dolores","non-dropping-particle":"","parse-names":false,"suffix":""},{"dropping-particle":"","family":"Diez","given":"J. Javier","non-dropping-particle":"","parse-names":false,"suffix":""},{"dropping-particle":"","family":"López","given":"Jose S.","non-dropping-particle":"","parse-names":false,"suffix":""},{"dropping-particle":"","family":"Negro","given":"Vicente","non-dropping-particle":"","parse-names":false,"suffix":""}],"container-title":"Renewable Energy","id":"ITEM-1","issue":"2","issued":{"date-parts":[["2011"]]},"page":"444-450","title":"Why offshore wind energy?","type":"article-journal","volume":"36"},"uris":["http://www.mendeley.com/documents/?uuid=dc84da9f-7a62-401c-a826-15297639de50"]}],"mendeley":{"formattedCitation":"(Esteban et al., 2011)","plainTextFormattedCitation":"(Esteban et al., 2011)","previouslyFormattedCitation":"(Esteban et al., 2011)"},"properties":{"noteIndex":0},"schema":"https://github.com/citation-style-language/schema/raw/master/csl-citation.json"}</w:instrText>
      </w:r>
      <w:r>
        <w:rPr>
          <w:lang w:val="en-GB"/>
        </w:rPr>
        <w:fldChar w:fldCharType="separate"/>
      </w:r>
      <w:r w:rsidRPr="00271B98">
        <w:rPr>
          <w:noProof/>
          <w:lang w:val="en-GB"/>
        </w:rPr>
        <w:t>(Esteban et al., 2011)</w:t>
      </w:r>
      <w:r>
        <w:rPr>
          <w:lang w:val="en-GB"/>
        </w:rPr>
        <w:fldChar w:fldCharType="end"/>
      </w:r>
      <w:r>
        <w:rPr>
          <w:lang w:val="en-GB"/>
        </w:rPr>
        <w:t xml:space="preserve">. </w:t>
      </w:r>
      <w:r w:rsidR="00535F93">
        <w:rPr>
          <w:lang w:val="en-GB"/>
        </w:rPr>
        <w:t>Also, the</w:t>
      </w:r>
      <w:r>
        <w:rPr>
          <w:lang w:val="en-GB"/>
        </w:rPr>
        <w:t xml:space="preserve"> macro area had a negative influence</w:t>
      </w:r>
      <w:r w:rsidR="00316BB0">
        <w:rPr>
          <w:lang w:val="en-GB"/>
        </w:rPr>
        <w:t xml:space="preserve"> on the process potentiality</w:t>
      </w:r>
      <w:r>
        <w:rPr>
          <w:lang w:val="en-GB"/>
        </w:rPr>
        <w:t xml:space="preserve">: indeed, the intake of wind and waves could be more significant in areas as </w:t>
      </w:r>
      <w:r w:rsidR="00CB0D8C">
        <w:rPr>
          <w:lang w:val="en-GB"/>
        </w:rPr>
        <w:t xml:space="preserve">the </w:t>
      </w:r>
      <w:r>
        <w:rPr>
          <w:lang w:val="en-GB"/>
        </w:rPr>
        <w:t>North Sea, or even more in oceans where the energy density of considered RESs is significantly higher.</w:t>
      </w:r>
    </w:p>
    <w:p w14:paraId="61024AF4" w14:textId="36AFA34B" w:rsidR="00AD7895" w:rsidRDefault="00AD7895" w:rsidP="00AF03F4">
      <w:pPr>
        <w:pStyle w:val="CETHeading1"/>
        <w:rPr>
          <w:lang w:val="en-GB"/>
        </w:rPr>
      </w:pPr>
      <w:r>
        <w:rPr>
          <w:lang w:val="en-GB"/>
        </w:rPr>
        <w:t>Conclusion</w:t>
      </w:r>
      <w:r w:rsidR="004E2F10">
        <w:rPr>
          <w:lang w:val="en-GB"/>
        </w:rPr>
        <w:t>s</w:t>
      </w:r>
    </w:p>
    <w:p w14:paraId="0E4EC6C2" w14:textId="6167CAC5" w:rsidR="0026343A" w:rsidRPr="00996AD0" w:rsidRDefault="005909FA" w:rsidP="005E33B9">
      <w:pPr>
        <w:pStyle w:val="CETBodytext"/>
      </w:pPr>
      <w:r>
        <w:rPr>
          <w:lang w:val="en-GB"/>
        </w:rPr>
        <w:t>Th</w:t>
      </w:r>
      <w:r w:rsidR="00FB42ED">
        <w:rPr>
          <w:lang w:val="en-GB"/>
        </w:rPr>
        <w:t xml:space="preserve">is </w:t>
      </w:r>
      <w:r w:rsidR="00CB0D8C">
        <w:rPr>
          <w:lang w:val="en-GB"/>
        </w:rPr>
        <w:t>study</w:t>
      </w:r>
      <w:r w:rsidR="00FB42ED">
        <w:rPr>
          <w:lang w:val="en-GB"/>
        </w:rPr>
        <w:t xml:space="preserve"> aimed</w:t>
      </w:r>
      <w:r>
        <w:rPr>
          <w:lang w:val="en-GB"/>
        </w:rPr>
        <w:t xml:space="preserve"> to prove the feasibility of an offshore hub for the production of methanol as energy vector</w:t>
      </w:r>
      <w:r w:rsidR="00B87E55">
        <w:rPr>
          <w:lang w:val="en-GB"/>
        </w:rPr>
        <w:t xml:space="preserve"> using a hybrid fossil-RESs energy</w:t>
      </w:r>
      <w:r w:rsidR="001714CC">
        <w:rPr>
          <w:lang w:val="en-GB"/>
        </w:rPr>
        <w:t xml:space="preserve"> system.</w:t>
      </w:r>
      <w:r w:rsidR="00B87E55">
        <w:rPr>
          <w:lang w:val="en-GB"/>
        </w:rPr>
        <w:t xml:space="preserve"> </w:t>
      </w:r>
      <w:r w:rsidR="001714CC">
        <w:rPr>
          <w:lang w:val="en-GB"/>
        </w:rPr>
        <w:t xml:space="preserve">A case study to demonstrate the methodology is reported. Starting from the site selection, data of solar radiation, wind </w:t>
      </w:r>
      <w:r w:rsidR="00E57BE6">
        <w:rPr>
          <w:lang w:val="en-GB"/>
        </w:rPr>
        <w:t xml:space="preserve">speed </w:t>
      </w:r>
      <w:r w:rsidR="001714CC">
        <w:rPr>
          <w:lang w:val="en-GB"/>
        </w:rPr>
        <w:t>and wave characteristic were collected to evaluate the RESs potentiality. The</w:t>
      </w:r>
      <w:r w:rsidR="00CB0D8C">
        <w:rPr>
          <w:lang w:val="en-GB"/>
        </w:rPr>
        <w:t xml:space="preserve">n, </w:t>
      </w:r>
      <w:r w:rsidR="001714CC">
        <w:rPr>
          <w:lang w:val="en-GB"/>
        </w:rPr>
        <w:t xml:space="preserve">converters for each RESs were </w:t>
      </w:r>
      <w:r w:rsidR="00E57BE6">
        <w:rPr>
          <w:lang w:val="en-GB"/>
        </w:rPr>
        <w:t>selected</w:t>
      </w:r>
      <w:r w:rsidR="00CB0D8C">
        <w:rPr>
          <w:lang w:val="en-GB"/>
        </w:rPr>
        <w:t>. T</w:t>
      </w:r>
      <w:r w:rsidR="00E57BE6">
        <w:rPr>
          <w:lang w:val="en-GB"/>
        </w:rPr>
        <w:t xml:space="preserve">he nominal power of the integrated </w:t>
      </w:r>
      <w:r w:rsidR="00E57BE6">
        <w:rPr>
          <w:lang w:val="en-GB"/>
        </w:rPr>
        <w:lastRenderedPageBreak/>
        <w:t>renewable system</w:t>
      </w:r>
      <w:r w:rsidR="001714CC">
        <w:rPr>
          <w:lang w:val="en-GB"/>
        </w:rPr>
        <w:t xml:space="preserve"> and</w:t>
      </w:r>
      <w:r w:rsidR="00CB0D8C">
        <w:rPr>
          <w:lang w:val="en-GB"/>
        </w:rPr>
        <w:t xml:space="preserve"> the</w:t>
      </w:r>
      <w:r w:rsidR="001714CC">
        <w:rPr>
          <w:lang w:val="en-GB"/>
        </w:rPr>
        <w:t xml:space="preserve"> size of </w:t>
      </w:r>
      <w:r w:rsidR="006C47FA">
        <w:rPr>
          <w:lang w:val="en-GB"/>
        </w:rPr>
        <w:t xml:space="preserve">the </w:t>
      </w:r>
      <w:r w:rsidR="00E57BE6">
        <w:rPr>
          <w:lang w:val="en-GB"/>
        </w:rPr>
        <w:t xml:space="preserve">coupled </w:t>
      </w:r>
      <w:r w:rsidR="001714CC">
        <w:rPr>
          <w:lang w:val="en-GB"/>
        </w:rPr>
        <w:t xml:space="preserve">methanol plant were </w:t>
      </w:r>
      <w:r w:rsidR="00E57BE6">
        <w:rPr>
          <w:lang w:val="en-GB"/>
        </w:rPr>
        <w:t>found maximising the energy independence</w:t>
      </w:r>
      <w:r w:rsidR="00CB0D8C">
        <w:rPr>
          <w:lang w:val="en-GB"/>
        </w:rPr>
        <w:t xml:space="preserve"> of the</w:t>
      </w:r>
      <w:r w:rsidR="00CB0D8C" w:rsidRPr="00CB0D8C">
        <w:rPr>
          <w:lang w:val="en-GB"/>
        </w:rPr>
        <w:t xml:space="preserve"> </w:t>
      </w:r>
      <w:r w:rsidR="00CB0D8C">
        <w:rPr>
          <w:lang w:val="en-GB"/>
        </w:rPr>
        <w:t>facility</w:t>
      </w:r>
      <w:r w:rsidR="001714CC">
        <w:rPr>
          <w:lang w:val="en-GB"/>
        </w:rPr>
        <w:t>. After th</w:t>
      </w:r>
      <w:r w:rsidR="006C47FA">
        <w:rPr>
          <w:lang w:val="en-GB"/>
        </w:rPr>
        <w:t>is</w:t>
      </w:r>
      <w:r w:rsidR="001714CC">
        <w:rPr>
          <w:lang w:val="en-GB"/>
        </w:rPr>
        <w:t xml:space="preserve">, </w:t>
      </w:r>
      <w:r w:rsidR="00FB42ED">
        <w:rPr>
          <w:lang w:val="en-GB"/>
        </w:rPr>
        <w:t xml:space="preserve">a </w:t>
      </w:r>
      <w:r w:rsidR="001714CC">
        <w:rPr>
          <w:lang w:val="en-GB"/>
        </w:rPr>
        <w:t>back</w:t>
      </w:r>
      <w:r w:rsidR="00E57BE6">
        <w:rPr>
          <w:lang w:val="en-GB"/>
        </w:rPr>
        <w:t>-</w:t>
      </w:r>
      <w:r w:rsidR="001714CC">
        <w:rPr>
          <w:lang w:val="en-GB"/>
        </w:rPr>
        <w:t xml:space="preserve">up system was designed. </w:t>
      </w:r>
      <w:r w:rsidR="00C739B1">
        <w:rPr>
          <w:lang w:val="en-GB"/>
        </w:rPr>
        <w:t xml:space="preserve">Despite the low energy </w:t>
      </w:r>
      <w:r w:rsidR="00A772A3">
        <w:rPr>
          <w:lang w:val="en-GB"/>
        </w:rPr>
        <w:t>density</w:t>
      </w:r>
      <w:r w:rsidR="00C739B1">
        <w:rPr>
          <w:lang w:val="en-GB"/>
        </w:rPr>
        <w:t xml:space="preserve"> of </w:t>
      </w:r>
      <w:r w:rsidR="001328FF">
        <w:rPr>
          <w:lang w:val="en-GB"/>
        </w:rPr>
        <w:t>RESs in the</w:t>
      </w:r>
      <w:r w:rsidR="00C739B1">
        <w:rPr>
          <w:lang w:val="en-GB"/>
        </w:rPr>
        <w:t xml:space="preserve"> site, the production of methanol </w:t>
      </w:r>
      <w:r w:rsidR="002706CF">
        <w:rPr>
          <w:lang w:val="en-GB"/>
        </w:rPr>
        <w:t>was</w:t>
      </w:r>
      <w:r w:rsidR="00C739B1">
        <w:rPr>
          <w:lang w:val="en-GB"/>
        </w:rPr>
        <w:t xml:space="preserve"> not negligible. </w:t>
      </w:r>
      <w:r w:rsidR="00C739B1" w:rsidRPr="00996AD0">
        <w:t xml:space="preserve">The </w:t>
      </w:r>
      <w:r w:rsidR="00260188" w:rsidRPr="00996AD0">
        <w:t xml:space="preserve">converter </w:t>
      </w:r>
      <w:r w:rsidR="00C739B1" w:rsidRPr="00996AD0">
        <w:t>mix provide</w:t>
      </w:r>
      <w:r w:rsidR="002706CF">
        <w:t>d</w:t>
      </w:r>
      <w:r w:rsidR="00C739B1" w:rsidRPr="00996AD0">
        <w:t xml:space="preserve"> a satisfying power continuity</w:t>
      </w:r>
      <w:r w:rsidR="00C739B1">
        <w:t xml:space="preserve"> showing a good integration of different RESs</w:t>
      </w:r>
      <w:r w:rsidR="00C739B1" w:rsidRPr="00996AD0">
        <w:t xml:space="preserve">, </w:t>
      </w:r>
      <w:r w:rsidR="00CB0D8C">
        <w:t>limiting the operating time of</w:t>
      </w:r>
      <w:r w:rsidR="00E57BE6" w:rsidRPr="00996AD0">
        <w:t xml:space="preserve"> </w:t>
      </w:r>
      <w:r w:rsidR="00E57BE6">
        <w:t>the necessary</w:t>
      </w:r>
      <w:r w:rsidR="00E57BE6" w:rsidRPr="00996AD0">
        <w:t xml:space="preserve"> </w:t>
      </w:r>
      <w:r w:rsidR="00C739B1" w:rsidRPr="00996AD0">
        <w:t>backup system</w:t>
      </w:r>
      <w:r w:rsidR="00C739B1">
        <w:t>.</w:t>
      </w:r>
      <w:r w:rsidR="003A43F0">
        <w:rPr>
          <w:lang w:val="en-GB"/>
        </w:rPr>
        <w:t xml:space="preserve"> </w:t>
      </w:r>
      <w:r w:rsidR="00CB0D8C">
        <w:rPr>
          <w:lang w:val="en-GB"/>
        </w:rPr>
        <w:t xml:space="preserve">On a more general basis, </w:t>
      </w:r>
      <w:r w:rsidR="006C47FA">
        <w:rPr>
          <w:lang w:val="en-GB"/>
        </w:rPr>
        <w:t>t</w:t>
      </w:r>
      <w:r w:rsidR="0026343A">
        <w:rPr>
          <w:lang w:val="en-GB"/>
        </w:rPr>
        <w:t xml:space="preserve">he approach presented </w:t>
      </w:r>
      <w:r w:rsidR="00CB0D8C">
        <w:rPr>
          <w:lang w:val="en-GB"/>
        </w:rPr>
        <w:t>provides a method to support decision making concerning</w:t>
      </w:r>
      <w:r w:rsidR="0026343A">
        <w:rPr>
          <w:lang w:val="en-GB"/>
        </w:rPr>
        <w:t xml:space="preserve"> </w:t>
      </w:r>
      <w:r w:rsidR="00FB42ED">
        <w:rPr>
          <w:lang w:val="en-GB"/>
        </w:rPr>
        <w:t xml:space="preserve">offshore </w:t>
      </w:r>
      <w:r w:rsidR="0026343A">
        <w:rPr>
          <w:lang w:val="en-GB"/>
        </w:rPr>
        <w:t xml:space="preserve">RESs </w:t>
      </w:r>
      <w:r w:rsidR="00CB0D8C">
        <w:rPr>
          <w:lang w:val="en-GB"/>
        </w:rPr>
        <w:t xml:space="preserve">exploitation </w:t>
      </w:r>
      <w:r w:rsidR="00FB42ED">
        <w:rPr>
          <w:lang w:val="en-GB"/>
        </w:rPr>
        <w:t>re-using</w:t>
      </w:r>
      <w:r w:rsidR="0026343A">
        <w:rPr>
          <w:lang w:val="en-GB"/>
        </w:rPr>
        <w:t xml:space="preserve"> decommissioning platform</w:t>
      </w:r>
      <w:r w:rsidR="00FB42ED">
        <w:rPr>
          <w:lang w:val="en-GB"/>
        </w:rPr>
        <w:t>s</w:t>
      </w:r>
      <w:r w:rsidR="0026343A">
        <w:rPr>
          <w:lang w:val="en-GB"/>
        </w:rPr>
        <w:t xml:space="preserve">. </w:t>
      </w:r>
    </w:p>
    <w:p w14:paraId="27A5DE43" w14:textId="62D4D9D6" w:rsidR="003A75EB" w:rsidRPr="00996AD0" w:rsidRDefault="003A75EB" w:rsidP="003A75EB">
      <w:pPr>
        <w:pStyle w:val="CETHeading1"/>
        <w:numPr>
          <w:ilvl w:val="0"/>
          <w:numId w:val="0"/>
        </w:numPr>
      </w:pPr>
      <w:r w:rsidRPr="00996AD0">
        <w:t>References</w:t>
      </w:r>
    </w:p>
    <w:p w14:paraId="560F004F" w14:textId="2653C38A" w:rsidR="004D464F" w:rsidRPr="004D464F" w:rsidRDefault="002759F5" w:rsidP="004D464F">
      <w:pPr>
        <w:widowControl w:val="0"/>
        <w:autoSpaceDE w:val="0"/>
        <w:autoSpaceDN w:val="0"/>
        <w:adjustRightInd w:val="0"/>
        <w:spacing w:line="240" w:lineRule="exact"/>
        <w:ind w:left="480" w:hanging="480"/>
        <w:rPr>
          <w:rFonts w:cs="Arial"/>
          <w:noProof/>
          <w:szCs w:val="24"/>
        </w:rPr>
      </w:pPr>
      <w:r>
        <w:fldChar w:fldCharType="begin" w:fldLock="1"/>
      </w:r>
      <w:r>
        <w:instrText xml:space="preserve">ADDIN Mendeley Bibliography CSL_BIBLIOGRAPHY </w:instrText>
      </w:r>
      <w:r>
        <w:fldChar w:fldCharType="separate"/>
      </w:r>
      <w:r w:rsidR="004D464F" w:rsidRPr="004D464F">
        <w:rPr>
          <w:rFonts w:cs="Arial"/>
          <w:noProof/>
          <w:szCs w:val="24"/>
        </w:rPr>
        <w:t>Arpae, 2019, dext3r. &lt;simc.arpae.it/dext3r/&gt; accessed 11.11.2019.</w:t>
      </w:r>
    </w:p>
    <w:p w14:paraId="188BC406"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Crivellari A., Casson Moreno V., Cozzani V., Dincer I., 2021, Multi-criteria sustainability assessment of potential methanol production processes, J. Clean. Prod. 293, 126226.</w:t>
      </w:r>
    </w:p>
    <w:p w14:paraId="44EBCE2E"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Crivellari A., Cozzani V., 2020, Offshore renewable energy exploitation strategies in remote areas by power-to-gas and power-to-liquid conversion, Int. J. Hydrogen Energy 45, 2936–2953.</w:t>
      </w:r>
    </w:p>
    <w:p w14:paraId="255196CD"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Dincer I., Cozzani V., Crivellari A., 2021, Offshore renewable energy options, Hybrid Energy Syst. Offshore Appl. 7–18.</w:t>
      </w:r>
    </w:p>
    <w:p w14:paraId="4612F304"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ECMWF, 2022, Climate Data Store. &lt;cds.climate.copernicus.eu/#!/home&gt;</w:t>
      </w:r>
    </w:p>
    <w:p w14:paraId="6001B14D"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Esteban M.D., Diez J.J., López J.S., Negro V., 2011, Why offshore wind energy?, Renew. Energy 36, 444–450.</w:t>
      </w:r>
    </w:p>
    <w:p w14:paraId="3BFBB070"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European Commission, 2016, UNI/TS 11300-4. Energy performance of buildings. Part 4: Renowable energy and other generation systems for space heating and domestic hot water production.</w:t>
      </w:r>
    </w:p>
    <w:p w14:paraId="41AC8DE2"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Gamna V., 2019, Eni opens the doors of the Garibaldi C platform: the Italian Affairs tour (in Italian). &lt;www.affaritaliani.it/economia/eni-benvenuti-sulla-garibaldi-c-596839.html&gt; accessed 11.20.2020.</w:t>
      </w:r>
    </w:p>
    <w:p w14:paraId="13CBDEBC"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Goldwind, 2015, Goldwind 1.5 MW 1888.</w:t>
      </w:r>
    </w:p>
    <w:p w14:paraId="0F2C9EA7"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Hong Y., Eriksson M., Boström C., Waters R., 2016, Impact of generator stroke length on energy production for a direct drivewave energy converter, Energies 9.</w:t>
      </w:r>
    </w:p>
    <w:p w14:paraId="3DCF23AA"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ICF International, 2015, Decommissioning Methodology and Cost Evaluation 1–241.</w:t>
      </w:r>
    </w:p>
    <w:p w14:paraId="4E981709"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JRC Photovoltaic Geographical Information System (PVGIS) - European Commission, 2022. &lt;re.jrc.ec.europa.eu/pvg_tools/en/&gt; accessed 2.28.2022.</w:t>
      </w:r>
    </w:p>
    <w:p w14:paraId="3BB88BC9"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Kaiser M.J., 2019, Gulf of Mexico Decommissioning Trends and Operating Cost Estimation Gulf of Mexico Decommissioning Trends and Operating Cost Estimation.</w:t>
      </w:r>
    </w:p>
    <w:p w14:paraId="31D77DDB"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Lejerskog E., Boström C., Hai L., Waters R., Leijon M., 2015, Experimental results on power absorption from a wave energy converter at the Lysekil wave energy research site, Renew. Energy 77, 9–14.</w:t>
      </w:r>
    </w:p>
    <w:p w14:paraId="3303FA40"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Ministery of ecologic Transition, 2020, Italian Offshore platform. &lt;unmig.mise.gov.it/index.php/it/dati/ricerca-e-coltivazione-di-idrocarburi/piattaforme-marine&gt; accessed 2.15.2022.</w:t>
      </w:r>
    </w:p>
    <w:p w14:paraId="3AA42BDD"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Ministro dello Sviluppo Economico, 2019, Guidelines for mining disposal of platforms for offshore hydrocarbons cultivation and related infrastructures (in italian).</w:t>
      </w:r>
    </w:p>
    <w:p w14:paraId="4733831E"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Mørk G., Barstow S., Kabuth A., Pontes M.T., 2010, Assessing the global wave energy potential, Proc. Int. Conf. Offshore Mech. Arct. Eng. - OMAE 3, 447–454.</w:t>
      </w:r>
    </w:p>
    <w:p w14:paraId="1E39FAD4"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Napolitano F., 2021, System for the production and conversion of electrical energy 1–153.</w:t>
      </w:r>
    </w:p>
    <w:p w14:paraId="31586431" w14:textId="77777777" w:rsidR="004D464F" w:rsidRPr="004D464F" w:rsidRDefault="004D464F" w:rsidP="000411C0">
      <w:pPr>
        <w:widowControl w:val="0"/>
        <w:autoSpaceDE w:val="0"/>
        <w:autoSpaceDN w:val="0"/>
        <w:adjustRightInd w:val="0"/>
        <w:spacing w:line="240" w:lineRule="exact"/>
        <w:ind w:left="480" w:hanging="480"/>
        <w:jc w:val="left"/>
        <w:rPr>
          <w:rFonts w:cs="Arial"/>
          <w:noProof/>
          <w:szCs w:val="24"/>
        </w:rPr>
      </w:pPr>
      <w:r w:rsidRPr="004D464F">
        <w:rPr>
          <w:rFonts w:cs="Arial"/>
          <w:noProof/>
          <w:szCs w:val="24"/>
        </w:rPr>
        <w:t>Oil and gas: decommissioning of offshore installations and pipelines - GOV.UK, 2022. &lt;www.gov.uk/guidance/oil-and-gas-decommissioning-of-offshore-installations-and-pipelines&gt; accessed 2.2.2022.</w:t>
      </w:r>
    </w:p>
    <w:p w14:paraId="27088917" w14:textId="77777777" w:rsidR="004D464F" w:rsidRPr="004D464F" w:rsidRDefault="004D464F" w:rsidP="000411C0">
      <w:pPr>
        <w:widowControl w:val="0"/>
        <w:autoSpaceDE w:val="0"/>
        <w:autoSpaceDN w:val="0"/>
        <w:adjustRightInd w:val="0"/>
        <w:spacing w:line="240" w:lineRule="exact"/>
        <w:ind w:left="480" w:hanging="480"/>
        <w:jc w:val="left"/>
        <w:rPr>
          <w:rFonts w:cs="Arial"/>
          <w:noProof/>
          <w:szCs w:val="24"/>
        </w:rPr>
      </w:pPr>
      <w:r w:rsidRPr="004D464F">
        <w:rPr>
          <w:rFonts w:cs="Arial"/>
          <w:noProof/>
          <w:szCs w:val="24"/>
        </w:rPr>
        <w:t>PubChem, 2022, Methanol | CH3OH - PubChem. &lt;pubchem.ncbi.nlm.nih.gov/compound/Methanol#section=Use-and-Manufacturing&gt; accessed 2.2.2022.</w:t>
      </w:r>
    </w:p>
    <w:p w14:paraId="0D7FF04E"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Schorn F., Breuer J.L., Samsun R.C., Schnorbus T., Heuser B., Peters R., Stolten D., 2021, Methanol as a renewable energy carrier: An assessment of production and transportation costs for selected global locations, Adv. Appl. Energy 3, 100050.</w:t>
      </w:r>
    </w:p>
    <w:p w14:paraId="0032959D"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SunPower, 2019, Sunpower Maxeon 3 400 W. &lt;sunpower.maxeon.com/it/sites/default/files/2019-09/sunpower-maxeon-3-modulo-residenziale-400-390-370.pdf&gt; accessed 2.17.2022.</w:t>
      </w:r>
    </w:p>
    <w:p w14:paraId="2FA26122"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Tan Y., Li H.X., Cheng J.C.P., Wang J., Jiang B., Song Y., Wang X., 2021, Cost and environmental impact estimation methodology and potential impact factors in offshore oil and gas platform decommissioning: A review, Environ. Impact Assess. Rev. 87, 106536.</w:t>
      </w:r>
    </w:p>
    <w:p w14:paraId="03751891" w14:textId="77777777" w:rsidR="004D464F" w:rsidRPr="004D464F" w:rsidRDefault="004D464F" w:rsidP="004D464F">
      <w:pPr>
        <w:widowControl w:val="0"/>
        <w:autoSpaceDE w:val="0"/>
        <w:autoSpaceDN w:val="0"/>
        <w:adjustRightInd w:val="0"/>
        <w:spacing w:line="240" w:lineRule="exact"/>
        <w:ind w:left="480" w:hanging="480"/>
        <w:rPr>
          <w:rFonts w:cs="Arial"/>
          <w:noProof/>
          <w:szCs w:val="24"/>
        </w:rPr>
      </w:pPr>
      <w:r w:rsidRPr="004D464F">
        <w:rPr>
          <w:rFonts w:cs="Arial"/>
          <w:noProof/>
          <w:szCs w:val="24"/>
        </w:rPr>
        <w:t>Yang S., Chen Q., Liu Z., Wang Y., Tang Z., Sun Y., 2018, Performance analysis of the wind energy integrated with a natural-gas-to-methanol process, Energy Convers. Manag. 173, 735–742.</w:t>
      </w:r>
    </w:p>
    <w:p w14:paraId="28CFD257" w14:textId="71967E94" w:rsidR="00442178" w:rsidRDefault="004D464F" w:rsidP="00A70BBD">
      <w:pPr>
        <w:widowControl w:val="0"/>
        <w:autoSpaceDE w:val="0"/>
        <w:autoSpaceDN w:val="0"/>
        <w:adjustRightInd w:val="0"/>
        <w:spacing w:line="240" w:lineRule="exact"/>
        <w:ind w:left="480" w:hanging="480"/>
      </w:pPr>
      <w:r w:rsidRPr="004D464F">
        <w:rPr>
          <w:rFonts w:cs="Arial"/>
          <w:noProof/>
          <w:szCs w:val="24"/>
        </w:rPr>
        <w:t>Yarlagadda P.S., Morton L.A., Hunter N.R., Gesser H.D., 1988, Direct conversion of methane to methanol in a flow reactor, Ind. Eng. Chem. Res. 27, 252–256.</w:t>
      </w:r>
      <w:r w:rsidR="002759F5">
        <w:fldChar w:fldCharType="end"/>
      </w:r>
    </w:p>
    <w:sectPr w:rsidR="00442178" w:rsidSect="00425C36">
      <w:type w:val="continuous"/>
      <w:pgSz w:w="11906" w:h="16838" w:code="9"/>
      <w:pgMar w:top="1701" w:right="1418" w:bottom="1701" w:left="1701" w:header="1701" w:footer="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BDB8" w16cex:dateUtc="2022-05-23T06:00:00Z"/>
  <w16cex:commentExtensible w16cex:durableId="26370EE8" w16cex:dateUtc="2022-05-24T0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EDDCC" w14:textId="77777777" w:rsidR="00C57210" w:rsidRDefault="00C57210" w:rsidP="004F5E36">
      <w:r>
        <w:separator/>
      </w:r>
    </w:p>
  </w:endnote>
  <w:endnote w:type="continuationSeparator" w:id="0">
    <w:p w14:paraId="1796FC42" w14:textId="77777777" w:rsidR="00C57210" w:rsidRDefault="00C5721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C964" w14:textId="77777777" w:rsidR="00C57210" w:rsidRDefault="00C57210" w:rsidP="004F5E36">
      <w:r>
        <w:separator/>
      </w:r>
    </w:p>
  </w:footnote>
  <w:footnote w:type="continuationSeparator" w:id="0">
    <w:p w14:paraId="2B8CF99C" w14:textId="77777777" w:rsidR="00C57210" w:rsidRDefault="00C5721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oFALGzlawtAAAA"/>
  </w:docVars>
  <w:rsids>
    <w:rsidRoot w:val="000E414A"/>
    <w:rsid w:val="000024E4"/>
    <w:rsid w:val="000027C0"/>
    <w:rsid w:val="00002D4F"/>
    <w:rsid w:val="00004DBD"/>
    <w:rsid w:val="00004F74"/>
    <w:rsid w:val="000052FB"/>
    <w:rsid w:val="00007EA9"/>
    <w:rsid w:val="00011383"/>
    <w:rsid w:val="000117CB"/>
    <w:rsid w:val="00012BDE"/>
    <w:rsid w:val="000146A7"/>
    <w:rsid w:val="00014B75"/>
    <w:rsid w:val="00017B5A"/>
    <w:rsid w:val="00020D1C"/>
    <w:rsid w:val="000226EC"/>
    <w:rsid w:val="00022963"/>
    <w:rsid w:val="00022B94"/>
    <w:rsid w:val="00023578"/>
    <w:rsid w:val="00024DBE"/>
    <w:rsid w:val="00027C2C"/>
    <w:rsid w:val="00027D03"/>
    <w:rsid w:val="0003148D"/>
    <w:rsid w:val="00031567"/>
    <w:rsid w:val="00031EEC"/>
    <w:rsid w:val="00032C7E"/>
    <w:rsid w:val="0003492F"/>
    <w:rsid w:val="00034E00"/>
    <w:rsid w:val="00036A32"/>
    <w:rsid w:val="00037755"/>
    <w:rsid w:val="000411C0"/>
    <w:rsid w:val="000421B0"/>
    <w:rsid w:val="0004432D"/>
    <w:rsid w:val="00045BAE"/>
    <w:rsid w:val="00046191"/>
    <w:rsid w:val="00051566"/>
    <w:rsid w:val="0005222F"/>
    <w:rsid w:val="0005285C"/>
    <w:rsid w:val="000531F7"/>
    <w:rsid w:val="00056E64"/>
    <w:rsid w:val="00057904"/>
    <w:rsid w:val="0006004C"/>
    <w:rsid w:val="00062A9A"/>
    <w:rsid w:val="00063707"/>
    <w:rsid w:val="00064142"/>
    <w:rsid w:val="000642D1"/>
    <w:rsid w:val="0006476B"/>
    <w:rsid w:val="00065058"/>
    <w:rsid w:val="00067050"/>
    <w:rsid w:val="00067C18"/>
    <w:rsid w:val="00072D04"/>
    <w:rsid w:val="000732DB"/>
    <w:rsid w:val="00076EA7"/>
    <w:rsid w:val="00076FCF"/>
    <w:rsid w:val="00080D90"/>
    <w:rsid w:val="000811FB"/>
    <w:rsid w:val="0008211F"/>
    <w:rsid w:val="00084B60"/>
    <w:rsid w:val="00085D5A"/>
    <w:rsid w:val="0008630C"/>
    <w:rsid w:val="00086C39"/>
    <w:rsid w:val="00087814"/>
    <w:rsid w:val="000912CC"/>
    <w:rsid w:val="00091AD5"/>
    <w:rsid w:val="00093507"/>
    <w:rsid w:val="000953CF"/>
    <w:rsid w:val="00096C3A"/>
    <w:rsid w:val="00097967"/>
    <w:rsid w:val="000A03B2"/>
    <w:rsid w:val="000A03E7"/>
    <w:rsid w:val="000A11BF"/>
    <w:rsid w:val="000A4601"/>
    <w:rsid w:val="000A5E92"/>
    <w:rsid w:val="000B2899"/>
    <w:rsid w:val="000B48E8"/>
    <w:rsid w:val="000B5D37"/>
    <w:rsid w:val="000C46D7"/>
    <w:rsid w:val="000C6164"/>
    <w:rsid w:val="000D0268"/>
    <w:rsid w:val="000D2DE1"/>
    <w:rsid w:val="000D34BE"/>
    <w:rsid w:val="000E102F"/>
    <w:rsid w:val="000E36F1"/>
    <w:rsid w:val="000E3A73"/>
    <w:rsid w:val="000E414A"/>
    <w:rsid w:val="000E63DA"/>
    <w:rsid w:val="000E6957"/>
    <w:rsid w:val="000F093C"/>
    <w:rsid w:val="000F3D59"/>
    <w:rsid w:val="000F57B9"/>
    <w:rsid w:val="000F601E"/>
    <w:rsid w:val="000F6CAE"/>
    <w:rsid w:val="000F787B"/>
    <w:rsid w:val="00101243"/>
    <w:rsid w:val="00101A17"/>
    <w:rsid w:val="001023AF"/>
    <w:rsid w:val="00102D70"/>
    <w:rsid w:val="00107E00"/>
    <w:rsid w:val="00113E47"/>
    <w:rsid w:val="001162C2"/>
    <w:rsid w:val="0012091F"/>
    <w:rsid w:val="00121401"/>
    <w:rsid w:val="00125293"/>
    <w:rsid w:val="00126BC2"/>
    <w:rsid w:val="00127EB2"/>
    <w:rsid w:val="001308B6"/>
    <w:rsid w:val="0013121F"/>
    <w:rsid w:val="00131FE6"/>
    <w:rsid w:val="0013263F"/>
    <w:rsid w:val="001328FF"/>
    <w:rsid w:val="001331DF"/>
    <w:rsid w:val="00134DE4"/>
    <w:rsid w:val="0014034D"/>
    <w:rsid w:val="001403A0"/>
    <w:rsid w:val="0014383C"/>
    <w:rsid w:val="00144D16"/>
    <w:rsid w:val="00150E59"/>
    <w:rsid w:val="00152DE3"/>
    <w:rsid w:val="00152E77"/>
    <w:rsid w:val="00155D91"/>
    <w:rsid w:val="00155F97"/>
    <w:rsid w:val="00164CF9"/>
    <w:rsid w:val="00165467"/>
    <w:rsid w:val="001667A6"/>
    <w:rsid w:val="001708C7"/>
    <w:rsid w:val="001714CC"/>
    <w:rsid w:val="00172743"/>
    <w:rsid w:val="00174653"/>
    <w:rsid w:val="00182436"/>
    <w:rsid w:val="001837C2"/>
    <w:rsid w:val="00184AD6"/>
    <w:rsid w:val="00184F0F"/>
    <w:rsid w:val="00195D52"/>
    <w:rsid w:val="0019719D"/>
    <w:rsid w:val="00197637"/>
    <w:rsid w:val="001A2159"/>
    <w:rsid w:val="001A2A74"/>
    <w:rsid w:val="001A43A1"/>
    <w:rsid w:val="001A4AF7"/>
    <w:rsid w:val="001A5C18"/>
    <w:rsid w:val="001A63A6"/>
    <w:rsid w:val="001B00D0"/>
    <w:rsid w:val="001B0349"/>
    <w:rsid w:val="001B1E93"/>
    <w:rsid w:val="001B65C1"/>
    <w:rsid w:val="001C1705"/>
    <w:rsid w:val="001C494E"/>
    <w:rsid w:val="001C65F2"/>
    <w:rsid w:val="001C684B"/>
    <w:rsid w:val="001D0767"/>
    <w:rsid w:val="001D0CFB"/>
    <w:rsid w:val="001D21AF"/>
    <w:rsid w:val="001D3AB5"/>
    <w:rsid w:val="001D53FC"/>
    <w:rsid w:val="001E51BE"/>
    <w:rsid w:val="001E75A6"/>
    <w:rsid w:val="001F0F48"/>
    <w:rsid w:val="001F42A5"/>
    <w:rsid w:val="001F439A"/>
    <w:rsid w:val="001F4B5C"/>
    <w:rsid w:val="001F6107"/>
    <w:rsid w:val="001F7B9D"/>
    <w:rsid w:val="0020126C"/>
    <w:rsid w:val="00201C93"/>
    <w:rsid w:val="0020348C"/>
    <w:rsid w:val="00204B86"/>
    <w:rsid w:val="00205CC6"/>
    <w:rsid w:val="00207160"/>
    <w:rsid w:val="00210E77"/>
    <w:rsid w:val="00215F36"/>
    <w:rsid w:val="002224B4"/>
    <w:rsid w:val="00233F1F"/>
    <w:rsid w:val="00234E4C"/>
    <w:rsid w:val="00243209"/>
    <w:rsid w:val="002447EF"/>
    <w:rsid w:val="00247379"/>
    <w:rsid w:val="00251550"/>
    <w:rsid w:val="0025380C"/>
    <w:rsid w:val="00253A4C"/>
    <w:rsid w:val="002542BC"/>
    <w:rsid w:val="002557EA"/>
    <w:rsid w:val="00260188"/>
    <w:rsid w:val="0026343A"/>
    <w:rsid w:val="00263B05"/>
    <w:rsid w:val="0026470E"/>
    <w:rsid w:val="0026602C"/>
    <w:rsid w:val="00266982"/>
    <w:rsid w:val="002702A7"/>
    <w:rsid w:val="002706CF"/>
    <w:rsid w:val="00271B98"/>
    <w:rsid w:val="0027221A"/>
    <w:rsid w:val="002759F5"/>
    <w:rsid w:val="00275B61"/>
    <w:rsid w:val="00280D7C"/>
    <w:rsid w:val="00280FAF"/>
    <w:rsid w:val="00282656"/>
    <w:rsid w:val="00291668"/>
    <w:rsid w:val="00293E16"/>
    <w:rsid w:val="00295224"/>
    <w:rsid w:val="00296B83"/>
    <w:rsid w:val="002A4578"/>
    <w:rsid w:val="002A5E3C"/>
    <w:rsid w:val="002B4015"/>
    <w:rsid w:val="002B73FF"/>
    <w:rsid w:val="002B78CE"/>
    <w:rsid w:val="002C2FB6"/>
    <w:rsid w:val="002C7B5F"/>
    <w:rsid w:val="002E47EF"/>
    <w:rsid w:val="002E5FA7"/>
    <w:rsid w:val="002F21F3"/>
    <w:rsid w:val="002F2EA3"/>
    <w:rsid w:val="002F3309"/>
    <w:rsid w:val="002F7F63"/>
    <w:rsid w:val="003008CE"/>
    <w:rsid w:val="003009B7"/>
    <w:rsid w:val="00300B79"/>
    <w:rsid w:val="00300E56"/>
    <w:rsid w:val="0030469C"/>
    <w:rsid w:val="0030515C"/>
    <w:rsid w:val="00310006"/>
    <w:rsid w:val="00316BB0"/>
    <w:rsid w:val="00317733"/>
    <w:rsid w:val="00320DE4"/>
    <w:rsid w:val="00321CA6"/>
    <w:rsid w:val="00323763"/>
    <w:rsid w:val="00324F0C"/>
    <w:rsid w:val="003250A1"/>
    <w:rsid w:val="00325412"/>
    <w:rsid w:val="003323F0"/>
    <w:rsid w:val="00333E7F"/>
    <w:rsid w:val="00334C09"/>
    <w:rsid w:val="00337A4D"/>
    <w:rsid w:val="003415D9"/>
    <w:rsid w:val="00344D5A"/>
    <w:rsid w:val="00346876"/>
    <w:rsid w:val="00353927"/>
    <w:rsid w:val="003539A1"/>
    <w:rsid w:val="00356ED1"/>
    <w:rsid w:val="003604C1"/>
    <w:rsid w:val="00371DF1"/>
    <w:rsid w:val="003723D4"/>
    <w:rsid w:val="003808CC"/>
    <w:rsid w:val="00381905"/>
    <w:rsid w:val="00383D5B"/>
    <w:rsid w:val="00384CC8"/>
    <w:rsid w:val="00385D8E"/>
    <w:rsid w:val="00386619"/>
    <w:rsid w:val="00386FBB"/>
    <w:rsid w:val="003871FD"/>
    <w:rsid w:val="0039457D"/>
    <w:rsid w:val="003951C5"/>
    <w:rsid w:val="003969A4"/>
    <w:rsid w:val="003A1E30"/>
    <w:rsid w:val="003A24A6"/>
    <w:rsid w:val="003A2829"/>
    <w:rsid w:val="003A43F0"/>
    <w:rsid w:val="003A554A"/>
    <w:rsid w:val="003A75EB"/>
    <w:rsid w:val="003A7D1C"/>
    <w:rsid w:val="003B1E75"/>
    <w:rsid w:val="003B304B"/>
    <w:rsid w:val="003B3146"/>
    <w:rsid w:val="003B341E"/>
    <w:rsid w:val="003B3B6F"/>
    <w:rsid w:val="003B3D5B"/>
    <w:rsid w:val="003B498D"/>
    <w:rsid w:val="003B527E"/>
    <w:rsid w:val="003B559C"/>
    <w:rsid w:val="003B707B"/>
    <w:rsid w:val="003B7FBB"/>
    <w:rsid w:val="003C2208"/>
    <w:rsid w:val="003C2D63"/>
    <w:rsid w:val="003C6574"/>
    <w:rsid w:val="003D2760"/>
    <w:rsid w:val="003D723A"/>
    <w:rsid w:val="003D7ABE"/>
    <w:rsid w:val="003E0DC1"/>
    <w:rsid w:val="003E1A26"/>
    <w:rsid w:val="003E491B"/>
    <w:rsid w:val="003E4D11"/>
    <w:rsid w:val="003E6CD0"/>
    <w:rsid w:val="003F015E"/>
    <w:rsid w:val="003F5E69"/>
    <w:rsid w:val="00400414"/>
    <w:rsid w:val="00404D8A"/>
    <w:rsid w:val="00405476"/>
    <w:rsid w:val="00407DB7"/>
    <w:rsid w:val="0041145D"/>
    <w:rsid w:val="0041446B"/>
    <w:rsid w:val="00415DFA"/>
    <w:rsid w:val="004173BF"/>
    <w:rsid w:val="004209E8"/>
    <w:rsid w:val="00420CF9"/>
    <w:rsid w:val="00420E5F"/>
    <w:rsid w:val="0042273D"/>
    <w:rsid w:val="00422F3A"/>
    <w:rsid w:val="004254E8"/>
    <w:rsid w:val="00425C36"/>
    <w:rsid w:val="0042614D"/>
    <w:rsid w:val="00427322"/>
    <w:rsid w:val="00432F40"/>
    <w:rsid w:val="00435358"/>
    <w:rsid w:val="0043548B"/>
    <w:rsid w:val="00437823"/>
    <w:rsid w:val="00437BA6"/>
    <w:rsid w:val="0044071E"/>
    <w:rsid w:val="00441F86"/>
    <w:rsid w:val="00442178"/>
    <w:rsid w:val="00442E32"/>
    <w:rsid w:val="0044329C"/>
    <w:rsid w:val="00446AB6"/>
    <w:rsid w:val="004500D2"/>
    <w:rsid w:val="0045120D"/>
    <w:rsid w:val="00452166"/>
    <w:rsid w:val="00453E24"/>
    <w:rsid w:val="00455521"/>
    <w:rsid w:val="00457456"/>
    <w:rsid w:val="004577FE"/>
    <w:rsid w:val="00457B9C"/>
    <w:rsid w:val="0046003E"/>
    <w:rsid w:val="0046164A"/>
    <w:rsid w:val="004625CB"/>
    <w:rsid w:val="004628D2"/>
    <w:rsid w:val="00462DCD"/>
    <w:rsid w:val="00463394"/>
    <w:rsid w:val="004640EF"/>
    <w:rsid w:val="004648AD"/>
    <w:rsid w:val="0046492F"/>
    <w:rsid w:val="00464CA6"/>
    <w:rsid w:val="0046605B"/>
    <w:rsid w:val="00466A22"/>
    <w:rsid w:val="004703A9"/>
    <w:rsid w:val="00470DDA"/>
    <w:rsid w:val="00475A57"/>
    <w:rsid w:val="00475C5C"/>
    <w:rsid w:val="004760DE"/>
    <w:rsid w:val="004763D7"/>
    <w:rsid w:val="00482A00"/>
    <w:rsid w:val="00483FF9"/>
    <w:rsid w:val="004852BA"/>
    <w:rsid w:val="0049031A"/>
    <w:rsid w:val="00492B87"/>
    <w:rsid w:val="00493037"/>
    <w:rsid w:val="004930AB"/>
    <w:rsid w:val="004A004E"/>
    <w:rsid w:val="004A06C2"/>
    <w:rsid w:val="004A1375"/>
    <w:rsid w:val="004A24CF"/>
    <w:rsid w:val="004A49EA"/>
    <w:rsid w:val="004A5BA8"/>
    <w:rsid w:val="004B3E18"/>
    <w:rsid w:val="004B4EFA"/>
    <w:rsid w:val="004B5479"/>
    <w:rsid w:val="004B79E0"/>
    <w:rsid w:val="004C2998"/>
    <w:rsid w:val="004C3D1D"/>
    <w:rsid w:val="004C3D84"/>
    <w:rsid w:val="004C7913"/>
    <w:rsid w:val="004D0698"/>
    <w:rsid w:val="004D464F"/>
    <w:rsid w:val="004E0C1F"/>
    <w:rsid w:val="004E197C"/>
    <w:rsid w:val="004E2874"/>
    <w:rsid w:val="004E2F10"/>
    <w:rsid w:val="004E465D"/>
    <w:rsid w:val="004E4DD6"/>
    <w:rsid w:val="004E780E"/>
    <w:rsid w:val="004F0802"/>
    <w:rsid w:val="004F11B9"/>
    <w:rsid w:val="004F316F"/>
    <w:rsid w:val="004F49E2"/>
    <w:rsid w:val="004F5E36"/>
    <w:rsid w:val="0050146D"/>
    <w:rsid w:val="00505EA1"/>
    <w:rsid w:val="00507B47"/>
    <w:rsid w:val="00507BEF"/>
    <w:rsid w:val="00507CC9"/>
    <w:rsid w:val="005119A5"/>
    <w:rsid w:val="00515081"/>
    <w:rsid w:val="0052073C"/>
    <w:rsid w:val="00521197"/>
    <w:rsid w:val="00525968"/>
    <w:rsid w:val="005260DC"/>
    <w:rsid w:val="00526767"/>
    <w:rsid w:val="005278B7"/>
    <w:rsid w:val="00527F40"/>
    <w:rsid w:val="005308A8"/>
    <w:rsid w:val="005310EF"/>
    <w:rsid w:val="00532016"/>
    <w:rsid w:val="005346C8"/>
    <w:rsid w:val="00535F93"/>
    <w:rsid w:val="00543E7D"/>
    <w:rsid w:val="00545DBE"/>
    <w:rsid w:val="00547087"/>
    <w:rsid w:val="005477B9"/>
    <w:rsid w:val="00547A68"/>
    <w:rsid w:val="0055234A"/>
    <w:rsid w:val="005531C9"/>
    <w:rsid w:val="00553C8C"/>
    <w:rsid w:val="005553E5"/>
    <w:rsid w:val="00556BE9"/>
    <w:rsid w:val="00562545"/>
    <w:rsid w:val="00566176"/>
    <w:rsid w:val="00570C43"/>
    <w:rsid w:val="005711EC"/>
    <w:rsid w:val="00571648"/>
    <w:rsid w:val="00574869"/>
    <w:rsid w:val="00574C65"/>
    <w:rsid w:val="005753EB"/>
    <w:rsid w:val="00575AC3"/>
    <w:rsid w:val="00576C08"/>
    <w:rsid w:val="005826D0"/>
    <w:rsid w:val="0058393C"/>
    <w:rsid w:val="00583AFF"/>
    <w:rsid w:val="00584279"/>
    <w:rsid w:val="00584490"/>
    <w:rsid w:val="005852DE"/>
    <w:rsid w:val="005852E6"/>
    <w:rsid w:val="00585A55"/>
    <w:rsid w:val="00585AF8"/>
    <w:rsid w:val="0058784C"/>
    <w:rsid w:val="005909FA"/>
    <w:rsid w:val="005928B4"/>
    <w:rsid w:val="005941BA"/>
    <w:rsid w:val="00597DF8"/>
    <w:rsid w:val="005A0293"/>
    <w:rsid w:val="005A58F3"/>
    <w:rsid w:val="005A7B30"/>
    <w:rsid w:val="005B0390"/>
    <w:rsid w:val="005B0F9B"/>
    <w:rsid w:val="005B2110"/>
    <w:rsid w:val="005B2AFD"/>
    <w:rsid w:val="005B377F"/>
    <w:rsid w:val="005B61E6"/>
    <w:rsid w:val="005B681C"/>
    <w:rsid w:val="005B7332"/>
    <w:rsid w:val="005C1745"/>
    <w:rsid w:val="005C42AE"/>
    <w:rsid w:val="005C517A"/>
    <w:rsid w:val="005C5974"/>
    <w:rsid w:val="005C77E1"/>
    <w:rsid w:val="005C7E6D"/>
    <w:rsid w:val="005D12E8"/>
    <w:rsid w:val="005D42DC"/>
    <w:rsid w:val="005D4B5D"/>
    <w:rsid w:val="005D5ADB"/>
    <w:rsid w:val="005D668A"/>
    <w:rsid w:val="005D6A2F"/>
    <w:rsid w:val="005D7744"/>
    <w:rsid w:val="005E1A82"/>
    <w:rsid w:val="005E2CBA"/>
    <w:rsid w:val="005E33B9"/>
    <w:rsid w:val="005E3FB0"/>
    <w:rsid w:val="005E43EB"/>
    <w:rsid w:val="005E4409"/>
    <w:rsid w:val="005E580A"/>
    <w:rsid w:val="005E7653"/>
    <w:rsid w:val="005E794C"/>
    <w:rsid w:val="005F0A28"/>
    <w:rsid w:val="005F0E5E"/>
    <w:rsid w:val="005F1AC0"/>
    <w:rsid w:val="005F4DED"/>
    <w:rsid w:val="00600535"/>
    <w:rsid w:val="00602F56"/>
    <w:rsid w:val="006035F5"/>
    <w:rsid w:val="0060450D"/>
    <w:rsid w:val="00610CD6"/>
    <w:rsid w:val="00612DE4"/>
    <w:rsid w:val="00612F99"/>
    <w:rsid w:val="0061480E"/>
    <w:rsid w:val="00615AB3"/>
    <w:rsid w:val="006163BC"/>
    <w:rsid w:val="00620DEE"/>
    <w:rsid w:val="00621F92"/>
    <w:rsid w:val="0062280A"/>
    <w:rsid w:val="0062401A"/>
    <w:rsid w:val="00625639"/>
    <w:rsid w:val="0063121B"/>
    <w:rsid w:val="00631B33"/>
    <w:rsid w:val="00633F3F"/>
    <w:rsid w:val="00635770"/>
    <w:rsid w:val="00636AD4"/>
    <w:rsid w:val="00640453"/>
    <w:rsid w:val="0064184D"/>
    <w:rsid w:val="006422CC"/>
    <w:rsid w:val="00642FAC"/>
    <w:rsid w:val="00645551"/>
    <w:rsid w:val="0064713C"/>
    <w:rsid w:val="00650662"/>
    <w:rsid w:val="00652D74"/>
    <w:rsid w:val="00656D26"/>
    <w:rsid w:val="00660E3E"/>
    <w:rsid w:val="00661D19"/>
    <w:rsid w:val="00662E74"/>
    <w:rsid w:val="0066668E"/>
    <w:rsid w:val="0066707C"/>
    <w:rsid w:val="00672735"/>
    <w:rsid w:val="00675C82"/>
    <w:rsid w:val="00677107"/>
    <w:rsid w:val="006778D9"/>
    <w:rsid w:val="00680C23"/>
    <w:rsid w:val="006815BC"/>
    <w:rsid w:val="006839E7"/>
    <w:rsid w:val="00686DAE"/>
    <w:rsid w:val="00693766"/>
    <w:rsid w:val="006938CE"/>
    <w:rsid w:val="006958AE"/>
    <w:rsid w:val="00695CAA"/>
    <w:rsid w:val="00696408"/>
    <w:rsid w:val="006A28BF"/>
    <w:rsid w:val="006A3281"/>
    <w:rsid w:val="006A4150"/>
    <w:rsid w:val="006A4DAD"/>
    <w:rsid w:val="006A5B49"/>
    <w:rsid w:val="006B27C9"/>
    <w:rsid w:val="006B4888"/>
    <w:rsid w:val="006B4B2D"/>
    <w:rsid w:val="006B4EE9"/>
    <w:rsid w:val="006B5024"/>
    <w:rsid w:val="006B5035"/>
    <w:rsid w:val="006B5A4D"/>
    <w:rsid w:val="006C0D3F"/>
    <w:rsid w:val="006C2E45"/>
    <w:rsid w:val="006C359C"/>
    <w:rsid w:val="006C47FA"/>
    <w:rsid w:val="006C5579"/>
    <w:rsid w:val="006D36EC"/>
    <w:rsid w:val="006D3E8D"/>
    <w:rsid w:val="006D4382"/>
    <w:rsid w:val="006D5819"/>
    <w:rsid w:val="006D583A"/>
    <w:rsid w:val="006D6E8B"/>
    <w:rsid w:val="006D740A"/>
    <w:rsid w:val="006E0450"/>
    <w:rsid w:val="006E08A9"/>
    <w:rsid w:val="006E22AE"/>
    <w:rsid w:val="006E6455"/>
    <w:rsid w:val="006E6765"/>
    <w:rsid w:val="006E737D"/>
    <w:rsid w:val="006F2EC1"/>
    <w:rsid w:val="006F37D1"/>
    <w:rsid w:val="00700A35"/>
    <w:rsid w:val="007047E7"/>
    <w:rsid w:val="00713973"/>
    <w:rsid w:val="00716D06"/>
    <w:rsid w:val="00720A24"/>
    <w:rsid w:val="00725E31"/>
    <w:rsid w:val="0072613E"/>
    <w:rsid w:val="00726F3E"/>
    <w:rsid w:val="00727908"/>
    <w:rsid w:val="007315B4"/>
    <w:rsid w:val="00732386"/>
    <w:rsid w:val="00733B94"/>
    <w:rsid w:val="007349F5"/>
    <w:rsid w:val="0073514D"/>
    <w:rsid w:val="007363C6"/>
    <w:rsid w:val="00737D88"/>
    <w:rsid w:val="00740E51"/>
    <w:rsid w:val="00741D96"/>
    <w:rsid w:val="007447F3"/>
    <w:rsid w:val="00746A82"/>
    <w:rsid w:val="00751B9E"/>
    <w:rsid w:val="00753596"/>
    <w:rsid w:val="0075499F"/>
    <w:rsid w:val="0075521F"/>
    <w:rsid w:val="00757063"/>
    <w:rsid w:val="00761C0D"/>
    <w:rsid w:val="00764208"/>
    <w:rsid w:val="0076568B"/>
    <w:rsid w:val="007661C8"/>
    <w:rsid w:val="00766211"/>
    <w:rsid w:val="0077098D"/>
    <w:rsid w:val="0077275A"/>
    <w:rsid w:val="007748AD"/>
    <w:rsid w:val="00775378"/>
    <w:rsid w:val="00782697"/>
    <w:rsid w:val="007832CB"/>
    <w:rsid w:val="00784394"/>
    <w:rsid w:val="007845BE"/>
    <w:rsid w:val="00785591"/>
    <w:rsid w:val="007879A2"/>
    <w:rsid w:val="00792470"/>
    <w:rsid w:val="00792FDF"/>
    <w:rsid w:val="00793166"/>
    <w:rsid w:val="007931FA"/>
    <w:rsid w:val="007932B1"/>
    <w:rsid w:val="007932FF"/>
    <w:rsid w:val="00793C8C"/>
    <w:rsid w:val="00793CB1"/>
    <w:rsid w:val="007952A8"/>
    <w:rsid w:val="0079549F"/>
    <w:rsid w:val="007956D3"/>
    <w:rsid w:val="007A1A20"/>
    <w:rsid w:val="007A4861"/>
    <w:rsid w:val="007A62D1"/>
    <w:rsid w:val="007A7BBA"/>
    <w:rsid w:val="007B0C50"/>
    <w:rsid w:val="007B23E9"/>
    <w:rsid w:val="007B48F9"/>
    <w:rsid w:val="007B5B1A"/>
    <w:rsid w:val="007B6EE9"/>
    <w:rsid w:val="007C00A4"/>
    <w:rsid w:val="007C1A43"/>
    <w:rsid w:val="007C20B4"/>
    <w:rsid w:val="007C3852"/>
    <w:rsid w:val="007C50B1"/>
    <w:rsid w:val="007C7AEA"/>
    <w:rsid w:val="007D2331"/>
    <w:rsid w:val="007D5200"/>
    <w:rsid w:val="007D572A"/>
    <w:rsid w:val="007E1088"/>
    <w:rsid w:val="007E2D45"/>
    <w:rsid w:val="007E6329"/>
    <w:rsid w:val="007E7655"/>
    <w:rsid w:val="007F072C"/>
    <w:rsid w:val="007F2689"/>
    <w:rsid w:val="007F387A"/>
    <w:rsid w:val="007F5C3D"/>
    <w:rsid w:val="007F74E7"/>
    <w:rsid w:val="0080013E"/>
    <w:rsid w:val="00802802"/>
    <w:rsid w:val="00806D85"/>
    <w:rsid w:val="00807B79"/>
    <w:rsid w:val="00813288"/>
    <w:rsid w:val="008132B4"/>
    <w:rsid w:val="008168FC"/>
    <w:rsid w:val="0082021E"/>
    <w:rsid w:val="00820D4D"/>
    <w:rsid w:val="00821772"/>
    <w:rsid w:val="0082323E"/>
    <w:rsid w:val="008258B1"/>
    <w:rsid w:val="008261E6"/>
    <w:rsid w:val="0082753A"/>
    <w:rsid w:val="00830996"/>
    <w:rsid w:val="00831569"/>
    <w:rsid w:val="00831938"/>
    <w:rsid w:val="008345F1"/>
    <w:rsid w:val="008376F8"/>
    <w:rsid w:val="00842FB1"/>
    <w:rsid w:val="008528F8"/>
    <w:rsid w:val="00864127"/>
    <w:rsid w:val="00865B07"/>
    <w:rsid w:val="00865E7C"/>
    <w:rsid w:val="008667EA"/>
    <w:rsid w:val="00870455"/>
    <w:rsid w:val="00870EC8"/>
    <w:rsid w:val="0087637F"/>
    <w:rsid w:val="00876851"/>
    <w:rsid w:val="0088118D"/>
    <w:rsid w:val="00885020"/>
    <w:rsid w:val="00885CAA"/>
    <w:rsid w:val="00892AD5"/>
    <w:rsid w:val="00893F9E"/>
    <w:rsid w:val="008948FE"/>
    <w:rsid w:val="00894B2F"/>
    <w:rsid w:val="008967E0"/>
    <w:rsid w:val="008A1512"/>
    <w:rsid w:val="008A3DC0"/>
    <w:rsid w:val="008A4217"/>
    <w:rsid w:val="008A6EB8"/>
    <w:rsid w:val="008A752E"/>
    <w:rsid w:val="008A756F"/>
    <w:rsid w:val="008B093A"/>
    <w:rsid w:val="008B3780"/>
    <w:rsid w:val="008B3EBC"/>
    <w:rsid w:val="008B70EE"/>
    <w:rsid w:val="008C1211"/>
    <w:rsid w:val="008C469D"/>
    <w:rsid w:val="008C6AE1"/>
    <w:rsid w:val="008D1925"/>
    <w:rsid w:val="008D1EE1"/>
    <w:rsid w:val="008D32B9"/>
    <w:rsid w:val="008D433B"/>
    <w:rsid w:val="008D4A16"/>
    <w:rsid w:val="008E3C1B"/>
    <w:rsid w:val="008E566E"/>
    <w:rsid w:val="008E5E5F"/>
    <w:rsid w:val="008F08E5"/>
    <w:rsid w:val="008F7084"/>
    <w:rsid w:val="008F73DC"/>
    <w:rsid w:val="0090161A"/>
    <w:rsid w:val="00901EB0"/>
    <w:rsid w:val="00901EB6"/>
    <w:rsid w:val="00904C62"/>
    <w:rsid w:val="00906F6B"/>
    <w:rsid w:val="00910900"/>
    <w:rsid w:val="00912917"/>
    <w:rsid w:val="0091329C"/>
    <w:rsid w:val="00915608"/>
    <w:rsid w:val="00922263"/>
    <w:rsid w:val="00922705"/>
    <w:rsid w:val="00922BA8"/>
    <w:rsid w:val="00923A12"/>
    <w:rsid w:val="00923AA1"/>
    <w:rsid w:val="00924DAC"/>
    <w:rsid w:val="00927058"/>
    <w:rsid w:val="00927302"/>
    <w:rsid w:val="00930FA2"/>
    <w:rsid w:val="00932D33"/>
    <w:rsid w:val="0094188C"/>
    <w:rsid w:val="00942467"/>
    <w:rsid w:val="0094266E"/>
    <w:rsid w:val="00942750"/>
    <w:rsid w:val="00944260"/>
    <w:rsid w:val="009450CE"/>
    <w:rsid w:val="00947179"/>
    <w:rsid w:val="0094775B"/>
    <w:rsid w:val="009477E2"/>
    <w:rsid w:val="00951208"/>
    <w:rsid w:val="0095164B"/>
    <w:rsid w:val="00952377"/>
    <w:rsid w:val="00952FC6"/>
    <w:rsid w:val="009539E6"/>
    <w:rsid w:val="00954090"/>
    <w:rsid w:val="00955BFB"/>
    <w:rsid w:val="00956249"/>
    <w:rsid w:val="009573E7"/>
    <w:rsid w:val="00957D03"/>
    <w:rsid w:val="0096099A"/>
    <w:rsid w:val="00963E05"/>
    <w:rsid w:val="0096440E"/>
    <w:rsid w:val="00964A45"/>
    <w:rsid w:val="00965C6B"/>
    <w:rsid w:val="00967843"/>
    <w:rsid w:val="00967D54"/>
    <w:rsid w:val="009705A8"/>
    <w:rsid w:val="00971028"/>
    <w:rsid w:val="0097314F"/>
    <w:rsid w:val="0097522D"/>
    <w:rsid w:val="009777E6"/>
    <w:rsid w:val="0098150C"/>
    <w:rsid w:val="00982466"/>
    <w:rsid w:val="009907F6"/>
    <w:rsid w:val="00993B84"/>
    <w:rsid w:val="00993ED9"/>
    <w:rsid w:val="00994B22"/>
    <w:rsid w:val="0099598B"/>
    <w:rsid w:val="00996483"/>
    <w:rsid w:val="00996AD0"/>
    <w:rsid w:val="00996F5A"/>
    <w:rsid w:val="009A3888"/>
    <w:rsid w:val="009A3DC6"/>
    <w:rsid w:val="009A6BBA"/>
    <w:rsid w:val="009A7697"/>
    <w:rsid w:val="009B041A"/>
    <w:rsid w:val="009B3E3B"/>
    <w:rsid w:val="009B699D"/>
    <w:rsid w:val="009C37C3"/>
    <w:rsid w:val="009C3F13"/>
    <w:rsid w:val="009C5E17"/>
    <w:rsid w:val="009C7C86"/>
    <w:rsid w:val="009D2FF7"/>
    <w:rsid w:val="009D5000"/>
    <w:rsid w:val="009D7895"/>
    <w:rsid w:val="009E06A4"/>
    <w:rsid w:val="009E7884"/>
    <w:rsid w:val="009E788A"/>
    <w:rsid w:val="009F0CEA"/>
    <w:rsid w:val="009F0E08"/>
    <w:rsid w:val="00A02254"/>
    <w:rsid w:val="00A026FA"/>
    <w:rsid w:val="00A14315"/>
    <w:rsid w:val="00A16F5E"/>
    <w:rsid w:val="00A1763D"/>
    <w:rsid w:val="00A17CEC"/>
    <w:rsid w:val="00A21020"/>
    <w:rsid w:val="00A27EF0"/>
    <w:rsid w:val="00A307DB"/>
    <w:rsid w:val="00A30934"/>
    <w:rsid w:val="00A36107"/>
    <w:rsid w:val="00A36728"/>
    <w:rsid w:val="00A42361"/>
    <w:rsid w:val="00A43CEF"/>
    <w:rsid w:val="00A45FF4"/>
    <w:rsid w:val="00A47ADF"/>
    <w:rsid w:val="00A50B20"/>
    <w:rsid w:val="00A51390"/>
    <w:rsid w:val="00A5159B"/>
    <w:rsid w:val="00A564B4"/>
    <w:rsid w:val="00A60D13"/>
    <w:rsid w:val="00A633D5"/>
    <w:rsid w:val="00A70BBD"/>
    <w:rsid w:val="00A72745"/>
    <w:rsid w:val="00A735A2"/>
    <w:rsid w:val="00A76EFC"/>
    <w:rsid w:val="00A772A3"/>
    <w:rsid w:val="00A81B99"/>
    <w:rsid w:val="00A83E1D"/>
    <w:rsid w:val="00A867DA"/>
    <w:rsid w:val="00A87DB9"/>
    <w:rsid w:val="00A904D7"/>
    <w:rsid w:val="00A906A3"/>
    <w:rsid w:val="00A91010"/>
    <w:rsid w:val="00A9175B"/>
    <w:rsid w:val="00A9424D"/>
    <w:rsid w:val="00A9754C"/>
    <w:rsid w:val="00A9796B"/>
    <w:rsid w:val="00A97D2A"/>
    <w:rsid w:val="00A97F29"/>
    <w:rsid w:val="00AA0841"/>
    <w:rsid w:val="00AA1ED7"/>
    <w:rsid w:val="00AA3133"/>
    <w:rsid w:val="00AA702E"/>
    <w:rsid w:val="00AB0964"/>
    <w:rsid w:val="00AB243F"/>
    <w:rsid w:val="00AB5011"/>
    <w:rsid w:val="00AB59F4"/>
    <w:rsid w:val="00AC0042"/>
    <w:rsid w:val="00AC28AE"/>
    <w:rsid w:val="00AC34BB"/>
    <w:rsid w:val="00AC5BD9"/>
    <w:rsid w:val="00AC7368"/>
    <w:rsid w:val="00AD16B9"/>
    <w:rsid w:val="00AD2191"/>
    <w:rsid w:val="00AD38E9"/>
    <w:rsid w:val="00AD7502"/>
    <w:rsid w:val="00AD7895"/>
    <w:rsid w:val="00AD7EA3"/>
    <w:rsid w:val="00AE0DA1"/>
    <w:rsid w:val="00AE2569"/>
    <w:rsid w:val="00AE3290"/>
    <w:rsid w:val="00AE33A4"/>
    <w:rsid w:val="00AE377D"/>
    <w:rsid w:val="00AE6E5D"/>
    <w:rsid w:val="00AF03F4"/>
    <w:rsid w:val="00AF0EBA"/>
    <w:rsid w:val="00AF0F76"/>
    <w:rsid w:val="00AF17CD"/>
    <w:rsid w:val="00AF2046"/>
    <w:rsid w:val="00AF451E"/>
    <w:rsid w:val="00B02C8A"/>
    <w:rsid w:val="00B0436C"/>
    <w:rsid w:val="00B047E4"/>
    <w:rsid w:val="00B06951"/>
    <w:rsid w:val="00B15EBE"/>
    <w:rsid w:val="00B17FBD"/>
    <w:rsid w:val="00B21051"/>
    <w:rsid w:val="00B22222"/>
    <w:rsid w:val="00B24525"/>
    <w:rsid w:val="00B26C1D"/>
    <w:rsid w:val="00B30A7B"/>
    <w:rsid w:val="00B315A6"/>
    <w:rsid w:val="00B31813"/>
    <w:rsid w:val="00B33365"/>
    <w:rsid w:val="00B4097D"/>
    <w:rsid w:val="00B42186"/>
    <w:rsid w:val="00B46BDF"/>
    <w:rsid w:val="00B474DF"/>
    <w:rsid w:val="00B5103B"/>
    <w:rsid w:val="00B54D23"/>
    <w:rsid w:val="00B57B36"/>
    <w:rsid w:val="00B57E6F"/>
    <w:rsid w:val="00B6010D"/>
    <w:rsid w:val="00B611A1"/>
    <w:rsid w:val="00B643AC"/>
    <w:rsid w:val="00B66D83"/>
    <w:rsid w:val="00B74203"/>
    <w:rsid w:val="00B752E2"/>
    <w:rsid w:val="00B7757E"/>
    <w:rsid w:val="00B81A57"/>
    <w:rsid w:val="00B82906"/>
    <w:rsid w:val="00B85176"/>
    <w:rsid w:val="00B8618F"/>
    <w:rsid w:val="00B8686D"/>
    <w:rsid w:val="00B87E55"/>
    <w:rsid w:val="00B91A74"/>
    <w:rsid w:val="00B925C1"/>
    <w:rsid w:val="00B93833"/>
    <w:rsid w:val="00B93F69"/>
    <w:rsid w:val="00BA50A1"/>
    <w:rsid w:val="00BA7256"/>
    <w:rsid w:val="00BB1DDC"/>
    <w:rsid w:val="00BB3EC5"/>
    <w:rsid w:val="00BB6D94"/>
    <w:rsid w:val="00BC0209"/>
    <w:rsid w:val="00BC0A28"/>
    <w:rsid w:val="00BC16DE"/>
    <w:rsid w:val="00BC1F73"/>
    <w:rsid w:val="00BC2A0D"/>
    <w:rsid w:val="00BC2B13"/>
    <w:rsid w:val="00BC30C9"/>
    <w:rsid w:val="00BC5CDD"/>
    <w:rsid w:val="00BD017E"/>
    <w:rsid w:val="00BD037A"/>
    <w:rsid w:val="00BD077D"/>
    <w:rsid w:val="00BD2AB8"/>
    <w:rsid w:val="00BD6B8F"/>
    <w:rsid w:val="00BD7127"/>
    <w:rsid w:val="00BE11F7"/>
    <w:rsid w:val="00BE3E58"/>
    <w:rsid w:val="00BE4ACF"/>
    <w:rsid w:val="00BF33FF"/>
    <w:rsid w:val="00BF4486"/>
    <w:rsid w:val="00BF5A16"/>
    <w:rsid w:val="00BF7888"/>
    <w:rsid w:val="00C01289"/>
    <w:rsid w:val="00C01616"/>
    <w:rsid w:val="00C0162B"/>
    <w:rsid w:val="00C04395"/>
    <w:rsid w:val="00C068ED"/>
    <w:rsid w:val="00C1631E"/>
    <w:rsid w:val="00C17616"/>
    <w:rsid w:val="00C17806"/>
    <w:rsid w:val="00C20BB8"/>
    <w:rsid w:val="00C22E0C"/>
    <w:rsid w:val="00C26831"/>
    <w:rsid w:val="00C3316A"/>
    <w:rsid w:val="00C34549"/>
    <w:rsid w:val="00C345B1"/>
    <w:rsid w:val="00C34D9C"/>
    <w:rsid w:val="00C35E7D"/>
    <w:rsid w:val="00C367E6"/>
    <w:rsid w:val="00C40142"/>
    <w:rsid w:val="00C40C67"/>
    <w:rsid w:val="00C410DD"/>
    <w:rsid w:val="00C440FF"/>
    <w:rsid w:val="00C473C4"/>
    <w:rsid w:val="00C5264C"/>
    <w:rsid w:val="00C52C3C"/>
    <w:rsid w:val="00C54A56"/>
    <w:rsid w:val="00C57182"/>
    <w:rsid w:val="00C57210"/>
    <w:rsid w:val="00C57863"/>
    <w:rsid w:val="00C63BD2"/>
    <w:rsid w:val="00C640AF"/>
    <w:rsid w:val="00C655FD"/>
    <w:rsid w:val="00C70709"/>
    <w:rsid w:val="00C71986"/>
    <w:rsid w:val="00C72464"/>
    <w:rsid w:val="00C72F28"/>
    <w:rsid w:val="00C739B1"/>
    <w:rsid w:val="00C74E14"/>
    <w:rsid w:val="00C75407"/>
    <w:rsid w:val="00C81926"/>
    <w:rsid w:val="00C84BE7"/>
    <w:rsid w:val="00C84FBC"/>
    <w:rsid w:val="00C870A8"/>
    <w:rsid w:val="00C93DD4"/>
    <w:rsid w:val="00C94434"/>
    <w:rsid w:val="00CA0D75"/>
    <w:rsid w:val="00CA1C95"/>
    <w:rsid w:val="00CA2056"/>
    <w:rsid w:val="00CA5A9C"/>
    <w:rsid w:val="00CA72A2"/>
    <w:rsid w:val="00CB0D8C"/>
    <w:rsid w:val="00CB271B"/>
    <w:rsid w:val="00CB33D8"/>
    <w:rsid w:val="00CB4681"/>
    <w:rsid w:val="00CB5882"/>
    <w:rsid w:val="00CB78DE"/>
    <w:rsid w:val="00CC1EB3"/>
    <w:rsid w:val="00CC4C20"/>
    <w:rsid w:val="00CC5085"/>
    <w:rsid w:val="00CC54CD"/>
    <w:rsid w:val="00CC5F09"/>
    <w:rsid w:val="00CC603A"/>
    <w:rsid w:val="00CC7C80"/>
    <w:rsid w:val="00CD08D8"/>
    <w:rsid w:val="00CD1E7A"/>
    <w:rsid w:val="00CD249C"/>
    <w:rsid w:val="00CD2DEC"/>
    <w:rsid w:val="00CD3517"/>
    <w:rsid w:val="00CD532B"/>
    <w:rsid w:val="00CD562C"/>
    <w:rsid w:val="00CD5FE2"/>
    <w:rsid w:val="00CD6E1B"/>
    <w:rsid w:val="00CE548C"/>
    <w:rsid w:val="00CE5EF3"/>
    <w:rsid w:val="00CE6C01"/>
    <w:rsid w:val="00CE7C68"/>
    <w:rsid w:val="00CF4DE1"/>
    <w:rsid w:val="00CF689C"/>
    <w:rsid w:val="00D02B4C"/>
    <w:rsid w:val="00D040C4"/>
    <w:rsid w:val="00D07C28"/>
    <w:rsid w:val="00D141BF"/>
    <w:rsid w:val="00D14A7D"/>
    <w:rsid w:val="00D20AD1"/>
    <w:rsid w:val="00D22F53"/>
    <w:rsid w:val="00D24060"/>
    <w:rsid w:val="00D24A0E"/>
    <w:rsid w:val="00D318F2"/>
    <w:rsid w:val="00D32BB4"/>
    <w:rsid w:val="00D33258"/>
    <w:rsid w:val="00D336FC"/>
    <w:rsid w:val="00D37924"/>
    <w:rsid w:val="00D407C9"/>
    <w:rsid w:val="00D45AB5"/>
    <w:rsid w:val="00D46B7E"/>
    <w:rsid w:val="00D55EFF"/>
    <w:rsid w:val="00D56C4E"/>
    <w:rsid w:val="00D57096"/>
    <w:rsid w:val="00D5799C"/>
    <w:rsid w:val="00D57C84"/>
    <w:rsid w:val="00D6057D"/>
    <w:rsid w:val="00D630CC"/>
    <w:rsid w:val="00D70124"/>
    <w:rsid w:val="00D71640"/>
    <w:rsid w:val="00D73E30"/>
    <w:rsid w:val="00D74B8E"/>
    <w:rsid w:val="00D75AC0"/>
    <w:rsid w:val="00D81EA2"/>
    <w:rsid w:val="00D836C5"/>
    <w:rsid w:val="00D84576"/>
    <w:rsid w:val="00D84DEA"/>
    <w:rsid w:val="00D91236"/>
    <w:rsid w:val="00D960C6"/>
    <w:rsid w:val="00D96232"/>
    <w:rsid w:val="00D96526"/>
    <w:rsid w:val="00D97D26"/>
    <w:rsid w:val="00DA1399"/>
    <w:rsid w:val="00DA24C6"/>
    <w:rsid w:val="00DA36D9"/>
    <w:rsid w:val="00DA4D7B"/>
    <w:rsid w:val="00DB1136"/>
    <w:rsid w:val="00DB2567"/>
    <w:rsid w:val="00DB25B5"/>
    <w:rsid w:val="00DC43E0"/>
    <w:rsid w:val="00DD32CE"/>
    <w:rsid w:val="00DD52F4"/>
    <w:rsid w:val="00DD6E13"/>
    <w:rsid w:val="00DE264A"/>
    <w:rsid w:val="00DF5072"/>
    <w:rsid w:val="00DF71B8"/>
    <w:rsid w:val="00E00065"/>
    <w:rsid w:val="00E01B6E"/>
    <w:rsid w:val="00E02D18"/>
    <w:rsid w:val="00E041E7"/>
    <w:rsid w:val="00E04475"/>
    <w:rsid w:val="00E04536"/>
    <w:rsid w:val="00E0499A"/>
    <w:rsid w:val="00E059DF"/>
    <w:rsid w:val="00E060A1"/>
    <w:rsid w:val="00E1272E"/>
    <w:rsid w:val="00E20E40"/>
    <w:rsid w:val="00E230B5"/>
    <w:rsid w:val="00E237F4"/>
    <w:rsid w:val="00E23CA1"/>
    <w:rsid w:val="00E34BAA"/>
    <w:rsid w:val="00E3728F"/>
    <w:rsid w:val="00E408F8"/>
    <w:rsid w:val="00E409A8"/>
    <w:rsid w:val="00E42668"/>
    <w:rsid w:val="00E43682"/>
    <w:rsid w:val="00E45E4B"/>
    <w:rsid w:val="00E47A3E"/>
    <w:rsid w:val="00E50001"/>
    <w:rsid w:val="00E500C3"/>
    <w:rsid w:val="00E50C12"/>
    <w:rsid w:val="00E54C6B"/>
    <w:rsid w:val="00E57BE6"/>
    <w:rsid w:val="00E62007"/>
    <w:rsid w:val="00E63C29"/>
    <w:rsid w:val="00E65B91"/>
    <w:rsid w:val="00E67260"/>
    <w:rsid w:val="00E7209D"/>
    <w:rsid w:val="00E72EAD"/>
    <w:rsid w:val="00E7493C"/>
    <w:rsid w:val="00E77223"/>
    <w:rsid w:val="00E832A1"/>
    <w:rsid w:val="00E8528B"/>
    <w:rsid w:val="00E85B94"/>
    <w:rsid w:val="00E85E90"/>
    <w:rsid w:val="00E869B9"/>
    <w:rsid w:val="00E86F2A"/>
    <w:rsid w:val="00E90832"/>
    <w:rsid w:val="00E91951"/>
    <w:rsid w:val="00E95769"/>
    <w:rsid w:val="00E978D0"/>
    <w:rsid w:val="00EA4613"/>
    <w:rsid w:val="00EA5485"/>
    <w:rsid w:val="00EA7F91"/>
    <w:rsid w:val="00EB0B34"/>
    <w:rsid w:val="00EB1523"/>
    <w:rsid w:val="00EB1CA7"/>
    <w:rsid w:val="00EB2665"/>
    <w:rsid w:val="00EC0E49"/>
    <w:rsid w:val="00EC101F"/>
    <w:rsid w:val="00EC1D9F"/>
    <w:rsid w:val="00EC3F72"/>
    <w:rsid w:val="00EC5690"/>
    <w:rsid w:val="00EC697A"/>
    <w:rsid w:val="00ED1FE5"/>
    <w:rsid w:val="00ED6403"/>
    <w:rsid w:val="00EE0131"/>
    <w:rsid w:val="00EE17B0"/>
    <w:rsid w:val="00EE6758"/>
    <w:rsid w:val="00EF06D9"/>
    <w:rsid w:val="00EF18A0"/>
    <w:rsid w:val="00F12CE7"/>
    <w:rsid w:val="00F175A6"/>
    <w:rsid w:val="00F20339"/>
    <w:rsid w:val="00F26F79"/>
    <w:rsid w:val="00F300EE"/>
    <w:rsid w:val="00F30C64"/>
    <w:rsid w:val="00F325BC"/>
    <w:rsid w:val="00F32BA2"/>
    <w:rsid w:val="00F32CDB"/>
    <w:rsid w:val="00F42CC5"/>
    <w:rsid w:val="00F43952"/>
    <w:rsid w:val="00F454FC"/>
    <w:rsid w:val="00F51482"/>
    <w:rsid w:val="00F51649"/>
    <w:rsid w:val="00F53780"/>
    <w:rsid w:val="00F53883"/>
    <w:rsid w:val="00F54F8E"/>
    <w:rsid w:val="00F56005"/>
    <w:rsid w:val="00F565FE"/>
    <w:rsid w:val="00F5675A"/>
    <w:rsid w:val="00F63A70"/>
    <w:rsid w:val="00F749E3"/>
    <w:rsid w:val="00F7527C"/>
    <w:rsid w:val="00F7534E"/>
    <w:rsid w:val="00F77C5D"/>
    <w:rsid w:val="00F8090A"/>
    <w:rsid w:val="00F85ED9"/>
    <w:rsid w:val="00F87C20"/>
    <w:rsid w:val="00F87C3B"/>
    <w:rsid w:val="00FA1802"/>
    <w:rsid w:val="00FA21D0"/>
    <w:rsid w:val="00FA50C9"/>
    <w:rsid w:val="00FA52E9"/>
    <w:rsid w:val="00FA5F5F"/>
    <w:rsid w:val="00FA5F8C"/>
    <w:rsid w:val="00FA7EC1"/>
    <w:rsid w:val="00FB3E72"/>
    <w:rsid w:val="00FB42ED"/>
    <w:rsid w:val="00FB730C"/>
    <w:rsid w:val="00FB7AAB"/>
    <w:rsid w:val="00FC0F3E"/>
    <w:rsid w:val="00FC1AE4"/>
    <w:rsid w:val="00FC214D"/>
    <w:rsid w:val="00FC2695"/>
    <w:rsid w:val="00FC3E03"/>
    <w:rsid w:val="00FC3FC1"/>
    <w:rsid w:val="00FC5600"/>
    <w:rsid w:val="00FC71F1"/>
    <w:rsid w:val="00FC7BE5"/>
    <w:rsid w:val="00FD0229"/>
    <w:rsid w:val="00FD6A67"/>
    <w:rsid w:val="00FE194C"/>
    <w:rsid w:val="00FE284F"/>
    <w:rsid w:val="00FE425B"/>
    <w:rsid w:val="00FE492E"/>
    <w:rsid w:val="00FE4DBC"/>
    <w:rsid w:val="00FE59C6"/>
    <w:rsid w:val="00FE726A"/>
    <w:rsid w:val="00FE7C64"/>
    <w:rsid w:val="00FF531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AE0CC22"/>
  <w14:defaultImageDpi w14:val="330"/>
  <w15:docId w15:val="{51D3A366-16B0-458A-A003-78468E3A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165467"/>
    <w:rPr>
      <w:color w:val="808080"/>
    </w:rPr>
  </w:style>
  <w:style w:type="character" w:customStyle="1" w:styleId="UnresolvedMention1">
    <w:name w:val="Unresolved Mention1"/>
    <w:basedOn w:val="DefaultParagraphFont"/>
    <w:uiPriority w:val="99"/>
    <w:semiHidden/>
    <w:unhideWhenUsed/>
    <w:rsid w:val="00E869B9"/>
    <w:rPr>
      <w:color w:val="605E5C"/>
      <w:shd w:val="clear" w:color="auto" w:fill="E1DFDD"/>
    </w:rPr>
  </w:style>
  <w:style w:type="paragraph" w:styleId="Revision">
    <w:name w:val="Revision"/>
    <w:hidden/>
    <w:uiPriority w:val="99"/>
    <w:semiHidden/>
    <w:rsid w:val="007D2331"/>
    <w:pPr>
      <w:spacing w:after="0" w:line="240" w:lineRule="auto"/>
    </w:pPr>
    <w:rPr>
      <w:rFonts w:ascii="Arial" w:eastAsia="Times New Roman" w:hAnsi="Arial" w:cs="Times New Roman"/>
      <w:sz w:val="18"/>
      <w:szCs w:val="20"/>
      <w:lang w:val="en-GB"/>
    </w:rPr>
  </w:style>
  <w:style w:type="character" w:styleId="LineNumber">
    <w:name w:val="line number"/>
    <w:basedOn w:val="DefaultParagraphFont"/>
    <w:uiPriority w:val="99"/>
    <w:semiHidden/>
    <w:unhideWhenUsed/>
    <w:rsid w:val="004F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1181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619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D67F4AE39E04DBD21F61A25AD704C" ma:contentTypeVersion="14" ma:contentTypeDescription="Create a new document." ma:contentTypeScope="" ma:versionID="dbb3eea90817742347359bcb0d0de39f">
  <xsd:schema xmlns:xsd="http://www.w3.org/2001/XMLSchema" xmlns:xs="http://www.w3.org/2001/XMLSchema" xmlns:p="http://schemas.microsoft.com/office/2006/metadata/properties" xmlns:ns3="26e7d91d-3a8d-4c77-b48d-9494d9eb570f" xmlns:ns4="7d185f57-29bd-4df9-82bd-8990ae3c534a" targetNamespace="http://schemas.microsoft.com/office/2006/metadata/properties" ma:root="true" ma:fieldsID="47ec26f111ed24285b1e025bc88cfc23" ns3:_="" ns4:_="">
    <xsd:import namespace="26e7d91d-3a8d-4c77-b48d-9494d9eb570f"/>
    <xsd:import namespace="7d185f57-29bd-4df9-82bd-8990ae3c53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7d91d-3a8d-4c77-b48d-9494d9eb57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85f57-29bd-4df9-82bd-8990ae3c53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E7D4-3745-4430-8C8B-750376564C2C}">
  <ds:schemaRefs>
    <ds:schemaRef ds:uri="http://schemas.openxmlformats.org/package/2006/metadata/core-properties"/>
    <ds:schemaRef ds:uri="http://purl.org/dc/elements/1.1/"/>
    <ds:schemaRef ds:uri="http://purl.org/dc/dcmitype/"/>
    <ds:schemaRef ds:uri="7d185f57-29bd-4df9-82bd-8990ae3c534a"/>
    <ds:schemaRef ds:uri="26e7d91d-3a8d-4c77-b48d-9494d9eb570f"/>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D8DD210-0A65-4D59-A337-A6E4E5ACD158}">
  <ds:schemaRefs>
    <ds:schemaRef ds:uri="http://schemas.microsoft.com/sharepoint/v3/contenttype/forms"/>
  </ds:schemaRefs>
</ds:datastoreItem>
</file>

<file path=customXml/itemProps3.xml><?xml version="1.0" encoding="utf-8"?>
<ds:datastoreItem xmlns:ds="http://schemas.openxmlformats.org/officeDocument/2006/customXml" ds:itemID="{38816A95-2EB0-4FEF-92AE-C61891299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7d91d-3a8d-4c77-b48d-9494d9eb570f"/>
    <ds:schemaRef ds:uri="7d185f57-29bd-4df9-82bd-8990ae3c5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805FD-D090-40D5-869D-D371C5D8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10024</Words>
  <Characters>57143</Characters>
  <Application>Microsoft Office Word</Application>
  <DocSecurity>0</DocSecurity>
  <Lines>476</Lines>
  <Paragraphs>134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Leonardo Bozzoli</cp:lastModifiedBy>
  <cp:revision>24</cp:revision>
  <cp:lastPrinted>2015-05-12T18:31:00Z</cp:lastPrinted>
  <dcterms:created xsi:type="dcterms:W3CDTF">2022-05-24T06:00:00Z</dcterms:created>
  <dcterms:modified xsi:type="dcterms:W3CDTF">2022-07-29T13:37:00Z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4b4ec894-5d7e-34b4-b4f8-d80440cbb606</vt:lpwstr>
  </property>
  <property fmtid="{D5CDD505-2E9C-101B-9397-08002B2CF9AE}" pid="6" name="Mendeley Citation Style_1">
    <vt:lpwstr>http://csl.mendeley.com/styles/648582171/elsevier-harvard-AIDIC-leobo</vt:lpwstr>
  </property>
  <property fmtid="{D5CDD505-2E9C-101B-9397-08002B2CF9AE}" pid="7" name="Mendeley Recent Style Id 0_1">
    <vt:lpwstr>http://csl.mendeley.com/styles/648582171/elsevier-harvard-AIDIC-leobo</vt:lpwstr>
  </property>
  <property fmtid="{D5CDD505-2E9C-101B-9397-08002B2CF9AE}" pid="8" name="Mendeley Recent Style Name 0_1">
    <vt:lpwstr>AIDIC CEt Leobo</vt:lpwstr>
  </property>
  <property fmtid="{D5CDD505-2E9C-101B-9397-08002B2CF9AE}" pid="9" name="Mendeley Recent Style Id 1_1">
    <vt:lpwstr>https://csl.mendeley.com/styles/648582171/elsevier-harvard-AIDIC-leobo</vt:lpwstr>
  </property>
  <property fmtid="{D5CDD505-2E9C-101B-9397-08002B2CF9AE}" pid="10" name="Mendeley Recent Style Name 1_1">
    <vt:lpwstr>AIDIC CEt Leobo</vt:lpwstr>
  </property>
  <property fmtid="{D5CDD505-2E9C-101B-9397-08002B2CF9AE}" pid="11" name="Mendeley Recent Style Id 2_1">
    <vt:lpwstr>https://csl.mendeley.com/styles/648582171/elsevier-harvard</vt:lpwstr>
  </property>
  <property fmtid="{D5CDD505-2E9C-101B-9397-08002B2CF9AE}" pid="12" name="Mendeley Recent Style Name 2_1">
    <vt:lpwstr>AIDIC CEt Leobo</vt:lpwstr>
  </property>
  <property fmtid="{D5CDD505-2E9C-101B-9397-08002B2CF9AE}" pid="13" name="Mendeley Recent Style Id 3_1">
    <vt:lpwstr>http://www.zotero.org/styles/american-medical-association</vt:lpwstr>
  </property>
  <property fmtid="{D5CDD505-2E9C-101B-9397-08002B2CF9AE}" pid="14" name="Mendeley Recent Style Name 3_1">
    <vt:lpwstr>American Medical Association 11th edition</vt:lpwstr>
  </property>
  <property fmtid="{D5CDD505-2E9C-101B-9397-08002B2CF9AE}" pid="15" name="Mendeley Recent Style Id 4_1">
    <vt:lpwstr>http://www.zotero.org/styles/american-political-science-association</vt:lpwstr>
  </property>
  <property fmtid="{D5CDD505-2E9C-101B-9397-08002B2CF9AE}" pid="16" name="Mendeley Recent Style Name 4_1">
    <vt:lpwstr>American Political Science Association</vt:lpwstr>
  </property>
  <property fmtid="{D5CDD505-2E9C-101B-9397-08002B2CF9AE}" pid="17" name="Mendeley Recent Style Id 5_1">
    <vt:lpwstr>http://www.zotero.org/styles/american-sociological-association</vt:lpwstr>
  </property>
  <property fmtid="{D5CDD505-2E9C-101B-9397-08002B2CF9AE}" pid="18" name="Mendeley Recent Style Name 5_1">
    <vt:lpwstr>American Sociological Association 6th edition</vt:lpwstr>
  </property>
  <property fmtid="{D5CDD505-2E9C-101B-9397-08002B2CF9AE}" pid="19" name="Mendeley Recent Style Id 6_1">
    <vt:lpwstr>http://www.zotero.org/styles/chicago-author-date</vt:lpwstr>
  </property>
  <property fmtid="{D5CDD505-2E9C-101B-9397-08002B2CF9AE}" pid="20" name="Mendeley Recent Style Name 6_1">
    <vt:lpwstr>Chicago Manual of Style 17th edition (author-date)</vt:lpwstr>
  </property>
  <property fmtid="{D5CDD505-2E9C-101B-9397-08002B2CF9AE}" pid="21" name="Mendeley Recent Style Id 7_1">
    <vt:lpwstr>http://www.zotero.org/styles/harvard-cite-them-right</vt:lpwstr>
  </property>
  <property fmtid="{D5CDD505-2E9C-101B-9397-08002B2CF9AE}" pid="22" name="Mendeley Recent Style Name 7_1">
    <vt:lpwstr>Cite Them Right 10th edition - Harvard</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http://www.zotero.org/styles/process-safety-and-environmental-protection</vt:lpwstr>
  </property>
  <property fmtid="{D5CDD505-2E9C-101B-9397-08002B2CF9AE}" pid="26" name="Mendeley Recent Style Name 9_1">
    <vt:lpwstr>Process Safety and Environmental Protection</vt:lpwstr>
  </property>
  <property fmtid="{D5CDD505-2E9C-101B-9397-08002B2CF9AE}" pid="27" name="ContentTypeId">
    <vt:lpwstr>0x0101000F2D67F4AE39E04DBD21F61A25AD704C</vt:lpwstr>
  </property>
</Properties>
</file>