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00DE264A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de-DE" w:eastAsia="de-DE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2ABE30D6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D46B7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  <w:r w:rsidR="004C3D84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6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20</w:t>
            </w:r>
            <w:r w:rsidR="00DF5072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de-DE" w:eastAsia="de-DE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DE264A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DE264A">
        <w:trPr>
          <w:trHeight w:val="68"/>
          <w:jc w:val="center"/>
        </w:trPr>
        <w:tc>
          <w:tcPr>
            <w:tcW w:w="8789" w:type="dxa"/>
            <w:gridSpan w:val="2"/>
          </w:tcPr>
          <w:p w14:paraId="4B0BB442" w14:textId="2E218E1D" w:rsidR="00300E56" w:rsidRPr="0044071E" w:rsidRDefault="00300E56" w:rsidP="00B57E6F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val="it-IT" w:eastAsia="it-IT"/>
              </w:rPr>
            </w:pPr>
            <w:r w:rsidRPr="0044071E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1D21AF" w:rsidRPr="0044071E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 </w:t>
            </w:r>
            <w:r w:rsidR="004C3D84" w:rsidRPr="004C3D84">
              <w:rPr>
                <w:sz w:val="14"/>
                <w:szCs w:val="14"/>
              </w:rPr>
              <w:t>David Bogle, Flavio Manenti, Piero Salatino</w:t>
            </w:r>
          </w:p>
          <w:p w14:paraId="1B0F1814" w14:textId="17CEC68E" w:rsidR="000A03B2" w:rsidRPr="00B57B36" w:rsidRDefault="00FA5F5F" w:rsidP="001D21AF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</w:t>
            </w:r>
            <w:r w:rsidR="00DF5072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2</w:t>
            </w:r>
            <w:r w:rsidR="00E72EAD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2</w:t>
            </w:r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, AIDIC Servizi S.r.l.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300E56"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D32B9">
              <w:rPr>
                <w:rFonts w:ascii="Tahoma" w:hAnsi="Tahoma" w:cs="Tahoma"/>
                <w:sz w:val="14"/>
                <w:szCs w:val="14"/>
              </w:rPr>
              <w:t>978-88-</w:t>
            </w:r>
            <w:r w:rsidR="008D32B9" w:rsidRPr="00EF06D9">
              <w:rPr>
                <w:rFonts w:ascii="Tahoma" w:hAnsi="Tahoma" w:cs="Tahoma"/>
                <w:sz w:val="14"/>
                <w:szCs w:val="14"/>
              </w:rPr>
              <w:t>95608</w:t>
            </w:r>
            <w:r w:rsidR="00D46B7E">
              <w:rPr>
                <w:rFonts w:ascii="Tahoma" w:hAnsi="Tahoma" w:cs="Tahoma"/>
                <w:sz w:val="14"/>
                <w:szCs w:val="14"/>
              </w:rPr>
              <w:t>-</w:t>
            </w:r>
            <w:r w:rsidR="001D21AF">
              <w:rPr>
                <w:rFonts w:ascii="Tahoma" w:hAnsi="Tahoma" w:cs="Tahoma"/>
                <w:sz w:val="14"/>
                <w:szCs w:val="14"/>
              </w:rPr>
              <w:t>9</w:t>
            </w:r>
            <w:r w:rsidR="008D4A16">
              <w:rPr>
                <w:rFonts w:ascii="Tahoma" w:hAnsi="Tahoma" w:cs="Tahoma"/>
                <w:sz w:val="14"/>
                <w:szCs w:val="14"/>
              </w:rPr>
              <w:t>5</w:t>
            </w:r>
            <w:r w:rsidR="00D46B7E">
              <w:rPr>
                <w:rFonts w:ascii="Tahoma" w:hAnsi="Tahoma" w:cs="Tahoma"/>
                <w:sz w:val="14"/>
                <w:szCs w:val="14"/>
              </w:rPr>
              <w:t>-</w:t>
            </w:r>
            <w:r w:rsidR="008D4A16">
              <w:rPr>
                <w:rFonts w:ascii="Tahoma" w:hAnsi="Tahoma" w:cs="Tahoma"/>
                <w:sz w:val="14"/>
                <w:szCs w:val="14"/>
              </w:rPr>
              <w:t>2</w:t>
            </w:r>
            <w:r w:rsidR="007B48F9"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="00300E56"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10DAA130" w14:textId="77777777" w:rsidR="000A03B2" w:rsidRPr="00B57B36" w:rsidRDefault="000A03B2" w:rsidP="000A03B2">
      <w:pPr>
        <w:pStyle w:val="CETAuthors"/>
        <w:sectPr w:rsidR="000A03B2" w:rsidRPr="00B57B36" w:rsidSect="00CD5FE2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14:paraId="41412D55" w14:textId="77777777" w:rsidR="00AD4FC6" w:rsidRPr="003B5BEB" w:rsidRDefault="00AD4FC6" w:rsidP="00AD4FC6">
      <w:pPr>
        <w:pStyle w:val="Els-Title"/>
        <w:rPr>
          <w:sz w:val="31"/>
          <w:szCs w:val="31"/>
        </w:rPr>
      </w:pPr>
      <w:r w:rsidRPr="00982580">
        <w:rPr>
          <w:sz w:val="31"/>
          <w:szCs w:val="31"/>
        </w:rPr>
        <w:t>Generation-aware electrified production: Optimal operation of a continuous zeolite crystallization plant</w:t>
      </w:r>
    </w:p>
    <w:p w14:paraId="0488FED2" w14:textId="5A07E5C3" w:rsidR="00B57E6F" w:rsidRPr="00B57B36" w:rsidRDefault="00AD4FC6" w:rsidP="00B57E6F">
      <w:pPr>
        <w:pStyle w:val="CETAuthors"/>
      </w:pPr>
      <w:r>
        <w:t>Robin</w:t>
      </w:r>
      <w:r w:rsidR="00B57E6F" w:rsidRPr="00B57B36">
        <w:t xml:space="preserve"> </w:t>
      </w:r>
      <w:r>
        <w:t>Semrau</w:t>
      </w:r>
      <w:r w:rsidR="00B57E6F" w:rsidRPr="00B57B36">
        <w:rPr>
          <w:vertAlign w:val="superscript"/>
        </w:rPr>
        <w:t>a</w:t>
      </w:r>
      <w:r w:rsidRPr="00B57B36">
        <w:rPr>
          <w:vertAlign w:val="superscript"/>
        </w:rPr>
        <w:t>,</w:t>
      </w:r>
      <w:r w:rsidRPr="00B57B36">
        <w:t>*</w:t>
      </w:r>
      <w:r w:rsidR="00B57E6F" w:rsidRPr="00B57B36">
        <w:t xml:space="preserve">, </w:t>
      </w:r>
      <w:r w:rsidR="00040BB9">
        <w:t>Sebastian En</w:t>
      </w:r>
      <w:r>
        <w:t>gell</w:t>
      </w:r>
      <w:r w:rsidR="00E10263">
        <w:rPr>
          <w:vertAlign w:val="superscript"/>
        </w:rPr>
        <w:t>a</w:t>
      </w:r>
    </w:p>
    <w:p w14:paraId="6B2D21B3" w14:textId="649C37F9" w:rsidR="00B57E6F" w:rsidRPr="00B57B36" w:rsidRDefault="00B57E6F" w:rsidP="00B57E6F">
      <w:pPr>
        <w:pStyle w:val="CETAddress"/>
      </w:pPr>
      <w:r w:rsidRPr="00B57B36">
        <w:rPr>
          <w:vertAlign w:val="superscript"/>
        </w:rPr>
        <w:t>a</w:t>
      </w:r>
      <w:r w:rsidR="00AD4FC6" w:rsidRPr="00AD4FC6">
        <w:t xml:space="preserve"> TU Dortmund University, Biochemical and Chemical Engineering Process Dynamics and Operation Group, Emil-Figge-Straße 70, 44227 Dortmund, Germany</w:t>
      </w:r>
    </w:p>
    <w:p w14:paraId="73F1267A" w14:textId="25416F3F" w:rsidR="00B57E6F" w:rsidRPr="00B57B36" w:rsidRDefault="00AD4FC6" w:rsidP="00B57E6F">
      <w:pPr>
        <w:pStyle w:val="CETemail"/>
      </w:pPr>
      <w:r>
        <w:t>*</w:t>
      </w:r>
      <w:r w:rsidRPr="00AD4FC6">
        <w:t>Robin.Semrau@tu-dortmund.de</w:t>
      </w:r>
    </w:p>
    <w:p w14:paraId="55B3E219" w14:textId="6F134CAF" w:rsidR="004A4176" w:rsidRPr="00B57B36" w:rsidRDefault="008611ED" w:rsidP="001869C9">
      <w:pPr>
        <w:pStyle w:val="CETBodytext"/>
        <w:rPr>
          <w:lang w:val="en-GB"/>
        </w:rPr>
      </w:pPr>
      <w:bookmarkStart w:id="0" w:name="_Hlk495475023"/>
      <w:r>
        <w:rPr>
          <w:lang w:val="en-GB"/>
        </w:rPr>
        <w:t>The electrification of the</w:t>
      </w:r>
      <w:r w:rsidR="001679A9">
        <w:rPr>
          <w:lang w:val="en-GB"/>
        </w:rPr>
        <w:t xml:space="preserve"> production</w:t>
      </w:r>
      <w:r>
        <w:rPr>
          <w:lang w:val="en-GB"/>
        </w:rPr>
        <w:t xml:space="preserve"> process</w:t>
      </w:r>
      <w:r w:rsidR="00E858D7">
        <w:rPr>
          <w:lang w:val="en-GB"/>
        </w:rPr>
        <w:t>es</w:t>
      </w:r>
      <w:r>
        <w:rPr>
          <w:lang w:val="en-GB"/>
        </w:rPr>
        <w:t xml:space="preserve"> </w:t>
      </w:r>
      <w:r w:rsidR="00E858D7">
        <w:rPr>
          <w:lang w:val="en-GB"/>
        </w:rPr>
        <w:t>poses a main challenge for t</w:t>
      </w:r>
      <w:r w:rsidR="00152235">
        <w:rPr>
          <w:lang w:val="en-GB"/>
        </w:rPr>
        <w:t xml:space="preserve">he modern process industry. </w:t>
      </w:r>
      <w:r w:rsidR="001679A9">
        <w:rPr>
          <w:lang w:val="en-GB"/>
        </w:rPr>
        <w:t>T</w:t>
      </w:r>
      <w:r w:rsidR="00152235">
        <w:rPr>
          <w:lang w:val="en-GB"/>
        </w:rPr>
        <w:t>he high volatility of the e</w:t>
      </w:r>
      <w:r w:rsidR="004E345C">
        <w:rPr>
          <w:lang w:val="en-GB"/>
        </w:rPr>
        <w:t>nergy price</w:t>
      </w:r>
      <w:r w:rsidR="00B0130B">
        <w:rPr>
          <w:lang w:val="en-GB"/>
        </w:rPr>
        <w:t xml:space="preserve"> </w:t>
      </w:r>
      <w:r w:rsidR="001679A9">
        <w:rPr>
          <w:lang w:val="en-GB"/>
        </w:rPr>
        <w:t xml:space="preserve">provides a strong </w:t>
      </w:r>
      <w:r w:rsidR="007E2B38">
        <w:rPr>
          <w:lang w:val="en-GB"/>
        </w:rPr>
        <w:t>economic</w:t>
      </w:r>
      <w:r w:rsidR="00B0130B">
        <w:rPr>
          <w:lang w:val="en-GB"/>
        </w:rPr>
        <w:t xml:space="preserve"> </w:t>
      </w:r>
      <w:r w:rsidR="00294073" w:rsidRPr="00294073">
        <w:rPr>
          <w:lang w:val="en-GB"/>
        </w:rPr>
        <w:t xml:space="preserve">incentive </w:t>
      </w:r>
      <w:r w:rsidR="001679A9">
        <w:rPr>
          <w:lang w:val="en-GB"/>
        </w:rPr>
        <w:t>for</w:t>
      </w:r>
      <w:r w:rsidR="00B0130B">
        <w:rPr>
          <w:lang w:val="en-GB"/>
        </w:rPr>
        <w:t xml:space="preserve"> </w:t>
      </w:r>
      <w:r w:rsidR="00692CC7">
        <w:rPr>
          <w:lang w:val="en-GB"/>
        </w:rPr>
        <w:t>adapt</w:t>
      </w:r>
      <w:r w:rsidR="001679A9">
        <w:rPr>
          <w:lang w:val="en-GB"/>
        </w:rPr>
        <w:t>ing</w:t>
      </w:r>
      <w:r w:rsidR="001857A3">
        <w:rPr>
          <w:lang w:val="en-GB"/>
        </w:rPr>
        <w:t xml:space="preserve"> </w:t>
      </w:r>
      <w:r w:rsidR="001679A9">
        <w:rPr>
          <w:lang w:val="en-GB"/>
        </w:rPr>
        <w:t>to the</w:t>
      </w:r>
      <w:r w:rsidR="001869C9" w:rsidRPr="001869C9">
        <w:rPr>
          <w:lang w:val="en-GB"/>
        </w:rPr>
        <w:t xml:space="preserve"> </w:t>
      </w:r>
      <w:r w:rsidR="001869C9">
        <w:rPr>
          <w:lang w:val="en-GB"/>
        </w:rPr>
        <w:t>electricity</w:t>
      </w:r>
      <w:r w:rsidR="001679A9">
        <w:rPr>
          <w:lang w:val="en-GB"/>
        </w:rPr>
        <w:t xml:space="preserve"> price level</w:t>
      </w:r>
      <w:r w:rsidR="00294073">
        <w:rPr>
          <w:lang w:val="en-GB"/>
        </w:rPr>
        <w:t>,</w:t>
      </w:r>
      <w:r w:rsidR="001679A9">
        <w:rPr>
          <w:lang w:val="en-GB"/>
        </w:rPr>
        <w:t xml:space="preserve"> which reflects the availability of power from renewable sources</w:t>
      </w:r>
      <w:r w:rsidR="004B75A6">
        <w:rPr>
          <w:lang w:val="en-GB"/>
        </w:rPr>
        <w:t xml:space="preserve">. In this work, </w:t>
      </w:r>
      <w:r w:rsidR="001679A9">
        <w:rPr>
          <w:lang w:val="en-GB"/>
        </w:rPr>
        <w:t>the</w:t>
      </w:r>
      <w:r w:rsidR="004B75A6">
        <w:rPr>
          <w:lang w:val="en-GB"/>
        </w:rPr>
        <w:t xml:space="preserve"> dynamic </w:t>
      </w:r>
      <w:r w:rsidR="001679A9">
        <w:rPr>
          <w:lang w:val="en-GB"/>
        </w:rPr>
        <w:t xml:space="preserve">generation-aware </w:t>
      </w:r>
      <w:r w:rsidR="004B75A6">
        <w:rPr>
          <w:lang w:val="en-GB"/>
        </w:rPr>
        <w:t>operation of a zeolite production plant with a tubular COBR reactor</w:t>
      </w:r>
      <w:r w:rsidR="004173CF">
        <w:rPr>
          <w:lang w:val="en-GB"/>
        </w:rPr>
        <w:t xml:space="preserve"> is considered</w:t>
      </w:r>
      <w:r w:rsidR="004B75A6">
        <w:rPr>
          <w:lang w:val="en-GB"/>
        </w:rPr>
        <w:t xml:space="preserve">. </w:t>
      </w:r>
      <w:r w:rsidR="004173CF">
        <w:rPr>
          <w:lang w:val="en-GB"/>
        </w:rPr>
        <w:t xml:space="preserve">The process and </w:t>
      </w:r>
      <w:r w:rsidR="001679A9">
        <w:rPr>
          <w:lang w:val="en-GB"/>
        </w:rPr>
        <w:t>a</w:t>
      </w:r>
      <w:r w:rsidR="004173CF">
        <w:rPr>
          <w:lang w:val="en-GB"/>
        </w:rPr>
        <w:t xml:space="preserve"> </w:t>
      </w:r>
      <w:r w:rsidR="001911B4">
        <w:rPr>
          <w:lang w:val="en-GB"/>
        </w:rPr>
        <w:t>rigorous</w:t>
      </w:r>
      <w:r w:rsidR="004173CF">
        <w:rPr>
          <w:lang w:val="en-GB"/>
        </w:rPr>
        <w:t xml:space="preserve"> model are introduced</w:t>
      </w:r>
      <w:r w:rsidR="00C87D32">
        <w:rPr>
          <w:lang w:val="en-GB"/>
        </w:rPr>
        <w:t xml:space="preserve"> and a moving horizon approach for the</w:t>
      </w:r>
      <w:r w:rsidR="00B61EF5">
        <w:rPr>
          <w:lang w:val="en-GB"/>
        </w:rPr>
        <w:t xml:space="preserve"> dynamic optimization problem </w:t>
      </w:r>
      <w:r w:rsidR="001679A9">
        <w:rPr>
          <w:lang w:val="en-GB"/>
        </w:rPr>
        <w:t xml:space="preserve">is </w:t>
      </w:r>
      <w:r w:rsidR="00B61EF5">
        <w:rPr>
          <w:lang w:val="en-GB"/>
        </w:rPr>
        <w:t>presented</w:t>
      </w:r>
      <w:r w:rsidR="004173CF">
        <w:rPr>
          <w:lang w:val="en-GB"/>
        </w:rPr>
        <w:t>.</w:t>
      </w:r>
      <w:r w:rsidR="00FD6A3F">
        <w:rPr>
          <w:lang w:val="en-GB"/>
        </w:rPr>
        <w:t xml:space="preserve"> </w:t>
      </w:r>
      <w:r w:rsidR="00990B6D">
        <w:rPr>
          <w:lang w:val="en-GB"/>
        </w:rPr>
        <w:t xml:space="preserve">The performance of the proposed dynamic operation methodology is </w:t>
      </w:r>
      <w:r w:rsidR="001679A9">
        <w:rPr>
          <w:lang w:val="en-GB"/>
        </w:rPr>
        <w:t>demonstrated</w:t>
      </w:r>
      <w:r w:rsidR="00990B6D">
        <w:rPr>
          <w:lang w:val="en-GB"/>
        </w:rPr>
        <w:t xml:space="preserve"> with </w:t>
      </w:r>
      <w:r w:rsidR="00C87D32">
        <w:rPr>
          <w:lang w:val="en-GB"/>
        </w:rPr>
        <w:t>historic data of the electric</w:t>
      </w:r>
      <w:r w:rsidR="00990B6D">
        <w:rPr>
          <w:lang w:val="en-GB"/>
        </w:rPr>
        <w:t xml:space="preserve"> energy price </w:t>
      </w:r>
      <w:r w:rsidR="00C87D32">
        <w:rPr>
          <w:lang w:val="en-GB"/>
        </w:rPr>
        <w:t>from</w:t>
      </w:r>
      <w:r w:rsidR="00C769A2">
        <w:rPr>
          <w:lang w:val="en-GB"/>
        </w:rPr>
        <w:t xml:space="preserve"> the day ahead market</w:t>
      </w:r>
      <w:r w:rsidR="00990B6D">
        <w:rPr>
          <w:lang w:val="en-GB"/>
        </w:rPr>
        <w:t>.</w:t>
      </w:r>
      <w:r w:rsidR="00C769A2">
        <w:rPr>
          <w:lang w:val="en-GB"/>
        </w:rPr>
        <w:t xml:space="preserve"> The results sho</w:t>
      </w:r>
      <w:r w:rsidR="00514FC3">
        <w:rPr>
          <w:lang w:val="en-GB"/>
        </w:rPr>
        <w:t>w a</w:t>
      </w:r>
      <w:r w:rsidR="000B5901">
        <w:rPr>
          <w:lang w:val="en-GB"/>
        </w:rPr>
        <w:t xml:space="preserve"> reduction</w:t>
      </w:r>
      <w:r w:rsidR="00514FC3">
        <w:rPr>
          <w:lang w:val="en-GB"/>
        </w:rPr>
        <w:t xml:space="preserve"> of the electric energy</w:t>
      </w:r>
      <w:r w:rsidR="00ED59B7">
        <w:rPr>
          <w:lang w:val="en-GB"/>
        </w:rPr>
        <w:t xml:space="preserve"> cost</w:t>
      </w:r>
      <w:r w:rsidR="00514FC3">
        <w:rPr>
          <w:lang w:val="en-GB"/>
        </w:rPr>
        <w:t xml:space="preserve"> </w:t>
      </w:r>
      <w:r w:rsidR="000B5901">
        <w:rPr>
          <w:lang w:val="en-GB"/>
        </w:rPr>
        <w:t>by 1</w:t>
      </w:r>
      <w:r w:rsidR="00ED59B7">
        <w:rPr>
          <w:lang w:val="en-GB"/>
        </w:rPr>
        <w:t>7</w:t>
      </w:r>
      <w:r w:rsidR="00C769A2">
        <w:rPr>
          <w:lang w:val="en-GB"/>
        </w:rPr>
        <w:t>%</w:t>
      </w:r>
      <w:r w:rsidR="00ED59B7">
        <w:rPr>
          <w:lang w:val="en-GB"/>
        </w:rPr>
        <w:t xml:space="preserve"> and</w:t>
      </w:r>
      <w:r w:rsidR="005845A0">
        <w:rPr>
          <w:lang w:val="en-GB"/>
        </w:rPr>
        <w:t xml:space="preserve"> furthermore a</w:t>
      </w:r>
      <w:r w:rsidR="00ED59B7">
        <w:rPr>
          <w:lang w:val="en-GB"/>
        </w:rPr>
        <w:t xml:space="preserve"> reduction of the</w:t>
      </w:r>
      <w:r w:rsidR="005845A0">
        <w:rPr>
          <w:lang w:val="en-GB"/>
        </w:rPr>
        <w:t xml:space="preserve"> CO</w:t>
      </w:r>
      <w:r w:rsidR="005845A0" w:rsidRPr="005845A0">
        <w:rPr>
          <w:vertAlign w:val="subscript"/>
          <w:lang w:val="en-GB"/>
        </w:rPr>
        <w:t>2</w:t>
      </w:r>
      <w:r w:rsidR="00ED59B7">
        <w:rPr>
          <w:lang w:val="en-GB"/>
        </w:rPr>
        <w:t xml:space="preserve"> emission</w:t>
      </w:r>
      <w:r w:rsidR="005845A0">
        <w:rPr>
          <w:lang w:val="en-GB"/>
        </w:rPr>
        <w:t xml:space="preserve"> </w:t>
      </w:r>
      <w:r w:rsidR="001679A9">
        <w:rPr>
          <w:lang w:val="en-GB"/>
        </w:rPr>
        <w:t xml:space="preserve">associated with </w:t>
      </w:r>
      <w:r w:rsidR="005845A0">
        <w:rPr>
          <w:lang w:val="en-GB"/>
        </w:rPr>
        <w:t xml:space="preserve">the </w:t>
      </w:r>
      <w:r w:rsidR="001679A9">
        <w:rPr>
          <w:lang w:val="en-GB"/>
        </w:rPr>
        <w:t xml:space="preserve">resulting mix of sources of </w:t>
      </w:r>
      <w:r w:rsidR="005845A0">
        <w:rPr>
          <w:lang w:val="en-GB"/>
        </w:rPr>
        <w:t xml:space="preserve">electric </w:t>
      </w:r>
      <w:r w:rsidR="001679A9">
        <w:rPr>
          <w:lang w:val="en-GB"/>
        </w:rPr>
        <w:t>power</w:t>
      </w:r>
      <w:r w:rsidR="00C769A2">
        <w:rPr>
          <w:lang w:val="en-GB"/>
        </w:rPr>
        <w:t>.</w:t>
      </w:r>
      <w:r w:rsidR="005845A0">
        <w:rPr>
          <w:lang w:val="en-GB"/>
        </w:rPr>
        <w:t xml:space="preserve"> </w:t>
      </w:r>
      <w:r w:rsidR="00F47E83">
        <w:rPr>
          <w:lang w:val="en-GB"/>
        </w:rPr>
        <w:t xml:space="preserve">The necessary investments to enable the flexible operation are taken into account and the </w:t>
      </w:r>
      <w:r w:rsidR="00842B4F">
        <w:rPr>
          <w:lang w:val="en-GB"/>
        </w:rPr>
        <w:t>p</w:t>
      </w:r>
      <w:r w:rsidR="00F47E83">
        <w:rPr>
          <w:lang w:val="en-GB"/>
        </w:rPr>
        <w:t>ayback period is estimated. Generation-aware production</w:t>
      </w:r>
      <w:r w:rsidR="000B5901">
        <w:rPr>
          <w:lang w:val="en-GB"/>
        </w:rPr>
        <w:t xml:space="preserve"> </w:t>
      </w:r>
      <w:r w:rsidR="00384541">
        <w:rPr>
          <w:lang w:val="en-GB"/>
        </w:rPr>
        <w:t xml:space="preserve">is </w:t>
      </w:r>
      <w:r w:rsidR="001C3CDD" w:rsidRPr="001C3CDD">
        <w:rPr>
          <w:lang w:val="en-GB"/>
        </w:rPr>
        <w:t xml:space="preserve">profitable </w:t>
      </w:r>
      <w:r w:rsidR="001911B4">
        <w:rPr>
          <w:lang w:val="en-GB"/>
        </w:rPr>
        <w:t>and</w:t>
      </w:r>
      <w:r w:rsidR="000B5901">
        <w:rPr>
          <w:lang w:val="en-GB"/>
        </w:rPr>
        <w:t xml:space="preserve"> </w:t>
      </w:r>
      <w:r w:rsidR="001911B4" w:rsidRPr="001911B4">
        <w:rPr>
          <w:lang w:val="en-GB"/>
        </w:rPr>
        <w:t xml:space="preserve">promises </w:t>
      </w:r>
      <w:r w:rsidR="00F47E83">
        <w:rPr>
          <w:lang w:val="en-GB"/>
        </w:rPr>
        <w:t xml:space="preserve">even </w:t>
      </w:r>
      <w:r w:rsidR="001911B4" w:rsidRPr="001911B4">
        <w:rPr>
          <w:lang w:val="en-GB"/>
        </w:rPr>
        <w:t xml:space="preserve">increasing benefits </w:t>
      </w:r>
      <w:r w:rsidR="00263824">
        <w:rPr>
          <w:lang w:val="en-GB"/>
        </w:rPr>
        <w:t>in the future</w:t>
      </w:r>
      <w:r w:rsidR="000B5901">
        <w:rPr>
          <w:lang w:val="en-GB"/>
        </w:rPr>
        <w:t>.</w:t>
      </w:r>
    </w:p>
    <w:bookmarkEnd w:id="0"/>
    <w:p w14:paraId="64A1E133" w14:textId="42E094F1" w:rsidR="007931FA" w:rsidRDefault="00600535" w:rsidP="00613FAB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137A1017" w14:textId="73DC6975" w:rsidR="00CD5A2D" w:rsidRDefault="00613FAB" w:rsidP="00613FAB">
      <w:pPr>
        <w:pStyle w:val="CETBodytext"/>
        <w:rPr>
          <w:lang w:val="en-GB"/>
        </w:rPr>
      </w:pPr>
      <w:r w:rsidRPr="00613FAB">
        <w:rPr>
          <w:lang w:val="en-GB"/>
        </w:rPr>
        <w:t>In order to meet the commitments of the 2015 Paris Climate Agreement, the European</w:t>
      </w:r>
      <w:r w:rsidR="00F25866">
        <w:rPr>
          <w:lang w:val="en-GB"/>
        </w:rPr>
        <w:t xml:space="preserve"> Union has set a target of </w:t>
      </w:r>
      <w:r w:rsidR="001679A9">
        <w:rPr>
          <w:lang w:val="en-GB"/>
        </w:rPr>
        <w:t xml:space="preserve">the coverage of </w:t>
      </w:r>
      <w:r w:rsidR="00F25866">
        <w:rPr>
          <w:lang w:val="en-GB"/>
        </w:rPr>
        <w:t>32</w:t>
      </w:r>
      <w:r w:rsidRPr="00613FAB">
        <w:rPr>
          <w:lang w:val="en-GB"/>
        </w:rPr>
        <w:t xml:space="preserve">% </w:t>
      </w:r>
      <w:r w:rsidR="00FF0A1E">
        <w:rPr>
          <w:lang w:val="en-GB"/>
        </w:rPr>
        <w:t>of its</w:t>
      </w:r>
      <w:r w:rsidRPr="00613FAB">
        <w:rPr>
          <w:lang w:val="en-GB"/>
        </w:rPr>
        <w:t xml:space="preserve"> total energy</w:t>
      </w:r>
      <w:r w:rsidR="00970267">
        <w:rPr>
          <w:lang w:val="en-GB"/>
        </w:rPr>
        <w:t xml:space="preserve"> </w:t>
      </w:r>
      <w:r w:rsidR="001679A9">
        <w:rPr>
          <w:lang w:val="en-GB"/>
        </w:rPr>
        <w:t>demand from renewable</w:t>
      </w:r>
      <w:r w:rsidR="003321DF">
        <w:rPr>
          <w:lang w:val="en-GB"/>
        </w:rPr>
        <w:t xml:space="preserve"> sources</w:t>
      </w:r>
      <w:r w:rsidRPr="00613FAB">
        <w:rPr>
          <w:lang w:val="en-GB"/>
        </w:rPr>
        <w:t xml:space="preserve"> </w:t>
      </w:r>
      <w:r w:rsidR="003321DF">
        <w:rPr>
          <w:lang w:val="en-GB"/>
        </w:rPr>
        <w:t>in</w:t>
      </w:r>
      <w:r w:rsidRPr="00613FAB">
        <w:rPr>
          <w:lang w:val="en-GB"/>
        </w:rPr>
        <w:t xml:space="preserve"> 2030 in the Directive (EU) 2018/2001</w:t>
      </w:r>
      <w:r w:rsidR="00D22432">
        <w:rPr>
          <w:lang w:val="en-GB"/>
        </w:rPr>
        <w:t xml:space="preserve"> (2018)</w:t>
      </w:r>
      <w:r w:rsidRPr="00613FAB">
        <w:rPr>
          <w:lang w:val="en-GB"/>
        </w:rPr>
        <w:t>.</w:t>
      </w:r>
      <w:r>
        <w:rPr>
          <w:lang w:val="en-GB"/>
        </w:rPr>
        <w:t xml:space="preserve"> </w:t>
      </w:r>
      <w:r w:rsidRPr="00613FAB">
        <w:rPr>
          <w:lang w:val="en-GB"/>
        </w:rPr>
        <w:t xml:space="preserve">The chemical </w:t>
      </w:r>
      <w:r w:rsidR="004173CF" w:rsidRPr="00613FAB">
        <w:rPr>
          <w:lang w:val="en-GB"/>
        </w:rPr>
        <w:t xml:space="preserve">industry </w:t>
      </w:r>
      <w:r w:rsidR="003321DF">
        <w:rPr>
          <w:lang w:val="en-GB"/>
        </w:rPr>
        <w:t>has</w:t>
      </w:r>
      <w:r w:rsidR="00F25866">
        <w:rPr>
          <w:lang w:val="en-GB"/>
        </w:rPr>
        <w:t xml:space="preserve"> a share of 10.08</w:t>
      </w:r>
      <w:r w:rsidRPr="00613FAB">
        <w:rPr>
          <w:lang w:val="en-GB"/>
        </w:rPr>
        <w:t xml:space="preserve">% </w:t>
      </w:r>
      <w:r w:rsidR="003321DF">
        <w:rPr>
          <w:lang w:val="en-GB"/>
        </w:rPr>
        <w:t>in</w:t>
      </w:r>
      <w:r w:rsidRPr="00613FAB">
        <w:rPr>
          <w:lang w:val="en-GB"/>
        </w:rPr>
        <w:t xml:space="preserve"> the total energy consumption</w:t>
      </w:r>
      <w:r w:rsidRPr="00D22432">
        <w:rPr>
          <w:lang w:val="en-GB"/>
        </w:rPr>
        <w:t xml:space="preserve"> </w:t>
      </w:r>
      <w:r w:rsidR="00D22432" w:rsidRPr="00D22432">
        <w:rPr>
          <w:lang w:val="en-GB"/>
        </w:rPr>
        <w:t xml:space="preserve">as reported by </w:t>
      </w:r>
      <w:r w:rsidR="00D22432" w:rsidRPr="00D22432">
        <w:t>IE</w:t>
      </w:r>
      <w:r w:rsidR="00D22432">
        <w:t>A (2017)</w:t>
      </w:r>
      <w:r w:rsidRPr="00613FAB">
        <w:rPr>
          <w:lang w:val="en-GB"/>
        </w:rPr>
        <w:t>,</w:t>
      </w:r>
      <w:r w:rsidR="00D22432">
        <w:rPr>
          <w:lang w:val="en-GB"/>
        </w:rPr>
        <w:t xml:space="preserve"> </w:t>
      </w:r>
      <w:r w:rsidRPr="00613FAB">
        <w:rPr>
          <w:lang w:val="en-GB"/>
        </w:rPr>
        <w:t xml:space="preserve">therefore </w:t>
      </w:r>
      <w:r w:rsidR="003321DF">
        <w:rPr>
          <w:lang w:val="en-GB"/>
        </w:rPr>
        <w:t>here as w</w:t>
      </w:r>
      <w:r w:rsidR="00970267">
        <w:rPr>
          <w:lang w:val="en-GB"/>
        </w:rPr>
        <w:t>e</w:t>
      </w:r>
      <w:r w:rsidR="003321DF">
        <w:rPr>
          <w:lang w:val="en-GB"/>
        </w:rPr>
        <w:t>ll a</w:t>
      </w:r>
      <w:r w:rsidRPr="00613FAB">
        <w:rPr>
          <w:lang w:val="en-GB"/>
        </w:rPr>
        <w:t xml:space="preserve"> change of </w:t>
      </w:r>
      <w:r w:rsidR="003321DF">
        <w:rPr>
          <w:lang w:val="en-GB"/>
        </w:rPr>
        <w:t xml:space="preserve">the </w:t>
      </w:r>
      <w:r w:rsidRPr="00613FAB">
        <w:rPr>
          <w:lang w:val="en-GB"/>
        </w:rPr>
        <w:t>primary energy source from fossil to renewable</w:t>
      </w:r>
      <w:r w:rsidR="003321DF">
        <w:rPr>
          <w:lang w:val="en-GB"/>
        </w:rPr>
        <w:t>s</w:t>
      </w:r>
      <w:r w:rsidRPr="00613FAB">
        <w:rPr>
          <w:lang w:val="en-GB"/>
        </w:rPr>
        <w:t xml:space="preserve"> is necessary.</w:t>
      </w:r>
      <w:r w:rsidR="00D378F4">
        <w:rPr>
          <w:lang w:val="en-GB"/>
        </w:rPr>
        <w:t xml:space="preserve"> </w:t>
      </w:r>
      <w:r w:rsidRPr="00613FAB">
        <w:rPr>
          <w:lang w:val="en-GB"/>
        </w:rPr>
        <w:t>The electrification of the process industry, along with hydroge</w:t>
      </w:r>
      <w:r w:rsidR="00970267">
        <w:rPr>
          <w:lang w:val="en-GB"/>
        </w:rPr>
        <w:t xml:space="preserve">n technology and bio fossils is </w:t>
      </w:r>
      <w:r w:rsidR="003321DF">
        <w:rPr>
          <w:lang w:val="en-GB"/>
        </w:rPr>
        <w:t xml:space="preserve">expected to be </w:t>
      </w:r>
      <w:r w:rsidRPr="00613FAB">
        <w:rPr>
          <w:lang w:val="en-GB"/>
        </w:rPr>
        <w:t>the largest contributor to this change.</w:t>
      </w:r>
      <w:r w:rsidR="00C2572E">
        <w:rPr>
          <w:lang w:val="en-GB"/>
        </w:rPr>
        <w:t xml:space="preserve"> </w:t>
      </w:r>
      <w:r w:rsidRPr="00613FAB">
        <w:rPr>
          <w:lang w:val="en-GB"/>
        </w:rPr>
        <w:t xml:space="preserve">However, the increased share of renewable sources in the </w:t>
      </w:r>
      <w:r w:rsidR="003321DF">
        <w:rPr>
          <w:lang w:val="en-GB"/>
        </w:rPr>
        <w:t xml:space="preserve">mix of power in the </w:t>
      </w:r>
      <w:r w:rsidRPr="00613FAB">
        <w:rPr>
          <w:lang w:val="en-GB"/>
        </w:rPr>
        <w:t xml:space="preserve">electric grid </w:t>
      </w:r>
      <w:r w:rsidR="00F25866">
        <w:rPr>
          <w:lang w:val="en-GB"/>
        </w:rPr>
        <w:t>(Germany:</w:t>
      </w:r>
      <w:r w:rsidR="001D7951">
        <w:rPr>
          <w:lang w:val="en-GB"/>
        </w:rPr>
        <w:t xml:space="preserve"> </w:t>
      </w:r>
      <w:r w:rsidR="00F25866">
        <w:rPr>
          <w:lang w:val="en-GB"/>
        </w:rPr>
        <w:t>65</w:t>
      </w:r>
      <w:r w:rsidRPr="00613FAB">
        <w:rPr>
          <w:lang w:val="en-GB"/>
        </w:rPr>
        <w:t xml:space="preserve">% by 2030) </w:t>
      </w:r>
      <w:r w:rsidR="007E2983">
        <w:rPr>
          <w:lang w:val="en-GB"/>
        </w:rPr>
        <w:t>(</w:t>
      </w:r>
      <w:r w:rsidR="003422EF" w:rsidRPr="003422EF">
        <w:rPr>
          <w:lang w:val="en-GB"/>
        </w:rPr>
        <w:t xml:space="preserve">EEG 2021) </w:t>
      </w:r>
      <w:r w:rsidRPr="00613FAB">
        <w:rPr>
          <w:lang w:val="en-GB"/>
        </w:rPr>
        <w:t xml:space="preserve">is expected to </w:t>
      </w:r>
      <w:r w:rsidR="003321DF">
        <w:rPr>
          <w:lang w:val="en-GB"/>
        </w:rPr>
        <w:t>further amplify the</w:t>
      </w:r>
      <w:r w:rsidRPr="00613FAB">
        <w:rPr>
          <w:lang w:val="en-GB"/>
        </w:rPr>
        <w:t xml:space="preserve"> variations of the electric energy price</w:t>
      </w:r>
      <w:r w:rsidR="00C6015D">
        <w:rPr>
          <w:lang w:val="en-GB"/>
        </w:rPr>
        <w:t xml:space="preserve"> e.g.</w:t>
      </w:r>
      <w:r w:rsidRPr="00613FAB">
        <w:rPr>
          <w:lang w:val="en-GB"/>
        </w:rPr>
        <w:t xml:space="preserve"> due t</w:t>
      </w:r>
      <w:r w:rsidR="00F25866">
        <w:rPr>
          <w:lang w:val="en-GB"/>
        </w:rPr>
        <w:t>o the influences of weather</w:t>
      </w:r>
      <w:r w:rsidR="009C1A67">
        <w:rPr>
          <w:lang w:val="en-GB"/>
        </w:rPr>
        <w:t xml:space="preserve"> </w:t>
      </w:r>
      <w:r w:rsidR="009C1A67" w:rsidRPr="00613FAB">
        <w:rPr>
          <w:lang w:val="en-GB"/>
        </w:rPr>
        <w:t xml:space="preserve">as </w:t>
      </w:r>
      <w:r w:rsidR="009C1A67">
        <w:rPr>
          <w:lang w:val="en-GB"/>
        </w:rPr>
        <w:t>demonstrated</w:t>
      </w:r>
      <w:r w:rsidR="009C1A67" w:rsidRPr="00613FAB">
        <w:rPr>
          <w:lang w:val="en-GB"/>
        </w:rPr>
        <w:t xml:space="preserve"> by</w:t>
      </w:r>
      <w:r w:rsidR="009C1A67" w:rsidRPr="00C21BF9">
        <w:t xml:space="preserve"> </w:t>
      </w:r>
      <w:r w:rsidR="009C1A67">
        <w:t>Staffell and Pfenninger</w:t>
      </w:r>
      <w:r w:rsidR="0098578B">
        <w:t xml:space="preserve"> (</w:t>
      </w:r>
      <w:r w:rsidR="00CD4F37">
        <w:t>2018</w:t>
      </w:r>
      <w:r w:rsidR="0098578B">
        <w:t>)</w:t>
      </w:r>
      <w:r w:rsidR="00970267">
        <w:t>.</w:t>
      </w:r>
    </w:p>
    <w:p w14:paraId="6D9E8BA3" w14:textId="77777777" w:rsidR="00204E29" w:rsidRDefault="00204E29" w:rsidP="00EB74F5">
      <w:pPr>
        <w:pStyle w:val="CETBodytext"/>
        <w:rPr>
          <w:lang w:val="en-GB"/>
        </w:rPr>
      </w:pPr>
    </w:p>
    <w:p w14:paraId="664B9FFC" w14:textId="456DBE06" w:rsidR="00567D18" w:rsidRDefault="00C2572E" w:rsidP="00FF0A1E">
      <w:pPr>
        <w:pStyle w:val="CETBodytext"/>
        <w:rPr>
          <w:lang w:val="en-GB"/>
        </w:rPr>
      </w:pPr>
      <w:r w:rsidRPr="00C2572E">
        <w:rPr>
          <w:lang w:val="en-GB"/>
        </w:rPr>
        <w:t xml:space="preserve">The ability to </w:t>
      </w:r>
      <w:r w:rsidR="001D2054">
        <w:rPr>
          <w:lang w:val="en-GB"/>
        </w:rPr>
        <w:t>adapt</w:t>
      </w:r>
      <w:r w:rsidRPr="00C2572E">
        <w:rPr>
          <w:lang w:val="en-GB"/>
        </w:rPr>
        <w:t xml:space="preserve"> to</w:t>
      </w:r>
      <w:r w:rsidR="00263824">
        <w:rPr>
          <w:lang w:val="en-GB"/>
        </w:rPr>
        <w:t xml:space="preserve"> the resulting</w:t>
      </w:r>
      <w:r w:rsidRPr="00C2572E">
        <w:rPr>
          <w:lang w:val="en-GB"/>
        </w:rPr>
        <w:t xml:space="preserve"> </w:t>
      </w:r>
      <w:r w:rsidR="00C60593">
        <w:rPr>
          <w:lang w:val="en-GB"/>
        </w:rPr>
        <w:t>strongly varying energy prices can lead to</w:t>
      </w:r>
      <w:r w:rsidRPr="00C2572E">
        <w:rPr>
          <w:lang w:val="en-GB"/>
        </w:rPr>
        <w:t xml:space="preserve"> major </w:t>
      </w:r>
      <w:r w:rsidR="007E2B38" w:rsidRPr="00C2572E">
        <w:rPr>
          <w:lang w:val="en-GB"/>
        </w:rPr>
        <w:t>economic</w:t>
      </w:r>
      <w:r w:rsidRPr="00C2572E">
        <w:rPr>
          <w:lang w:val="en-GB"/>
        </w:rPr>
        <w:t xml:space="preserve"> benefit</w:t>
      </w:r>
      <w:r w:rsidR="00C60593">
        <w:rPr>
          <w:lang w:val="en-GB"/>
        </w:rPr>
        <w:t>s</w:t>
      </w:r>
      <w:r w:rsidRPr="00C2572E">
        <w:rPr>
          <w:lang w:val="en-GB"/>
        </w:rPr>
        <w:t>.</w:t>
      </w:r>
      <w:r w:rsidR="001C0987">
        <w:rPr>
          <w:lang w:val="en-GB"/>
        </w:rPr>
        <w:t xml:space="preserve"> </w:t>
      </w:r>
      <w:r w:rsidR="003321DF">
        <w:rPr>
          <w:lang w:val="en-GB"/>
        </w:rPr>
        <w:t xml:space="preserve">Production plants as large consumers of electric power can participate </w:t>
      </w:r>
      <w:r w:rsidR="000A6DEA">
        <w:rPr>
          <w:lang w:val="en-GB"/>
        </w:rPr>
        <w:t>in different markets</w:t>
      </w:r>
      <w:r w:rsidR="00FC3665">
        <w:rPr>
          <w:lang w:val="en-GB"/>
        </w:rPr>
        <w:t xml:space="preserve"> for electric</w:t>
      </w:r>
      <w:r w:rsidR="00C60593">
        <w:rPr>
          <w:lang w:val="en-GB"/>
        </w:rPr>
        <w:t xml:space="preserve"> energy</w:t>
      </w:r>
      <w:r w:rsidR="001D2054">
        <w:rPr>
          <w:lang w:val="en-GB"/>
        </w:rPr>
        <w:t>.</w:t>
      </w:r>
      <w:r w:rsidR="000A6DEA">
        <w:rPr>
          <w:lang w:val="en-GB"/>
        </w:rPr>
        <w:t xml:space="preserve"> The timeframe</w:t>
      </w:r>
      <w:r w:rsidR="008C666D">
        <w:rPr>
          <w:lang w:val="en-GB"/>
        </w:rPr>
        <w:t>s</w:t>
      </w:r>
      <w:r w:rsidR="000A6DEA">
        <w:rPr>
          <w:lang w:val="en-GB"/>
        </w:rPr>
        <w:t xml:space="preserve"> </w:t>
      </w:r>
      <w:r w:rsidR="008C666D">
        <w:rPr>
          <w:lang w:val="en-GB"/>
        </w:rPr>
        <w:t>of</w:t>
      </w:r>
      <w:r w:rsidR="00C60593">
        <w:rPr>
          <w:lang w:val="en-GB"/>
        </w:rPr>
        <w:t xml:space="preserve"> the</w:t>
      </w:r>
      <w:r w:rsidR="008C666D">
        <w:rPr>
          <w:lang w:val="en-GB"/>
        </w:rPr>
        <w:t>se</w:t>
      </w:r>
      <w:r w:rsidR="00C60593">
        <w:rPr>
          <w:lang w:val="en-GB"/>
        </w:rPr>
        <w:t xml:space="preserve"> markets range from</w:t>
      </w:r>
      <w:r w:rsidR="000A6DEA">
        <w:rPr>
          <w:lang w:val="en-GB"/>
        </w:rPr>
        <w:t xml:space="preserve"> the </w:t>
      </w:r>
      <w:r w:rsidR="008C666D">
        <w:rPr>
          <w:lang w:val="en-GB"/>
        </w:rPr>
        <w:t>next</w:t>
      </w:r>
      <w:r w:rsidR="000A6DEA">
        <w:rPr>
          <w:lang w:val="en-GB"/>
        </w:rPr>
        <w:t xml:space="preserve"> day in the day-ahead</w:t>
      </w:r>
      <w:r w:rsidR="00C60593">
        <w:rPr>
          <w:lang w:val="en-GB"/>
        </w:rPr>
        <w:t xml:space="preserve"> spot</w:t>
      </w:r>
      <w:r w:rsidR="000A6DEA">
        <w:rPr>
          <w:lang w:val="en-GB"/>
        </w:rPr>
        <w:t xml:space="preserve"> market, to </w:t>
      </w:r>
      <w:r w:rsidR="008C666D">
        <w:rPr>
          <w:lang w:val="en-GB"/>
        </w:rPr>
        <w:t>down</w:t>
      </w:r>
      <w:r w:rsidR="000A6DEA">
        <w:rPr>
          <w:lang w:val="en-GB"/>
        </w:rPr>
        <w:t xml:space="preserve"> to </w:t>
      </w:r>
      <w:r w:rsidR="00C60593">
        <w:rPr>
          <w:lang w:val="en-GB"/>
        </w:rPr>
        <w:t>30 s</w:t>
      </w:r>
      <w:r w:rsidR="000A6DEA">
        <w:rPr>
          <w:lang w:val="en-GB"/>
        </w:rPr>
        <w:t xml:space="preserve"> </w:t>
      </w:r>
      <w:r w:rsidR="00C60593">
        <w:rPr>
          <w:lang w:val="en-GB"/>
        </w:rPr>
        <w:t>in the</w:t>
      </w:r>
      <w:r w:rsidR="00C60593" w:rsidRPr="00C60593">
        <w:t xml:space="preserve"> </w:t>
      </w:r>
      <w:r w:rsidR="00C60593" w:rsidRPr="00C60593">
        <w:rPr>
          <w:lang w:val="en-GB"/>
        </w:rPr>
        <w:t>frequency</w:t>
      </w:r>
      <w:r w:rsidR="00C60593">
        <w:rPr>
          <w:lang w:val="en-GB"/>
        </w:rPr>
        <w:t xml:space="preserve"> containment reserves.</w:t>
      </w:r>
      <w:r w:rsidR="00313160">
        <w:rPr>
          <w:lang w:val="en-GB"/>
        </w:rPr>
        <w:t xml:space="preserve"> </w:t>
      </w:r>
      <w:r w:rsidR="00C60593">
        <w:rPr>
          <w:lang w:val="en-GB"/>
        </w:rPr>
        <w:t>The participation in ea</w:t>
      </w:r>
      <w:r w:rsidR="00073C79">
        <w:rPr>
          <w:lang w:val="en-GB"/>
        </w:rPr>
        <w:t>ch of these markets is possible</w:t>
      </w:r>
      <w:r w:rsidR="008C666D">
        <w:rPr>
          <w:lang w:val="en-GB"/>
        </w:rPr>
        <w:t xml:space="preserve"> in principle</w:t>
      </w:r>
      <w:r w:rsidR="00073C79">
        <w:rPr>
          <w:lang w:val="en-GB"/>
        </w:rPr>
        <w:t>, howeve</w:t>
      </w:r>
      <w:r w:rsidR="000273D7">
        <w:rPr>
          <w:lang w:val="en-GB"/>
        </w:rPr>
        <w:t>r</w:t>
      </w:r>
      <w:r w:rsidR="008C666D">
        <w:rPr>
          <w:lang w:val="en-GB"/>
        </w:rPr>
        <w:t xml:space="preserve"> adaptation to very fast changes is usually infeasible. I</w:t>
      </w:r>
      <w:r w:rsidR="00073C79">
        <w:rPr>
          <w:lang w:val="en-GB"/>
        </w:rPr>
        <w:t>n this work</w:t>
      </w:r>
      <w:r w:rsidR="00785ECE">
        <w:rPr>
          <w:lang w:val="en-GB"/>
        </w:rPr>
        <w:t>,</w:t>
      </w:r>
      <w:r w:rsidR="00073C79">
        <w:rPr>
          <w:lang w:val="en-GB"/>
        </w:rPr>
        <w:t xml:space="preserve"> </w:t>
      </w:r>
      <w:r w:rsidR="00B12056">
        <w:rPr>
          <w:lang w:val="en-GB"/>
        </w:rPr>
        <w:t>the day-ahead s</w:t>
      </w:r>
      <w:r w:rsidR="00073C79">
        <w:rPr>
          <w:lang w:val="en-GB"/>
        </w:rPr>
        <w:t xml:space="preserve">pot market will be </w:t>
      </w:r>
      <w:r w:rsidR="008C666D">
        <w:rPr>
          <w:lang w:val="en-GB"/>
        </w:rPr>
        <w:t>exploited</w:t>
      </w:r>
      <w:r w:rsidR="00073C79">
        <w:rPr>
          <w:lang w:val="en-GB"/>
        </w:rPr>
        <w:t xml:space="preserve"> since the fluctuations induced by </w:t>
      </w:r>
      <w:r w:rsidR="008C666D">
        <w:rPr>
          <w:lang w:val="en-GB"/>
        </w:rPr>
        <w:t xml:space="preserve">daytime and </w:t>
      </w:r>
      <w:r w:rsidR="00073C79">
        <w:rPr>
          <w:lang w:val="en-GB"/>
        </w:rPr>
        <w:t>weather happen within this timeframe</w:t>
      </w:r>
      <w:r w:rsidR="008C666D">
        <w:rPr>
          <w:lang w:val="en-GB"/>
        </w:rPr>
        <w:t xml:space="preserve"> and an adaptation of the production level within minutes to hours is possible</w:t>
      </w:r>
      <w:r w:rsidR="002F6776">
        <w:rPr>
          <w:lang w:val="en-GB"/>
        </w:rPr>
        <w:t>.</w:t>
      </w:r>
      <w:r w:rsidR="00AA74BE">
        <w:rPr>
          <w:lang w:val="en-GB"/>
        </w:rPr>
        <w:t xml:space="preserve"> </w:t>
      </w:r>
      <w:r w:rsidR="00910449">
        <w:rPr>
          <w:lang w:val="en-GB"/>
        </w:rPr>
        <w:t>Many</w:t>
      </w:r>
      <w:r w:rsidRPr="00C2572E">
        <w:rPr>
          <w:lang w:val="en-GB"/>
        </w:rPr>
        <w:t xml:space="preserve"> authors have presented strategies to deal with changing </w:t>
      </w:r>
      <w:r w:rsidR="002F6776">
        <w:rPr>
          <w:lang w:val="en-GB"/>
        </w:rPr>
        <w:t>electric energy prices</w:t>
      </w:r>
      <w:r w:rsidR="00A27272">
        <w:rPr>
          <w:lang w:val="en-GB"/>
        </w:rPr>
        <w:t xml:space="preserve"> based on the day-ahead (electric) energy price</w:t>
      </w:r>
      <w:r w:rsidR="002F6776">
        <w:rPr>
          <w:lang w:val="en-GB"/>
        </w:rPr>
        <w:t xml:space="preserve"> </w:t>
      </w:r>
      <w:r w:rsidRPr="00C2572E">
        <w:rPr>
          <w:lang w:val="en-GB"/>
        </w:rPr>
        <w:t>referred</w:t>
      </w:r>
      <w:r w:rsidR="004D41EE">
        <w:rPr>
          <w:lang w:val="en-GB"/>
        </w:rPr>
        <w:t xml:space="preserve"> to</w:t>
      </w:r>
      <w:r w:rsidR="00EB74F5">
        <w:rPr>
          <w:lang w:val="en-GB"/>
        </w:rPr>
        <w:t xml:space="preserve"> as demand site management e.g. b</w:t>
      </w:r>
      <w:r w:rsidR="00EB74F5" w:rsidRPr="00C93960">
        <w:rPr>
          <w:lang w:val="en-GB"/>
        </w:rPr>
        <w:t>y Leo et al. (2021) or Bree et al. (2018)</w:t>
      </w:r>
      <w:r w:rsidR="006434C0" w:rsidRPr="00C93960">
        <w:rPr>
          <w:lang w:val="en-GB"/>
        </w:rPr>
        <w:t xml:space="preserve">. </w:t>
      </w:r>
      <w:r w:rsidR="00EB74F5" w:rsidRPr="00EB74F5">
        <w:rPr>
          <w:lang w:val="en-GB"/>
        </w:rPr>
        <w:t>In these</w:t>
      </w:r>
      <w:r w:rsidR="00F47E83">
        <w:rPr>
          <w:lang w:val="en-GB"/>
        </w:rPr>
        <w:t xml:space="preserve"> work</w:t>
      </w:r>
      <w:r w:rsidR="008C666D">
        <w:rPr>
          <w:lang w:val="en-GB"/>
        </w:rPr>
        <w:t>s</w:t>
      </w:r>
      <w:r w:rsidR="00EB74F5" w:rsidRPr="00EB74F5">
        <w:rPr>
          <w:lang w:val="en-GB"/>
        </w:rPr>
        <w:t>,</w:t>
      </w:r>
      <w:r w:rsidR="006434C0">
        <w:rPr>
          <w:lang w:val="en-GB"/>
        </w:rPr>
        <w:t xml:space="preserve"> scheduling models are used and the plant dynamics </w:t>
      </w:r>
      <w:r w:rsidR="008C666D">
        <w:rPr>
          <w:lang w:val="en-GB"/>
        </w:rPr>
        <w:t xml:space="preserve">is </w:t>
      </w:r>
      <w:r w:rsidR="006434C0">
        <w:rPr>
          <w:lang w:val="en-GB"/>
        </w:rPr>
        <w:t>neglected</w:t>
      </w:r>
      <w:r w:rsidR="00EB74F5" w:rsidRPr="00EB74F5">
        <w:rPr>
          <w:lang w:val="en-GB"/>
        </w:rPr>
        <w:t>.</w:t>
      </w:r>
      <w:r w:rsidR="007622C7">
        <w:rPr>
          <w:lang w:val="en-GB"/>
        </w:rPr>
        <w:t xml:space="preserve"> </w:t>
      </w:r>
      <w:r w:rsidR="00EB74F5" w:rsidRPr="00EB74F5">
        <w:rPr>
          <w:lang w:val="en-GB"/>
        </w:rPr>
        <w:t>However,</w:t>
      </w:r>
      <w:r w:rsidR="007622C7">
        <w:rPr>
          <w:lang w:val="en-GB"/>
        </w:rPr>
        <w:t xml:space="preserve"> </w:t>
      </w:r>
      <w:r w:rsidR="00A41295">
        <w:rPr>
          <w:lang w:val="en-GB"/>
        </w:rPr>
        <w:t>for</w:t>
      </w:r>
      <w:r w:rsidR="0098578B">
        <w:rPr>
          <w:lang w:val="en-GB"/>
        </w:rPr>
        <w:t xml:space="preserve"> </w:t>
      </w:r>
      <w:r w:rsidR="00A41295">
        <w:rPr>
          <w:lang w:val="en-GB"/>
        </w:rPr>
        <w:t xml:space="preserve">continuous </w:t>
      </w:r>
      <w:r w:rsidR="0098578B">
        <w:rPr>
          <w:lang w:val="en-GB"/>
        </w:rPr>
        <w:t>processes with slow</w:t>
      </w:r>
      <w:r w:rsidR="00A41295">
        <w:rPr>
          <w:lang w:val="en-GB"/>
        </w:rPr>
        <w:t xml:space="preserve"> </w:t>
      </w:r>
      <w:r w:rsidR="007622C7">
        <w:rPr>
          <w:lang w:val="en-GB"/>
        </w:rPr>
        <w:t>dynamic</w:t>
      </w:r>
      <w:r w:rsidR="0098578B">
        <w:rPr>
          <w:lang w:val="en-GB"/>
        </w:rPr>
        <w:t xml:space="preserve">s, </w:t>
      </w:r>
      <w:r w:rsidR="008C666D">
        <w:rPr>
          <w:lang w:val="en-GB"/>
        </w:rPr>
        <w:t xml:space="preserve">it is necessary to consider the dynamics of the processes and </w:t>
      </w:r>
      <w:r w:rsidR="005449C2">
        <w:rPr>
          <w:lang w:val="en-GB"/>
        </w:rPr>
        <w:t>non-linear</w:t>
      </w:r>
      <w:r w:rsidR="00BA4D9C">
        <w:rPr>
          <w:lang w:val="en-GB"/>
        </w:rPr>
        <w:t xml:space="preserve"> dynamic</w:t>
      </w:r>
      <w:r w:rsidR="007622C7">
        <w:rPr>
          <w:lang w:val="en-GB"/>
        </w:rPr>
        <w:t xml:space="preserve"> </w:t>
      </w:r>
      <w:r w:rsidR="005449C2">
        <w:rPr>
          <w:lang w:val="en-GB"/>
        </w:rPr>
        <w:t xml:space="preserve">models </w:t>
      </w:r>
      <w:r w:rsidR="00C117D8">
        <w:rPr>
          <w:lang w:val="en-GB"/>
        </w:rPr>
        <w:t>are needed</w:t>
      </w:r>
      <w:r w:rsidR="00BA4D9C">
        <w:rPr>
          <w:lang w:val="en-GB"/>
        </w:rPr>
        <w:t xml:space="preserve"> to </w:t>
      </w:r>
      <w:r w:rsidR="008C666D">
        <w:rPr>
          <w:lang w:val="en-GB"/>
        </w:rPr>
        <w:t>compute</w:t>
      </w:r>
      <w:r w:rsidR="00BA4D9C">
        <w:rPr>
          <w:lang w:val="en-GB"/>
        </w:rPr>
        <w:t xml:space="preserve"> an optimal</w:t>
      </w:r>
      <w:r w:rsidR="0002099F">
        <w:rPr>
          <w:lang w:val="en-GB"/>
        </w:rPr>
        <w:t xml:space="preserve"> dynamic</w:t>
      </w:r>
      <w:r w:rsidR="00BA4D9C">
        <w:rPr>
          <w:lang w:val="en-GB"/>
        </w:rPr>
        <w:t xml:space="preserve"> operation of the process</w:t>
      </w:r>
      <w:r w:rsidR="008C666D">
        <w:rPr>
          <w:lang w:val="en-GB"/>
        </w:rPr>
        <w:t>es</w:t>
      </w:r>
      <w:r w:rsidR="00A762D7">
        <w:rPr>
          <w:lang w:val="en-GB"/>
        </w:rPr>
        <w:t xml:space="preserve"> as </w:t>
      </w:r>
      <w:r w:rsidR="005449C2">
        <w:rPr>
          <w:lang w:val="en-GB"/>
        </w:rPr>
        <w:t>demonstrated for</w:t>
      </w:r>
      <w:r w:rsidR="00A762D7">
        <w:rPr>
          <w:lang w:val="en-GB"/>
        </w:rPr>
        <w:t xml:space="preserve"> </w:t>
      </w:r>
      <w:r w:rsidR="008C666D">
        <w:rPr>
          <w:lang w:val="en-GB"/>
        </w:rPr>
        <w:t xml:space="preserve">an </w:t>
      </w:r>
      <w:r w:rsidR="00A762D7">
        <w:rPr>
          <w:lang w:val="en-GB"/>
        </w:rPr>
        <w:t>air separation</w:t>
      </w:r>
      <w:r w:rsidR="00E83778">
        <w:rPr>
          <w:lang w:val="en-GB"/>
        </w:rPr>
        <w:t xml:space="preserve"> </w:t>
      </w:r>
      <w:r w:rsidR="001C6E63">
        <w:rPr>
          <w:lang w:val="en-GB"/>
        </w:rPr>
        <w:t>plant</w:t>
      </w:r>
      <w:r w:rsidR="00FB70B7">
        <w:rPr>
          <w:lang w:val="en-GB"/>
        </w:rPr>
        <w:t xml:space="preserve"> Caspari et al.</w:t>
      </w:r>
      <w:r w:rsidR="00E83778">
        <w:rPr>
          <w:lang w:val="en-GB"/>
        </w:rPr>
        <w:t xml:space="preserve"> (</w:t>
      </w:r>
      <w:r w:rsidR="00FB70B7">
        <w:rPr>
          <w:lang w:val="en-GB"/>
        </w:rPr>
        <w:t>2019</w:t>
      </w:r>
      <w:r w:rsidR="00567D18">
        <w:rPr>
          <w:lang w:val="en-GB"/>
        </w:rPr>
        <w:t>).</w:t>
      </w:r>
    </w:p>
    <w:p w14:paraId="1AC8AC52" w14:textId="77777777" w:rsidR="000F7AF0" w:rsidRDefault="00B81977" w:rsidP="000F7AF0">
      <w:pPr>
        <w:pStyle w:val="CETBodytext"/>
        <w:rPr>
          <w:lang w:val="en-GB"/>
        </w:rPr>
      </w:pPr>
      <w:r>
        <w:rPr>
          <w:lang w:val="en-GB"/>
        </w:rPr>
        <w:t xml:space="preserve"> </w:t>
      </w:r>
    </w:p>
    <w:p w14:paraId="49712D09" w14:textId="6AC25A88" w:rsidR="005449C2" w:rsidRDefault="00170F79" w:rsidP="00655665">
      <w:pPr>
        <w:pStyle w:val="CETBodytext"/>
        <w:rPr>
          <w:lang w:val="en-GB"/>
        </w:rPr>
      </w:pPr>
      <w:r>
        <w:rPr>
          <w:lang w:val="en-GB"/>
        </w:rPr>
        <w:t xml:space="preserve">In this work, </w:t>
      </w:r>
      <w:r w:rsidR="00E75D98">
        <w:rPr>
          <w:lang w:val="en-GB"/>
        </w:rPr>
        <w:t>the production of NaX zeolites in a COBR is used as a case study to show that</w:t>
      </w:r>
      <w:r w:rsidR="00FA53DA">
        <w:rPr>
          <w:lang w:val="en-GB"/>
        </w:rPr>
        <w:t xml:space="preserve"> dynamic demand side management</w:t>
      </w:r>
      <w:r w:rsidR="00E75D98">
        <w:rPr>
          <w:lang w:val="en-GB"/>
        </w:rPr>
        <w:t xml:space="preserve"> methods are not </w:t>
      </w:r>
      <w:r>
        <w:rPr>
          <w:lang w:val="en-GB"/>
        </w:rPr>
        <w:t xml:space="preserve">only useful for </w:t>
      </w:r>
      <w:r w:rsidR="00E75D98">
        <w:rPr>
          <w:lang w:val="en-GB"/>
        </w:rPr>
        <w:t>hig</w:t>
      </w:r>
      <w:r w:rsidR="00EB74F5">
        <w:rPr>
          <w:lang w:val="en-GB"/>
        </w:rPr>
        <w:t xml:space="preserve">hly energy intensive </w:t>
      </w:r>
      <w:r w:rsidR="00D62155">
        <w:rPr>
          <w:lang w:val="en-GB"/>
        </w:rPr>
        <w:t>processes</w:t>
      </w:r>
      <w:r w:rsidR="005449C2">
        <w:rPr>
          <w:lang w:val="en-GB"/>
        </w:rPr>
        <w:t xml:space="preserve">, </w:t>
      </w:r>
      <w:r w:rsidR="00D62155">
        <w:rPr>
          <w:lang w:val="en-GB"/>
        </w:rPr>
        <w:t xml:space="preserve">but can be applied </w:t>
      </w:r>
      <w:r>
        <w:rPr>
          <w:lang w:val="en-GB"/>
        </w:rPr>
        <w:t xml:space="preserve">also </w:t>
      </w:r>
      <w:r w:rsidR="00D62155">
        <w:rPr>
          <w:lang w:val="en-GB"/>
        </w:rPr>
        <w:t xml:space="preserve">to </w:t>
      </w:r>
      <w:r w:rsidR="005449C2">
        <w:rPr>
          <w:lang w:val="en-GB"/>
        </w:rPr>
        <w:t>the</w:t>
      </w:r>
      <w:r w:rsidR="00D62155">
        <w:rPr>
          <w:lang w:val="en-GB"/>
        </w:rPr>
        <w:t xml:space="preserve"> production of </w:t>
      </w:r>
      <w:r w:rsidR="00597C08" w:rsidRPr="00597C08">
        <w:rPr>
          <w:lang w:val="en-GB"/>
        </w:rPr>
        <w:t>chemical products</w:t>
      </w:r>
      <w:r w:rsidR="00BD02C2">
        <w:rPr>
          <w:lang w:val="en-GB"/>
        </w:rPr>
        <w:t>.</w:t>
      </w:r>
    </w:p>
    <w:p w14:paraId="5741900F" w14:textId="6BF44535" w:rsidR="00453E24" w:rsidRDefault="00D62155" w:rsidP="00453E24">
      <w:pPr>
        <w:pStyle w:val="CETHeading1"/>
      </w:pPr>
      <w:r>
        <w:lastRenderedPageBreak/>
        <w:t>Process</w:t>
      </w:r>
    </w:p>
    <w:p w14:paraId="33456453" w14:textId="32D53144" w:rsidR="00702F76" w:rsidRDefault="00E858D7" w:rsidP="00453E24">
      <w:pPr>
        <w:pStyle w:val="CETBodytext"/>
      </w:pPr>
      <w:r>
        <w:t xml:space="preserve">This work considers the flexible electrified production of zeolite NaX in a </w:t>
      </w:r>
      <w:r w:rsidR="00045D79">
        <w:t xml:space="preserve">(COBR) </w:t>
      </w:r>
      <w:r w:rsidR="00433719">
        <w:t>tubular reactor concept</w:t>
      </w:r>
      <w:r>
        <w:t>, with a capacity of 1800 t/</w:t>
      </w:r>
      <w:r w:rsidR="00045D79">
        <w:t>a</w:t>
      </w:r>
      <w:r w:rsidR="00281AAE">
        <w:t xml:space="preserve">. A schematic of the process is </w:t>
      </w:r>
      <w:r w:rsidR="00887BC3">
        <w:t>shown in Figure 1</w:t>
      </w:r>
      <w:r>
        <w:t>.</w:t>
      </w:r>
      <w:r w:rsidR="00617833">
        <w:t xml:space="preserve"> </w:t>
      </w:r>
    </w:p>
    <w:p w14:paraId="52F07C01" w14:textId="77777777" w:rsidR="0038450A" w:rsidRDefault="0038450A" w:rsidP="0038450A">
      <w:pPr>
        <w:pStyle w:val="CETCaption"/>
        <w:jc w:val="left"/>
      </w:pPr>
      <w:r w:rsidRPr="00E64768">
        <w:object w:dxaOrig="21601" w:dyaOrig="12150" w14:anchorId="6AB8E9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229.5pt" o:ole="">
            <v:imagedata r:id="rId10" o:title=""/>
          </v:shape>
          <o:OLEObject Type="Embed" ProgID="Acrobat.Document.2017" ShapeID="_x0000_i1025" DrawAspect="Content" ObjectID="_1719213931" r:id="rId11"/>
        </w:object>
      </w:r>
    </w:p>
    <w:p w14:paraId="6ED21F75" w14:textId="77777777" w:rsidR="0038450A" w:rsidRPr="00BD077D" w:rsidRDefault="0038450A" w:rsidP="0038450A">
      <w:pPr>
        <w:pStyle w:val="CETCaption"/>
        <w:jc w:val="left"/>
      </w:pPr>
      <w:r w:rsidRPr="00BD077D">
        <w:rPr>
          <w:rStyle w:val="CETCaptionCarattere"/>
          <w:i/>
        </w:rPr>
        <w:t>Figure 1:</w:t>
      </w:r>
      <w:r>
        <w:rPr>
          <w:rStyle w:val="CETCaptionCarattere"/>
          <w:i/>
        </w:rPr>
        <w:t xml:space="preserve"> Schematic representation of the zeolite production plant</w:t>
      </w:r>
    </w:p>
    <w:p w14:paraId="4D3E5BD2" w14:textId="452A51E9" w:rsidR="00E62AD6" w:rsidRDefault="00145F51" w:rsidP="00030317">
      <w:pPr>
        <w:pStyle w:val="CETBodytext"/>
      </w:pPr>
      <w:r>
        <w:t>The reactor</w:t>
      </w:r>
      <w:r w:rsidR="004A5F02">
        <w:t xml:space="preserve"> design is adapted from</w:t>
      </w:r>
      <w:r>
        <w:t xml:space="preserve"> Ramirez</w:t>
      </w:r>
      <w:r w:rsidR="00030317">
        <w:t xml:space="preserve"> et. al</w:t>
      </w:r>
      <w:r>
        <w:t xml:space="preserve"> (2020)</w:t>
      </w:r>
      <w:r w:rsidR="00030317">
        <w:t xml:space="preserve"> and </w:t>
      </w:r>
      <w:r w:rsidR="00030317" w:rsidRPr="00030317">
        <w:rPr>
          <w:lang w:val="en-GB"/>
        </w:rPr>
        <w:t>Grimaldi et.</w:t>
      </w:r>
      <w:r w:rsidR="00030317">
        <w:rPr>
          <w:lang w:val="en-GB"/>
        </w:rPr>
        <w:t xml:space="preserve"> </w:t>
      </w:r>
      <w:r w:rsidR="00030317" w:rsidRPr="00030317">
        <w:rPr>
          <w:lang w:val="en-GB"/>
        </w:rPr>
        <w:t>al.</w:t>
      </w:r>
      <w:r w:rsidR="00030317">
        <w:rPr>
          <w:lang w:val="en-GB"/>
        </w:rPr>
        <w:t xml:space="preserve"> (2021)</w:t>
      </w:r>
      <w:r>
        <w:t xml:space="preserve">. </w:t>
      </w:r>
      <w:r w:rsidR="00702F76">
        <w:t xml:space="preserve">The reactants, containing aluminate and silicate, are dissolved in an </w:t>
      </w:r>
      <w:r w:rsidR="00702F76" w:rsidRPr="00AA2B91">
        <w:t>aqueous</w:t>
      </w:r>
      <w:r w:rsidR="00702F76">
        <w:t xml:space="preserve"> sodium hydroxide solution in the two feeding tanks. The streams are mixed, forming an amorphous solid suspension. Seed crystals are added to the feeding stream to ensure a correct crystal structure. The COBR outlet stream is used to preheat the amorphous solid suspension. The reactor is equipped with electrical heaters along the react</w:t>
      </w:r>
      <w:r>
        <w:t>or</w:t>
      </w:r>
      <w:r w:rsidR="00702F76">
        <w:t xml:space="preserve"> length. The energy of th</w:t>
      </w:r>
      <w:r>
        <w:t>e</w:t>
      </w:r>
      <w:r w:rsidR="00702F76">
        <w:t>se heaters can be set in three different</w:t>
      </w:r>
      <w:r w:rsidR="007C52DB">
        <w:t xml:space="preserve"> </w:t>
      </w:r>
      <w:r w:rsidR="00C8476B">
        <w:t>zones</w:t>
      </w:r>
      <w:r w:rsidR="00702F76">
        <w:t>, indicated in the Figure 1 as heater 1, heater 2 and heater 3. The three heaters use an electric energy of 51 kW</w:t>
      </w:r>
      <w:r w:rsidR="004138A1">
        <w:t xml:space="preserve"> to</w:t>
      </w:r>
      <w:r w:rsidR="007D4E2F">
        <w:t xml:space="preserve"> </w:t>
      </w:r>
      <w:r w:rsidR="007C52DB">
        <w:t>heat up</w:t>
      </w:r>
      <w:r w:rsidR="00702F76">
        <w:t xml:space="preserve"> the reaction mixture </w:t>
      </w:r>
      <w:r w:rsidR="007C52DB">
        <w:t>to an elevated temperature</w:t>
      </w:r>
      <w:r w:rsidR="00F75CE0">
        <w:t xml:space="preserve"> of approximately 120 °C</w:t>
      </w:r>
      <w:r w:rsidR="00702F76">
        <w:t>.</w:t>
      </w:r>
      <w:r w:rsidR="00FF36D9">
        <w:t xml:space="preserve"> </w:t>
      </w:r>
      <w:r w:rsidR="00C8476B">
        <w:t xml:space="preserve">Within the </w:t>
      </w:r>
      <w:r w:rsidR="007E2B38">
        <w:t>reactor,</w:t>
      </w:r>
      <w:r w:rsidR="00C8476B">
        <w:t xml:space="preserve"> the amorphous </w:t>
      </w:r>
      <w:r w:rsidR="00855EDA">
        <w:t>solid</w:t>
      </w:r>
      <w:r w:rsidR="00C8476B">
        <w:t xml:space="preserve"> </w:t>
      </w:r>
      <w:r>
        <w:t xml:space="preserve">is dissolved and </w:t>
      </w:r>
      <w:r w:rsidR="00C8476B">
        <w:t>crystallize</w:t>
      </w:r>
      <w:r>
        <w:t>s</w:t>
      </w:r>
      <w:r w:rsidR="00BE43BB">
        <w:t xml:space="preserve"> into the NaX zeolite</w:t>
      </w:r>
      <w:r w:rsidR="00C8476B">
        <w:t xml:space="preserve">. </w:t>
      </w:r>
      <w:r w:rsidR="00D22D00">
        <w:t>The</w:t>
      </w:r>
      <w:r w:rsidR="00BE43BB">
        <w:t xml:space="preserve"> suspension leaving the reactor has a crystallinity of the solid </w:t>
      </w:r>
      <w:r>
        <w:t xml:space="preserve">of </w:t>
      </w:r>
      <w:r w:rsidR="00BE43BB">
        <w:t>above</w:t>
      </w:r>
      <w:r w:rsidR="00D22D00">
        <w:t xml:space="preserve"> 98%.</w:t>
      </w:r>
      <w:r w:rsidR="00691F7C">
        <w:t xml:space="preserve"> </w:t>
      </w:r>
      <w:r w:rsidR="003561D3">
        <w:t xml:space="preserve">The stream is cooled </w:t>
      </w:r>
      <w:r>
        <w:t xml:space="preserve">down </w:t>
      </w:r>
      <w:r w:rsidR="00850934">
        <w:t>within the heat exchanger</w:t>
      </w:r>
      <w:r w:rsidR="003561D3">
        <w:t xml:space="preserve">, and the zeolites filtered in a </w:t>
      </w:r>
      <w:r w:rsidR="00A26655">
        <w:t xml:space="preserve">belt </w:t>
      </w:r>
      <w:r w:rsidR="003561D3">
        <w:t>filter. T</w:t>
      </w:r>
      <w:r w:rsidR="00850934">
        <w:t xml:space="preserve">he </w:t>
      </w:r>
      <w:r w:rsidR="00855EDA">
        <w:t>sodium hydroxid</w:t>
      </w:r>
      <w:r w:rsidR="00850934">
        <w:t xml:space="preserve"> solution</w:t>
      </w:r>
      <w:r w:rsidR="00BE43BB">
        <w:t xml:space="preserve"> </w:t>
      </w:r>
      <w:r w:rsidR="00850934">
        <w:t>is recycled.</w:t>
      </w:r>
      <w:r w:rsidR="003422EF">
        <w:t xml:space="preserve"> </w:t>
      </w:r>
      <w:r w:rsidR="00691F7C">
        <w:t xml:space="preserve">The </w:t>
      </w:r>
      <w:r w:rsidR="003561D3">
        <w:t xml:space="preserve">process </w:t>
      </w:r>
      <w:r w:rsidR="002469B6">
        <w:t xml:space="preserve">is designed for a flowrate of 0.48 kg/s </w:t>
      </w:r>
      <w:r>
        <w:t>of</w:t>
      </w:r>
      <w:r w:rsidR="002469B6">
        <w:t xml:space="preserve"> the </w:t>
      </w:r>
      <w:r w:rsidR="00807C74">
        <w:t>suspension</w:t>
      </w:r>
      <w:r w:rsidR="002469B6">
        <w:t>. However, the operational capacity</w:t>
      </w:r>
      <w:r w:rsidR="003561D3">
        <w:t xml:space="preserve"> is </w:t>
      </w:r>
      <w:r>
        <w:t>assumed</w:t>
      </w:r>
      <w:r w:rsidR="002469B6">
        <w:t xml:space="preserve"> in this work to </w:t>
      </w:r>
      <w:r>
        <w:t>be possible within a range of</w:t>
      </w:r>
      <w:r w:rsidR="002469B6">
        <w:t xml:space="preserve"> </w:t>
      </w:r>
      <w:r w:rsidR="005075A7">
        <w:t>0.32-</w:t>
      </w:r>
      <w:r w:rsidR="00E103D0">
        <w:t>0.6 </w:t>
      </w:r>
      <w:r w:rsidR="002469B6">
        <w:t>kg/s</w:t>
      </w:r>
      <w:r w:rsidR="007A0D3A">
        <w:t xml:space="preserve"> (65</w:t>
      </w:r>
      <w:r w:rsidR="00C120C0">
        <w:t>%</w:t>
      </w:r>
      <w:r w:rsidR="007A0D3A">
        <w:t xml:space="preserve"> to 125% nominal capacity)</w:t>
      </w:r>
      <w:r w:rsidR="003561D3">
        <w:t>.</w:t>
      </w:r>
      <w:r w:rsidR="00855EDA">
        <w:t xml:space="preserve"> </w:t>
      </w:r>
      <w:r w:rsidR="001351E4">
        <w:t>The</w:t>
      </w:r>
      <w:r w:rsidR="00CA1167">
        <w:t xml:space="preserve"> temperature of the reactor and the reaction medium</w:t>
      </w:r>
      <w:r w:rsidR="001351E4">
        <w:t xml:space="preserve"> is limited to 130</w:t>
      </w:r>
      <w:r w:rsidR="00E103D0">
        <w:t> </w:t>
      </w:r>
      <w:r w:rsidR="001351E4">
        <w:t>°C due to</w:t>
      </w:r>
      <w:r w:rsidR="007E2B38">
        <w:t xml:space="preserve"> </w:t>
      </w:r>
      <w:r w:rsidR="007A0D3A">
        <w:t xml:space="preserve">the </w:t>
      </w:r>
      <w:r w:rsidR="007E2B38">
        <w:t>metastab</w:t>
      </w:r>
      <w:r w:rsidR="007A0D3A">
        <w:t>ility of the</w:t>
      </w:r>
      <w:r w:rsidR="007E2B38">
        <w:t xml:space="preserve"> </w:t>
      </w:r>
      <w:r w:rsidR="003F0027">
        <w:t>NaX phase</w:t>
      </w:r>
      <w:r w:rsidR="001351E4">
        <w:t>.</w:t>
      </w:r>
      <w:r w:rsidR="00126B08">
        <w:t xml:space="preserve"> </w:t>
      </w:r>
    </w:p>
    <w:p w14:paraId="494BF2B8" w14:textId="77777777" w:rsidR="00D378F4" w:rsidRDefault="00D378F4" w:rsidP="00D378F4">
      <w:pPr>
        <w:pStyle w:val="CETBodytext"/>
      </w:pPr>
    </w:p>
    <w:p w14:paraId="33E53769" w14:textId="2FF729F7" w:rsidR="00126B08" w:rsidRDefault="0033201E" w:rsidP="00453E24">
      <w:pPr>
        <w:pStyle w:val="CETheadingx"/>
      </w:pPr>
      <w:r>
        <w:t>Model</w:t>
      </w:r>
    </w:p>
    <w:p w14:paraId="048F1D4D" w14:textId="70FD5731" w:rsidR="0030618F" w:rsidRDefault="00126B08" w:rsidP="009D65BF">
      <w:pPr>
        <w:pStyle w:val="CETBodytext"/>
      </w:pPr>
      <w:r>
        <w:t xml:space="preserve">The plant can be described </w:t>
      </w:r>
      <w:r w:rsidR="00343143">
        <w:t>by</w:t>
      </w:r>
      <w:r>
        <w:t xml:space="preserve"> the following first principles model. The behavior of the tanks and the</w:t>
      </w:r>
      <w:r w:rsidR="008F2DCD">
        <w:t xml:space="preserve"> filter, as well as the </w:t>
      </w:r>
      <w:r w:rsidR="00266709">
        <w:t xml:space="preserve">dynamics of the heat exchanger </w:t>
      </w:r>
      <w:r w:rsidR="00343143">
        <w:t>can</w:t>
      </w:r>
      <w:r w:rsidR="00266709">
        <w:t xml:space="preserve"> be neglected.</w:t>
      </w:r>
      <w:r w:rsidR="00FE16BF">
        <w:t xml:space="preserve"> The </w:t>
      </w:r>
      <w:r w:rsidR="0024283B">
        <w:t xml:space="preserve">tubular reactor is described using the </w:t>
      </w:r>
      <w:r w:rsidR="0058314D">
        <w:t>axial dispersion model</w:t>
      </w:r>
      <w:r w:rsidR="00065CCF">
        <w:t xml:space="preserve"> </w:t>
      </w:r>
      <w:r w:rsidR="006A3202">
        <w:t>with a mixed inlet</w:t>
      </w:r>
      <w:r w:rsidR="00065CCF">
        <w:t xml:space="preserve"> boundary condition</w:t>
      </w:r>
      <w:r w:rsidR="006A3202">
        <w:t xml:space="preserve"> and a zero gradient outlet boundary condition.</w:t>
      </w:r>
      <w:r w:rsidR="00E847C3">
        <w:t xml:space="preserve"> </w:t>
      </w:r>
      <w:r w:rsidR="00054587">
        <w:t>The zeolite crystallization can be d</w:t>
      </w:r>
      <w:r w:rsidR="00B36289">
        <w:t>e</w:t>
      </w:r>
      <w:r w:rsidR="00F66FC1">
        <w:t>scribed by the</w:t>
      </w:r>
      <w:r w:rsidR="00712233">
        <w:t xml:space="preserve"> dynamic model</w:t>
      </w:r>
      <w:r w:rsidR="00723BBF">
        <w:t xml:space="preserve"> as </w:t>
      </w:r>
      <w:r w:rsidR="00B8394B">
        <w:t>shown</w:t>
      </w:r>
      <w:r w:rsidR="00723BBF">
        <w:t xml:space="preserve"> in (</w:t>
      </w:r>
      <w:r w:rsidR="00994C9E">
        <w:t>1</w:t>
      </w:r>
      <w:r w:rsidR="00723BBF">
        <w:t>)</w:t>
      </w:r>
      <w:r w:rsidR="00B36289">
        <w:t xml:space="preserve">. The zeolite crystallization </w:t>
      </w:r>
      <w:r w:rsidR="00343143">
        <w:t>consists of</w:t>
      </w:r>
      <w:r w:rsidR="00B36289">
        <w:t xml:space="preserve"> </w:t>
      </w:r>
      <w:r w:rsidR="0023385D">
        <w:t>three main</w:t>
      </w:r>
      <w:r w:rsidR="00661DD0">
        <w:t xml:space="preserve"> steps,</w:t>
      </w:r>
      <w:r w:rsidR="00B146DF">
        <w:t xml:space="preserve"> the</w:t>
      </w:r>
      <w:r w:rsidR="0023385D">
        <w:t xml:space="preserve"> dissolution</w:t>
      </w:r>
      <w:r w:rsidR="00844817">
        <w:t xml:space="preserve"> (</w:t>
      </w:r>
      <m:oMath>
        <m:r>
          <w:rPr>
            <w:rFonts w:ascii="Cambria Math" w:hAnsi="Cambria Math"/>
          </w:rPr>
          <m:t>D</m:t>
        </m:r>
      </m:oMath>
      <w:r w:rsidR="00844817">
        <w:t>)</w:t>
      </w:r>
      <w:r w:rsidR="00B146DF">
        <w:t xml:space="preserve"> of the amorphous solid</w:t>
      </w:r>
      <w:r w:rsidR="001A0A7D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gel</m:t>
            </m:r>
          </m:sub>
        </m:sSub>
        <m:r>
          <w:rPr>
            <w:rFonts w:ascii="Cambria Math" w:hAnsi="Cambria Math"/>
          </w:rPr>
          <m:t>)</m:t>
        </m:r>
      </m:oMath>
      <w:r w:rsidR="00B72CB4">
        <w:t xml:space="preserve"> in the liquid phase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)</m:t>
        </m:r>
      </m:oMath>
      <w:r w:rsidR="0023385D">
        <w:t>,</w:t>
      </w:r>
      <w:r w:rsidR="00B146DF">
        <w:t xml:space="preserve"> the heterogeneous nucleation</w:t>
      </w:r>
      <w:r w:rsidR="007F30B1">
        <w:t xml:space="preserve"> (</w:t>
      </w:r>
      <m:oMath>
        <m:r>
          <w:rPr>
            <w:rFonts w:ascii="Cambria Math" w:hAnsi="Cambria Math"/>
          </w:rPr>
          <m:t>B</m:t>
        </m:r>
      </m:oMath>
      <w:r w:rsidR="007F30B1">
        <w:t>)</w:t>
      </w:r>
      <w:r w:rsidR="00B146DF">
        <w:t xml:space="preserve"> on the surface</w:t>
      </w:r>
      <w:r w:rsidR="00874535">
        <w:t xml:space="preserve"> of the amorphous gel</w:t>
      </w:r>
      <w:r w:rsidR="00B146DF">
        <w:t xml:space="preserve"> </w:t>
      </w:r>
      <w:r w:rsidR="007F30B1">
        <w:t>(</w:t>
      </w:r>
      <m:oMath>
        <m:r>
          <w:rPr>
            <w:rFonts w:ascii="Cambria Math" w:hAnsi="Cambria Math"/>
          </w:rPr>
          <m:t>S</m:t>
        </m:r>
      </m:oMath>
      <w:r w:rsidR="007F30B1">
        <w:t xml:space="preserve">) </w:t>
      </w:r>
      <w:r w:rsidR="00B146DF">
        <w:t xml:space="preserve">as reported by </w:t>
      </w:r>
      <w:r w:rsidR="002C6092">
        <w:t>Nikolakis et.al (</w:t>
      </w:r>
      <w:r w:rsidR="00306E48">
        <w:t>1998</w:t>
      </w:r>
      <w:r w:rsidR="002C6092">
        <w:t xml:space="preserve">) </w:t>
      </w:r>
      <w:r w:rsidR="0023385D">
        <w:t>and</w:t>
      </w:r>
      <w:r w:rsidR="00B146DF">
        <w:t xml:space="preserve"> the size independent linear</w:t>
      </w:r>
      <w:r w:rsidR="0023385D">
        <w:t xml:space="preserve"> growth</w:t>
      </w:r>
      <w:r w:rsidR="007F30B1">
        <w:t xml:space="preserve"> (</w:t>
      </w:r>
      <m:oMath>
        <m:r>
          <w:rPr>
            <w:rFonts w:ascii="Cambria Math" w:hAnsi="Cambria Math"/>
          </w:rPr>
          <m:t>G</m:t>
        </m:r>
      </m:oMath>
      <w:r w:rsidR="007F30B1">
        <w:t xml:space="preserve">) of the zeolite </w:t>
      </w:r>
      <w:r w:rsidR="00B146DF">
        <w:t>particles</w:t>
      </w:r>
      <w:r w:rsidR="0023385D">
        <w:t>.</w:t>
      </w:r>
      <w:r w:rsidR="00FA2967">
        <w:t xml:space="preserve"> </w:t>
      </w:r>
      <w:r w:rsidR="00B146DF">
        <w:t>The</w:t>
      </w:r>
      <w:r w:rsidR="0094525B">
        <w:t xml:space="preserve"> resulting population balance is solved using the method of moments</w:t>
      </w:r>
      <w:r w:rsidR="002C6092">
        <w:t xml:space="preserve"> resulting in the equations</w:t>
      </w:r>
      <w:r w:rsidR="0094525B">
        <w:t xml:space="preserve"> (</w:t>
      </w:r>
      <w:r w:rsidR="00994C9E">
        <w:t>1</w:t>
      </w:r>
      <w:r w:rsidR="006C3CEE">
        <w:t>e</w:t>
      </w:r>
      <w:r w:rsidR="0094525B">
        <w:t>)</w:t>
      </w:r>
      <w:r w:rsidR="002C6092">
        <w:t xml:space="preserve"> </w:t>
      </w:r>
      <w:r w:rsidR="009D65BF">
        <w:t>describing</w:t>
      </w:r>
      <w:r w:rsidR="002C6092">
        <w:t xml:space="preserve"> the</w:t>
      </w:r>
      <w:r w:rsidR="006464F1">
        <w:t xml:space="preserve"> volumetric</w:t>
      </w:r>
      <w:r w:rsidR="002C6092">
        <w:t xml:space="preserve"> reaction rates</w:t>
      </w:r>
      <w:r w:rsidR="007D2616">
        <w:t xml:space="preserve"> of the zeolite particle size distribution moments </w:t>
      </w:r>
      <w:r w:rsidR="00AE49F9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)</m:t>
        </m:r>
      </m:oMath>
      <w:r w:rsidR="00AE49F9">
        <w:t xml:space="preserve"> </w:t>
      </w:r>
      <w:r w:rsidR="0094525B"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1"/>
        <w:gridCol w:w="806"/>
      </w:tblGrid>
      <w:tr w:rsidR="00430E9F" w:rsidRPr="00B57B36" w14:paraId="0743DBBA" w14:textId="77777777" w:rsidTr="00764AF8">
        <w:tc>
          <w:tcPr>
            <w:tcW w:w="7981" w:type="dxa"/>
            <w:shd w:val="clear" w:color="auto" w:fill="auto"/>
            <w:vAlign w:val="center"/>
          </w:tcPr>
          <w:p w14:paraId="33A5C2CA" w14:textId="78374189" w:rsidR="00430E9F" w:rsidRDefault="007F30B1" w:rsidP="001A0A7D">
            <w:pPr>
              <w:pStyle w:val="CETEquation"/>
            </w:pPr>
            <m:oMathPara>
              <m:oMath>
                <m:r>
                  <w:rPr>
                    <w:rFonts w:ascii="Cambria Math" w:hAnsi="Cambria Math"/>
                  </w:rPr>
                  <m:t xml:space="preserve">D=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-k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(c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gel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gel</m:t>
                    </m:r>
                  </m:sub>
                </m:sSub>
              </m:oMath>
            </m:oMathPara>
          </w:p>
        </w:tc>
        <w:tc>
          <w:tcPr>
            <w:tcW w:w="806" w:type="dxa"/>
            <w:shd w:val="clear" w:color="auto" w:fill="auto"/>
            <w:vAlign w:val="center"/>
          </w:tcPr>
          <w:p w14:paraId="792E7B79" w14:textId="52E0D4DD" w:rsidR="00430E9F" w:rsidRPr="00B57B36" w:rsidRDefault="00430E9F" w:rsidP="006B35DF">
            <w:pPr>
              <w:pStyle w:val="CETEquation"/>
              <w:jc w:val="right"/>
            </w:pPr>
            <w:r>
              <w:t>(</w:t>
            </w:r>
            <w:r w:rsidR="00994C9E">
              <w:t>1</w:t>
            </w:r>
            <w:r>
              <w:t>a)</w:t>
            </w:r>
          </w:p>
        </w:tc>
      </w:tr>
      <w:tr w:rsidR="0094525B" w:rsidRPr="00B57B36" w14:paraId="3782E358" w14:textId="77777777" w:rsidTr="00764AF8">
        <w:tc>
          <w:tcPr>
            <w:tcW w:w="7981" w:type="dxa"/>
            <w:shd w:val="clear" w:color="auto" w:fill="auto"/>
            <w:vAlign w:val="center"/>
          </w:tcPr>
          <w:p w14:paraId="7423C487" w14:textId="702BB644" w:rsidR="0094525B" w:rsidRDefault="00193F0C" w:rsidP="0094525B">
            <w:pPr>
              <w:pStyle w:val="CETEquation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-k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(c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gel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)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gel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-S</m:t>
                    </m:r>
                  </m:e>
                </m:d>
              </m:oMath>
            </m:oMathPara>
          </w:p>
        </w:tc>
        <w:tc>
          <w:tcPr>
            <w:tcW w:w="806" w:type="dxa"/>
            <w:shd w:val="clear" w:color="auto" w:fill="auto"/>
            <w:vAlign w:val="center"/>
          </w:tcPr>
          <w:p w14:paraId="1B37674E" w14:textId="4147A325" w:rsidR="0094525B" w:rsidRPr="00B57B36" w:rsidRDefault="0094525B" w:rsidP="006B35DF">
            <w:pPr>
              <w:pStyle w:val="CETEquation"/>
              <w:jc w:val="right"/>
            </w:pPr>
            <w:r>
              <w:t>(</w:t>
            </w:r>
            <w:r w:rsidR="00994C9E">
              <w:t>1</w:t>
            </w:r>
            <w:r w:rsidR="006B35DF">
              <w:t>b</w:t>
            </w:r>
            <w:r>
              <w:t>)</w:t>
            </w:r>
          </w:p>
        </w:tc>
      </w:tr>
      <w:tr w:rsidR="0094525B" w:rsidRPr="00B57B36" w14:paraId="0F4BCF69" w14:textId="77777777" w:rsidTr="0094525B">
        <w:tc>
          <w:tcPr>
            <w:tcW w:w="7981" w:type="dxa"/>
            <w:shd w:val="clear" w:color="auto" w:fill="auto"/>
            <w:vAlign w:val="center"/>
          </w:tcPr>
          <w:p w14:paraId="4D2DCF96" w14:textId="5F0594E2" w:rsidR="0094525B" w:rsidRPr="0094525B" w:rsidRDefault="0094525B" w:rsidP="00764AF8">
            <w:pPr>
              <w:pStyle w:val="CETEquation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 xml:space="preserve">B 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S (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zeo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806" w:type="dxa"/>
            <w:shd w:val="clear" w:color="auto" w:fill="auto"/>
            <w:vAlign w:val="center"/>
          </w:tcPr>
          <w:p w14:paraId="71817AAA" w14:textId="5F720A0D" w:rsidR="0094525B" w:rsidRPr="00B57B36" w:rsidRDefault="0094525B" w:rsidP="006B35DF">
            <w:pPr>
              <w:pStyle w:val="CETEquation"/>
              <w:jc w:val="right"/>
            </w:pPr>
            <w:r>
              <w:t>(</w:t>
            </w:r>
            <w:r w:rsidR="00994C9E">
              <w:t>1</w:t>
            </w:r>
            <w:r w:rsidR="006B35DF">
              <w:t>c</w:t>
            </w:r>
            <w:r>
              <w:t>)</w:t>
            </w:r>
          </w:p>
        </w:tc>
      </w:tr>
      <w:tr w:rsidR="0094525B" w14:paraId="03BF3AA0" w14:textId="77777777" w:rsidTr="0094525B">
        <w:tc>
          <w:tcPr>
            <w:tcW w:w="7981" w:type="dxa"/>
            <w:shd w:val="clear" w:color="auto" w:fill="auto"/>
            <w:vAlign w:val="center"/>
          </w:tcPr>
          <w:p w14:paraId="6A60A82A" w14:textId="58ECC077" w:rsidR="0094525B" w:rsidRPr="0094525B" w:rsidRDefault="0094525B" w:rsidP="00764AF8">
            <w:pPr>
              <w:pStyle w:val="CETEquation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G 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(c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zeo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806" w:type="dxa"/>
            <w:shd w:val="clear" w:color="auto" w:fill="auto"/>
            <w:vAlign w:val="center"/>
          </w:tcPr>
          <w:p w14:paraId="192035DE" w14:textId="397B0A2D" w:rsidR="0094525B" w:rsidRDefault="00994C9E" w:rsidP="00764AF8">
            <w:pPr>
              <w:pStyle w:val="CETEquation"/>
              <w:jc w:val="right"/>
            </w:pPr>
            <w:r>
              <w:t>(1</w:t>
            </w:r>
            <w:r w:rsidR="006B35DF">
              <w:t>d</w:t>
            </w:r>
            <w:r w:rsidR="0094525B">
              <w:t>)</w:t>
            </w:r>
          </w:p>
        </w:tc>
      </w:tr>
      <w:tr w:rsidR="0094525B" w:rsidRPr="00B57B36" w14:paraId="24E09D48" w14:textId="77777777" w:rsidTr="0094525B">
        <w:tc>
          <w:tcPr>
            <w:tcW w:w="7981" w:type="dxa"/>
            <w:shd w:val="clear" w:color="auto" w:fill="auto"/>
            <w:vAlign w:val="center"/>
          </w:tcPr>
          <w:p w14:paraId="5A38CFB6" w14:textId="759BC21A" w:rsidR="0094525B" w:rsidRPr="0094525B" w:rsidRDefault="00193F0C" w:rsidP="005F7EB5">
            <w:pPr>
              <w:pStyle w:val="CETEquation"/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</w:rPr>
                  <m:t>=kG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k-1</m:t>
                    </m:r>
                  </m:sub>
                </m:sSub>
                <m:r>
                  <w:rPr>
                    <w:rFonts w:ascii="Cambria Math" w:hAnsi="Cambria Math"/>
                  </w:rPr>
                  <m:t>+B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k,0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∀k∈[0,3]</m:t>
                </m:r>
              </m:oMath>
            </m:oMathPara>
          </w:p>
        </w:tc>
        <w:tc>
          <w:tcPr>
            <w:tcW w:w="806" w:type="dxa"/>
            <w:shd w:val="clear" w:color="auto" w:fill="auto"/>
            <w:vAlign w:val="center"/>
          </w:tcPr>
          <w:p w14:paraId="50854CD0" w14:textId="22C89EAD" w:rsidR="0094525B" w:rsidRPr="00B57B36" w:rsidRDefault="0094525B" w:rsidP="00764AF8">
            <w:pPr>
              <w:pStyle w:val="CETEquation"/>
              <w:jc w:val="right"/>
            </w:pPr>
            <w:r>
              <w:t>(</w:t>
            </w:r>
            <w:r w:rsidR="00994C9E">
              <w:t>1</w:t>
            </w:r>
            <w:r>
              <w:t>e)</w:t>
            </w:r>
          </w:p>
        </w:tc>
      </w:tr>
    </w:tbl>
    <w:p w14:paraId="3AC40DD0" w14:textId="77777777" w:rsidR="00CB5DA7" w:rsidRDefault="00CB5DA7" w:rsidP="004A0CCB">
      <w:pPr>
        <w:pStyle w:val="CETBodytext"/>
      </w:pPr>
    </w:p>
    <w:p w14:paraId="5E846170" w14:textId="15F06D57" w:rsidR="004A0CCB" w:rsidRDefault="004A0CCB" w:rsidP="00DD6071">
      <w:pPr>
        <w:pStyle w:val="CETBodytext"/>
      </w:pPr>
      <w:r>
        <w:t>The temperature of the reactor</w:t>
      </w:r>
      <w:r w:rsidR="00994C9E">
        <w:t xml:space="preserve"> wall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 w:rsidR="00994C9E">
        <w:t xml:space="preserve">) </w:t>
      </w:r>
      <w:r>
        <w:t xml:space="preserve">and </w:t>
      </w:r>
      <w:r w:rsidR="00343143">
        <w:t xml:space="preserve">of </w:t>
      </w:r>
      <w:r>
        <w:t>the liquid reaction</w:t>
      </w:r>
      <w:r w:rsidR="00E308D6">
        <w:t xml:space="preserve"> (</w:t>
      </w:r>
      <m:oMath>
        <m:r>
          <w:rPr>
            <w:rFonts w:ascii="Cambria Math" w:hAnsi="Cambria Math"/>
          </w:rPr>
          <m:t>T</m:t>
        </m:r>
      </m:oMath>
      <w:r w:rsidR="00E308D6">
        <w:t>)</w:t>
      </w:r>
      <w:r>
        <w:t xml:space="preserve"> me</w:t>
      </w:r>
      <w:r w:rsidR="006464F1">
        <w:t xml:space="preserve">dium </w:t>
      </w:r>
      <w:r w:rsidR="00343143">
        <w:t>are</w:t>
      </w:r>
      <w:r w:rsidR="00994C9E">
        <w:t xml:space="preserve"> described by equation (2</w:t>
      </w:r>
      <w:r w:rsidR="00A56622">
        <w:t xml:space="preserve">). Including the heat provided by the heaters, the heat loss to the environment and the heat transfer </w:t>
      </w:r>
      <w:r w:rsidR="00764AF8">
        <w:t>from</w:t>
      </w:r>
      <w:r w:rsidR="00A56622">
        <w:t xml:space="preserve"> the reactor wall to the suspension.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1"/>
        <w:gridCol w:w="806"/>
      </w:tblGrid>
      <w:tr w:rsidR="004A0CCB" w:rsidRPr="00B57B36" w14:paraId="1859EF93" w14:textId="77777777" w:rsidTr="00764AF8">
        <w:tc>
          <w:tcPr>
            <w:tcW w:w="7981" w:type="dxa"/>
            <w:shd w:val="clear" w:color="auto" w:fill="auto"/>
            <w:vAlign w:val="center"/>
          </w:tcPr>
          <w:p w14:paraId="179ADC4F" w14:textId="77777777" w:rsidR="004A0CCB" w:rsidRPr="00B57B36" w:rsidRDefault="00193F0C" w:rsidP="00764AF8">
            <w:pPr>
              <w:pStyle w:val="CETEquation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p,w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∂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</m:acc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806" w:type="dxa"/>
            <w:shd w:val="clear" w:color="auto" w:fill="auto"/>
            <w:vAlign w:val="center"/>
          </w:tcPr>
          <w:p w14:paraId="2B027547" w14:textId="7D6588A1" w:rsidR="004A0CCB" w:rsidRPr="00B57B36" w:rsidRDefault="004A0CCB" w:rsidP="00764AF8">
            <w:pPr>
              <w:pStyle w:val="CETEquation"/>
              <w:jc w:val="right"/>
            </w:pPr>
            <w:r w:rsidRPr="00B57B36">
              <w:t>(</w:t>
            </w:r>
            <w:r w:rsidR="00994C9E">
              <w:t>2</w:t>
            </w:r>
            <w:r>
              <w:t>a</w:t>
            </w:r>
            <w:r w:rsidRPr="00B57B36">
              <w:t>)</w:t>
            </w:r>
          </w:p>
        </w:tc>
      </w:tr>
      <w:tr w:rsidR="004A0CCB" w:rsidRPr="00B57B36" w14:paraId="7F78CC01" w14:textId="77777777" w:rsidTr="00764AF8">
        <w:tc>
          <w:tcPr>
            <w:tcW w:w="7981" w:type="dxa"/>
            <w:shd w:val="clear" w:color="auto" w:fill="auto"/>
            <w:vAlign w:val="center"/>
          </w:tcPr>
          <w:p w14:paraId="4D489884" w14:textId="77777777" w:rsidR="004A0CCB" w:rsidRDefault="00193F0C" w:rsidP="00764AF8">
            <w:pPr>
              <w:pStyle w:val="CETEquation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∂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T+ρ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u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∂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</w:rPr>
                  <m:t>T-ρ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∂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</w:rPr>
                  <m:t>[λ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∂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</w:rPr>
                  <m:t>T]=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</m:oMath>
            </m:oMathPara>
          </w:p>
        </w:tc>
        <w:tc>
          <w:tcPr>
            <w:tcW w:w="806" w:type="dxa"/>
            <w:shd w:val="clear" w:color="auto" w:fill="auto"/>
            <w:vAlign w:val="center"/>
          </w:tcPr>
          <w:p w14:paraId="750FF00B" w14:textId="1244AB90" w:rsidR="004A0CCB" w:rsidRPr="00B57B36" w:rsidRDefault="00994C9E" w:rsidP="00764AF8">
            <w:pPr>
              <w:pStyle w:val="CETEquation"/>
              <w:jc w:val="right"/>
            </w:pPr>
            <w:r>
              <w:t>(2</w:t>
            </w:r>
            <w:r w:rsidR="004A0CCB">
              <w:t>b</w:t>
            </w:r>
            <w:r w:rsidR="004A0CCB" w:rsidRPr="00B57B36">
              <w:t>)</w:t>
            </w:r>
          </w:p>
        </w:tc>
      </w:tr>
    </w:tbl>
    <w:p w14:paraId="635CB6B0" w14:textId="77777777" w:rsidR="00C17CFB" w:rsidRDefault="00C17CFB" w:rsidP="00453E24">
      <w:pPr>
        <w:pStyle w:val="CETBodytext"/>
      </w:pPr>
    </w:p>
    <w:p w14:paraId="41899E25" w14:textId="032DA349" w:rsidR="008E10B2" w:rsidRDefault="00C17CFB" w:rsidP="005C41A7">
      <w:pPr>
        <w:pStyle w:val="CETBodytext"/>
      </w:pPr>
      <w:r>
        <w:t xml:space="preserve">For the solution of the partial differential equation the method of lines is used, which transforms the partial differential equation system into a set of ordinary differential equations. </w:t>
      </w:r>
      <w:r w:rsidR="00C9637F">
        <w:t>For the</w:t>
      </w:r>
      <w:r w:rsidR="00B9616B">
        <w:t xml:space="preserve"> approximation of the spatial derivatives, central </w:t>
      </w:r>
      <w:r w:rsidR="00DE121E">
        <w:t>differences</w:t>
      </w:r>
      <w:r w:rsidR="00B9616B">
        <w:t xml:space="preserve"> </w:t>
      </w:r>
      <w:r w:rsidR="00F55568">
        <w:t>are used</w:t>
      </w:r>
      <w:r w:rsidR="00B9616B">
        <w:t xml:space="preserve"> </w:t>
      </w:r>
      <w:r w:rsidR="00F55568">
        <w:t>and</w:t>
      </w:r>
      <w:r w:rsidR="00B9616B">
        <w:t xml:space="preserve"> 40 discretization points </w:t>
      </w:r>
      <w:r w:rsidR="00F55568">
        <w:t>were chosen</w:t>
      </w:r>
      <w:r w:rsidR="00B9616B">
        <w:t>.</w:t>
      </w:r>
    </w:p>
    <w:p w14:paraId="5E290685" w14:textId="3780337A" w:rsidR="00B76B6F" w:rsidRDefault="00BF41F6" w:rsidP="00B76B6F">
      <w:pPr>
        <w:pStyle w:val="CETHeading1"/>
        <w:tabs>
          <w:tab w:val="clear" w:pos="360"/>
          <w:tab w:val="right" w:pos="7100"/>
        </w:tabs>
        <w:jc w:val="both"/>
        <w:rPr>
          <w:lang w:val="en-GB"/>
        </w:rPr>
      </w:pPr>
      <w:r>
        <w:rPr>
          <w:lang w:val="en-GB"/>
        </w:rPr>
        <w:t>Method</w:t>
      </w:r>
    </w:p>
    <w:p w14:paraId="749C84DC" w14:textId="69B966C1" w:rsidR="00C9364E" w:rsidRDefault="005F7EB5" w:rsidP="00C9364E">
      <w:pPr>
        <w:pStyle w:val="CETBodytext"/>
      </w:pPr>
      <w:r>
        <w:t xml:space="preserve">The </w:t>
      </w:r>
      <w:r w:rsidR="00A167D6">
        <w:t>optimal dynamic operation of the zeolite plant</w:t>
      </w:r>
      <w:r w:rsidR="000619C1">
        <w:t xml:space="preserve"> poses the optimization problem below</w:t>
      </w:r>
      <w:r w:rsidR="00A167D6">
        <w:t>.</w:t>
      </w:r>
      <w:r w:rsidR="000619C1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1"/>
        <w:gridCol w:w="806"/>
      </w:tblGrid>
      <w:tr w:rsidR="00160113" w:rsidRPr="00B57B36" w14:paraId="25B2EE88" w14:textId="77777777" w:rsidTr="00764AF8">
        <w:tc>
          <w:tcPr>
            <w:tcW w:w="7981" w:type="dxa"/>
            <w:shd w:val="clear" w:color="auto" w:fill="auto"/>
            <w:vAlign w:val="center"/>
          </w:tcPr>
          <w:p w14:paraId="00EC61D2" w14:textId="0BC8F901" w:rsidR="00160113" w:rsidRPr="00B57B36" w:rsidRDefault="00193F0C" w:rsidP="00560F35">
            <w:pPr>
              <w:pStyle w:val="CET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min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lim>
                        <m:r>
                          <w:rPr>
                            <w:rFonts w:ascii="Cambria Math" w:hAnsi="Cambria Math"/>
                          </w:rPr>
                          <m:t>x,u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tf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γ(t) </m:t>
                        </m:r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  <m:sup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̇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</m:acc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</m:d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̇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</m:acc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j</m:t>
                                            </m:r>
                                          </m:sub>
                                        </m:sSub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ref</m:t>
                                        </m:r>
                                      </m:sub>
                                    </m:sSub>
                                  </m:sub>
                                </m:sSub>
                              </m:den>
                            </m:f>
                          </m:e>
                        </m:nary>
                        <m:r>
                          <w:rPr>
                            <w:rFonts w:ascii="Cambria Math" w:hAnsi="Cambria Math"/>
                          </w:rPr>
                          <m:t xml:space="preserve"> 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fix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dt</m:t>
                        </m:r>
                      </m:e>
                    </m:nary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W</m:t>
                    </m:r>
                  </m:sup>
                </m:sSubSup>
              </m:oMath>
            </m:oMathPara>
          </w:p>
        </w:tc>
        <w:tc>
          <w:tcPr>
            <w:tcW w:w="806" w:type="dxa"/>
            <w:shd w:val="clear" w:color="auto" w:fill="auto"/>
            <w:vAlign w:val="center"/>
          </w:tcPr>
          <w:p w14:paraId="07716EC3" w14:textId="6452354A" w:rsidR="00160113" w:rsidRPr="00B57B36" w:rsidRDefault="00160113" w:rsidP="0033201E">
            <w:pPr>
              <w:pStyle w:val="CETEquation"/>
              <w:jc w:val="right"/>
            </w:pPr>
            <w:r w:rsidRPr="00B57B36">
              <w:t>(</w:t>
            </w:r>
            <w:r w:rsidR="005B09D0">
              <w:t>3</w:t>
            </w:r>
            <w:r>
              <w:t>a</w:t>
            </w:r>
            <w:r w:rsidRPr="00B57B36">
              <w:t>)</w:t>
            </w:r>
          </w:p>
        </w:tc>
      </w:tr>
      <w:tr w:rsidR="00160113" w:rsidRPr="00B57B36" w14:paraId="610D7E69" w14:textId="77777777" w:rsidTr="00764AF8">
        <w:tc>
          <w:tcPr>
            <w:tcW w:w="7981" w:type="dxa"/>
            <w:shd w:val="clear" w:color="auto" w:fill="auto"/>
            <w:vAlign w:val="center"/>
          </w:tcPr>
          <w:p w14:paraId="5C75A585" w14:textId="56F5DC84" w:rsidR="00160113" w:rsidRDefault="004E3F98" w:rsidP="0033201E">
            <w:pPr>
              <w:pStyle w:val="CETEquation"/>
            </w:pPr>
            <m:oMathPara>
              <m:oMath>
                <m:r>
                  <w:rPr>
                    <w:rFonts w:ascii="Cambria Math" w:hAnsi="Cambria Math"/>
                  </w:rPr>
                  <m:t>s.t.:0=f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,x,u</m:t>
                    </m:r>
                  </m:e>
                </m:d>
              </m:oMath>
            </m:oMathPara>
          </w:p>
        </w:tc>
        <w:tc>
          <w:tcPr>
            <w:tcW w:w="806" w:type="dxa"/>
            <w:shd w:val="clear" w:color="auto" w:fill="auto"/>
            <w:vAlign w:val="center"/>
          </w:tcPr>
          <w:p w14:paraId="285BB3CD" w14:textId="765AFB2B" w:rsidR="00160113" w:rsidRPr="00B57B36" w:rsidRDefault="003E173D" w:rsidP="00764AF8">
            <w:pPr>
              <w:pStyle w:val="CETEquation"/>
              <w:jc w:val="right"/>
            </w:pPr>
            <w:r>
              <w:t>(</w:t>
            </w:r>
            <w:r w:rsidR="005B09D0">
              <w:t>3</w:t>
            </w:r>
            <w:r w:rsidR="00160113">
              <w:t>b</w:t>
            </w:r>
            <w:r w:rsidR="00160113" w:rsidRPr="00B57B36">
              <w:t>)</w:t>
            </w:r>
          </w:p>
        </w:tc>
      </w:tr>
      <w:tr w:rsidR="0033201E" w:rsidRPr="00B57B36" w14:paraId="63FFC016" w14:textId="77777777" w:rsidTr="00764AF8">
        <w:tc>
          <w:tcPr>
            <w:tcW w:w="7981" w:type="dxa"/>
            <w:shd w:val="clear" w:color="auto" w:fill="auto"/>
            <w:vAlign w:val="center"/>
          </w:tcPr>
          <w:p w14:paraId="01AB76CF" w14:textId="17F6D1F8" w:rsidR="0033201E" w:rsidRDefault="0033201E" w:rsidP="0033201E">
            <w:pPr>
              <w:pStyle w:val="CETEquation"/>
            </w:pPr>
            <m:oMathPara>
              <m:oMath>
                <m:r>
                  <w:rPr>
                    <w:rFonts w:ascii="Cambria Math" w:hAnsi="Cambria Math"/>
                  </w:rPr>
                  <m:t>0≥g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x,u</m:t>
                    </m:r>
                  </m:e>
                </m:d>
              </m:oMath>
            </m:oMathPara>
          </w:p>
        </w:tc>
        <w:tc>
          <w:tcPr>
            <w:tcW w:w="806" w:type="dxa"/>
            <w:shd w:val="clear" w:color="auto" w:fill="auto"/>
            <w:vAlign w:val="center"/>
          </w:tcPr>
          <w:p w14:paraId="29F98212" w14:textId="552CEF64" w:rsidR="0033201E" w:rsidRDefault="003E173D" w:rsidP="00764AF8">
            <w:pPr>
              <w:pStyle w:val="CETEquation"/>
              <w:jc w:val="right"/>
            </w:pPr>
            <w:r>
              <w:t>(</w:t>
            </w:r>
            <w:r w:rsidR="005B09D0">
              <w:t>3</w:t>
            </w:r>
            <w:r w:rsidR="008B48B3">
              <w:t xml:space="preserve">c) </w:t>
            </w:r>
          </w:p>
        </w:tc>
      </w:tr>
      <w:tr w:rsidR="0033201E" w:rsidRPr="00B57B36" w14:paraId="130F82AD" w14:textId="77777777" w:rsidTr="00764AF8">
        <w:tc>
          <w:tcPr>
            <w:tcW w:w="7981" w:type="dxa"/>
            <w:shd w:val="clear" w:color="auto" w:fill="auto"/>
            <w:vAlign w:val="center"/>
          </w:tcPr>
          <w:p w14:paraId="4C6639D4" w14:textId="1C924743" w:rsidR="0033201E" w:rsidRDefault="00E57C64" w:rsidP="00E4013B">
            <w:pPr>
              <w:pStyle w:val="CETEquation"/>
            </w:pPr>
            <m:oMathPara>
              <m:oMath>
                <m:r>
                  <w:rPr>
                    <w:rFonts w:ascii="Cambria Math" w:hAnsi="Cambria Math"/>
                  </w:rPr>
                  <m:t>0.98≤X(t)</m:t>
                </m:r>
              </m:oMath>
            </m:oMathPara>
          </w:p>
        </w:tc>
        <w:tc>
          <w:tcPr>
            <w:tcW w:w="806" w:type="dxa"/>
            <w:shd w:val="clear" w:color="auto" w:fill="auto"/>
            <w:vAlign w:val="center"/>
          </w:tcPr>
          <w:p w14:paraId="08C545B2" w14:textId="4D0B382D" w:rsidR="0033201E" w:rsidRDefault="003E173D" w:rsidP="00764AF8">
            <w:pPr>
              <w:pStyle w:val="CETEquation"/>
              <w:jc w:val="right"/>
            </w:pPr>
            <w:r>
              <w:t>(</w:t>
            </w:r>
            <w:r w:rsidR="005B09D0">
              <w:t>3</w:t>
            </w:r>
            <w:r w:rsidR="008B48B3">
              <w:t>d)</w:t>
            </w:r>
          </w:p>
        </w:tc>
      </w:tr>
      <w:tr w:rsidR="0033201E" w:rsidRPr="00B57B36" w14:paraId="3513DB90" w14:textId="77777777" w:rsidTr="00764AF8">
        <w:tc>
          <w:tcPr>
            <w:tcW w:w="7981" w:type="dxa"/>
            <w:shd w:val="clear" w:color="auto" w:fill="auto"/>
            <w:vAlign w:val="center"/>
          </w:tcPr>
          <w:p w14:paraId="098194C1" w14:textId="35635F9F" w:rsidR="0033201E" w:rsidRDefault="00193F0C" w:rsidP="00FC1CC4">
            <w:pPr>
              <w:pStyle w:val="CETEquation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fix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box>
                  <m:boxPr>
                    <m:ctrlPr>
                      <w:rPr>
                        <w:rFonts w:ascii="Cambria Math" w:hAnsi="Cambria Math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k+1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</m:den>
                    </m:f>
                  </m:e>
                </m:box>
                <m:r>
                  <w:rPr>
                    <w:rFonts w:ascii="Cambria Math" w:hAnsi="Cambria Math"/>
                  </w:rPr>
                  <m:t xml:space="preserve">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k+1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dt</m:t>
                    </m:r>
                  </m:e>
                </m:nary>
                <m:r>
                  <w:rPr>
                    <w:rFonts w:ascii="Cambria Math" w:hAnsi="Cambria Math"/>
                  </w:rPr>
                  <m:t xml:space="preserve"> ∀ k∈[0,1]</m:t>
                </m:r>
              </m:oMath>
            </m:oMathPara>
          </w:p>
        </w:tc>
        <w:tc>
          <w:tcPr>
            <w:tcW w:w="806" w:type="dxa"/>
            <w:shd w:val="clear" w:color="auto" w:fill="auto"/>
            <w:vAlign w:val="center"/>
          </w:tcPr>
          <w:p w14:paraId="4B346BAE" w14:textId="4127CF10" w:rsidR="0033201E" w:rsidRDefault="00362C18" w:rsidP="00764AF8">
            <w:pPr>
              <w:pStyle w:val="CETEquation"/>
              <w:jc w:val="right"/>
            </w:pPr>
            <w:r>
              <w:t>(</w:t>
            </w:r>
            <w:r w:rsidR="005B09D0">
              <w:t>3</w:t>
            </w:r>
            <w:r>
              <w:t>e)</w:t>
            </w:r>
          </w:p>
        </w:tc>
      </w:tr>
      <w:tr w:rsidR="0033201E" w:rsidRPr="00B57B36" w14:paraId="16DA6053" w14:textId="77777777" w:rsidTr="00764AF8">
        <w:tc>
          <w:tcPr>
            <w:tcW w:w="7981" w:type="dxa"/>
            <w:shd w:val="clear" w:color="auto" w:fill="auto"/>
            <w:vAlign w:val="center"/>
          </w:tcPr>
          <w:p w14:paraId="77898FFB" w14:textId="2AD52652" w:rsidR="0033201E" w:rsidRDefault="00193F0C" w:rsidP="00C61E53">
            <w:pPr>
              <w:pStyle w:val="CETEquation"/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L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0,z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dz</m:t>
                    </m:r>
                  </m:e>
                </m:nary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L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,z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dz</m:t>
                    </m:r>
                  </m:e>
                </m:nary>
              </m:oMath>
            </m:oMathPara>
          </w:p>
        </w:tc>
        <w:tc>
          <w:tcPr>
            <w:tcW w:w="806" w:type="dxa"/>
            <w:shd w:val="clear" w:color="auto" w:fill="auto"/>
            <w:vAlign w:val="center"/>
          </w:tcPr>
          <w:p w14:paraId="736578DB" w14:textId="3B43EE73" w:rsidR="0033201E" w:rsidRDefault="00362C18" w:rsidP="00764AF8">
            <w:pPr>
              <w:pStyle w:val="CETEquation"/>
              <w:jc w:val="right"/>
            </w:pPr>
            <w:r>
              <w:t>(</w:t>
            </w:r>
            <w:r w:rsidR="005B09D0">
              <w:t>3</w:t>
            </w:r>
            <w:r>
              <w:t>f)</w:t>
            </w:r>
          </w:p>
        </w:tc>
      </w:tr>
      <w:tr w:rsidR="0033201E" w:rsidRPr="00B57B36" w14:paraId="7FA37293" w14:textId="77777777" w:rsidTr="00764AF8">
        <w:tc>
          <w:tcPr>
            <w:tcW w:w="7981" w:type="dxa"/>
            <w:shd w:val="clear" w:color="auto" w:fill="auto"/>
            <w:vAlign w:val="center"/>
          </w:tcPr>
          <w:p w14:paraId="014682FB" w14:textId="136BF540" w:rsidR="0033201E" w:rsidRDefault="00193F0C" w:rsidP="00CC36CA">
            <w:pPr>
              <w:pStyle w:val="CETEquation"/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L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0,z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dz</m:t>
                    </m:r>
                  </m:e>
                </m:nary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L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,z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dz</m:t>
                    </m:r>
                  </m:e>
                </m:nary>
              </m:oMath>
            </m:oMathPara>
          </w:p>
        </w:tc>
        <w:tc>
          <w:tcPr>
            <w:tcW w:w="806" w:type="dxa"/>
            <w:shd w:val="clear" w:color="auto" w:fill="auto"/>
            <w:vAlign w:val="center"/>
          </w:tcPr>
          <w:p w14:paraId="091B83FF" w14:textId="71CD0C24" w:rsidR="0033201E" w:rsidRDefault="00362C18" w:rsidP="00764AF8">
            <w:pPr>
              <w:pStyle w:val="CETEquation"/>
              <w:jc w:val="right"/>
            </w:pPr>
            <w:r>
              <w:t>(</w:t>
            </w:r>
            <w:r w:rsidR="005B09D0">
              <w:t>3</w:t>
            </w:r>
            <w:r>
              <w:t>g)</w:t>
            </w:r>
          </w:p>
        </w:tc>
      </w:tr>
    </w:tbl>
    <w:p w14:paraId="0BFD7A6F" w14:textId="77777777" w:rsidR="00405A15" w:rsidRDefault="00405A15" w:rsidP="00C9364E">
      <w:pPr>
        <w:pStyle w:val="CETBodytext"/>
      </w:pPr>
    </w:p>
    <w:p w14:paraId="055EF725" w14:textId="13A3B516" w:rsidR="008E10B2" w:rsidRPr="00655726" w:rsidRDefault="00405A15" w:rsidP="00B371CE">
      <w:pPr>
        <w:pStyle w:val="CETBodytext"/>
        <w:rPr>
          <w:lang w:val="en-GB"/>
        </w:rPr>
      </w:pPr>
      <w:r>
        <w:t xml:space="preserve">The objective function </w:t>
      </w:r>
      <w:r w:rsidR="006C5731">
        <w:t>consists of</w:t>
      </w:r>
      <w:r w:rsidR="007A7056">
        <w:t xml:space="preserve"> </w:t>
      </w:r>
      <w:r w:rsidR="008371A8">
        <w:t>the</w:t>
      </w:r>
      <w:r w:rsidR="00D819B3">
        <w:t xml:space="preserve"> normalized</w:t>
      </w:r>
      <w:r w:rsidR="008371A8">
        <w:t xml:space="preserve"> </w:t>
      </w:r>
      <w:r w:rsidR="00D819B3">
        <w:t>integrated</w:t>
      </w:r>
      <w:r w:rsidR="008371A8">
        <w:t xml:space="preserve"> </w:t>
      </w:r>
      <w:r>
        <w:t>cost of</w:t>
      </w:r>
      <w:r w:rsidR="00AE77D5">
        <w:t xml:space="preserve"> the</w:t>
      </w:r>
      <w:r>
        <w:t xml:space="preserve"> electric energy</w:t>
      </w:r>
      <w:r w:rsidR="00AE77D5" w:rsidRPr="00AE77D5">
        <w:t xml:space="preserve"> </w:t>
      </w:r>
      <w:r w:rsidR="00AE77D5">
        <w:t>and the revenue for the produced product.</w:t>
      </w:r>
      <w:r w:rsidR="0048363C">
        <w:t xml:space="preserve"> The</w:t>
      </w:r>
      <w:r w:rsidR="00AE77D5">
        <w:t xml:space="preserve"> cost of the electric energy </w:t>
      </w:r>
      <w:r w:rsidR="00796957">
        <w:t>is the product of the normalized energy price (</w:t>
      </w:r>
      <m:oMath>
        <m:r>
          <w:rPr>
            <w:rFonts w:ascii="Cambria Math" w:hAnsi="Cambria Math"/>
          </w:rPr>
          <m:t xml:space="preserve"> γ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796957">
        <w:t>) and the energy consumption</w:t>
      </w:r>
      <w:r w:rsidR="00AE77D5">
        <w:t>.</w:t>
      </w:r>
      <w:r w:rsidR="009656C0">
        <w:t xml:space="preserve"> The</w:t>
      </w:r>
      <w:r w:rsidR="00D37D3A">
        <w:t xml:space="preserve"> additional </w:t>
      </w:r>
      <w:r w:rsidR="0066715B">
        <w:t xml:space="preserve">penalty term </w:t>
      </w:r>
      <w:r w:rsidR="00D37D3A">
        <w:t xml:space="preserve">suppresses </w:t>
      </w:r>
      <w:r w:rsidR="00CA6FA1">
        <w:t>undesired</w:t>
      </w:r>
      <w:r w:rsidR="00D37D3A">
        <w:t xml:space="preserve"> oscillation</w:t>
      </w:r>
      <w:r w:rsidR="00F55568">
        <w:t>s</w:t>
      </w:r>
      <w:r w:rsidR="009656C0">
        <w:t xml:space="preserve"> of the </w:t>
      </w:r>
      <w:r w:rsidR="0066715B">
        <w:t>flowrate and the heating powers</w:t>
      </w:r>
      <w:r w:rsidR="00193F7A">
        <w:t>.</w:t>
      </w:r>
      <w:r w:rsidR="00844BEE">
        <w:t xml:space="preserve"> </w:t>
      </w:r>
      <w:r w:rsidR="00610A39">
        <w:t xml:space="preserve">The process model and the operational limits are </w:t>
      </w:r>
      <w:r w:rsidR="00F55568">
        <w:t>represented by</w:t>
      </w:r>
      <w:r w:rsidR="006D4070">
        <w:t xml:space="preserve"> the constraints (</w:t>
      </w:r>
      <w:r w:rsidR="00CF771E">
        <w:t>3</w:t>
      </w:r>
      <w:r w:rsidR="006D4070">
        <w:t>b)</w:t>
      </w:r>
      <w:r w:rsidR="00764AF8">
        <w:t>, (</w:t>
      </w:r>
      <w:r w:rsidR="00CF771E">
        <w:t>3</w:t>
      </w:r>
      <w:r w:rsidR="00610A39">
        <w:t>c)</w:t>
      </w:r>
      <w:r w:rsidR="00764AF8">
        <w:t>, and (</w:t>
      </w:r>
      <w:r w:rsidR="00CF771E">
        <w:t>3</w:t>
      </w:r>
      <w:r w:rsidR="006D4070">
        <w:t>d)</w:t>
      </w:r>
      <w:r w:rsidR="00610A39">
        <w:t>. T</w:t>
      </w:r>
      <w:r w:rsidR="00BB259A">
        <w:t>he constraint (</w:t>
      </w:r>
      <w:r w:rsidR="00CF771E">
        <w:t>3</w:t>
      </w:r>
      <w:r w:rsidR="00FD27A6">
        <w:t>e</w:t>
      </w:r>
      <w:r w:rsidR="00BB259A">
        <w:t>) ensure</w:t>
      </w:r>
      <w:r w:rsidR="00F55568">
        <w:t>s</w:t>
      </w:r>
      <w:r w:rsidR="00BB259A">
        <w:t xml:space="preserve"> a</w:t>
      </w:r>
      <w:r w:rsidR="00610A39">
        <w:t xml:space="preserve"> </w:t>
      </w:r>
      <w:r w:rsidR="00F55568">
        <w:t>certain</w:t>
      </w:r>
      <w:r w:rsidR="00610A39">
        <w:t xml:space="preserve"> production</w:t>
      </w:r>
      <w:r w:rsidR="002B2EFD">
        <w:t xml:space="preserve"> </w:t>
      </w:r>
      <w:r w:rsidR="00F55568">
        <w:t xml:space="preserve">level </w:t>
      </w:r>
      <w:r w:rsidR="002B2EFD">
        <w:t>over</w:t>
      </w:r>
      <w:r w:rsidR="00362C18">
        <w:t xml:space="preserve"> a given averaging horizon</w:t>
      </w:r>
      <w:r w:rsidR="00BB259A">
        <w:t>. To avoid terminal sell-off effects</w:t>
      </w:r>
      <w:r w:rsidR="00E14C29">
        <w:t>,</w:t>
      </w:r>
      <w:r w:rsidR="00BB259A">
        <w:t xml:space="preserve"> the </w:t>
      </w:r>
      <w:r w:rsidR="005D321D">
        <w:t>total amount of crystalline particles</w:t>
      </w:r>
      <w:r w:rsidR="003E0223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3E0223">
        <w:t>)</w:t>
      </w:r>
      <w:r w:rsidR="005D321D">
        <w:t xml:space="preserve"> and</w:t>
      </w:r>
      <w:r w:rsidR="00E14C29">
        <w:t xml:space="preserve"> the temperature</w:t>
      </w:r>
      <w:r w:rsidR="0064244D">
        <w:t xml:space="preserve"> (</w:t>
      </w:r>
      <m:oMath>
        <m:r>
          <w:rPr>
            <w:rFonts w:ascii="Cambria Math" w:hAnsi="Cambria Math"/>
          </w:rPr>
          <m:t>T)</m:t>
        </m:r>
      </m:oMath>
      <w:r w:rsidR="00E14C29">
        <w:t>, as a measure of the thermal energy</w:t>
      </w:r>
      <w:r w:rsidR="00F55568">
        <w:t xml:space="preserve"> stored in the process</w:t>
      </w:r>
      <w:r w:rsidR="0064244D">
        <w:t xml:space="preserve"> are enforced to be equal at the beginning</w:t>
      </w:r>
      <w:r w:rsidR="00F55568">
        <w:t xml:space="preserve"> and at the end of the horizon</w:t>
      </w:r>
      <w:r w:rsidR="001C6E63">
        <w:t>, this discussed im more detail in Semrau et. al.(2021)</w:t>
      </w:r>
      <w:r w:rsidR="00A171EB">
        <w:t xml:space="preserve">. </w:t>
      </w:r>
      <w:r w:rsidR="00634954">
        <w:t>Nevertheless</w:t>
      </w:r>
      <w:r w:rsidR="00AB5863">
        <w:t>,</w:t>
      </w:r>
      <w:r w:rsidR="00634954">
        <w:t xml:space="preserve"> </w:t>
      </w:r>
      <w:r w:rsidR="002C4A5B">
        <w:t xml:space="preserve">terminal </w:t>
      </w:r>
      <w:r w:rsidR="00634954">
        <w:t>effect</w:t>
      </w:r>
      <w:r w:rsidR="00F55568">
        <w:t>s</w:t>
      </w:r>
      <w:r w:rsidR="00634954">
        <w:t xml:space="preserve"> affect the solution </w:t>
      </w:r>
      <w:r w:rsidR="00D849A5">
        <w:t xml:space="preserve">close to the </w:t>
      </w:r>
      <w:r w:rsidR="007852C3">
        <w:t>end of the optimization horizon</w:t>
      </w:r>
      <w:r w:rsidR="005835F1">
        <w:t xml:space="preserve">. </w:t>
      </w:r>
      <w:r w:rsidR="00362C18">
        <w:t xml:space="preserve">Therefore, the optimization problem is solved </w:t>
      </w:r>
      <w:r w:rsidR="001C277C">
        <w:t>over</w:t>
      </w:r>
      <w:r w:rsidR="00362C18">
        <w:t xml:space="preserve"> two averaging </w:t>
      </w:r>
      <w:r w:rsidR="00764AF8">
        <w:t xml:space="preserve">horizons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0,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FD27A6">
        <w:t xml:space="preserve"> and</w:t>
      </w:r>
      <w:r w:rsidR="00F03CE0">
        <w:t xml:space="preserve"> </w:t>
      </w:r>
      <m:oMath>
        <m:r>
          <w:rPr>
            <w:rFonts w:ascii="Cambria Math" w:hAnsi="Cambria Math"/>
          </w:rPr>
          <m:t>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]</m:t>
        </m:r>
      </m:oMath>
      <w:r w:rsidR="006C19B3">
        <w:t>.</w:t>
      </w:r>
      <w:r w:rsidR="00FD27A6">
        <w:t xml:space="preserve"> </w:t>
      </w:r>
      <w:r w:rsidR="006C19B3">
        <w:t>T</w:t>
      </w:r>
      <w:r w:rsidR="001C277C">
        <w:t xml:space="preserve">he </w:t>
      </w:r>
      <w:r w:rsidR="00FD27A6">
        <w:t xml:space="preserve">solution for the </w:t>
      </w:r>
      <w:r w:rsidR="001C277C">
        <w:t xml:space="preserve">second </w:t>
      </w:r>
      <w:r w:rsidR="00FD27A6">
        <w:t xml:space="preserve">horizon </w:t>
      </w:r>
      <w:r w:rsidR="001C277C">
        <w:t xml:space="preserve">is </w:t>
      </w:r>
      <w:r w:rsidR="00FD27A6">
        <w:t xml:space="preserve">discarded and the optimization </w:t>
      </w:r>
      <w:r w:rsidR="001C277C">
        <w:t xml:space="preserve">is </w:t>
      </w:r>
      <w:r w:rsidR="00FD27A6">
        <w:t xml:space="preserve">re-solved with a shifted time </w:t>
      </w:r>
      <w:r w:rsidR="00764AF8">
        <w:t>horizon</w:t>
      </w:r>
      <w:r w:rsidR="00FD27A6">
        <w:t>.</w:t>
      </w:r>
      <w:r w:rsidR="00C314BD" w:rsidRPr="00C314BD">
        <w:rPr>
          <w:lang w:val="en-GB"/>
        </w:rPr>
        <w:t xml:space="preserve"> </w:t>
      </w:r>
      <w:r w:rsidR="00C314BD">
        <w:rPr>
          <w:lang w:val="en-GB"/>
        </w:rPr>
        <w:t>The method assumes knowledge of the day-ahead market price for the electric energy. In this work, a perfect knowledge is assumed, however, in reality this has to be</w:t>
      </w:r>
      <w:r w:rsidR="00FF0A1E">
        <w:rPr>
          <w:lang w:val="en-GB"/>
        </w:rPr>
        <w:t xml:space="preserve"> predicted.</w:t>
      </w:r>
      <w:r w:rsidR="00BB259A">
        <w:t>The</w:t>
      </w:r>
      <w:r w:rsidR="00D216CF">
        <w:t xml:space="preserve"> non-linear</w:t>
      </w:r>
      <w:r w:rsidR="00BB259A">
        <w:t xml:space="preserve"> dynamic optimization problem is discretized</w:t>
      </w:r>
      <w:r w:rsidR="00BC7C8E">
        <w:t xml:space="preserve"> in time </w:t>
      </w:r>
      <w:r w:rsidR="00BB259A">
        <w:t xml:space="preserve">using </w:t>
      </w:r>
      <w:r w:rsidR="00BC7C8E">
        <w:t xml:space="preserve">orthogonal collocation on finite elements using a second order </w:t>
      </w:r>
      <w:r w:rsidR="00D216CF">
        <w:t>R</w:t>
      </w:r>
      <w:r w:rsidR="00BC7C8E">
        <w:t>adau polynomial</w:t>
      </w:r>
      <w:r w:rsidR="00DB2B2C">
        <w:t>s</w:t>
      </w:r>
      <w:r w:rsidR="00D216CF">
        <w:t>. The problem is implemented in the CasADi framework</w:t>
      </w:r>
      <w:r w:rsidR="00C314BD">
        <w:t xml:space="preserve"> (</w:t>
      </w:r>
      <w:r w:rsidR="00C314BD" w:rsidRPr="00C314BD">
        <w:t>Andersson</w:t>
      </w:r>
      <w:r w:rsidR="00C314BD">
        <w:t xml:space="preserve"> et. al. 2019</w:t>
      </w:r>
      <w:r w:rsidR="004649E1">
        <w:t>)</w:t>
      </w:r>
      <w:r w:rsidR="00D216CF">
        <w:t xml:space="preserve"> and the optimization </w:t>
      </w:r>
      <w:r w:rsidR="001C277C">
        <w:t xml:space="preserve">is </w:t>
      </w:r>
      <w:r w:rsidR="00CE63D2">
        <w:t>performed</w:t>
      </w:r>
      <w:r w:rsidR="00D216CF">
        <w:t xml:space="preserve"> </w:t>
      </w:r>
      <w:r w:rsidR="001C277C">
        <w:t>using</w:t>
      </w:r>
      <w:r w:rsidR="00D216CF">
        <w:t xml:space="preserve"> the IPOPT</w:t>
      </w:r>
      <w:r w:rsidR="00C314BD">
        <w:t xml:space="preserve"> </w:t>
      </w:r>
      <w:r w:rsidR="00D216CF">
        <w:t>so</w:t>
      </w:r>
      <w:r w:rsidR="00C314BD">
        <w:t>l</w:t>
      </w:r>
      <w:r w:rsidR="00D216CF">
        <w:t xml:space="preserve">ver </w:t>
      </w:r>
      <w:r w:rsidR="001C277C">
        <w:t>with</w:t>
      </w:r>
      <w:r w:rsidR="00D216CF">
        <w:t xml:space="preserve"> the MA86 as a linear sparse solver.</w:t>
      </w:r>
      <w:r w:rsidR="009175FC">
        <w:t xml:space="preserve"> </w:t>
      </w:r>
    </w:p>
    <w:p w14:paraId="491F4A54" w14:textId="2D28F55E" w:rsidR="00733C6C" w:rsidRDefault="00FE0B52" w:rsidP="00FF7065">
      <w:pPr>
        <w:pStyle w:val="CETHeading1"/>
        <w:tabs>
          <w:tab w:val="clear" w:pos="360"/>
          <w:tab w:val="right" w:pos="7100"/>
        </w:tabs>
        <w:jc w:val="both"/>
        <w:rPr>
          <w:lang w:val="en-GB"/>
        </w:rPr>
      </w:pPr>
      <w:r>
        <w:rPr>
          <w:lang w:val="en-GB"/>
        </w:rPr>
        <w:lastRenderedPageBreak/>
        <w:t>Optimal d</w:t>
      </w:r>
      <w:r w:rsidR="00E858D7">
        <w:rPr>
          <w:lang w:val="en-GB"/>
        </w:rPr>
        <w:t>ynamic operation o</w:t>
      </w:r>
      <w:r w:rsidR="00FF0A1E">
        <w:rPr>
          <w:lang w:val="en-GB"/>
        </w:rPr>
        <w:t xml:space="preserve">f the zeolite production plant </w:t>
      </w:r>
    </w:p>
    <w:p w14:paraId="5B789D19" w14:textId="5DB005C5" w:rsidR="009753D7" w:rsidRDefault="00E71D1E" w:rsidP="00D378F4">
      <w:pPr>
        <w:pStyle w:val="CETBodytext"/>
        <w:rPr>
          <w:lang w:val="en-GB"/>
        </w:rPr>
      </w:pPr>
      <w:r>
        <w:rPr>
          <w:lang w:val="en-GB"/>
        </w:rPr>
        <w:t xml:space="preserve">The dynamic optimization is </w:t>
      </w:r>
      <w:r w:rsidR="005E34ED">
        <w:rPr>
          <w:lang w:val="en-GB"/>
        </w:rPr>
        <w:t>executed</w:t>
      </w:r>
      <w:r>
        <w:rPr>
          <w:lang w:val="en-GB"/>
        </w:rPr>
        <w:t xml:space="preserve"> with historic data</w:t>
      </w:r>
      <w:r w:rsidR="003D7AD3">
        <w:rPr>
          <w:lang w:val="en-GB"/>
        </w:rPr>
        <w:t xml:space="preserve"> from the</w:t>
      </w:r>
      <w:r w:rsidR="003778B3">
        <w:rPr>
          <w:lang w:val="en-GB"/>
        </w:rPr>
        <w:t xml:space="preserve"> </w:t>
      </w:r>
      <w:r w:rsidR="00CE63D2">
        <w:rPr>
          <w:lang w:val="en-GB"/>
        </w:rPr>
        <w:t>APEX</w:t>
      </w:r>
      <w:r w:rsidR="003778B3">
        <w:rPr>
          <w:lang w:val="en-GB"/>
        </w:rPr>
        <w:t xml:space="preserve"> Germany</w:t>
      </w:r>
      <w:r w:rsidR="005A1682">
        <w:rPr>
          <w:lang w:val="en-GB"/>
        </w:rPr>
        <w:t xml:space="preserve"> day-ahead spot market for the</w:t>
      </w:r>
      <w:r w:rsidR="00957BF9">
        <w:rPr>
          <w:lang w:val="en-GB"/>
        </w:rPr>
        <w:t xml:space="preserve"> time </w:t>
      </w:r>
      <w:r w:rsidR="003778B3">
        <w:rPr>
          <w:lang w:val="en-GB"/>
        </w:rPr>
        <w:t xml:space="preserve">from the </w:t>
      </w:r>
      <w:r w:rsidR="003778B3" w:rsidRPr="003778B3">
        <w:rPr>
          <w:lang w:val="en-GB"/>
        </w:rPr>
        <w:t xml:space="preserve">29.05.2020 </w:t>
      </w:r>
      <w:r w:rsidR="003778B3">
        <w:rPr>
          <w:lang w:val="en-GB"/>
        </w:rPr>
        <w:t>to</w:t>
      </w:r>
      <w:r w:rsidR="003778B3" w:rsidRPr="003778B3">
        <w:rPr>
          <w:lang w:val="en-GB"/>
        </w:rPr>
        <w:t xml:space="preserve"> 01.06.2020</w:t>
      </w:r>
      <w:r w:rsidR="003778B3">
        <w:rPr>
          <w:lang w:val="en-GB"/>
        </w:rPr>
        <w:t xml:space="preserve">, </w:t>
      </w:r>
      <w:r w:rsidR="005E34ED">
        <w:rPr>
          <w:lang w:val="en-GB"/>
        </w:rPr>
        <w:t>provided by Agora Energiewende</w:t>
      </w:r>
      <w:r w:rsidR="006F1A2E">
        <w:rPr>
          <w:lang w:val="en-GB"/>
        </w:rPr>
        <w:t xml:space="preserve"> (2022</w:t>
      </w:r>
      <w:r w:rsidR="005E34ED">
        <w:rPr>
          <w:lang w:val="en-GB"/>
        </w:rPr>
        <w:t>)</w:t>
      </w:r>
      <w:r w:rsidR="00957BF9">
        <w:rPr>
          <w:lang w:val="en-GB"/>
        </w:rPr>
        <w:t>.</w:t>
      </w:r>
      <w:r w:rsidR="005A1682">
        <w:rPr>
          <w:lang w:val="en-GB"/>
        </w:rPr>
        <w:t>Two integrating horizons were chosen</w:t>
      </w:r>
      <w:r w:rsidR="00785ECE">
        <w:rPr>
          <w:lang w:val="en-GB"/>
        </w:rPr>
        <w:t xml:space="preserve">. The first </w:t>
      </w:r>
      <w:r w:rsidR="00124E46">
        <w:rPr>
          <w:lang w:val="en-GB"/>
        </w:rPr>
        <w:t xml:space="preserve">horizon has a length of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t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</m:oMath>
      <w:r w:rsidR="00D378F4" w:rsidRPr="00D378F4">
        <w:rPr>
          <w:lang w:val="en-GB"/>
        </w:rPr>
        <w:t>=24 h</w:t>
      </w:r>
      <w:r w:rsidR="00D378F4">
        <w:rPr>
          <w:lang w:val="en-GB"/>
        </w:rPr>
        <w:t>,</w:t>
      </w:r>
      <w:r w:rsidR="00124E46">
        <w:rPr>
          <w:lang w:val="en-GB"/>
        </w:rPr>
        <w:t xml:space="preserve"> the</w:t>
      </w:r>
      <w:r w:rsidR="00CE63D2">
        <w:rPr>
          <w:lang w:val="en-GB"/>
        </w:rPr>
        <w:t xml:space="preserve"> second</w:t>
      </w:r>
      <w:r w:rsidR="00124E46">
        <w:rPr>
          <w:lang w:val="en-GB"/>
        </w:rPr>
        <w:t xml:space="preserve"> </w:t>
      </w:r>
      <w:r w:rsidR="00CE63D2">
        <w:rPr>
          <w:lang w:val="en-GB"/>
        </w:rPr>
        <w:t>horizon</w:t>
      </w:r>
      <w:r w:rsidR="00124E46">
        <w:rPr>
          <w:lang w:val="en-GB"/>
        </w:rPr>
        <w:t xml:space="preserve"> of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t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</m:oMath>
      <w:r w:rsidR="005F25C9" w:rsidRPr="00D378F4">
        <w:rPr>
          <w:lang w:val="en-GB"/>
        </w:rPr>
        <w:t>=</w:t>
      </w:r>
      <w:r w:rsidR="00124E46">
        <w:rPr>
          <w:lang w:val="en-GB"/>
        </w:rPr>
        <w:t>12</w:t>
      </w:r>
      <w:r w:rsidR="00CE63D2">
        <w:rPr>
          <w:lang w:val="en-GB"/>
        </w:rPr>
        <w:t xml:space="preserve"> </w:t>
      </w:r>
      <w:r w:rsidR="00D378F4">
        <w:rPr>
          <w:lang w:val="en-GB"/>
        </w:rPr>
        <w:t>h.</w:t>
      </w:r>
      <w:r w:rsidR="00124E46">
        <w:rPr>
          <w:lang w:val="en-GB"/>
        </w:rPr>
        <w:t xml:space="preserve"> </w:t>
      </w:r>
      <w:r w:rsidR="00F34D5D">
        <w:rPr>
          <w:lang w:val="en-GB"/>
        </w:rPr>
        <w:t xml:space="preserve">A </w:t>
      </w:r>
      <w:r w:rsidR="00CE63D2">
        <w:rPr>
          <w:lang w:val="en-GB"/>
        </w:rPr>
        <w:t>time step</w:t>
      </w:r>
      <w:r w:rsidR="00F34D5D">
        <w:rPr>
          <w:lang w:val="en-GB"/>
        </w:rPr>
        <w:t xml:space="preserve"> of 0.5 h is used, which </w:t>
      </w:r>
      <w:r w:rsidR="00F34D5D">
        <w:t>results in an optimization problem containing 69.708 variables, which is solved within approx. 3 h.</w:t>
      </w:r>
      <w:r w:rsidR="00554F61">
        <w:t xml:space="preserve"> </w:t>
      </w:r>
    </w:p>
    <w:p w14:paraId="681E83FF" w14:textId="75BACE10" w:rsidR="009753D7" w:rsidRDefault="009753D7" w:rsidP="00915F5F">
      <w:pPr>
        <w:pStyle w:val="CETBodytext"/>
        <w:rPr>
          <w:lang w:val="en-GB"/>
        </w:rPr>
      </w:pPr>
    </w:p>
    <w:p w14:paraId="1A802264" w14:textId="2DEFB709" w:rsidR="009753D7" w:rsidRDefault="00EA1D3B" w:rsidP="00B371CE">
      <w:pPr>
        <w:pStyle w:val="CETBodytext"/>
        <w:jc w:val="left"/>
        <w:rPr>
          <w:lang w:val="en-GB"/>
        </w:rPr>
      </w:pPr>
      <w:r>
        <w:rPr>
          <w:noProof/>
          <w:lang w:val="de-DE" w:eastAsia="de-DE"/>
        </w:rPr>
        <w:pict w14:anchorId="14DEF7FF">
          <v:shape id="_x0000_i1026" type="#_x0000_t75" style="width:372pt;height:393.75pt">
            <v:imagedata r:id="rId12" o:title="clH48-24_EM10"/>
          </v:shape>
        </w:pict>
      </w:r>
    </w:p>
    <w:p w14:paraId="1D458B07" w14:textId="3A9A5C0B" w:rsidR="00AA2B91" w:rsidRPr="00BD077D" w:rsidRDefault="00295781" w:rsidP="00295781">
      <w:pPr>
        <w:pStyle w:val="CETCaption"/>
        <w:jc w:val="left"/>
      </w:pPr>
      <w:r w:rsidRPr="00BD077D">
        <w:rPr>
          <w:rStyle w:val="CETCaptionCarattere"/>
          <w:i/>
        </w:rPr>
        <w:t xml:space="preserve">Figure </w:t>
      </w:r>
      <w:r w:rsidR="008F6B43">
        <w:rPr>
          <w:rStyle w:val="CETCaptionCarattere"/>
          <w:i/>
        </w:rPr>
        <w:t>2</w:t>
      </w:r>
      <w:r w:rsidRPr="00BD077D">
        <w:rPr>
          <w:rStyle w:val="CETCaptionCarattere"/>
          <w:i/>
        </w:rPr>
        <w:t>:</w:t>
      </w:r>
      <w:r>
        <w:rPr>
          <w:rStyle w:val="CETCaptionCarattere"/>
          <w:i/>
        </w:rPr>
        <w:t xml:space="preserve"> Optimized</w:t>
      </w:r>
      <w:r w:rsidR="00AA2B91">
        <w:rPr>
          <w:rStyle w:val="CETCaptionCarattere"/>
          <w:i/>
        </w:rPr>
        <w:t xml:space="preserve"> dynamic</w:t>
      </w:r>
      <w:r w:rsidR="00A45770">
        <w:rPr>
          <w:rStyle w:val="CETCaptionCarattere"/>
          <w:i/>
        </w:rPr>
        <w:t xml:space="preserve"> schedule with energy data from</w:t>
      </w:r>
      <w:r w:rsidR="00AA2B91">
        <w:rPr>
          <w:rStyle w:val="CETCaptionCarattere"/>
          <w:i/>
        </w:rPr>
        <w:t xml:space="preserve"> </w:t>
      </w:r>
      <w:r w:rsidR="00F344FB">
        <w:rPr>
          <w:rStyle w:val="CETCaptionCarattere"/>
          <w:i/>
        </w:rPr>
        <w:t xml:space="preserve">29.05.2020 </w:t>
      </w:r>
      <w:r w:rsidR="00E9374B">
        <w:rPr>
          <w:rStyle w:val="CETCaptionCarattere"/>
          <w:i/>
        </w:rPr>
        <w:t>to</w:t>
      </w:r>
      <w:r w:rsidR="00F344FB">
        <w:rPr>
          <w:rStyle w:val="CETCaptionCarattere"/>
          <w:i/>
        </w:rPr>
        <w:t xml:space="preserve"> 01</w:t>
      </w:r>
      <w:r w:rsidR="00AA2B91">
        <w:rPr>
          <w:rStyle w:val="CETCaptionCarattere"/>
          <w:i/>
        </w:rPr>
        <w:t>.06.2020</w:t>
      </w:r>
    </w:p>
    <w:p w14:paraId="0FACFDD7" w14:textId="086F44BD" w:rsidR="00F87495" w:rsidRDefault="008F6B43" w:rsidP="00030317">
      <w:pPr>
        <w:pStyle w:val="CETBodytext"/>
        <w:rPr>
          <w:lang w:val="en-GB"/>
        </w:rPr>
      </w:pPr>
      <w:r>
        <w:rPr>
          <w:lang w:val="en-GB"/>
        </w:rPr>
        <w:t xml:space="preserve">The results of the dynamic optimization </w:t>
      </w:r>
      <w:r w:rsidR="00BF4855">
        <w:rPr>
          <w:lang w:val="en-GB"/>
        </w:rPr>
        <w:t>are</w:t>
      </w:r>
      <w:r>
        <w:rPr>
          <w:lang w:val="en-GB"/>
        </w:rPr>
        <w:t xml:space="preserve"> shown in the Figure 2, in which, starting form below, the day-ahead price of electric energy</w:t>
      </w:r>
      <w:r w:rsidR="00BF4855">
        <w:rPr>
          <w:lang w:val="en-GB"/>
        </w:rPr>
        <w:t xml:space="preserve"> </w:t>
      </w:r>
      <w:r w:rsidR="00E9374B">
        <w:rPr>
          <w:lang w:val="en-GB"/>
        </w:rPr>
        <w:t xml:space="preserve">(black) </w:t>
      </w:r>
      <w:r w:rsidR="00BF4855">
        <w:rPr>
          <w:lang w:val="en-GB"/>
        </w:rPr>
        <w:t>and the emission factor of the electric energy</w:t>
      </w:r>
      <w:r w:rsidR="00E9374B">
        <w:rPr>
          <w:lang w:val="en-GB"/>
        </w:rPr>
        <w:t xml:space="preserve"> (red)</w:t>
      </w:r>
      <w:r>
        <w:rPr>
          <w:lang w:val="en-GB"/>
        </w:rPr>
        <w:t>, the</w:t>
      </w:r>
      <w:r w:rsidR="00BF4855">
        <w:rPr>
          <w:lang w:val="en-GB"/>
        </w:rPr>
        <w:t xml:space="preserve"> consumption of</w:t>
      </w:r>
      <w:r>
        <w:rPr>
          <w:lang w:val="en-GB"/>
        </w:rPr>
        <w:t xml:space="preserve"> electric energy by the three heaters, the throughput of the zeolite suspension, the</w:t>
      </w:r>
      <w:r w:rsidR="00BF4855">
        <w:rPr>
          <w:lang w:val="en-GB"/>
        </w:rPr>
        <w:t xml:space="preserve"> final</w:t>
      </w:r>
      <w:r>
        <w:rPr>
          <w:lang w:val="en-GB"/>
        </w:rPr>
        <w:t xml:space="preserve"> crystallinity and the reaction temperature at the reactor outlet are shown </w:t>
      </w:r>
      <w:r w:rsidR="004E41FC">
        <w:rPr>
          <w:lang w:val="en-GB"/>
        </w:rPr>
        <w:t xml:space="preserve">over </w:t>
      </w:r>
      <w:r>
        <w:rPr>
          <w:lang w:val="en-GB"/>
        </w:rPr>
        <w:t>time.</w:t>
      </w:r>
      <w:r w:rsidR="004E41FC">
        <w:rPr>
          <w:lang w:val="en-GB"/>
        </w:rPr>
        <w:t xml:space="preserve"> </w:t>
      </w:r>
      <w:r w:rsidR="002220C3">
        <w:rPr>
          <w:lang w:val="en-GB"/>
        </w:rPr>
        <w:t>The</w:t>
      </w:r>
      <w:r w:rsidR="00B61DD7">
        <w:rPr>
          <w:lang w:val="en-GB"/>
        </w:rPr>
        <w:t xml:space="preserve"> optimal</w:t>
      </w:r>
      <w:r w:rsidR="002220C3">
        <w:rPr>
          <w:lang w:val="en-GB"/>
        </w:rPr>
        <w:t xml:space="preserve"> steady state operation</w:t>
      </w:r>
      <w:r w:rsidR="00B61DD7">
        <w:rPr>
          <w:lang w:val="en-GB"/>
        </w:rPr>
        <w:t xml:space="preserve"> for the required mean throughput</w:t>
      </w:r>
      <w:r w:rsidR="002220C3">
        <w:rPr>
          <w:lang w:val="en-GB"/>
        </w:rPr>
        <w:t xml:space="preserve"> is shown </w:t>
      </w:r>
      <w:r w:rsidR="00E9374B">
        <w:rPr>
          <w:lang w:val="en-GB"/>
        </w:rPr>
        <w:t xml:space="preserve">as a </w:t>
      </w:r>
      <w:r w:rsidR="002220C3">
        <w:rPr>
          <w:lang w:val="en-GB"/>
        </w:rPr>
        <w:t xml:space="preserve">black dotted line. </w:t>
      </w:r>
      <w:r w:rsidR="00994A21">
        <w:rPr>
          <w:lang w:val="en-GB"/>
        </w:rPr>
        <w:t xml:space="preserve">The results show a large deviation </w:t>
      </w:r>
      <w:r w:rsidR="00D838F3">
        <w:rPr>
          <w:lang w:val="en-GB"/>
        </w:rPr>
        <w:t>from the</w:t>
      </w:r>
      <w:r w:rsidR="00994A21">
        <w:rPr>
          <w:lang w:val="en-GB"/>
        </w:rPr>
        <w:t xml:space="preserve"> steady state operation</w:t>
      </w:r>
      <w:r w:rsidR="00D838F3">
        <w:rPr>
          <w:lang w:val="en-GB"/>
        </w:rPr>
        <w:t>, shifting the production to timeframes of lower energy prices</w:t>
      </w:r>
      <w:r w:rsidR="00994A21">
        <w:rPr>
          <w:lang w:val="en-GB"/>
        </w:rPr>
        <w:t xml:space="preserve">. </w:t>
      </w:r>
      <w:r w:rsidR="004E41FC">
        <w:rPr>
          <w:lang w:val="en-GB"/>
        </w:rPr>
        <w:t xml:space="preserve">Using the </w:t>
      </w:r>
      <w:r w:rsidR="00B61DD7">
        <w:rPr>
          <w:lang w:val="en-GB"/>
        </w:rPr>
        <w:t>optimized</w:t>
      </w:r>
      <w:r w:rsidR="00FF4EE9" w:rsidRPr="00FF4EE9">
        <w:rPr>
          <w:lang w:val="en-GB"/>
        </w:rPr>
        <w:t xml:space="preserve"> </w:t>
      </w:r>
      <w:r w:rsidR="00FF4EE9">
        <w:rPr>
          <w:lang w:val="en-GB"/>
        </w:rPr>
        <w:t>fully dynamic operation</w:t>
      </w:r>
      <w:r w:rsidR="00E9374B">
        <w:rPr>
          <w:lang w:val="en-GB"/>
        </w:rPr>
        <w:t>,</w:t>
      </w:r>
      <w:r w:rsidR="00FF4EE9">
        <w:rPr>
          <w:lang w:val="en-GB"/>
        </w:rPr>
        <w:t xml:space="preserve"> </w:t>
      </w:r>
      <w:r w:rsidR="004E41FC">
        <w:rPr>
          <w:lang w:val="en-GB"/>
        </w:rPr>
        <w:t>the c</w:t>
      </w:r>
      <w:r w:rsidR="00F02EE6">
        <w:rPr>
          <w:lang w:val="en-GB"/>
        </w:rPr>
        <w:t xml:space="preserve">ost for the electric energy can </w:t>
      </w:r>
      <w:r w:rsidR="004E41FC">
        <w:rPr>
          <w:lang w:val="en-GB"/>
        </w:rPr>
        <w:t xml:space="preserve">be reduced by </w:t>
      </w:r>
      <w:r w:rsidR="00F87495">
        <w:rPr>
          <w:lang w:val="en-GB"/>
        </w:rPr>
        <w:t>17</w:t>
      </w:r>
      <w:r w:rsidR="004E41FC">
        <w:rPr>
          <w:lang w:val="en-GB"/>
        </w:rPr>
        <w:t>.</w:t>
      </w:r>
      <w:r w:rsidR="00F87495">
        <w:rPr>
          <w:lang w:val="en-GB"/>
        </w:rPr>
        <w:t>0</w:t>
      </w:r>
      <w:r w:rsidR="00DE3724">
        <w:rPr>
          <w:lang w:val="en-GB"/>
        </w:rPr>
        <w:t xml:space="preserve">4% </w:t>
      </w:r>
      <w:r w:rsidR="00E9374B">
        <w:rPr>
          <w:lang w:val="en-GB"/>
        </w:rPr>
        <w:t>compared</w:t>
      </w:r>
      <w:r w:rsidR="004E41FC">
        <w:rPr>
          <w:lang w:val="en-GB"/>
        </w:rPr>
        <w:t xml:space="preserve"> to </w:t>
      </w:r>
      <w:r w:rsidR="00FF4EE9">
        <w:rPr>
          <w:lang w:val="en-GB"/>
        </w:rPr>
        <w:t>the</w:t>
      </w:r>
      <w:r w:rsidR="004E41FC">
        <w:rPr>
          <w:lang w:val="en-GB"/>
        </w:rPr>
        <w:t xml:space="preserve"> optimal steady state operation</w:t>
      </w:r>
      <w:r w:rsidR="007C33DA">
        <w:rPr>
          <w:lang w:val="en-GB"/>
        </w:rPr>
        <w:t xml:space="preserve">. </w:t>
      </w:r>
      <w:r w:rsidR="00F87495">
        <w:rPr>
          <w:lang w:val="en-GB"/>
        </w:rPr>
        <w:t>Additionally,</w:t>
      </w:r>
      <w:r w:rsidR="00EE673E">
        <w:rPr>
          <w:lang w:val="en-GB"/>
        </w:rPr>
        <w:t xml:space="preserve"> the CO</w:t>
      </w:r>
      <w:r w:rsidR="00EE673E" w:rsidRPr="008578E4">
        <w:rPr>
          <w:vertAlign w:val="subscript"/>
          <w:lang w:val="en-GB"/>
        </w:rPr>
        <w:t>2</w:t>
      </w:r>
      <w:r w:rsidR="008578E4">
        <w:rPr>
          <w:lang w:val="en-GB"/>
        </w:rPr>
        <w:t xml:space="preserve"> emission</w:t>
      </w:r>
      <w:r w:rsidR="00E9374B">
        <w:rPr>
          <w:lang w:val="en-GB"/>
        </w:rPr>
        <w:t>s caused by</w:t>
      </w:r>
      <w:r w:rsidR="00EE673E">
        <w:rPr>
          <w:lang w:val="en-GB"/>
        </w:rPr>
        <w:t xml:space="preserve"> the</w:t>
      </w:r>
      <w:r w:rsidR="008578E4">
        <w:rPr>
          <w:lang w:val="en-GB"/>
        </w:rPr>
        <w:t xml:space="preserve"> used</w:t>
      </w:r>
      <w:r w:rsidR="00EE673E">
        <w:rPr>
          <w:lang w:val="en-GB"/>
        </w:rPr>
        <w:t xml:space="preserve"> electric energy </w:t>
      </w:r>
      <w:r w:rsidR="00E9374B">
        <w:rPr>
          <w:lang w:val="en-GB"/>
        </w:rPr>
        <w:t>is</w:t>
      </w:r>
      <w:r w:rsidR="00EE673E">
        <w:rPr>
          <w:lang w:val="en-GB"/>
        </w:rPr>
        <w:t xml:space="preserve"> reduced by</w:t>
      </w:r>
      <w:r w:rsidR="00F87495">
        <w:rPr>
          <w:lang w:val="en-GB"/>
        </w:rPr>
        <w:t xml:space="preserve"> 3.2</w:t>
      </w:r>
      <w:r w:rsidR="00EE673E">
        <w:rPr>
          <w:lang w:val="en-GB"/>
        </w:rPr>
        <w:t>%</w:t>
      </w:r>
      <w:r w:rsidR="00F87495">
        <w:rPr>
          <w:lang w:val="en-GB"/>
        </w:rPr>
        <w:t>.</w:t>
      </w:r>
    </w:p>
    <w:p w14:paraId="2FACB172" w14:textId="77777777" w:rsidR="00030317" w:rsidRDefault="00030317" w:rsidP="00030317">
      <w:pPr>
        <w:pStyle w:val="CETBodytext"/>
        <w:rPr>
          <w:lang w:val="en-GB"/>
        </w:rPr>
      </w:pPr>
    </w:p>
    <w:p w14:paraId="4BE38B5C" w14:textId="0506EE6B" w:rsidR="00082083" w:rsidRDefault="008578E4" w:rsidP="00120459">
      <w:pPr>
        <w:pStyle w:val="CETBodytext"/>
        <w:rPr>
          <w:lang w:val="en-GB"/>
        </w:rPr>
      </w:pPr>
      <w:r>
        <w:rPr>
          <w:lang w:val="en-GB"/>
        </w:rPr>
        <w:t>The CO</w:t>
      </w:r>
      <w:r w:rsidRPr="008578E4">
        <w:rPr>
          <w:vertAlign w:val="subscript"/>
          <w:lang w:val="en-GB"/>
        </w:rPr>
        <w:t>2</w:t>
      </w:r>
      <w:r>
        <w:rPr>
          <w:lang w:val="en-GB"/>
        </w:rPr>
        <w:t xml:space="preserve"> emission of the used electric energy </w:t>
      </w:r>
      <w:r w:rsidR="00082083">
        <w:rPr>
          <w:lang w:val="en-GB"/>
        </w:rPr>
        <w:t xml:space="preserve">can further be decreased by </w:t>
      </w:r>
      <w:r w:rsidR="0091248E">
        <w:rPr>
          <w:lang w:val="en-GB"/>
        </w:rPr>
        <w:t>an inclusion</w:t>
      </w:r>
      <w:r w:rsidR="005329C3">
        <w:rPr>
          <w:lang w:val="en-GB"/>
        </w:rPr>
        <w:t xml:space="preserve"> of the emission factor</w:t>
      </w:r>
      <w:r w:rsidR="0091248E">
        <w:rPr>
          <w:lang w:val="en-GB"/>
        </w:rPr>
        <w:t xml:space="preserve"> in the </w:t>
      </w:r>
      <w:r w:rsidR="00FF0A1E">
        <w:rPr>
          <w:lang w:val="en-GB"/>
        </w:rPr>
        <w:t xml:space="preserve">energy price </w:t>
      </w:r>
      <w:r w:rsidR="00120459">
        <w:rPr>
          <w:lang w:val="en-GB"/>
        </w:rPr>
        <w:t xml:space="preserve">of the optimization </w:t>
      </w:r>
      <w:r w:rsidR="0091248E">
        <w:rPr>
          <w:lang w:val="en-GB"/>
        </w:rPr>
        <w:t>(</w:t>
      </w:r>
      <w:r w:rsidR="005329C3">
        <w:rPr>
          <w:lang w:val="en-GB"/>
        </w:rPr>
        <w:t>3</w:t>
      </w:r>
      <w:r w:rsidR="0091248E">
        <w:rPr>
          <w:lang w:val="en-GB"/>
        </w:rPr>
        <w:t>a)</w:t>
      </w:r>
      <w:r w:rsidR="00FF0A1E">
        <w:rPr>
          <w:lang w:val="en-GB"/>
        </w:rPr>
        <w:t xml:space="preserve">. </w:t>
      </w:r>
      <w:r w:rsidR="0091248E">
        <w:rPr>
          <w:lang w:val="en-GB"/>
        </w:rPr>
        <w:t xml:space="preserve">This leads to a </w:t>
      </w:r>
      <w:r w:rsidR="00CE63D2">
        <w:rPr>
          <w:lang w:val="en-GB"/>
        </w:rPr>
        <w:t>trade-off</w:t>
      </w:r>
      <w:r>
        <w:rPr>
          <w:lang w:val="en-GB"/>
        </w:rPr>
        <w:t xml:space="preserve"> between </w:t>
      </w:r>
      <w:r w:rsidR="001C2FA7">
        <w:rPr>
          <w:lang w:val="en-GB"/>
        </w:rPr>
        <w:t>economic</w:t>
      </w:r>
      <w:r w:rsidR="0091248E">
        <w:rPr>
          <w:lang w:val="en-GB"/>
        </w:rPr>
        <w:t xml:space="preserve"> cost</w:t>
      </w:r>
      <w:r>
        <w:rPr>
          <w:lang w:val="en-GB"/>
        </w:rPr>
        <w:t xml:space="preserve"> and ecological </w:t>
      </w:r>
      <w:r w:rsidR="0091248E">
        <w:rPr>
          <w:lang w:val="en-GB"/>
        </w:rPr>
        <w:t xml:space="preserve">impact of the electric </w:t>
      </w:r>
      <w:r w:rsidR="00E9374B">
        <w:rPr>
          <w:lang w:val="en-GB"/>
        </w:rPr>
        <w:t>power</w:t>
      </w:r>
      <w:r w:rsidR="0091248E">
        <w:rPr>
          <w:lang w:val="en-GB"/>
        </w:rPr>
        <w:t xml:space="preserve">. </w:t>
      </w:r>
      <w:r>
        <w:rPr>
          <w:lang w:val="en-GB"/>
        </w:rPr>
        <w:t xml:space="preserve">The optimization </w:t>
      </w:r>
      <w:r w:rsidR="00E9374B">
        <w:rPr>
          <w:lang w:val="en-GB"/>
        </w:rPr>
        <w:t>was</w:t>
      </w:r>
      <w:r>
        <w:rPr>
          <w:lang w:val="en-GB"/>
        </w:rPr>
        <w:t xml:space="preserve"> executed </w:t>
      </w:r>
      <w:r w:rsidR="001C2FA7">
        <w:rPr>
          <w:lang w:val="en-GB"/>
        </w:rPr>
        <w:t>for multiple weighting factors.</w:t>
      </w:r>
      <w:r w:rsidR="0091248E">
        <w:rPr>
          <w:lang w:val="en-GB"/>
        </w:rPr>
        <w:t xml:space="preserve"> </w:t>
      </w:r>
      <w:r w:rsidR="001C2FA7">
        <w:rPr>
          <w:lang w:val="en-GB"/>
        </w:rPr>
        <w:t xml:space="preserve">The results are displayed in Figure 3. The </w:t>
      </w:r>
      <w:r w:rsidR="000C078B">
        <w:rPr>
          <w:lang w:val="en-GB"/>
        </w:rPr>
        <w:t>CO</w:t>
      </w:r>
      <w:r w:rsidR="000C078B" w:rsidRPr="008578E4">
        <w:rPr>
          <w:vertAlign w:val="subscript"/>
          <w:lang w:val="en-GB"/>
        </w:rPr>
        <w:t>2</w:t>
      </w:r>
      <w:r w:rsidR="000C078B">
        <w:rPr>
          <w:lang w:val="en-GB"/>
        </w:rPr>
        <w:t xml:space="preserve"> emission of the used electric energy </w:t>
      </w:r>
      <w:r w:rsidR="0091248E">
        <w:rPr>
          <w:lang w:val="en-GB"/>
        </w:rPr>
        <w:t>is</w:t>
      </w:r>
      <w:r w:rsidR="001C2FA7">
        <w:rPr>
          <w:lang w:val="en-GB"/>
        </w:rPr>
        <w:t xml:space="preserve"> plotted against the </w:t>
      </w:r>
      <w:r w:rsidR="008E10B2">
        <w:rPr>
          <w:lang w:val="en-GB"/>
        </w:rPr>
        <w:t>cost</w:t>
      </w:r>
      <w:r w:rsidR="000C078B">
        <w:rPr>
          <w:lang w:val="en-GB"/>
        </w:rPr>
        <w:t xml:space="preserve"> for the dynamic schedule in comparison to the steady state optimization.</w:t>
      </w:r>
      <w:r w:rsidR="001E2F39">
        <w:rPr>
          <w:lang w:val="en-GB"/>
        </w:rPr>
        <w:t xml:space="preserve"> </w:t>
      </w:r>
      <w:r w:rsidR="004F6615">
        <w:rPr>
          <w:lang w:val="en-GB"/>
        </w:rPr>
        <w:t>The results show a Pareto front</w:t>
      </w:r>
      <w:r w:rsidR="0091248E">
        <w:rPr>
          <w:lang w:val="en-GB"/>
        </w:rPr>
        <w:t xml:space="preserve">, in which a lower </w:t>
      </w:r>
      <w:r w:rsidR="0091248E">
        <w:rPr>
          <w:lang w:val="en-GB"/>
        </w:rPr>
        <w:lastRenderedPageBreak/>
        <w:t>emission leads to a higher cost</w:t>
      </w:r>
      <w:r w:rsidR="000A1888">
        <w:rPr>
          <w:lang w:val="en-GB"/>
        </w:rPr>
        <w:t>.</w:t>
      </w:r>
      <w:r w:rsidR="000A1888" w:rsidRPr="000A1888">
        <w:rPr>
          <w:lang w:val="en-GB"/>
        </w:rPr>
        <w:t xml:space="preserve"> </w:t>
      </w:r>
      <w:r w:rsidR="0091248E">
        <w:rPr>
          <w:lang w:val="en-GB"/>
        </w:rPr>
        <w:t>However, in general t</w:t>
      </w:r>
      <w:r w:rsidR="000A1888">
        <w:rPr>
          <w:lang w:val="en-GB"/>
        </w:rPr>
        <w:t>he dynamic optimal operation improves both the relative energy cost and the emission</w:t>
      </w:r>
      <w:r w:rsidR="0091248E">
        <w:rPr>
          <w:lang w:val="en-GB"/>
        </w:rPr>
        <w:t xml:space="preserve"> in comparison to the steady state operation</w:t>
      </w:r>
      <w:r w:rsidR="000A1888">
        <w:rPr>
          <w:lang w:val="en-GB"/>
        </w:rPr>
        <w:t xml:space="preserve">. </w:t>
      </w:r>
      <w:r w:rsidR="00E9374B">
        <w:rPr>
          <w:lang w:val="en-GB"/>
        </w:rPr>
        <w:t xml:space="preserve">The </w:t>
      </w:r>
      <w:r w:rsidR="000A1888">
        <w:rPr>
          <w:lang w:val="en-GB"/>
        </w:rPr>
        <w:t xml:space="preserve">cost </w:t>
      </w:r>
      <w:r w:rsidR="00E9374B">
        <w:rPr>
          <w:lang w:val="en-GB"/>
        </w:rPr>
        <w:t xml:space="preserve">of the electric </w:t>
      </w:r>
      <w:r w:rsidR="00A45770">
        <w:rPr>
          <w:lang w:val="en-GB"/>
        </w:rPr>
        <w:t>energy</w:t>
      </w:r>
      <w:r w:rsidR="00E9374B">
        <w:rPr>
          <w:lang w:val="en-GB"/>
        </w:rPr>
        <w:t xml:space="preserve"> and the associated</w:t>
      </w:r>
      <w:r w:rsidR="000A1888">
        <w:rPr>
          <w:lang w:val="en-GB"/>
        </w:rPr>
        <w:t xml:space="preserve"> emission</w:t>
      </w:r>
      <w:r w:rsidR="00E9374B">
        <w:rPr>
          <w:lang w:val="en-GB"/>
        </w:rPr>
        <w:t>s</w:t>
      </w:r>
      <w:r w:rsidR="000A1888">
        <w:rPr>
          <w:lang w:val="en-GB"/>
        </w:rPr>
        <w:t xml:space="preserve"> vary in a small </w:t>
      </w:r>
      <w:r w:rsidR="0088183B">
        <w:rPr>
          <w:lang w:val="en-GB"/>
        </w:rPr>
        <w:t>interval</w:t>
      </w:r>
      <w:r w:rsidR="00403B19">
        <w:rPr>
          <w:lang w:val="en-GB"/>
        </w:rPr>
        <w:t xml:space="preserve"> which</w:t>
      </w:r>
      <w:r w:rsidR="002B394B">
        <w:rPr>
          <w:lang w:val="en-GB"/>
        </w:rPr>
        <w:t xml:space="preserve"> is caused by the high correlation between</w:t>
      </w:r>
      <w:r w:rsidR="000A1888">
        <w:rPr>
          <w:lang w:val="en-GB"/>
        </w:rPr>
        <w:t xml:space="preserve"> the emission factor </w:t>
      </w:r>
      <w:r w:rsidR="002B394B">
        <w:rPr>
          <w:lang w:val="en-GB"/>
        </w:rPr>
        <w:t>and</w:t>
      </w:r>
      <w:r w:rsidR="000A1888">
        <w:rPr>
          <w:lang w:val="en-GB"/>
        </w:rPr>
        <w:t xml:space="preserve"> the price of the electric energy. </w:t>
      </w:r>
    </w:p>
    <w:p w14:paraId="6C72FB62" w14:textId="530CEB79" w:rsidR="00082083" w:rsidRDefault="005D6BAC" w:rsidP="00082083">
      <w:pPr>
        <w:pStyle w:val="CETBodytext"/>
        <w:jc w:val="center"/>
        <w:rPr>
          <w:lang w:val="en-GB"/>
        </w:rPr>
      </w:pPr>
      <w:r w:rsidRPr="005D6BAC">
        <w:rPr>
          <w:noProof/>
          <w:lang w:val="de-DE" w:eastAsia="de-DE"/>
        </w:rPr>
        <w:drawing>
          <wp:inline distT="0" distB="0" distL="0" distR="0" wp14:anchorId="1D7993A4" wp14:editId="171A6ABF">
            <wp:extent cx="2142303" cy="1889137"/>
            <wp:effectExtent l="0" t="0" r="0" b="0"/>
            <wp:docPr id="1" name="Grafik 1" descr="C:\Users\smrosemr\RobinSync\PhD\Conferences\E2DT\Paper\Computing\PlottedPareto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mrosemr\RobinSync\PhD\Conferences\E2DT\Paper\Computing\PlottedParetoFron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73" cy="189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5028" w14:textId="39497110" w:rsidR="008578E4" w:rsidRPr="00BD077D" w:rsidRDefault="008578E4" w:rsidP="008578E4">
      <w:pPr>
        <w:pStyle w:val="CETCaption"/>
        <w:jc w:val="left"/>
      </w:pPr>
      <w:r w:rsidRPr="00BD077D">
        <w:rPr>
          <w:rStyle w:val="CETCaptionCarattere"/>
          <w:i/>
        </w:rPr>
        <w:t xml:space="preserve">Figure </w:t>
      </w:r>
      <w:r>
        <w:rPr>
          <w:rStyle w:val="CETCaptionCarattere"/>
          <w:i/>
        </w:rPr>
        <w:t>3</w:t>
      </w:r>
      <w:r w:rsidRPr="00BD077D">
        <w:rPr>
          <w:rStyle w:val="CETCaptionCarattere"/>
          <w:i/>
        </w:rPr>
        <w:t>:</w:t>
      </w:r>
      <w:r>
        <w:rPr>
          <w:rStyle w:val="CETCaptionCarattere"/>
          <w:i/>
        </w:rPr>
        <w:t xml:space="preserve"> </w:t>
      </w:r>
      <w:r w:rsidR="008E10B2">
        <w:rPr>
          <w:rStyle w:val="CETCaptionCarattere"/>
          <w:i/>
        </w:rPr>
        <w:t>Emission</w:t>
      </w:r>
      <w:r w:rsidR="00E9374B">
        <w:rPr>
          <w:rStyle w:val="CETCaptionCarattere"/>
          <w:i/>
        </w:rPr>
        <w:t>s</w:t>
      </w:r>
      <w:r w:rsidR="000A1888">
        <w:rPr>
          <w:rStyle w:val="CETCaptionCarattere"/>
          <w:i/>
        </w:rPr>
        <w:t xml:space="preserve"> of the used electric</w:t>
      </w:r>
      <w:r w:rsidR="002B394B">
        <w:rPr>
          <w:rStyle w:val="CETCaptionCarattere"/>
          <w:i/>
        </w:rPr>
        <w:t xml:space="preserve"> energy</w:t>
      </w:r>
      <w:r w:rsidR="001C2FA7">
        <w:rPr>
          <w:rStyle w:val="CETCaptionCarattere"/>
          <w:i/>
        </w:rPr>
        <w:t xml:space="preserve"> over cost of</w:t>
      </w:r>
      <w:r w:rsidR="00D20103">
        <w:rPr>
          <w:rStyle w:val="CETCaptionCarattere"/>
          <w:i/>
        </w:rPr>
        <w:t xml:space="preserve"> electric energy for</w:t>
      </w:r>
      <w:r w:rsidR="001C2FA7">
        <w:rPr>
          <w:rStyle w:val="CETCaptionCarattere"/>
          <w:i/>
        </w:rPr>
        <w:t xml:space="preserve"> the</w:t>
      </w:r>
      <w:r w:rsidR="008E10B2">
        <w:rPr>
          <w:rStyle w:val="CETCaptionCarattere"/>
          <w:i/>
        </w:rPr>
        <w:t xml:space="preserve"> dynamic</w:t>
      </w:r>
      <w:r w:rsidR="001C2FA7">
        <w:rPr>
          <w:rStyle w:val="CETCaptionCarattere"/>
          <w:i/>
        </w:rPr>
        <w:t xml:space="preserve"> operation</w:t>
      </w:r>
      <w:r w:rsidR="008E10B2">
        <w:rPr>
          <w:rStyle w:val="CETCaptionCarattere"/>
          <w:i/>
        </w:rPr>
        <w:t xml:space="preserve"> in relation to</w:t>
      </w:r>
      <w:r w:rsidR="001C2FA7">
        <w:rPr>
          <w:rStyle w:val="CETCaptionCarattere"/>
          <w:i/>
        </w:rPr>
        <w:t xml:space="preserve"> the optimal steady state operation</w:t>
      </w:r>
    </w:p>
    <w:p w14:paraId="6CDAD266" w14:textId="7DCA77E8" w:rsidR="00FF7065" w:rsidRDefault="007F608A" w:rsidP="00764AF8">
      <w:pPr>
        <w:pStyle w:val="CETHeading1"/>
        <w:tabs>
          <w:tab w:val="clear" w:pos="360"/>
          <w:tab w:val="right" w:pos="7100"/>
        </w:tabs>
        <w:jc w:val="both"/>
        <w:rPr>
          <w:lang w:val="en-GB"/>
        </w:rPr>
      </w:pPr>
      <w:r>
        <w:rPr>
          <w:lang w:val="en-GB"/>
        </w:rPr>
        <w:t xml:space="preserve">Economic evaluation </w:t>
      </w:r>
    </w:p>
    <w:p w14:paraId="78E76F49" w14:textId="284C0BD1" w:rsidR="00ED7A6F" w:rsidRPr="00FB1CA9" w:rsidRDefault="007F608A" w:rsidP="0081571E">
      <w:pPr>
        <w:pStyle w:val="CETBodytext"/>
        <w:rPr>
          <w:rFonts w:asciiTheme="minorBidi" w:hAnsiTheme="minorBidi" w:cstheme="minorBidi"/>
          <w:szCs w:val="18"/>
        </w:rPr>
      </w:pPr>
      <w:r w:rsidRPr="00FB1CA9">
        <w:rPr>
          <w:rFonts w:asciiTheme="minorBidi" w:hAnsiTheme="minorBidi" w:cstheme="minorBidi"/>
          <w:szCs w:val="18"/>
        </w:rPr>
        <w:t xml:space="preserve">The </w:t>
      </w:r>
      <w:r w:rsidR="00387321" w:rsidRPr="00FB1CA9">
        <w:rPr>
          <w:rFonts w:asciiTheme="minorBidi" w:hAnsiTheme="minorBidi" w:cstheme="minorBidi"/>
          <w:szCs w:val="18"/>
        </w:rPr>
        <w:t>benefits in reduction of the energy cost</w:t>
      </w:r>
      <w:r w:rsidR="00CE63D2" w:rsidRPr="00FB1CA9">
        <w:rPr>
          <w:rFonts w:asciiTheme="minorBidi" w:hAnsiTheme="minorBidi" w:cstheme="minorBidi"/>
          <w:szCs w:val="18"/>
        </w:rPr>
        <w:t xml:space="preserve"> </w:t>
      </w:r>
      <w:r w:rsidR="00823137" w:rsidRPr="00FB1CA9">
        <w:rPr>
          <w:rFonts w:asciiTheme="minorBidi" w:hAnsiTheme="minorBidi" w:cstheme="minorBidi"/>
          <w:szCs w:val="18"/>
        </w:rPr>
        <w:t>were</w:t>
      </w:r>
      <w:r w:rsidR="00CE63D2" w:rsidRPr="00FB1CA9">
        <w:rPr>
          <w:rFonts w:asciiTheme="minorBidi" w:hAnsiTheme="minorBidi" w:cstheme="minorBidi"/>
          <w:szCs w:val="18"/>
        </w:rPr>
        <w:t xml:space="preserve"> shown </w:t>
      </w:r>
      <w:r w:rsidR="00387321" w:rsidRPr="00FB1CA9">
        <w:rPr>
          <w:rFonts w:asciiTheme="minorBidi" w:hAnsiTheme="minorBidi" w:cstheme="minorBidi"/>
          <w:szCs w:val="18"/>
        </w:rPr>
        <w:t xml:space="preserve">in the previous </w:t>
      </w:r>
      <w:r w:rsidR="00CE63D2" w:rsidRPr="00FB1CA9">
        <w:rPr>
          <w:rFonts w:asciiTheme="minorBidi" w:hAnsiTheme="minorBidi" w:cstheme="minorBidi"/>
          <w:szCs w:val="18"/>
        </w:rPr>
        <w:t>section. However,</w:t>
      </w:r>
      <w:r w:rsidR="00387321" w:rsidRPr="00FB1CA9">
        <w:rPr>
          <w:rFonts w:asciiTheme="minorBidi" w:hAnsiTheme="minorBidi" w:cstheme="minorBidi"/>
          <w:szCs w:val="18"/>
        </w:rPr>
        <w:t xml:space="preserve"> attention has to be </w:t>
      </w:r>
      <w:r w:rsidR="00823137" w:rsidRPr="00FB1CA9">
        <w:rPr>
          <w:rFonts w:asciiTheme="minorBidi" w:hAnsiTheme="minorBidi" w:cstheme="minorBidi"/>
          <w:szCs w:val="18"/>
        </w:rPr>
        <w:t xml:space="preserve">paid to the fact </w:t>
      </w:r>
      <w:r w:rsidR="00387321" w:rsidRPr="00FB1CA9">
        <w:rPr>
          <w:rFonts w:asciiTheme="minorBidi" w:hAnsiTheme="minorBidi" w:cstheme="minorBidi"/>
          <w:szCs w:val="18"/>
        </w:rPr>
        <w:t>that the operation range of the plant needs to be ex</w:t>
      </w:r>
      <w:r w:rsidR="00AB13FA" w:rsidRPr="00FB1CA9">
        <w:rPr>
          <w:rFonts w:asciiTheme="minorBidi" w:hAnsiTheme="minorBidi" w:cstheme="minorBidi"/>
          <w:szCs w:val="18"/>
        </w:rPr>
        <w:t xml:space="preserve">tended, to be able to </w:t>
      </w:r>
      <w:r w:rsidR="00823137" w:rsidRPr="00FB1CA9">
        <w:rPr>
          <w:rFonts w:asciiTheme="minorBidi" w:hAnsiTheme="minorBidi" w:cstheme="minorBidi"/>
          <w:szCs w:val="18"/>
        </w:rPr>
        <w:t>vary</w:t>
      </w:r>
      <w:r w:rsidR="00AB13FA" w:rsidRPr="00FB1CA9">
        <w:rPr>
          <w:rFonts w:asciiTheme="minorBidi" w:hAnsiTheme="minorBidi" w:cstheme="minorBidi"/>
          <w:szCs w:val="18"/>
        </w:rPr>
        <w:t xml:space="preserve"> the throughput</w:t>
      </w:r>
      <w:r w:rsidR="00823137" w:rsidRPr="00FB1CA9">
        <w:rPr>
          <w:rFonts w:asciiTheme="minorBidi" w:hAnsiTheme="minorBidi" w:cstheme="minorBidi"/>
          <w:szCs w:val="18"/>
        </w:rPr>
        <w:t xml:space="preserve"> while still achieving the same average amount of product</w:t>
      </w:r>
      <w:r w:rsidR="00387321" w:rsidRPr="00FB1CA9">
        <w:rPr>
          <w:rFonts w:asciiTheme="minorBidi" w:hAnsiTheme="minorBidi" w:cstheme="minorBidi"/>
          <w:szCs w:val="18"/>
        </w:rPr>
        <w:t xml:space="preserve">. Therefore, </w:t>
      </w:r>
      <w:r w:rsidR="00256319" w:rsidRPr="00FB1CA9">
        <w:rPr>
          <w:rFonts w:asciiTheme="minorBidi" w:hAnsiTheme="minorBidi" w:cstheme="minorBidi"/>
          <w:szCs w:val="18"/>
        </w:rPr>
        <w:t>critical</w:t>
      </w:r>
      <w:r w:rsidR="00387321" w:rsidRPr="00FB1CA9">
        <w:rPr>
          <w:rFonts w:asciiTheme="minorBidi" w:hAnsiTheme="minorBidi" w:cstheme="minorBidi"/>
          <w:szCs w:val="18"/>
        </w:rPr>
        <w:t xml:space="preserve"> components of the plant </w:t>
      </w:r>
      <w:r w:rsidR="00256319" w:rsidRPr="00FB1CA9">
        <w:rPr>
          <w:rFonts w:asciiTheme="minorBidi" w:hAnsiTheme="minorBidi" w:cstheme="minorBidi"/>
          <w:szCs w:val="18"/>
        </w:rPr>
        <w:t>have to be</w:t>
      </w:r>
      <w:r w:rsidR="00B83B1C" w:rsidRPr="00FB1CA9">
        <w:rPr>
          <w:rFonts w:asciiTheme="minorBidi" w:hAnsiTheme="minorBidi" w:cstheme="minorBidi"/>
          <w:szCs w:val="18"/>
        </w:rPr>
        <w:t xml:space="preserve"> </w:t>
      </w:r>
      <w:r w:rsidR="00CE63D2" w:rsidRPr="00FB1CA9">
        <w:rPr>
          <w:rFonts w:asciiTheme="minorBidi" w:hAnsiTheme="minorBidi" w:cstheme="minorBidi"/>
          <w:szCs w:val="18"/>
        </w:rPr>
        <w:t>enlarged</w:t>
      </w:r>
      <w:r w:rsidR="00256319" w:rsidRPr="00FB1CA9">
        <w:rPr>
          <w:rFonts w:asciiTheme="minorBidi" w:hAnsiTheme="minorBidi" w:cstheme="minorBidi"/>
          <w:szCs w:val="18"/>
        </w:rPr>
        <w:t xml:space="preserve">. </w:t>
      </w:r>
      <w:r w:rsidR="006D1601" w:rsidRPr="00FB1CA9">
        <w:rPr>
          <w:rFonts w:asciiTheme="minorBidi" w:hAnsiTheme="minorBidi" w:cstheme="minorBidi"/>
          <w:szCs w:val="18"/>
        </w:rPr>
        <w:t>I</w:t>
      </w:r>
      <w:r w:rsidR="00256319" w:rsidRPr="00FB1CA9">
        <w:rPr>
          <w:rFonts w:asciiTheme="minorBidi" w:hAnsiTheme="minorBidi" w:cstheme="minorBidi"/>
          <w:szCs w:val="18"/>
        </w:rPr>
        <w:t xml:space="preserve">n the given </w:t>
      </w:r>
      <w:r w:rsidR="00287505" w:rsidRPr="00FB1CA9">
        <w:rPr>
          <w:rFonts w:asciiTheme="minorBidi" w:hAnsiTheme="minorBidi" w:cstheme="minorBidi"/>
          <w:szCs w:val="18"/>
        </w:rPr>
        <w:t>process,</w:t>
      </w:r>
      <w:r w:rsidR="006D1601" w:rsidRPr="00FB1CA9">
        <w:rPr>
          <w:rFonts w:asciiTheme="minorBidi" w:hAnsiTheme="minorBidi" w:cstheme="minorBidi"/>
          <w:szCs w:val="18"/>
        </w:rPr>
        <w:t xml:space="preserve"> th</w:t>
      </w:r>
      <w:r w:rsidR="00823137" w:rsidRPr="00FB1CA9">
        <w:rPr>
          <w:rFonts w:asciiTheme="minorBidi" w:hAnsiTheme="minorBidi" w:cstheme="minorBidi"/>
          <w:szCs w:val="18"/>
        </w:rPr>
        <w:t>e</w:t>
      </w:r>
      <w:r w:rsidR="006D1601" w:rsidRPr="00FB1CA9">
        <w:rPr>
          <w:rFonts w:asciiTheme="minorBidi" w:hAnsiTheme="minorBidi" w:cstheme="minorBidi"/>
          <w:szCs w:val="18"/>
        </w:rPr>
        <w:t>se components</w:t>
      </w:r>
      <w:r w:rsidR="00256319" w:rsidRPr="00FB1CA9">
        <w:rPr>
          <w:rFonts w:asciiTheme="minorBidi" w:hAnsiTheme="minorBidi" w:cstheme="minorBidi"/>
          <w:szCs w:val="18"/>
        </w:rPr>
        <w:t xml:space="preserve"> are the aluminate and silicate</w:t>
      </w:r>
      <w:r w:rsidR="006D1601" w:rsidRPr="00FB1CA9">
        <w:rPr>
          <w:rFonts w:asciiTheme="minorBidi" w:hAnsiTheme="minorBidi" w:cstheme="minorBidi"/>
          <w:szCs w:val="18"/>
        </w:rPr>
        <w:t xml:space="preserve"> feeding </w:t>
      </w:r>
      <w:r w:rsidR="00256319" w:rsidRPr="00FB1CA9">
        <w:rPr>
          <w:rFonts w:asciiTheme="minorBidi" w:hAnsiTheme="minorBidi" w:cstheme="minorBidi"/>
          <w:szCs w:val="18"/>
        </w:rPr>
        <w:t xml:space="preserve">tanks, the feeding pumps, the high shear </w:t>
      </w:r>
      <w:r w:rsidR="006D1601" w:rsidRPr="00FB1CA9">
        <w:rPr>
          <w:rFonts w:asciiTheme="minorBidi" w:hAnsiTheme="minorBidi" w:cstheme="minorBidi"/>
          <w:szCs w:val="18"/>
        </w:rPr>
        <w:t xml:space="preserve">continuous </w:t>
      </w:r>
      <w:r w:rsidR="00073279" w:rsidRPr="00FB1CA9">
        <w:rPr>
          <w:rFonts w:asciiTheme="minorBidi" w:hAnsiTheme="minorBidi" w:cstheme="minorBidi"/>
          <w:szCs w:val="18"/>
        </w:rPr>
        <w:t>mixer,</w:t>
      </w:r>
      <w:r w:rsidR="00256319" w:rsidRPr="00FB1CA9">
        <w:rPr>
          <w:rFonts w:asciiTheme="minorBidi" w:hAnsiTheme="minorBidi" w:cstheme="minorBidi"/>
          <w:szCs w:val="18"/>
        </w:rPr>
        <w:t xml:space="preserve"> the filtration unit</w:t>
      </w:r>
      <w:r w:rsidR="006D1601" w:rsidRPr="00FB1CA9">
        <w:rPr>
          <w:rFonts w:asciiTheme="minorBidi" w:hAnsiTheme="minorBidi" w:cstheme="minorBidi"/>
          <w:szCs w:val="18"/>
        </w:rPr>
        <w:t xml:space="preserve"> and the heating elements of the reactor</w:t>
      </w:r>
      <w:r w:rsidR="00256319" w:rsidRPr="00FB1CA9">
        <w:rPr>
          <w:rFonts w:asciiTheme="minorBidi" w:hAnsiTheme="minorBidi" w:cstheme="minorBidi"/>
          <w:szCs w:val="18"/>
        </w:rPr>
        <w:t>.</w:t>
      </w:r>
      <w:r w:rsidR="006D1601" w:rsidRPr="00FB1CA9">
        <w:rPr>
          <w:rFonts w:asciiTheme="minorBidi" w:hAnsiTheme="minorBidi" w:cstheme="minorBidi"/>
          <w:szCs w:val="18"/>
        </w:rPr>
        <w:t xml:space="preserve"> The other components, e.g. </w:t>
      </w:r>
      <w:r w:rsidR="00823137" w:rsidRPr="00FB1CA9">
        <w:rPr>
          <w:rFonts w:asciiTheme="minorBidi" w:hAnsiTheme="minorBidi" w:cstheme="minorBidi"/>
          <w:szCs w:val="18"/>
        </w:rPr>
        <w:t xml:space="preserve">the </w:t>
      </w:r>
      <w:r w:rsidR="006D1601" w:rsidRPr="00FB1CA9">
        <w:rPr>
          <w:rFonts w:asciiTheme="minorBidi" w:hAnsiTheme="minorBidi" w:cstheme="minorBidi"/>
          <w:szCs w:val="18"/>
        </w:rPr>
        <w:t xml:space="preserve">heat exchanger and </w:t>
      </w:r>
      <w:r w:rsidR="00823137" w:rsidRPr="00FB1CA9">
        <w:rPr>
          <w:rFonts w:asciiTheme="minorBidi" w:hAnsiTheme="minorBidi" w:cstheme="minorBidi"/>
          <w:szCs w:val="18"/>
        </w:rPr>
        <w:t xml:space="preserve">the </w:t>
      </w:r>
      <w:r w:rsidR="006D1601" w:rsidRPr="00FB1CA9">
        <w:rPr>
          <w:rFonts w:asciiTheme="minorBidi" w:hAnsiTheme="minorBidi" w:cstheme="minorBidi"/>
          <w:szCs w:val="18"/>
        </w:rPr>
        <w:t xml:space="preserve">reactor are </w:t>
      </w:r>
      <w:r w:rsidR="00823137" w:rsidRPr="00FB1CA9">
        <w:rPr>
          <w:rFonts w:asciiTheme="minorBidi" w:hAnsiTheme="minorBidi" w:cstheme="minorBidi"/>
          <w:szCs w:val="18"/>
        </w:rPr>
        <w:t xml:space="preserve">not </w:t>
      </w:r>
      <w:r w:rsidR="006D1601" w:rsidRPr="00FB1CA9">
        <w:rPr>
          <w:rFonts w:asciiTheme="minorBidi" w:hAnsiTheme="minorBidi" w:cstheme="minorBidi"/>
          <w:szCs w:val="18"/>
        </w:rPr>
        <w:t>operated</w:t>
      </w:r>
      <w:r w:rsidR="00B67CCA" w:rsidRPr="00FB1CA9">
        <w:rPr>
          <w:rFonts w:asciiTheme="minorBidi" w:hAnsiTheme="minorBidi" w:cstheme="minorBidi"/>
          <w:szCs w:val="18"/>
        </w:rPr>
        <w:t xml:space="preserve"> at</w:t>
      </w:r>
      <w:r w:rsidR="006D1601" w:rsidRPr="00FB1CA9">
        <w:rPr>
          <w:rFonts w:asciiTheme="minorBidi" w:hAnsiTheme="minorBidi" w:cstheme="minorBidi"/>
          <w:szCs w:val="18"/>
        </w:rPr>
        <w:t xml:space="preserve"> </w:t>
      </w:r>
      <w:r w:rsidR="00823137" w:rsidRPr="00FB1CA9">
        <w:rPr>
          <w:rFonts w:asciiTheme="minorBidi" w:hAnsiTheme="minorBidi" w:cstheme="minorBidi"/>
          <w:szCs w:val="18"/>
        </w:rPr>
        <w:t>their limits</w:t>
      </w:r>
      <w:r w:rsidR="006D1601" w:rsidRPr="00FB1CA9">
        <w:rPr>
          <w:rFonts w:asciiTheme="minorBidi" w:hAnsiTheme="minorBidi" w:cstheme="minorBidi"/>
          <w:szCs w:val="18"/>
        </w:rPr>
        <w:t xml:space="preserve"> which </w:t>
      </w:r>
      <w:r w:rsidR="00823137" w:rsidRPr="00FB1CA9">
        <w:rPr>
          <w:rFonts w:asciiTheme="minorBidi" w:hAnsiTheme="minorBidi" w:cstheme="minorBidi"/>
          <w:szCs w:val="18"/>
        </w:rPr>
        <w:t>are</w:t>
      </w:r>
      <w:r w:rsidR="006D1601" w:rsidRPr="00FB1CA9">
        <w:rPr>
          <w:rFonts w:asciiTheme="minorBidi" w:hAnsiTheme="minorBidi" w:cstheme="minorBidi"/>
          <w:szCs w:val="18"/>
        </w:rPr>
        <w:t xml:space="preserve"> </w:t>
      </w:r>
      <w:r w:rsidR="00073279" w:rsidRPr="00FB1CA9">
        <w:rPr>
          <w:rFonts w:asciiTheme="minorBidi" w:hAnsiTheme="minorBidi" w:cstheme="minorBidi"/>
          <w:szCs w:val="18"/>
        </w:rPr>
        <w:t>included</w:t>
      </w:r>
      <w:r w:rsidR="006D1601" w:rsidRPr="00FB1CA9">
        <w:rPr>
          <w:rFonts w:asciiTheme="minorBidi" w:hAnsiTheme="minorBidi" w:cstheme="minorBidi"/>
          <w:szCs w:val="18"/>
        </w:rPr>
        <w:t xml:space="preserve"> in the </w:t>
      </w:r>
      <w:r w:rsidR="00823137" w:rsidRPr="00FB1CA9">
        <w:rPr>
          <w:rFonts w:asciiTheme="minorBidi" w:hAnsiTheme="minorBidi" w:cstheme="minorBidi"/>
          <w:szCs w:val="18"/>
        </w:rPr>
        <w:t>formulati</w:t>
      </w:r>
      <w:r w:rsidR="00DE3724" w:rsidRPr="00FB1CA9">
        <w:rPr>
          <w:rFonts w:asciiTheme="minorBidi" w:hAnsiTheme="minorBidi" w:cstheme="minorBidi"/>
          <w:szCs w:val="18"/>
        </w:rPr>
        <w:t>on of the optimization problem.</w:t>
      </w:r>
      <w:r w:rsidR="00073279" w:rsidRPr="00FB1CA9">
        <w:rPr>
          <w:rFonts w:asciiTheme="minorBidi" w:hAnsiTheme="minorBidi" w:cstheme="minorBidi"/>
          <w:szCs w:val="18"/>
        </w:rPr>
        <w:t xml:space="preserve"> </w:t>
      </w:r>
      <w:r w:rsidR="00256319" w:rsidRPr="00FB1CA9">
        <w:rPr>
          <w:rFonts w:asciiTheme="minorBidi" w:hAnsiTheme="minorBidi" w:cstheme="minorBidi"/>
          <w:szCs w:val="18"/>
        </w:rPr>
        <w:t>The</w:t>
      </w:r>
      <w:r w:rsidR="00AD4AFE" w:rsidRPr="00FB1CA9">
        <w:rPr>
          <w:rFonts w:asciiTheme="minorBidi" w:hAnsiTheme="minorBidi" w:cstheme="minorBidi"/>
          <w:szCs w:val="18"/>
        </w:rPr>
        <w:t xml:space="preserve"> total</w:t>
      </w:r>
      <w:r w:rsidR="00256319" w:rsidRPr="00FB1CA9">
        <w:rPr>
          <w:rFonts w:asciiTheme="minorBidi" w:hAnsiTheme="minorBidi" w:cstheme="minorBidi"/>
          <w:szCs w:val="18"/>
        </w:rPr>
        <w:t xml:space="preserve"> cost</w:t>
      </w:r>
      <w:r w:rsidR="00BE3C56" w:rsidRPr="00FB1CA9">
        <w:rPr>
          <w:rFonts w:asciiTheme="minorBidi" w:hAnsiTheme="minorBidi" w:cstheme="minorBidi"/>
          <w:szCs w:val="18"/>
        </w:rPr>
        <w:t xml:space="preserve"> (</w:t>
      </w:r>
      <m:oMath>
        <m:sSub>
          <m:sSubPr>
            <m:ctrlPr>
              <w:rPr>
                <w:rFonts w:ascii="Cambria Math" w:hAnsi="Cambria Math" w:cstheme="minorBidi"/>
                <w:i/>
                <w:szCs w:val="18"/>
              </w:rPr>
            </m:ctrlPr>
          </m:sSubPr>
          <m:e>
            <m:r>
              <w:rPr>
                <w:rFonts w:ascii="Cambria Math" w:hAnsi="Cambria Math" w:cstheme="minorBidi"/>
                <w:szCs w:val="18"/>
              </w:rPr>
              <m:t>∑E</m:t>
            </m:r>
          </m:e>
          <m:sub>
            <m:r>
              <w:rPr>
                <w:rFonts w:ascii="Cambria Math" w:hAnsi="Cambria Math" w:cstheme="minorBidi"/>
                <w:szCs w:val="18"/>
              </w:rPr>
              <m:t>k</m:t>
            </m:r>
          </m:sub>
        </m:sSub>
        <m:r>
          <w:rPr>
            <w:rFonts w:ascii="Cambria Math" w:hAnsi="Cambria Math" w:cstheme="minorBidi"/>
            <w:szCs w:val="18"/>
          </w:rPr>
          <m:t>)</m:t>
        </m:r>
      </m:oMath>
      <w:r w:rsidR="00073279" w:rsidRPr="00FB1CA9">
        <w:rPr>
          <w:rFonts w:asciiTheme="minorBidi" w:hAnsiTheme="minorBidi" w:cstheme="minorBidi"/>
          <w:szCs w:val="18"/>
        </w:rPr>
        <w:t xml:space="preserve"> </w:t>
      </w:r>
      <w:r w:rsidR="00BE3C56" w:rsidRPr="00FB1CA9">
        <w:rPr>
          <w:rFonts w:asciiTheme="minorBidi" w:hAnsiTheme="minorBidi" w:cstheme="minorBidi"/>
          <w:szCs w:val="18"/>
        </w:rPr>
        <w:t>of the</w:t>
      </w:r>
      <w:r w:rsidR="00823137" w:rsidRPr="00FB1CA9">
        <w:rPr>
          <w:rFonts w:asciiTheme="minorBidi" w:hAnsiTheme="minorBidi" w:cstheme="minorBidi"/>
          <w:szCs w:val="18"/>
        </w:rPr>
        <w:t xml:space="preserve"> additional</w:t>
      </w:r>
      <w:r w:rsidR="00BE3C56" w:rsidRPr="00FB1CA9">
        <w:rPr>
          <w:rFonts w:asciiTheme="minorBidi" w:hAnsiTheme="minorBidi" w:cstheme="minorBidi"/>
          <w:szCs w:val="18"/>
        </w:rPr>
        <w:t xml:space="preserve"> equipment</w:t>
      </w:r>
      <w:r w:rsidR="00AD4AFE" w:rsidRPr="00FB1CA9">
        <w:rPr>
          <w:rFonts w:asciiTheme="minorBidi" w:hAnsiTheme="minorBidi" w:cstheme="minorBidi"/>
          <w:szCs w:val="18"/>
        </w:rPr>
        <w:t xml:space="preserve"> </w:t>
      </w:r>
      <w:r w:rsidR="00823137" w:rsidRPr="00FB1CA9">
        <w:rPr>
          <w:rFonts w:asciiTheme="minorBidi" w:hAnsiTheme="minorBidi" w:cstheme="minorBidi"/>
          <w:szCs w:val="18"/>
        </w:rPr>
        <w:t>was estimated to be</w:t>
      </w:r>
      <w:r w:rsidR="00AD4AFE" w:rsidRPr="00FB1CA9">
        <w:rPr>
          <w:rFonts w:asciiTheme="minorBidi" w:hAnsiTheme="minorBidi" w:cstheme="minorBidi"/>
          <w:szCs w:val="18"/>
        </w:rPr>
        <w:t xml:space="preserve"> 109.8</w:t>
      </w:r>
      <w:r w:rsidR="00ED7A6F" w:rsidRPr="00FB1CA9">
        <w:rPr>
          <w:rFonts w:asciiTheme="minorBidi" w:hAnsiTheme="minorBidi" w:cstheme="minorBidi"/>
          <w:szCs w:val="18"/>
        </w:rPr>
        <w:t xml:space="preserve"> </w:t>
      </w:r>
      <w:r w:rsidR="00AD4AFE" w:rsidRPr="00FB1CA9">
        <w:rPr>
          <w:rFonts w:asciiTheme="minorBidi" w:hAnsiTheme="minorBidi" w:cstheme="minorBidi"/>
          <w:szCs w:val="18"/>
        </w:rPr>
        <w:t>k€, based on data</w:t>
      </w:r>
      <w:r w:rsidR="00073279" w:rsidRPr="00FB1CA9">
        <w:rPr>
          <w:rFonts w:asciiTheme="minorBidi" w:hAnsiTheme="minorBidi" w:cstheme="minorBidi"/>
          <w:szCs w:val="18"/>
        </w:rPr>
        <w:t xml:space="preserve"> provided by industrial suppliers</w:t>
      </w:r>
      <w:r w:rsidR="00AD4AFE" w:rsidRPr="00FB1CA9">
        <w:rPr>
          <w:rFonts w:asciiTheme="minorBidi" w:hAnsiTheme="minorBidi" w:cstheme="minorBidi"/>
          <w:szCs w:val="18"/>
        </w:rPr>
        <w:t>.</w:t>
      </w:r>
      <w:r w:rsidR="004903D9" w:rsidRPr="00FB1CA9">
        <w:rPr>
          <w:rFonts w:asciiTheme="minorBidi" w:hAnsiTheme="minorBidi" w:cstheme="minorBidi"/>
          <w:szCs w:val="18"/>
        </w:rPr>
        <w:t xml:space="preserve"> </w:t>
      </w:r>
      <w:r w:rsidR="00BB259A" w:rsidRPr="00FB1CA9">
        <w:rPr>
          <w:rFonts w:asciiTheme="minorBidi" w:hAnsiTheme="minorBidi" w:cstheme="minorBidi"/>
          <w:szCs w:val="18"/>
        </w:rPr>
        <w:t>The</w:t>
      </w:r>
      <w:r w:rsidR="00BA1638" w:rsidRPr="00FB1CA9">
        <w:rPr>
          <w:rFonts w:asciiTheme="minorBidi" w:hAnsiTheme="minorBidi" w:cstheme="minorBidi"/>
          <w:szCs w:val="18"/>
        </w:rPr>
        <w:t xml:space="preserve"> fixed</w:t>
      </w:r>
      <w:r w:rsidR="00BB259A" w:rsidRPr="00FB1CA9">
        <w:rPr>
          <w:rFonts w:asciiTheme="minorBidi" w:hAnsiTheme="minorBidi" w:cstheme="minorBidi"/>
          <w:szCs w:val="18"/>
        </w:rPr>
        <w:t xml:space="preserve"> </w:t>
      </w:r>
      <w:r w:rsidR="00BA1638" w:rsidRPr="00FB1CA9">
        <w:rPr>
          <w:rFonts w:asciiTheme="minorBidi" w:hAnsiTheme="minorBidi" w:cstheme="minorBidi"/>
          <w:szCs w:val="18"/>
        </w:rPr>
        <w:t>capital cost</w:t>
      </w:r>
      <w:r w:rsidR="00BB259A" w:rsidRPr="00FB1CA9">
        <w:rPr>
          <w:rFonts w:asciiTheme="minorBidi" w:hAnsiTheme="minorBidi" w:cstheme="minorBidi"/>
          <w:szCs w:val="18"/>
        </w:rPr>
        <w:t xml:space="preserve"> </w:t>
      </w:r>
      <m:oMath>
        <m:r>
          <w:rPr>
            <w:rFonts w:ascii="Cambria Math" w:hAnsi="Cambria Math" w:cstheme="minorBidi"/>
            <w:szCs w:val="18"/>
          </w:rPr>
          <m:t>(</m:t>
        </m:r>
        <m:sSub>
          <m:sSubPr>
            <m:ctrlPr>
              <w:rPr>
                <w:rFonts w:ascii="Cambria Math" w:hAnsi="Cambria Math" w:cstheme="minorBidi"/>
                <w:i/>
                <w:szCs w:val="18"/>
              </w:rPr>
            </m:ctrlPr>
          </m:sSubPr>
          <m:e>
            <m:r>
              <w:rPr>
                <w:rFonts w:ascii="Cambria Math" w:hAnsi="Cambria Math" w:cstheme="minorBidi"/>
                <w:szCs w:val="18"/>
              </w:rPr>
              <m:t>I</m:t>
            </m:r>
          </m:e>
          <m:sub>
            <m:r>
              <w:rPr>
                <w:rFonts w:ascii="Cambria Math" w:hAnsi="Cambria Math" w:cstheme="minorBidi"/>
                <w:szCs w:val="18"/>
              </w:rPr>
              <m:t>ges</m:t>
            </m:r>
          </m:sub>
        </m:sSub>
      </m:oMath>
      <w:r w:rsidR="0054206B" w:rsidRPr="00FB1CA9">
        <w:rPr>
          <w:rFonts w:asciiTheme="minorBidi" w:hAnsiTheme="minorBidi" w:cstheme="minorBidi"/>
          <w:szCs w:val="18"/>
        </w:rPr>
        <w:t xml:space="preserve">) </w:t>
      </w:r>
      <w:r w:rsidR="00AB13FA" w:rsidRPr="00FB1CA9">
        <w:rPr>
          <w:rFonts w:asciiTheme="minorBidi" w:hAnsiTheme="minorBidi" w:cstheme="minorBidi"/>
          <w:szCs w:val="18"/>
        </w:rPr>
        <w:t>includes</w:t>
      </w:r>
      <w:r w:rsidR="00ED7A6F" w:rsidRPr="00FB1CA9">
        <w:rPr>
          <w:rFonts w:asciiTheme="minorBidi" w:hAnsiTheme="minorBidi" w:cstheme="minorBidi"/>
          <w:szCs w:val="18"/>
        </w:rPr>
        <w:t xml:space="preserve"> </w:t>
      </w:r>
      <w:r w:rsidR="0054206B" w:rsidRPr="00FB1CA9">
        <w:rPr>
          <w:rFonts w:asciiTheme="minorBidi" w:hAnsiTheme="minorBidi" w:cstheme="minorBidi"/>
          <w:szCs w:val="18"/>
        </w:rPr>
        <w:t xml:space="preserve">additional </w:t>
      </w:r>
      <w:r w:rsidR="00AB13FA" w:rsidRPr="00FB1CA9">
        <w:rPr>
          <w:rFonts w:asciiTheme="minorBidi" w:hAnsiTheme="minorBidi" w:cstheme="minorBidi"/>
          <w:szCs w:val="18"/>
        </w:rPr>
        <w:t>expenses for</w:t>
      </w:r>
      <w:r w:rsidR="0054206B" w:rsidRPr="00FB1CA9">
        <w:rPr>
          <w:rFonts w:asciiTheme="minorBidi" w:hAnsiTheme="minorBidi" w:cstheme="minorBidi"/>
          <w:szCs w:val="18"/>
        </w:rPr>
        <w:t xml:space="preserve"> piping, </w:t>
      </w:r>
      <w:r w:rsidR="000C7077" w:rsidRPr="00FB1CA9">
        <w:rPr>
          <w:rFonts w:asciiTheme="minorBidi" w:eastAsiaTheme="minorHAnsi" w:hAnsiTheme="minorBidi" w:cstheme="minorBidi"/>
          <w:szCs w:val="18"/>
          <w:lang w:val="en-GB"/>
        </w:rPr>
        <w:t>equipment erection</w:t>
      </w:r>
      <w:r w:rsidR="0054206B" w:rsidRPr="00FB1CA9">
        <w:rPr>
          <w:rFonts w:asciiTheme="minorBidi" w:hAnsiTheme="minorBidi" w:cstheme="minorBidi"/>
          <w:szCs w:val="18"/>
        </w:rPr>
        <w:t xml:space="preserve">, structures and </w:t>
      </w:r>
      <w:r w:rsidR="00ED7A6F" w:rsidRPr="00FB1CA9">
        <w:rPr>
          <w:rFonts w:asciiTheme="minorBidi" w:hAnsiTheme="minorBidi" w:cstheme="minorBidi"/>
          <w:szCs w:val="18"/>
        </w:rPr>
        <w:t>insulation</w:t>
      </w:r>
      <w:r w:rsidR="003B391A" w:rsidRPr="00FB1CA9">
        <w:rPr>
          <w:rFonts w:asciiTheme="minorBidi" w:hAnsiTheme="minorBidi" w:cstheme="minorBidi"/>
          <w:szCs w:val="18"/>
        </w:rPr>
        <w:t xml:space="preserve"> for the</w:t>
      </w:r>
      <w:r w:rsidR="00E86E68" w:rsidRPr="00FB1CA9">
        <w:rPr>
          <w:rFonts w:asciiTheme="minorBidi" w:hAnsiTheme="minorBidi" w:cstheme="minorBidi"/>
          <w:szCs w:val="18"/>
        </w:rPr>
        <w:t xml:space="preserve"> components</w:t>
      </w:r>
      <w:r w:rsidR="00ED7A6F" w:rsidRPr="00FB1CA9">
        <w:rPr>
          <w:rFonts w:asciiTheme="minorBidi" w:hAnsiTheme="minorBidi" w:cstheme="minorBidi"/>
          <w:szCs w:val="18"/>
        </w:rPr>
        <w:t>.</w:t>
      </w:r>
      <w:r w:rsidR="00BA1638" w:rsidRPr="00FB1CA9">
        <w:rPr>
          <w:rFonts w:asciiTheme="minorBidi" w:hAnsiTheme="minorBidi" w:cstheme="minorBidi"/>
          <w:szCs w:val="18"/>
        </w:rPr>
        <w:t xml:space="preserve"> </w:t>
      </w:r>
      <w:r w:rsidR="003B391A" w:rsidRPr="00FB1CA9">
        <w:rPr>
          <w:rFonts w:asciiTheme="minorBidi" w:hAnsiTheme="minorBidi" w:cstheme="minorBidi"/>
          <w:szCs w:val="18"/>
        </w:rPr>
        <w:t>The f</w:t>
      </w:r>
      <w:r w:rsidR="00CD4F37" w:rsidRPr="00FB1CA9">
        <w:rPr>
          <w:rFonts w:asciiTheme="minorBidi" w:hAnsiTheme="minorBidi" w:cstheme="minorBidi"/>
          <w:szCs w:val="18"/>
        </w:rPr>
        <w:t>actorial approach according to Towler and Sinnott (2013</w:t>
      </w:r>
      <w:r w:rsidR="003B391A" w:rsidRPr="00FB1CA9">
        <w:rPr>
          <w:rFonts w:asciiTheme="minorBidi" w:hAnsiTheme="minorBidi" w:cstheme="minorBidi"/>
          <w:szCs w:val="18"/>
        </w:rPr>
        <w:t>) is used, which</w:t>
      </w:r>
      <w:r w:rsidR="00A93374" w:rsidRPr="00FB1CA9">
        <w:rPr>
          <w:rFonts w:asciiTheme="minorBidi" w:hAnsiTheme="minorBidi" w:cstheme="minorBidi"/>
          <w:szCs w:val="18"/>
        </w:rPr>
        <w:t xml:space="preserve"> </w:t>
      </w:r>
      <w:r w:rsidR="00ED7A6F" w:rsidRPr="00FB1CA9">
        <w:rPr>
          <w:rFonts w:asciiTheme="minorBidi" w:hAnsiTheme="minorBidi" w:cstheme="minorBidi"/>
          <w:szCs w:val="18"/>
        </w:rPr>
        <w:t>results in an</w:t>
      </w:r>
      <w:r w:rsidR="003B391A" w:rsidRPr="00FB1CA9">
        <w:rPr>
          <w:rFonts w:asciiTheme="minorBidi" w:hAnsiTheme="minorBidi" w:cstheme="minorBidi"/>
          <w:szCs w:val="18"/>
        </w:rPr>
        <w:t xml:space="preserve"> investment cost</w:t>
      </w:r>
      <w:r w:rsidR="00BB259A" w:rsidRPr="00FB1CA9">
        <w:rPr>
          <w:rFonts w:asciiTheme="minorBidi" w:hAnsiTheme="minorBidi" w:cstheme="minorBidi"/>
          <w:szCs w:val="18"/>
        </w:rPr>
        <w:t xml:space="preserve"> of </w:t>
      </w:r>
      <w:r w:rsidR="0054206B" w:rsidRPr="00FB1CA9">
        <w:rPr>
          <w:rFonts w:asciiTheme="minorBidi" w:hAnsiTheme="minorBidi" w:cstheme="minorBidi"/>
          <w:szCs w:val="18"/>
          <w:lang w:val="en-GB"/>
        </w:rPr>
        <w:t>243</w:t>
      </w:r>
      <w:r w:rsidR="00ED7A6F" w:rsidRPr="00FB1CA9">
        <w:rPr>
          <w:rFonts w:asciiTheme="minorBidi" w:hAnsiTheme="minorBidi" w:cstheme="minorBidi"/>
          <w:szCs w:val="18"/>
          <w:lang w:val="en-GB"/>
        </w:rPr>
        <w:t xml:space="preserve"> </w:t>
      </w:r>
      <w:r w:rsidR="00BB259A" w:rsidRPr="00FB1CA9">
        <w:rPr>
          <w:rFonts w:asciiTheme="minorBidi" w:hAnsiTheme="minorBidi" w:cstheme="minorBidi"/>
          <w:szCs w:val="18"/>
          <w:lang w:val="en-GB"/>
        </w:rPr>
        <w:t>k€</w:t>
      </w:r>
      <w:r w:rsidR="00BB259A" w:rsidRPr="00FB1CA9">
        <w:rPr>
          <w:rFonts w:asciiTheme="minorBidi" w:hAnsiTheme="minorBidi" w:cstheme="minorBidi"/>
          <w:szCs w:val="18"/>
        </w:rPr>
        <w:t>.</w:t>
      </w:r>
      <w:r w:rsidR="00BA1638" w:rsidRPr="00FB1CA9">
        <w:rPr>
          <w:rFonts w:asciiTheme="minorBidi" w:hAnsiTheme="minorBidi" w:cstheme="minorBidi"/>
          <w:szCs w:val="18"/>
        </w:rPr>
        <w:t xml:space="preserve"> The factor </w:t>
      </w:r>
      <m:oMath>
        <m:r>
          <w:rPr>
            <w:rFonts w:ascii="Cambria Math" w:hAnsi="Cambria Math" w:cstheme="minorBidi"/>
            <w:szCs w:val="18"/>
          </w:rPr>
          <m:t>v=2.21</m:t>
        </m:r>
      </m:oMath>
      <w:r w:rsidR="00BA1638" w:rsidRPr="00FB1CA9">
        <w:rPr>
          <w:rFonts w:asciiTheme="minorBidi" w:hAnsiTheme="minorBidi" w:cstheme="minorBidi"/>
          <w:szCs w:val="18"/>
        </w:rPr>
        <w:t xml:space="preserve"> is based on stainless steel and does not include changes in the electrical equipment</w:t>
      </w:r>
      <w:r w:rsidR="007619A1" w:rsidRPr="00FB1CA9">
        <w:rPr>
          <w:rFonts w:asciiTheme="minorBidi" w:hAnsiTheme="minorBidi" w:cstheme="minorBidi"/>
          <w:szCs w:val="18"/>
        </w:rPr>
        <w:t xml:space="preserve"> for the enlarged parts</w:t>
      </w:r>
      <w:r w:rsidR="00BA1638" w:rsidRPr="00FB1CA9">
        <w:rPr>
          <w:rFonts w:asciiTheme="minorBidi" w:hAnsiTheme="minorBidi" w:cstheme="minorBidi"/>
          <w:szCs w:val="18"/>
        </w:rPr>
        <w:t>.</w:t>
      </w:r>
      <w:r w:rsidR="007619A1" w:rsidRPr="00FB1CA9">
        <w:rPr>
          <w:rFonts w:asciiTheme="minorBidi" w:hAnsiTheme="minorBidi" w:cstheme="minorBidi"/>
          <w:szCs w:val="18"/>
        </w:rPr>
        <w:t xml:space="preserve"> </w:t>
      </w:r>
      <w:r w:rsidR="00BB259A" w:rsidRPr="00FB1CA9">
        <w:rPr>
          <w:rFonts w:asciiTheme="minorBidi" w:hAnsiTheme="minorBidi" w:cstheme="minorBidi"/>
          <w:szCs w:val="18"/>
        </w:rPr>
        <w:t xml:space="preserve">The difference of the investment cost from the </w:t>
      </w:r>
      <w:r w:rsidR="00C21E9E" w:rsidRPr="00FB1CA9">
        <w:rPr>
          <w:rFonts w:asciiTheme="minorBidi" w:hAnsiTheme="minorBidi" w:cstheme="minorBidi"/>
          <w:szCs w:val="18"/>
        </w:rPr>
        <w:t>enlarged</w:t>
      </w:r>
      <w:r w:rsidR="00BB259A" w:rsidRPr="00FB1CA9">
        <w:rPr>
          <w:rFonts w:asciiTheme="minorBidi" w:hAnsiTheme="minorBidi" w:cstheme="minorBidi"/>
          <w:szCs w:val="18"/>
        </w:rPr>
        <w:t xml:space="preserve"> to the nominal plant is calculated by equation (</w:t>
      </w:r>
      <w:r w:rsidR="0081571E">
        <w:rPr>
          <w:rFonts w:asciiTheme="minorBidi" w:hAnsiTheme="minorBidi" w:cstheme="minorBidi"/>
          <w:szCs w:val="18"/>
        </w:rPr>
        <w:t>5</w:t>
      </w:r>
      <w:r w:rsidR="00BB259A" w:rsidRPr="00FB1CA9">
        <w:rPr>
          <w:rFonts w:asciiTheme="minorBidi" w:hAnsiTheme="minorBidi" w:cstheme="minorBidi"/>
          <w:szCs w:val="18"/>
        </w:rPr>
        <w:t>) assuming a power law dependency of the throughput with a factor of 0.6.</w:t>
      </w:r>
      <w:r w:rsidR="00ED7A6F" w:rsidRPr="00FB1CA9">
        <w:rPr>
          <w:rFonts w:asciiTheme="minorBidi" w:hAnsiTheme="minorBidi" w:cstheme="minorBidi"/>
          <w:szCs w:val="18"/>
        </w:rPr>
        <w:t xml:space="preserve"> </w:t>
      </w:r>
      <w:r w:rsidR="00BB259A" w:rsidRPr="00FB1CA9">
        <w:rPr>
          <w:rFonts w:asciiTheme="minorBidi" w:hAnsiTheme="minorBidi" w:cstheme="minorBidi"/>
          <w:szCs w:val="18"/>
        </w:rPr>
        <w:t>Th</w:t>
      </w:r>
      <w:r w:rsidR="00ED7A6F" w:rsidRPr="00FB1CA9">
        <w:rPr>
          <w:rFonts w:asciiTheme="minorBidi" w:hAnsiTheme="minorBidi" w:cstheme="minorBidi"/>
          <w:szCs w:val="18"/>
        </w:rPr>
        <w:t>is results in additional expenses (</w:t>
      </w:r>
      <m:oMath>
        <m:r>
          <m:rPr>
            <m:sty m:val="p"/>
          </m:rPr>
          <w:rPr>
            <w:rFonts w:ascii="Cambria Math" w:hAnsi="Cambria Math" w:cstheme="minorBidi"/>
            <w:szCs w:val="18"/>
          </w:rPr>
          <m:t>Δ</m:t>
        </m:r>
        <m:r>
          <w:rPr>
            <w:rFonts w:ascii="Cambria Math" w:hAnsi="Cambria Math" w:cstheme="minorBidi"/>
            <w:szCs w:val="18"/>
          </w:rPr>
          <m:t>I</m:t>
        </m:r>
      </m:oMath>
      <w:r w:rsidR="00ED7A6F" w:rsidRPr="00FB1CA9">
        <w:rPr>
          <w:rFonts w:asciiTheme="minorBidi" w:hAnsiTheme="minorBidi" w:cstheme="minorBidi"/>
          <w:szCs w:val="18"/>
        </w:rPr>
        <w:t>)</w:t>
      </w:r>
      <w:r w:rsidR="00BB259A" w:rsidRPr="00FB1CA9">
        <w:rPr>
          <w:rFonts w:asciiTheme="minorBidi" w:hAnsiTheme="minorBidi" w:cstheme="minorBidi"/>
          <w:szCs w:val="18"/>
        </w:rPr>
        <w:t xml:space="preserve"> of </w:t>
      </w:r>
      <w:r w:rsidR="00EB1870" w:rsidRPr="00FB1CA9">
        <w:rPr>
          <w:rFonts w:asciiTheme="minorBidi" w:hAnsiTheme="minorBidi" w:cstheme="minorBidi"/>
          <w:szCs w:val="18"/>
        </w:rPr>
        <w:t>33.46</w:t>
      </w:r>
      <w:r w:rsidR="00ED7A6F" w:rsidRPr="00FB1CA9">
        <w:rPr>
          <w:rFonts w:asciiTheme="minorBidi" w:hAnsiTheme="minorBidi" w:cstheme="minorBidi"/>
          <w:szCs w:val="18"/>
        </w:rPr>
        <w:t xml:space="preserve"> </w:t>
      </w:r>
      <w:r w:rsidR="00BB259A" w:rsidRPr="00FB1CA9">
        <w:rPr>
          <w:rFonts w:asciiTheme="minorBidi" w:hAnsiTheme="minorBidi" w:cstheme="minorBidi"/>
          <w:szCs w:val="18"/>
        </w:rPr>
        <w:t>k€ for the larger equipment.</w:t>
      </w:r>
      <w:r w:rsidR="00D1001E" w:rsidRPr="00FB1CA9">
        <w:rPr>
          <w:rFonts w:asciiTheme="minorBidi" w:hAnsiTheme="minorBidi" w:cstheme="minorBidi"/>
          <w:szCs w:val="18"/>
        </w:rPr>
        <w:t xml:space="preserve"> </w:t>
      </w:r>
      <w:r w:rsidR="00ED7A6F" w:rsidRPr="00FB1CA9">
        <w:rPr>
          <w:rFonts w:asciiTheme="minorBidi" w:hAnsiTheme="minorBidi" w:cstheme="minorBidi"/>
          <w:szCs w:val="18"/>
        </w:rPr>
        <w:t xml:space="preserve">The energy cost savings can be calculated using the total electric energy cost of 80.7 k€/a, with a saving potential of 17 % </w:t>
      </w:r>
      <w:r w:rsidR="0091716A" w:rsidRPr="00FB1CA9">
        <w:rPr>
          <w:rFonts w:asciiTheme="minorBidi" w:hAnsiTheme="minorBidi" w:cstheme="minorBidi"/>
          <w:szCs w:val="18"/>
        </w:rPr>
        <w:t>which results in</w:t>
      </w:r>
      <w:r w:rsidR="00ED7A6F" w:rsidRPr="00FB1CA9">
        <w:rPr>
          <w:rFonts w:asciiTheme="minorBidi" w:hAnsiTheme="minorBidi" w:cstheme="minorBidi"/>
          <w:szCs w:val="18"/>
        </w:rPr>
        <w:t xml:space="preserve"> a reduction of the costs for the electric </w:t>
      </w:r>
      <w:r w:rsidR="00C21E9E" w:rsidRPr="00FB1CA9">
        <w:rPr>
          <w:rFonts w:asciiTheme="minorBidi" w:hAnsiTheme="minorBidi" w:cstheme="minorBidi"/>
          <w:szCs w:val="18"/>
        </w:rPr>
        <w:t>energy</w:t>
      </w:r>
      <m:oMath>
        <m:r>
          <w:rPr>
            <w:rFonts w:ascii="Cambria Math" w:hAnsi="Cambria Math" w:cstheme="minorBidi"/>
            <w:szCs w:val="18"/>
          </w:rPr>
          <m:t xml:space="preserve"> (</m:t>
        </m:r>
        <m:r>
          <m:rPr>
            <m:sty m:val="p"/>
          </m:rPr>
          <w:rPr>
            <w:rFonts w:ascii="Cambria Math" w:hAnsi="Cambria Math" w:cstheme="minorBidi"/>
            <w:szCs w:val="18"/>
          </w:rPr>
          <m:t>ΔR</m:t>
        </m:r>
      </m:oMath>
      <w:r w:rsidR="00ED7A6F" w:rsidRPr="00FB1CA9">
        <w:rPr>
          <w:rFonts w:asciiTheme="minorBidi" w:hAnsiTheme="minorBidi" w:cstheme="minorBidi"/>
          <w:szCs w:val="18"/>
        </w:rPr>
        <w:t>) by 13.7 k€/a.</w:t>
      </w:r>
    </w:p>
    <w:p w14:paraId="2CFE1367" w14:textId="586BF224" w:rsidR="00387321" w:rsidRDefault="00CD4836" w:rsidP="007F608A">
      <w:pPr>
        <w:pStyle w:val="CETBodytext"/>
      </w:pPr>
      <w: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1"/>
        <w:gridCol w:w="806"/>
      </w:tblGrid>
      <w:tr w:rsidR="00256319" w:rsidRPr="00B57B36" w14:paraId="24ECC685" w14:textId="77777777" w:rsidTr="00764AF8">
        <w:tc>
          <w:tcPr>
            <w:tcW w:w="7981" w:type="dxa"/>
            <w:shd w:val="clear" w:color="auto" w:fill="auto"/>
            <w:vAlign w:val="center"/>
          </w:tcPr>
          <w:p w14:paraId="1112B467" w14:textId="604F3DA2" w:rsidR="00256319" w:rsidRPr="00B57B36" w:rsidRDefault="00193F0C" w:rsidP="00BA1638">
            <w:pPr>
              <w:pStyle w:val="CETEquation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ges</m:t>
                    </m:r>
                  </m:sub>
                </m:sSub>
                <m:r>
                  <w:rPr>
                    <w:rFonts w:ascii="Cambria Math" w:hAnsi="Cambria Math"/>
                  </w:rPr>
                  <m:t>=v ∑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806" w:type="dxa"/>
            <w:shd w:val="clear" w:color="auto" w:fill="auto"/>
            <w:vAlign w:val="center"/>
          </w:tcPr>
          <w:p w14:paraId="159F8CE4" w14:textId="53DE52B9" w:rsidR="00256319" w:rsidRPr="00B57B36" w:rsidRDefault="00256319" w:rsidP="0081571E">
            <w:pPr>
              <w:pStyle w:val="CETEquation"/>
              <w:jc w:val="right"/>
            </w:pPr>
            <w:r w:rsidRPr="00B57B36">
              <w:t>(</w:t>
            </w:r>
            <w:r w:rsidR="0081571E">
              <w:t>4</w:t>
            </w:r>
            <w:r w:rsidRPr="00B57B36">
              <w:t>)</w:t>
            </w:r>
          </w:p>
        </w:tc>
      </w:tr>
      <w:tr w:rsidR="00F3724F" w:rsidRPr="00B57B36" w14:paraId="7189ABC3" w14:textId="77777777" w:rsidTr="00764AF8">
        <w:tc>
          <w:tcPr>
            <w:tcW w:w="7981" w:type="dxa"/>
            <w:shd w:val="clear" w:color="auto" w:fill="auto"/>
            <w:vAlign w:val="center"/>
          </w:tcPr>
          <w:p w14:paraId="1CCB4DB1" w14:textId="6DD1FC3F" w:rsidR="00F3724F" w:rsidRDefault="00BA77DF" w:rsidP="00FB04B7">
            <w:pPr>
              <w:pStyle w:val="CETEquation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I=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ges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max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fix</m:t>
                                </m:r>
                              </m:sub>
                            </m:sSub>
                          </m:den>
                        </m:f>
                      </m:e>
                      <m:sup>
                        <m:r>
                          <w:rPr>
                            <w:rFonts w:ascii="Cambria Math" w:hAnsi="Cambria Math"/>
                          </w:rPr>
                          <m:t>0.6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806" w:type="dxa"/>
            <w:shd w:val="clear" w:color="auto" w:fill="auto"/>
            <w:vAlign w:val="center"/>
          </w:tcPr>
          <w:p w14:paraId="3E70340D" w14:textId="0534D556" w:rsidR="00F3724F" w:rsidRPr="00B57B36" w:rsidRDefault="002349DF" w:rsidP="0081571E">
            <w:pPr>
              <w:pStyle w:val="CETEquation"/>
              <w:jc w:val="right"/>
            </w:pPr>
            <w:r>
              <w:t>(</w:t>
            </w:r>
            <w:r w:rsidR="0081571E">
              <w:t>5</w:t>
            </w:r>
            <w:r>
              <w:t>)</w:t>
            </w:r>
          </w:p>
        </w:tc>
      </w:tr>
      <w:tr w:rsidR="00F3724F" w:rsidRPr="00B57B36" w14:paraId="4A18F11A" w14:textId="77777777" w:rsidTr="00764AF8">
        <w:tc>
          <w:tcPr>
            <w:tcW w:w="7981" w:type="dxa"/>
            <w:shd w:val="clear" w:color="auto" w:fill="auto"/>
            <w:vAlign w:val="center"/>
          </w:tcPr>
          <w:p w14:paraId="339C5C3C" w14:textId="4E242AC4" w:rsidR="00F3724F" w:rsidRDefault="00193F0C" w:rsidP="006624F0">
            <w:pPr>
              <w:pStyle w:val="CETEquation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payout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Δ</m:t>
                    </m:r>
                    <m:r>
                      <w:rPr>
                        <w:rFonts w:ascii="Cambria Math" w:hAnsi="Cambria Math"/>
                      </w:rPr>
                      <m:t>I [€]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Δ</m:t>
                    </m:r>
                    <m:r>
                      <w:rPr>
                        <w:rFonts w:ascii="Cambria Math" w:hAnsi="Cambria Math"/>
                      </w:rPr>
                      <m:t>R[€/a]</m:t>
                    </m:r>
                  </m:den>
                </m:f>
              </m:oMath>
            </m:oMathPara>
          </w:p>
        </w:tc>
        <w:tc>
          <w:tcPr>
            <w:tcW w:w="806" w:type="dxa"/>
            <w:shd w:val="clear" w:color="auto" w:fill="auto"/>
            <w:vAlign w:val="center"/>
          </w:tcPr>
          <w:p w14:paraId="108B4669" w14:textId="429F3D93" w:rsidR="00F3724F" w:rsidRPr="00B57B36" w:rsidRDefault="002349DF" w:rsidP="0081571E">
            <w:pPr>
              <w:pStyle w:val="CETEquation"/>
              <w:jc w:val="right"/>
            </w:pPr>
            <w:r>
              <w:t>(</w:t>
            </w:r>
            <w:r w:rsidR="0081571E">
              <w:t>6</w:t>
            </w:r>
            <w:r>
              <w:t>)</w:t>
            </w:r>
          </w:p>
        </w:tc>
      </w:tr>
    </w:tbl>
    <w:p w14:paraId="40352386" w14:textId="77777777" w:rsidR="007E23FC" w:rsidRDefault="007E23FC" w:rsidP="007E23FC">
      <w:pPr>
        <w:pStyle w:val="CETBodytext"/>
      </w:pPr>
    </w:p>
    <w:p w14:paraId="5D388B2D" w14:textId="0862853D" w:rsidR="008E10B2" w:rsidRDefault="007E23FC" w:rsidP="0081571E">
      <w:pPr>
        <w:pStyle w:val="CETBodytext"/>
      </w:pPr>
      <w:r>
        <w:t xml:space="preserve">For the calculation of </w:t>
      </w:r>
      <w:r w:rsidR="00823137">
        <w:t>the</w:t>
      </w:r>
      <w:r>
        <w:t xml:space="preserve"> </w:t>
      </w:r>
      <w:r w:rsidR="00C21E9E">
        <w:t>economic</w:t>
      </w:r>
      <w:r>
        <w:t xml:space="preserve"> benefit</w:t>
      </w:r>
      <w:r w:rsidR="00823137">
        <w:t>,</w:t>
      </w:r>
      <w:r>
        <w:t xml:space="preserve"> the payout method is used, which calculates the time after which the expenses are </w:t>
      </w:r>
      <w:r w:rsidR="009309C2">
        <w:t>compensated</w:t>
      </w:r>
      <w:r>
        <w:t xml:space="preserve">. </w:t>
      </w:r>
      <w:r w:rsidR="0026534C">
        <w:t xml:space="preserve">The resulting payout time calculated </w:t>
      </w:r>
      <w:r w:rsidR="00C573D0">
        <w:t>by equation (</w:t>
      </w:r>
      <w:r w:rsidR="0081571E">
        <w:t>6</w:t>
      </w:r>
      <w:r w:rsidR="00C573D0">
        <w:t>)</w:t>
      </w:r>
      <w:r w:rsidR="00C54AFC">
        <w:t xml:space="preserve"> results </w:t>
      </w:r>
      <w:r w:rsidR="00823137">
        <w:t>as</w:t>
      </w:r>
      <w:r w:rsidR="0026534C">
        <w:t xml:space="preserve"> 2</w:t>
      </w:r>
      <w:r w:rsidR="00C26617">
        <w:t>.</w:t>
      </w:r>
      <w:r w:rsidR="009A0AF4">
        <w:t>4</w:t>
      </w:r>
      <w:r w:rsidR="00EB1870">
        <w:t>3</w:t>
      </w:r>
      <w:r w:rsidR="0026534C">
        <w:t xml:space="preserve"> years, which is </w:t>
      </w:r>
      <w:r w:rsidR="00823137">
        <w:t xml:space="preserve">slightly </w:t>
      </w:r>
      <w:r w:rsidR="00D361ED">
        <w:t>longer than</w:t>
      </w:r>
      <w:r w:rsidR="00C36F49">
        <w:t xml:space="preserve"> the usually targeted</w:t>
      </w:r>
      <w:r w:rsidR="00823137">
        <w:t xml:space="preserve"> time of</w:t>
      </w:r>
      <w:r w:rsidR="00C36F49">
        <w:t xml:space="preserve"> 2 years. </w:t>
      </w:r>
      <w:r w:rsidR="0026534C">
        <w:t xml:space="preserve">However, with increasing value and variation of the price for the electric energy and additional </w:t>
      </w:r>
      <w:r w:rsidR="00C54AFC">
        <w:t>expenses</w:t>
      </w:r>
      <w:r w:rsidR="0026534C">
        <w:t xml:space="preserve"> e.g. by carbon taxes the benefit is </w:t>
      </w:r>
      <w:r w:rsidR="00AE7493">
        <w:t>supposed to grow</w:t>
      </w:r>
      <w:r w:rsidR="00B44E5C">
        <w:t xml:space="preserve"> </w:t>
      </w:r>
      <w:r w:rsidR="00823137">
        <w:t xml:space="preserve">further </w:t>
      </w:r>
      <w:r w:rsidR="00B44E5C">
        <w:t>in the future</w:t>
      </w:r>
      <w:r w:rsidR="00AE7493">
        <w:t>.</w:t>
      </w:r>
      <w:r w:rsidR="00D576D9">
        <w:t xml:space="preserve"> </w:t>
      </w:r>
      <w:r w:rsidR="009F6FD4">
        <w:t>Furthermore, chemical plants typically have a residual capacity</w:t>
      </w:r>
      <w:r w:rsidR="00855ECA">
        <w:t>,</w:t>
      </w:r>
      <w:r w:rsidR="009F6FD4">
        <w:t xml:space="preserve"> which</w:t>
      </w:r>
      <w:r w:rsidR="00855ECA">
        <w:t xml:space="preserve"> can be used for the flexible operation without additional expenses</w:t>
      </w:r>
      <w:r w:rsidR="009F6FD4">
        <w:t>.</w:t>
      </w:r>
      <w:r w:rsidR="00855ECA">
        <w:t xml:space="preserve"> </w:t>
      </w:r>
      <w:r w:rsidR="00D576D9">
        <w:t>Additionally, th</w:t>
      </w:r>
      <w:r w:rsidR="00D361ED">
        <w:t>e methodology can be applied to more energy intensive zeolite synthesis e.g. for zeolite A.</w:t>
      </w:r>
      <w:r w:rsidR="001D693A">
        <w:t xml:space="preserve"> </w:t>
      </w:r>
      <w:r>
        <w:t>To prove the ecological advantages</w:t>
      </w:r>
      <w:r w:rsidR="00823137">
        <w:t>,</w:t>
      </w:r>
      <w:r>
        <w:t xml:space="preserve"> the additional emissions by manufacture as well as the infrastructure have to be included in a life cycle </w:t>
      </w:r>
      <w:r w:rsidR="00C21E9E">
        <w:t>analysis, which</w:t>
      </w:r>
      <w:r>
        <w:t xml:space="preserve"> remains an open issue.</w:t>
      </w:r>
    </w:p>
    <w:p w14:paraId="68D26B83" w14:textId="77777777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lastRenderedPageBreak/>
        <w:t>Conclusions</w:t>
      </w:r>
    </w:p>
    <w:p w14:paraId="52DAFDE0" w14:textId="3962F6E9" w:rsidR="001D0CFB" w:rsidRDefault="00B832C0" w:rsidP="00600535">
      <w:pPr>
        <w:pStyle w:val="CETBodytext"/>
        <w:rPr>
          <w:lang w:val="en-GB"/>
        </w:rPr>
      </w:pPr>
      <w:r>
        <w:rPr>
          <w:lang w:val="en-GB"/>
        </w:rPr>
        <w:t>This work presents a</w:t>
      </w:r>
      <w:r w:rsidR="0028354B">
        <w:rPr>
          <w:lang w:val="en-GB"/>
        </w:rPr>
        <w:t xml:space="preserve"> moving horizon dynamic optimization</w:t>
      </w:r>
      <w:r>
        <w:rPr>
          <w:lang w:val="en-GB"/>
        </w:rPr>
        <w:t xml:space="preserve"> </w:t>
      </w:r>
      <w:r w:rsidR="00823137">
        <w:rPr>
          <w:lang w:val="en-GB"/>
        </w:rPr>
        <w:t>approach</w:t>
      </w:r>
      <w:r>
        <w:rPr>
          <w:lang w:val="en-GB"/>
        </w:rPr>
        <w:t xml:space="preserve"> to </w:t>
      </w:r>
      <w:r w:rsidR="00823137">
        <w:rPr>
          <w:lang w:val="en-GB"/>
        </w:rPr>
        <w:t>compute</w:t>
      </w:r>
      <w:r>
        <w:rPr>
          <w:lang w:val="en-GB"/>
        </w:rPr>
        <w:t xml:space="preserve"> a </w:t>
      </w:r>
      <w:r w:rsidR="0028354B">
        <w:rPr>
          <w:lang w:val="en-GB"/>
        </w:rPr>
        <w:t xml:space="preserve">flexible dynamic </w:t>
      </w:r>
      <w:r>
        <w:rPr>
          <w:lang w:val="en-GB"/>
        </w:rPr>
        <w:t xml:space="preserve">operation of a zeolite production plant based </w:t>
      </w:r>
      <w:r w:rsidR="0028354B">
        <w:rPr>
          <w:lang w:val="en-GB"/>
        </w:rPr>
        <w:t xml:space="preserve">on the </w:t>
      </w:r>
      <w:r w:rsidR="007C33DA">
        <w:rPr>
          <w:lang w:val="en-GB"/>
        </w:rPr>
        <w:t>day-ahead</w:t>
      </w:r>
      <w:r w:rsidR="0028354B">
        <w:rPr>
          <w:lang w:val="en-GB"/>
        </w:rPr>
        <w:t xml:space="preserve"> price </w:t>
      </w:r>
      <w:r w:rsidR="00823137">
        <w:rPr>
          <w:lang w:val="en-GB"/>
        </w:rPr>
        <w:t>of</w:t>
      </w:r>
      <w:r w:rsidR="0028354B">
        <w:rPr>
          <w:lang w:val="en-GB"/>
        </w:rPr>
        <w:t xml:space="preserve"> the electric energy</w:t>
      </w:r>
      <w:r w:rsidR="00E86097">
        <w:rPr>
          <w:lang w:val="en-GB"/>
        </w:rPr>
        <w:t xml:space="preserve">. </w:t>
      </w:r>
      <w:r w:rsidR="00F02EE6">
        <w:rPr>
          <w:lang w:val="en-GB"/>
        </w:rPr>
        <w:t xml:space="preserve">The plant and </w:t>
      </w:r>
      <w:r w:rsidR="00C74567">
        <w:rPr>
          <w:lang w:val="en-GB"/>
        </w:rPr>
        <w:t>the</w:t>
      </w:r>
      <w:r w:rsidR="00F02EE6">
        <w:rPr>
          <w:lang w:val="en-GB"/>
        </w:rPr>
        <w:t xml:space="preserve"> dynamic model are </w:t>
      </w:r>
      <w:r w:rsidR="00C74567">
        <w:rPr>
          <w:lang w:val="en-GB"/>
        </w:rPr>
        <w:t xml:space="preserve">introduced and the </w:t>
      </w:r>
      <w:r w:rsidR="00F47E83">
        <w:rPr>
          <w:lang w:val="en-GB"/>
        </w:rPr>
        <w:t xml:space="preserve">potential </w:t>
      </w:r>
      <w:r w:rsidR="00C74567">
        <w:rPr>
          <w:lang w:val="en-GB"/>
        </w:rPr>
        <w:t xml:space="preserve">and </w:t>
      </w:r>
      <w:r w:rsidR="00F47E83">
        <w:rPr>
          <w:lang w:val="en-GB"/>
        </w:rPr>
        <w:t xml:space="preserve">the </w:t>
      </w:r>
      <w:r w:rsidR="00C74567">
        <w:rPr>
          <w:lang w:val="en-GB"/>
        </w:rPr>
        <w:t>restriction</w:t>
      </w:r>
      <w:r w:rsidR="00F47E83">
        <w:rPr>
          <w:lang w:val="en-GB"/>
        </w:rPr>
        <w:t>s</w:t>
      </w:r>
      <w:r w:rsidR="00C74567">
        <w:rPr>
          <w:lang w:val="en-GB"/>
        </w:rPr>
        <w:t xml:space="preserve"> for the flexible operation evaluated. </w:t>
      </w:r>
      <w:r w:rsidR="009309C2">
        <w:rPr>
          <w:lang w:val="en-GB"/>
        </w:rPr>
        <w:t>The dynamic optim</w:t>
      </w:r>
      <w:r w:rsidR="00805F72">
        <w:rPr>
          <w:lang w:val="en-GB"/>
        </w:rPr>
        <w:t xml:space="preserve">ization method is presented, and the optimization problem </w:t>
      </w:r>
      <w:r w:rsidR="00F47E83">
        <w:rPr>
          <w:lang w:val="en-GB"/>
        </w:rPr>
        <w:t xml:space="preserve">is </w:t>
      </w:r>
      <w:r w:rsidR="00805F72">
        <w:rPr>
          <w:lang w:val="en-GB"/>
        </w:rPr>
        <w:t>solve</w:t>
      </w:r>
      <w:r w:rsidR="007E2983">
        <w:rPr>
          <w:lang w:val="en-GB"/>
        </w:rPr>
        <w:t xml:space="preserve">d for </w:t>
      </w:r>
      <w:r w:rsidR="00534DC8">
        <w:rPr>
          <w:lang w:val="en-GB"/>
        </w:rPr>
        <w:t>several day</w:t>
      </w:r>
      <w:r w:rsidR="007E2983">
        <w:rPr>
          <w:lang w:val="en-GB"/>
        </w:rPr>
        <w:t>s of</w:t>
      </w:r>
      <w:r w:rsidR="00534DC8">
        <w:rPr>
          <w:lang w:val="en-GB"/>
        </w:rPr>
        <w:t xml:space="preserve"> operation, in which the flexible operation of the plant enables the usage of energy at a lower </w:t>
      </w:r>
      <w:r w:rsidR="007E2983">
        <w:rPr>
          <w:lang w:val="en-GB"/>
        </w:rPr>
        <w:t>price</w:t>
      </w:r>
      <w:r w:rsidR="00534DC8">
        <w:rPr>
          <w:lang w:val="en-GB"/>
        </w:rPr>
        <w:t xml:space="preserve"> and with a lower emission</w:t>
      </w:r>
      <w:r w:rsidR="007E2983">
        <w:rPr>
          <w:lang w:val="en-GB"/>
        </w:rPr>
        <w:t xml:space="preserve"> factor, which results in </w:t>
      </w:r>
      <w:r w:rsidR="007E2983" w:rsidRPr="007E2983">
        <w:rPr>
          <w:lang w:val="en-GB"/>
        </w:rPr>
        <w:t>substantial</w:t>
      </w:r>
      <w:r w:rsidR="007E2983">
        <w:rPr>
          <w:lang w:val="en-GB"/>
        </w:rPr>
        <w:t xml:space="preserve"> economic and ecological benefits over </w:t>
      </w:r>
      <w:r w:rsidR="00F47E83">
        <w:rPr>
          <w:lang w:val="en-GB"/>
        </w:rPr>
        <w:t>the</w:t>
      </w:r>
      <w:r w:rsidR="007E2983">
        <w:rPr>
          <w:lang w:val="en-GB"/>
        </w:rPr>
        <w:t xml:space="preserve"> steady state operation. Additionally,</w:t>
      </w:r>
      <w:r w:rsidR="00563258">
        <w:rPr>
          <w:lang w:val="en-GB"/>
        </w:rPr>
        <w:t xml:space="preserve"> the trade-off between economic and ecological op</w:t>
      </w:r>
      <w:r w:rsidR="00D1648C">
        <w:rPr>
          <w:lang w:val="en-GB"/>
        </w:rPr>
        <w:t xml:space="preserve">timization is </w:t>
      </w:r>
      <w:r w:rsidR="00476275">
        <w:rPr>
          <w:lang w:val="en-GB"/>
        </w:rPr>
        <w:t xml:space="preserve">evaluated, resulting in only minor differences between an economic and an ecological </w:t>
      </w:r>
      <w:r w:rsidR="006B3655">
        <w:rPr>
          <w:lang w:val="en-GB"/>
        </w:rPr>
        <w:t>penalization</w:t>
      </w:r>
      <w:r w:rsidR="00476275">
        <w:rPr>
          <w:lang w:val="en-GB"/>
        </w:rPr>
        <w:t>.</w:t>
      </w:r>
      <w:r w:rsidR="005F4F27">
        <w:rPr>
          <w:lang w:val="en-GB"/>
        </w:rPr>
        <w:t xml:space="preserve"> Furthermore, th</w:t>
      </w:r>
      <w:r w:rsidR="004A35C3">
        <w:rPr>
          <w:lang w:val="en-GB"/>
        </w:rPr>
        <w:t>e economics are evaluate</w:t>
      </w:r>
      <w:r w:rsidR="00F47E83">
        <w:rPr>
          <w:lang w:val="en-GB"/>
        </w:rPr>
        <w:t>d</w:t>
      </w:r>
      <w:r w:rsidR="004A35C3">
        <w:rPr>
          <w:lang w:val="en-GB"/>
        </w:rPr>
        <w:t xml:space="preserve"> </w:t>
      </w:r>
      <w:r w:rsidR="00F47E83">
        <w:rPr>
          <w:lang w:val="en-GB"/>
        </w:rPr>
        <w:t xml:space="preserve">taking into </w:t>
      </w:r>
      <w:r w:rsidR="00B6634D">
        <w:rPr>
          <w:lang w:val="en-GB"/>
        </w:rPr>
        <w:t>account</w:t>
      </w:r>
      <w:r w:rsidR="004A35C3">
        <w:rPr>
          <w:lang w:val="en-GB"/>
        </w:rPr>
        <w:t xml:space="preserve"> additional expenses for the equipment, re</w:t>
      </w:r>
      <w:r w:rsidR="000B04BC">
        <w:rPr>
          <w:lang w:val="en-GB"/>
        </w:rPr>
        <w:t>sulting in a</w:t>
      </w:r>
      <w:r w:rsidR="004A35C3">
        <w:rPr>
          <w:lang w:val="en-GB"/>
        </w:rPr>
        <w:t xml:space="preserve"> </w:t>
      </w:r>
      <w:r w:rsidR="00F47E83">
        <w:rPr>
          <w:lang w:val="en-GB"/>
        </w:rPr>
        <w:t xml:space="preserve">payout of 2.4 </w:t>
      </w:r>
      <w:r w:rsidR="000B04BC">
        <w:rPr>
          <w:lang w:val="en-GB"/>
        </w:rPr>
        <w:t>years,</w:t>
      </w:r>
      <w:r w:rsidR="004A35C3">
        <w:rPr>
          <w:lang w:val="en-GB"/>
        </w:rPr>
        <w:t xml:space="preserve"> wh</w:t>
      </w:r>
      <w:r w:rsidR="00DF4D83">
        <w:rPr>
          <w:lang w:val="en-GB"/>
        </w:rPr>
        <w:t xml:space="preserve">ich is expected to </w:t>
      </w:r>
      <w:r w:rsidR="00F47E83">
        <w:rPr>
          <w:lang w:val="en-GB"/>
        </w:rPr>
        <w:t>de</w:t>
      </w:r>
      <w:r w:rsidR="00DF4D83">
        <w:rPr>
          <w:lang w:val="en-GB"/>
        </w:rPr>
        <w:t xml:space="preserve">crease in the </w:t>
      </w:r>
      <w:r w:rsidR="00F47E83">
        <w:rPr>
          <w:lang w:val="en-GB"/>
        </w:rPr>
        <w:t>future</w:t>
      </w:r>
      <w:r w:rsidR="004A35C3">
        <w:rPr>
          <w:lang w:val="en-GB"/>
        </w:rPr>
        <w:t xml:space="preserve">. </w:t>
      </w:r>
      <w:r w:rsidR="00F73EED">
        <w:rPr>
          <w:lang w:val="en-GB"/>
        </w:rPr>
        <w:t>Further</w:t>
      </w:r>
      <w:r w:rsidR="00782E77">
        <w:rPr>
          <w:lang w:val="en-GB"/>
        </w:rPr>
        <w:t xml:space="preserve"> work</w:t>
      </w:r>
      <w:r w:rsidR="00F73EED">
        <w:rPr>
          <w:lang w:val="en-GB"/>
        </w:rPr>
        <w:t xml:space="preserve"> will</w:t>
      </w:r>
      <w:r w:rsidR="00782E77">
        <w:rPr>
          <w:lang w:val="en-GB"/>
        </w:rPr>
        <w:t xml:space="preserve"> include model mismatch</w:t>
      </w:r>
      <w:r w:rsidR="00F73EED">
        <w:rPr>
          <w:lang w:val="en-GB"/>
        </w:rPr>
        <w:t xml:space="preserve"> and uncertainty</w:t>
      </w:r>
      <w:r w:rsidR="00782E77">
        <w:rPr>
          <w:lang w:val="en-GB"/>
        </w:rPr>
        <w:t xml:space="preserve"> in the dynamic optimal operation. </w:t>
      </w:r>
    </w:p>
    <w:p w14:paraId="2148365A" w14:textId="77777777" w:rsidR="001C6E63" w:rsidRDefault="001C6E63" w:rsidP="0033201E">
      <w:pPr>
        <w:pStyle w:val="CETHeadingxx"/>
      </w:pPr>
    </w:p>
    <w:p w14:paraId="07A6D20F" w14:textId="0D8ACF87" w:rsidR="00280FAF" w:rsidRPr="00280FAF" w:rsidRDefault="00280FAF" w:rsidP="0033201E">
      <w:pPr>
        <w:pStyle w:val="CETHeadingxx"/>
        <w:rPr>
          <w:lang w:val="en-GB"/>
        </w:rPr>
        <w:sectPr w:rsidR="00280FAF" w:rsidRPr="00280FAF" w:rsidSect="00B57E6F">
          <w:type w:val="continuous"/>
          <w:pgSz w:w="11906" w:h="16838" w:code="9"/>
          <w:pgMar w:top="1701" w:right="1418" w:bottom="1701" w:left="1701" w:header="1701" w:footer="0" w:gutter="0"/>
          <w:cols w:space="708"/>
          <w:formProt w:val="0"/>
          <w:titlePg/>
          <w:docGrid w:linePitch="360"/>
        </w:sectPr>
      </w:pPr>
      <w:r>
        <w:t>Nomenclature</w:t>
      </w:r>
    </w:p>
    <w:p w14:paraId="16A27D7B" w14:textId="5DCFA98F" w:rsidR="00FC2CB8" w:rsidRPr="00FC2CB8" w:rsidRDefault="00FC2CB8" w:rsidP="00FC2CB8">
      <w:pPr>
        <w:pStyle w:val="CETBodytext"/>
        <w:ind w:left="7100" w:hanging="7100"/>
        <w:jc w:val="left"/>
        <w:rPr>
          <w:rFonts w:eastAsia="SimSun"/>
          <w:vertAlign w:val="superscript"/>
        </w:rPr>
      </w:pPr>
      <w:r>
        <w:rPr>
          <w:rFonts w:eastAsia="SimSun"/>
        </w:rPr>
        <w:t>B</w:t>
      </w:r>
      <w:r w:rsidRPr="00280FAF">
        <w:rPr>
          <w:rFonts w:eastAsia="SimSun"/>
        </w:rPr>
        <w:t xml:space="preserve"> – </w:t>
      </w:r>
      <w:r w:rsidR="00797197">
        <w:rPr>
          <w:rFonts w:eastAsia="SimSun"/>
        </w:rPr>
        <w:t>n</w:t>
      </w:r>
      <w:r>
        <w:rPr>
          <w:rFonts w:eastAsia="SimSun"/>
        </w:rPr>
        <w:t>ucleation rate, m</w:t>
      </w:r>
      <w:r w:rsidRPr="00ED006D">
        <w:rPr>
          <w:rFonts w:eastAsia="SimSun"/>
          <w:vertAlign w:val="superscript"/>
        </w:rPr>
        <w:t>-3</w:t>
      </w:r>
      <w:r>
        <w:rPr>
          <w:rFonts w:eastAsia="SimSun"/>
        </w:rPr>
        <w:t xml:space="preserve"> s</w:t>
      </w:r>
      <w:r w:rsidRPr="00ED006D">
        <w:rPr>
          <w:rFonts w:eastAsia="SimSun"/>
          <w:vertAlign w:val="superscript"/>
        </w:rPr>
        <w:t>-1</w:t>
      </w:r>
    </w:p>
    <w:p w14:paraId="79566D6B" w14:textId="457A60CF" w:rsidR="00FC2CB8" w:rsidRDefault="00FC2CB8" w:rsidP="00FC2CB8">
      <w:pPr>
        <w:pStyle w:val="CETBodytext"/>
        <w:jc w:val="left"/>
        <w:rPr>
          <w:rFonts w:eastAsia="SimSun"/>
          <w:vertAlign w:val="superscript"/>
        </w:rPr>
      </w:pPr>
      <w:r>
        <w:rPr>
          <w:rFonts w:eastAsia="SimSun"/>
        </w:rPr>
        <w:t>c</w:t>
      </w:r>
      <w:r w:rsidRPr="00280FAF">
        <w:rPr>
          <w:rFonts w:eastAsia="SimSun"/>
        </w:rPr>
        <w:t xml:space="preserve"> – </w:t>
      </w:r>
      <w:r>
        <w:rPr>
          <w:rFonts w:eastAsia="SimSun"/>
        </w:rPr>
        <w:t>molar concentration, mol m</w:t>
      </w:r>
      <w:r w:rsidRPr="00ED006D">
        <w:rPr>
          <w:rFonts w:eastAsia="SimSun"/>
          <w:vertAlign w:val="superscript"/>
        </w:rPr>
        <w:t>-3</w:t>
      </w:r>
    </w:p>
    <w:p w14:paraId="07266036" w14:textId="1A73AC1B" w:rsidR="00261099" w:rsidRDefault="00193F0C" w:rsidP="00FC2CB8">
      <w:pPr>
        <w:pStyle w:val="CETBodytext"/>
        <w:jc w:val="left"/>
        <w:rPr>
          <w:rFonts w:eastAsia="SimSun"/>
          <w:vertAlign w:val="superscript"/>
        </w:rPr>
      </w:pPr>
      <m:oMath>
        <m:sSub>
          <m:sSubPr>
            <m:ctrlPr>
              <w:rPr>
                <w:rFonts w:ascii="Cambria Math" w:eastAsia="SimSun" w:hAnsi="Cambria Math"/>
                <w:i/>
                <w:lang w:val="en-GB"/>
              </w:rPr>
            </m:ctrlPr>
          </m:sSubPr>
          <m:e>
            <m:r>
              <w:rPr>
                <w:rFonts w:ascii="Cambria Math" w:eastAsia="SimSun" w:hAnsi="Cambria Math"/>
                <w:lang w:val="en-GB"/>
              </w:rPr>
              <m:t>c</m:t>
            </m:r>
          </m:e>
          <m:sub>
            <m:r>
              <w:rPr>
                <w:rFonts w:ascii="Cambria Math" w:eastAsia="SimSun" w:hAnsi="Cambria Math"/>
                <w:lang w:val="en-GB"/>
              </w:rPr>
              <m:t>p</m:t>
            </m:r>
          </m:sub>
        </m:sSub>
      </m:oMath>
      <w:r w:rsidR="00C864A4">
        <w:rPr>
          <w:rFonts w:eastAsia="SimSun"/>
          <w:lang w:val="en-GB"/>
        </w:rPr>
        <w:t>– heat capacity</w:t>
      </w:r>
      <w:r w:rsidR="00C864A4" w:rsidRPr="00280FAF">
        <w:rPr>
          <w:rFonts w:eastAsia="SimSun"/>
        </w:rPr>
        <w:t xml:space="preserve"> </w:t>
      </w:r>
      <w:r w:rsidR="00C864A4">
        <w:rPr>
          <w:rFonts w:eastAsia="SimSun"/>
        </w:rPr>
        <w:t>J kg</w:t>
      </w:r>
      <w:r w:rsidR="00C864A4">
        <w:rPr>
          <w:rFonts w:eastAsia="SimSun"/>
          <w:vertAlign w:val="superscript"/>
        </w:rPr>
        <w:t>-1</w:t>
      </w:r>
      <w:r w:rsidR="00C864A4" w:rsidRPr="00C864A4">
        <w:rPr>
          <w:rFonts w:eastAsia="SimSun"/>
        </w:rPr>
        <w:t xml:space="preserve"> </w:t>
      </w:r>
      <w:r w:rsidR="00C864A4">
        <w:rPr>
          <w:rFonts w:eastAsia="SimSun"/>
        </w:rPr>
        <w:t>K</w:t>
      </w:r>
      <w:r w:rsidR="00C864A4">
        <w:rPr>
          <w:rFonts w:eastAsia="SimSun"/>
          <w:vertAlign w:val="superscript"/>
        </w:rPr>
        <w:t>-1</w:t>
      </w:r>
    </w:p>
    <w:p w14:paraId="629E42B3" w14:textId="154CA009" w:rsidR="00261099" w:rsidRPr="00261099" w:rsidRDefault="00261099" w:rsidP="00FC2CB8">
      <w:pPr>
        <w:pStyle w:val="CETBodytext"/>
        <w:jc w:val="left"/>
        <w:rPr>
          <w:rFonts w:eastAsia="SimSun"/>
          <w:vertAlign w:val="superscript"/>
        </w:rPr>
      </w:pPr>
      <w:r>
        <w:rPr>
          <w:rFonts w:eastAsia="SimSun"/>
        </w:rPr>
        <w:t>D</w:t>
      </w:r>
      <w:r w:rsidRPr="00280FAF">
        <w:rPr>
          <w:rFonts w:eastAsia="SimSun"/>
        </w:rPr>
        <w:t xml:space="preserve"> – </w:t>
      </w:r>
      <w:r>
        <w:rPr>
          <w:rFonts w:eastAsia="SimSun"/>
        </w:rPr>
        <w:t>diffusion coefficient, m</w:t>
      </w:r>
      <w:r>
        <w:rPr>
          <w:rFonts w:eastAsia="SimSun"/>
          <w:vertAlign w:val="superscript"/>
        </w:rPr>
        <w:t xml:space="preserve">2 </w:t>
      </w:r>
      <w:r>
        <w:rPr>
          <w:rFonts w:eastAsia="SimSun"/>
        </w:rPr>
        <w:t>s</w:t>
      </w:r>
      <w:r w:rsidRPr="00ED006D">
        <w:rPr>
          <w:rFonts w:eastAsia="SimSun"/>
          <w:vertAlign w:val="superscript"/>
        </w:rPr>
        <w:t>-1</w:t>
      </w:r>
    </w:p>
    <w:p w14:paraId="465300E7" w14:textId="6AEBFB9E" w:rsidR="00FC2CB8" w:rsidRDefault="00193F0C" w:rsidP="00FC2CB8">
      <w:pPr>
        <w:pStyle w:val="CETBodytext"/>
        <w:jc w:val="left"/>
        <w:rPr>
          <w:rFonts w:eastAsia="SimSun"/>
        </w:rPr>
      </w:pPr>
      <m:oMath>
        <m:sSub>
          <m:sSubPr>
            <m:ctrlPr>
              <w:rPr>
                <w:rFonts w:ascii="Cambria Math" w:eastAsia="SimSun" w:hAnsi="Cambria Math"/>
                <w:i/>
                <w:lang w:val="en-GB"/>
              </w:rPr>
            </m:ctrlPr>
          </m:sSubPr>
          <m:e>
            <m:r>
              <w:rPr>
                <w:rFonts w:ascii="Cambria Math" w:eastAsia="SimSun" w:hAnsi="Cambria Math"/>
                <w:lang w:val="en-GB"/>
              </w:rPr>
              <m:t>E</m:t>
            </m:r>
          </m:e>
          <m:sub>
            <m:r>
              <w:rPr>
                <w:rFonts w:ascii="Cambria Math" w:eastAsia="SimSun" w:hAnsi="Cambria Math"/>
                <w:lang w:val="en-GB"/>
              </w:rPr>
              <m:t>k</m:t>
            </m:r>
          </m:sub>
        </m:sSub>
      </m:oMath>
      <w:r w:rsidR="00FC2CB8" w:rsidRPr="00280FAF">
        <w:rPr>
          <w:rFonts w:eastAsia="SimSun"/>
        </w:rPr>
        <w:t xml:space="preserve">– </w:t>
      </w:r>
      <w:r w:rsidR="00797197">
        <w:rPr>
          <w:rFonts w:eastAsia="SimSun"/>
        </w:rPr>
        <w:t>e</w:t>
      </w:r>
      <w:r w:rsidR="000B57F6">
        <w:rPr>
          <w:rFonts w:eastAsia="SimSun"/>
        </w:rPr>
        <w:t>quipment cost</w:t>
      </w:r>
      <w:r w:rsidR="00FC2CB8" w:rsidRPr="00280FAF">
        <w:rPr>
          <w:rFonts w:eastAsia="SimSun"/>
        </w:rPr>
        <w:t xml:space="preserve">, </w:t>
      </w:r>
      <w:r w:rsidR="000B57F6">
        <w:rPr>
          <w:rFonts w:eastAsia="SimSun"/>
        </w:rPr>
        <w:t>€</w:t>
      </w:r>
    </w:p>
    <w:p w14:paraId="09A44496" w14:textId="5EFA9C42" w:rsidR="00C864A4" w:rsidRDefault="00103219" w:rsidP="00FC2CB8">
      <w:pPr>
        <w:pStyle w:val="CETBodytext"/>
        <w:jc w:val="left"/>
        <w:rPr>
          <w:rFonts w:eastAsia="SimSun"/>
        </w:rPr>
      </w:pPr>
      <w:r>
        <w:rPr>
          <w:rFonts w:eastAsia="SimSun"/>
        </w:rPr>
        <w:t>f</w:t>
      </w:r>
      <w:r w:rsidR="00C864A4" w:rsidRPr="00280FAF">
        <w:rPr>
          <w:rFonts w:eastAsia="SimSun"/>
        </w:rPr>
        <w:t xml:space="preserve"> – </w:t>
      </w:r>
      <w:r w:rsidR="00C864A4">
        <w:rPr>
          <w:rFonts w:eastAsia="SimSun"/>
        </w:rPr>
        <w:t>plant model</w:t>
      </w:r>
      <w:r w:rsidR="00C864A4" w:rsidRPr="00280FAF">
        <w:rPr>
          <w:rFonts w:eastAsia="SimSun"/>
        </w:rPr>
        <w:t xml:space="preserve">, </w:t>
      </w:r>
      <w:r w:rsidR="00C864A4">
        <w:rPr>
          <w:rFonts w:eastAsia="SimSun"/>
        </w:rPr>
        <w:t>-</w:t>
      </w:r>
    </w:p>
    <w:p w14:paraId="361E1171" w14:textId="21BA7842" w:rsidR="000B57F6" w:rsidRPr="000B57F6" w:rsidRDefault="000B57F6" w:rsidP="00FC2CB8">
      <w:pPr>
        <w:pStyle w:val="CETBodytext"/>
        <w:jc w:val="left"/>
        <w:rPr>
          <w:rFonts w:eastAsia="SimSun"/>
          <w:vertAlign w:val="superscript"/>
        </w:rPr>
      </w:pPr>
      <w:r>
        <w:rPr>
          <w:rFonts w:eastAsia="SimSun"/>
        </w:rPr>
        <w:t>F</w:t>
      </w:r>
      <w:r w:rsidRPr="00280FAF">
        <w:rPr>
          <w:rFonts w:eastAsia="SimSun"/>
        </w:rPr>
        <w:t xml:space="preserve"> – </w:t>
      </w:r>
      <w:r>
        <w:rPr>
          <w:rFonts w:eastAsia="SimSun"/>
        </w:rPr>
        <w:t xml:space="preserve">Throughput </w:t>
      </w:r>
      <w:r w:rsidRPr="00280FAF">
        <w:rPr>
          <w:rFonts w:eastAsia="SimSun"/>
        </w:rPr>
        <w:t>,</w:t>
      </w:r>
      <w:r>
        <w:rPr>
          <w:rFonts w:eastAsia="SimSun"/>
        </w:rPr>
        <w:t>kg</w:t>
      </w:r>
      <w:r w:rsidRPr="00280FAF">
        <w:rPr>
          <w:rFonts w:eastAsia="SimSun"/>
        </w:rPr>
        <w:t xml:space="preserve"> </w:t>
      </w:r>
      <w:r>
        <w:rPr>
          <w:rFonts w:eastAsia="SimSun"/>
        </w:rPr>
        <w:t>s</w:t>
      </w:r>
      <w:r w:rsidRPr="00ED006D">
        <w:rPr>
          <w:rFonts w:eastAsia="SimSun"/>
          <w:vertAlign w:val="superscript"/>
        </w:rPr>
        <w:t>-1</w:t>
      </w:r>
    </w:p>
    <w:p w14:paraId="74C52547" w14:textId="660589AA" w:rsidR="000B57F6" w:rsidRDefault="000B57F6" w:rsidP="00FC2CB8">
      <w:pPr>
        <w:pStyle w:val="CETBodytext"/>
        <w:jc w:val="left"/>
        <w:rPr>
          <w:rFonts w:eastAsia="SimSun"/>
        </w:rPr>
      </w:pPr>
      <w:r>
        <w:rPr>
          <w:rFonts w:eastAsia="SimSun"/>
        </w:rPr>
        <w:t>I</w:t>
      </w:r>
      <w:r w:rsidRPr="00280FAF">
        <w:rPr>
          <w:rFonts w:eastAsia="SimSun"/>
        </w:rPr>
        <w:t xml:space="preserve"> – </w:t>
      </w:r>
      <w:r>
        <w:rPr>
          <w:rFonts w:eastAsia="SimSun"/>
        </w:rPr>
        <w:t>Investment cost</w:t>
      </w:r>
      <w:r w:rsidRPr="00280FAF">
        <w:rPr>
          <w:rFonts w:eastAsia="SimSun"/>
        </w:rPr>
        <w:t xml:space="preserve">, </w:t>
      </w:r>
      <w:r>
        <w:rPr>
          <w:rFonts w:eastAsia="SimSun"/>
        </w:rPr>
        <w:t>€</w:t>
      </w:r>
    </w:p>
    <w:p w14:paraId="7D7F32E5" w14:textId="6004FC8A" w:rsidR="00261099" w:rsidRDefault="00261099" w:rsidP="00FC2CB8">
      <w:pPr>
        <w:pStyle w:val="CETBodytext"/>
        <w:jc w:val="left"/>
        <w:rPr>
          <w:rFonts w:eastAsia="SimSun"/>
        </w:rPr>
      </w:pPr>
      <w:r>
        <w:rPr>
          <w:rFonts w:eastAsia="SimSun"/>
        </w:rPr>
        <w:t>k</w:t>
      </w:r>
      <w:r w:rsidRPr="00280FAF">
        <w:rPr>
          <w:rFonts w:eastAsia="SimSun"/>
        </w:rPr>
        <w:t>–</w:t>
      </w:r>
      <w:r>
        <w:rPr>
          <w:rFonts w:eastAsia="SimSun"/>
        </w:rPr>
        <w:t xml:space="preserve"> kinetic reaction parameters</w:t>
      </w:r>
      <w:r w:rsidRPr="00280FAF">
        <w:rPr>
          <w:rFonts w:eastAsia="SimSun"/>
        </w:rPr>
        <w:t>,</w:t>
      </w:r>
      <w:r>
        <w:rPr>
          <w:rFonts w:eastAsia="SimSun"/>
        </w:rPr>
        <w:t xml:space="preserve"> var</w:t>
      </w:r>
      <w:r w:rsidRPr="00280FAF">
        <w:rPr>
          <w:rFonts w:eastAsia="SimSun"/>
        </w:rPr>
        <w:t xml:space="preserve"> </w:t>
      </w:r>
    </w:p>
    <w:p w14:paraId="32401409" w14:textId="0C6E0BBE" w:rsidR="009E5DF8" w:rsidRPr="009E5DF8" w:rsidRDefault="00FC2CB8" w:rsidP="00FC2CB8">
      <w:pPr>
        <w:pStyle w:val="CETBodytext"/>
        <w:jc w:val="left"/>
        <w:rPr>
          <w:rFonts w:eastAsia="SimSun"/>
          <w:vertAlign w:val="superscript"/>
        </w:rPr>
      </w:pPr>
      <w:r>
        <w:rPr>
          <w:rFonts w:eastAsia="SimSun"/>
        </w:rPr>
        <w:t>G</w:t>
      </w:r>
      <w:r w:rsidRPr="00280FAF">
        <w:rPr>
          <w:rFonts w:eastAsia="SimSun"/>
        </w:rPr>
        <w:t xml:space="preserve"> – </w:t>
      </w:r>
      <w:r>
        <w:rPr>
          <w:rFonts w:eastAsia="SimSun"/>
        </w:rPr>
        <w:t>Growth rate</w:t>
      </w:r>
      <w:r w:rsidRPr="00280FAF">
        <w:rPr>
          <w:rFonts w:eastAsia="SimSun"/>
        </w:rPr>
        <w:t>, m</w:t>
      </w:r>
      <w:r w:rsidRPr="00ED006D">
        <w:rPr>
          <w:rFonts w:eastAsia="SimSun"/>
          <w:vertAlign w:val="superscript"/>
        </w:rPr>
        <w:t>-1</w:t>
      </w:r>
    </w:p>
    <w:p w14:paraId="24402FE1" w14:textId="417C7184" w:rsidR="009E5DF8" w:rsidRDefault="009E5DF8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g</w:t>
      </w:r>
      <w:r w:rsidRPr="00280FAF">
        <w:rPr>
          <w:rFonts w:eastAsia="SimSun"/>
        </w:rPr>
        <w:t xml:space="preserve"> – </w:t>
      </w:r>
      <w:r>
        <w:rPr>
          <w:rFonts w:eastAsia="SimSun"/>
        </w:rPr>
        <w:t>inequality constraint</w:t>
      </w:r>
      <w:r w:rsidRPr="00280FAF">
        <w:rPr>
          <w:rFonts w:eastAsia="SimSun"/>
        </w:rPr>
        <w:t xml:space="preserve">, </w:t>
      </w:r>
      <w:r>
        <w:rPr>
          <w:rFonts w:eastAsia="SimSun"/>
        </w:rPr>
        <w:t>-</w:t>
      </w:r>
    </w:p>
    <w:p w14:paraId="33D176ED" w14:textId="4E3DE9D8" w:rsidR="00280FAF" w:rsidRDefault="00B24553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L</w:t>
      </w:r>
      <w:r w:rsidR="00280FAF" w:rsidRPr="00280FAF">
        <w:rPr>
          <w:rFonts w:eastAsia="SimSun"/>
        </w:rPr>
        <w:t xml:space="preserve"> – </w:t>
      </w:r>
      <w:r>
        <w:rPr>
          <w:rFonts w:eastAsia="SimSun"/>
        </w:rPr>
        <w:t>reactor length</w:t>
      </w:r>
      <w:r w:rsidR="00280FAF" w:rsidRPr="00280FAF">
        <w:rPr>
          <w:rFonts w:eastAsia="SimSun"/>
        </w:rPr>
        <w:t>, m</w:t>
      </w:r>
    </w:p>
    <w:p w14:paraId="3840E793" w14:textId="72E956A0" w:rsidR="00C864A4" w:rsidRPr="00C864A4" w:rsidRDefault="00193F0C" w:rsidP="00280FAF">
      <w:pPr>
        <w:pStyle w:val="CETBodytext"/>
        <w:jc w:val="left"/>
        <w:rPr>
          <w:rFonts w:eastAsia="SimSun"/>
          <w:vertAlign w:val="superscript"/>
        </w:rPr>
      </w:pPr>
      <m:oMath>
        <m:acc>
          <m:accPr>
            <m:chr m:val="̇"/>
            <m:ctrlPr>
              <w:rPr>
                <w:rFonts w:ascii="Cambria Math" w:eastAsia="SimSun" w:hAnsi="Cambria Math"/>
                <w:i/>
                <w:lang w:val="en-GB"/>
              </w:rPr>
            </m:ctrlPr>
          </m:accPr>
          <m:e>
            <m:r>
              <w:rPr>
                <w:rFonts w:ascii="Cambria Math" w:eastAsia="SimSun" w:hAnsi="Cambria Math"/>
                <w:lang w:val="en-GB"/>
              </w:rPr>
              <m:t>Q</m:t>
            </m:r>
          </m:e>
        </m:acc>
      </m:oMath>
      <w:r w:rsidR="00C864A4" w:rsidRPr="005B742F">
        <w:rPr>
          <w:rFonts w:eastAsia="SimSun"/>
          <w:lang w:val="en-GB"/>
        </w:rPr>
        <w:t xml:space="preserve"> </w:t>
      </w:r>
      <w:r w:rsidR="00C864A4" w:rsidRPr="00280FAF">
        <w:rPr>
          <w:rFonts w:eastAsia="SimSun"/>
        </w:rPr>
        <w:t xml:space="preserve">– </w:t>
      </w:r>
      <w:r w:rsidR="00C864A4">
        <w:rPr>
          <w:rFonts w:eastAsia="SimSun"/>
        </w:rPr>
        <w:t>volumetric heat source/sink</w:t>
      </w:r>
      <w:r w:rsidR="00C864A4" w:rsidRPr="00280FAF">
        <w:rPr>
          <w:rFonts w:eastAsia="SimSun"/>
        </w:rPr>
        <w:t xml:space="preserve">, </w:t>
      </w:r>
      <w:r w:rsidR="00C864A4">
        <w:rPr>
          <w:rFonts w:eastAsia="SimSun"/>
        </w:rPr>
        <w:t xml:space="preserve">W </w:t>
      </w:r>
      <w:r w:rsidR="00C864A4" w:rsidRPr="00280FAF">
        <w:rPr>
          <w:rFonts w:eastAsia="SimSun"/>
        </w:rPr>
        <w:t>m</w:t>
      </w:r>
      <w:r w:rsidR="00C864A4">
        <w:rPr>
          <w:rFonts w:eastAsia="SimSun"/>
          <w:vertAlign w:val="superscript"/>
        </w:rPr>
        <w:t>-3</w:t>
      </w:r>
    </w:p>
    <w:p w14:paraId="5A6624BF" w14:textId="3B783349" w:rsidR="00280FAF" w:rsidRDefault="00B24553" w:rsidP="00280FAF">
      <w:pPr>
        <w:pStyle w:val="CETBodytext"/>
        <w:jc w:val="left"/>
        <w:rPr>
          <w:rFonts w:eastAsia="SimSun"/>
          <w:vertAlign w:val="superscript"/>
        </w:rPr>
      </w:pPr>
      <w:r>
        <w:rPr>
          <w:rFonts w:eastAsia="SimSun"/>
        </w:rPr>
        <w:t>r</w:t>
      </w:r>
      <w:r w:rsidR="00280FAF" w:rsidRPr="00280FAF">
        <w:rPr>
          <w:rFonts w:eastAsia="SimSun"/>
        </w:rPr>
        <w:t xml:space="preserve"> – </w:t>
      </w:r>
      <w:r>
        <w:rPr>
          <w:rFonts w:eastAsia="SimSun"/>
        </w:rPr>
        <w:t>volumetric reaction rate, div.</w:t>
      </w:r>
      <w:r w:rsidRPr="00B24553">
        <w:rPr>
          <w:rFonts w:eastAsia="SimSun"/>
        </w:rPr>
        <w:t xml:space="preserve"> </w:t>
      </w:r>
      <w:r>
        <w:rPr>
          <w:rFonts w:eastAsia="SimSun"/>
        </w:rPr>
        <w:t>m</w:t>
      </w:r>
      <w:r w:rsidRPr="00ED006D">
        <w:rPr>
          <w:rFonts w:eastAsia="SimSun"/>
          <w:vertAlign w:val="superscript"/>
        </w:rPr>
        <w:t>-3</w:t>
      </w:r>
    </w:p>
    <w:p w14:paraId="25A1DE00" w14:textId="37964081" w:rsidR="000B57F6" w:rsidRPr="00280FAF" w:rsidRDefault="000B57F6" w:rsidP="000B57F6">
      <w:pPr>
        <w:pStyle w:val="CETBodytext"/>
        <w:jc w:val="left"/>
        <w:rPr>
          <w:rFonts w:eastAsia="SimSun"/>
        </w:rPr>
      </w:pPr>
      <w:r>
        <w:rPr>
          <w:rFonts w:eastAsia="SimSun"/>
        </w:rPr>
        <w:t>R – yearly savings, €</w:t>
      </w:r>
      <w:r w:rsidRPr="00FC2CB8">
        <w:rPr>
          <w:rFonts w:eastAsia="SimSun"/>
        </w:rPr>
        <w:t xml:space="preserve"> </w:t>
      </w:r>
      <w:r w:rsidR="008D001D">
        <w:rPr>
          <w:rFonts w:eastAsia="SimSun"/>
        </w:rPr>
        <w:t>a</w:t>
      </w:r>
      <w:r>
        <w:rPr>
          <w:rFonts w:eastAsia="SimSun"/>
          <w:vertAlign w:val="superscript"/>
        </w:rPr>
        <w:t>-1</w:t>
      </w:r>
    </w:p>
    <w:p w14:paraId="1D9C2FCB" w14:textId="78BBBD5A" w:rsidR="00FC2CB8" w:rsidRPr="00280FAF" w:rsidRDefault="00FC2CB8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S – volumetric inner surface of gel particles,</w:t>
      </w:r>
      <w:r w:rsidRPr="00FC2CB8">
        <w:rPr>
          <w:rFonts w:eastAsia="SimSun"/>
        </w:rPr>
        <w:t xml:space="preserve"> </w:t>
      </w:r>
      <w:r>
        <w:rPr>
          <w:rFonts w:eastAsia="SimSun"/>
        </w:rPr>
        <w:t>m</w:t>
      </w:r>
      <w:r>
        <w:rPr>
          <w:rFonts w:eastAsia="SimSun"/>
          <w:vertAlign w:val="superscript"/>
        </w:rPr>
        <w:t>-1</w:t>
      </w:r>
    </w:p>
    <w:p w14:paraId="63AB7028" w14:textId="60A1F480" w:rsidR="00280FAF" w:rsidRPr="00280FAF" w:rsidRDefault="00B24553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 xml:space="preserve">T – </w:t>
      </w:r>
      <w:r w:rsidR="00280FAF" w:rsidRPr="00280FAF">
        <w:rPr>
          <w:rFonts w:eastAsia="SimSun"/>
        </w:rPr>
        <w:t>temperature, K</w:t>
      </w:r>
    </w:p>
    <w:p w14:paraId="24D4E211" w14:textId="548E7561" w:rsidR="00280FAF" w:rsidRDefault="00B24553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t</w:t>
      </w:r>
      <w:r w:rsidR="00280FAF" w:rsidRPr="00280FAF">
        <w:rPr>
          <w:rFonts w:eastAsia="SimSun"/>
        </w:rPr>
        <w:t xml:space="preserve"> – </w:t>
      </w:r>
      <w:r>
        <w:rPr>
          <w:rFonts w:eastAsia="SimSun"/>
        </w:rPr>
        <w:t>time</w:t>
      </w:r>
      <w:r w:rsidR="00280FAF" w:rsidRPr="00280FAF">
        <w:rPr>
          <w:rFonts w:eastAsia="SimSun"/>
        </w:rPr>
        <w:t xml:space="preserve">, </w:t>
      </w:r>
      <w:r>
        <w:rPr>
          <w:rFonts w:eastAsia="SimSun"/>
        </w:rPr>
        <w:t>s</w:t>
      </w:r>
    </w:p>
    <w:p w14:paraId="7839FB14" w14:textId="3D55768D" w:rsidR="000B57F6" w:rsidRDefault="000B57F6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t</w:t>
      </w:r>
      <w:r>
        <w:rPr>
          <w:rFonts w:eastAsia="SimSun"/>
          <w:vertAlign w:val="subscript"/>
        </w:rPr>
        <w:t>payout</w:t>
      </w:r>
      <w:r w:rsidRPr="00280FAF">
        <w:rPr>
          <w:rFonts w:eastAsia="SimSun"/>
        </w:rPr>
        <w:t xml:space="preserve"> – </w:t>
      </w:r>
      <w:r>
        <w:rPr>
          <w:rFonts w:eastAsia="SimSun"/>
        </w:rPr>
        <w:t>payout time</w:t>
      </w:r>
      <w:r w:rsidRPr="00280FAF">
        <w:rPr>
          <w:rFonts w:eastAsia="SimSun"/>
        </w:rPr>
        <w:t xml:space="preserve">, </w:t>
      </w:r>
      <w:r w:rsidR="008D001D">
        <w:rPr>
          <w:rFonts w:eastAsia="SimSun"/>
        </w:rPr>
        <w:t>a</w:t>
      </w:r>
    </w:p>
    <w:p w14:paraId="12B1D58B" w14:textId="6C459C26" w:rsidR="006B3655" w:rsidRPr="00280FAF" w:rsidRDefault="006B3655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 xml:space="preserve">u </w:t>
      </w:r>
      <w:r w:rsidRPr="00280FAF">
        <w:rPr>
          <w:rFonts w:eastAsia="SimSun"/>
        </w:rPr>
        <w:t xml:space="preserve">– </w:t>
      </w:r>
      <w:r>
        <w:rPr>
          <w:rFonts w:eastAsia="SimSun"/>
        </w:rPr>
        <w:t>inputs of the model</w:t>
      </w:r>
      <w:r w:rsidRPr="00280FAF">
        <w:rPr>
          <w:rFonts w:eastAsia="SimSun"/>
        </w:rPr>
        <w:t xml:space="preserve">, </w:t>
      </w:r>
      <w:r>
        <w:rPr>
          <w:rFonts w:eastAsia="SimSun"/>
        </w:rPr>
        <w:t>var</w:t>
      </w:r>
    </w:p>
    <w:p w14:paraId="3ADF7B6E" w14:textId="722D6C82" w:rsidR="00311E4B" w:rsidRDefault="00311E4B" w:rsidP="00311E4B">
      <w:pPr>
        <w:pStyle w:val="CETBodytext"/>
        <w:jc w:val="left"/>
        <w:rPr>
          <w:rFonts w:eastAsia="SimSun"/>
        </w:rPr>
      </w:pPr>
      <w:r>
        <w:rPr>
          <w:rFonts w:eastAsia="SimSun"/>
        </w:rPr>
        <w:t>X</w:t>
      </w:r>
      <w:r w:rsidRPr="00280FAF">
        <w:rPr>
          <w:rFonts w:eastAsia="SimSun"/>
        </w:rPr>
        <w:t xml:space="preserve"> – </w:t>
      </w:r>
      <w:r>
        <w:rPr>
          <w:rFonts w:eastAsia="SimSun"/>
        </w:rPr>
        <w:t>crystallinity</w:t>
      </w:r>
      <w:r w:rsidRPr="00280FAF">
        <w:rPr>
          <w:rFonts w:eastAsia="SimSun"/>
        </w:rPr>
        <w:t xml:space="preserve">, </w:t>
      </w:r>
      <w:r>
        <w:rPr>
          <w:rFonts w:eastAsia="SimSun"/>
        </w:rPr>
        <w:t>-</w:t>
      </w:r>
    </w:p>
    <w:p w14:paraId="3AA84CB6" w14:textId="40E5720F" w:rsidR="006B3655" w:rsidRDefault="003A3C27" w:rsidP="00311E4B">
      <w:pPr>
        <w:pStyle w:val="CETBodytext"/>
        <w:jc w:val="left"/>
        <w:rPr>
          <w:rFonts w:eastAsia="SimSun"/>
        </w:rPr>
      </w:pPr>
      <w:r>
        <w:rPr>
          <w:rFonts w:eastAsia="SimSun"/>
        </w:rPr>
        <w:t xml:space="preserve">x </w:t>
      </w:r>
      <w:r w:rsidRPr="00280FAF">
        <w:rPr>
          <w:rFonts w:eastAsia="SimSun"/>
        </w:rPr>
        <w:t xml:space="preserve">– </w:t>
      </w:r>
      <w:r>
        <w:rPr>
          <w:rFonts w:eastAsia="SimSun"/>
        </w:rPr>
        <w:t>states</w:t>
      </w:r>
      <w:r w:rsidR="006B3655">
        <w:rPr>
          <w:rFonts w:eastAsia="SimSun"/>
        </w:rPr>
        <w:t xml:space="preserve"> of the model</w:t>
      </w:r>
      <w:r w:rsidRPr="00280FAF">
        <w:rPr>
          <w:rFonts w:eastAsia="SimSun"/>
        </w:rPr>
        <w:t xml:space="preserve">, </w:t>
      </w:r>
      <w:r w:rsidR="006B3655">
        <w:rPr>
          <w:rFonts w:eastAsia="SimSun"/>
        </w:rPr>
        <w:t>var</w:t>
      </w:r>
    </w:p>
    <w:p w14:paraId="4B1BA870" w14:textId="13E80CE8" w:rsidR="0055251F" w:rsidRPr="001C6E63" w:rsidRDefault="00FC2CB8" w:rsidP="001C6E63">
      <w:pPr>
        <w:pStyle w:val="CETBodytext"/>
        <w:jc w:val="left"/>
        <w:rPr>
          <w:rFonts w:eastAsia="SimSun"/>
        </w:rPr>
      </w:pPr>
      <w:r>
        <w:rPr>
          <w:rFonts w:eastAsia="SimSun"/>
        </w:rPr>
        <w:t>z</w:t>
      </w:r>
      <w:r w:rsidR="00280FAF" w:rsidRPr="00280FAF">
        <w:rPr>
          <w:rFonts w:eastAsia="SimSun"/>
        </w:rPr>
        <w:t xml:space="preserve"> – </w:t>
      </w:r>
      <w:r w:rsidR="00FF0A1E">
        <w:rPr>
          <w:rFonts w:eastAsia="SimSun"/>
        </w:rPr>
        <w:t xml:space="preserve">reactor length coordinate, </w:t>
      </w:r>
      <w:r>
        <w:rPr>
          <w:rFonts w:eastAsia="SimSun"/>
        </w:rPr>
        <w:t>m</w:t>
      </w:r>
    </w:p>
    <w:p w14:paraId="60A8413D" w14:textId="1AE462A0" w:rsidR="0055251F" w:rsidRDefault="0055251F" w:rsidP="0055251F">
      <w:pPr>
        <w:pStyle w:val="CETBodytext"/>
        <w:jc w:val="left"/>
        <w:rPr>
          <w:rFonts w:eastAsia="SimSun"/>
          <w:vertAlign w:val="superscript"/>
        </w:rPr>
      </w:pPr>
      <m:oMath>
        <m:r>
          <w:rPr>
            <w:rFonts w:ascii="Cambria Math" w:eastAsia="SimSun" w:hAnsi="Cambria Math"/>
            <w:lang w:val="en-GB"/>
          </w:rPr>
          <m:t>γ</m:t>
        </m:r>
      </m:oMath>
      <w:r w:rsidRPr="005B742F">
        <w:rPr>
          <w:rFonts w:eastAsia="SimSun"/>
          <w:lang w:val="en-GB"/>
        </w:rPr>
        <w:t xml:space="preserve"> </w:t>
      </w:r>
      <w:r>
        <w:rPr>
          <w:rFonts w:eastAsia="SimSun"/>
          <w:lang w:val="en-GB"/>
        </w:rPr>
        <w:t>– normalized energy price, -</w:t>
      </w:r>
    </w:p>
    <w:p w14:paraId="635B9525" w14:textId="77777777" w:rsidR="006B3655" w:rsidRPr="00280FAF" w:rsidRDefault="00193F0C" w:rsidP="006B3655">
      <w:pPr>
        <w:pStyle w:val="CETBodytext"/>
        <w:jc w:val="left"/>
        <w:rPr>
          <w:rFonts w:eastAsia="SimSun"/>
        </w:rPr>
      </w:pPr>
      <m:oMath>
        <m:sSub>
          <m:sSubPr>
            <m:ctrlPr>
              <w:rPr>
                <w:rFonts w:ascii="Cambria Math" w:eastAsia="SimSun" w:hAnsi="Cambria Math"/>
                <w:i/>
                <w:lang w:val="el-GR"/>
              </w:rPr>
            </m:ctrlPr>
          </m:sSubPr>
          <m:e>
            <m:r>
              <w:rPr>
                <w:rFonts w:ascii="Cambria Math" w:eastAsia="SimSun" w:hAnsi="Cambria Math"/>
                <w:lang w:val="el-GR"/>
              </w:rPr>
              <m:t>μ</m:t>
            </m:r>
          </m:e>
          <m:sub>
            <m:r>
              <w:rPr>
                <w:rFonts w:ascii="Cambria Math" w:eastAsia="SimSun" w:hAnsi="Cambria Math"/>
                <w:lang w:val="el-GR"/>
              </w:rPr>
              <m:t>k</m:t>
            </m:r>
          </m:sub>
        </m:sSub>
      </m:oMath>
      <w:r w:rsidR="006B3655" w:rsidRPr="005B742F">
        <w:rPr>
          <w:rFonts w:eastAsia="SimSun"/>
          <w:lang w:val="en-GB"/>
        </w:rPr>
        <w:t xml:space="preserve"> </w:t>
      </w:r>
      <w:r w:rsidR="006B3655">
        <w:rPr>
          <w:rFonts w:eastAsia="SimSun"/>
          <w:lang w:val="en-GB"/>
        </w:rPr>
        <w:t>– kth moment of the zeolite PSD</w:t>
      </w:r>
      <w:r w:rsidR="006B3655" w:rsidRPr="00280FAF">
        <w:rPr>
          <w:rFonts w:eastAsia="SimSun"/>
        </w:rPr>
        <w:t>,</w:t>
      </w:r>
      <w:r w:rsidR="006B3655">
        <w:rPr>
          <w:rFonts w:eastAsia="SimSun"/>
        </w:rPr>
        <w:t xml:space="preserve"> mol</w:t>
      </w:r>
      <w:r w:rsidR="006B3655">
        <w:rPr>
          <w:rFonts w:eastAsia="SimSun"/>
          <w:vertAlign w:val="superscript"/>
        </w:rPr>
        <w:t>k</w:t>
      </w:r>
      <w:r w:rsidR="006B3655" w:rsidRPr="00280FAF">
        <w:rPr>
          <w:rFonts w:eastAsia="SimSun"/>
        </w:rPr>
        <w:t xml:space="preserve"> </w:t>
      </w:r>
      <w:r w:rsidR="006B3655">
        <w:rPr>
          <w:rFonts w:eastAsia="SimSun"/>
        </w:rPr>
        <w:t>m</w:t>
      </w:r>
      <w:r w:rsidR="006B3655" w:rsidRPr="00ED006D">
        <w:rPr>
          <w:rFonts w:eastAsia="SimSun"/>
          <w:vertAlign w:val="superscript"/>
        </w:rPr>
        <w:t>-3</w:t>
      </w:r>
    </w:p>
    <w:p w14:paraId="0F4C1FAC" w14:textId="77777777" w:rsidR="0055251F" w:rsidRPr="0055251F" w:rsidRDefault="0055251F" w:rsidP="0055251F">
      <w:pPr>
        <w:pStyle w:val="CETBodytext"/>
        <w:jc w:val="left"/>
        <w:rPr>
          <w:rFonts w:eastAsia="SimSun"/>
          <w:vertAlign w:val="superscript"/>
        </w:rPr>
      </w:pPr>
      <m:oMath>
        <m:r>
          <w:rPr>
            <w:rFonts w:ascii="Cambria Math" w:eastAsia="SimSun" w:hAnsi="Cambria Math"/>
            <w:lang w:val="en-GB"/>
          </w:rPr>
          <m:t>ρ</m:t>
        </m:r>
      </m:oMath>
      <w:r w:rsidRPr="005B742F">
        <w:rPr>
          <w:rFonts w:eastAsia="SimSun"/>
          <w:lang w:val="en-GB"/>
        </w:rPr>
        <w:t xml:space="preserve"> </w:t>
      </w:r>
      <w:r>
        <w:rPr>
          <w:rFonts w:eastAsia="SimSun"/>
          <w:lang w:val="en-GB"/>
        </w:rPr>
        <w:t>– density</w:t>
      </w:r>
      <w:r w:rsidRPr="00280FAF">
        <w:rPr>
          <w:rFonts w:eastAsia="SimSun"/>
        </w:rPr>
        <w:t xml:space="preserve"> </w:t>
      </w:r>
      <w:r>
        <w:rPr>
          <w:rFonts w:eastAsia="SimSun"/>
        </w:rPr>
        <w:t>kg m</w:t>
      </w:r>
      <w:r>
        <w:rPr>
          <w:rFonts w:eastAsia="SimSun"/>
          <w:vertAlign w:val="superscript"/>
        </w:rPr>
        <w:t>-3</w:t>
      </w:r>
    </w:p>
    <w:p w14:paraId="7A929D06" w14:textId="37D5A79C" w:rsidR="00C864A4" w:rsidRPr="00E377D0" w:rsidRDefault="00C864A4" w:rsidP="00280FAF">
      <w:pPr>
        <w:pStyle w:val="CETBodytext"/>
        <w:jc w:val="left"/>
        <w:rPr>
          <w:rFonts w:eastAsia="SimSun"/>
        </w:rPr>
        <w:sectPr w:rsidR="00C864A4" w:rsidRPr="00E377D0" w:rsidSect="00764AF8">
          <w:type w:val="continuous"/>
          <w:pgSz w:w="11906" w:h="16838" w:code="9"/>
          <w:pgMar w:top="1701" w:right="1418" w:bottom="1701" w:left="1701" w:header="1701" w:footer="0" w:gutter="0"/>
          <w:cols w:num="2" w:space="708"/>
          <w:formProt w:val="0"/>
          <w:titlePg/>
          <w:docGrid w:linePitch="360"/>
        </w:sectPr>
      </w:pPr>
    </w:p>
    <w:p w14:paraId="459D05E6" w14:textId="77777777" w:rsidR="00600535" w:rsidRPr="00B57B36" w:rsidRDefault="00600535" w:rsidP="00600535">
      <w:pPr>
        <w:pStyle w:val="CETAcknowledgementstitle"/>
      </w:pPr>
      <w:r w:rsidRPr="00B57B36">
        <w:t>Acknowledgments</w:t>
      </w:r>
    </w:p>
    <w:p w14:paraId="33F8138F" w14:textId="48D89710" w:rsidR="00600535" w:rsidRPr="00B57B36" w:rsidRDefault="009D5D3D" w:rsidP="00600535">
      <w:pPr>
        <w:pStyle w:val="CETBodytext"/>
        <w:rPr>
          <w:lang w:val="en-GB"/>
        </w:rPr>
      </w:pPr>
      <w:r w:rsidRPr="009D5D3D">
        <w:rPr>
          <w:lang w:val="en-GB"/>
        </w:rPr>
        <w:t xml:space="preserve">The project leading to this publication has received funding from the European Union’s Horizon 2020 research and innovation programme SIMPLIFY </w:t>
      </w:r>
      <w:r>
        <w:rPr>
          <w:lang w:val="en-GB"/>
        </w:rPr>
        <w:t>under grant agreement No 820716</w:t>
      </w:r>
      <w:r w:rsidR="00600535" w:rsidRPr="00B57B36">
        <w:rPr>
          <w:lang w:val="en-GB"/>
        </w:rPr>
        <w:t>.</w:t>
      </w:r>
    </w:p>
    <w:p w14:paraId="428B022A" w14:textId="60657022" w:rsidR="00E65B91" w:rsidRDefault="00600535" w:rsidP="00D2185A">
      <w:pPr>
        <w:pStyle w:val="CETReference"/>
      </w:pPr>
      <w:r w:rsidRPr="00B57B36">
        <w:t>References</w:t>
      </w:r>
    </w:p>
    <w:p w14:paraId="3B689306" w14:textId="367E6254" w:rsidR="003F6429" w:rsidRPr="00E553F4" w:rsidRDefault="003F6429" w:rsidP="00E553F4">
      <w:pPr>
        <w:pStyle w:val="CETReferencetext"/>
      </w:pPr>
      <w:r w:rsidRPr="00E553F4">
        <w:t>Agora Engergiewende, 2022. Agorameter &lt; https://www.agora-energiewende.de/service/agorameter/&gt;  accessed 13.07.2022.</w:t>
      </w:r>
    </w:p>
    <w:p w14:paraId="35DD1736" w14:textId="33F4FD83" w:rsidR="003F6429" w:rsidRPr="00E553F4" w:rsidRDefault="003F6429" w:rsidP="00E553F4">
      <w:pPr>
        <w:pStyle w:val="CETReferencetext"/>
      </w:pPr>
      <w:r w:rsidRPr="00EA1D3B">
        <w:rPr>
          <w:lang w:val="de-DE"/>
        </w:rPr>
        <w:t xml:space="preserve">Andersson, J.A.E., Gillis, J., Horn, G., Rawlings, J.B., Diehl, M., 2019. </w:t>
      </w:r>
      <w:r w:rsidRPr="00E553F4">
        <w:t xml:space="preserve">CasADi: a software framework for nonlinear optimization and optimal control. Mathematical Programming Computation 11, 1–36. </w:t>
      </w:r>
    </w:p>
    <w:p w14:paraId="7DD037C6" w14:textId="50EB781B" w:rsidR="003F6429" w:rsidRPr="00EA1D3B" w:rsidRDefault="003F6429" w:rsidP="00E553F4">
      <w:pPr>
        <w:pStyle w:val="CETReferencetext"/>
        <w:rPr>
          <w:lang w:val="de-DE"/>
        </w:rPr>
      </w:pPr>
      <w:r w:rsidRPr="00E553F4">
        <w:t xml:space="preserve">Brée, L.C., Perrey, K., Bulan, A., Mitsos, A., 2019. Demand side management and operational mode switching in chlorine production. </w:t>
      </w:r>
      <w:r w:rsidRPr="00EA1D3B">
        <w:rPr>
          <w:lang w:val="de-DE"/>
        </w:rPr>
        <w:t>AIChE Journal 65,</w:t>
      </w:r>
      <w:r w:rsidR="00175C12" w:rsidRPr="00EA1D3B">
        <w:rPr>
          <w:lang w:val="de-DE"/>
        </w:rPr>
        <w:t>7, e16352</w:t>
      </w:r>
      <w:r w:rsidRPr="00EA1D3B">
        <w:rPr>
          <w:lang w:val="de-DE"/>
        </w:rPr>
        <w:t xml:space="preserve">. </w:t>
      </w:r>
    </w:p>
    <w:p w14:paraId="37F899DF" w14:textId="2BE93E66" w:rsidR="003F6429" w:rsidRPr="00EA1D3B" w:rsidRDefault="003F6429" w:rsidP="00E553F4">
      <w:pPr>
        <w:pStyle w:val="CETReferencetext"/>
        <w:rPr>
          <w:lang w:val="de-DE"/>
        </w:rPr>
      </w:pPr>
      <w:r w:rsidRPr="00EA1D3B">
        <w:rPr>
          <w:lang w:val="de-DE"/>
        </w:rPr>
        <w:t xml:space="preserve">Caspari, A., Offermanns, C., Schäfer, P., Mhamdi, A., Mitsos, A., 2019. </w:t>
      </w:r>
      <w:r w:rsidRPr="00E553F4">
        <w:t xml:space="preserve">A flexible air separation process: 2. Optimal operation using economic model predictive control. </w:t>
      </w:r>
      <w:r w:rsidRPr="00EA1D3B">
        <w:rPr>
          <w:lang w:val="de-DE"/>
        </w:rPr>
        <w:t>AIChE Journal 65</w:t>
      </w:r>
      <w:r w:rsidR="00175C12" w:rsidRPr="00EA1D3B">
        <w:rPr>
          <w:lang w:val="de-DE"/>
        </w:rPr>
        <w:t>,11, e16721</w:t>
      </w:r>
      <w:r w:rsidRPr="00EA1D3B">
        <w:rPr>
          <w:lang w:val="de-DE"/>
        </w:rPr>
        <w:t xml:space="preserve">. </w:t>
      </w:r>
    </w:p>
    <w:p w14:paraId="5733CC10" w14:textId="0CFEB077" w:rsidR="003F6429" w:rsidRPr="00E553F4" w:rsidRDefault="003F6429" w:rsidP="00E553F4">
      <w:pPr>
        <w:pStyle w:val="CETReferencetext"/>
      </w:pPr>
      <w:r w:rsidRPr="00EA1D3B">
        <w:rPr>
          <w:lang w:val="de-DE"/>
        </w:rPr>
        <w:t xml:space="preserve">Grimaldi, F., Ramirez, H., Lutz, C., Lettieri, P., 2021. </w:t>
      </w:r>
      <w:r w:rsidRPr="00E553F4">
        <w:t>Intensified production of zeolite A: Life cycle assessment of a continuous flow pilot plant and comparison with a conventional batch plant. Journal of Industrial Ecology</w:t>
      </w:r>
      <w:r w:rsidR="00175C12" w:rsidRPr="00E553F4">
        <w:t>,25,6, 1617-1630</w:t>
      </w:r>
      <w:r w:rsidRPr="00E553F4">
        <w:t xml:space="preserve"> </w:t>
      </w:r>
    </w:p>
    <w:p w14:paraId="792869A9" w14:textId="5D992E99" w:rsidR="003F6429" w:rsidRPr="00E553F4" w:rsidRDefault="003F6429" w:rsidP="00E553F4">
      <w:pPr>
        <w:pStyle w:val="CETReferencetext"/>
      </w:pPr>
      <w:r w:rsidRPr="00E553F4">
        <w:t>International Energy Agency, 2017. Tracking clean energy progress 2017. Paris, France.</w:t>
      </w:r>
    </w:p>
    <w:p w14:paraId="1E6A6F29" w14:textId="7C76B48B" w:rsidR="003F6429" w:rsidRPr="00E553F4" w:rsidRDefault="003F6429" w:rsidP="00E553F4">
      <w:pPr>
        <w:pStyle w:val="CETReferencetext"/>
      </w:pPr>
      <w:r w:rsidRPr="00E553F4">
        <w:t xml:space="preserve">Leo, E., Dalle Ave, G., Harjunkoski, I., Engell, S., 2021. Stochastic short-term integrated electricity procurement and production scheduling for a large consumer. Computers &amp; Chemical Engineering 145, 107191. </w:t>
      </w:r>
    </w:p>
    <w:p w14:paraId="7437279F" w14:textId="21C47616" w:rsidR="003F6429" w:rsidRPr="00E553F4" w:rsidRDefault="003F6429" w:rsidP="00E553F4">
      <w:pPr>
        <w:pStyle w:val="CETReferencetext"/>
      </w:pPr>
      <w:r w:rsidRPr="00E553F4">
        <w:t xml:space="preserve">Nikolakis, V., Vlacho, D.G., Tsapatsis, M., 1998. Modeling of zeolite crystallization: the role of gel microstructure. Microporous and Mesoporous Materials 21, 337–346. </w:t>
      </w:r>
    </w:p>
    <w:p w14:paraId="02F7F3A7" w14:textId="2DB1F71E" w:rsidR="003F6429" w:rsidRPr="00E553F4" w:rsidRDefault="00175C12" w:rsidP="00E553F4">
      <w:pPr>
        <w:pStyle w:val="CETReferencetext"/>
      </w:pPr>
      <w:r w:rsidRPr="00E553F4">
        <w:t>Ramirez</w:t>
      </w:r>
      <w:r w:rsidR="003F6429" w:rsidRPr="00E553F4">
        <w:t xml:space="preserve">, H., Valdez </w:t>
      </w:r>
      <w:r w:rsidRPr="00E553F4">
        <w:t>L. P.</w:t>
      </w:r>
      <w:r w:rsidR="003F6429" w:rsidRPr="00E553F4">
        <w:t xml:space="preserve">, M., Van Gerven, T., Lutz, C., 2020. Continuous flow synthesis of zeolite FAU in an oscillatory baffled reactor. Journal of Advanced Manufacturing and Processing 2. </w:t>
      </w:r>
      <w:r w:rsidRPr="00E553F4">
        <w:t>e10038</w:t>
      </w:r>
    </w:p>
    <w:p w14:paraId="5BBA288C" w14:textId="4D4CD32D" w:rsidR="001C6E63" w:rsidRDefault="001C6E63" w:rsidP="001C6E63">
      <w:pPr>
        <w:pStyle w:val="CETReferencetext"/>
      </w:pPr>
      <w:r w:rsidRPr="001C6E63">
        <w:rPr>
          <w:lang w:val="de-DE"/>
        </w:rPr>
        <w:t xml:space="preserve">Semrau, R., Yang, J., Engell, S., 2022. </w:t>
      </w:r>
      <w:r w:rsidRPr="001C6E63">
        <w:t>Process as a battery: Electricity price based optimal operation of zeolite crystallization in a COBR, Comp</w:t>
      </w:r>
      <w:r>
        <w:t>uter Aided Chemical Engineering</w:t>
      </w:r>
      <w:r w:rsidRPr="001C6E63">
        <w:t>,</w:t>
      </w:r>
      <w:r>
        <w:t>51</w:t>
      </w:r>
      <w:r w:rsidR="00D04E67">
        <w:t>,2,</w:t>
      </w:r>
      <w:bookmarkStart w:id="1" w:name="_GoBack"/>
      <w:bookmarkEnd w:id="1"/>
      <w:r w:rsidRPr="001C6E63">
        <w:t xml:space="preserve"> pp. 1165–1170.</w:t>
      </w:r>
    </w:p>
    <w:p w14:paraId="7D4B0EED" w14:textId="0A46DDDD" w:rsidR="003F6429" w:rsidRPr="00E553F4" w:rsidRDefault="003F6429" w:rsidP="00E553F4">
      <w:pPr>
        <w:pStyle w:val="CETReferencetext"/>
      </w:pPr>
      <w:r w:rsidRPr="00E553F4">
        <w:t>Staffell, I., Pfenninger, S., 2018. The increasing impact of weather on electricity supply and demand. Energy 145, 65–78.</w:t>
      </w:r>
    </w:p>
    <w:p w14:paraId="1B6E0247" w14:textId="64E36D4F" w:rsidR="006F1A2E" w:rsidRDefault="003F6429" w:rsidP="00E553F4">
      <w:pPr>
        <w:pStyle w:val="CETReferencetext"/>
      </w:pPr>
      <w:r w:rsidRPr="00E553F4">
        <w:t>Towler, G.P., Sinnott, R.K., 2013. Chemical engineering design: principles, practice, and economics of plant and process design, 2nd ed. ed. Butterworth-Heinemann, Boston, MA.</w:t>
      </w:r>
    </w:p>
    <w:sectPr w:rsidR="006F1A2E" w:rsidSect="00EF06D9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03A73" w14:textId="77777777" w:rsidR="00193F0C" w:rsidRDefault="00193F0C" w:rsidP="004F5E36">
      <w:r>
        <w:separator/>
      </w:r>
    </w:p>
  </w:endnote>
  <w:endnote w:type="continuationSeparator" w:id="0">
    <w:p w14:paraId="7DA45618" w14:textId="77777777" w:rsidR="00193F0C" w:rsidRDefault="00193F0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EECAE" w14:textId="77777777" w:rsidR="00193F0C" w:rsidRDefault="00193F0C" w:rsidP="004F5E36">
      <w:r>
        <w:separator/>
      </w:r>
    </w:p>
  </w:footnote>
  <w:footnote w:type="continuationSeparator" w:id="0">
    <w:p w14:paraId="6A32D11D" w14:textId="77777777" w:rsidR="00193F0C" w:rsidRDefault="00193F0C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D5A4A90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12"/>
  </w:num>
  <w:num w:numId="14">
    <w:abstractNumId w:val="18"/>
  </w:num>
  <w:num w:numId="15">
    <w:abstractNumId w:val="20"/>
  </w:num>
  <w:num w:numId="16">
    <w:abstractNumId w:val="19"/>
  </w:num>
  <w:num w:numId="17">
    <w:abstractNumId w:val="11"/>
  </w:num>
  <w:num w:numId="18">
    <w:abstractNumId w:val="12"/>
    <w:lvlOverride w:ilvl="0">
      <w:startOverride w:val="1"/>
    </w:lvlOverride>
  </w:num>
  <w:num w:numId="19">
    <w:abstractNumId w:val="16"/>
  </w:num>
  <w:num w:numId="20">
    <w:abstractNumId w:val="15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0AC0"/>
    <w:rsid w:val="000027C0"/>
    <w:rsid w:val="0000304E"/>
    <w:rsid w:val="000052FB"/>
    <w:rsid w:val="00010438"/>
    <w:rsid w:val="000117CB"/>
    <w:rsid w:val="0001245E"/>
    <w:rsid w:val="00013335"/>
    <w:rsid w:val="00014269"/>
    <w:rsid w:val="00017D7C"/>
    <w:rsid w:val="0002099F"/>
    <w:rsid w:val="00021704"/>
    <w:rsid w:val="00024370"/>
    <w:rsid w:val="00025133"/>
    <w:rsid w:val="000273D7"/>
    <w:rsid w:val="000279B5"/>
    <w:rsid w:val="00030317"/>
    <w:rsid w:val="0003148D"/>
    <w:rsid w:val="00031EEC"/>
    <w:rsid w:val="000343D9"/>
    <w:rsid w:val="000376C4"/>
    <w:rsid w:val="00040BB9"/>
    <w:rsid w:val="00045D79"/>
    <w:rsid w:val="00051566"/>
    <w:rsid w:val="00054587"/>
    <w:rsid w:val="000619C1"/>
    <w:rsid w:val="00062266"/>
    <w:rsid w:val="00062A9A"/>
    <w:rsid w:val="00064139"/>
    <w:rsid w:val="00065058"/>
    <w:rsid w:val="00065CCF"/>
    <w:rsid w:val="00073279"/>
    <w:rsid w:val="00073C79"/>
    <w:rsid w:val="00082083"/>
    <w:rsid w:val="0008595D"/>
    <w:rsid w:val="00086C39"/>
    <w:rsid w:val="000A03B2"/>
    <w:rsid w:val="000A1888"/>
    <w:rsid w:val="000A6DEA"/>
    <w:rsid w:val="000A780B"/>
    <w:rsid w:val="000B04BC"/>
    <w:rsid w:val="000B57F6"/>
    <w:rsid w:val="000B5901"/>
    <w:rsid w:val="000C078B"/>
    <w:rsid w:val="000C6048"/>
    <w:rsid w:val="000C7077"/>
    <w:rsid w:val="000D0268"/>
    <w:rsid w:val="000D0D23"/>
    <w:rsid w:val="000D34BE"/>
    <w:rsid w:val="000D64E7"/>
    <w:rsid w:val="000E0E08"/>
    <w:rsid w:val="000E102F"/>
    <w:rsid w:val="000E36F1"/>
    <w:rsid w:val="000E3A73"/>
    <w:rsid w:val="000E414A"/>
    <w:rsid w:val="000F093C"/>
    <w:rsid w:val="000F787B"/>
    <w:rsid w:val="000F7AF0"/>
    <w:rsid w:val="00103219"/>
    <w:rsid w:val="00120459"/>
    <w:rsid w:val="0012091F"/>
    <w:rsid w:val="00124E46"/>
    <w:rsid w:val="00126A2D"/>
    <w:rsid w:val="00126B08"/>
    <w:rsid w:val="00126BC2"/>
    <w:rsid w:val="001308B6"/>
    <w:rsid w:val="0013121F"/>
    <w:rsid w:val="00131FE6"/>
    <w:rsid w:val="0013263F"/>
    <w:rsid w:val="001331DF"/>
    <w:rsid w:val="00134DE4"/>
    <w:rsid w:val="001351E4"/>
    <w:rsid w:val="00135C70"/>
    <w:rsid w:val="001364B1"/>
    <w:rsid w:val="0014034D"/>
    <w:rsid w:val="00141367"/>
    <w:rsid w:val="00144D16"/>
    <w:rsid w:val="00145379"/>
    <w:rsid w:val="00145F51"/>
    <w:rsid w:val="00150E59"/>
    <w:rsid w:val="00152235"/>
    <w:rsid w:val="00152DE3"/>
    <w:rsid w:val="00160113"/>
    <w:rsid w:val="00162AEA"/>
    <w:rsid w:val="00164CF9"/>
    <w:rsid w:val="001667A6"/>
    <w:rsid w:val="001679A9"/>
    <w:rsid w:val="00170F79"/>
    <w:rsid w:val="00172C04"/>
    <w:rsid w:val="00175C12"/>
    <w:rsid w:val="001801AD"/>
    <w:rsid w:val="00184AD6"/>
    <w:rsid w:val="001857A3"/>
    <w:rsid w:val="001869C9"/>
    <w:rsid w:val="00187AE4"/>
    <w:rsid w:val="00190443"/>
    <w:rsid w:val="001911B4"/>
    <w:rsid w:val="001917A0"/>
    <w:rsid w:val="001934F9"/>
    <w:rsid w:val="00193F0C"/>
    <w:rsid w:val="00193F7A"/>
    <w:rsid w:val="00195206"/>
    <w:rsid w:val="00197EF1"/>
    <w:rsid w:val="001A0A7D"/>
    <w:rsid w:val="001A4AF7"/>
    <w:rsid w:val="001A7836"/>
    <w:rsid w:val="001B0349"/>
    <w:rsid w:val="001B12ED"/>
    <w:rsid w:val="001B1E93"/>
    <w:rsid w:val="001B65C1"/>
    <w:rsid w:val="001C0987"/>
    <w:rsid w:val="001C277C"/>
    <w:rsid w:val="001C2FA7"/>
    <w:rsid w:val="001C3CDD"/>
    <w:rsid w:val="001C684B"/>
    <w:rsid w:val="001C6E63"/>
    <w:rsid w:val="001D0CFB"/>
    <w:rsid w:val="001D2054"/>
    <w:rsid w:val="001D21AF"/>
    <w:rsid w:val="001D41DF"/>
    <w:rsid w:val="001D53FC"/>
    <w:rsid w:val="001D693A"/>
    <w:rsid w:val="001D7951"/>
    <w:rsid w:val="001E2B56"/>
    <w:rsid w:val="001E2F39"/>
    <w:rsid w:val="001E5F15"/>
    <w:rsid w:val="001F42A5"/>
    <w:rsid w:val="001F65D7"/>
    <w:rsid w:val="001F7B91"/>
    <w:rsid w:val="001F7B9D"/>
    <w:rsid w:val="00201C93"/>
    <w:rsid w:val="00204E29"/>
    <w:rsid w:val="0022176F"/>
    <w:rsid w:val="002220C3"/>
    <w:rsid w:val="002224B4"/>
    <w:rsid w:val="002310AD"/>
    <w:rsid w:val="0023385D"/>
    <w:rsid w:val="002349DF"/>
    <w:rsid w:val="0024231C"/>
    <w:rsid w:val="0024283B"/>
    <w:rsid w:val="00243458"/>
    <w:rsid w:val="002447EF"/>
    <w:rsid w:val="002469B6"/>
    <w:rsid w:val="00251550"/>
    <w:rsid w:val="0025188E"/>
    <w:rsid w:val="00252515"/>
    <w:rsid w:val="00256319"/>
    <w:rsid w:val="00257505"/>
    <w:rsid w:val="00260DF8"/>
    <w:rsid w:val="00261099"/>
    <w:rsid w:val="002624E9"/>
    <w:rsid w:val="00263824"/>
    <w:rsid w:val="00263B05"/>
    <w:rsid w:val="00264960"/>
    <w:rsid w:val="0026534C"/>
    <w:rsid w:val="00266709"/>
    <w:rsid w:val="0027221A"/>
    <w:rsid w:val="00272F06"/>
    <w:rsid w:val="00275B61"/>
    <w:rsid w:val="00280FAF"/>
    <w:rsid w:val="00281AAE"/>
    <w:rsid w:val="00282656"/>
    <w:rsid w:val="00282C95"/>
    <w:rsid w:val="0028354B"/>
    <w:rsid w:val="00283B74"/>
    <w:rsid w:val="00284836"/>
    <w:rsid w:val="00287505"/>
    <w:rsid w:val="00294073"/>
    <w:rsid w:val="00295781"/>
    <w:rsid w:val="00296B83"/>
    <w:rsid w:val="0029770E"/>
    <w:rsid w:val="002A70B0"/>
    <w:rsid w:val="002A7B55"/>
    <w:rsid w:val="002B2EFD"/>
    <w:rsid w:val="002B394B"/>
    <w:rsid w:val="002B3F1B"/>
    <w:rsid w:val="002B4015"/>
    <w:rsid w:val="002B78CE"/>
    <w:rsid w:val="002C19C3"/>
    <w:rsid w:val="002C2FB6"/>
    <w:rsid w:val="002C4A5B"/>
    <w:rsid w:val="002C6092"/>
    <w:rsid w:val="002D0DEA"/>
    <w:rsid w:val="002E5FA7"/>
    <w:rsid w:val="002E660D"/>
    <w:rsid w:val="002E7F7C"/>
    <w:rsid w:val="002F17B5"/>
    <w:rsid w:val="002F3309"/>
    <w:rsid w:val="002F6776"/>
    <w:rsid w:val="00300440"/>
    <w:rsid w:val="003008CE"/>
    <w:rsid w:val="003009B7"/>
    <w:rsid w:val="00300E56"/>
    <w:rsid w:val="003028AC"/>
    <w:rsid w:val="00303900"/>
    <w:rsid w:val="0030469C"/>
    <w:rsid w:val="0030618F"/>
    <w:rsid w:val="0030643C"/>
    <w:rsid w:val="00306BF9"/>
    <w:rsid w:val="00306E48"/>
    <w:rsid w:val="00311E4B"/>
    <w:rsid w:val="00313160"/>
    <w:rsid w:val="00314925"/>
    <w:rsid w:val="00321292"/>
    <w:rsid w:val="00321CA6"/>
    <w:rsid w:val="00323763"/>
    <w:rsid w:val="00326CE7"/>
    <w:rsid w:val="0033017E"/>
    <w:rsid w:val="00330AEA"/>
    <w:rsid w:val="0033201E"/>
    <w:rsid w:val="003321DF"/>
    <w:rsid w:val="0033264A"/>
    <w:rsid w:val="00334C09"/>
    <w:rsid w:val="00335097"/>
    <w:rsid w:val="003422EF"/>
    <w:rsid w:val="00343143"/>
    <w:rsid w:val="003541C6"/>
    <w:rsid w:val="0035485A"/>
    <w:rsid w:val="003561D3"/>
    <w:rsid w:val="00362C18"/>
    <w:rsid w:val="00365145"/>
    <w:rsid w:val="003665D7"/>
    <w:rsid w:val="00370E96"/>
    <w:rsid w:val="003723D4"/>
    <w:rsid w:val="00375E35"/>
    <w:rsid w:val="003778B3"/>
    <w:rsid w:val="00380AF3"/>
    <w:rsid w:val="00381905"/>
    <w:rsid w:val="0038450A"/>
    <w:rsid w:val="00384541"/>
    <w:rsid w:val="00384CC8"/>
    <w:rsid w:val="003858C3"/>
    <w:rsid w:val="003866FB"/>
    <w:rsid w:val="003871FD"/>
    <w:rsid w:val="00387321"/>
    <w:rsid w:val="0039759B"/>
    <w:rsid w:val="003A1E30"/>
    <w:rsid w:val="003A2829"/>
    <w:rsid w:val="003A3C27"/>
    <w:rsid w:val="003A7D1C"/>
    <w:rsid w:val="003B304B"/>
    <w:rsid w:val="003B3146"/>
    <w:rsid w:val="003B391A"/>
    <w:rsid w:val="003B4904"/>
    <w:rsid w:val="003B6A84"/>
    <w:rsid w:val="003B6DDB"/>
    <w:rsid w:val="003D6E86"/>
    <w:rsid w:val="003D7AD3"/>
    <w:rsid w:val="003E0223"/>
    <w:rsid w:val="003E10AB"/>
    <w:rsid w:val="003E173D"/>
    <w:rsid w:val="003E2585"/>
    <w:rsid w:val="003E38D9"/>
    <w:rsid w:val="003E53D2"/>
    <w:rsid w:val="003F0027"/>
    <w:rsid w:val="003F015E"/>
    <w:rsid w:val="003F18EA"/>
    <w:rsid w:val="003F6429"/>
    <w:rsid w:val="003F6BED"/>
    <w:rsid w:val="003F70C8"/>
    <w:rsid w:val="00400414"/>
    <w:rsid w:val="00403B19"/>
    <w:rsid w:val="00405A15"/>
    <w:rsid w:val="004138A1"/>
    <w:rsid w:val="0041446B"/>
    <w:rsid w:val="004173CF"/>
    <w:rsid w:val="00426D54"/>
    <w:rsid w:val="00430E9F"/>
    <w:rsid w:val="00433719"/>
    <w:rsid w:val="0043515F"/>
    <w:rsid w:val="0044071E"/>
    <w:rsid w:val="0044329C"/>
    <w:rsid w:val="00443780"/>
    <w:rsid w:val="00450B9A"/>
    <w:rsid w:val="00453E24"/>
    <w:rsid w:val="00457456"/>
    <w:rsid w:val="004577FE"/>
    <w:rsid w:val="00457B9C"/>
    <w:rsid w:val="0046164A"/>
    <w:rsid w:val="004628D2"/>
    <w:rsid w:val="00462DCD"/>
    <w:rsid w:val="004648AD"/>
    <w:rsid w:val="004649E1"/>
    <w:rsid w:val="00465A83"/>
    <w:rsid w:val="00467FD9"/>
    <w:rsid w:val="004703A9"/>
    <w:rsid w:val="004760DE"/>
    <w:rsid w:val="00476275"/>
    <w:rsid w:val="004763D7"/>
    <w:rsid w:val="00477130"/>
    <w:rsid w:val="00482173"/>
    <w:rsid w:val="0048226D"/>
    <w:rsid w:val="0048363C"/>
    <w:rsid w:val="004871FD"/>
    <w:rsid w:val="004903D9"/>
    <w:rsid w:val="004974D0"/>
    <w:rsid w:val="004A004E"/>
    <w:rsid w:val="004A0484"/>
    <w:rsid w:val="004A0CCB"/>
    <w:rsid w:val="004A24CF"/>
    <w:rsid w:val="004A35C3"/>
    <w:rsid w:val="004A4176"/>
    <w:rsid w:val="004A52EE"/>
    <w:rsid w:val="004A5F02"/>
    <w:rsid w:val="004B0B70"/>
    <w:rsid w:val="004B5428"/>
    <w:rsid w:val="004B75A6"/>
    <w:rsid w:val="004C3D1D"/>
    <w:rsid w:val="004C3D84"/>
    <w:rsid w:val="004C7913"/>
    <w:rsid w:val="004D34E8"/>
    <w:rsid w:val="004D41EE"/>
    <w:rsid w:val="004D4954"/>
    <w:rsid w:val="004E345C"/>
    <w:rsid w:val="004E3F98"/>
    <w:rsid w:val="004E41FC"/>
    <w:rsid w:val="004E4DD6"/>
    <w:rsid w:val="004F0982"/>
    <w:rsid w:val="004F11AA"/>
    <w:rsid w:val="004F50BE"/>
    <w:rsid w:val="004F5E36"/>
    <w:rsid w:val="004F6615"/>
    <w:rsid w:val="004F7BC6"/>
    <w:rsid w:val="005007CD"/>
    <w:rsid w:val="005075A7"/>
    <w:rsid w:val="00507B47"/>
    <w:rsid w:val="00507BEF"/>
    <w:rsid w:val="00507CC9"/>
    <w:rsid w:val="005101C7"/>
    <w:rsid w:val="00510DED"/>
    <w:rsid w:val="005119A5"/>
    <w:rsid w:val="0051387B"/>
    <w:rsid w:val="00514FC3"/>
    <w:rsid w:val="00520E64"/>
    <w:rsid w:val="0052251D"/>
    <w:rsid w:val="005236F8"/>
    <w:rsid w:val="00527503"/>
    <w:rsid w:val="005278B7"/>
    <w:rsid w:val="00530A9A"/>
    <w:rsid w:val="00532016"/>
    <w:rsid w:val="005329C3"/>
    <w:rsid w:val="005346C8"/>
    <w:rsid w:val="00534DC8"/>
    <w:rsid w:val="005366C4"/>
    <w:rsid w:val="005402B8"/>
    <w:rsid w:val="0054206B"/>
    <w:rsid w:val="005427C4"/>
    <w:rsid w:val="00543E7D"/>
    <w:rsid w:val="005440F1"/>
    <w:rsid w:val="0054436E"/>
    <w:rsid w:val="005449C2"/>
    <w:rsid w:val="00547A68"/>
    <w:rsid w:val="0055251F"/>
    <w:rsid w:val="005531C9"/>
    <w:rsid w:val="0055396B"/>
    <w:rsid w:val="00554F61"/>
    <w:rsid w:val="005607A9"/>
    <w:rsid w:val="00560F35"/>
    <w:rsid w:val="00562B8F"/>
    <w:rsid w:val="00563258"/>
    <w:rsid w:val="00565E4E"/>
    <w:rsid w:val="00567546"/>
    <w:rsid w:val="00567D18"/>
    <w:rsid w:val="00570C43"/>
    <w:rsid w:val="00572F52"/>
    <w:rsid w:val="0057720B"/>
    <w:rsid w:val="0058314D"/>
    <w:rsid w:val="005835F1"/>
    <w:rsid w:val="005845A0"/>
    <w:rsid w:val="00586CCC"/>
    <w:rsid w:val="005960C9"/>
    <w:rsid w:val="00597C08"/>
    <w:rsid w:val="005A1682"/>
    <w:rsid w:val="005A185B"/>
    <w:rsid w:val="005A4C01"/>
    <w:rsid w:val="005B09D0"/>
    <w:rsid w:val="005B2110"/>
    <w:rsid w:val="005B2360"/>
    <w:rsid w:val="005B61E6"/>
    <w:rsid w:val="005B742F"/>
    <w:rsid w:val="005C3DAC"/>
    <w:rsid w:val="005C3E38"/>
    <w:rsid w:val="005C41A7"/>
    <w:rsid w:val="005C77E1"/>
    <w:rsid w:val="005D321D"/>
    <w:rsid w:val="005D6081"/>
    <w:rsid w:val="005D668A"/>
    <w:rsid w:val="005D686E"/>
    <w:rsid w:val="005D6A2F"/>
    <w:rsid w:val="005D6BAC"/>
    <w:rsid w:val="005E1A82"/>
    <w:rsid w:val="005E2180"/>
    <w:rsid w:val="005E34ED"/>
    <w:rsid w:val="005E5C21"/>
    <w:rsid w:val="005E725E"/>
    <w:rsid w:val="005E794C"/>
    <w:rsid w:val="005E7C9F"/>
    <w:rsid w:val="005F05E9"/>
    <w:rsid w:val="005F0A28"/>
    <w:rsid w:val="005F0BA2"/>
    <w:rsid w:val="005F0E5E"/>
    <w:rsid w:val="005F25C9"/>
    <w:rsid w:val="005F4F27"/>
    <w:rsid w:val="005F61EF"/>
    <w:rsid w:val="005F7EB5"/>
    <w:rsid w:val="00600535"/>
    <w:rsid w:val="00604E1F"/>
    <w:rsid w:val="00610560"/>
    <w:rsid w:val="00610A39"/>
    <w:rsid w:val="00610CD6"/>
    <w:rsid w:val="00613DF8"/>
    <w:rsid w:val="00613FAB"/>
    <w:rsid w:val="00617833"/>
    <w:rsid w:val="00620DEE"/>
    <w:rsid w:val="00621F92"/>
    <w:rsid w:val="0062280A"/>
    <w:rsid w:val="00625639"/>
    <w:rsid w:val="0063081F"/>
    <w:rsid w:val="00631B33"/>
    <w:rsid w:val="00634954"/>
    <w:rsid w:val="0064184D"/>
    <w:rsid w:val="00641CAD"/>
    <w:rsid w:val="006422CC"/>
    <w:rsid w:val="0064244D"/>
    <w:rsid w:val="006434C0"/>
    <w:rsid w:val="006464F1"/>
    <w:rsid w:val="00650CB8"/>
    <w:rsid w:val="00655665"/>
    <w:rsid w:val="00655726"/>
    <w:rsid w:val="00657B06"/>
    <w:rsid w:val="00660761"/>
    <w:rsid w:val="00660E3E"/>
    <w:rsid w:val="00661DD0"/>
    <w:rsid w:val="006624F0"/>
    <w:rsid w:val="00662E74"/>
    <w:rsid w:val="00666AB9"/>
    <w:rsid w:val="0066715B"/>
    <w:rsid w:val="00675AD5"/>
    <w:rsid w:val="006800BD"/>
    <w:rsid w:val="00680C23"/>
    <w:rsid w:val="0068727A"/>
    <w:rsid w:val="00691F7C"/>
    <w:rsid w:val="00692CC7"/>
    <w:rsid w:val="00693766"/>
    <w:rsid w:val="00697626"/>
    <w:rsid w:val="006A3202"/>
    <w:rsid w:val="006A3281"/>
    <w:rsid w:val="006A5D1A"/>
    <w:rsid w:val="006B35DF"/>
    <w:rsid w:val="006B3655"/>
    <w:rsid w:val="006B4888"/>
    <w:rsid w:val="006C19B3"/>
    <w:rsid w:val="006C2E45"/>
    <w:rsid w:val="006C359C"/>
    <w:rsid w:val="006C3B87"/>
    <w:rsid w:val="006C3CEE"/>
    <w:rsid w:val="006C5579"/>
    <w:rsid w:val="006C5731"/>
    <w:rsid w:val="006C5EDA"/>
    <w:rsid w:val="006C74BC"/>
    <w:rsid w:val="006D1601"/>
    <w:rsid w:val="006D4070"/>
    <w:rsid w:val="006D6E8B"/>
    <w:rsid w:val="006E5165"/>
    <w:rsid w:val="006E737D"/>
    <w:rsid w:val="006F08A7"/>
    <w:rsid w:val="006F15E6"/>
    <w:rsid w:val="006F1947"/>
    <w:rsid w:val="006F1A2E"/>
    <w:rsid w:val="006F22B5"/>
    <w:rsid w:val="006F3357"/>
    <w:rsid w:val="00702F76"/>
    <w:rsid w:val="007054CF"/>
    <w:rsid w:val="00712233"/>
    <w:rsid w:val="00713973"/>
    <w:rsid w:val="007152CB"/>
    <w:rsid w:val="00720A24"/>
    <w:rsid w:val="007215F3"/>
    <w:rsid w:val="00723BBF"/>
    <w:rsid w:val="00725EE2"/>
    <w:rsid w:val="00732386"/>
    <w:rsid w:val="0073242B"/>
    <w:rsid w:val="007338F6"/>
    <w:rsid w:val="00733C6C"/>
    <w:rsid w:val="0073514D"/>
    <w:rsid w:val="0074083F"/>
    <w:rsid w:val="007447F3"/>
    <w:rsid w:val="00746B61"/>
    <w:rsid w:val="007516B4"/>
    <w:rsid w:val="0075499F"/>
    <w:rsid w:val="00757D55"/>
    <w:rsid w:val="00760C98"/>
    <w:rsid w:val="007619A1"/>
    <w:rsid w:val="007622C7"/>
    <w:rsid w:val="00764AF8"/>
    <w:rsid w:val="007661C8"/>
    <w:rsid w:val="0077098D"/>
    <w:rsid w:val="00773851"/>
    <w:rsid w:val="007768CA"/>
    <w:rsid w:val="00776B24"/>
    <w:rsid w:val="00777C6C"/>
    <w:rsid w:val="00782E77"/>
    <w:rsid w:val="007852C3"/>
    <w:rsid w:val="00785ECE"/>
    <w:rsid w:val="007931FA"/>
    <w:rsid w:val="00796356"/>
    <w:rsid w:val="00796957"/>
    <w:rsid w:val="00797197"/>
    <w:rsid w:val="00797702"/>
    <w:rsid w:val="007A0D3A"/>
    <w:rsid w:val="007A4861"/>
    <w:rsid w:val="007A5E88"/>
    <w:rsid w:val="007A676B"/>
    <w:rsid w:val="007A6786"/>
    <w:rsid w:val="007A7056"/>
    <w:rsid w:val="007A7BBA"/>
    <w:rsid w:val="007B05A2"/>
    <w:rsid w:val="007B0C50"/>
    <w:rsid w:val="007B2018"/>
    <w:rsid w:val="007B29EE"/>
    <w:rsid w:val="007B48F9"/>
    <w:rsid w:val="007B5ECF"/>
    <w:rsid w:val="007C1A43"/>
    <w:rsid w:val="007C33DA"/>
    <w:rsid w:val="007C5174"/>
    <w:rsid w:val="007C52DB"/>
    <w:rsid w:val="007C7B40"/>
    <w:rsid w:val="007D2616"/>
    <w:rsid w:val="007D3A59"/>
    <w:rsid w:val="007D4E2F"/>
    <w:rsid w:val="007D58CC"/>
    <w:rsid w:val="007E0CCA"/>
    <w:rsid w:val="007E23FC"/>
    <w:rsid w:val="007E2983"/>
    <w:rsid w:val="007E2B38"/>
    <w:rsid w:val="007E593F"/>
    <w:rsid w:val="007E6BE9"/>
    <w:rsid w:val="007F1254"/>
    <w:rsid w:val="007F1527"/>
    <w:rsid w:val="007F30B1"/>
    <w:rsid w:val="007F608A"/>
    <w:rsid w:val="0080013E"/>
    <w:rsid w:val="0080130D"/>
    <w:rsid w:val="00805F72"/>
    <w:rsid w:val="00807C74"/>
    <w:rsid w:val="008130D7"/>
    <w:rsid w:val="00813288"/>
    <w:rsid w:val="0081571E"/>
    <w:rsid w:val="008168FC"/>
    <w:rsid w:val="00822D24"/>
    <w:rsid w:val="00822DE8"/>
    <w:rsid w:val="00823137"/>
    <w:rsid w:val="00830996"/>
    <w:rsid w:val="008345F1"/>
    <w:rsid w:val="008371A8"/>
    <w:rsid w:val="00842B4F"/>
    <w:rsid w:val="0084449C"/>
    <w:rsid w:val="00844817"/>
    <w:rsid w:val="00844BEE"/>
    <w:rsid w:val="00850934"/>
    <w:rsid w:val="00855ECA"/>
    <w:rsid w:val="00855EDA"/>
    <w:rsid w:val="008578E4"/>
    <w:rsid w:val="008611ED"/>
    <w:rsid w:val="00865B07"/>
    <w:rsid w:val="008667EA"/>
    <w:rsid w:val="00874535"/>
    <w:rsid w:val="0087637F"/>
    <w:rsid w:val="00876B9B"/>
    <w:rsid w:val="0088183B"/>
    <w:rsid w:val="00882B5F"/>
    <w:rsid w:val="00887BC3"/>
    <w:rsid w:val="00892AD5"/>
    <w:rsid w:val="008A1512"/>
    <w:rsid w:val="008A3912"/>
    <w:rsid w:val="008A4B05"/>
    <w:rsid w:val="008A525B"/>
    <w:rsid w:val="008B04DE"/>
    <w:rsid w:val="008B0C3A"/>
    <w:rsid w:val="008B48B3"/>
    <w:rsid w:val="008C666D"/>
    <w:rsid w:val="008D001D"/>
    <w:rsid w:val="008D2897"/>
    <w:rsid w:val="008D32B9"/>
    <w:rsid w:val="008D433B"/>
    <w:rsid w:val="008D4A16"/>
    <w:rsid w:val="008E10B2"/>
    <w:rsid w:val="008E566E"/>
    <w:rsid w:val="008F2DCD"/>
    <w:rsid w:val="008F6B43"/>
    <w:rsid w:val="0090161A"/>
    <w:rsid w:val="00901EB6"/>
    <w:rsid w:val="00902BA9"/>
    <w:rsid w:val="00904C62"/>
    <w:rsid w:val="00910449"/>
    <w:rsid w:val="0091248E"/>
    <w:rsid w:val="00915F5F"/>
    <w:rsid w:val="0091716A"/>
    <w:rsid w:val="009175FC"/>
    <w:rsid w:val="00922BA8"/>
    <w:rsid w:val="00924DAC"/>
    <w:rsid w:val="00927058"/>
    <w:rsid w:val="00927FEA"/>
    <w:rsid w:val="009309C2"/>
    <w:rsid w:val="00932BDD"/>
    <w:rsid w:val="00942750"/>
    <w:rsid w:val="00942E2C"/>
    <w:rsid w:val="009450CE"/>
    <w:rsid w:val="0094525B"/>
    <w:rsid w:val="00945965"/>
    <w:rsid w:val="00947179"/>
    <w:rsid w:val="0095164B"/>
    <w:rsid w:val="00954090"/>
    <w:rsid w:val="009573E7"/>
    <w:rsid w:val="00957BF9"/>
    <w:rsid w:val="00957EED"/>
    <w:rsid w:val="00963E05"/>
    <w:rsid w:val="00964A45"/>
    <w:rsid w:val="009656C0"/>
    <w:rsid w:val="00967843"/>
    <w:rsid w:val="00967D54"/>
    <w:rsid w:val="00970267"/>
    <w:rsid w:val="00971028"/>
    <w:rsid w:val="009753D7"/>
    <w:rsid w:val="00976C74"/>
    <w:rsid w:val="0098578B"/>
    <w:rsid w:val="00990B6D"/>
    <w:rsid w:val="009938CA"/>
    <w:rsid w:val="00993AED"/>
    <w:rsid w:val="00993B84"/>
    <w:rsid w:val="00993CF5"/>
    <w:rsid w:val="00994A21"/>
    <w:rsid w:val="00994B52"/>
    <w:rsid w:val="00994C9E"/>
    <w:rsid w:val="00996345"/>
    <w:rsid w:val="00996483"/>
    <w:rsid w:val="00996F5A"/>
    <w:rsid w:val="009A0AF4"/>
    <w:rsid w:val="009A4611"/>
    <w:rsid w:val="009A4A6E"/>
    <w:rsid w:val="009B041A"/>
    <w:rsid w:val="009B3EE9"/>
    <w:rsid w:val="009C1A67"/>
    <w:rsid w:val="009C37C3"/>
    <w:rsid w:val="009C3A23"/>
    <w:rsid w:val="009C5C5B"/>
    <w:rsid w:val="009C7C86"/>
    <w:rsid w:val="009D2FF7"/>
    <w:rsid w:val="009D5D3D"/>
    <w:rsid w:val="009D65BF"/>
    <w:rsid w:val="009E1918"/>
    <w:rsid w:val="009E1E9C"/>
    <w:rsid w:val="009E39BD"/>
    <w:rsid w:val="009E5DF8"/>
    <w:rsid w:val="009E6614"/>
    <w:rsid w:val="009E7884"/>
    <w:rsid w:val="009E788A"/>
    <w:rsid w:val="009F0E08"/>
    <w:rsid w:val="009F4256"/>
    <w:rsid w:val="009F6FD4"/>
    <w:rsid w:val="009F75D8"/>
    <w:rsid w:val="00A03FF0"/>
    <w:rsid w:val="00A05B61"/>
    <w:rsid w:val="00A167D6"/>
    <w:rsid w:val="00A171EB"/>
    <w:rsid w:val="00A1763D"/>
    <w:rsid w:val="00A17CEC"/>
    <w:rsid w:val="00A26655"/>
    <w:rsid w:val="00A27272"/>
    <w:rsid w:val="00A27A50"/>
    <w:rsid w:val="00A27EF0"/>
    <w:rsid w:val="00A311F5"/>
    <w:rsid w:val="00A3133E"/>
    <w:rsid w:val="00A34FBB"/>
    <w:rsid w:val="00A35180"/>
    <w:rsid w:val="00A41295"/>
    <w:rsid w:val="00A42361"/>
    <w:rsid w:val="00A455E1"/>
    <w:rsid w:val="00A45770"/>
    <w:rsid w:val="00A50B20"/>
    <w:rsid w:val="00A51390"/>
    <w:rsid w:val="00A54FE5"/>
    <w:rsid w:val="00A55289"/>
    <w:rsid w:val="00A56622"/>
    <w:rsid w:val="00A6088B"/>
    <w:rsid w:val="00A60D13"/>
    <w:rsid w:val="00A70F23"/>
    <w:rsid w:val="00A72745"/>
    <w:rsid w:val="00A762D7"/>
    <w:rsid w:val="00A76EFC"/>
    <w:rsid w:val="00A77FB6"/>
    <w:rsid w:val="00A91010"/>
    <w:rsid w:val="00A9141D"/>
    <w:rsid w:val="00A93374"/>
    <w:rsid w:val="00A95287"/>
    <w:rsid w:val="00A97F29"/>
    <w:rsid w:val="00AA2B91"/>
    <w:rsid w:val="00AA4B83"/>
    <w:rsid w:val="00AA702E"/>
    <w:rsid w:val="00AA74BE"/>
    <w:rsid w:val="00AB0964"/>
    <w:rsid w:val="00AB13FA"/>
    <w:rsid w:val="00AB5011"/>
    <w:rsid w:val="00AB5863"/>
    <w:rsid w:val="00AB7009"/>
    <w:rsid w:val="00AC7368"/>
    <w:rsid w:val="00AD16B9"/>
    <w:rsid w:val="00AD4AFE"/>
    <w:rsid w:val="00AD4FC6"/>
    <w:rsid w:val="00AD5AF9"/>
    <w:rsid w:val="00AE377D"/>
    <w:rsid w:val="00AE498F"/>
    <w:rsid w:val="00AE49F9"/>
    <w:rsid w:val="00AE6119"/>
    <w:rsid w:val="00AE7493"/>
    <w:rsid w:val="00AE77D5"/>
    <w:rsid w:val="00AF0EBA"/>
    <w:rsid w:val="00AF4E53"/>
    <w:rsid w:val="00AF696A"/>
    <w:rsid w:val="00B01145"/>
    <w:rsid w:val="00B0130B"/>
    <w:rsid w:val="00B02C8A"/>
    <w:rsid w:val="00B064CD"/>
    <w:rsid w:val="00B11063"/>
    <w:rsid w:val="00B11814"/>
    <w:rsid w:val="00B12056"/>
    <w:rsid w:val="00B146DF"/>
    <w:rsid w:val="00B17FBD"/>
    <w:rsid w:val="00B21443"/>
    <w:rsid w:val="00B24553"/>
    <w:rsid w:val="00B315A6"/>
    <w:rsid w:val="00B31813"/>
    <w:rsid w:val="00B31DCB"/>
    <w:rsid w:val="00B33022"/>
    <w:rsid w:val="00B33365"/>
    <w:rsid w:val="00B36289"/>
    <w:rsid w:val="00B36787"/>
    <w:rsid w:val="00B371CE"/>
    <w:rsid w:val="00B4363C"/>
    <w:rsid w:val="00B44E5C"/>
    <w:rsid w:val="00B44FF5"/>
    <w:rsid w:val="00B46AD2"/>
    <w:rsid w:val="00B57B36"/>
    <w:rsid w:val="00B57E6F"/>
    <w:rsid w:val="00B61DD7"/>
    <w:rsid w:val="00B61EF5"/>
    <w:rsid w:val="00B62009"/>
    <w:rsid w:val="00B62CE2"/>
    <w:rsid w:val="00B62DE5"/>
    <w:rsid w:val="00B64FFF"/>
    <w:rsid w:val="00B6634D"/>
    <w:rsid w:val="00B67CCA"/>
    <w:rsid w:val="00B72CB4"/>
    <w:rsid w:val="00B766DB"/>
    <w:rsid w:val="00B76B6F"/>
    <w:rsid w:val="00B81977"/>
    <w:rsid w:val="00B832C0"/>
    <w:rsid w:val="00B8394B"/>
    <w:rsid w:val="00B83B1C"/>
    <w:rsid w:val="00B8686D"/>
    <w:rsid w:val="00B909C0"/>
    <w:rsid w:val="00B93C76"/>
    <w:rsid w:val="00B93F69"/>
    <w:rsid w:val="00B9616B"/>
    <w:rsid w:val="00B96978"/>
    <w:rsid w:val="00BA1638"/>
    <w:rsid w:val="00BA4D9C"/>
    <w:rsid w:val="00BA77DF"/>
    <w:rsid w:val="00BB1DDC"/>
    <w:rsid w:val="00BB259A"/>
    <w:rsid w:val="00BB3D75"/>
    <w:rsid w:val="00BB5CC2"/>
    <w:rsid w:val="00BC1B61"/>
    <w:rsid w:val="00BC30C9"/>
    <w:rsid w:val="00BC7C8E"/>
    <w:rsid w:val="00BD02C2"/>
    <w:rsid w:val="00BD077D"/>
    <w:rsid w:val="00BD48DE"/>
    <w:rsid w:val="00BD59DF"/>
    <w:rsid w:val="00BD7E64"/>
    <w:rsid w:val="00BE3C56"/>
    <w:rsid w:val="00BE3E58"/>
    <w:rsid w:val="00BE43BB"/>
    <w:rsid w:val="00BE6521"/>
    <w:rsid w:val="00BF0367"/>
    <w:rsid w:val="00BF41F6"/>
    <w:rsid w:val="00BF4855"/>
    <w:rsid w:val="00BF516B"/>
    <w:rsid w:val="00C01616"/>
    <w:rsid w:val="00C0162B"/>
    <w:rsid w:val="00C02BC8"/>
    <w:rsid w:val="00C0359F"/>
    <w:rsid w:val="00C068ED"/>
    <w:rsid w:val="00C11140"/>
    <w:rsid w:val="00C117D8"/>
    <w:rsid w:val="00C120C0"/>
    <w:rsid w:val="00C153E3"/>
    <w:rsid w:val="00C170B8"/>
    <w:rsid w:val="00C17CFB"/>
    <w:rsid w:val="00C2024E"/>
    <w:rsid w:val="00C207CA"/>
    <w:rsid w:val="00C21BF9"/>
    <w:rsid w:val="00C21E9E"/>
    <w:rsid w:val="00C22E0C"/>
    <w:rsid w:val="00C2572E"/>
    <w:rsid w:val="00C26617"/>
    <w:rsid w:val="00C314BD"/>
    <w:rsid w:val="00C345B1"/>
    <w:rsid w:val="00C360BB"/>
    <w:rsid w:val="00C36F49"/>
    <w:rsid w:val="00C40142"/>
    <w:rsid w:val="00C41251"/>
    <w:rsid w:val="00C46A0A"/>
    <w:rsid w:val="00C52C3C"/>
    <w:rsid w:val="00C53E54"/>
    <w:rsid w:val="00C54AFC"/>
    <w:rsid w:val="00C5506D"/>
    <w:rsid w:val="00C57182"/>
    <w:rsid w:val="00C573D0"/>
    <w:rsid w:val="00C57863"/>
    <w:rsid w:val="00C6015D"/>
    <w:rsid w:val="00C60593"/>
    <w:rsid w:val="00C6153F"/>
    <w:rsid w:val="00C61E53"/>
    <w:rsid w:val="00C640AF"/>
    <w:rsid w:val="00C655FD"/>
    <w:rsid w:val="00C66BE7"/>
    <w:rsid w:val="00C74567"/>
    <w:rsid w:val="00C75407"/>
    <w:rsid w:val="00C769A2"/>
    <w:rsid w:val="00C82359"/>
    <w:rsid w:val="00C8476B"/>
    <w:rsid w:val="00C864A4"/>
    <w:rsid w:val="00C870A8"/>
    <w:rsid w:val="00C87D32"/>
    <w:rsid w:val="00C9364E"/>
    <w:rsid w:val="00C93960"/>
    <w:rsid w:val="00C94434"/>
    <w:rsid w:val="00C95754"/>
    <w:rsid w:val="00C9637F"/>
    <w:rsid w:val="00C97099"/>
    <w:rsid w:val="00CA0D75"/>
    <w:rsid w:val="00CA1167"/>
    <w:rsid w:val="00CA1C95"/>
    <w:rsid w:val="00CA1F2E"/>
    <w:rsid w:val="00CA5A9C"/>
    <w:rsid w:val="00CA6FA1"/>
    <w:rsid w:val="00CA72E9"/>
    <w:rsid w:val="00CB4A9D"/>
    <w:rsid w:val="00CB5DA7"/>
    <w:rsid w:val="00CC1CD5"/>
    <w:rsid w:val="00CC36CA"/>
    <w:rsid w:val="00CC4C20"/>
    <w:rsid w:val="00CC6FED"/>
    <w:rsid w:val="00CD0182"/>
    <w:rsid w:val="00CD3517"/>
    <w:rsid w:val="00CD4836"/>
    <w:rsid w:val="00CD4F37"/>
    <w:rsid w:val="00CD533B"/>
    <w:rsid w:val="00CD54F0"/>
    <w:rsid w:val="00CD5A2D"/>
    <w:rsid w:val="00CD5FE2"/>
    <w:rsid w:val="00CD7203"/>
    <w:rsid w:val="00CE1C62"/>
    <w:rsid w:val="00CE6026"/>
    <w:rsid w:val="00CE63D2"/>
    <w:rsid w:val="00CE72BC"/>
    <w:rsid w:val="00CE7C68"/>
    <w:rsid w:val="00CF1155"/>
    <w:rsid w:val="00CF771E"/>
    <w:rsid w:val="00D00887"/>
    <w:rsid w:val="00D02B4C"/>
    <w:rsid w:val="00D040C4"/>
    <w:rsid w:val="00D04E67"/>
    <w:rsid w:val="00D1001E"/>
    <w:rsid w:val="00D12306"/>
    <w:rsid w:val="00D1648C"/>
    <w:rsid w:val="00D20103"/>
    <w:rsid w:val="00D20AD1"/>
    <w:rsid w:val="00D216CF"/>
    <w:rsid w:val="00D2181D"/>
    <w:rsid w:val="00D2185A"/>
    <w:rsid w:val="00D22432"/>
    <w:rsid w:val="00D22D00"/>
    <w:rsid w:val="00D25E51"/>
    <w:rsid w:val="00D34E49"/>
    <w:rsid w:val="00D361ED"/>
    <w:rsid w:val="00D36448"/>
    <w:rsid w:val="00D378F4"/>
    <w:rsid w:val="00D37D3A"/>
    <w:rsid w:val="00D43625"/>
    <w:rsid w:val="00D43AAE"/>
    <w:rsid w:val="00D44A7D"/>
    <w:rsid w:val="00D46B7E"/>
    <w:rsid w:val="00D50940"/>
    <w:rsid w:val="00D576D9"/>
    <w:rsid w:val="00D57C84"/>
    <w:rsid w:val="00D6057D"/>
    <w:rsid w:val="00D62155"/>
    <w:rsid w:val="00D67081"/>
    <w:rsid w:val="00D71640"/>
    <w:rsid w:val="00D73ADB"/>
    <w:rsid w:val="00D74885"/>
    <w:rsid w:val="00D75CB7"/>
    <w:rsid w:val="00D77BF7"/>
    <w:rsid w:val="00D77E3C"/>
    <w:rsid w:val="00D819B3"/>
    <w:rsid w:val="00D836C5"/>
    <w:rsid w:val="00D838F3"/>
    <w:rsid w:val="00D84576"/>
    <w:rsid w:val="00D849A5"/>
    <w:rsid w:val="00D84A88"/>
    <w:rsid w:val="00D910B4"/>
    <w:rsid w:val="00D91F7F"/>
    <w:rsid w:val="00DA1399"/>
    <w:rsid w:val="00DA13BC"/>
    <w:rsid w:val="00DA24C6"/>
    <w:rsid w:val="00DA4D7B"/>
    <w:rsid w:val="00DA54A2"/>
    <w:rsid w:val="00DB1448"/>
    <w:rsid w:val="00DB2B2C"/>
    <w:rsid w:val="00DC1D98"/>
    <w:rsid w:val="00DC2708"/>
    <w:rsid w:val="00DC2FCE"/>
    <w:rsid w:val="00DC3CF4"/>
    <w:rsid w:val="00DC654E"/>
    <w:rsid w:val="00DD6071"/>
    <w:rsid w:val="00DE121E"/>
    <w:rsid w:val="00DE264A"/>
    <w:rsid w:val="00DE3724"/>
    <w:rsid w:val="00DE5642"/>
    <w:rsid w:val="00DF4D83"/>
    <w:rsid w:val="00DF5072"/>
    <w:rsid w:val="00E02D18"/>
    <w:rsid w:val="00E03EBB"/>
    <w:rsid w:val="00E041E7"/>
    <w:rsid w:val="00E10263"/>
    <w:rsid w:val="00E103D0"/>
    <w:rsid w:val="00E130C8"/>
    <w:rsid w:val="00E13FCC"/>
    <w:rsid w:val="00E14C29"/>
    <w:rsid w:val="00E23CA1"/>
    <w:rsid w:val="00E30825"/>
    <w:rsid w:val="00E308D6"/>
    <w:rsid w:val="00E310F5"/>
    <w:rsid w:val="00E35853"/>
    <w:rsid w:val="00E4013B"/>
    <w:rsid w:val="00E409A8"/>
    <w:rsid w:val="00E4255D"/>
    <w:rsid w:val="00E42B64"/>
    <w:rsid w:val="00E50C12"/>
    <w:rsid w:val="00E553F4"/>
    <w:rsid w:val="00E55583"/>
    <w:rsid w:val="00E57C64"/>
    <w:rsid w:val="00E62AD6"/>
    <w:rsid w:val="00E637BF"/>
    <w:rsid w:val="00E64768"/>
    <w:rsid w:val="00E65B91"/>
    <w:rsid w:val="00E71D1E"/>
    <w:rsid w:val="00E7209D"/>
    <w:rsid w:val="00E72EAD"/>
    <w:rsid w:val="00E73C36"/>
    <w:rsid w:val="00E74214"/>
    <w:rsid w:val="00E75D98"/>
    <w:rsid w:val="00E77223"/>
    <w:rsid w:val="00E83778"/>
    <w:rsid w:val="00E847C3"/>
    <w:rsid w:val="00E8528B"/>
    <w:rsid w:val="00E858D7"/>
    <w:rsid w:val="00E85B52"/>
    <w:rsid w:val="00E85B94"/>
    <w:rsid w:val="00E86097"/>
    <w:rsid w:val="00E86E68"/>
    <w:rsid w:val="00E9374B"/>
    <w:rsid w:val="00E93DE7"/>
    <w:rsid w:val="00E978D0"/>
    <w:rsid w:val="00EA1D3B"/>
    <w:rsid w:val="00EA4613"/>
    <w:rsid w:val="00EA7F91"/>
    <w:rsid w:val="00EB1523"/>
    <w:rsid w:val="00EB1870"/>
    <w:rsid w:val="00EB74F5"/>
    <w:rsid w:val="00EC0E49"/>
    <w:rsid w:val="00EC101F"/>
    <w:rsid w:val="00EC1D9F"/>
    <w:rsid w:val="00EC4D8B"/>
    <w:rsid w:val="00EC5A58"/>
    <w:rsid w:val="00ED006D"/>
    <w:rsid w:val="00ED42A1"/>
    <w:rsid w:val="00ED59B7"/>
    <w:rsid w:val="00ED7A6F"/>
    <w:rsid w:val="00EE0131"/>
    <w:rsid w:val="00EE11D0"/>
    <w:rsid w:val="00EE17B0"/>
    <w:rsid w:val="00EE673E"/>
    <w:rsid w:val="00EF06D9"/>
    <w:rsid w:val="00EF2EE2"/>
    <w:rsid w:val="00F01DD3"/>
    <w:rsid w:val="00F02EE6"/>
    <w:rsid w:val="00F03CE0"/>
    <w:rsid w:val="00F12A2C"/>
    <w:rsid w:val="00F12B54"/>
    <w:rsid w:val="00F13077"/>
    <w:rsid w:val="00F25866"/>
    <w:rsid w:val="00F276F5"/>
    <w:rsid w:val="00F30936"/>
    <w:rsid w:val="00F30C64"/>
    <w:rsid w:val="00F32BA2"/>
    <w:rsid w:val="00F32CDB"/>
    <w:rsid w:val="00F344FB"/>
    <w:rsid w:val="00F34D5D"/>
    <w:rsid w:val="00F3724F"/>
    <w:rsid w:val="00F423F3"/>
    <w:rsid w:val="00F47E83"/>
    <w:rsid w:val="00F50580"/>
    <w:rsid w:val="00F52565"/>
    <w:rsid w:val="00F53FAA"/>
    <w:rsid w:val="00F55568"/>
    <w:rsid w:val="00F565FE"/>
    <w:rsid w:val="00F63A70"/>
    <w:rsid w:val="00F64644"/>
    <w:rsid w:val="00F66ED8"/>
    <w:rsid w:val="00F66FC1"/>
    <w:rsid w:val="00F67D1D"/>
    <w:rsid w:val="00F73EED"/>
    <w:rsid w:val="00F74B87"/>
    <w:rsid w:val="00F7534E"/>
    <w:rsid w:val="00F75CE0"/>
    <w:rsid w:val="00F80D85"/>
    <w:rsid w:val="00F87495"/>
    <w:rsid w:val="00F903AF"/>
    <w:rsid w:val="00F94CB9"/>
    <w:rsid w:val="00FA1802"/>
    <w:rsid w:val="00FA21D0"/>
    <w:rsid w:val="00FA2967"/>
    <w:rsid w:val="00FA3078"/>
    <w:rsid w:val="00FA53DA"/>
    <w:rsid w:val="00FA5F5F"/>
    <w:rsid w:val="00FB04B7"/>
    <w:rsid w:val="00FB1CA9"/>
    <w:rsid w:val="00FB43A7"/>
    <w:rsid w:val="00FB568B"/>
    <w:rsid w:val="00FB70B7"/>
    <w:rsid w:val="00FB730C"/>
    <w:rsid w:val="00FC1CC4"/>
    <w:rsid w:val="00FC2695"/>
    <w:rsid w:val="00FC2CB8"/>
    <w:rsid w:val="00FC3665"/>
    <w:rsid w:val="00FC3E03"/>
    <w:rsid w:val="00FC3FC1"/>
    <w:rsid w:val="00FC4E93"/>
    <w:rsid w:val="00FC5976"/>
    <w:rsid w:val="00FD1ECA"/>
    <w:rsid w:val="00FD27A6"/>
    <w:rsid w:val="00FD58A8"/>
    <w:rsid w:val="00FD6A3F"/>
    <w:rsid w:val="00FE0B52"/>
    <w:rsid w:val="00FE16BF"/>
    <w:rsid w:val="00FE19AA"/>
    <w:rsid w:val="00FF0A1E"/>
    <w:rsid w:val="00FF36D9"/>
    <w:rsid w:val="00FF4EE9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33201E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33201E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77FE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unhideWhenUs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Absatz-Standardschriftart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Listenabsatz">
    <w:name w:val="List Paragraph"/>
    <w:basedOn w:val="Standard"/>
    <w:uiPriority w:val="34"/>
    <w:rsid w:val="00280FAF"/>
    <w:pPr>
      <w:ind w:left="720"/>
      <w:contextualSpacing/>
    </w:pPr>
  </w:style>
  <w:style w:type="paragraph" w:customStyle="1" w:styleId="Els-Title">
    <w:name w:val="Els-Title"/>
    <w:next w:val="Standard"/>
    <w:rsid w:val="00AD4FC6"/>
    <w:pPr>
      <w:suppressAutoHyphens/>
      <w:spacing w:before="240" w:after="120" w:line="360" w:lineRule="exact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4771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9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0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3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3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20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6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8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FAED-6725-4944-8732-90C5833B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2655</Words>
  <Characters>16729</Characters>
  <Application>Microsoft Office Word</Application>
  <DocSecurity>0</DocSecurity>
  <Lines>139</Lines>
  <Paragraphs>38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19346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Semrau, Robin Lukas</cp:lastModifiedBy>
  <cp:revision>7</cp:revision>
  <cp:lastPrinted>2022-05-02T06:31:00Z</cp:lastPrinted>
  <dcterms:created xsi:type="dcterms:W3CDTF">2022-07-13T07:05:00Z</dcterms:created>
  <dcterms:modified xsi:type="dcterms:W3CDTF">2022-07-13T08:39:00Z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