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C4DD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C4DD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C4DD6">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6FEB8FA" w:rsidR="00E978D0" w:rsidRPr="00B57B36" w:rsidRDefault="00AC4DD6" w:rsidP="00E978D0">
      <w:pPr>
        <w:pStyle w:val="CETTitle"/>
      </w:pPr>
      <w:r w:rsidRPr="00AC4DD6">
        <w:t>A Graphical Technique for Net-Zero Emissions Planning Based on Marginal Abatement Cost (MAC) Curves</w:t>
      </w:r>
    </w:p>
    <w:p w14:paraId="0488FED2" w14:textId="6035DA2D" w:rsidR="00B57E6F" w:rsidRPr="00B57B36" w:rsidRDefault="00DD208E" w:rsidP="00B57E6F">
      <w:pPr>
        <w:pStyle w:val="CETAuthors"/>
      </w:pPr>
      <w:r w:rsidRPr="00AC4DD6">
        <w:t>Maria Victoria Migo-Sumagang</w:t>
      </w:r>
      <w:r>
        <w:rPr>
          <w:vertAlign w:val="superscript"/>
        </w:rPr>
        <w:t>a</w:t>
      </w:r>
      <w:r w:rsidRPr="00AC4DD6">
        <w:t xml:space="preserve">, </w:t>
      </w:r>
      <w:r w:rsidR="00AC4DD6" w:rsidRPr="00AC4DD6">
        <w:t>Kathleen B. Aviso</w:t>
      </w:r>
      <w:r>
        <w:rPr>
          <w:vertAlign w:val="superscript"/>
        </w:rPr>
        <w:t>a</w:t>
      </w:r>
      <w:r w:rsidR="00AC4DD6" w:rsidRPr="00AC4DD6">
        <w:t>, Purusothmn Nair S. Bhasker Nair</w:t>
      </w:r>
      <w:r>
        <w:rPr>
          <w:vertAlign w:val="superscript"/>
        </w:rPr>
        <w:t>b</w:t>
      </w:r>
      <w:r w:rsidR="00AC4DD6" w:rsidRPr="00AC4DD6">
        <w:t>, Michael Short</w:t>
      </w:r>
      <w:r w:rsidR="00AC4DD6" w:rsidRPr="00AC4DD6">
        <w:rPr>
          <w:vertAlign w:val="superscript"/>
        </w:rPr>
        <w:t>c</w:t>
      </w:r>
      <w:r>
        <w:t xml:space="preserve">, </w:t>
      </w:r>
      <w:r w:rsidRPr="00AC4DD6">
        <w:t>Raymond R. Tan</w:t>
      </w:r>
      <w:r>
        <w:rPr>
          <w:vertAlign w:val="superscript"/>
        </w:rPr>
        <w:t>a</w:t>
      </w:r>
      <w:r w:rsidRPr="00AC4DD6">
        <w:t>, Dominic C. Y. Foo</w:t>
      </w:r>
      <w:r>
        <w:rPr>
          <w:vertAlign w:val="superscript"/>
        </w:rPr>
        <w:t>b</w:t>
      </w:r>
      <w:r w:rsidRPr="00AC4DD6">
        <w:rPr>
          <w:vertAlign w:val="superscript"/>
        </w:rPr>
        <w:t>*</w:t>
      </w:r>
    </w:p>
    <w:p w14:paraId="32454968" w14:textId="0324E070" w:rsidR="00AC4DD6" w:rsidRDefault="00DD208E" w:rsidP="00AC4DD6">
      <w:pPr>
        <w:pStyle w:val="CETAddress"/>
      </w:pPr>
      <w:r>
        <w:rPr>
          <w:vertAlign w:val="superscript"/>
        </w:rPr>
        <w:t>a</w:t>
      </w:r>
      <w:r w:rsidR="00AC4DD6" w:rsidRPr="00AC4DD6">
        <w:t>Department of Chemical Engineering, De La Salle University, 2401 Taft Avenue, 0922 Manila, Philippines</w:t>
      </w:r>
    </w:p>
    <w:p w14:paraId="4DB346E8" w14:textId="38C2DB44" w:rsidR="00DD208E" w:rsidRPr="00AC4DD6" w:rsidRDefault="00DD208E" w:rsidP="00DD208E">
      <w:pPr>
        <w:pStyle w:val="CETAddress"/>
      </w:pPr>
      <w:r>
        <w:rPr>
          <w:vertAlign w:val="superscript"/>
        </w:rPr>
        <w:t>b</w:t>
      </w:r>
      <w:r w:rsidRPr="00AC4DD6">
        <w:t>Department Chemical and Environmental Engineering/Centre of Excellence for Green Technologies, University of Nottingham Malaysia, Broga Road, 43500 Semenyih, Selangor, Malaysia</w:t>
      </w:r>
    </w:p>
    <w:p w14:paraId="3D72B0B0" w14:textId="427DFAB1" w:rsidR="00B57E6F" w:rsidRPr="00AC4DD6" w:rsidRDefault="00AC4DD6" w:rsidP="00AC4DD6">
      <w:pPr>
        <w:pStyle w:val="CETAddress"/>
      </w:pPr>
      <w:r w:rsidRPr="00AC4DD6">
        <w:rPr>
          <w:vertAlign w:val="superscript"/>
        </w:rPr>
        <w:t>c</w:t>
      </w:r>
      <w:r w:rsidRPr="00AC4DD6">
        <w:t>Department of Chemical and Process Engineering, University of Surrey, Guildford, Surrey GU2 7XH, United Kingdom</w:t>
      </w:r>
      <w:r w:rsidR="00B57E6F" w:rsidRPr="00AC4DD6">
        <w:t xml:space="preserve"> </w:t>
      </w:r>
    </w:p>
    <w:p w14:paraId="73F1267A" w14:textId="46CB7FAC" w:rsidR="00B57E6F" w:rsidRPr="00B57B36" w:rsidRDefault="00AC4DD6" w:rsidP="00B57E6F">
      <w:pPr>
        <w:pStyle w:val="CETemail"/>
      </w:pPr>
      <w:r>
        <w:t>d</w:t>
      </w:r>
      <w:r w:rsidRPr="00AC4DD6">
        <w:t>ominic.</w:t>
      </w:r>
      <w:r>
        <w:t>f</w:t>
      </w:r>
      <w:r w:rsidRPr="00AC4DD6">
        <w:t>oo@nottingham.edu.my</w:t>
      </w:r>
    </w:p>
    <w:p w14:paraId="37A61FCE" w14:textId="69B17F0B" w:rsidR="00DA24C6" w:rsidRPr="00542393" w:rsidRDefault="00AC4DD6" w:rsidP="00AC4DD6">
      <w:pPr>
        <w:pStyle w:val="CETBodytext"/>
      </w:pPr>
      <w:r w:rsidRPr="00542393">
        <w:t xml:space="preserve">Net-zero emission targets are being set by countries and companies globally. To meet net-zero targets, negative emission technologies (NETs) such as bioenergy with carbon capture and storage (BECCS) and biochar (BC) can be implemented alongside </w:t>
      </w:r>
      <w:r w:rsidR="006F4DDB" w:rsidRPr="00542393">
        <w:t xml:space="preserve">replacing </w:t>
      </w:r>
      <w:r w:rsidRPr="00542393">
        <w:t>traditional energy sources</w:t>
      </w:r>
      <w:r w:rsidR="006F4DDB" w:rsidRPr="00542393">
        <w:t xml:space="preserve"> with renewables</w:t>
      </w:r>
      <w:r w:rsidRPr="00542393">
        <w:t xml:space="preserve">. Various high-level tools for energy planning are available but rarely consider NETs and net-zero emissions planning. </w:t>
      </w:r>
      <w:r w:rsidR="00775611" w:rsidRPr="00542393">
        <w:t>In t</w:t>
      </w:r>
      <w:r w:rsidRPr="00542393">
        <w:t>his work</w:t>
      </w:r>
      <w:r w:rsidR="00775611" w:rsidRPr="00542393">
        <w:t>,</w:t>
      </w:r>
      <w:r w:rsidRPr="00542393">
        <w:t xml:space="preserve"> a graphical </w:t>
      </w:r>
      <w:r w:rsidR="00775611" w:rsidRPr="00542393">
        <w:t xml:space="preserve">procedure was developed using </w:t>
      </w:r>
      <w:r w:rsidRPr="00542393">
        <w:rPr>
          <w:i/>
          <w:iCs/>
        </w:rPr>
        <w:t>marginal abatement cost</w:t>
      </w:r>
      <w:r w:rsidRPr="00542393">
        <w:t xml:space="preserve"> (MAC) curves for net-zero emissions planning. Carbon dioxide </w:t>
      </w:r>
      <w:r w:rsidR="00703491" w:rsidRPr="00542393">
        <w:t>(</w:t>
      </w:r>
      <w:r w:rsidR="00703491" w:rsidRPr="00542393">
        <w:rPr>
          <w:lang w:val="en-GB"/>
        </w:rPr>
        <w:t>CO</w:t>
      </w:r>
      <w:r w:rsidR="00703491" w:rsidRPr="00542393">
        <w:rPr>
          <w:vertAlign w:val="subscript"/>
          <w:lang w:val="en-GB"/>
        </w:rPr>
        <w:t>2</w:t>
      </w:r>
      <w:r w:rsidR="00703491" w:rsidRPr="00542393">
        <w:t>)-</w:t>
      </w:r>
      <w:r w:rsidRPr="00542393">
        <w:t xml:space="preserve">emitting energy sources are arranged in increasing </w:t>
      </w:r>
      <w:r w:rsidR="00214387" w:rsidRPr="00542393">
        <w:t xml:space="preserve">order of </w:t>
      </w:r>
      <w:r w:rsidRPr="00542393">
        <w:t>specific costs</w:t>
      </w:r>
      <w:r w:rsidR="00214387" w:rsidRPr="00542393">
        <w:t>,</w:t>
      </w:r>
      <w:r w:rsidRPr="00542393">
        <w:t xml:space="preserve"> on a specific cost vs cumulative </w:t>
      </w:r>
      <w:r w:rsidR="00214387" w:rsidRPr="00542393">
        <w:rPr>
          <w:lang w:val="en-GB"/>
        </w:rPr>
        <w:t>CO</w:t>
      </w:r>
      <w:r w:rsidR="00214387" w:rsidRPr="00542393">
        <w:rPr>
          <w:vertAlign w:val="subscript"/>
          <w:lang w:val="en-GB"/>
        </w:rPr>
        <w:t>2</w:t>
      </w:r>
      <w:r w:rsidRPr="00542393">
        <w:t xml:space="preserve"> emissions diagram. NETs are then plotted to counterbalance the emissions</w:t>
      </w:r>
      <w:r w:rsidR="00214387" w:rsidRPr="00542393">
        <w:t xml:space="preserve"> in order</w:t>
      </w:r>
      <w:r w:rsidRPr="00542393">
        <w:t xml:space="preserve"> to determine the negative emission targets. The methodology is illustrated with </w:t>
      </w:r>
      <w:r w:rsidR="00797125" w:rsidRPr="00542393">
        <w:t xml:space="preserve">a </w:t>
      </w:r>
      <w:r w:rsidRPr="00542393">
        <w:t>case stud</w:t>
      </w:r>
      <w:r w:rsidR="00C42BCD" w:rsidRPr="00542393">
        <w:t>y</w:t>
      </w:r>
      <w:r w:rsidRPr="00542393">
        <w:t xml:space="preserve"> in </w:t>
      </w:r>
      <w:r w:rsidR="00C42BCD" w:rsidRPr="00542393">
        <w:t xml:space="preserve">the </w:t>
      </w:r>
      <w:r w:rsidRPr="00542393">
        <w:t xml:space="preserve">power </w:t>
      </w:r>
      <w:r w:rsidR="00D14D5A" w:rsidRPr="00542393">
        <w:t>generation sector</w:t>
      </w:r>
      <w:r w:rsidRPr="00542393">
        <w:t>.</w:t>
      </w:r>
      <w:r w:rsidR="006D6155" w:rsidRPr="00542393">
        <w:t xml:space="preserve"> </w:t>
      </w:r>
      <w:r w:rsidR="00716D26" w:rsidRPr="00542393">
        <w:t xml:space="preserve">In this </w:t>
      </w:r>
      <w:r w:rsidR="006D6155" w:rsidRPr="00542393">
        <w:t>case</w:t>
      </w:r>
      <w:r w:rsidR="00716D26" w:rsidRPr="00542393">
        <w:t>,</w:t>
      </w:r>
      <w:r w:rsidR="006D6155" w:rsidRPr="00542393">
        <w:t xml:space="preserve"> coal and natural gas </w:t>
      </w:r>
      <w:r w:rsidR="00D14D5A" w:rsidRPr="00542393">
        <w:t xml:space="preserve">(500 MW each) are used to generate </w:t>
      </w:r>
      <w:r w:rsidR="006D6155" w:rsidRPr="00542393">
        <w:t xml:space="preserve">power </w:t>
      </w:r>
      <w:r w:rsidR="00D14D5A" w:rsidRPr="00542393">
        <w:t xml:space="preserve">for users. In order to reach net-zero emission for this sector, a </w:t>
      </w:r>
      <w:r w:rsidR="006D6155" w:rsidRPr="00542393">
        <w:t xml:space="preserve">BECCS plant </w:t>
      </w:r>
      <w:r w:rsidR="00D14D5A" w:rsidRPr="00542393">
        <w:t>(500 MW)</w:t>
      </w:r>
      <w:r w:rsidR="00065CD8" w:rsidRPr="00542393">
        <w:t xml:space="preserve"> and </w:t>
      </w:r>
      <w:r w:rsidR="00B3623D" w:rsidRPr="00542393">
        <w:t xml:space="preserve">a reduction in the power rating of coal by around 200 MW </w:t>
      </w:r>
      <w:r w:rsidR="00D14D5A" w:rsidRPr="00542393">
        <w:t xml:space="preserve">is necessary. Besides, </w:t>
      </w:r>
      <w:r w:rsidR="006D6155" w:rsidRPr="00542393">
        <w:t xml:space="preserve">an additional </w:t>
      </w:r>
      <w:r w:rsidR="006D6155" w:rsidRPr="00542393">
        <w:rPr>
          <w:lang w:val="en-GB"/>
        </w:rPr>
        <w:t>1.5</w:t>
      </w:r>
      <w:r w:rsidR="00AB53A3" w:rsidRPr="00542393">
        <w:rPr>
          <w:lang w:val="en-GB"/>
        </w:rPr>
        <w:t>9</w:t>
      </w:r>
      <w:r w:rsidR="006D6155" w:rsidRPr="00542393">
        <w:rPr>
          <w:lang w:val="en-GB"/>
        </w:rPr>
        <w:t xml:space="preserve"> Mt/y </w:t>
      </w:r>
      <w:r w:rsidR="00D14D5A" w:rsidRPr="00542393">
        <w:rPr>
          <w:lang w:val="en-GB"/>
        </w:rPr>
        <w:t>of CO</w:t>
      </w:r>
      <w:r w:rsidR="00D14D5A" w:rsidRPr="00542393">
        <w:rPr>
          <w:vertAlign w:val="subscript"/>
          <w:lang w:val="en-GB"/>
        </w:rPr>
        <w:t xml:space="preserve">2 </w:t>
      </w:r>
      <w:r w:rsidR="006D6155" w:rsidRPr="00542393">
        <w:rPr>
          <w:lang w:val="en-GB"/>
        </w:rPr>
        <w:t xml:space="preserve">sequestration </w:t>
      </w:r>
      <w:r w:rsidR="00D14D5A" w:rsidRPr="00542393">
        <w:rPr>
          <w:lang w:val="en-GB"/>
        </w:rPr>
        <w:t xml:space="preserve">is to be carried out </w:t>
      </w:r>
      <w:r w:rsidR="006D6155" w:rsidRPr="00542393">
        <w:rPr>
          <w:lang w:val="en-GB"/>
        </w:rPr>
        <w:t>thr</w:t>
      </w:r>
      <w:r w:rsidR="00D14D5A" w:rsidRPr="00542393">
        <w:rPr>
          <w:lang w:val="en-GB"/>
        </w:rPr>
        <w:t>o</w:t>
      </w:r>
      <w:r w:rsidR="006D6155" w:rsidRPr="00542393">
        <w:rPr>
          <w:lang w:val="en-GB"/>
        </w:rPr>
        <w:t>u</w:t>
      </w:r>
      <w:r w:rsidR="00D14D5A" w:rsidRPr="00542393">
        <w:rPr>
          <w:lang w:val="en-GB"/>
        </w:rPr>
        <w:t>gh</w:t>
      </w:r>
      <w:r w:rsidR="006D6155" w:rsidRPr="00542393">
        <w:rPr>
          <w:lang w:val="en-GB"/>
        </w:rPr>
        <w:t xml:space="preserve"> BC</w:t>
      </w:r>
      <w:r w:rsidR="006D6155" w:rsidRPr="00542393">
        <w:t>.</w:t>
      </w:r>
      <w:r w:rsidRPr="00542393">
        <w:t xml:space="preserve"> The proposed technique provides a simple and clear method for net-zero emissions planning.</w:t>
      </w:r>
    </w:p>
    <w:p w14:paraId="476B2F2E" w14:textId="77777777" w:rsidR="00600535" w:rsidRPr="00542393" w:rsidRDefault="00600535" w:rsidP="00600535">
      <w:pPr>
        <w:pStyle w:val="CETHeading1"/>
        <w:rPr>
          <w:lang w:val="en-GB"/>
        </w:rPr>
      </w:pPr>
      <w:r w:rsidRPr="00542393">
        <w:rPr>
          <w:lang w:val="en-GB"/>
        </w:rPr>
        <w:t>Introduction</w:t>
      </w:r>
    </w:p>
    <w:p w14:paraId="1AED3853" w14:textId="472000F9" w:rsidR="00600535" w:rsidRPr="00542393" w:rsidRDefault="00CF1F29" w:rsidP="00FB463B">
      <w:pPr>
        <w:pStyle w:val="CETBodytext"/>
      </w:pPr>
      <w:r w:rsidRPr="00542393">
        <w:t xml:space="preserve">Climate models and projections show that </w:t>
      </w:r>
      <w:r w:rsidR="00376526" w:rsidRPr="00542393">
        <w:t xml:space="preserve">reaching net-zero </w:t>
      </w:r>
      <w:bookmarkStart w:id="0" w:name="_Hlk108519938"/>
      <w:r w:rsidR="00BA56A8" w:rsidRPr="00542393">
        <w:t>CO</w:t>
      </w:r>
      <w:r w:rsidR="00BA56A8" w:rsidRPr="00542393">
        <w:rPr>
          <w:vertAlign w:val="subscript"/>
        </w:rPr>
        <w:t>2</w:t>
      </w:r>
      <w:r w:rsidR="00BA56A8" w:rsidRPr="00542393">
        <w:t xml:space="preserve"> </w:t>
      </w:r>
      <w:bookmarkEnd w:id="0"/>
      <w:r w:rsidR="00376526" w:rsidRPr="00542393">
        <w:t xml:space="preserve">emissions </w:t>
      </w:r>
      <w:r w:rsidR="00BA56A8" w:rsidRPr="00542393">
        <w:t xml:space="preserve">by mid-century is key to </w:t>
      </w:r>
      <w:r w:rsidR="00E46F71" w:rsidRPr="00542393">
        <w:t xml:space="preserve">limiting global warming according to the Paris Agreement targets </w:t>
      </w:r>
      <w:r w:rsidR="00BD4F4E" w:rsidRPr="00542393">
        <w:fldChar w:fldCharType="begin" w:fldLock="1"/>
      </w:r>
      <w:r w:rsidR="00AA19BF" w:rsidRPr="00542393">
        <w:instrText>ADDIN CSL_CITATION {"citationItems":[{"id":"ITEM-1","itemData":{"DOI":"10.1260/095830507781076194","ISBN":"9789291691586","ISSN":"0958305X","author":[{"dropping-particle":"","family":"IPCC","given":"","non-dropping-particle":"","parse-names":false,"suffix":""}],"container-title":"Climate Change 2021: The Physical Science Basis. Contribution of Working Group I to the Sixth Assessment Report of the Intergovernmental Panel on Climate Change","editor":[{"dropping-particle":"","family":"V.","given":"MassonDelmotte","non-dropping-particle":"","parse-names":false,"suffix":""},{"dropping-particle":"","family":"Zhai","given":"P.","non-dropping-particle":"","parse-names":false,"suffix":""},{"dropping-particle":"","family":"Pirani","given":"A.","non-dropping-particle":"","parse-names":false,"suffix":""},{"dropping-particle":"","family":"Connors","given":"S.L.","non-dropping-particle":"","parse-names":false,"suffix":""},{"dropping-particle":"","family":"Péan","given":"C.","non-dropping-particle":"","parse-names":false,"suffix":""},{"dropping-particle":"","family":"Berger","given":"S.","non-dropping-particle":"","parse-names":false,"suffix":""},{"dropping-particle":"","family":"Caud","given":"N.","non-dropping-particle":"","parse-names":false,"suffix":""},{"dropping-particle":"","family":"Chen","given":"Y.","non-dropping-particle":"","parse-names":false,"suffix":""},{"dropping-particle":"","family":"Goldfarb","given":"L.","non-dropping-particle":"","parse-names":false,"suffix":""},{"dropping-particle":"","family":"Gomis","given":"M.I.","non-dropping-particle":"","parse-names":false,"suffix":""},{"dropping-particle":"","family":"Huang","given":"M.","non-dropping-particle":"","parse-names":false,"suffix":""},{"dropping-particle":"","family":"Leitzell","given":"K.","non-dropping-particle":"","parse-names":false,"suffix":""},{"dropping-particle":"","family":"Lonnoy","given":"E.","non-dropping-particle":"","parse-names":false,"suffix":""},{"dropping-particle":"","family":"Matthews","given":"J.B.R.","non-dropping-particle":"","parse-names":false,"suffix":""},{"dropping-particle":"","family":"Maycock","given":"T.K.","non-dropping-particle":"","parse-names":false,"suffix":""},{"dropping-particle":"","family":"Waterfield","given":"T.","non-dropping-particle":"","parse-names":false,"suffix":""},{"dropping-particle":"","family":"Yelekçi","given":"O.","non-dropping-particle":"","parse-names":false,"suffix":""},{"dropping-particle":"","family":"Yu","given":"R.","non-dropping-particle":"","parse-names":false,"suffix":""},{"dropping-particle":"","family":"Zhou","given":"B.","non-dropping-particle":"","parse-names":false,"suffix":""}],"id":"ITEM-1","issued":{"date-parts":[["2021"]]},"note":"This report has many good graphs that can be used in presentations. \n\nIt also supports CDR in many statements","publisher":"Cambridge University Press","publisher-place":"Cambridge, UK and New York, NY, USA","title":"Summary for Policymakers","type":"chapter"},"uris":["http://www.mendeley.com/documents/?uuid=6efb6750-c8b1-43ea-9e38-a5a35bfd3f82"]}],"mendeley":{"formattedCitation":"(IPCC, 2021)","plainTextFormattedCitation":"(IPCC, 2021)","previouslyFormattedCitation":"(IPCC, 2021)"},"properties":{"noteIndex":0},"schema":"https://github.com/citation-style-language/schema/raw/master/csl-citation.json"}</w:instrText>
      </w:r>
      <w:r w:rsidR="00BD4F4E" w:rsidRPr="00542393">
        <w:fldChar w:fldCharType="separate"/>
      </w:r>
      <w:r w:rsidR="00BD4F4E" w:rsidRPr="00542393">
        <w:rPr>
          <w:noProof/>
        </w:rPr>
        <w:t>(IPCC, 2021)</w:t>
      </w:r>
      <w:r w:rsidR="00BD4F4E" w:rsidRPr="00542393">
        <w:fldChar w:fldCharType="end"/>
      </w:r>
      <w:r w:rsidR="008516E1" w:rsidRPr="00542393">
        <w:t>.</w:t>
      </w:r>
      <w:r w:rsidR="00485725" w:rsidRPr="00542393">
        <w:t xml:space="preserve"> </w:t>
      </w:r>
      <w:r w:rsidR="004F6AC3" w:rsidRPr="00542393">
        <w:t xml:space="preserve">The “net-zero framing” </w:t>
      </w:r>
      <w:r w:rsidR="00FB463B" w:rsidRPr="00542393">
        <w:t>provides a tangible target that is effective for planning future emissions</w:t>
      </w:r>
      <w:r w:rsidR="008D77B8" w:rsidRPr="00542393">
        <w:t xml:space="preserve"> reduction</w:t>
      </w:r>
      <w:r w:rsidR="00FB463B" w:rsidRPr="00542393">
        <w:t xml:space="preserve">, and </w:t>
      </w:r>
      <w:r w:rsidR="004F6AC3" w:rsidRPr="00542393">
        <w:t>countries such as</w:t>
      </w:r>
      <w:r w:rsidR="00A039F4" w:rsidRPr="00542393">
        <w:t xml:space="preserve"> the</w:t>
      </w:r>
      <w:r w:rsidR="004F6AC3" w:rsidRPr="00542393">
        <w:t xml:space="preserve"> </w:t>
      </w:r>
      <w:r w:rsidR="00A039F4" w:rsidRPr="00542393">
        <w:t xml:space="preserve">UK, Canada, France, China, and Japan </w:t>
      </w:r>
      <w:r w:rsidR="00FB463B" w:rsidRPr="00542393">
        <w:t>have committed to net-zero emissions pledges</w:t>
      </w:r>
      <w:r w:rsidR="008D77B8" w:rsidRPr="00542393">
        <w:t xml:space="preserve"> </w:t>
      </w:r>
      <w:r w:rsidR="008D77B8" w:rsidRPr="00542393">
        <w:fldChar w:fldCharType="begin" w:fldLock="1"/>
      </w:r>
      <w:r w:rsidR="008A0AE2" w:rsidRPr="00542393">
        <w:instrText>ADDIN CSL_CITATION {"citationItems":[{"id":"ITEM-1","itemData":{"DOI":"10.1016/j.egycc.2021.100043","ISSN":"26662787","abstract":"A number of countries – including major economies such as the UK, Canada, France, China, and Japan – have announced net-zero emissions pledges generally consistent with the IPCC's guidelines for 1.5°C. As countries design strategies to achieve these pledges, decision-makers are faced with questions and issues related to the role of Carbon Dioxide Removal (CDR). This perspective highlights three issues. First, the scale of CDR deployment will determine the level of emission mitigation in the energy system and vice versa. Second, CDR will interact with societal priorities beyond climate. Finally, the location of CDR could have implications for the country-level pledges, and emissions trading. While these issues have been discussed in the literature in other contexts, this perspective highlights their importance for net-zero emissions strategies.","author":[{"dropping-particle":"","family":"Iyer","given":"Gokul","non-dropping-particle":"","parse-names":false,"suffix":""},{"dropping-particle":"","family":"Clarke","given":"Leon","non-dropping-particle":"","parse-names":false,"suffix":""},{"dropping-particle":"","family":"Edmonds","given":"Jae","non-dropping-particle":"","parse-names":false,"suffix":""},{"dropping-particle":"","family":"Fawcett","given":"Allen","non-dropping-particle":"","parse-names":false,"suffix":""},{"dropping-particle":"","family":"Fuhrman","given":"Jay","non-dropping-particle":"","parse-names":false,"suffix":""},{"dropping-particle":"","family":"McJeon","given":"Haewon","non-dropping-particle":"","parse-names":false,"suffix":""},{"dropping-particle":"","family":"Waldhoff","given":"Stephanie","non-dropping-particle":"","parse-names":false,"suffix":""}],"container-title":"Energy and Climate Change","id":"ITEM-1","issue":"June","issued":{"date-parts":[["2021"]]},"page":"100043","publisher":"Elsevier Ltd","title":"The role of carbon dioxide removal in net-zero emissions pledges","type":"article-journal","volume":"2"},"uris":["http://www.mendeley.com/documents/?uuid=5a3f5fb1-d87a-4356-ad89-a5216c9ce5aa"]}],"mendeley":{"formattedCitation":"(Iyer et al., 2021)","plainTextFormattedCitation":"(Iyer et al., 2021)","previouslyFormattedCitation":"(Iyer et al., 2021)"},"properties":{"noteIndex":0},"schema":"https://github.com/citation-style-language/schema/raw/master/csl-citation.json"}</w:instrText>
      </w:r>
      <w:r w:rsidR="008D77B8" w:rsidRPr="00542393">
        <w:fldChar w:fldCharType="separate"/>
      </w:r>
      <w:r w:rsidR="008D77B8" w:rsidRPr="00542393">
        <w:rPr>
          <w:noProof/>
        </w:rPr>
        <w:t>(Iyer et al., 2021)</w:t>
      </w:r>
      <w:r w:rsidR="008D77B8" w:rsidRPr="00542393">
        <w:fldChar w:fldCharType="end"/>
      </w:r>
      <w:r w:rsidR="008D77B8" w:rsidRPr="00542393">
        <w:t xml:space="preserve">. </w:t>
      </w:r>
      <w:r w:rsidR="00634F87" w:rsidRPr="00542393">
        <w:t>Countries are not the only actors</w:t>
      </w:r>
      <w:r w:rsidR="00497065" w:rsidRPr="00542393">
        <w:t xml:space="preserve"> in</w:t>
      </w:r>
      <w:r w:rsidR="00634F87" w:rsidRPr="00542393">
        <w:t xml:space="preserve"> pledging net-zero emissions</w:t>
      </w:r>
      <w:r w:rsidR="00AB53A3" w:rsidRPr="00542393">
        <w:t xml:space="preserve">. Many </w:t>
      </w:r>
      <w:r w:rsidR="00634F87" w:rsidRPr="00542393">
        <w:t>companies</w:t>
      </w:r>
      <w:r w:rsidR="00AB53A3" w:rsidRPr="00542393">
        <w:t xml:space="preserve"> and </w:t>
      </w:r>
      <w:r w:rsidR="00791069" w:rsidRPr="00542393">
        <w:t>businesses</w:t>
      </w:r>
      <w:r w:rsidR="0035170E" w:rsidRPr="00542393">
        <w:t xml:space="preserve"> </w:t>
      </w:r>
      <w:r w:rsidR="00AB53A3" w:rsidRPr="00542393">
        <w:t xml:space="preserve">in various sectors, e.g. </w:t>
      </w:r>
      <w:r w:rsidR="008526A1" w:rsidRPr="00542393">
        <w:t>airlines,</w:t>
      </w:r>
      <w:r w:rsidR="00426D88" w:rsidRPr="00542393">
        <w:t xml:space="preserve"> </w:t>
      </w:r>
      <w:r w:rsidR="008526A1" w:rsidRPr="00542393">
        <w:t>consumer products,</w:t>
      </w:r>
      <w:r w:rsidR="00426D88" w:rsidRPr="00542393">
        <w:t xml:space="preserve"> </w:t>
      </w:r>
      <w:r w:rsidR="008A0AE2" w:rsidRPr="00542393">
        <w:t>energy, etc.</w:t>
      </w:r>
      <w:r w:rsidR="00AB53A3" w:rsidRPr="00542393">
        <w:t xml:space="preserve"> </w:t>
      </w:r>
      <w:r w:rsidR="003B0106" w:rsidRPr="00542393">
        <w:t xml:space="preserve">have pledged emissions reduction </w:t>
      </w:r>
      <w:r w:rsidR="003B0106" w:rsidRPr="00542393">
        <w:fldChar w:fldCharType="begin" w:fldLock="1"/>
      </w:r>
      <w:r w:rsidR="00FC43A9" w:rsidRPr="00542393">
        <w:instrText>ADDIN CSL_CITATION {"citationItems":[{"id":"ITEM-1","itemData":{"DOI":"10.1016/j.eng.2021.06.011","ISSN":"20958099","author":[{"dropping-particle":"","family":"Chrobak","given":"Ula","non-dropping-particle":"","parse-names":false,"suffix":""}],"container-title":"Engineering","id":"ITEM-1","issue":"8","issued":{"date-parts":[["2021"]]},"page":"1044-1046","publisher":"Elsevier","title":"Corporate Climate Pledges Pile Up—Will It Matter?","type":"article-journal","volume":"7"},"uris":["http://www.mendeley.com/documents/?uuid=b1f22185-7b8d-438a-a2a7-1e927f550eda"]}],"mendeley":{"formattedCitation":"(Chrobak, 2021)","plainTextFormattedCitation":"(Chrobak, 2021)","previouslyFormattedCitation":"(Chrobak, 2021)"},"properties":{"noteIndex":0},"schema":"https://github.com/citation-style-language/schema/raw/master/csl-citation.json"}</w:instrText>
      </w:r>
      <w:r w:rsidR="003B0106" w:rsidRPr="00542393">
        <w:fldChar w:fldCharType="separate"/>
      </w:r>
      <w:r w:rsidR="003B0106" w:rsidRPr="00542393">
        <w:rPr>
          <w:noProof/>
        </w:rPr>
        <w:t>(Chrobak, 2021)</w:t>
      </w:r>
      <w:r w:rsidR="003B0106" w:rsidRPr="00542393">
        <w:fldChar w:fldCharType="end"/>
      </w:r>
      <w:r w:rsidR="006108ED" w:rsidRPr="00542393">
        <w:t>.</w:t>
      </w:r>
    </w:p>
    <w:p w14:paraId="222CB4F6" w14:textId="107F637F" w:rsidR="006108ED" w:rsidRPr="00542393" w:rsidRDefault="006108ED" w:rsidP="00FB463B">
      <w:pPr>
        <w:pStyle w:val="CETBodytext"/>
      </w:pPr>
      <w:r w:rsidRPr="00542393">
        <w:t>To economically achieve net-zero emissions</w:t>
      </w:r>
      <w:r w:rsidR="007128AA" w:rsidRPr="00542393">
        <w:t>,</w:t>
      </w:r>
      <w:r w:rsidRPr="00542393">
        <w:t xml:space="preserve"> </w:t>
      </w:r>
      <w:r w:rsidR="007128AA" w:rsidRPr="00542393">
        <w:rPr>
          <w:i/>
          <w:iCs/>
        </w:rPr>
        <w:t>negative emissions technology</w:t>
      </w:r>
      <w:r w:rsidR="007128AA" w:rsidRPr="00542393">
        <w:t xml:space="preserve"> (NET</w:t>
      </w:r>
      <w:r w:rsidR="001858BA" w:rsidRPr="00542393">
        <w:t>s</w:t>
      </w:r>
      <w:r w:rsidR="007128AA" w:rsidRPr="00542393">
        <w:t xml:space="preserve">) </w:t>
      </w:r>
      <w:r w:rsidR="000F7A4A" w:rsidRPr="00542393">
        <w:t>is necessary to support the hard-to-abate emissions from certain sectors</w:t>
      </w:r>
      <w:r w:rsidR="00A62417" w:rsidRPr="00542393">
        <w:t xml:space="preserve"> </w:t>
      </w:r>
      <w:r w:rsidR="00A62417" w:rsidRPr="00542393">
        <w:fldChar w:fldCharType="begin" w:fldLock="1"/>
      </w:r>
      <w:r w:rsidR="001A1840" w:rsidRPr="00542393">
        <w:instrText>ADDIN CSL_CITATION {"citationItems":[{"id":"ITEM-1","itemData":{"ISSN":"19961073","author":[{"dropping-particle":"","family":"Tatarewicz","given":"Igor","non-dropping-particle":"","parse-names":false,"suffix":""},{"dropping-particle":"","family":"Lewarski","given":"Michał","non-dropping-particle":"","parse-names":false,"suffix":""},{"dropping-particle":"","family":"Skwierz","given":"Sławomir","non-dropping-particle":"","parse-names":false,"suffix":""},{"dropping-particle":"","family":"Krupin","given":"Vitaliy","non-dropping-particle":"","parse-names":false,"suffix":""},{"dropping-particle":"","family":"Jeszke","given":"Robert","non-dropping-particle":"","parse-names":false,"suffix":""},{"dropping-particle":"","family":"Pyrka","given":"Maciej","non-dropping-particle":"","parse-names":false,"suffix":""},{"dropping-particle":"","family":"Szczepá Nski","given":"Krystian","non-dropping-particle":"","parse-names":false,"suffix":""},{"dropping-particle":"","family":"Sekuła","given":"Monika","non-dropping-particle":"","parse-names":false,"suffix":""},{"dropping-particle":"","family":"Szczepański","given":"Krystian","non-dropping-particle":"","parse-names":false,"suffix":""},{"dropping-particle":"","family":"Sekuła","given":"Monika","non-dropping-particle":"","parse-names":false,"suffix":""}],"container-title":"Energies","id":"ITEM-1","issued":{"date-parts":[["2021","11","23"]]},"page":"7842","publisher":"Multidisciplinary Digital Publishing Institute","title":"The Role of BECCS in Achieving Climate Neutrality in the European Union","type":"article-journal","volume":"14"},"uris":["http://www.mendeley.com/documents/?uuid=bc2511ea-7b82-4b85-8de2-de7f8cc36b45"]}],"mendeley":{"formattedCitation":"(Tatarewicz et al., 2021)","plainTextFormattedCitation":"(Tatarewicz et al., 2021)","previouslyFormattedCitation":"(Tatarewicz et al., 2021)"},"properties":{"noteIndex":0},"schema":"https://github.com/citation-style-language/schema/raw/master/csl-citation.json"}</w:instrText>
      </w:r>
      <w:r w:rsidR="00A62417" w:rsidRPr="00542393">
        <w:fldChar w:fldCharType="separate"/>
      </w:r>
      <w:r w:rsidR="00A62417" w:rsidRPr="00542393">
        <w:rPr>
          <w:noProof/>
        </w:rPr>
        <w:t>(Tatarewicz et al., 2021)</w:t>
      </w:r>
      <w:r w:rsidR="00A62417" w:rsidRPr="00542393">
        <w:fldChar w:fldCharType="end"/>
      </w:r>
      <w:r w:rsidR="00FC43A9" w:rsidRPr="00542393">
        <w:t xml:space="preserve">. NETs are also needed to counterbalance the residual emissions </w:t>
      </w:r>
      <w:r w:rsidR="00B5254D" w:rsidRPr="00542393">
        <w:t xml:space="preserve">in the energy sector </w:t>
      </w:r>
      <w:r w:rsidR="001A1840" w:rsidRPr="00542393">
        <w:fldChar w:fldCharType="begin" w:fldLock="1"/>
      </w:r>
      <w:r w:rsidR="005C4CBB" w:rsidRPr="00542393">
        <w:instrText>ADDIN CSL_CITATION {"citationItems":[{"id":"ITEM-1","itemData":{"DOI":"doi: 10.1017/9781009157926.001","ISBN":"9781107415416","author":[{"dropping-particle":"","family":"IPCC","given":"","non-dropping-particle":"","parse-names":false,"suffix":""}],"container-title":"Climate Change 2022: Mitigation of Climate Change. Contribution of Working Group III to the Sixth Assessment Report of the Intergovernmental Panel on Climate Change","editor":[{"dropping-particle":"","family":"Shukla","given":"P.R.","non-dropping-particle":"","parse-names":false,"suffix":""},{"dropping-particle":"","family":"Skea","given":"J.","non-dropping-particle":"","parse-names":false,"suffix":""},{"dropping-particle":"","family":"Slade","given":"R.","non-dropping-particle":"","parse-names":false,"suffix":""},{"dropping-particle":"","family":"Khourdajie","given":"A.","non-dropping-particle":"Al","parse-names":false,"suffix":""},{"dropping-particle":"","family":"Diemen","given":"R.","non-dropping-particle":"van","parse-names":false,"suffix":""},{"dropping-particle":"","family":"McCollum","given":"D.","non-dropping-particle":"","parse-names":false,"suffix":""},{"dropping-particle":"","family":"Pathak","given":"M.","non-dropping-particle":"","parse-names":false,"suffix":""},{"dropping-particle":"","family":"Some","given":"S.","non-dropping-particle":"","parse-names":false,"suffix":""},{"dropping-particle":"","family":"Vyas","given":"P.","non-dropping-particle":"","parse-names":false,"suffix":""},{"dropping-particle":"","family":"Fradera","given":"R.","non-dropping-particle":"","parse-names":false,"suffix":""},{"dropping-particle":"","family":"Belkacemi","given":"M.","non-dropping-particle":"","parse-names":false,"suffix":""},{"dropping-particle":"","family":"Hasija","given":"A.","non-dropping-particle":"","parse-names":false,"suffix":""},{"dropping-particle":"","family":"Lisboa","given":"G.","non-dropping-particle":"","parse-names":false,"suffix":""},{"dropping-particle":"","family":"Luz","given":"S.","non-dropping-particle":"","parse-names":false,"suffix":""},{"dropping-particle":"","family":"Malley","given":"J.","non-dropping-particle":"","parse-names":false,"suffix":""}],"id":"ITEM-1","issued":{"date-parts":[["2022"]]},"publisher":"Cambridge University Press","publisher-place":"Cambridge, UK and New York, NY, USA","title":"Summary for Policymakers","type":"chapter"},"uris":["http://www.mendeley.com/documents/?uuid=8e9bbbb0-20fb-4f79-8281-f47487ae5973"]}],"mendeley":{"formattedCitation":"(IPCC, 2022)","plainTextFormattedCitation":"(IPCC, 2022)","previouslyFormattedCitation":"(IPCC, 2022)"},"properties":{"noteIndex":0},"schema":"https://github.com/citation-style-language/schema/raw/master/csl-citation.json"}</w:instrText>
      </w:r>
      <w:r w:rsidR="001A1840" w:rsidRPr="00542393">
        <w:fldChar w:fldCharType="separate"/>
      </w:r>
      <w:r w:rsidR="001A1840" w:rsidRPr="00542393">
        <w:rPr>
          <w:noProof/>
        </w:rPr>
        <w:t>(IPCC, 2022)</w:t>
      </w:r>
      <w:r w:rsidR="001A1840" w:rsidRPr="00542393">
        <w:fldChar w:fldCharType="end"/>
      </w:r>
      <w:r w:rsidR="00832716" w:rsidRPr="00542393">
        <w:t xml:space="preserve">. </w:t>
      </w:r>
      <w:r w:rsidR="0042681F" w:rsidRPr="00542393">
        <w:t>NETs function by removing CO</w:t>
      </w:r>
      <w:r w:rsidR="0042681F" w:rsidRPr="00542393">
        <w:rPr>
          <w:vertAlign w:val="subscript"/>
        </w:rPr>
        <w:t>2</w:t>
      </w:r>
      <w:r w:rsidR="0042681F" w:rsidRPr="00542393">
        <w:t xml:space="preserve"> from the atmosphere and storing it </w:t>
      </w:r>
      <w:r w:rsidR="008B5D78" w:rsidRPr="00542393">
        <w:t xml:space="preserve">in a separate environmental compartment </w:t>
      </w:r>
      <w:r w:rsidR="0069670F" w:rsidRPr="00542393">
        <w:t>e.g.,</w:t>
      </w:r>
      <w:r w:rsidR="008B5D78" w:rsidRPr="00542393">
        <w:t xml:space="preserve"> biomass, soil, underground, or ocean </w:t>
      </w:r>
      <w:r w:rsidR="002C29AE" w:rsidRPr="00542393">
        <w:fldChar w:fldCharType="begin" w:fldLock="1"/>
      </w:r>
      <w:r w:rsidR="002C29AE" w:rsidRPr="00542393">
        <w:instrText>ADDIN CSL_CITATION {"citationItems":[{"id":"ITEM-1","itemData":{"ISBN":"9781782523499","abstract":"In 2017 the Royal Society and Royal Academy of Engineering were asked by the UK Government to consider scientific and engineering views on greenhouse gas removal. This report draws on a breadth of expertise including that of the Fellowships of the two academies to identify the range of available greenhouse gas removal methods, the factors that will affect their use and consider how they may be deployed together to meet climate targets, both in the UK and globally","author":[{"dropping-particle":"","family":"The Royal Society","given":"","non-dropping-particle":"","parse-names":false,"suffix":""}],"container-title":"The Royal Society","id":"ITEM-1","issue":"549","issued":{"date-parts":[["2018"]]},"note":"Very comprehensive book about NETs. Discusses all the details for each NET. Discusses a background on the carbon cycle, overview of NETs, categorizes each NET. For each NET dsicusses basic principle of operation, technology readiness, storage potential and longevity, natural resources required, environmental benefits and challenges, scalability and engineering challenges, rists to implementation,monitoring and evaluation, social factors, and policy factors. Also dicsusses cross-cutting issues on the resources, storage, environment, science and technology, economics, legislation, social aspects. And presents scenarios for the UK","number-of-pages":"1-5","publisher-place":"London, UK","title":"Greenhouse Gas Removal","type":"report"},"uris":["http://www.mendeley.com/documents/?uuid=8e97c1d1-33c0-470a-a5dd-c436c8b33e36"]}],"mendeley":{"formattedCitation":"(The Royal Society, 2018)","plainTextFormattedCitation":"(The Royal Society, 2018)","previouslyFormattedCitation":"(The Royal Society, 2018)"},"properties":{"noteIndex":0},"schema":"https://github.com/citation-style-language/schema/raw/master/csl-citation.json"}</w:instrText>
      </w:r>
      <w:r w:rsidR="002C29AE" w:rsidRPr="00542393">
        <w:fldChar w:fldCharType="separate"/>
      </w:r>
      <w:r w:rsidR="002C29AE" w:rsidRPr="00542393">
        <w:rPr>
          <w:noProof/>
        </w:rPr>
        <w:t>(The Royal Society, 2018)</w:t>
      </w:r>
      <w:r w:rsidR="002C29AE" w:rsidRPr="00542393">
        <w:fldChar w:fldCharType="end"/>
      </w:r>
      <w:r w:rsidR="002C29AE" w:rsidRPr="00542393">
        <w:t xml:space="preserve">. </w:t>
      </w:r>
      <w:r w:rsidR="005C4CBB" w:rsidRPr="00542393">
        <w:t xml:space="preserve">The most </w:t>
      </w:r>
      <w:r w:rsidR="008C4EE7" w:rsidRPr="00542393">
        <w:t>prominent NETs used in model</w:t>
      </w:r>
      <w:r w:rsidR="006C233A" w:rsidRPr="00542393">
        <w:t>l</w:t>
      </w:r>
      <w:r w:rsidR="008C4EE7" w:rsidRPr="00542393">
        <w:t xml:space="preserve">ing scenarios are </w:t>
      </w:r>
      <w:r w:rsidR="007D4AD8" w:rsidRPr="00542393">
        <w:t xml:space="preserve">nature-based solutions, </w:t>
      </w:r>
      <w:r w:rsidR="008C4EE7" w:rsidRPr="00542393">
        <w:t xml:space="preserve">afforestation/reforestation </w:t>
      </w:r>
      <w:r w:rsidR="007D4AD8" w:rsidRPr="00542393">
        <w:t>(AR)</w:t>
      </w:r>
      <w:r w:rsidR="00E13BCD" w:rsidRPr="00542393">
        <w:t>,</w:t>
      </w:r>
      <w:r w:rsidR="007D4AD8" w:rsidRPr="00542393">
        <w:t xml:space="preserve"> and bioenergy with carbon capture and storage (BECCS)</w:t>
      </w:r>
      <w:r w:rsidR="002C29AE" w:rsidRPr="00542393">
        <w:t xml:space="preserve"> </w:t>
      </w:r>
      <w:r w:rsidR="002C29AE" w:rsidRPr="00542393">
        <w:fldChar w:fldCharType="begin" w:fldLock="1"/>
      </w:r>
      <w:r w:rsidR="00841D6F" w:rsidRPr="00542393">
        <w:instrText>ADDIN CSL_CITATION {"citationItems":[{"id":"ITEM-1","itemData":{"author":[{"dropping-particle":"","family":"IPCC","given":"","non-dropping-particle":"","parse-names":false,"suffix":""}],"container-title":"Climate Change 2014: Contribution of Working Groups I, II and III to the Fifth Assessment Report of the Intergovernmental Panel on Climate Change","editor":[{"dropping-particle":"","family":"Pachauri","given":"R.K.","non-dropping-particle":"","parse-names":false,"suffix":""},{"dropping-particle":"","family":"Meyer","given":"L.A.","non-dropping-particle":"","parse-names":false,"suffix":""}],"id":"ITEM-1","issued":{"date-parts":[["2014"]]},"publisher":"IPCC","publisher-place":"Geneva, Switzerland","title":"Synthesis Report","type":"chapter"},"uris":["http://www.mendeley.com/documents/?uuid=c755f481-0e8c-4a97-b1bc-c7cc55d54d95"]}],"mendeley":{"formattedCitation":"(IPCC, 2014)","plainTextFormattedCitation":"(IPCC, 2014)","previouslyFormattedCitation":"(IPCC, 2014)"},"properties":{"noteIndex":0},"schema":"https://github.com/citation-style-language/schema/raw/master/csl-citation.json"}</w:instrText>
      </w:r>
      <w:r w:rsidR="002C29AE" w:rsidRPr="00542393">
        <w:fldChar w:fldCharType="separate"/>
      </w:r>
      <w:r w:rsidR="002C29AE" w:rsidRPr="00542393">
        <w:rPr>
          <w:noProof/>
        </w:rPr>
        <w:t>(IPCC, 2014)</w:t>
      </w:r>
      <w:r w:rsidR="002C29AE" w:rsidRPr="00542393">
        <w:fldChar w:fldCharType="end"/>
      </w:r>
      <w:r w:rsidR="007D4AD8" w:rsidRPr="00542393">
        <w:t xml:space="preserve">. </w:t>
      </w:r>
      <w:r w:rsidR="00CD4C3E" w:rsidRPr="00542393">
        <w:t xml:space="preserve">Both solutions </w:t>
      </w:r>
      <w:r w:rsidR="002F6AE7" w:rsidRPr="00542393">
        <w:t>take advantage of the carbon</w:t>
      </w:r>
      <w:r w:rsidR="00BB3B84" w:rsidRPr="00542393">
        <w:t xml:space="preserve"> </w:t>
      </w:r>
      <w:r w:rsidR="002F6AE7" w:rsidRPr="00542393">
        <w:t>neutrality of biomass</w:t>
      </w:r>
      <w:r w:rsidR="00085A81" w:rsidRPr="00542393">
        <w:t>,</w:t>
      </w:r>
      <w:r w:rsidR="002F6AE7" w:rsidRPr="00542393">
        <w:t xml:space="preserve"> with AR </w:t>
      </w:r>
      <w:r w:rsidR="0043677E" w:rsidRPr="00542393">
        <w:t xml:space="preserve">being less permanent and BECCS more stable in storing the carbon </w:t>
      </w:r>
      <w:r w:rsidR="00531859" w:rsidRPr="00542393">
        <w:t xml:space="preserve">underground or in </w:t>
      </w:r>
      <w:r w:rsidR="002C29AE" w:rsidRPr="00542393">
        <w:t xml:space="preserve">sub-surface </w:t>
      </w:r>
      <w:r w:rsidR="00531859" w:rsidRPr="00542393">
        <w:t xml:space="preserve">minerals </w:t>
      </w:r>
      <w:r w:rsidR="002C29AE" w:rsidRPr="00542393">
        <w:fldChar w:fldCharType="begin" w:fldLock="1"/>
      </w:r>
      <w:r w:rsidR="002C29AE" w:rsidRPr="00542393">
        <w:instrText>ADDIN CSL_CITATION {"citationItems":[{"id":"ITEM-1","itemData":{"ISBN":"9781782523499","abstract":"In 2017 the Royal Society and Royal Academy of Engineering were asked by the UK Government to consider scientific and engineering views on greenhouse gas removal. This report draws on a breadth of expertise including that of the Fellowships of the two academies to identify the range of available greenhouse gas removal methods, the factors that will affect their use and consider how they may be deployed together to meet climate targets, both in the UK and globally","author":[{"dropping-particle":"","family":"The Royal Society","given":"","non-dropping-particle":"","parse-names":false,"suffix":""}],"container-title":"The Royal Society","id":"ITEM-1","issue":"549","issued":{"date-parts":[["2018"]]},"note":"Very comprehensive book about NETs. Discusses all the details for each NET. Discusses a background on the carbon cycle, overview of NETs, categorizes each NET. For each NET dsicusses basic principle of operation, technology readiness, storage potential and longevity, natural resources required, environmental benefits and challenges, scalability and engineering challenges, rists to implementation,monitoring and evaluation, social factors, and policy factors. Also dicsusses cross-cutting issues on the resources, storage, environment, science and technology, economics, legislation, social aspects. And presents scenarios for the UK","number-of-pages":"1-5","publisher-place":"London, UK","title":"Greenhouse Gas Removal","type":"report"},"uris":["http://www.mendeley.com/documents/?uuid=8e97c1d1-33c0-470a-a5dd-c436c8b33e36"]}],"mendeley":{"formattedCitation":"(The Royal Society, 2018)","plainTextFormattedCitation":"(The Royal Society, 2018)","previouslyFormattedCitation":"(The Royal Society, 2018)"},"properties":{"noteIndex":0},"schema":"https://github.com/citation-style-language/schema/raw/master/csl-citation.json"}</w:instrText>
      </w:r>
      <w:r w:rsidR="002C29AE" w:rsidRPr="00542393">
        <w:fldChar w:fldCharType="separate"/>
      </w:r>
      <w:r w:rsidR="002C29AE" w:rsidRPr="00542393">
        <w:rPr>
          <w:noProof/>
        </w:rPr>
        <w:t>(The Royal Society, 2018)</w:t>
      </w:r>
      <w:r w:rsidR="002C29AE" w:rsidRPr="00542393">
        <w:fldChar w:fldCharType="end"/>
      </w:r>
      <w:r w:rsidR="00FF7C0A" w:rsidRPr="00542393">
        <w:t xml:space="preserve">. Another </w:t>
      </w:r>
      <w:r w:rsidR="005D3A94" w:rsidRPr="00542393">
        <w:t>biomass-</w:t>
      </w:r>
      <w:r w:rsidR="00FF7C0A" w:rsidRPr="00542393">
        <w:t xml:space="preserve">based solution is </w:t>
      </w:r>
      <w:r w:rsidR="004033B6" w:rsidRPr="00542393">
        <w:t xml:space="preserve">the </w:t>
      </w:r>
      <w:r w:rsidR="00C74400" w:rsidRPr="00542393">
        <w:t>mixing</w:t>
      </w:r>
      <w:r w:rsidR="004033B6" w:rsidRPr="00542393">
        <w:t xml:space="preserve"> of</w:t>
      </w:r>
      <w:r w:rsidR="00C74400" w:rsidRPr="00542393">
        <w:t xml:space="preserve"> </w:t>
      </w:r>
      <w:r w:rsidR="00FF7C0A" w:rsidRPr="00542393">
        <w:t xml:space="preserve">biochar (BC) </w:t>
      </w:r>
      <w:r w:rsidR="00C74400" w:rsidRPr="00542393">
        <w:t>in the soil</w:t>
      </w:r>
      <w:r w:rsidR="0098073A" w:rsidRPr="00542393">
        <w:t>. This solution has an expected</w:t>
      </w:r>
      <w:r w:rsidR="00C74400" w:rsidRPr="00542393">
        <w:t xml:space="preserve"> lifespan of around 5</w:t>
      </w:r>
      <w:r w:rsidR="00841D6F" w:rsidRPr="00542393">
        <w:t>00</w:t>
      </w:r>
      <w:r w:rsidR="00C74400" w:rsidRPr="00542393">
        <w:t xml:space="preserve"> years</w:t>
      </w:r>
      <w:r w:rsidR="00841D6F" w:rsidRPr="00542393">
        <w:t xml:space="preserve"> </w:t>
      </w:r>
      <w:r w:rsidR="00841D6F" w:rsidRPr="00542393">
        <w:fldChar w:fldCharType="begin" w:fldLock="1"/>
      </w:r>
      <w:r w:rsidR="00B96513" w:rsidRPr="00542393">
        <w:instrText>ADDIN CSL_CITATION {"citationItems":[{"id":"ITEM-1","itemData":{"DOI":"10.1146/annurev-environ-101718-033129","ISSN":"15435938","abstract":"Land-management options for greenhouse gas removal (GGR) include afforestation or reforestation (AR), wetland restoration, soil carbon sequestration (SCS), biochar, terrestrial enhanced weathering (TEW), and bioenergy with carbon capture and storage (BECCS). We assess the opportunities and risks associated with these options through the lens of their potential impacts on ecosystem services (Nature's Contributions to People; NCPs) and the United Nations Sustainable Development Goals (SDGs). We find that all land-based GGR options contribute positively to at least some NCPs and SDGs. Wetland restoration and SCS almost exclusively deliver positive impacts. A few GGR options, such as afforestation, BECCS, and biochar potentially impact negatively some NCPs and SDGs, particularly when implemented at scale, largely through competition for land. For those that present risks or are least understood, more research is required, and demonstration projects need to proceed with caution. For options that present low risks and provide cobenefits, implementation can proceed more rapidly following no-regrets principles.","author":[{"dropping-particle":"","family":"Smith","given":"Pete","non-dropping-particle":"","parse-names":false,"suffix":""},{"dropping-particle":"","family":"Adams","given":"Justin","non-dropping-particle":"","parse-names":false,"suffix":""},{"dropping-particle":"","family":"Beerling","given":"David J","non-dropping-particle":"","parse-names":false,"suffix":""},{"dropping-particle":"","family":"Beringer","given":"Tim","non-dropping-particle":"","parse-names":false,"suffix":""},{"dropping-particle":"V","family":"Calvin","given":"Katherine","non-dropping-particle":"","parse-names":false,"suffix":""},{"dropping-particle":"","family":"Fuss","given":"Sabine","non-dropping-particle":"","parse-names":false,"suffix":""},{"dropping-particle":"","family":"Griscom","given":"Bronson","non-dropping-particle":"","parse-names":false,"suffix":""},{"dropping-particle":"","family":"Hagemann","given":"Nikolas","non-dropping-particle":"","parse-names":false,"suffix":""},{"dropping-particle":"","family":"Kammann","given":"Claudia","non-dropping-particle":"","parse-names":false,"suffix":""},{"dropping-particle":"","family":"Kraxner","given":"Florian","non-dropping-particle":"","parse-names":false,"suffix":""},{"dropping-particle":"","family":"Minx","given":"Jan C","non-dropping-particle":"","parse-names":false,"suffix":""},{"dropping-particle":"","family":"Popp","given":"Alexander","non-dropping-particle":"","parse-names":false,"suffix":""},{"dropping-particle":"","family":"Renforth","given":"Phil","non-dropping-particle":"","parse-names":false,"suffix":""},{"dropping-particle":"","family":"Vicente Vicente","given":"Jose Luis","non-dropping-particle":"","parse-names":false,"suffix":""},{"dropping-particle":"","family":"Keesstra","given":"Saskia","non-dropping-particle":"","parse-names":false,"suffix":""}],"container-title":"Annual Review of Environment and Resources","id":"ITEM-1","issued":{"date-parts":[["2019"]]},"note":"This article elegantly discusses the potential benefits and impacts of land based NETs, in the lens of NCP and SDGs. According to the author wetland restoration and SCS are no regret options. Large scale implementation of NETs increase competition for land, water and nutrietns, but these are context and scale specific. Some NETs are mutually exclusive and cannot be practiced in the same land, but some can be combined. A portfolio of NETs is needed to deliver the negative emissions requierd. R&amp;amp;R priority is to study synergies and tradeoffs between different NETs. Demonstration projects are needed.","page":"255-286","title":"Land-Management Options for Greenhouse Gas Removal and Their Impacts on Ecosystem Services and the Sustainable Development Goals","type":"article-journal","volume":"44"},"uris":["http://www.mendeley.com/documents/?uuid=9384b11e-387d-4261-b77b-995e06f3665f"]}],"mendeley":{"formattedCitation":"(Smith et al., 2019)","plainTextFormattedCitation":"(Smith et al., 2019)","previouslyFormattedCitation":"(Smith et al., 2019)"},"properties":{"noteIndex":0},"schema":"https://github.com/citation-style-language/schema/raw/master/csl-citation.json"}</w:instrText>
      </w:r>
      <w:r w:rsidR="00841D6F" w:rsidRPr="00542393">
        <w:fldChar w:fldCharType="separate"/>
      </w:r>
      <w:r w:rsidR="00841D6F" w:rsidRPr="00542393">
        <w:rPr>
          <w:noProof/>
        </w:rPr>
        <w:t>(Smith et al., 2019)</w:t>
      </w:r>
      <w:r w:rsidR="00841D6F" w:rsidRPr="00542393">
        <w:fldChar w:fldCharType="end"/>
      </w:r>
      <w:r w:rsidR="00C74400" w:rsidRPr="00542393">
        <w:t xml:space="preserve">. </w:t>
      </w:r>
      <w:r w:rsidR="00663819" w:rsidRPr="00542393">
        <w:t xml:space="preserve">Both BECCS and BC have </w:t>
      </w:r>
      <w:r w:rsidR="00BB3B84" w:rsidRPr="00542393">
        <w:t>the</w:t>
      </w:r>
      <w:r w:rsidR="00663819" w:rsidRPr="00542393">
        <w:t xml:space="preserve"> advantage of providing energy aside from</w:t>
      </w:r>
      <w:r w:rsidR="005D3A94" w:rsidRPr="00542393">
        <w:t xml:space="preserve"> their</w:t>
      </w:r>
      <w:r w:rsidR="00C74400" w:rsidRPr="00542393">
        <w:t xml:space="preserve"> </w:t>
      </w:r>
      <w:r w:rsidR="00663819" w:rsidRPr="00542393">
        <w:t>negative emission functions</w:t>
      </w:r>
      <w:r w:rsidR="00304E25" w:rsidRPr="00542393">
        <w:t xml:space="preserve"> </w:t>
      </w:r>
      <w:r w:rsidR="00304E25" w:rsidRPr="00542393">
        <w:fldChar w:fldCharType="begin" w:fldLock="1"/>
      </w:r>
      <w:r w:rsidR="00B96513" w:rsidRPr="00542393">
        <w:instrText>ADDIN CSL_CITATION {"citationItems":[{"id":"ITEM-1","itemData":{"DOI":"10.1146/annurev-environ-101718-033129","ISSN":"15435938","abstract":"Land-management options for greenhouse gas removal (GGR) include afforestation or reforestation (AR), wetland restoration, soil carbon sequestration (SCS), biochar, terrestrial enhanced weathering (TEW), and bioenergy with carbon capture and storage (BECCS). We assess the opportunities and risks associated with these options through the lens of their potential impacts on ecosystem services (Nature's Contributions to People; NCPs) and the United Nations Sustainable Development Goals (SDGs). We find that all land-based GGR options contribute positively to at least some NCPs and SDGs. Wetland restoration and SCS almost exclusively deliver positive impacts. A few GGR options, such as afforestation, BECCS, and biochar potentially impact negatively some NCPs and SDGs, particularly when implemented at scale, largely through competition for land. For those that present risks or are least understood, more research is required, and demonstration projects need to proceed with caution. For options that present low risks and provide cobenefits, implementation can proceed more rapidly following no-regrets principles.","author":[{"dropping-particle":"","family":"Smith","given":"Pete","non-dropping-particle":"","parse-names":false,"suffix":""},{"dropping-particle":"","family":"Adams","given":"Justin","non-dropping-particle":"","parse-names":false,"suffix":""},{"dropping-particle":"","family":"Beerling","given":"David J","non-dropping-particle":"","parse-names":false,"suffix":""},{"dropping-particle":"","family":"Beringer","given":"Tim","non-dropping-particle":"","parse-names":false,"suffix":""},{"dropping-particle":"V","family":"Calvin","given":"Katherine","non-dropping-particle":"","parse-names":false,"suffix":""},{"dropping-particle":"","family":"Fuss","given":"Sabine","non-dropping-particle":"","parse-names":false,"suffix":""},{"dropping-particle":"","family":"Griscom","given":"Bronson","non-dropping-particle":"","parse-names":false,"suffix":""},{"dropping-particle":"","family":"Hagemann","given":"Nikolas","non-dropping-particle":"","parse-names":false,"suffix":""},{"dropping-particle":"","family":"Kammann","given":"Claudia","non-dropping-particle":"","parse-names":false,"suffix":""},{"dropping-particle":"","family":"Kraxner","given":"Florian","non-dropping-particle":"","parse-names":false,"suffix":""},{"dropping-particle":"","family":"Minx","given":"Jan C","non-dropping-particle":"","parse-names":false,"suffix":""},{"dropping-particle":"","family":"Popp","given":"Alexander","non-dropping-particle":"","parse-names":false,"suffix":""},{"dropping-particle":"","family":"Renforth","given":"Phil","non-dropping-particle":"","parse-names":false,"suffix":""},{"dropping-particle":"","family":"Vicente Vicente","given":"Jose Luis","non-dropping-particle":"","parse-names":false,"suffix":""},{"dropping-particle":"","family":"Keesstra","given":"Saskia","non-dropping-particle":"","parse-names":false,"suffix":""}],"container-title":"Annual Review of Environment and Resources","id":"ITEM-1","issued":{"date-parts":[["2019"]]},"note":"This article elegantly discusses the potential benefits and impacts of land based NETs, in the lens of NCP and SDGs. According to the author wetland restoration and SCS are no regret options. Large scale implementation of NETs increase competition for land, water and nutrietns, but these are context and scale specific. Some NETs are mutually exclusive and cannot be practiced in the same land, but some can be combined. A portfolio of NETs is needed to deliver the negative emissions requierd. R&amp;amp;R priority is to study synergies and tradeoffs between different NETs. Demonstration projects are needed.","page":"255-286","title":"Land-Management Options for Greenhouse Gas Removal and Their Impacts on Ecosystem Services and the Sustainable Development Goals","type":"article-journal","volume":"44"},"uris":["http://www.mendeley.com/documents/?uuid=9384b11e-387d-4261-b77b-995e06f3665f"]}],"mendeley":{"formattedCitation":"(Smith et al., 2019)","plainTextFormattedCitation":"(Smith et al., 2019)","previouslyFormattedCitation":"(Smith et al., 2019)"},"properties":{"noteIndex":0},"schema":"https://github.com/citation-style-language/schema/raw/master/csl-citation.json"}</w:instrText>
      </w:r>
      <w:r w:rsidR="00304E25" w:rsidRPr="00542393">
        <w:fldChar w:fldCharType="separate"/>
      </w:r>
      <w:r w:rsidR="00304E25" w:rsidRPr="00542393">
        <w:rPr>
          <w:noProof/>
        </w:rPr>
        <w:t>(Smith et al., 2019)</w:t>
      </w:r>
      <w:r w:rsidR="00304E25" w:rsidRPr="00542393">
        <w:fldChar w:fldCharType="end"/>
      </w:r>
      <w:r w:rsidR="002103D9" w:rsidRPr="00542393">
        <w:t xml:space="preserve">. </w:t>
      </w:r>
    </w:p>
    <w:p w14:paraId="4AD04547" w14:textId="6116DEA2" w:rsidR="000E1959" w:rsidRPr="00542393" w:rsidRDefault="001158B5" w:rsidP="00FB463B">
      <w:pPr>
        <w:pStyle w:val="CETBodytext"/>
      </w:pPr>
      <w:r w:rsidRPr="00542393">
        <w:t>To</w:t>
      </w:r>
      <w:r w:rsidR="00045892" w:rsidRPr="00542393">
        <w:t xml:space="preserve"> achieve net-zero emissions, it is important to </w:t>
      </w:r>
      <w:r w:rsidR="004E3C39" w:rsidRPr="00542393">
        <w:t xml:space="preserve">plan and integrate NETs into existing energy systems. </w:t>
      </w:r>
      <w:r w:rsidR="005305D8" w:rsidRPr="00542393">
        <w:t xml:space="preserve">Energy systems models </w:t>
      </w:r>
      <w:r w:rsidR="00DF101A" w:rsidRPr="00542393">
        <w:t xml:space="preserve">may be </w:t>
      </w:r>
      <w:r w:rsidR="005305D8" w:rsidRPr="00542393">
        <w:t>use</w:t>
      </w:r>
      <w:r w:rsidR="00DF101A" w:rsidRPr="00542393">
        <w:t>d</w:t>
      </w:r>
      <w:r w:rsidR="005305D8" w:rsidRPr="00542393">
        <w:t xml:space="preserve"> </w:t>
      </w:r>
      <w:r w:rsidR="00C7656E" w:rsidRPr="00542393">
        <w:t xml:space="preserve">to integrate NETs </w:t>
      </w:r>
      <w:r w:rsidR="004E46B3" w:rsidRPr="00542393">
        <w:t>in</w:t>
      </w:r>
      <w:r w:rsidR="00DF101A" w:rsidRPr="00542393">
        <w:t>to</w:t>
      </w:r>
      <w:r w:rsidR="004E46B3" w:rsidRPr="00542393">
        <w:t xml:space="preserve"> energy systems </w:t>
      </w:r>
      <w:r w:rsidR="00DF101A" w:rsidRPr="00542393">
        <w:t xml:space="preserve">during the </w:t>
      </w:r>
      <w:r w:rsidR="004E46B3" w:rsidRPr="00542393">
        <w:t xml:space="preserve">transition </w:t>
      </w:r>
      <w:r w:rsidR="00BD40A9" w:rsidRPr="00542393">
        <w:t>to</w:t>
      </w:r>
      <w:r w:rsidR="00DF101A" w:rsidRPr="00542393">
        <w:t>ward</w:t>
      </w:r>
      <w:r w:rsidR="00BD40A9" w:rsidRPr="00542393">
        <w:t xml:space="preserve"> net-zero</w:t>
      </w:r>
      <w:r w:rsidR="00596195" w:rsidRPr="00542393">
        <w:t>,</w:t>
      </w:r>
      <w:r w:rsidR="00B96513" w:rsidRPr="00542393">
        <w:t xml:space="preserve"> </w:t>
      </w:r>
      <w:r w:rsidR="00B96513" w:rsidRPr="00542393">
        <w:lastRenderedPageBreak/>
        <w:fldChar w:fldCharType="begin" w:fldLock="1"/>
      </w:r>
      <w:r w:rsidR="00C65B18" w:rsidRPr="00542393">
        <w:instrText>ADDIN CSL_CITATION {"citationItems":[{"id":"ITEM-1","itemData":{"DOI":"10.1007/s40518-019-00142-3","ISSN":"21963010","abstract":"Purpose of Review: Integrated assessment model (IAM) scenarios consistent with Paris Agreement targets involve large negative emission technologies (NETs), mostly bioenergy with carbon capture and storage (BECCS). Such reliance on BECCS implies IAMs assign it a high value. Past analyses on the value of BECCS in IAMs have not explicitly addressed the role of model structure and assumptions as value drivers. This paper examines the extent to which the value of BECCS in IAMs is enhanced by model structure constraints and assumptions. Recent Findings: Predominant use of high discount rates (3.5–5%) means models opt for delayed-action strategies for emissions mitigation that lead to high levels of cumulative net-negative emissions, while lower discount rates lead to reduce reliance on NETs. Until recently in the literature, most models limited NET options to only BECCS and afforestation, but introduction of other CDR options can reduce BECCS deployment. Constraints on grid penetration of variable renewable energy (VRE) is a determining factor on the level of BECCS deployment across models, and more constrained grid penetration of VREs leads to more BECCS in electricity generation. Summary: This paper concludes BECCS derives significant value not only from the existing structure of IAMs but also from what is not represented in models and by predominant use of high discount rates. Omissions include NETs other than BECCS and deforestation, low-carbon innovation in end-use technologies, grid resilience to intermittent sources, and energy use in agriculture production. As IAMs increasingly endogenize such constraints, the value of BECCS in resulting scenarios is likely to be dampened.","author":[{"dropping-particle":"","family":"Köberle","given":"Alexandre C","non-dropping-particle":"","parse-names":false,"suffix":""}],"container-title":"Current Sustainable/Renewable Energy Reports","id":"ITEM-1","issue":"4","issued":{"date-parts":[["2019"]]},"page":"107-115","title":"The Value of BECCS in IAMs: a Review","type":"article-journal","volume":"6"},"uris":["http://www.mendeley.com/documents/?uuid=5d32610d-1f1c-3444-be7f-6b7fa3ef69c7"]}],"mendeley":{"formattedCitation":"(Köberle, 2019)","plainTextFormattedCitation":"(Köberle, 2019)","previouslyFormattedCitation":"(Köberle, 2019)"},"properties":{"noteIndex":0},"schema":"https://github.com/citation-style-language/schema/raw/master/csl-citation.json"}</w:instrText>
      </w:r>
      <w:r w:rsidR="00B96513" w:rsidRPr="00542393">
        <w:fldChar w:fldCharType="separate"/>
      </w:r>
      <w:r w:rsidR="00B96513" w:rsidRPr="00542393">
        <w:rPr>
          <w:noProof/>
        </w:rPr>
        <w:t>(Köberle, 2019)</w:t>
      </w:r>
      <w:r w:rsidR="00B96513" w:rsidRPr="00542393">
        <w:fldChar w:fldCharType="end"/>
      </w:r>
      <w:r w:rsidR="00B96513" w:rsidRPr="00542393">
        <w:t xml:space="preserve">. For example, </w:t>
      </w:r>
      <w:r w:rsidR="00621525" w:rsidRPr="00542393">
        <w:t xml:space="preserve">a linear program is used </w:t>
      </w:r>
      <w:r w:rsidR="000E5E70" w:rsidRPr="00542393">
        <w:t xml:space="preserve">to model </w:t>
      </w:r>
      <w:r w:rsidR="009D3ED2" w:rsidRPr="00542393">
        <w:t xml:space="preserve">the impact of </w:t>
      </w:r>
      <w:r w:rsidR="000E5E70" w:rsidRPr="00542393">
        <w:t xml:space="preserve">BECCS </w:t>
      </w:r>
      <w:r w:rsidR="00BB3B84" w:rsidRPr="00542393">
        <w:t>o</w:t>
      </w:r>
      <w:r w:rsidR="009D3ED2" w:rsidRPr="00542393">
        <w:t xml:space="preserve">n the </w:t>
      </w:r>
      <w:r w:rsidR="00E57193" w:rsidRPr="00542393">
        <w:t xml:space="preserve">global </w:t>
      </w:r>
      <w:r w:rsidR="009D3ED2" w:rsidRPr="00542393">
        <w:t xml:space="preserve">energy mix </w:t>
      </w:r>
      <w:r w:rsidR="00CC6053" w:rsidRPr="00542393">
        <w:t xml:space="preserve">by minimizing </w:t>
      </w:r>
      <w:r w:rsidR="00971BBA" w:rsidRPr="00542393">
        <w:t xml:space="preserve">the system cost while </w:t>
      </w:r>
      <w:r w:rsidR="00B73EE4" w:rsidRPr="00542393">
        <w:t xml:space="preserve">meeting technological and environmental constraints </w:t>
      </w:r>
      <w:r w:rsidR="00C65B18" w:rsidRPr="00542393">
        <w:fldChar w:fldCharType="begin" w:fldLock="1"/>
      </w:r>
      <w:r w:rsidR="00166C98" w:rsidRPr="00542393">
        <w:instrText>ADDIN CSL_CITATION {"citationItems":[{"id":"ITEM-1","itemData":{"DOI":"10.1016/j.energy.2014.09.014","ISSN":"03605442","abstract":"It seems increasingly likely that atmospheric greenhouse gas concentration will overshoot the recommended 450ppm CO2 equivalent target. Therefore, it may become necessary to use BECCS (bioenergy with carbon capture and storage) technologiesto remove CO2 from the atmosphere. This technique is gaining increasing attention as it offers the dual benefit of providing low-carbon energy products and leading to negative CO2 emissions. This study evaluates the possible deployment of BECCS in the power sector using the bottom-up multiregional optimization model TIAM-FR (TIMES Integrated Assessment Model France). Under two climate scenarios, a regional analysis is conducted to discuss where the technology will be developed. The impact of the unavailability of this technology on the structure of the electricity mix and the cost of the energy system completes the analysis. In line with literature, the results suggest that BECCS technology offers an environmentally and economically viable option to achieve stringent targets. The regional analysis shows that industrialized countries will develop CCS (carbon capture and storage) mainly on biomass power plants while CCS on fossil fuel power plants will be widely deployed in China. With a specific constraint on CCS diffusion, the share of renewables and nuclear energy becomes significant to meet the climate targets.","author":[{"dropping-particle":"","family":"Selosse","given":"Sandrine","non-dropping-particle":"","parse-names":false,"suffix":""},{"dropping-particle":"","family":"Ricci","given":"Olivia","non-dropping-particle":"","parse-names":false,"suffix":""}],"container-title":"Energy","id":"ITEM-1","issued":{"date-parts":[["2014","11","1"]]},"page":"967-975","publisher":"Elsevier Ltd","title":"Achieving negative emissions with BECCS (bioenergy with carbon capture and storage) in the power sector: New insights from the TIAM-FR (TIMES Integrated Assessment Model France) model","type":"article-journal","volume":"76"},"uris":["http://www.mendeley.com/documents/?uuid=14ca16b2-b6ca-3fcb-b36a-b2a76460d6bc"]}],"mendeley":{"formattedCitation":"(Selosse and Ricci, 2014)","plainTextFormattedCitation":"(Selosse and Ricci, 2014)","previouslyFormattedCitation":"(Selosse and Ricci, 2014)"},"properties":{"noteIndex":0},"schema":"https://github.com/citation-style-language/schema/raw/master/csl-citation.json"}</w:instrText>
      </w:r>
      <w:r w:rsidR="00C65B18" w:rsidRPr="00542393">
        <w:fldChar w:fldCharType="separate"/>
      </w:r>
      <w:r w:rsidR="00C65B18" w:rsidRPr="00542393">
        <w:rPr>
          <w:noProof/>
        </w:rPr>
        <w:t>(Selosse and Ricci, 2014)</w:t>
      </w:r>
      <w:r w:rsidR="00C65B18" w:rsidRPr="00542393">
        <w:fldChar w:fldCharType="end"/>
      </w:r>
      <w:r w:rsidR="00C65B18" w:rsidRPr="00542393">
        <w:t>.</w:t>
      </w:r>
      <w:r w:rsidR="0039513B" w:rsidRPr="00542393">
        <w:t xml:space="preserve"> Value chain optimization</w:t>
      </w:r>
      <w:r w:rsidR="00857B0C" w:rsidRPr="00542393">
        <w:t xml:space="preserve"> </w:t>
      </w:r>
      <w:r w:rsidR="002B475B" w:rsidRPr="00542393">
        <w:t xml:space="preserve">is also used to plan BECCS supply chains with existing energy systems. For example, </w:t>
      </w:r>
      <w:r w:rsidR="005941BD" w:rsidRPr="00542393">
        <w:t xml:space="preserve">a study </w:t>
      </w:r>
      <w:r w:rsidR="00A35D88" w:rsidRPr="00542393">
        <w:t xml:space="preserve">optimized </w:t>
      </w:r>
      <w:r w:rsidR="00552FAE" w:rsidRPr="00542393">
        <w:t>a BECCS supply chain</w:t>
      </w:r>
      <w:r w:rsidR="00084BE2" w:rsidRPr="00542393">
        <w:t xml:space="preserve"> starting</w:t>
      </w:r>
      <w:r w:rsidR="00552FAE" w:rsidRPr="00542393">
        <w:t xml:space="preserve"> from </w:t>
      </w:r>
      <w:r w:rsidR="00A35D88" w:rsidRPr="00542393">
        <w:t>cultivation</w:t>
      </w:r>
      <w:r w:rsidR="00552FAE" w:rsidRPr="00542393">
        <w:t>/sourcing</w:t>
      </w:r>
      <w:r w:rsidR="00FA22BF" w:rsidRPr="00542393">
        <w:t xml:space="preserve">, </w:t>
      </w:r>
      <w:r w:rsidR="00084BE2" w:rsidRPr="00542393">
        <w:t xml:space="preserve">to </w:t>
      </w:r>
      <w:r w:rsidR="00FA22BF" w:rsidRPr="00542393">
        <w:t>processing, transport</w:t>
      </w:r>
      <w:r w:rsidR="00552FAE" w:rsidRPr="00542393">
        <w:t xml:space="preserve">, and energy conversion with </w:t>
      </w:r>
      <w:r w:rsidR="008D5B1C" w:rsidRPr="00542393">
        <w:t>carbon capture and storage</w:t>
      </w:r>
      <w:r w:rsidR="009C68EE" w:rsidRPr="00542393">
        <w:t xml:space="preserve"> (CCS)</w:t>
      </w:r>
      <w:r w:rsidR="008D5B1C" w:rsidRPr="00542393">
        <w:t xml:space="preserve"> </w:t>
      </w:r>
      <w:r w:rsidR="00A65358" w:rsidRPr="00542393">
        <w:t xml:space="preserve">using mathematical programming </w:t>
      </w:r>
      <w:r w:rsidR="006852C2" w:rsidRPr="00542393">
        <w:fldChar w:fldCharType="begin" w:fldLock="1"/>
      </w:r>
      <w:r w:rsidR="004A5592" w:rsidRPr="00542393">
        <w:instrText>ADDIN CSL_CITATION {"citationItems":[{"id":"ITEM-1","itemData":{"DOI":"10.1039/c7ee00465f","ISSN":"17545706","abstract":"Negative emissions technologies (NETs) in general and bioenergy with CO2 capture and storage (BECCS) in particular are commonly regarded as vital yet controversial to meeting our climate goals. In this contribution we present a whole-systems analysis of the BECCS value chain associated with cultivation, harvesting, transport and conversion in dedicated biomass power stations in conjunction with CCS, of a range of biomass resources-both dedicated energy crops (miscanthus, switchgrass, short rotation coppice willow), and agricultural residues (wheat straw). We explicitly consider the implications of sourcing the biomass from different regions, climates and land types. The water, carbon and energy footprints of each value chain were calculated, and their impact on the overall system water, carbon and power efficiencies was evaluated. An extensive literature review was performed and a statistical analysis of the available data is presented. In order to describe the dynamic greenhouse gas balance of such a system, a yearly accounting of the emissions was performed over the lifetime of a BECCS facility, and the carbon \"breakeven time\" and lifetime net CO2 removal from the atmosphere were determined. The effects of direct and indirect land use change were included, and were found to be a key determinant of the viability of a BECCS project. Overall we conclude that, depending on the conditions of its deployment, BECCS could lead to both carbon positive and negative results. The total quantity of CO2 removed from the atmosphere over the project lifetime and the carbon breakeven time were observed to be highly case specific. This has profound implications for the policy frameworks required to incentivise and regulate the widespread deployment of BECCS technology. The results of a sensitivity analysis on the model combined with the investigation of alternate supply chain scenarios elucidated key levers to improve the sustainability of BECCS: (1) measuring and limiting the impacts of direct and indirect land use change, (2) using carbon neutral power and organic fertilizer, (3) minimising biomass transport, and prioritising sea over road transport, (4) maximising the use of carbon negative fuels, and (5) exploiting alternative biomass processing options, e.g., natural drying or torrefaction. A key conclusion is that, regardless of the biomass and region studied, the sustainability of BECCS relies heavily on intelligent management of the supply chain.","author":[{"dropping-particle":"","family":"Fajardy","given":"Mathilde","non-dropping-particle":"","parse-names":false,"suffix":""},{"dropping-particle":"","family":"Dowell","given":"Niall","non-dropping-particle":"Mac","parse-names":false,"suffix":""}],"container-title":"Energy and Environmental Science","id":"ITEM-1","issue":"6","issued":{"date-parts":[["2017"]]},"note":"This is a comprehensive study on BECCS sustainability considering different regions, crops, and a long lifespan. The conclusion is that BECCS impact is very variable and depends on the choices made in the supply chain. A case to case anaysis on BECCS sustainability should be made. In addition, author recommended points how to make BECC sustainable. Author also evaluated BECCS land, water, energy and nutrient footprints compared with literature---which I used in the model\n\n\nrequire multi national biomass supply chain\n\nland conversion factors\n\ncarbon playback time or carbon breakeven time","page":"1389-1426","publisher":"Royal Society of Chemistry","title":"Can BECCS deliver sustainable and resource efficient negative emissions?","type":"article-journal","volume":"10"},"uris":["http://www.mendeley.com/documents/?uuid=db48254f-9d3e-4d6e-874b-697a14dbc8c1"]}],"mendeley":{"formattedCitation":"(Fajardy and Mac Dowell, 2017)","plainTextFormattedCitation":"(Fajardy and Mac Dowell, 2017)","previouslyFormattedCitation":"(Fajardy and Mac Dowell, 2017)"},"properties":{"noteIndex":0},"schema":"https://github.com/citation-style-language/schema/raw/master/csl-citation.json"}</w:instrText>
      </w:r>
      <w:r w:rsidR="006852C2" w:rsidRPr="00542393">
        <w:fldChar w:fldCharType="separate"/>
      </w:r>
      <w:r w:rsidR="006852C2" w:rsidRPr="00542393">
        <w:rPr>
          <w:noProof/>
        </w:rPr>
        <w:t>(Fajardy and Mac Dowell, 2017)</w:t>
      </w:r>
      <w:r w:rsidR="006852C2" w:rsidRPr="00542393">
        <w:fldChar w:fldCharType="end"/>
      </w:r>
      <w:r w:rsidR="006852C2" w:rsidRPr="00542393">
        <w:t xml:space="preserve">. </w:t>
      </w:r>
      <w:r w:rsidR="000E1959" w:rsidRPr="00542393">
        <w:t xml:space="preserve">Mathematical programs were also used </w:t>
      </w:r>
      <w:r w:rsidR="001861A2" w:rsidRPr="00542393">
        <w:t>in another study to achieve negative emissions target</w:t>
      </w:r>
      <w:r w:rsidR="00205DCD" w:rsidRPr="00542393">
        <w:t>s</w:t>
      </w:r>
      <w:r w:rsidR="001861A2" w:rsidRPr="00542393">
        <w:t xml:space="preserve"> through NET</w:t>
      </w:r>
      <w:r w:rsidR="00263C7D" w:rsidRPr="00542393">
        <w:t>s</w:t>
      </w:r>
      <w:r w:rsidR="001861A2" w:rsidRPr="00542393">
        <w:t xml:space="preserve"> portfolios</w:t>
      </w:r>
      <w:r w:rsidR="00824931" w:rsidRPr="00542393">
        <w:t xml:space="preserve"> </w:t>
      </w:r>
      <w:r w:rsidR="00D7033F" w:rsidRPr="00542393">
        <w:t xml:space="preserve">considering environmental footprints and synergistic interactions </w:t>
      </w:r>
      <w:r w:rsidR="00205DCD" w:rsidRPr="00542393">
        <w:fldChar w:fldCharType="begin" w:fldLock="1"/>
      </w:r>
      <w:r w:rsidR="006852C2" w:rsidRPr="00542393">
        <w:instrText>ADDIN CSL_CITATION {"citationItems":[{"id":"ITEM-1","itemData":{"DOI":"10.1016/J.CLET.2022.100507","ISSN":"2666-7908","author":[{"dropping-particle":"","family":"Migo-Sumagang","given":"Maria Victoria","non-dropping-particle":"","parse-names":false,"suffix":""},{"dropping-particle":"","family":"Tan","given":"Raymond R.","non-dropping-particle":"","parse-names":false,"suffix":""},{"dropping-particle":"","family":"Tapia","given":"John Frederick D.","non-dropping-particle":"","parse-names":false,"suffix":""},{"dropping-particle":"","family":"Aviso","given":"Kathleen B.","non-dropping-particle":"","parse-names":false,"suffix":""}],"container-title":"Cleaner Engineering and Technology","id":"ITEM-1","issued":{"date-parts":[["2022","8","1"]]},"page":"100507","publisher":"Elsevier","title":"Fuzzy mixed-integer linear and quadratic programming models for planning negative emissions technologies portfolios with synergistic interactions","type":"article-journal","volume":"9"},"uris":["http://www.mendeley.com/documents/?uuid=af098d1a-3020-3ed5-9b36-15a081c35c9a"]}],"mendeley":{"formattedCitation":"(Migo-Sumagang et al., 2022)","plainTextFormattedCitation":"(Migo-Sumagang et al., 2022)","previouslyFormattedCitation":"(Migo-Sumagang et al., 2022)"},"properties":{"noteIndex":0},"schema":"https://github.com/citation-style-language/schema/raw/master/csl-citation.json"}</w:instrText>
      </w:r>
      <w:r w:rsidR="00205DCD" w:rsidRPr="00542393">
        <w:fldChar w:fldCharType="separate"/>
      </w:r>
      <w:r w:rsidR="00205DCD" w:rsidRPr="00542393">
        <w:rPr>
          <w:noProof/>
        </w:rPr>
        <w:t>(Migo-Sumagang et al., 2022)</w:t>
      </w:r>
      <w:r w:rsidR="00205DCD" w:rsidRPr="00542393">
        <w:fldChar w:fldCharType="end"/>
      </w:r>
      <w:r w:rsidR="00205DCD" w:rsidRPr="00542393">
        <w:t>.</w:t>
      </w:r>
    </w:p>
    <w:p w14:paraId="2759AF46" w14:textId="751DB529" w:rsidR="00DD208E" w:rsidRPr="00542393" w:rsidRDefault="0054493F" w:rsidP="00FB463B">
      <w:pPr>
        <w:pStyle w:val="CETBodytext"/>
      </w:pPr>
      <w:r w:rsidRPr="00542393">
        <w:t>While mathematical programming</w:t>
      </w:r>
      <w:r w:rsidR="001158B5" w:rsidRPr="00542393">
        <w:t xml:space="preserve"> approaches</w:t>
      </w:r>
      <w:r w:rsidRPr="00542393">
        <w:t xml:space="preserve"> </w:t>
      </w:r>
      <w:r w:rsidR="00676F0F" w:rsidRPr="00542393">
        <w:t xml:space="preserve">have </w:t>
      </w:r>
      <w:r w:rsidR="00B93481" w:rsidRPr="00542393">
        <w:t>the</w:t>
      </w:r>
      <w:r w:rsidR="00676F0F" w:rsidRPr="00542393">
        <w:t xml:space="preserve"> advantage of handling large, complex problems with great detail, </w:t>
      </w:r>
      <w:r w:rsidR="0091750A" w:rsidRPr="00542393">
        <w:t>graphical solutions provide</w:t>
      </w:r>
      <w:r w:rsidR="00261488" w:rsidRPr="00542393">
        <w:t xml:space="preserve"> a</w:t>
      </w:r>
      <w:r w:rsidR="0091750A" w:rsidRPr="00542393">
        <w:t xml:space="preserve"> simple and easy visualization that is advantageous in the first steps of decision</w:t>
      </w:r>
      <w:r w:rsidR="00B93481" w:rsidRPr="00542393">
        <w:t>-</w:t>
      </w:r>
      <w:r w:rsidR="0091750A" w:rsidRPr="00542393">
        <w:t>making</w:t>
      </w:r>
      <w:r w:rsidR="001158B5" w:rsidRPr="00542393">
        <w:t xml:space="preserve"> </w:t>
      </w:r>
      <w:r w:rsidR="001158B5" w:rsidRPr="00542393">
        <w:fldChar w:fldCharType="begin" w:fldLock="1"/>
      </w:r>
      <w:r w:rsidR="00205DCD" w:rsidRPr="00542393">
        <w:instrText>ADDIN CSL_CITATION {"citationItems":[{"id":"ITEM-1","itemData":{"DOI":"10.1016/j.cherd.2013.08.019","ISSN":"02638762","abstract":"•Process Integration has been a leap forward in the development of resource conservation and emission reduction.•Crucial advantage: the conceptual clarity and insight delivered to the practicing engineers.•Combining with the power of MP has made Process Integration even more robust and powerful in solving large-scale problems.•Process Integration still needs further development of computational tools and standards. Process Integration supporting process design, integration and optimisation has been around for more than 40 years. Its development has been closely related to developing the Chemical Engineering, implementation of mathematical modelling and the application of information technology. Its development has been accelerating as the methodology has been able to provide answers and support for important issues regarding economic development-energy, water and resources better utilisation and savings. This contribution is targeted towards a short overview of recent achievements and future challenges. © 2013 The Institution of Chemical Engineers.","author":[{"dropping-particle":"","family":"Klemeš","given":"Jiří Jaromír","non-dropping-particle":"","parse-names":false,"suffix":""},{"dropping-particle":"","family":"Varbanov","given":"Petar Sabev","non-dropping-particle":"","parse-names":false,"suffix":""},{"dropping-particle":"","family":"Kravanja","given":"Zdravko","non-dropping-particle":"","parse-names":false,"suffix":""}],"container-title":"Chemical Engineering Research and Design","id":"ITEM-1","issue":"10","issued":{"date-parts":[["2013"]]},"note":"Article discussed recent development in Process Integration. Focusing on Pinch based and MP","page":"2037-2053","title":"Recent developments in Process Integration","type":"article-journal","volume":"91"},"uris":["http://www.mendeley.com/documents/?uuid=f12f9bb5-3bb6-49af-945c-bca79655b959"]}],"mendeley":{"formattedCitation":"(Klemeš et al., 2013)","plainTextFormattedCitation":"(Klemeš et al., 2013)","previouslyFormattedCitation":"(Klemeš et al., 2013)"},"properties":{"noteIndex":0},"schema":"https://github.com/citation-style-language/schema/raw/master/csl-citation.json"}</w:instrText>
      </w:r>
      <w:r w:rsidR="001158B5" w:rsidRPr="00542393">
        <w:fldChar w:fldCharType="separate"/>
      </w:r>
      <w:r w:rsidR="001158B5" w:rsidRPr="00542393">
        <w:rPr>
          <w:noProof/>
        </w:rPr>
        <w:t>(Klemeš et al., 2013)</w:t>
      </w:r>
      <w:r w:rsidR="001158B5" w:rsidRPr="00542393">
        <w:fldChar w:fldCharType="end"/>
      </w:r>
      <w:r w:rsidR="001158B5" w:rsidRPr="00542393">
        <w:t>.</w:t>
      </w:r>
      <w:r w:rsidR="00ED4C1D" w:rsidRPr="00542393">
        <w:t xml:space="preserve"> Studies using graphical techniques </w:t>
      </w:r>
      <w:r w:rsidR="003113E1" w:rsidRPr="00542393">
        <w:t xml:space="preserve">to plan NETs with energy systems and/or emissions reduction measures are available in </w:t>
      </w:r>
      <w:r w:rsidR="000404A2" w:rsidRPr="00542393">
        <w:t xml:space="preserve">the </w:t>
      </w:r>
      <w:r w:rsidR="003113E1" w:rsidRPr="00542393">
        <w:t xml:space="preserve">literature. </w:t>
      </w:r>
      <w:r w:rsidR="00884EEB" w:rsidRPr="00542393">
        <w:t>Pinch Analysis (PA)</w:t>
      </w:r>
      <w:r w:rsidR="00E10DAE" w:rsidRPr="00542393">
        <w:t xml:space="preserve"> </w:t>
      </w:r>
      <w:r w:rsidR="00884EEB" w:rsidRPr="00542393">
        <w:t xml:space="preserve">has been used </w:t>
      </w:r>
      <w:r w:rsidR="00C267DB" w:rsidRPr="00542393">
        <w:t xml:space="preserve">to </w:t>
      </w:r>
      <w:r w:rsidR="00E1035E" w:rsidRPr="00542393">
        <w:t>plan NETs with existing energy systems using renewables and fossil fuels</w:t>
      </w:r>
      <w:r w:rsidR="00F65C85" w:rsidRPr="00542393">
        <w:t xml:space="preserve">, </w:t>
      </w:r>
      <w:r w:rsidR="00EC4019" w:rsidRPr="00542393">
        <w:t xml:space="preserve">to </w:t>
      </w:r>
      <w:r w:rsidR="00F65C85" w:rsidRPr="00542393">
        <w:t>determin</w:t>
      </w:r>
      <w:r w:rsidR="00EC4019" w:rsidRPr="00542393">
        <w:t>e</w:t>
      </w:r>
      <w:r w:rsidR="00F65C85" w:rsidRPr="00542393">
        <w:t xml:space="preserve"> the</w:t>
      </w:r>
      <w:r w:rsidR="00D10E9B" w:rsidRPr="00542393">
        <w:t xml:space="preserve"> minimum</w:t>
      </w:r>
      <w:r w:rsidR="00F65C85" w:rsidRPr="00542393">
        <w:t xml:space="preserve"> negative emissions required</w:t>
      </w:r>
      <w:r w:rsidR="00E1035E" w:rsidRPr="00542393">
        <w:t xml:space="preserve"> </w:t>
      </w:r>
      <w:r w:rsidR="004A5592" w:rsidRPr="00542393">
        <w:fldChar w:fldCharType="begin" w:fldLock="1"/>
      </w:r>
      <w:r w:rsidR="00B56D84" w:rsidRPr="00542393">
        <w:instrText>ADDIN CSL_CITATION {"citationItems":[{"id":"ITEM-1","itemData":{"DOI":"10.1021/acs.iecr.0c03817","ISSN":"15205045","abstract":"It is critical to limit global warming to 1.5 °C by the year 2100 to minimize catastrophic impacts. The increased integration of renewable energy, alongside CO2 capture and storage (CCS) deployment in energy planning, remains as a key mitigation technique in minimizing climate change impacts. Although renewable energy generation approaches the ideal of a carbon-neutral system, other processes such as fossil fuel-based generation, manufacturing, and transportation are net-carbon positive. Additionally, renewable energy poses challenges such as its sensitivity to environmental conditions, geographical location, and seasonal changes. On the other hand, CCS entails a high capital expenditure, as well as additional operating costs due to parasitic power loss. Therefore, the deployment of negative emission technologies (NETs) as a carbon management option is imperative. The generation of electricity from power plants with the installation of NETs can offset positive emissions from elsewhere in a system. This paper presents an extended graphical technique for the incorporation of NETs during energy planning. The graphical technique that was originally developed for the planning of CCS deployment in power plants is now extended to determine the minimum NET requirement during energy planning. Three examples are solved to illustrate the methodology of the extended graphical technique in determining the minimum NET requirement during energy planning.","author":[{"dropping-particle":"","family":"Nair","given":"Purusothmn Nair S.Bhasker","non-dropping-particle":"","parse-names":false,"suffix":""},{"dropping-particle":"","family":"Tan","given":"Raymond R.","non-dropping-particle":"","parse-names":false,"suffix":""},{"dropping-particle":"","family":"Foo","given":"Dominic C.Y.","non-dropping-particle":"","parse-names":false,"suffix":""}],"container-title":"Industrial and Engineering Chemistry Research","id":"ITEM-1","issue":"42","issued":{"date-parts":[["2020","10","21"]]},"page":"18977-18990","publisher":"American Chemical Society","title":"Extended Graphical Approach for the Deployment of Negative Emission Technologies","type":"article-journal","volume":"59"},"uris":["http://www.mendeley.com/documents/?uuid=22fcba0a-289e-302a-87a1-66ff7d957274"]}],"mendeley":{"formattedCitation":"(Nair et al., 2020)","plainTextFormattedCitation":"(Nair et al., 2020)","previouslyFormattedCitation":"(Nair et al., 2020)"},"properties":{"noteIndex":0},"schema":"https://github.com/citation-style-language/schema/raw/master/csl-citation.json"}</w:instrText>
      </w:r>
      <w:r w:rsidR="004A5592" w:rsidRPr="00542393">
        <w:fldChar w:fldCharType="separate"/>
      </w:r>
      <w:r w:rsidR="004A5592" w:rsidRPr="00542393">
        <w:rPr>
          <w:noProof/>
        </w:rPr>
        <w:t>(Nair et al., 2020)</w:t>
      </w:r>
      <w:r w:rsidR="004A5592" w:rsidRPr="00542393">
        <w:fldChar w:fldCharType="end"/>
      </w:r>
      <w:r w:rsidR="004A5592" w:rsidRPr="00542393">
        <w:t xml:space="preserve">. </w:t>
      </w:r>
    </w:p>
    <w:p w14:paraId="70EB75D2" w14:textId="4567D6E0" w:rsidR="00C31D6C" w:rsidRPr="00542393" w:rsidRDefault="004351A7" w:rsidP="00FB463B">
      <w:pPr>
        <w:pStyle w:val="CETBodytext"/>
      </w:pPr>
      <w:r w:rsidRPr="00542393">
        <w:t xml:space="preserve">Another graphical approach is the </w:t>
      </w:r>
      <w:r w:rsidRPr="00542393">
        <w:rPr>
          <w:i/>
          <w:iCs/>
        </w:rPr>
        <w:t>minimum abatement cost</w:t>
      </w:r>
      <w:r w:rsidRPr="00542393">
        <w:t xml:space="preserve"> (MAC) curve </w:t>
      </w:r>
      <w:r w:rsidR="005E13D1" w:rsidRPr="00542393">
        <w:t xml:space="preserve">which originated </w:t>
      </w:r>
      <w:r w:rsidR="007B4FE5" w:rsidRPr="00542393">
        <w:t xml:space="preserve">from </w:t>
      </w:r>
      <w:r w:rsidR="00F64489" w:rsidRPr="00542393">
        <w:t>energy conservation</w:t>
      </w:r>
      <w:r w:rsidR="00763E78" w:rsidRPr="00542393">
        <w:t xml:space="preserve"> supply curves </w:t>
      </w:r>
      <w:r w:rsidR="00B56D84" w:rsidRPr="00542393">
        <w:fldChar w:fldCharType="begin" w:fldLock="1"/>
      </w:r>
      <w:r w:rsidR="0057028A" w:rsidRPr="00542393">
        <w:instrText>ADDIN CSL_CITATION {"citationItems":[{"id":"ITEM-1","itemData":{"DOI":"10.1016/0360-5442(82)90094-9","ISSN":"0360-5442","abstract":"A new method of presenting the potential for conservation is discussed. Supply curves of conserved energy provide a consistent accounting framework for assessing diverse conservation measures. They also permit simple comparison of conservation measures among themselves and with conventional energy supplies. The technique is applied to California's residential sector and illustrative policy conclusions are presented. Roughly 34% of the natural gas and 25% of the electricity used by the residential sector could be saved at costs of conserved energy below current marginal prices. © 1982.","author":[{"dropping-particle":"","family":"Meier","given":"Alan","non-dropping-particle":"","parse-names":false,"suffix":""},{"dropping-particle":"","family":"Rosenfeld","given":"Arthur H.","non-dropping-particle":"","parse-names":false,"suffix":""},{"dropping-particle":"","family":"Wright","given":"Janice","non-dropping-particle":"","parse-names":false,"suffix":""}],"container-title":"Energy","id":"ITEM-1","issue":"4","issued":{"date-parts":[["1982","4","1"]]},"page":"347-358","publisher":"Pergamon","title":"Supply curves of conserved energy for California's residential sector","type":"article-journal","volume":"7"},"uris":["http://www.mendeley.com/documents/?uuid=a1abcb7a-6ebd-3d79-9e19-26907a86f4ca"]}],"mendeley":{"formattedCitation":"(Meier et al., 1982)","plainTextFormattedCitation":"(Meier et al., 1982)","previouslyFormattedCitation":"(Meier et al., 1982)"},"properties":{"noteIndex":0},"schema":"https://github.com/citation-style-language/schema/raw/master/csl-citation.json"}</w:instrText>
      </w:r>
      <w:r w:rsidR="00B56D84" w:rsidRPr="00542393">
        <w:fldChar w:fldCharType="separate"/>
      </w:r>
      <w:r w:rsidR="00B56D84" w:rsidRPr="00542393">
        <w:rPr>
          <w:noProof/>
        </w:rPr>
        <w:t>(Meier et al., 1982)</w:t>
      </w:r>
      <w:r w:rsidR="00B56D84" w:rsidRPr="00542393">
        <w:fldChar w:fldCharType="end"/>
      </w:r>
      <w:r w:rsidR="00B56D84" w:rsidRPr="00542393">
        <w:t xml:space="preserve"> and </w:t>
      </w:r>
      <w:r w:rsidR="00B93481" w:rsidRPr="00542393">
        <w:t>was</w:t>
      </w:r>
      <w:r w:rsidR="00B56D84" w:rsidRPr="00542393">
        <w:t xml:space="preserve"> </w:t>
      </w:r>
      <w:r w:rsidR="00A4519A" w:rsidRPr="00542393">
        <w:t xml:space="preserve">more recently </w:t>
      </w:r>
      <w:r w:rsidR="00B56D84" w:rsidRPr="00542393">
        <w:t xml:space="preserve">popularized </w:t>
      </w:r>
      <w:r w:rsidR="00F73B9D" w:rsidRPr="00542393">
        <w:t xml:space="preserve">to determine the cost-effective emissions reduction measures to mitigate climate change </w:t>
      </w:r>
      <w:r w:rsidR="0057028A" w:rsidRPr="00542393">
        <w:fldChar w:fldCharType="begin" w:fldLock="1"/>
      </w:r>
      <w:r w:rsidR="007E6581" w:rsidRPr="00542393">
        <w:instrText>ADDIN CSL_CITATION {"citationItems":[{"id":"ITEM-1","itemData":{"URL":"https://www.mckinsey.com/business-functions/sustainability/our-insights/a-cost-curve-for-greenhouse-gas-reduction","accessed":{"date-parts":[["2022","3","21"]]},"author":[{"dropping-particle":"","family":"Enkvist","given":"Per-Anders","non-dropping-particle":"","parse-names":false,"suffix":""},{"dropping-particle":"","family":"Nauclér","given":"Tomas","non-dropping-particle":"","parse-names":false,"suffix":""},{"dropping-particle":"","family":"Rosander","given":"Jerker","non-dropping-particle":"","parse-names":false,"suffix":""}],"container-title":"Mckinsey","id":"ITEM-1","issued":{"date-parts":[["2007","2","1"]]},"page":"1-34","title":"A cost curve for greenhouse gas reduction","type":"webpage"},"uris":["http://www.mendeley.com/documents/?uuid=761d1c18-2f29-3c0a-ac4b-e1adee16e93f"]}],"mendeley":{"formattedCitation":"(Enkvist et al., 2007)","plainTextFormattedCitation":"(Enkvist et al., 2007)","previouslyFormattedCitation":"(Enkvist et al., 2007)"},"properties":{"noteIndex":0},"schema":"https://github.com/citation-style-language/schema/raw/master/csl-citation.json"}</w:instrText>
      </w:r>
      <w:r w:rsidR="0057028A" w:rsidRPr="00542393">
        <w:fldChar w:fldCharType="separate"/>
      </w:r>
      <w:r w:rsidR="0057028A" w:rsidRPr="00542393">
        <w:rPr>
          <w:noProof/>
        </w:rPr>
        <w:t>(Enkvist et al., 2007)</w:t>
      </w:r>
      <w:r w:rsidR="0057028A" w:rsidRPr="00542393">
        <w:fldChar w:fldCharType="end"/>
      </w:r>
      <w:r w:rsidR="00A4519A" w:rsidRPr="00542393">
        <w:t xml:space="preserve">. </w:t>
      </w:r>
      <w:r w:rsidR="007214FB" w:rsidRPr="00542393">
        <w:t xml:space="preserve">In a MAC vs cumulative </w:t>
      </w:r>
      <w:r w:rsidR="00375622" w:rsidRPr="00542393">
        <w:t>CO</w:t>
      </w:r>
      <w:r w:rsidR="00375622" w:rsidRPr="00542393">
        <w:rPr>
          <w:vertAlign w:val="subscript"/>
        </w:rPr>
        <w:t>2</w:t>
      </w:r>
      <w:r w:rsidR="00375622" w:rsidRPr="00542393">
        <w:t xml:space="preserve"> </w:t>
      </w:r>
      <w:r w:rsidR="007214FB" w:rsidRPr="00542393">
        <w:t xml:space="preserve">emissions reduction graph, the </w:t>
      </w:r>
      <w:r w:rsidR="00A4519A" w:rsidRPr="00542393">
        <w:t xml:space="preserve">emissions reduction measures </w:t>
      </w:r>
      <w:r w:rsidR="007214FB" w:rsidRPr="00542393">
        <w:t xml:space="preserve">are arranged </w:t>
      </w:r>
      <w:r w:rsidR="00A4519A" w:rsidRPr="00542393">
        <w:t xml:space="preserve">by increasing </w:t>
      </w:r>
      <w:r w:rsidR="00467711" w:rsidRPr="00542393">
        <w:t xml:space="preserve">MAC so that the most cost-effective solutions </w:t>
      </w:r>
      <w:r w:rsidR="00D274DD" w:rsidRPr="00542393">
        <w:t xml:space="preserve">can easily be determined visually. </w:t>
      </w:r>
      <w:r w:rsidR="00894A83" w:rsidRPr="00542393">
        <w:t xml:space="preserve">The MAC curve </w:t>
      </w:r>
      <w:r w:rsidR="00D274DD" w:rsidRPr="00542393">
        <w:t>ha</w:t>
      </w:r>
      <w:r w:rsidR="00894A83" w:rsidRPr="00542393">
        <w:t>s</w:t>
      </w:r>
      <w:r w:rsidR="00D274DD" w:rsidRPr="00542393">
        <w:t xml:space="preserve"> </w:t>
      </w:r>
      <w:r w:rsidR="00894A83" w:rsidRPr="00542393">
        <w:t xml:space="preserve">recently </w:t>
      </w:r>
      <w:r w:rsidR="00D274DD" w:rsidRPr="00542393">
        <w:t xml:space="preserve">been </w:t>
      </w:r>
      <w:r w:rsidR="00375622" w:rsidRPr="00542393">
        <w:t xml:space="preserve">extended </w:t>
      </w:r>
      <w:r w:rsidR="00222BAA" w:rsidRPr="00542393">
        <w:t xml:space="preserve">to include an algebraic targeting </w:t>
      </w:r>
      <w:r w:rsidR="00B52DEC" w:rsidRPr="00542393">
        <w:t>method</w:t>
      </w:r>
      <w:r w:rsidR="00222BAA" w:rsidRPr="00542393">
        <w:t xml:space="preserve"> while determining the minimum MAC (mini-MAC) of </w:t>
      </w:r>
      <w:r w:rsidR="00F97EAB" w:rsidRPr="00542393">
        <w:t xml:space="preserve">matched </w:t>
      </w:r>
      <w:r w:rsidR="00C13701" w:rsidRPr="00542393">
        <w:t>CO</w:t>
      </w:r>
      <w:r w:rsidR="00C13701" w:rsidRPr="00542393">
        <w:rPr>
          <w:vertAlign w:val="subscript"/>
        </w:rPr>
        <w:t>2</w:t>
      </w:r>
      <w:r w:rsidR="00C13701" w:rsidRPr="00542393">
        <w:t xml:space="preserve"> emissions sources and sinks </w:t>
      </w:r>
      <w:r w:rsidR="00C13701" w:rsidRPr="00542393">
        <w:fldChar w:fldCharType="begin" w:fldLock="1"/>
      </w:r>
      <w:r w:rsidR="00166C98"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2022)","plainTextFormattedCitation":"(Lameh et al., 2022)","previouslyFormattedCitation":"(Lameh et al., 2022)"},"properties":{"noteIndex":0},"schema":"https://github.com/citation-style-language/schema/raw/master/csl-citation.json"}</w:instrText>
      </w:r>
      <w:r w:rsidR="00C13701" w:rsidRPr="00542393">
        <w:fldChar w:fldCharType="separate"/>
      </w:r>
      <w:r w:rsidR="00C13701" w:rsidRPr="00542393">
        <w:rPr>
          <w:noProof/>
        </w:rPr>
        <w:t>(Lameh et al., 2022)</w:t>
      </w:r>
      <w:r w:rsidR="00C13701" w:rsidRPr="00542393">
        <w:fldChar w:fldCharType="end"/>
      </w:r>
      <w:r w:rsidR="00C13701" w:rsidRPr="00542393">
        <w:t xml:space="preserve">. It has been demonstrated </w:t>
      </w:r>
      <w:r w:rsidR="00EA0702" w:rsidRPr="00542393">
        <w:t>in</w:t>
      </w:r>
      <w:r w:rsidR="00375622" w:rsidRPr="00542393">
        <w:t xml:space="preserve"> CO</w:t>
      </w:r>
      <w:r w:rsidR="00375622" w:rsidRPr="00542393">
        <w:rPr>
          <w:vertAlign w:val="subscript"/>
        </w:rPr>
        <w:t>2</w:t>
      </w:r>
      <w:r w:rsidR="00EA0702" w:rsidRPr="00542393">
        <w:t xml:space="preserve"> capture</w:t>
      </w:r>
      <w:r w:rsidR="00375622" w:rsidRPr="00542393">
        <w:t xml:space="preserve">, </w:t>
      </w:r>
      <w:r w:rsidR="00EA0702" w:rsidRPr="00542393">
        <w:t>utilization</w:t>
      </w:r>
      <w:r w:rsidR="00375622" w:rsidRPr="00542393">
        <w:t xml:space="preserve">, and storage (CCUS), energy </w:t>
      </w:r>
      <w:r w:rsidR="007E6581" w:rsidRPr="00542393">
        <w:t xml:space="preserve">mix </w:t>
      </w:r>
      <w:r w:rsidR="00375622" w:rsidRPr="00542393">
        <w:t>planning, as well as NETs planning</w:t>
      </w:r>
      <w:r w:rsidR="007E6581" w:rsidRPr="00542393">
        <w:t xml:space="preserve"> </w:t>
      </w:r>
      <w:r w:rsidR="007E6581" w:rsidRPr="00542393">
        <w:fldChar w:fldCharType="begin" w:fldLock="1"/>
      </w:r>
      <w:r w:rsidR="00166C98"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2022)","plainTextFormattedCitation":"(Lameh et al., 2022)","previouslyFormattedCitation":"(Lameh et al., 2022)"},"properties":{"noteIndex":0},"schema":"https://github.com/citation-style-language/schema/raw/master/csl-citation.json"}</w:instrText>
      </w:r>
      <w:r w:rsidR="007E6581" w:rsidRPr="00542393">
        <w:fldChar w:fldCharType="separate"/>
      </w:r>
      <w:r w:rsidR="007E6581" w:rsidRPr="00542393">
        <w:rPr>
          <w:noProof/>
        </w:rPr>
        <w:t>(Lameh et al., 2022)</w:t>
      </w:r>
      <w:r w:rsidR="007E6581" w:rsidRPr="00542393">
        <w:fldChar w:fldCharType="end"/>
      </w:r>
      <w:r w:rsidR="00375622" w:rsidRPr="00542393">
        <w:t>.</w:t>
      </w:r>
      <w:r w:rsidR="00525F4C" w:rsidRPr="00542393">
        <w:t xml:space="preserve"> </w:t>
      </w:r>
    </w:p>
    <w:p w14:paraId="41C99734" w14:textId="3078933B" w:rsidR="007F397A" w:rsidRPr="00542393" w:rsidRDefault="007F397A" w:rsidP="00FB463B">
      <w:pPr>
        <w:pStyle w:val="CETBodytext"/>
      </w:pPr>
      <w:r w:rsidRPr="00542393">
        <w:t>MAC curves are logically analogous to WaterPinch™ developed by Dhole et al. (1996) for water integration problems. The limitations of this approach were subsequently pointed out by Hallale (2002). The latter work also proposed an improved methodology using the areas enclosed by the composite curves. This technique was shown to be able to identify the correct optimal solutions in quality-constrained source-sink allocation problems. An alternative method was then developed by El-Halwagi et al. (2003) for resource conservation networks using dynamic programming to provide rigorous proof of optimality. The latter approach was used by Foo (2017) for optimizing carbon management portfolios.</w:t>
      </w:r>
    </w:p>
    <w:p w14:paraId="29E1F70D" w14:textId="26F41938" w:rsidR="00CD4C3E" w:rsidRPr="00542393" w:rsidRDefault="007A5FF0" w:rsidP="00FB463B">
      <w:pPr>
        <w:pStyle w:val="CETBodytext"/>
      </w:pPr>
      <w:r w:rsidRPr="00542393">
        <w:t xml:space="preserve">Aside from </w:t>
      </w:r>
      <w:r w:rsidR="00C31D6C" w:rsidRPr="00542393">
        <w:t>the PA</w:t>
      </w:r>
      <w:r w:rsidRPr="00542393">
        <w:t xml:space="preserve">, </w:t>
      </w:r>
      <w:r w:rsidR="008E7BB6" w:rsidRPr="00542393">
        <w:t>high</w:t>
      </w:r>
      <w:r w:rsidR="0086751A" w:rsidRPr="00542393">
        <w:t>-</w:t>
      </w:r>
      <w:r w:rsidR="008E7BB6" w:rsidRPr="00542393">
        <w:t xml:space="preserve">level </w:t>
      </w:r>
      <w:r w:rsidR="00880A49" w:rsidRPr="00542393">
        <w:t xml:space="preserve">graphical technique studies </w:t>
      </w:r>
      <w:r w:rsidR="00AD1371" w:rsidRPr="00542393">
        <w:t>on</w:t>
      </w:r>
      <w:r w:rsidR="006C7043" w:rsidRPr="00542393">
        <w:t xml:space="preserve"> NETs and</w:t>
      </w:r>
      <w:r w:rsidR="00AD1371" w:rsidRPr="00542393">
        <w:t xml:space="preserve"> </w:t>
      </w:r>
      <w:r w:rsidR="00BB09C2" w:rsidRPr="00542393">
        <w:t xml:space="preserve">net-zero emissions planning </w:t>
      </w:r>
      <w:r w:rsidR="00BA0451" w:rsidRPr="00542393">
        <w:t>are currently</w:t>
      </w:r>
      <w:r w:rsidR="00260B4B" w:rsidRPr="00542393">
        <w:t xml:space="preserve"> lacking.</w:t>
      </w:r>
      <w:r w:rsidR="00C31D6C" w:rsidRPr="00542393">
        <w:t xml:space="preserve"> </w:t>
      </w:r>
      <w:r w:rsidR="00127331" w:rsidRPr="00542393">
        <w:t>The MAC approach</w:t>
      </w:r>
      <w:r w:rsidR="004D7B69" w:rsidRPr="00542393">
        <w:t xml:space="preserve"> </w:t>
      </w:r>
      <w:r w:rsidR="00127331" w:rsidRPr="00542393">
        <w:t>visually shows the cost-effective</w:t>
      </w:r>
      <w:r w:rsidR="00F52BF8" w:rsidRPr="00542393">
        <w:t xml:space="preserve"> </w:t>
      </w:r>
      <w:r w:rsidR="00D8726C" w:rsidRPr="00542393">
        <w:t>solutions</w:t>
      </w:r>
      <w:r w:rsidR="00127331" w:rsidRPr="00542393">
        <w:t xml:space="preserve"> but does not </w:t>
      </w:r>
      <w:r w:rsidR="00D8726C" w:rsidRPr="00542393">
        <w:t>include planning the CO</w:t>
      </w:r>
      <w:r w:rsidR="00D8726C" w:rsidRPr="00542393">
        <w:rPr>
          <w:vertAlign w:val="subscript"/>
        </w:rPr>
        <w:t>2</w:t>
      </w:r>
      <w:r w:rsidR="00D8726C" w:rsidRPr="00542393">
        <w:t>-emitting sources with the NETs</w:t>
      </w:r>
      <w:r w:rsidR="00127331" w:rsidRPr="00542393">
        <w:t xml:space="preserve"> to reach net-</w:t>
      </w:r>
      <w:r w:rsidR="00127331" w:rsidRPr="00542393">
        <w:rPr>
          <w:szCs w:val="18"/>
        </w:rPr>
        <w:t xml:space="preserve">zero emissions. </w:t>
      </w:r>
      <w:r w:rsidR="00260B4B" w:rsidRPr="00542393">
        <w:rPr>
          <w:szCs w:val="18"/>
        </w:rPr>
        <w:t xml:space="preserve">To address this research gap, </w:t>
      </w:r>
      <w:r w:rsidR="00BA0451" w:rsidRPr="00542393">
        <w:rPr>
          <w:szCs w:val="18"/>
        </w:rPr>
        <w:t xml:space="preserve">this work develops a graphical </w:t>
      </w:r>
      <w:r w:rsidR="006B1A8B" w:rsidRPr="00542393">
        <w:rPr>
          <w:szCs w:val="18"/>
        </w:rPr>
        <w:t>procedure</w:t>
      </w:r>
      <w:r w:rsidR="00BA0451" w:rsidRPr="00542393">
        <w:rPr>
          <w:szCs w:val="18"/>
        </w:rPr>
        <w:t xml:space="preserve"> based on MAC curves for net-zero emissions planning.</w:t>
      </w:r>
      <w:r w:rsidR="00503485" w:rsidRPr="00542393">
        <w:rPr>
          <w:szCs w:val="18"/>
        </w:rPr>
        <w:t xml:space="preserve"> CO</w:t>
      </w:r>
      <w:r w:rsidR="00503485" w:rsidRPr="00542393">
        <w:rPr>
          <w:szCs w:val="18"/>
          <w:vertAlign w:val="subscript"/>
        </w:rPr>
        <w:t>2</w:t>
      </w:r>
      <w:r w:rsidR="00503485" w:rsidRPr="00542393">
        <w:rPr>
          <w:szCs w:val="18"/>
        </w:rPr>
        <w:t xml:space="preserve">-emitting </w:t>
      </w:r>
      <w:r w:rsidR="00915696" w:rsidRPr="00542393">
        <w:rPr>
          <w:szCs w:val="18"/>
        </w:rPr>
        <w:t xml:space="preserve">sources </w:t>
      </w:r>
      <w:r w:rsidR="00503485" w:rsidRPr="00542393">
        <w:rPr>
          <w:szCs w:val="18"/>
        </w:rPr>
        <w:t>are arranged in increasing specific costs</w:t>
      </w:r>
      <w:r w:rsidR="00F135FE" w:rsidRPr="00542393">
        <w:rPr>
          <w:szCs w:val="18"/>
        </w:rPr>
        <w:t xml:space="preserve"> (or the cost associated per unit CO</w:t>
      </w:r>
      <w:r w:rsidR="00F135FE" w:rsidRPr="00542393">
        <w:rPr>
          <w:szCs w:val="18"/>
          <w:vertAlign w:val="subscript"/>
        </w:rPr>
        <w:t>2</w:t>
      </w:r>
      <w:r w:rsidR="00F135FE" w:rsidRPr="00542393">
        <w:rPr>
          <w:szCs w:val="18"/>
        </w:rPr>
        <w:t xml:space="preserve"> emitted)</w:t>
      </w:r>
      <w:r w:rsidR="006B1A8B" w:rsidRPr="00542393">
        <w:rPr>
          <w:szCs w:val="18"/>
        </w:rPr>
        <w:t>,</w:t>
      </w:r>
      <w:r w:rsidR="00503485" w:rsidRPr="00542393">
        <w:rPr>
          <w:szCs w:val="18"/>
        </w:rPr>
        <w:t xml:space="preserve"> on a specific cost vs cumulative </w:t>
      </w:r>
      <w:r w:rsidR="00915696" w:rsidRPr="00542393">
        <w:rPr>
          <w:szCs w:val="18"/>
        </w:rPr>
        <w:t>CO</w:t>
      </w:r>
      <w:r w:rsidR="00915696" w:rsidRPr="00542393">
        <w:rPr>
          <w:szCs w:val="18"/>
          <w:vertAlign w:val="subscript"/>
        </w:rPr>
        <w:t>2</w:t>
      </w:r>
      <w:r w:rsidR="00915696" w:rsidRPr="00542393">
        <w:rPr>
          <w:szCs w:val="18"/>
        </w:rPr>
        <w:t xml:space="preserve"> </w:t>
      </w:r>
      <w:r w:rsidR="00503485" w:rsidRPr="00542393">
        <w:rPr>
          <w:szCs w:val="18"/>
        </w:rPr>
        <w:t xml:space="preserve">emissions diagram. </w:t>
      </w:r>
      <w:r w:rsidR="00C62235" w:rsidRPr="00542393">
        <w:rPr>
          <w:szCs w:val="18"/>
        </w:rPr>
        <w:t xml:space="preserve">The available </w:t>
      </w:r>
      <w:r w:rsidR="00503485" w:rsidRPr="00542393">
        <w:rPr>
          <w:szCs w:val="18"/>
        </w:rPr>
        <w:t>NET</w:t>
      </w:r>
      <w:r w:rsidR="0001376A" w:rsidRPr="00542393">
        <w:rPr>
          <w:szCs w:val="18"/>
        </w:rPr>
        <w:t xml:space="preserve">s </w:t>
      </w:r>
      <w:r w:rsidR="00503485" w:rsidRPr="00542393">
        <w:rPr>
          <w:szCs w:val="18"/>
        </w:rPr>
        <w:t xml:space="preserve">are then plotted to counterbalance the emissions and to determine </w:t>
      </w:r>
      <w:r w:rsidR="006A345B" w:rsidRPr="00542393">
        <w:rPr>
          <w:szCs w:val="18"/>
        </w:rPr>
        <w:t xml:space="preserve">any additional </w:t>
      </w:r>
      <w:r w:rsidR="00503485" w:rsidRPr="00542393">
        <w:rPr>
          <w:szCs w:val="18"/>
        </w:rPr>
        <w:t>negative emission targets.</w:t>
      </w:r>
      <w:r w:rsidR="00C62235" w:rsidRPr="00542393">
        <w:rPr>
          <w:szCs w:val="18"/>
        </w:rPr>
        <w:t xml:space="preserve"> </w:t>
      </w:r>
      <w:r w:rsidR="00CB067E" w:rsidRPr="00542393">
        <w:rPr>
          <w:szCs w:val="18"/>
        </w:rPr>
        <w:t xml:space="preserve">The proposed technique provides a simple and clear method for net-zero emissions planning. </w:t>
      </w:r>
      <w:r w:rsidR="00CB067E" w:rsidRPr="00542393">
        <w:rPr>
          <w:szCs w:val="18"/>
          <w:lang w:val="en-GB"/>
        </w:rPr>
        <w:t>The rest of the paper is organized as follows</w:t>
      </w:r>
      <w:r w:rsidR="00CB067E" w:rsidRPr="00542393">
        <w:rPr>
          <w:lang w:val="en-GB"/>
        </w:rPr>
        <w:t xml:space="preserve">. </w:t>
      </w:r>
      <w:r w:rsidR="00106852" w:rsidRPr="00542393">
        <w:rPr>
          <w:lang w:val="en-GB"/>
        </w:rPr>
        <w:t xml:space="preserve">The </w:t>
      </w:r>
      <w:r w:rsidR="00CB067E" w:rsidRPr="00542393">
        <w:rPr>
          <w:lang w:val="en-GB"/>
        </w:rPr>
        <w:t>problem statement</w:t>
      </w:r>
      <w:r w:rsidR="00106852" w:rsidRPr="00542393">
        <w:rPr>
          <w:lang w:val="en-GB"/>
        </w:rPr>
        <w:t xml:space="preserve"> is presented in Section 2</w:t>
      </w:r>
      <w:r w:rsidR="00CB067E" w:rsidRPr="00542393">
        <w:rPr>
          <w:lang w:val="en-GB"/>
        </w:rPr>
        <w:t xml:space="preserve">. </w:t>
      </w:r>
      <w:r w:rsidR="00106852" w:rsidRPr="00542393">
        <w:rPr>
          <w:lang w:val="en-GB"/>
        </w:rPr>
        <w:t>T</w:t>
      </w:r>
      <w:r w:rsidR="00CB067E" w:rsidRPr="00542393">
        <w:rPr>
          <w:lang w:val="en-GB"/>
        </w:rPr>
        <w:t>he proposed methodology</w:t>
      </w:r>
      <w:r w:rsidR="00106852" w:rsidRPr="00542393">
        <w:rPr>
          <w:lang w:val="en-GB"/>
        </w:rPr>
        <w:t xml:space="preserve"> is discussed in Section 3</w:t>
      </w:r>
      <w:r w:rsidR="00CB067E" w:rsidRPr="00542393">
        <w:rPr>
          <w:lang w:val="en-GB"/>
        </w:rPr>
        <w:t xml:space="preserve">. </w:t>
      </w:r>
      <w:r w:rsidR="00580F5C" w:rsidRPr="00542393">
        <w:rPr>
          <w:lang w:val="en-GB"/>
        </w:rPr>
        <w:t>A</w:t>
      </w:r>
      <w:r w:rsidR="00CB067E" w:rsidRPr="00542393">
        <w:rPr>
          <w:lang w:val="en-GB"/>
        </w:rPr>
        <w:t xml:space="preserve"> case study </w:t>
      </w:r>
      <w:r w:rsidR="00C42BCD" w:rsidRPr="00542393">
        <w:rPr>
          <w:lang w:val="en-GB"/>
        </w:rPr>
        <w:t xml:space="preserve">in the </w:t>
      </w:r>
      <w:r w:rsidR="00CB067E" w:rsidRPr="00542393">
        <w:rPr>
          <w:lang w:val="en-GB"/>
        </w:rPr>
        <w:t xml:space="preserve">power </w:t>
      </w:r>
      <w:r w:rsidR="00DC38DA" w:rsidRPr="00542393">
        <w:rPr>
          <w:lang w:val="en-GB"/>
        </w:rPr>
        <w:t xml:space="preserve">generation sector </w:t>
      </w:r>
      <w:r w:rsidR="00580F5C" w:rsidRPr="00542393">
        <w:rPr>
          <w:lang w:val="en-GB"/>
        </w:rPr>
        <w:t>is illustrated in Section 4</w:t>
      </w:r>
      <w:r w:rsidR="00CB067E" w:rsidRPr="00542393">
        <w:rPr>
          <w:lang w:val="en-GB"/>
        </w:rPr>
        <w:t xml:space="preserve">. </w:t>
      </w:r>
      <w:r w:rsidR="00580F5C" w:rsidRPr="00542393">
        <w:rPr>
          <w:lang w:val="en-GB"/>
        </w:rPr>
        <w:t>T</w:t>
      </w:r>
      <w:r w:rsidR="00CB067E" w:rsidRPr="00542393">
        <w:rPr>
          <w:lang w:val="en-GB"/>
        </w:rPr>
        <w:t>he conclusions of this paper</w:t>
      </w:r>
      <w:r w:rsidR="00580F5C" w:rsidRPr="00542393">
        <w:rPr>
          <w:lang w:val="en-GB"/>
        </w:rPr>
        <w:t xml:space="preserve"> are given in Section 5.</w:t>
      </w:r>
    </w:p>
    <w:p w14:paraId="5741900F" w14:textId="7AF1047B" w:rsidR="00453E24" w:rsidRPr="00542393" w:rsidRDefault="007A29E7" w:rsidP="00453E24">
      <w:pPr>
        <w:pStyle w:val="CETHeading1"/>
      </w:pPr>
      <w:r w:rsidRPr="00542393">
        <w:t>Problem Statement</w:t>
      </w:r>
    </w:p>
    <w:p w14:paraId="09406386" w14:textId="67090227" w:rsidR="00453E24" w:rsidRPr="00542393" w:rsidRDefault="0030381F" w:rsidP="00453E24">
      <w:pPr>
        <w:pStyle w:val="CETBodytext"/>
      </w:pPr>
      <w:r w:rsidRPr="00542393">
        <w:t xml:space="preserve">The </w:t>
      </w:r>
      <w:r w:rsidR="00E41AED" w:rsidRPr="00542393">
        <w:t xml:space="preserve">net-zero emissions </w:t>
      </w:r>
      <w:r w:rsidR="00BB09C2" w:rsidRPr="00542393">
        <w:t xml:space="preserve">planning </w:t>
      </w:r>
      <w:r w:rsidR="00E41AED" w:rsidRPr="00542393">
        <w:t xml:space="preserve">problem is </w:t>
      </w:r>
      <w:r w:rsidRPr="00542393">
        <w:t>formal</w:t>
      </w:r>
      <w:r w:rsidR="00E41AED" w:rsidRPr="00542393">
        <w:t>ly</w:t>
      </w:r>
      <w:r w:rsidRPr="00542393">
        <w:t xml:space="preserve"> </w:t>
      </w:r>
      <w:r w:rsidR="00E41AED" w:rsidRPr="00542393">
        <w:t>stated as follows</w:t>
      </w:r>
      <w:r w:rsidR="00D12347" w:rsidRPr="00542393">
        <w:t xml:space="preserve">: </w:t>
      </w:r>
      <w:r w:rsidR="00AE331B" w:rsidRPr="00542393">
        <w:t xml:space="preserve">given </w:t>
      </w:r>
      <w:r w:rsidR="005403BA" w:rsidRPr="00542393">
        <w:t>a set of CO</w:t>
      </w:r>
      <w:r w:rsidR="005403BA" w:rsidRPr="00542393">
        <w:rPr>
          <w:vertAlign w:val="subscript"/>
        </w:rPr>
        <w:t>2</w:t>
      </w:r>
      <w:r w:rsidR="005403BA" w:rsidRPr="00542393">
        <w:t>-emitting sources</w:t>
      </w:r>
      <w:r w:rsidR="0098329D" w:rsidRPr="00542393">
        <w:t xml:space="preserve"> </w:t>
      </w:r>
      <w:r w:rsidR="0098329D" w:rsidRPr="00542393">
        <w:rPr>
          <w:lang w:val="en-GB"/>
        </w:rPr>
        <w:t>(</w:t>
      </w:r>
      <m:oMath>
        <m:sSub>
          <m:sSubPr>
            <m:ctrlPr>
              <w:rPr>
                <w:rFonts w:ascii="Cambria Math" w:hAnsi="Cambria Math"/>
                <w:iCs/>
                <w:lang w:val="en-GB"/>
              </w:rPr>
            </m:ctrlPr>
          </m:sSubPr>
          <m:e>
            <m:r>
              <m:rPr>
                <m:sty m:val="p"/>
              </m:rPr>
              <w:rPr>
                <w:rFonts w:ascii="Cambria Math" w:hAnsi="Cambria Math"/>
                <w:lang w:val="en-GB"/>
              </w:rPr>
              <m:t>P</m:t>
            </m:r>
          </m:e>
          <m:sub>
            <m:r>
              <m:rPr>
                <m:sty m:val="p"/>
              </m:rPr>
              <w:rPr>
                <w:rFonts w:ascii="Cambria Math" w:hAnsi="Cambria Math"/>
                <w:lang w:val="en-GB"/>
              </w:rPr>
              <m:t>1</m:t>
            </m:r>
          </m:sub>
        </m:sSub>
        <m:r>
          <m:rPr>
            <m:sty m:val="p"/>
          </m:rPr>
          <w:rPr>
            <w:rFonts w:ascii="Cambria Math" w:hAnsi="Cambria Math"/>
            <w:lang w:val="en-GB"/>
          </w:rPr>
          <m:t xml:space="preserve">, </m:t>
        </m:r>
        <m:sSub>
          <m:sSubPr>
            <m:ctrlPr>
              <w:rPr>
                <w:rFonts w:ascii="Cambria Math" w:hAnsi="Cambria Math"/>
                <w:iCs/>
                <w:lang w:val="en-GB"/>
              </w:rPr>
            </m:ctrlPr>
          </m:sSubPr>
          <m:e>
            <m:r>
              <m:rPr>
                <m:sty m:val="p"/>
              </m:rPr>
              <w:rPr>
                <w:rFonts w:ascii="Cambria Math" w:hAnsi="Cambria Math"/>
                <w:lang w:val="en-GB"/>
              </w:rPr>
              <m:t>P</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iCs/>
                <w:lang w:val="en-GB"/>
              </w:rPr>
            </m:ctrlPr>
          </m:sSubPr>
          <m:e>
            <m:r>
              <m:rPr>
                <m:sty m:val="p"/>
              </m:rPr>
              <w:rPr>
                <w:rFonts w:ascii="Cambria Math" w:hAnsi="Cambria Math"/>
                <w:lang w:val="en-GB"/>
              </w:rPr>
              <m:t>P</m:t>
            </m:r>
          </m:e>
          <m:sub>
            <m:r>
              <m:rPr>
                <m:sty m:val="p"/>
              </m:rPr>
              <w:rPr>
                <w:rFonts w:ascii="Cambria Math" w:hAnsi="Cambria Math"/>
                <w:lang w:val="en-GB"/>
              </w:rPr>
              <m:t>i</m:t>
            </m:r>
          </m:sub>
        </m:sSub>
      </m:oMath>
      <w:r w:rsidR="0098329D" w:rsidRPr="00542393">
        <w:rPr>
          <w:lang w:val="en-GB"/>
        </w:rPr>
        <w:t>)</w:t>
      </w:r>
      <w:r w:rsidR="00111E73" w:rsidRPr="00542393">
        <w:t xml:space="preserve">, their </w:t>
      </w:r>
      <w:r w:rsidR="00BB1621" w:rsidRPr="00542393">
        <w:t xml:space="preserve">specific </w:t>
      </w:r>
      <w:r w:rsidR="00111E73" w:rsidRPr="00542393">
        <w:t>cost</w:t>
      </w:r>
      <w:r w:rsidR="00BB1621" w:rsidRPr="00542393">
        <w:t>s</w:t>
      </w:r>
      <w:r w:rsidR="00F11AE0" w:rsidRPr="00542393">
        <w:t xml:space="preserve"> </w:t>
      </w:r>
      <m:oMath>
        <m:sSub>
          <m:sSubPr>
            <m:ctrlPr>
              <w:rPr>
                <w:rFonts w:ascii="Cambria Math" w:hAnsi="Cambria Math"/>
                <w:iCs/>
                <w:lang w:val="en-GB"/>
              </w:rPr>
            </m:ctrlPr>
          </m:sSubPr>
          <m:e>
            <m:r>
              <m:rPr>
                <m:sty m:val="p"/>
              </m:rPr>
              <w:rPr>
                <w:rFonts w:ascii="Cambria Math" w:hAnsi="Cambria Math"/>
                <w:lang w:val="en-GB"/>
              </w:rPr>
              <m:t>(PC</m:t>
            </m:r>
          </m:e>
          <m:sub>
            <m:r>
              <m:rPr>
                <m:sty m:val="p"/>
              </m:rPr>
              <w:rPr>
                <w:rFonts w:ascii="Cambria Math" w:hAnsi="Cambria Math"/>
                <w:lang w:val="en-GB"/>
              </w:rPr>
              <m:t>i</m:t>
            </m:r>
          </m:sub>
        </m:sSub>
        <m:r>
          <w:rPr>
            <w:rFonts w:ascii="Cambria Math" w:hAnsi="Cambria Math"/>
            <w:lang w:val="en-GB"/>
          </w:rPr>
          <m:t>)</m:t>
        </m:r>
      </m:oMath>
      <w:r w:rsidR="00DF29EE" w:rsidRPr="00542393">
        <w:t>,</w:t>
      </w:r>
      <w:r w:rsidR="00720FCA" w:rsidRPr="00542393">
        <w:t xml:space="preserve"> and </w:t>
      </w:r>
      <w:r w:rsidR="00720FCA" w:rsidRPr="00542393">
        <w:rPr>
          <w:rFonts w:cs="Arial"/>
          <w:szCs w:val="18"/>
        </w:rPr>
        <w:t>emissions</w:t>
      </w:r>
      <w:r w:rsidR="00A44464" w:rsidRPr="00542393">
        <w:rPr>
          <w:rFonts w:cs="Arial"/>
          <w:szCs w:val="18"/>
        </w:rPr>
        <w:t xml:space="preserve"> </w:t>
      </w:r>
      <w:r w:rsidR="002136DB" w:rsidRPr="00542393">
        <w:rPr>
          <w:rFonts w:cs="Arial"/>
          <w:szCs w:val="18"/>
        </w:rPr>
        <w:t>(</w:t>
      </w:r>
      <m:oMath>
        <m:r>
          <w:rPr>
            <w:rFonts w:ascii="Cambria Math" w:hAnsi="Cambria Math" w:cs="Arial"/>
            <w:szCs w:val="18"/>
            <w:lang w:val="en-GB"/>
          </w:rPr>
          <m:t>∆</m:t>
        </m:r>
        <m:sSub>
          <m:sSubPr>
            <m:ctrlPr>
              <w:rPr>
                <w:rFonts w:ascii="Cambria Math" w:hAnsi="Cambria Math" w:cs="Arial"/>
                <w:szCs w:val="18"/>
                <w:lang w:val="en-GB"/>
              </w:rPr>
            </m:ctrlPr>
          </m:sSubPr>
          <m:e>
            <m:r>
              <m:rPr>
                <m:sty m:val="p"/>
              </m:rPr>
              <w:rPr>
                <w:rFonts w:ascii="Cambria Math" w:hAnsi="Cambria Math" w:cs="Arial"/>
                <w:szCs w:val="18"/>
                <w:lang w:val="en-GB"/>
              </w:rPr>
              <m:t>G</m:t>
            </m:r>
          </m:e>
          <m:sub>
            <m:r>
              <m:rPr>
                <m:sty m:val="p"/>
              </m:rPr>
              <w:rPr>
                <w:rFonts w:ascii="Cambria Math" w:hAnsi="Cambria Math" w:cs="Arial"/>
                <w:szCs w:val="18"/>
                <w:lang w:val="en-GB"/>
              </w:rPr>
              <m:t>i</m:t>
            </m:r>
          </m:sub>
        </m:sSub>
      </m:oMath>
      <w:r w:rsidR="002136DB" w:rsidRPr="00542393">
        <w:rPr>
          <w:rFonts w:cs="Arial"/>
          <w:szCs w:val="18"/>
          <w:lang w:val="en-GB"/>
        </w:rPr>
        <w:t>)</w:t>
      </w:r>
      <w:r w:rsidR="00DF29EE" w:rsidRPr="00542393">
        <w:rPr>
          <w:rFonts w:cs="Arial"/>
          <w:szCs w:val="18"/>
        </w:rPr>
        <w:t xml:space="preserve">. Given </w:t>
      </w:r>
      <w:r w:rsidR="001067E4" w:rsidRPr="00542393">
        <w:rPr>
          <w:rFonts w:cs="Arial"/>
          <w:szCs w:val="18"/>
        </w:rPr>
        <w:t>a set of</w:t>
      </w:r>
      <w:r w:rsidR="00AD052B" w:rsidRPr="00542393">
        <w:rPr>
          <w:rFonts w:cs="Arial"/>
          <w:szCs w:val="18"/>
        </w:rPr>
        <w:t xml:space="preserve"> available NET</w:t>
      </w:r>
      <w:r w:rsidR="0001376A" w:rsidRPr="00542393">
        <w:rPr>
          <w:rFonts w:cs="Arial"/>
          <w:szCs w:val="18"/>
        </w:rPr>
        <w:t xml:space="preserve">s </w:t>
      </w:r>
      <w:r w:rsidR="009713B8" w:rsidRPr="00542393">
        <w:rPr>
          <w:rFonts w:cs="Arial"/>
          <w:szCs w:val="18"/>
          <w:lang w:val="en-GB"/>
        </w:rPr>
        <w:t>(</w:t>
      </w:r>
      <m:oMath>
        <m:sSub>
          <m:sSubPr>
            <m:ctrlPr>
              <w:rPr>
                <w:rFonts w:ascii="Cambria Math" w:hAnsi="Cambria Math" w:cs="Arial"/>
                <w:iCs/>
                <w:szCs w:val="18"/>
                <w:lang w:val="en-GB"/>
              </w:rPr>
            </m:ctrlPr>
          </m:sSubPr>
          <m:e>
            <m:r>
              <m:rPr>
                <m:sty m:val="p"/>
              </m:rPr>
              <w:rPr>
                <w:rFonts w:ascii="Cambria Math" w:hAnsi="Cambria Math" w:cs="Arial"/>
                <w:szCs w:val="18"/>
                <w:lang w:val="en-GB"/>
              </w:rPr>
              <m:t>N</m:t>
            </m:r>
          </m:e>
          <m:sub>
            <m:r>
              <m:rPr>
                <m:sty m:val="p"/>
              </m:rPr>
              <w:rPr>
                <w:rFonts w:ascii="Cambria Math" w:hAnsi="Cambria Math" w:cs="Arial"/>
                <w:szCs w:val="18"/>
                <w:lang w:val="en-GB"/>
              </w:rPr>
              <m:t>1</m:t>
            </m:r>
          </m:sub>
        </m:sSub>
        <m:r>
          <m:rPr>
            <m:sty m:val="p"/>
          </m:rPr>
          <w:rPr>
            <w:rFonts w:ascii="Cambria Math" w:hAnsi="Cambria Math" w:cs="Arial"/>
            <w:szCs w:val="18"/>
            <w:lang w:val="en-GB"/>
          </w:rPr>
          <m:t xml:space="preserve">, </m:t>
        </m:r>
        <m:sSub>
          <m:sSubPr>
            <m:ctrlPr>
              <w:rPr>
                <w:rFonts w:ascii="Cambria Math" w:hAnsi="Cambria Math" w:cs="Arial"/>
                <w:iCs/>
                <w:szCs w:val="18"/>
                <w:lang w:val="en-GB"/>
              </w:rPr>
            </m:ctrlPr>
          </m:sSubPr>
          <m:e>
            <m:r>
              <m:rPr>
                <m:sty m:val="p"/>
              </m:rPr>
              <w:rPr>
                <w:rFonts w:ascii="Cambria Math" w:hAnsi="Cambria Math" w:cs="Arial"/>
                <w:szCs w:val="18"/>
                <w:lang w:val="en-GB"/>
              </w:rPr>
              <m:t>N</m:t>
            </m:r>
          </m:e>
          <m:sub>
            <m:r>
              <m:rPr>
                <m:sty m:val="p"/>
              </m:rPr>
              <w:rPr>
                <w:rFonts w:ascii="Cambria Math" w:hAnsi="Cambria Math" w:cs="Arial"/>
                <w:szCs w:val="18"/>
                <w:lang w:val="en-GB"/>
              </w:rPr>
              <m:t>2</m:t>
            </m:r>
          </m:sub>
        </m:sSub>
        <m:r>
          <m:rPr>
            <m:sty m:val="p"/>
          </m:rPr>
          <w:rPr>
            <w:rFonts w:ascii="Cambria Math" w:hAnsi="Cambria Math" w:cs="Arial"/>
            <w:szCs w:val="18"/>
            <w:lang w:val="en-GB"/>
          </w:rPr>
          <m:t>,…</m:t>
        </m:r>
        <m:sSub>
          <m:sSubPr>
            <m:ctrlPr>
              <w:rPr>
                <w:rFonts w:ascii="Cambria Math" w:hAnsi="Cambria Math" w:cs="Arial"/>
                <w:iCs/>
                <w:szCs w:val="18"/>
                <w:lang w:val="en-GB"/>
              </w:rPr>
            </m:ctrlPr>
          </m:sSubPr>
          <m:e>
            <m:r>
              <m:rPr>
                <m:sty m:val="p"/>
              </m:rPr>
              <w:rPr>
                <w:rFonts w:ascii="Cambria Math" w:hAnsi="Cambria Math" w:cs="Arial"/>
                <w:szCs w:val="18"/>
                <w:lang w:val="en-GB"/>
              </w:rPr>
              <m:t>N</m:t>
            </m:r>
          </m:e>
          <m:sub>
            <m:r>
              <m:rPr>
                <m:sty m:val="p"/>
              </m:rPr>
              <w:rPr>
                <w:rFonts w:ascii="Cambria Math" w:hAnsi="Cambria Math" w:cs="Arial"/>
                <w:szCs w:val="18"/>
                <w:lang w:val="en-GB"/>
              </w:rPr>
              <m:t>i</m:t>
            </m:r>
          </m:sub>
        </m:sSub>
      </m:oMath>
      <w:r w:rsidR="009713B8" w:rsidRPr="00542393">
        <w:rPr>
          <w:rFonts w:cs="Arial"/>
          <w:szCs w:val="18"/>
          <w:lang w:val="en-GB"/>
        </w:rPr>
        <w:t>)</w:t>
      </w:r>
      <w:r w:rsidR="00AD052B" w:rsidRPr="00542393">
        <w:rPr>
          <w:rFonts w:cs="Arial"/>
          <w:szCs w:val="18"/>
        </w:rPr>
        <w:t xml:space="preserve">, their </w:t>
      </w:r>
      <w:r w:rsidR="00D7106D" w:rsidRPr="00542393">
        <w:rPr>
          <w:rFonts w:cs="Arial"/>
          <w:szCs w:val="18"/>
        </w:rPr>
        <w:t>specific costs</w:t>
      </w:r>
      <w:r w:rsidR="002136DB" w:rsidRPr="00542393">
        <w:rPr>
          <w:rFonts w:cs="Arial"/>
          <w:szCs w:val="18"/>
        </w:rPr>
        <w:t xml:space="preserve"> </w:t>
      </w:r>
      <m:oMath>
        <m:sSub>
          <m:sSubPr>
            <m:ctrlPr>
              <w:rPr>
                <w:rFonts w:ascii="Cambria Math" w:hAnsi="Cambria Math" w:cs="Arial"/>
                <w:iCs/>
                <w:szCs w:val="18"/>
                <w:lang w:val="en-GB"/>
              </w:rPr>
            </m:ctrlPr>
          </m:sSubPr>
          <m:e>
            <m:r>
              <m:rPr>
                <m:sty m:val="p"/>
              </m:rPr>
              <w:rPr>
                <w:rFonts w:ascii="Cambria Math" w:hAnsi="Cambria Math" w:cs="Arial"/>
                <w:szCs w:val="18"/>
                <w:lang w:val="en-GB"/>
              </w:rPr>
              <m:t>(NC</m:t>
            </m:r>
          </m:e>
          <m:sub>
            <m:r>
              <m:rPr>
                <m:sty m:val="p"/>
              </m:rPr>
              <w:rPr>
                <w:rFonts w:ascii="Cambria Math" w:hAnsi="Cambria Math" w:cs="Arial"/>
                <w:szCs w:val="18"/>
                <w:lang w:val="en-GB"/>
              </w:rPr>
              <m:t>i</m:t>
            </m:r>
          </m:sub>
        </m:sSub>
        <m:r>
          <w:rPr>
            <w:rFonts w:ascii="Cambria Math" w:hAnsi="Cambria Math" w:cs="Arial"/>
            <w:szCs w:val="18"/>
            <w:lang w:val="en-GB"/>
          </w:rPr>
          <m:t>)</m:t>
        </m:r>
      </m:oMath>
      <w:r w:rsidR="00F135FE" w:rsidRPr="00542393">
        <w:rPr>
          <w:rFonts w:cs="Arial"/>
          <w:szCs w:val="18"/>
          <w:lang w:val="en-GB"/>
        </w:rPr>
        <w:t xml:space="preserve"> (or the cost associated </w:t>
      </w:r>
      <w:r w:rsidR="00F135FE" w:rsidRPr="00542393">
        <w:rPr>
          <w:rFonts w:cs="Arial"/>
          <w:szCs w:val="18"/>
        </w:rPr>
        <w:t>per unit CO</w:t>
      </w:r>
      <w:r w:rsidR="00F135FE" w:rsidRPr="00542393">
        <w:rPr>
          <w:rFonts w:cs="Arial"/>
          <w:szCs w:val="18"/>
          <w:vertAlign w:val="subscript"/>
        </w:rPr>
        <w:t>2</w:t>
      </w:r>
      <w:r w:rsidR="00F135FE" w:rsidRPr="00542393">
        <w:rPr>
          <w:rFonts w:cs="Arial"/>
          <w:szCs w:val="18"/>
        </w:rPr>
        <w:t xml:space="preserve"> removal by NETs)</w:t>
      </w:r>
      <w:r w:rsidR="00E23E66" w:rsidRPr="00542393">
        <w:rPr>
          <w:rFonts w:cs="Arial"/>
          <w:szCs w:val="18"/>
        </w:rPr>
        <w:t>,</w:t>
      </w:r>
      <w:r w:rsidR="00371564" w:rsidRPr="00542393">
        <w:rPr>
          <w:rFonts w:cs="Arial"/>
          <w:szCs w:val="18"/>
        </w:rPr>
        <w:t xml:space="preserve"> and negative emission capacities</w:t>
      </w:r>
      <w:r w:rsidR="00375813" w:rsidRPr="00542393">
        <w:rPr>
          <w:rFonts w:cs="Arial"/>
          <w:szCs w:val="18"/>
        </w:rPr>
        <w:t xml:space="preserve"> (</w:t>
      </w:r>
      <m:oMath>
        <m:r>
          <w:rPr>
            <w:rFonts w:ascii="Cambria Math" w:hAnsi="Cambria Math" w:cs="Arial"/>
            <w:szCs w:val="18"/>
            <w:lang w:val="en-GB"/>
          </w:rPr>
          <m:t>∆</m:t>
        </m:r>
        <m:sSub>
          <m:sSubPr>
            <m:ctrlPr>
              <w:rPr>
                <w:rFonts w:ascii="Cambria Math" w:hAnsi="Cambria Math" w:cs="Arial"/>
                <w:szCs w:val="18"/>
                <w:lang w:val="en-GB"/>
              </w:rPr>
            </m:ctrlPr>
          </m:sSubPr>
          <m:e>
            <m:r>
              <m:rPr>
                <m:sty m:val="p"/>
              </m:rPr>
              <w:rPr>
                <w:rFonts w:ascii="Cambria Math" w:hAnsi="Cambria Math" w:cs="Arial"/>
                <w:szCs w:val="18"/>
                <w:lang w:val="en-GB"/>
              </w:rPr>
              <m:t>A</m:t>
            </m:r>
          </m:e>
          <m:sub>
            <m:r>
              <m:rPr>
                <m:sty m:val="p"/>
              </m:rPr>
              <w:rPr>
                <w:rFonts w:ascii="Cambria Math" w:hAnsi="Cambria Math" w:cs="Arial"/>
                <w:szCs w:val="18"/>
                <w:lang w:val="en-GB"/>
              </w:rPr>
              <m:t>i</m:t>
            </m:r>
          </m:sub>
        </m:sSub>
      </m:oMath>
      <w:r w:rsidR="00375813" w:rsidRPr="00542393">
        <w:rPr>
          <w:rFonts w:cs="Arial"/>
          <w:szCs w:val="18"/>
          <w:lang w:val="en-GB"/>
        </w:rPr>
        <w:t>)</w:t>
      </w:r>
      <w:r w:rsidR="00371564" w:rsidRPr="00542393">
        <w:rPr>
          <w:rFonts w:cs="Arial"/>
          <w:szCs w:val="18"/>
        </w:rPr>
        <w:t xml:space="preserve">. </w:t>
      </w:r>
      <w:r w:rsidR="00E23E66" w:rsidRPr="00542393">
        <w:rPr>
          <w:rFonts w:cs="Arial"/>
          <w:szCs w:val="18"/>
        </w:rPr>
        <w:t xml:space="preserve">The graphical technique should </w:t>
      </w:r>
      <w:r w:rsidR="002A6833" w:rsidRPr="00542393">
        <w:rPr>
          <w:rFonts w:cs="Arial"/>
          <w:szCs w:val="18"/>
        </w:rPr>
        <w:t xml:space="preserve">determine </w:t>
      </w:r>
      <w:r w:rsidR="00B07EC0" w:rsidRPr="00542393">
        <w:rPr>
          <w:rFonts w:cs="Arial"/>
          <w:szCs w:val="18"/>
        </w:rPr>
        <w:t>the</w:t>
      </w:r>
      <w:r w:rsidR="00CE5A41" w:rsidRPr="00542393">
        <w:rPr>
          <w:rFonts w:cs="Arial"/>
          <w:szCs w:val="18"/>
        </w:rPr>
        <w:t xml:space="preserve"> </w:t>
      </w:r>
      <w:r w:rsidR="00754F30" w:rsidRPr="00542393">
        <w:rPr>
          <w:rFonts w:cs="Arial"/>
          <w:szCs w:val="18"/>
        </w:rPr>
        <w:t>negative emissio</w:t>
      </w:r>
      <w:r w:rsidR="00754F30" w:rsidRPr="00542393">
        <w:t xml:space="preserve">ns </w:t>
      </w:r>
      <w:r w:rsidR="007900D7" w:rsidRPr="00542393">
        <w:t xml:space="preserve">“deficit” </w:t>
      </w:r>
      <w:r w:rsidR="00754F30" w:rsidRPr="00542393">
        <w:t>to meet net-zero emissions</w:t>
      </w:r>
      <w:r w:rsidR="00885F6E" w:rsidRPr="00542393">
        <w:t xml:space="preserve">. </w:t>
      </w:r>
      <w:r w:rsidR="00CE5A41" w:rsidRPr="00542393">
        <w:t xml:space="preserve">The technique </w:t>
      </w:r>
      <w:r w:rsidR="007900D7" w:rsidRPr="00542393">
        <w:t xml:space="preserve">should also enable the </w:t>
      </w:r>
      <w:r w:rsidR="0099271F" w:rsidRPr="00542393">
        <w:t>visual determination of cost-effective technologies</w:t>
      </w:r>
      <w:r w:rsidR="006601A4" w:rsidRPr="00542393">
        <w:t xml:space="preserve">, as well as the calculation of the total </w:t>
      </w:r>
      <w:r w:rsidR="00E04ECD" w:rsidRPr="00542393">
        <w:t xml:space="preserve">costs of a technology </w:t>
      </w:r>
      <w:r w:rsidR="00DC38DA" w:rsidRPr="00542393">
        <w:t>(</w:t>
      </w:r>
      <w:r w:rsidR="00E04ECD" w:rsidRPr="00542393">
        <w:t>or group of technologies</w:t>
      </w:r>
      <w:r w:rsidR="00DC38DA" w:rsidRPr="00542393">
        <w:t>)</w:t>
      </w:r>
      <w:r w:rsidR="00E04ECD" w:rsidRPr="00542393">
        <w:t xml:space="preserve">. </w:t>
      </w:r>
      <w:r w:rsidR="0099271F" w:rsidRPr="00542393">
        <w:t xml:space="preserve"> </w:t>
      </w:r>
    </w:p>
    <w:p w14:paraId="677EBFF0" w14:textId="0E8E5761" w:rsidR="00600535" w:rsidRPr="00542393" w:rsidRDefault="00F50098" w:rsidP="00600535">
      <w:pPr>
        <w:pStyle w:val="CETHeading1"/>
        <w:tabs>
          <w:tab w:val="clear" w:pos="360"/>
          <w:tab w:val="right" w:pos="7100"/>
        </w:tabs>
        <w:jc w:val="both"/>
        <w:rPr>
          <w:lang w:val="en-GB"/>
        </w:rPr>
      </w:pPr>
      <w:r w:rsidRPr="00542393">
        <w:rPr>
          <w:lang w:val="en-GB"/>
        </w:rPr>
        <w:t>Proposed Method</w:t>
      </w:r>
    </w:p>
    <w:p w14:paraId="5AA5DA56" w14:textId="673DEAAC" w:rsidR="003C22D0" w:rsidRPr="00542393" w:rsidRDefault="006F4DDB" w:rsidP="003C22D0">
      <w:pPr>
        <w:pStyle w:val="CETBodytext"/>
        <w:rPr>
          <w:lang w:val="en-GB"/>
        </w:rPr>
      </w:pPr>
      <w:r w:rsidRPr="00542393">
        <w:t>This</w:t>
      </w:r>
      <w:r w:rsidR="00225FFA" w:rsidRPr="00542393">
        <w:t xml:space="preserve"> section </w:t>
      </w:r>
      <w:r w:rsidR="006540FD" w:rsidRPr="00542393">
        <w:t xml:space="preserve">describes the </w:t>
      </w:r>
      <w:r w:rsidR="004348B8" w:rsidRPr="00542393">
        <w:t xml:space="preserve">proposed net-zero emissions graphical </w:t>
      </w:r>
      <w:r w:rsidR="00085A81" w:rsidRPr="00542393">
        <w:t>procedure</w:t>
      </w:r>
      <w:r w:rsidR="007F481A" w:rsidRPr="00542393">
        <w:t xml:space="preserve"> based on MAC</w:t>
      </w:r>
      <w:r w:rsidR="008F2387" w:rsidRPr="00542393">
        <w:t xml:space="preserve"> curves</w:t>
      </w:r>
      <w:r w:rsidR="004348B8" w:rsidRPr="00542393">
        <w:t xml:space="preserve">. </w:t>
      </w:r>
      <w:r w:rsidR="004D7980" w:rsidRPr="00542393">
        <w:t>The assumption is th</w:t>
      </w:r>
      <w:r w:rsidR="001F206C" w:rsidRPr="00542393">
        <w:t>at the specific costs and emissions</w:t>
      </w:r>
      <w:r w:rsidR="00085A81" w:rsidRPr="00542393">
        <w:t xml:space="preserve"> (for CO</w:t>
      </w:r>
      <w:r w:rsidR="00085A81" w:rsidRPr="00542393">
        <w:rPr>
          <w:vertAlign w:val="subscript"/>
        </w:rPr>
        <w:t>2</w:t>
      </w:r>
      <w:r w:rsidR="00085A81" w:rsidRPr="00542393">
        <w:t xml:space="preserve">-emitting sources) and </w:t>
      </w:r>
      <w:r w:rsidR="001F206C" w:rsidRPr="00542393">
        <w:t xml:space="preserve">emissions reduction capacities </w:t>
      </w:r>
      <w:r w:rsidR="00085A81" w:rsidRPr="00542393">
        <w:t>(</w:t>
      </w:r>
      <w:r w:rsidR="001F206C" w:rsidRPr="00542393">
        <w:t xml:space="preserve">of </w:t>
      </w:r>
      <w:r w:rsidR="001F206C" w:rsidRPr="00542393">
        <w:rPr>
          <w:lang w:val="en-GB"/>
        </w:rPr>
        <w:t>NETs</w:t>
      </w:r>
      <w:r w:rsidR="00085A81" w:rsidRPr="00542393">
        <w:rPr>
          <w:lang w:val="en-GB"/>
        </w:rPr>
        <w:t>)</w:t>
      </w:r>
      <w:r w:rsidR="001F206C" w:rsidRPr="00542393">
        <w:rPr>
          <w:lang w:val="en-GB"/>
        </w:rPr>
        <w:t xml:space="preserve"> are available. </w:t>
      </w:r>
      <w:r w:rsidR="00B477F4" w:rsidRPr="00542393">
        <w:rPr>
          <w:lang w:val="en-GB"/>
        </w:rPr>
        <w:t>The</w:t>
      </w:r>
      <w:r w:rsidR="00085A81" w:rsidRPr="00542393">
        <w:rPr>
          <w:lang w:val="en-GB"/>
        </w:rPr>
        <w:t xml:space="preserve"> procedure has the following</w:t>
      </w:r>
      <w:r w:rsidR="00B477F4" w:rsidRPr="00542393">
        <w:rPr>
          <w:lang w:val="en-GB"/>
        </w:rPr>
        <w:t xml:space="preserve"> steps.</w:t>
      </w:r>
    </w:p>
    <w:p w14:paraId="7B1AB161" w14:textId="1EB5DE6B" w:rsidR="005479BB" w:rsidRPr="00542393" w:rsidRDefault="004D7980" w:rsidP="005138C3">
      <w:pPr>
        <w:pStyle w:val="CETListbullets"/>
        <w:numPr>
          <w:ilvl w:val="0"/>
          <w:numId w:val="23"/>
        </w:numPr>
        <w:ind w:left="426" w:hanging="426"/>
      </w:pPr>
      <w:r w:rsidRPr="00542393">
        <w:t xml:space="preserve">Arrange the </w:t>
      </w:r>
      <w:r w:rsidR="005479BB" w:rsidRPr="00542393">
        <w:t>CO</w:t>
      </w:r>
      <w:r w:rsidR="005479BB" w:rsidRPr="00542393">
        <w:rPr>
          <w:vertAlign w:val="subscript"/>
        </w:rPr>
        <w:t>2</w:t>
      </w:r>
      <w:r w:rsidR="005479BB" w:rsidRPr="00542393">
        <w:t xml:space="preserve">-emitting sources in increasing specific costs. </w:t>
      </w:r>
    </w:p>
    <w:p w14:paraId="49AD3D83" w14:textId="2D764AB0" w:rsidR="004D7980" w:rsidRPr="00542393" w:rsidRDefault="003E7902" w:rsidP="0001376A">
      <w:pPr>
        <w:pStyle w:val="CETListbullets"/>
        <w:numPr>
          <w:ilvl w:val="0"/>
          <w:numId w:val="23"/>
        </w:numPr>
        <w:ind w:left="426" w:hanging="426"/>
      </w:pPr>
      <w:r w:rsidRPr="00542393">
        <w:t>P</w:t>
      </w:r>
      <w:r w:rsidR="004D7980" w:rsidRPr="00542393">
        <w:t xml:space="preserve">lot the </w:t>
      </w:r>
      <w:r w:rsidR="00CF7896" w:rsidRPr="00542393">
        <w:t>cumulative CO</w:t>
      </w:r>
      <w:r w:rsidR="00CF7896" w:rsidRPr="00542393">
        <w:rPr>
          <w:vertAlign w:val="subscript"/>
        </w:rPr>
        <w:t>2</w:t>
      </w:r>
      <w:r w:rsidR="00CF7896" w:rsidRPr="00542393">
        <w:t xml:space="preserve"> emissions</w:t>
      </w:r>
      <w:r w:rsidR="004D7980" w:rsidRPr="00542393">
        <w:t xml:space="preserve"> on the horizontal axis and the </w:t>
      </w:r>
      <w:r w:rsidR="00CF7896" w:rsidRPr="00542393">
        <w:t xml:space="preserve">specific costs </w:t>
      </w:r>
      <w:r w:rsidR="004D7980" w:rsidRPr="00542393">
        <w:t xml:space="preserve">on the vertical axis. </w:t>
      </w:r>
      <w:r w:rsidR="00CD6836" w:rsidRPr="00542393">
        <w:t xml:space="preserve">Plot </w:t>
      </w:r>
      <w:r w:rsidR="001437F7" w:rsidRPr="00542393">
        <w:t xml:space="preserve">the </w:t>
      </w:r>
      <w:r w:rsidR="00CD6836" w:rsidRPr="00542393">
        <w:t>CO</w:t>
      </w:r>
      <w:r w:rsidR="00CD6836" w:rsidRPr="00542393">
        <w:rPr>
          <w:vertAlign w:val="subscript"/>
        </w:rPr>
        <w:t>2</w:t>
      </w:r>
      <w:r w:rsidR="00CD6836" w:rsidRPr="00542393">
        <w:t xml:space="preserve">-emitting sources </w:t>
      </w:r>
      <w:r w:rsidR="001437F7" w:rsidRPr="00542393">
        <w:t xml:space="preserve">on the graph </w:t>
      </w:r>
      <w:r w:rsidR="00E435C9" w:rsidRPr="00542393">
        <w:t>in increasing specific costs</w:t>
      </w:r>
      <w:r w:rsidR="005C1878" w:rsidRPr="00542393">
        <w:t xml:space="preserve"> beginning at the origin</w:t>
      </w:r>
      <w:r w:rsidR="00E435C9" w:rsidRPr="00542393">
        <w:t xml:space="preserve">, </w:t>
      </w:r>
      <w:r w:rsidR="00CD6836" w:rsidRPr="00542393">
        <w:t xml:space="preserve">such that the </w:t>
      </w:r>
      <w:r w:rsidR="001437F7" w:rsidRPr="00542393">
        <w:t xml:space="preserve">emissions </w:t>
      </w:r>
      <w:r w:rsidR="0045236C" w:rsidRPr="00542393">
        <w:t xml:space="preserve">are </w:t>
      </w:r>
      <w:r w:rsidR="00845B5C" w:rsidRPr="00542393">
        <w:t>cumulative, and the plot resembles a staircase</w:t>
      </w:r>
      <w:r w:rsidR="00846364" w:rsidRPr="00542393">
        <w:t xml:space="preserve"> as shown in </w:t>
      </w:r>
      <w:r w:rsidR="00BA74D8" w:rsidRPr="00542393">
        <w:t>Figure 1a</w:t>
      </w:r>
      <w:r w:rsidR="00E435C9" w:rsidRPr="00542393">
        <w:t xml:space="preserve">. </w:t>
      </w:r>
    </w:p>
    <w:p w14:paraId="55B92733" w14:textId="3AC806A2" w:rsidR="00BA74D8" w:rsidRPr="00542393" w:rsidRDefault="0010520E" w:rsidP="0001376A">
      <w:pPr>
        <w:pStyle w:val="CETListbullets"/>
        <w:numPr>
          <w:ilvl w:val="0"/>
          <w:numId w:val="23"/>
        </w:numPr>
        <w:ind w:left="426" w:hanging="426"/>
      </w:pPr>
      <w:r w:rsidRPr="00542393">
        <w:lastRenderedPageBreak/>
        <w:t>Arrange the NET</w:t>
      </w:r>
      <w:r w:rsidR="0001376A" w:rsidRPr="00542393">
        <w:t xml:space="preserve">s </w:t>
      </w:r>
      <w:r w:rsidRPr="00542393">
        <w:t>in decreasing specific costs. Plot the NET</w:t>
      </w:r>
      <w:r w:rsidR="0001376A" w:rsidRPr="00542393">
        <w:t xml:space="preserve">s </w:t>
      </w:r>
      <w:r w:rsidRPr="00542393">
        <w:t>on the same graph</w:t>
      </w:r>
      <w:r w:rsidR="009D7827" w:rsidRPr="00542393">
        <w:t xml:space="preserve"> in decreasing specific costs</w:t>
      </w:r>
      <w:r w:rsidR="003E7902" w:rsidRPr="00542393">
        <w:t>,</w:t>
      </w:r>
      <w:r w:rsidRPr="00542393">
        <w:t xml:space="preserve"> </w:t>
      </w:r>
      <w:r w:rsidR="00351FD2" w:rsidRPr="00542393">
        <w:t xml:space="preserve">beginning </w:t>
      </w:r>
      <w:r w:rsidR="003E7902" w:rsidRPr="00542393">
        <w:t xml:space="preserve">from </w:t>
      </w:r>
      <w:r w:rsidR="005C1878" w:rsidRPr="00542393">
        <w:t>where the last CO</w:t>
      </w:r>
      <w:r w:rsidR="005C1878" w:rsidRPr="00542393">
        <w:rPr>
          <w:vertAlign w:val="subscript"/>
        </w:rPr>
        <w:t>2</w:t>
      </w:r>
      <w:r w:rsidR="005C1878" w:rsidRPr="00542393">
        <w:t>-emitting source</w:t>
      </w:r>
      <w:r w:rsidR="001A0383" w:rsidRPr="00542393">
        <w:t xml:space="preserve"> ends</w:t>
      </w:r>
      <w:r w:rsidR="009E397C" w:rsidRPr="00542393">
        <w:t>, such that the plot resembles a staircase in the opposite direction</w:t>
      </w:r>
      <w:r w:rsidR="00BA74D8" w:rsidRPr="00542393">
        <w:t xml:space="preserve"> </w:t>
      </w:r>
      <w:r w:rsidR="003E7902" w:rsidRPr="00542393">
        <w:t xml:space="preserve">(see </w:t>
      </w:r>
      <w:r w:rsidR="00BA74D8" w:rsidRPr="00542393">
        <w:t>Figure 1b</w:t>
      </w:r>
      <w:r w:rsidR="003E7902" w:rsidRPr="00542393">
        <w:t>)</w:t>
      </w:r>
      <w:r w:rsidR="00BA74D8" w:rsidRPr="00542393">
        <w:t xml:space="preserve">. </w:t>
      </w:r>
      <w:r w:rsidR="00B87A32" w:rsidRPr="00542393">
        <w:t>Note that the NET curve can be above or below the CO</w:t>
      </w:r>
      <w:r w:rsidR="00B87A32" w:rsidRPr="00542393">
        <w:rPr>
          <w:vertAlign w:val="subscript"/>
        </w:rPr>
        <w:t>2</w:t>
      </w:r>
      <w:r w:rsidR="00B87A32" w:rsidRPr="00542393">
        <w:t xml:space="preserve">-emitting source curve, depending on the specific costs. </w:t>
      </w:r>
      <w:r w:rsidR="00484714" w:rsidRPr="00542393">
        <w:t xml:space="preserve">In this example, the NETs have higher specific costs, </w:t>
      </w:r>
      <w:r w:rsidR="00FD50E6" w:rsidRPr="00542393">
        <w:t xml:space="preserve">and </w:t>
      </w:r>
      <w:r w:rsidR="00484714" w:rsidRPr="00542393">
        <w:t>thus are above the CO</w:t>
      </w:r>
      <w:r w:rsidR="00484714" w:rsidRPr="00542393">
        <w:rPr>
          <w:vertAlign w:val="subscript"/>
        </w:rPr>
        <w:t>2</w:t>
      </w:r>
      <w:r w:rsidR="00484714" w:rsidRPr="00542393">
        <w:t>-emitting source curve.</w:t>
      </w:r>
    </w:p>
    <w:p w14:paraId="66DDF570" w14:textId="6D675247" w:rsidR="00484714" w:rsidRPr="00542393" w:rsidRDefault="00A36574" w:rsidP="00484714">
      <w:pPr>
        <w:pStyle w:val="CETListbullets"/>
        <w:numPr>
          <w:ilvl w:val="0"/>
          <w:numId w:val="23"/>
        </w:numPr>
        <w:ind w:left="426" w:hanging="426"/>
      </w:pPr>
      <w:r w:rsidRPr="00542393">
        <w:t>Analy</w:t>
      </w:r>
      <w:r w:rsidR="00AE2E8F" w:rsidRPr="00542393">
        <w:t>se the graph by identifying any net-zero deficit (or surplus).</w:t>
      </w:r>
      <w:r w:rsidR="00484714" w:rsidRPr="00542393">
        <w:t xml:space="preserve"> </w:t>
      </w:r>
      <w:r w:rsidR="00807EA7" w:rsidRPr="00542393">
        <w:t>The net-zero deficit</w:t>
      </w:r>
      <w:r w:rsidR="00484714" w:rsidRPr="00542393">
        <w:t xml:space="preserve"> refers to the amount of negative emissions required to reach net zero</w:t>
      </w:r>
      <w:r w:rsidR="00807EA7" w:rsidRPr="00542393">
        <w:t xml:space="preserve"> and</w:t>
      </w:r>
      <w:r w:rsidR="00484714" w:rsidRPr="00542393">
        <w:t xml:space="preserve"> is represented when the end of the NET curve does not cross the vertical axis. </w:t>
      </w:r>
      <w:r w:rsidR="00D9187B" w:rsidRPr="00542393">
        <w:t xml:space="preserve">The net-zero deficit is the horizontal distance from the end of the NET curve to the vertical axis. </w:t>
      </w:r>
      <w:r w:rsidR="00481846" w:rsidRPr="00542393">
        <w:t>The n</w:t>
      </w:r>
      <w:r w:rsidR="00484714" w:rsidRPr="00542393">
        <w:t xml:space="preserve">et-zero surplus is represented by the </w:t>
      </w:r>
      <w:r w:rsidR="00390F85" w:rsidRPr="00542393">
        <w:t>opposite</w:t>
      </w:r>
      <w:r w:rsidR="00484714" w:rsidRPr="00542393">
        <w:t xml:space="preserve"> scenario</w:t>
      </w:r>
      <w:r w:rsidR="00390F85" w:rsidRPr="00542393">
        <w:t xml:space="preserve"> where the NET curve crosses the vertical axis</w:t>
      </w:r>
      <w:r w:rsidR="00EA02B9" w:rsidRPr="00542393">
        <w:t>, and is also determined by the horizontal distance from the end of the NET curve to the vertical axis.</w:t>
      </w:r>
      <w:r w:rsidR="00484714" w:rsidRPr="00542393">
        <w:t xml:space="preserve"> </w:t>
      </w:r>
      <w:r w:rsidR="00A341D8" w:rsidRPr="00542393">
        <w:t>The example in Figure 2a shows a net-zero deficit.</w:t>
      </w:r>
    </w:p>
    <w:p w14:paraId="6E57E88E" w14:textId="1CB510DB" w:rsidR="0010520E" w:rsidRPr="00542393" w:rsidRDefault="00484714" w:rsidP="00484714">
      <w:pPr>
        <w:pStyle w:val="CETListbullets"/>
        <w:numPr>
          <w:ilvl w:val="0"/>
          <w:numId w:val="23"/>
        </w:numPr>
        <w:ind w:left="426" w:hanging="426"/>
      </w:pPr>
      <w:r w:rsidRPr="00542393">
        <w:t>In the case of net-zero deficit, the decisionmaker may</w:t>
      </w:r>
      <w:r w:rsidR="00AD6A8F" w:rsidRPr="00542393">
        <w:t xml:space="preserve"> </w:t>
      </w:r>
      <w:r w:rsidR="00436900" w:rsidRPr="00542393">
        <w:t>want to meet net-zero</w:t>
      </w:r>
      <w:r w:rsidR="00563C62" w:rsidRPr="00542393">
        <w:t xml:space="preserve"> emissions</w:t>
      </w:r>
      <w:r w:rsidR="00436900" w:rsidRPr="00542393">
        <w:t xml:space="preserve"> by</w:t>
      </w:r>
      <w:r w:rsidR="00AD6A8F" w:rsidRPr="00542393">
        <w:t xml:space="preserve"> </w:t>
      </w:r>
      <w:r w:rsidR="00260235" w:rsidRPr="00542393">
        <w:t>shift</w:t>
      </w:r>
      <w:r w:rsidR="00436900" w:rsidRPr="00542393">
        <w:t>ing</w:t>
      </w:r>
      <w:r w:rsidR="00260235" w:rsidRPr="00542393">
        <w:t xml:space="preserve"> the graph</w:t>
      </w:r>
      <w:r w:rsidR="00436900" w:rsidRPr="00542393">
        <w:t>,</w:t>
      </w:r>
      <w:r w:rsidR="00260235" w:rsidRPr="00542393">
        <w:t xml:space="preserve"> </w:t>
      </w:r>
      <w:r w:rsidR="00FD50E6" w:rsidRPr="00542393">
        <w:t xml:space="preserve">and </w:t>
      </w:r>
      <w:r w:rsidR="00436900" w:rsidRPr="00542393">
        <w:t xml:space="preserve">reducing </w:t>
      </w:r>
      <w:r w:rsidR="00260235" w:rsidRPr="00542393">
        <w:t>the</w:t>
      </w:r>
      <w:r w:rsidR="00A36574" w:rsidRPr="00542393">
        <w:t xml:space="preserve"> </w:t>
      </w:r>
      <w:r w:rsidR="00260235" w:rsidRPr="00542393">
        <w:t>CO</w:t>
      </w:r>
      <w:r w:rsidR="00260235" w:rsidRPr="00542393">
        <w:rPr>
          <w:vertAlign w:val="subscript"/>
        </w:rPr>
        <w:t>2</w:t>
      </w:r>
      <w:r w:rsidR="00260235" w:rsidRPr="00542393">
        <w:t xml:space="preserve">-emitting sources </w:t>
      </w:r>
      <w:r w:rsidR="00B30DD6" w:rsidRPr="00542393">
        <w:t>as shown in Figure 2b.</w:t>
      </w:r>
      <w:r w:rsidRPr="00542393">
        <w:t xml:space="preserve"> Other options include </w:t>
      </w:r>
      <w:r w:rsidR="00DC3076" w:rsidRPr="00542393">
        <w:t>adding</w:t>
      </w:r>
      <w:r w:rsidR="00AD6A8F" w:rsidRPr="00542393">
        <w:t xml:space="preserve"> NETs, replacing the CO</w:t>
      </w:r>
      <w:r w:rsidR="00AD6A8F" w:rsidRPr="00542393">
        <w:rPr>
          <w:vertAlign w:val="subscript"/>
        </w:rPr>
        <w:t>2</w:t>
      </w:r>
      <w:r w:rsidR="00AD6A8F" w:rsidRPr="00542393">
        <w:t>-emitting sources with renewables, or changing the composition of the CO</w:t>
      </w:r>
      <w:r w:rsidR="00AD6A8F" w:rsidRPr="00542393">
        <w:rPr>
          <w:vertAlign w:val="subscript"/>
        </w:rPr>
        <w:t>2</w:t>
      </w:r>
      <w:r w:rsidR="00AD6A8F" w:rsidRPr="00542393">
        <w:t>-emitting sources (e.g. reducing higher emitting sources and increasing lower</w:t>
      </w:r>
      <w:r w:rsidR="00FD50E6" w:rsidRPr="00542393">
        <w:t>-</w:t>
      </w:r>
      <w:r w:rsidR="00AD6A8F" w:rsidRPr="00542393">
        <w:t xml:space="preserve">emitting sources) to meet net-zero. In the rare case of </w:t>
      </w:r>
      <w:r w:rsidR="00B55108" w:rsidRPr="00542393">
        <w:t xml:space="preserve">a </w:t>
      </w:r>
      <w:r w:rsidR="00AD6A8F" w:rsidRPr="00542393">
        <w:t xml:space="preserve">net-zero surplus, the decisionmaker may opt to reduce the NETs to save on cost or to keep the NETs for </w:t>
      </w:r>
      <w:r w:rsidR="00B55108" w:rsidRPr="00542393">
        <w:t xml:space="preserve">extra </w:t>
      </w:r>
      <w:r w:rsidR="00AD6A8F" w:rsidRPr="00542393">
        <w:t xml:space="preserve">negative emissions. </w:t>
      </w:r>
    </w:p>
    <w:p w14:paraId="5BC38B6C" w14:textId="63DC60E4" w:rsidR="00255CC9" w:rsidRPr="00542393" w:rsidRDefault="009A067F" w:rsidP="00542393">
      <w:pPr>
        <w:pStyle w:val="CETListbullets"/>
        <w:numPr>
          <w:ilvl w:val="0"/>
          <w:numId w:val="23"/>
        </w:numPr>
        <w:ind w:left="426" w:hanging="426"/>
      </w:pPr>
      <w:r w:rsidRPr="00542393">
        <w:t xml:space="preserve">Determine </w:t>
      </w:r>
      <w:r w:rsidR="00D86DDC" w:rsidRPr="00542393">
        <w:t xml:space="preserve">the total cost of the selected technologies by </w:t>
      </w:r>
      <w:r w:rsidRPr="00542393">
        <w:t xml:space="preserve">calculating </w:t>
      </w:r>
      <w:r w:rsidR="00D86DDC" w:rsidRPr="00542393">
        <w:t>the area under</w:t>
      </w:r>
      <w:r w:rsidR="00007D31" w:rsidRPr="00542393">
        <w:t xml:space="preserve"> the</w:t>
      </w:r>
      <w:r w:rsidR="00D86DDC" w:rsidRPr="00542393">
        <w:t xml:space="preserve"> curve</w:t>
      </w:r>
      <w:r w:rsidR="00056B72" w:rsidRPr="00542393">
        <w:t>s</w:t>
      </w:r>
      <w:r w:rsidR="00D86DDC" w:rsidRPr="00542393">
        <w:t xml:space="preserve">. </w:t>
      </w:r>
    </w:p>
    <w:p w14:paraId="66B988CD" w14:textId="76C2058C" w:rsidR="00255CC9" w:rsidRDefault="00255CC9" w:rsidP="00255CC9">
      <w:pPr>
        <w:pStyle w:val="CETList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47"/>
      </w:tblGrid>
      <w:tr w:rsidR="00BA4C89" w:rsidRPr="00B03B0B" w14:paraId="51268667" w14:textId="77777777" w:rsidTr="00060CCA">
        <w:tc>
          <w:tcPr>
            <w:tcW w:w="4355" w:type="dxa"/>
          </w:tcPr>
          <w:p w14:paraId="4598DA25" w14:textId="4203F29A" w:rsidR="00BA4C89" w:rsidRPr="00B03B0B" w:rsidRDefault="00BA4C89" w:rsidP="00060CCA">
            <w:pPr>
              <w:pStyle w:val="CETCaption"/>
            </w:pPr>
            <w:r w:rsidRPr="00B03B0B">
              <w:rPr>
                <w:noProof/>
                <w:lang w:eastAsia="zh-CN"/>
              </w:rPr>
              <mc:AlternateContent>
                <mc:Choice Requires="wps">
                  <w:drawing>
                    <wp:anchor distT="45720" distB="45720" distL="114300" distR="114300" simplePos="0" relativeHeight="251659264" behindDoc="0" locked="0" layoutInCell="1" allowOverlap="1" wp14:anchorId="4DFF0485" wp14:editId="4B5D39C2">
                      <wp:simplePos x="0" y="0"/>
                      <wp:positionH relativeFrom="column">
                        <wp:posOffset>-90805</wp:posOffset>
                      </wp:positionH>
                      <wp:positionV relativeFrom="paragraph">
                        <wp:posOffset>24489</wp:posOffset>
                      </wp:positionV>
                      <wp:extent cx="56007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404620"/>
                              </a:xfrm>
                              <a:prstGeom prst="rect">
                                <a:avLst/>
                              </a:prstGeom>
                              <a:noFill/>
                              <a:ln w="9525">
                                <a:noFill/>
                                <a:miter lim="800000"/>
                                <a:headEnd/>
                                <a:tailEnd/>
                              </a:ln>
                            </wps:spPr>
                            <wps:txbx>
                              <w:txbxContent>
                                <w:p w14:paraId="2331C84C" w14:textId="77777777" w:rsidR="00BA4C89" w:rsidRDefault="00BA4C89" w:rsidP="00BA4C89">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F0485" id="_x0000_t202" coordsize="21600,21600" o:spt="202" path="m,l,21600r21600,l21600,xe">
                      <v:stroke joinstyle="miter"/>
                      <v:path gradientshapeok="t" o:connecttype="rect"/>
                    </v:shapetype>
                    <v:shape id="Text Box 2" o:spid="_x0000_s1026" type="#_x0000_t202" style="position:absolute;left:0;text-align:left;margin-left:-7.15pt;margin-top:1.95pt;width:4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i0+QEAAM0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" filled="f" stroked="f">
                      <v:textbox style="mso-fit-shape-to-text:t">
                        <w:txbxContent>
                          <w:p w14:paraId="2331C84C" w14:textId="77777777" w:rsidR="00BA4C89" w:rsidRDefault="00BA4C89" w:rsidP="00BA4C89">
                            <w:r>
                              <w:t>(a)</w:t>
                            </w:r>
                          </w:p>
                        </w:txbxContent>
                      </v:textbox>
                    </v:shape>
                  </w:pict>
                </mc:Fallback>
              </mc:AlternateContent>
            </w:r>
            <w:r w:rsidR="00F04D41">
              <w:t xml:space="preserve"> </w:t>
            </w:r>
            <w:r w:rsidR="00A6386B">
              <w:t xml:space="preserve"> </w:t>
            </w:r>
            <w:r w:rsidR="00AD6A8F">
              <w:t xml:space="preserve"> </w:t>
            </w:r>
            <w:r w:rsidR="00AD6A8F">
              <w:rPr>
                <w:noProof/>
              </w:rPr>
              <w:drawing>
                <wp:inline distT="0" distB="0" distL="0" distR="0" wp14:anchorId="3C5FDB62" wp14:editId="77B9B6E1">
                  <wp:extent cx="2099865" cy="169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865" cy="1692000"/>
                          </a:xfrm>
                          <a:prstGeom prst="rect">
                            <a:avLst/>
                          </a:prstGeom>
                          <a:noFill/>
                          <a:ln>
                            <a:noFill/>
                          </a:ln>
                        </pic:spPr>
                      </pic:pic>
                    </a:graphicData>
                  </a:graphic>
                </wp:inline>
              </w:drawing>
            </w:r>
          </w:p>
        </w:tc>
        <w:tc>
          <w:tcPr>
            <w:tcW w:w="4347" w:type="dxa"/>
          </w:tcPr>
          <w:p w14:paraId="13F5A0CD" w14:textId="7C496C0C" w:rsidR="00BA4C89" w:rsidRPr="00B03B0B" w:rsidRDefault="00A6386B" w:rsidP="00060CCA">
            <w:pPr>
              <w:pStyle w:val="CETCaption"/>
            </w:pPr>
            <w:r>
              <w:t xml:space="preserve"> </w:t>
            </w:r>
            <w:r w:rsidR="00AD6A8F">
              <w:t xml:space="preserve"> </w:t>
            </w:r>
            <w:r w:rsidR="00AD6A8F">
              <w:rPr>
                <w:noProof/>
              </w:rPr>
              <w:drawing>
                <wp:inline distT="0" distB="0" distL="0" distR="0" wp14:anchorId="62F8D8D3" wp14:editId="2F6E6261">
                  <wp:extent cx="2099865" cy="169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865" cy="1692000"/>
                          </a:xfrm>
                          <a:prstGeom prst="rect">
                            <a:avLst/>
                          </a:prstGeom>
                          <a:noFill/>
                          <a:ln>
                            <a:noFill/>
                          </a:ln>
                        </pic:spPr>
                      </pic:pic>
                    </a:graphicData>
                  </a:graphic>
                </wp:inline>
              </w:drawing>
            </w:r>
            <w:r w:rsidR="00F04D41" w:rsidRPr="00B03B0B">
              <w:rPr>
                <w:noProof/>
                <w:lang w:eastAsia="zh-CN"/>
              </w:rPr>
              <w:t xml:space="preserve"> </w:t>
            </w:r>
            <w:r w:rsidR="00BA4C89" w:rsidRPr="00B03B0B">
              <w:rPr>
                <w:noProof/>
                <w:lang w:eastAsia="zh-CN"/>
              </w:rPr>
              <mc:AlternateContent>
                <mc:Choice Requires="wps">
                  <w:drawing>
                    <wp:anchor distT="45720" distB="45720" distL="114300" distR="114300" simplePos="0" relativeHeight="251660288" behindDoc="0" locked="0" layoutInCell="1" allowOverlap="1" wp14:anchorId="1941A908" wp14:editId="57E32B62">
                      <wp:simplePos x="0" y="0"/>
                      <wp:positionH relativeFrom="column">
                        <wp:posOffset>-143040</wp:posOffset>
                      </wp:positionH>
                      <wp:positionV relativeFrom="paragraph">
                        <wp:posOffset>23771</wp:posOffset>
                      </wp:positionV>
                      <wp:extent cx="560070" cy="140462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404620"/>
                              </a:xfrm>
                              <a:prstGeom prst="rect">
                                <a:avLst/>
                              </a:prstGeom>
                              <a:noFill/>
                              <a:ln w="9525">
                                <a:noFill/>
                                <a:miter lim="800000"/>
                                <a:headEnd/>
                                <a:tailEnd/>
                              </a:ln>
                            </wps:spPr>
                            <wps:txbx>
                              <w:txbxContent>
                                <w:p w14:paraId="24AFF5DC" w14:textId="77777777" w:rsidR="00BA4C89" w:rsidRDefault="00BA4C89" w:rsidP="00BA4C89">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1A908" id="_x0000_s1027" type="#_x0000_t202" style="position:absolute;left:0;text-align:left;margin-left:-11.25pt;margin-top:1.85pt;width:44.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jq+wEAANQ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" filled="f" stroked="f">
                      <v:textbox style="mso-fit-shape-to-text:t">
                        <w:txbxContent>
                          <w:p w14:paraId="24AFF5DC" w14:textId="77777777" w:rsidR="00BA4C89" w:rsidRDefault="00BA4C89" w:rsidP="00BA4C89">
                            <w:r>
                              <w:t>(b)</w:t>
                            </w:r>
                          </w:p>
                        </w:txbxContent>
                      </v:textbox>
                    </v:shape>
                  </w:pict>
                </mc:Fallback>
              </mc:AlternateContent>
            </w:r>
          </w:p>
        </w:tc>
      </w:tr>
    </w:tbl>
    <w:p w14:paraId="4A936FAC" w14:textId="4CCDED5B" w:rsidR="00846364" w:rsidRPr="00B03B0B" w:rsidRDefault="00846364" w:rsidP="00846364">
      <w:pPr>
        <w:pStyle w:val="CETCaption"/>
      </w:pPr>
      <w:r w:rsidRPr="00B03B0B">
        <w:rPr>
          <w:rStyle w:val="CETCaptionCarattere"/>
          <w:i/>
        </w:rPr>
        <w:t>Figure 1: (a)</w:t>
      </w:r>
      <w:r w:rsidR="0068384E">
        <w:rPr>
          <w:rStyle w:val="CETCaptionCarattere"/>
          <w:i/>
        </w:rPr>
        <w:t xml:space="preserve"> </w:t>
      </w:r>
      <w:r w:rsidR="003E7902">
        <w:rPr>
          <w:rStyle w:val="CETCaptionCarattere"/>
          <w:i/>
        </w:rPr>
        <w:t>P</w:t>
      </w:r>
      <w:r w:rsidR="0068384E">
        <w:rPr>
          <w:rStyle w:val="CETCaptionCarattere"/>
          <w:i/>
        </w:rPr>
        <w:t xml:space="preserve">lotting </w:t>
      </w:r>
      <w:r w:rsidR="003E7902">
        <w:rPr>
          <w:rStyle w:val="CETCaptionCarattere"/>
          <w:i/>
        </w:rPr>
        <w:t xml:space="preserve">of </w:t>
      </w:r>
      <w:r w:rsidR="0068384E">
        <w:rPr>
          <w:rStyle w:val="CETCaptionCarattere"/>
          <w:i/>
        </w:rPr>
        <w:t xml:space="preserve">the </w:t>
      </w:r>
      <w:r w:rsidR="0068384E" w:rsidRPr="00C13701">
        <w:t>CO</w:t>
      </w:r>
      <w:r w:rsidR="0068384E" w:rsidRPr="00503485">
        <w:rPr>
          <w:vertAlign w:val="subscript"/>
        </w:rPr>
        <w:t>2</w:t>
      </w:r>
      <w:r w:rsidR="0068384E">
        <w:t>-</w:t>
      </w:r>
      <w:r w:rsidR="0068384E" w:rsidRPr="00AC4DD6">
        <w:t xml:space="preserve">emitting </w:t>
      </w:r>
      <w:r w:rsidR="0068384E">
        <w:t>sources</w:t>
      </w:r>
      <w:r w:rsidR="003E7902">
        <w:t>;</w:t>
      </w:r>
      <w:r w:rsidRPr="00B03B0B">
        <w:rPr>
          <w:rStyle w:val="CETCaptionCarattere"/>
          <w:i/>
        </w:rPr>
        <w:t xml:space="preserve"> (b)</w:t>
      </w:r>
      <w:r w:rsidR="0068384E">
        <w:rPr>
          <w:rStyle w:val="CETCaptionCarattere"/>
          <w:i/>
        </w:rPr>
        <w:t xml:space="preserve"> plotting </w:t>
      </w:r>
      <w:r w:rsidR="003E7902">
        <w:rPr>
          <w:rStyle w:val="CETCaptionCarattere"/>
          <w:i/>
        </w:rPr>
        <w:t xml:space="preserve">of </w:t>
      </w:r>
      <w:r w:rsidR="0068384E">
        <w:rPr>
          <w:rStyle w:val="CETCaptionCarattere"/>
          <w:i/>
        </w:rPr>
        <w:t>the NET</w:t>
      </w:r>
      <w:r w:rsidR="0001376A">
        <w:rPr>
          <w:rStyle w:val="CETCaptionCarattere"/>
          <w:i/>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47"/>
      </w:tblGrid>
      <w:tr w:rsidR="00F04D41" w:rsidRPr="00B03B0B" w14:paraId="0530ABC7" w14:textId="77777777" w:rsidTr="00060CCA">
        <w:tc>
          <w:tcPr>
            <w:tcW w:w="4355" w:type="dxa"/>
          </w:tcPr>
          <w:p w14:paraId="2F9BBE89" w14:textId="3A509346" w:rsidR="00F04D41" w:rsidRPr="00B03B0B" w:rsidRDefault="00F04D41" w:rsidP="00060CCA">
            <w:pPr>
              <w:pStyle w:val="CETCaption"/>
            </w:pPr>
            <w:r w:rsidRPr="00B03B0B">
              <w:rPr>
                <w:noProof/>
                <w:lang w:eastAsia="zh-CN"/>
              </w:rPr>
              <mc:AlternateContent>
                <mc:Choice Requires="wps">
                  <w:drawing>
                    <wp:anchor distT="45720" distB="45720" distL="114300" distR="114300" simplePos="0" relativeHeight="251662336" behindDoc="0" locked="0" layoutInCell="1" allowOverlap="1" wp14:anchorId="5D3DA8DA" wp14:editId="2C75BF45">
                      <wp:simplePos x="0" y="0"/>
                      <wp:positionH relativeFrom="column">
                        <wp:posOffset>-90805</wp:posOffset>
                      </wp:positionH>
                      <wp:positionV relativeFrom="paragraph">
                        <wp:posOffset>24489</wp:posOffset>
                      </wp:positionV>
                      <wp:extent cx="560070" cy="140462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404620"/>
                              </a:xfrm>
                              <a:prstGeom prst="rect">
                                <a:avLst/>
                              </a:prstGeom>
                              <a:noFill/>
                              <a:ln w="9525">
                                <a:noFill/>
                                <a:miter lim="800000"/>
                                <a:headEnd/>
                                <a:tailEnd/>
                              </a:ln>
                            </wps:spPr>
                            <wps:txbx>
                              <w:txbxContent>
                                <w:p w14:paraId="6D38FD5E" w14:textId="77777777" w:rsidR="00F04D41" w:rsidRDefault="00F04D41" w:rsidP="00F04D41">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DA8DA" id="_x0000_s1028" type="#_x0000_t202" style="position:absolute;left:0;text-align:left;margin-left:-7.15pt;margin-top:1.95pt;width:44.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or/QEAANQ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" filled="f" stroked="f">
                      <v:textbox style="mso-fit-shape-to-text:t">
                        <w:txbxContent>
                          <w:p w14:paraId="6D38FD5E" w14:textId="77777777" w:rsidR="00F04D41" w:rsidRDefault="00F04D41" w:rsidP="00F04D41">
                            <w:r>
                              <w:t>(a)</w:t>
                            </w:r>
                          </w:p>
                        </w:txbxContent>
                      </v:textbox>
                    </v:shape>
                  </w:pict>
                </mc:Fallback>
              </mc:AlternateContent>
            </w:r>
            <w:r>
              <w:t xml:space="preserve"> </w:t>
            </w:r>
            <w:r w:rsidR="00A6386B">
              <w:t xml:space="preserve"> </w:t>
            </w:r>
            <w:r w:rsidR="00AD6A8F">
              <w:t xml:space="preserve"> </w:t>
            </w:r>
            <w:r w:rsidR="00AD6A8F">
              <w:rPr>
                <w:noProof/>
              </w:rPr>
              <w:drawing>
                <wp:inline distT="0" distB="0" distL="0" distR="0" wp14:anchorId="012994D1" wp14:editId="001E557D">
                  <wp:extent cx="2134737" cy="169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4737" cy="1692000"/>
                          </a:xfrm>
                          <a:prstGeom prst="rect">
                            <a:avLst/>
                          </a:prstGeom>
                          <a:noFill/>
                          <a:ln>
                            <a:noFill/>
                          </a:ln>
                        </pic:spPr>
                      </pic:pic>
                    </a:graphicData>
                  </a:graphic>
                </wp:inline>
              </w:drawing>
            </w:r>
          </w:p>
        </w:tc>
        <w:tc>
          <w:tcPr>
            <w:tcW w:w="4347" w:type="dxa"/>
          </w:tcPr>
          <w:p w14:paraId="04E94CB7" w14:textId="652A1320" w:rsidR="00F04D41" w:rsidRPr="00B03B0B" w:rsidRDefault="00A6386B" w:rsidP="00060CCA">
            <w:pPr>
              <w:pStyle w:val="CETCaption"/>
            </w:pPr>
            <w:r>
              <w:t xml:space="preserve"> </w:t>
            </w:r>
            <w:r w:rsidR="00AD6A8F">
              <w:t xml:space="preserve"> </w:t>
            </w:r>
            <w:r w:rsidR="00AD6A8F">
              <w:rPr>
                <w:noProof/>
              </w:rPr>
              <w:drawing>
                <wp:inline distT="0" distB="0" distL="0" distR="0" wp14:anchorId="2F45A9B3" wp14:editId="2B766585">
                  <wp:extent cx="2199066" cy="169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066" cy="1692000"/>
                          </a:xfrm>
                          <a:prstGeom prst="rect">
                            <a:avLst/>
                          </a:prstGeom>
                          <a:noFill/>
                          <a:ln>
                            <a:noFill/>
                          </a:ln>
                        </pic:spPr>
                      </pic:pic>
                    </a:graphicData>
                  </a:graphic>
                </wp:inline>
              </w:drawing>
            </w:r>
            <w:r w:rsidR="00F04D41" w:rsidRPr="00B03B0B">
              <w:rPr>
                <w:noProof/>
                <w:lang w:eastAsia="zh-CN"/>
              </w:rPr>
              <w:t xml:space="preserve"> </w:t>
            </w:r>
            <w:r w:rsidR="00F04D41" w:rsidRPr="00B03B0B">
              <w:rPr>
                <w:noProof/>
                <w:lang w:eastAsia="zh-CN"/>
              </w:rPr>
              <mc:AlternateContent>
                <mc:Choice Requires="wps">
                  <w:drawing>
                    <wp:anchor distT="45720" distB="45720" distL="114300" distR="114300" simplePos="0" relativeHeight="251663360" behindDoc="0" locked="0" layoutInCell="1" allowOverlap="1" wp14:anchorId="4512CD2D" wp14:editId="7D560C9D">
                      <wp:simplePos x="0" y="0"/>
                      <wp:positionH relativeFrom="column">
                        <wp:posOffset>-143040</wp:posOffset>
                      </wp:positionH>
                      <wp:positionV relativeFrom="paragraph">
                        <wp:posOffset>23771</wp:posOffset>
                      </wp:positionV>
                      <wp:extent cx="560070" cy="140462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404620"/>
                              </a:xfrm>
                              <a:prstGeom prst="rect">
                                <a:avLst/>
                              </a:prstGeom>
                              <a:noFill/>
                              <a:ln w="9525">
                                <a:noFill/>
                                <a:miter lim="800000"/>
                                <a:headEnd/>
                                <a:tailEnd/>
                              </a:ln>
                            </wps:spPr>
                            <wps:txbx>
                              <w:txbxContent>
                                <w:p w14:paraId="0BC38AA9" w14:textId="77777777" w:rsidR="00F04D41" w:rsidRDefault="00F04D41" w:rsidP="00F04D41">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2CD2D" id="_x0000_s1029" type="#_x0000_t202" style="position:absolute;left:0;text-align:left;margin-left:-11.25pt;margin-top:1.85pt;width:44.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Td/gEAANQDAAAOAAAAZHJzL2Uyb0RvYy54bWysU9uO2yAQfa/Uf0C8N7ZTJ7t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" filled="f" stroked="f">
                      <v:textbox style="mso-fit-shape-to-text:t">
                        <w:txbxContent>
                          <w:p w14:paraId="0BC38AA9" w14:textId="77777777" w:rsidR="00F04D41" w:rsidRDefault="00F04D41" w:rsidP="00F04D41">
                            <w:r>
                              <w:t>(b)</w:t>
                            </w:r>
                          </w:p>
                        </w:txbxContent>
                      </v:textbox>
                    </v:shape>
                  </w:pict>
                </mc:Fallback>
              </mc:AlternateContent>
            </w:r>
          </w:p>
        </w:tc>
      </w:tr>
    </w:tbl>
    <w:p w14:paraId="373A939C" w14:textId="6F3B2DBE" w:rsidR="00F04D41" w:rsidRPr="00B03B0B" w:rsidRDefault="00F04D41" w:rsidP="00F04D41">
      <w:pPr>
        <w:pStyle w:val="CETCaption"/>
      </w:pPr>
      <w:r w:rsidRPr="00B03B0B">
        <w:rPr>
          <w:rStyle w:val="CETCaptionCarattere"/>
          <w:i/>
        </w:rPr>
        <w:t xml:space="preserve">Figure </w:t>
      </w:r>
      <w:r>
        <w:rPr>
          <w:rStyle w:val="CETCaptionCarattere"/>
          <w:i/>
        </w:rPr>
        <w:t>2</w:t>
      </w:r>
      <w:r w:rsidRPr="00B03B0B">
        <w:rPr>
          <w:rStyle w:val="CETCaptionCarattere"/>
          <w:i/>
        </w:rPr>
        <w:t xml:space="preserve">: </w:t>
      </w:r>
      <w:r w:rsidR="003E7902">
        <w:rPr>
          <w:rStyle w:val="CETCaptionCarattere"/>
          <w:i/>
        </w:rPr>
        <w:t xml:space="preserve">(a) </w:t>
      </w:r>
      <w:r w:rsidR="00705106">
        <w:rPr>
          <w:rStyle w:val="CETCaptionCarattere"/>
          <w:i/>
        </w:rPr>
        <w:t>Identifying the net-zero deficit</w:t>
      </w:r>
      <w:r w:rsidR="003E7902">
        <w:rPr>
          <w:rStyle w:val="CETCaptionCarattere"/>
          <w:i/>
        </w:rPr>
        <w:t>; (b)</w:t>
      </w:r>
      <w:r w:rsidR="00705106">
        <w:rPr>
          <w:rStyle w:val="CETCaptionCarattere"/>
          <w:i/>
        </w:rPr>
        <w:t xml:space="preserve"> reducing the </w:t>
      </w:r>
      <w:r w:rsidR="00705106" w:rsidRPr="00705106">
        <w:rPr>
          <w:rStyle w:val="CETCaptionCarattere"/>
          <w:i/>
        </w:rPr>
        <w:t>CO</w:t>
      </w:r>
      <w:r w:rsidR="00705106" w:rsidRPr="00705106">
        <w:rPr>
          <w:rStyle w:val="CETCaptionCarattere"/>
          <w:i/>
          <w:vertAlign w:val="subscript"/>
        </w:rPr>
        <w:t>2</w:t>
      </w:r>
      <w:r w:rsidR="00705106" w:rsidRPr="00705106">
        <w:rPr>
          <w:rStyle w:val="CETCaptionCarattere"/>
          <w:i/>
        </w:rPr>
        <w:t>-emitting sources</w:t>
      </w:r>
      <w:r w:rsidR="00705106">
        <w:rPr>
          <w:rStyle w:val="CETCaptionCarattere"/>
          <w:i/>
        </w:rPr>
        <w:t xml:space="preserve"> by shifting the graph</w:t>
      </w:r>
      <w:r w:rsidR="008D53D2">
        <w:rPr>
          <w:rStyle w:val="CETCaptionCarattere"/>
          <w:i/>
        </w:rPr>
        <w:t xml:space="preserve"> after step </w:t>
      </w:r>
      <w:r w:rsidR="00AD6A8F">
        <w:rPr>
          <w:rStyle w:val="CETCaptionCarattere"/>
          <w:i/>
        </w:rPr>
        <w:t>4</w:t>
      </w:r>
      <w:r w:rsidR="000655EE">
        <w:rPr>
          <w:rStyle w:val="CETCaptionCarattere"/>
          <w:i/>
        </w:rPr>
        <w:t xml:space="preserve"> (b)</w:t>
      </w:r>
    </w:p>
    <w:p w14:paraId="0C7D508F" w14:textId="77777777" w:rsidR="00ED1666" w:rsidRPr="00542393" w:rsidRDefault="00ED1666" w:rsidP="00ED1666">
      <w:pPr>
        <w:pStyle w:val="CETHeading1"/>
        <w:rPr>
          <w:lang w:val="en-GB"/>
        </w:rPr>
      </w:pPr>
      <w:r w:rsidRPr="00542393">
        <w:rPr>
          <w:lang w:val="en-GB"/>
        </w:rPr>
        <w:t>Case Study</w:t>
      </w:r>
    </w:p>
    <w:p w14:paraId="281E5DA2" w14:textId="173D33F7" w:rsidR="009411D8" w:rsidRPr="00542393" w:rsidRDefault="001272C7" w:rsidP="002E0897">
      <w:pPr>
        <w:pStyle w:val="CETBodytext"/>
      </w:pPr>
      <w:r w:rsidRPr="00542393">
        <w:t xml:space="preserve">The following case study is based on </w:t>
      </w:r>
      <w:r w:rsidR="00A640CC" w:rsidRPr="00542393">
        <w:t xml:space="preserve">a power industry </w:t>
      </w:r>
      <w:r w:rsidRPr="00542393">
        <w:t>that use</w:t>
      </w:r>
      <w:r w:rsidR="00F8764D" w:rsidRPr="00542393">
        <w:t>s</w:t>
      </w:r>
      <w:r w:rsidR="00DB6A15" w:rsidRPr="00542393">
        <w:t xml:space="preserve"> the traditional energy sources</w:t>
      </w:r>
      <w:r w:rsidR="00321A0C" w:rsidRPr="00542393">
        <w:t>,</w:t>
      </w:r>
      <w:r w:rsidRPr="00542393">
        <w:t xml:space="preserve"> coal</w:t>
      </w:r>
      <w:r w:rsidR="0048267D" w:rsidRPr="00542393">
        <w:t>,</w:t>
      </w:r>
      <w:r w:rsidR="00DB6A15" w:rsidRPr="00542393">
        <w:t xml:space="preserve"> and</w:t>
      </w:r>
      <w:r w:rsidR="00E45C30" w:rsidRPr="00542393">
        <w:t xml:space="preserve"> natural gas (NG</w:t>
      </w:r>
      <w:r w:rsidR="00D77E79" w:rsidRPr="00542393">
        <w:t>)</w:t>
      </w:r>
      <w:r w:rsidR="00F8764D" w:rsidRPr="00542393">
        <w:t>;</w:t>
      </w:r>
      <w:r w:rsidR="00E45C30" w:rsidRPr="00542393">
        <w:t xml:space="preserve"> </w:t>
      </w:r>
      <w:r w:rsidR="00D852DA" w:rsidRPr="00542393">
        <w:t>with</w:t>
      </w:r>
      <w:r w:rsidR="00AD6970" w:rsidRPr="00542393">
        <w:t xml:space="preserve"> BC and</w:t>
      </w:r>
      <w:r w:rsidR="00E45C30" w:rsidRPr="00542393">
        <w:t xml:space="preserve"> BECCS as </w:t>
      </w:r>
      <w:r w:rsidR="00DB6A15" w:rsidRPr="00542393">
        <w:t>NET</w:t>
      </w:r>
      <w:r w:rsidR="00AD6970" w:rsidRPr="00542393">
        <w:t>s</w:t>
      </w:r>
      <w:r w:rsidR="00E45C30" w:rsidRPr="00542393">
        <w:t>.</w:t>
      </w:r>
      <w:r w:rsidR="00BB4E1B" w:rsidRPr="00542393">
        <w:t xml:space="preserve"> Table 1 shows the power plant data using the traditional energy sources adapted from </w:t>
      </w:r>
      <w:r w:rsidR="00BB4E1B" w:rsidRPr="00542393">
        <w:fldChar w:fldCharType="begin" w:fldLock="1"/>
      </w:r>
      <w:r w:rsidR="00BB4E1B"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2022)","manualFormatting":"Lameh et al. (2022)","plainTextFormattedCitation":"(Lameh et al., 2022)","previouslyFormattedCitation":"(Lameh et al., 2022)"},"properties":{"noteIndex":0},"schema":"https://github.com/citation-style-language/schema/raw/master/csl-citation.json"}</w:instrText>
      </w:r>
      <w:r w:rsidR="00BB4E1B" w:rsidRPr="00542393">
        <w:fldChar w:fldCharType="separate"/>
      </w:r>
      <w:r w:rsidR="00BB4E1B" w:rsidRPr="00542393">
        <w:rPr>
          <w:noProof/>
        </w:rPr>
        <w:t>Lameh et al. (2022)</w:t>
      </w:r>
      <w:r w:rsidR="00BB4E1B" w:rsidRPr="00542393">
        <w:fldChar w:fldCharType="end"/>
      </w:r>
      <w:r w:rsidR="00BB4E1B" w:rsidRPr="00542393">
        <w:t xml:space="preserve">. </w:t>
      </w:r>
      <w:r w:rsidR="009411D8" w:rsidRPr="00542393">
        <w:t xml:space="preserve"> </w:t>
      </w:r>
      <w:r w:rsidR="00FC064D" w:rsidRPr="00542393">
        <w:t>The power plants both have 500 MW capacities, and the CO</w:t>
      </w:r>
      <w:r w:rsidR="00FC064D" w:rsidRPr="00542393">
        <w:rPr>
          <w:vertAlign w:val="subscript"/>
        </w:rPr>
        <w:t>2</w:t>
      </w:r>
      <w:r w:rsidR="00FC064D" w:rsidRPr="00542393">
        <w:t xml:space="preserve"> </w:t>
      </w:r>
      <w:r w:rsidR="00FC064D" w:rsidRPr="00542393">
        <w:lastRenderedPageBreak/>
        <w:t xml:space="preserve">intensities were calculated using the published emission factors and 39% and 52% efficiencies for coal and natural gas </w:t>
      </w:r>
      <w:r w:rsidR="00FC064D" w:rsidRPr="00542393">
        <w:fldChar w:fldCharType="begin" w:fldLock="1"/>
      </w:r>
      <w:r w:rsidR="00FC064D"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2022)","plainTextFormattedCitation":"(Lameh et al., 2022)","previouslyFormattedCitation":"(Lameh et al., 2022)"},"properties":{"noteIndex":0},"schema":"https://github.com/citation-style-language/schema/raw/master/csl-citation.json"}</w:instrText>
      </w:r>
      <w:r w:rsidR="00FC064D" w:rsidRPr="00542393">
        <w:fldChar w:fldCharType="separate"/>
      </w:r>
      <w:r w:rsidR="00FC064D" w:rsidRPr="00542393">
        <w:rPr>
          <w:noProof/>
        </w:rPr>
        <w:t>(Lameh et al., 2022)</w:t>
      </w:r>
      <w:r w:rsidR="00FC064D" w:rsidRPr="00542393">
        <w:fldChar w:fldCharType="end"/>
      </w:r>
      <w:r w:rsidR="00FC064D" w:rsidRPr="00542393">
        <w:t>. The annual emissions were determined assuming 8,700 annual operational hours. The specific costs were calculated by dividing the total operating cost by the emissions, obtaining the values in Table 1.</w:t>
      </w:r>
    </w:p>
    <w:p w14:paraId="6A5167CF" w14:textId="2245C4BB" w:rsidR="00600535" w:rsidRPr="00542393" w:rsidRDefault="00600535" w:rsidP="00600535">
      <w:pPr>
        <w:pStyle w:val="CETTabletitle"/>
      </w:pPr>
      <w:r w:rsidRPr="00542393">
        <w:t>Table 1</w:t>
      </w:r>
      <w:bookmarkStart w:id="1" w:name="_Hlk109312422"/>
      <w:r w:rsidRPr="00542393">
        <w:t xml:space="preserve">: </w:t>
      </w:r>
      <w:r w:rsidR="005903EB" w:rsidRPr="00542393">
        <w:t>Power plant data using traditional energy sources</w:t>
      </w:r>
      <w:r w:rsidR="00DB6A15" w:rsidRPr="00542393">
        <w:t xml:space="preserve"> </w:t>
      </w:r>
      <w:r w:rsidR="00166C98" w:rsidRPr="00542393">
        <w:t>adapted from</w:t>
      </w:r>
      <w:r w:rsidR="00166C98" w:rsidRPr="00542393">
        <w:rPr>
          <w:i w:val="0"/>
          <w:iCs/>
        </w:rPr>
        <w:t xml:space="preserve"> </w:t>
      </w:r>
      <w:r w:rsidR="00166C98" w:rsidRPr="00542393">
        <w:fldChar w:fldCharType="begin" w:fldLock="1"/>
      </w:r>
      <w:r w:rsidR="00DF7933"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2022)","manualFormatting":"Lameh et al. (2022)","plainTextFormattedCitation":"(Lameh et al., 2022)","previouslyFormattedCitation":"(Lameh et al., 2022)"},"properties":{"noteIndex":0},"schema":"https://github.com/citation-style-language/schema/raw/master/csl-citation.json"}</w:instrText>
      </w:r>
      <w:r w:rsidR="00166C98" w:rsidRPr="00542393">
        <w:fldChar w:fldCharType="separate"/>
      </w:r>
      <w:r w:rsidR="00166C98" w:rsidRPr="00542393">
        <w:rPr>
          <w:noProof/>
        </w:rPr>
        <w:t>Lameh et al. (2022)</w:t>
      </w:r>
      <w:r w:rsidR="00166C98" w:rsidRPr="00542393">
        <w:fldChar w:fldCharType="end"/>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54"/>
        <w:gridCol w:w="1032"/>
        <w:gridCol w:w="1654"/>
        <w:gridCol w:w="1747"/>
        <w:gridCol w:w="1404"/>
        <w:gridCol w:w="996"/>
      </w:tblGrid>
      <w:tr w:rsidR="00542393" w:rsidRPr="00542393" w14:paraId="4B29AA51" w14:textId="4B1F5715" w:rsidTr="002E0897">
        <w:tc>
          <w:tcPr>
            <w:tcW w:w="1112" w:type="pct"/>
            <w:tcBorders>
              <w:top w:val="single" w:sz="12" w:space="0" w:color="008000"/>
              <w:bottom w:val="single" w:sz="6" w:space="0" w:color="008000"/>
            </w:tcBorders>
            <w:shd w:val="clear" w:color="auto" w:fill="FFFFFF"/>
          </w:tcPr>
          <w:bookmarkEnd w:id="1"/>
          <w:p w14:paraId="500859EC" w14:textId="1ABF1FEE" w:rsidR="0063630D" w:rsidRPr="00542393" w:rsidRDefault="0063630D" w:rsidP="00195042">
            <w:pPr>
              <w:pStyle w:val="CETBodytext"/>
              <w:jc w:val="left"/>
              <w:rPr>
                <w:lang w:val="en-GB"/>
              </w:rPr>
            </w:pPr>
            <w:r w:rsidRPr="00542393">
              <w:rPr>
                <w:lang w:val="en-GB"/>
              </w:rPr>
              <w:t>Energy Source</w:t>
            </w:r>
          </w:p>
        </w:tc>
        <w:tc>
          <w:tcPr>
            <w:tcW w:w="587" w:type="pct"/>
            <w:tcBorders>
              <w:top w:val="single" w:sz="12" w:space="0" w:color="008000"/>
              <w:bottom w:val="single" w:sz="6" w:space="0" w:color="008000"/>
            </w:tcBorders>
            <w:shd w:val="clear" w:color="auto" w:fill="FFFFFF"/>
          </w:tcPr>
          <w:p w14:paraId="5836D48C" w14:textId="77777777" w:rsidR="0063630D" w:rsidRPr="00542393" w:rsidRDefault="0063630D" w:rsidP="00195042">
            <w:pPr>
              <w:pStyle w:val="CETBodytext"/>
              <w:jc w:val="left"/>
              <w:rPr>
                <w:lang w:val="en-GB"/>
              </w:rPr>
            </w:pPr>
            <w:r w:rsidRPr="00542393">
              <w:rPr>
                <w:lang w:val="en-GB"/>
              </w:rPr>
              <w:t xml:space="preserve">Power Rating </w:t>
            </w:r>
          </w:p>
          <w:p w14:paraId="6B6E97E3" w14:textId="4630C65E" w:rsidR="0063630D" w:rsidRPr="00542393" w:rsidRDefault="0063630D" w:rsidP="00195042">
            <w:pPr>
              <w:pStyle w:val="CETBodytext"/>
              <w:jc w:val="left"/>
              <w:rPr>
                <w:lang w:val="en-GB"/>
              </w:rPr>
            </w:pPr>
            <w:r w:rsidRPr="00542393">
              <w:rPr>
                <w:lang w:val="en-GB"/>
              </w:rPr>
              <w:t>(MW)</w:t>
            </w:r>
          </w:p>
        </w:tc>
        <w:tc>
          <w:tcPr>
            <w:tcW w:w="941" w:type="pct"/>
            <w:tcBorders>
              <w:top w:val="single" w:sz="12" w:space="0" w:color="008000"/>
              <w:bottom w:val="single" w:sz="6" w:space="0" w:color="008000"/>
            </w:tcBorders>
            <w:shd w:val="clear" w:color="auto" w:fill="FFFFFF"/>
          </w:tcPr>
          <w:p w14:paraId="1E4345A1" w14:textId="77777777" w:rsidR="0063630D" w:rsidRPr="00542393" w:rsidRDefault="0063630D" w:rsidP="00195042">
            <w:pPr>
              <w:pStyle w:val="CETBodytext"/>
              <w:jc w:val="left"/>
              <w:rPr>
                <w:lang w:val="en-GB"/>
              </w:rPr>
            </w:pPr>
            <w:r w:rsidRPr="00542393">
              <w:rPr>
                <w:lang w:val="en-GB"/>
              </w:rPr>
              <w:t xml:space="preserve">Total Operating Cost </w:t>
            </w:r>
          </w:p>
          <w:p w14:paraId="0CC5C18D" w14:textId="03F9B938" w:rsidR="0063630D" w:rsidRPr="00542393" w:rsidRDefault="0063630D" w:rsidP="00195042">
            <w:pPr>
              <w:pStyle w:val="CETBodytext"/>
              <w:jc w:val="left"/>
              <w:rPr>
                <w:lang w:val="en-GB"/>
              </w:rPr>
            </w:pPr>
            <w:r w:rsidRPr="00542393">
              <w:rPr>
                <w:lang w:val="en-GB"/>
              </w:rPr>
              <w:t>(USD/MWh)</w:t>
            </w:r>
          </w:p>
        </w:tc>
        <w:tc>
          <w:tcPr>
            <w:tcW w:w="994" w:type="pct"/>
            <w:tcBorders>
              <w:top w:val="single" w:sz="12" w:space="0" w:color="008000"/>
              <w:bottom w:val="single" w:sz="6" w:space="0" w:color="008000"/>
            </w:tcBorders>
            <w:shd w:val="clear" w:color="auto" w:fill="FFFFFF"/>
          </w:tcPr>
          <w:p w14:paraId="7734F891" w14:textId="5C5D4B0E" w:rsidR="0063630D" w:rsidRPr="00542393" w:rsidRDefault="00565303" w:rsidP="00195042">
            <w:pPr>
              <w:pStyle w:val="CETBodytext"/>
              <w:ind w:right="-1"/>
              <w:jc w:val="left"/>
              <w:rPr>
                <w:rFonts w:cs="Arial"/>
                <w:szCs w:val="18"/>
                <w:lang w:val="en-GB"/>
              </w:rPr>
            </w:pPr>
            <w:r w:rsidRPr="00542393">
              <w:rPr>
                <w:rFonts w:cs="Arial"/>
                <w:szCs w:val="18"/>
                <w:lang w:val="en-GB"/>
              </w:rPr>
              <w:t>CO</w:t>
            </w:r>
            <w:r w:rsidRPr="00542393">
              <w:rPr>
                <w:rFonts w:cs="Arial"/>
                <w:szCs w:val="18"/>
                <w:vertAlign w:val="subscript"/>
                <w:lang w:val="en-GB"/>
              </w:rPr>
              <w:t>2</w:t>
            </w:r>
            <w:r w:rsidRPr="00542393">
              <w:rPr>
                <w:rFonts w:cs="Arial"/>
                <w:szCs w:val="18"/>
                <w:lang w:val="en-GB"/>
              </w:rPr>
              <w:t xml:space="preserve"> intensity </w:t>
            </w:r>
          </w:p>
          <w:p w14:paraId="199EE8DC" w14:textId="00C741D3" w:rsidR="0063630D" w:rsidRPr="00542393" w:rsidRDefault="0063630D" w:rsidP="00195042">
            <w:pPr>
              <w:pStyle w:val="CETBodytext"/>
              <w:ind w:right="-1"/>
              <w:jc w:val="left"/>
              <w:rPr>
                <w:rFonts w:cs="Arial"/>
                <w:szCs w:val="18"/>
                <w:lang w:val="en-GB"/>
              </w:rPr>
            </w:pPr>
            <w:r w:rsidRPr="00542393">
              <w:rPr>
                <w:rFonts w:cs="Arial"/>
                <w:szCs w:val="18"/>
                <w:lang w:val="en-GB"/>
              </w:rPr>
              <w:t>(t CO</w:t>
            </w:r>
            <w:r w:rsidRPr="00542393">
              <w:rPr>
                <w:rFonts w:cs="Arial"/>
                <w:szCs w:val="18"/>
                <w:vertAlign w:val="subscript"/>
                <w:lang w:val="en-GB"/>
              </w:rPr>
              <w:t>2</w:t>
            </w:r>
            <w:r w:rsidRPr="00542393">
              <w:rPr>
                <w:rFonts w:cs="Arial"/>
                <w:szCs w:val="18"/>
                <w:lang w:val="en-GB"/>
              </w:rPr>
              <w:t>/MWh)</w:t>
            </w:r>
          </w:p>
        </w:tc>
        <w:tc>
          <w:tcPr>
            <w:tcW w:w="799" w:type="pct"/>
            <w:tcBorders>
              <w:top w:val="single" w:sz="12" w:space="0" w:color="008000"/>
              <w:bottom w:val="single" w:sz="6" w:space="0" w:color="008000"/>
            </w:tcBorders>
            <w:shd w:val="clear" w:color="auto" w:fill="FFFFFF"/>
          </w:tcPr>
          <w:p w14:paraId="3282F8F9" w14:textId="22438039" w:rsidR="0063630D" w:rsidRPr="00542393" w:rsidRDefault="0063630D" w:rsidP="00195042">
            <w:pPr>
              <w:pStyle w:val="CETBodytext"/>
              <w:ind w:right="-1"/>
              <w:jc w:val="left"/>
              <w:rPr>
                <w:rFonts w:cs="Arial"/>
                <w:szCs w:val="18"/>
                <w:lang w:val="en-GB"/>
              </w:rPr>
            </w:pPr>
            <w:r w:rsidRPr="00542393">
              <w:rPr>
                <w:rFonts w:cs="Arial"/>
                <w:szCs w:val="18"/>
                <w:lang w:val="en-GB"/>
              </w:rPr>
              <w:t xml:space="preserve">Annual Emissions </w:t>
            </w:r>
          </w:p>
          <w:p w14:paraId="005800F7" w14:textId="13A3277A" w:rsidR="0063630D" w:rsidRPr="00542393" w:rsidRDefault="0063630D" w:rsidP="00195042">
            <w:pPr>
              <w:pStyle w:val="CETBodytext"/>
              <w:ind w:right="-1"/>
              <w:jc w:val="left"/>
              <w:rPr>
                <w:rFonts w:cs="Arial"/>
                <w:szCs w:val="18"/>
                <w:lang w:val="en-GB"/>
              </w:rPr>
            </w:pPr>
            <w:r w:rsidRPr="00542393">
              <w:rPr>
                <w:rFonts w:cs="Arial"/>
                <w:szCs w:val="18"/>
                <w:lang w:val="en-GB"/>
              </w:rPr>
              <w:t>(Mt CO</w:t>
            </w:r>
            <w:r w:rsidRPr="00542393">
              <w:rPr>
                <w:rFonts w:cs="Arial"/>
                <w:szCs w:val="18"/>
                <w:vertAlign w:val="subscript"/>
                <w:lang w:val="en-GB"/>
              </w:rPr>
              <w:t>2</w:t>
            </w:r>
            <w:r w:rsidRPr="00542393">
              <w:rPr>
                <w:rFonts w:cs="Arial"/>
                <w:szCs w:val="18"/>
                <w:lang w:val="en-GB"/>
              </w:rPr>
              <w:t>/y)</w:t>
            </w:r>
          </w:p>
        </w:tc>
        <w:tc>
          <w:tcPr>
            <w:tcW w:w="568" w:type="pct"/>
            <w:tcBorders>
              <w:top w:val="single" w:sz="12" w:space="0" w:color="008000"/>
              <w:bottom w:val="single" w:sz="6" w:space="0" w:color="008000"/>
            </w:tcBorders>
            <w:shd w:val="clear" w:color="auto" w:fill="FFFFFF"/>
          </w:tcPr>
          <w:p w14:paraId="7BC7A87A" w14:textId="77777777" w:rsidR="0063630D" w:rsidRPr="00542393" w:rsidRDefault="0063630D" w:rsidP="00195042">
            <w:pPr>
              <w:pStyle w:val="CETBodytext"/>
              <w:ind w:right="-1"/>
              <w:jc w:val="left"/>
              <w:rPr>
                <w:rFonts w:cs="Arial"/>
                <w:szCs w:val="18"/>
                <w:lang w:val="en-GB"/>
              </w:rPr>
            </w:pPr>
            <w:r w:rsidRPr="00542393">
              <w:rPr>
                <w:rFonts w:cs="Arial"/>
                <w:szCs w:val="18"/>
                <w:lang w:val="en-GB"/>
              </w:rPr>
              <w:t xml:space="preserve">Specific Cost </w:t>
            </w:r>
          </w:p>
          <w:p w14:paraId="0C5CA76F" w14:textId="6915937A" w:rsidR="0063630D" w:rsidRPr="00542393" w:rsidRDefault="0063630D" w:rsidP="00195042">
            <w:pPr>
              <w:pStyle w:val="CETBodytext"/>
              <w:ind w:right="-1"/>
              <w:jc w:val="left"/>
              <w:rPr>
                <w:rFonts w:cs="Arial"/>
                <w:szCs w:val="18"/>
                <w:lang w:val="en-GB"/>
              </w:rPr>
            </w:pPr>
            <w:r w:rsidRPr="00542393">
              <w:rPr>
                <w:rFonts w:cs="Arial"/>
                <w:szCs w:val="18"/>
                <w:lang w:val="en-GB"/>
              </w:rPr>
              <w:t>(USD/t CO</w:t>
            </w:r>
            <w:r w:rsidRPr="00542393">
              <w:rPr>
                <w:rFonts w:cs="Arial"/>
                <w:szCs w:val="18"/>
                <w:vertAlign w:val="subscript"/>
                <w:lang w:val="en-GB"/>
              </w:rPr>
              <w:t>2</w:t>
            </w:r>
            <w:r w:rsidRPr="00542393">
              <w:rPr>
                <w:rFonts w:cs="Arial"/>
                <w:szCs w:val="18"/>
                <w:lang w:val="en-GB"/>
              </w:rPr>
              <w:t>)</w:t>
            </w:r>
          </w:p>
        </w:tc>
      </w:tr>
      <w:tr w:rsidR="00542393" w:rsidRPr="00542393" w14:paraId="18FA68DB" w14:textId="599008E4" w:rsidTr="002E0897">
        <w:tc>
          <w:tcPr>
            <w:tcW w:w="1112" w:type="pct"/>
            <w:shd w:val="clear" w:color="auto" w:fill="FFFFFF"/>
          </w:tcPr>
          <w:p w14:paraId="1877D42D" w14:textId="709A14E2" w:rsidR="0063630D" w:rsidRPr="00542393" w:rsidRDefault="0063630D" w:rsidP="00195042">
            <w:pPr>
              <w:pStyle w:val="CETBodytext"/>
              <w:jc w:val="left"/>
              <w:rPr>
                <w:lang w:val="en-GB"/>
              </w:rPr>
            </w:pPr>
            <w:r w:rsidRPr="00542393">
              <w:rPr>
                <w:lang w:val="en-GB"/>
              </w:rPr>
              <w:t>Coal power plant</w:t>
            </w:r>
          </w:p>
        </w:tc>
        <w:tc>
          <w:tcPr>
            <w:tcW w:w="587" w:type="pct"/>
            <w:shd w:val="clear" w:color="auto" w:fill="FFFFFF"/>
          </w:tcPr>
          <w:p w14:paraId="48136FAE" w14:textId="1D67DBC1" w:rsidR="0063630D" w:rsidRPr="00542393" w:rsidRDefault="0063630D" w:rsidP="00195042">
            <w:pPr>
              <w:pStyle w:val="CETBodytext"/>
              <w:jc w:val="left"/>
              <w:rPr>
                <w:lang w:val="en-GB"/>
              </w:rPr>
            </w:pPr>
            <w:r w:rsidRPr="00542393">
              <w:rPr>
                <w:lang w:val="en-GB"/>
              </w:rPr>
              <w:t>500</w:t>
            </w:r>
          </w:p>
        </w:tc>
        <w:tc>
          <w:tcPr>
            <w:tcW w:w="941" w:type="pct"/>
            <w:shd w:val="clear" w:color="auto" w:fill="FFFFFF"/>
          </w:tcPr>
          <w:p w14:paraId="2CB03BEE" w14:textId="6294294D" w:rsidR="0063630D" w:rsidRPr="00542393" w:rsidRDefault="0063630D" w:rsidP="00195042">
            <w:pPr>
              <w:pStyle w:val="CETBodytext"/>
              <w:jc w:val="left"/>
              <w:rPr>
                <w:lang w:val="en-GB"/>
              </w:rPr>
            </w:pPr>
            <w:r w:rsidRPr="00542393">
              <w:rPr>
                <w:lang w:val="en-GB"/>
              </w:rPr>
              <w:t>9.41</w:t>
            </w:r>
          </w:p>
        </w:tc>
        <w:tc>
          <w:tcPr>
            <w:tcW w:w="994" w:type="pct"/>
            <w:shd w:val="clear" w:color="auto" w:fill="FFFFFF"/>
          </w:tcPr>
          <w:p w14:paraId="7FF7EB81" w14:textId="53B5B52B" w:rsidR="0063630D" w:rsidRPr="00542393" w:rsidRDefault="0063630D" w:rsidP="00195042">
            <w:pPr>
              <w:pStyle w:val="CETBodytext"/>
              <w:ind w:right="-1"/>
              <w:jc w:val="left"/>
              <w:rPr>
                <w:rFonts w:cs="Arial"/>
                <w:szCs w:val="18"/>
                <w:lang w:val="en-GB"/>
              </w:rPr>
            </w:pPr>
            <w:r w:rsidRPr="00542393">
              <w:rPr>
                <w:rFonts w:cs="Arial"/>
                <w:szCs w:val="18"/>
                <w:lang w:val="en-GB"/>
              </w:rPr>
              <w:t>0.95</w:t>
            </w:r>
          </w:p>
        </w:tc>
        <w:tc>
          <w:tcPr>
            <w:tcW w:w="799" w:type="pct"/>
            <w:shd w:val="clear" w:color="auto" w:fill="FFFFFF"/>
          </w:tcPr>
          <w:p w14:paraId="6512B018" w14:textId="6D39EB6D" w:rsidR="0063630D" w:rsidRPr="00542393" w:rsidRDefault="0063630D" w:rsidP="00195042">
            <w:pPr>
              <w:pStyle w:val="CETBodytext"/>
              <w:ind w:right="-1"/>
              <w:jc w:val="left"/>
              <w:rPr>
                <w:rFonts w:cs="Arial"/>
                <w:szCs w:val="18"/>
                <w:lang w:val="en-GB"/>
              </w:rPr>
            </w:pPr>
            <w:r w:rsidRPr="00542393">
              <w:rPr>
                <w:rFonts w:cs="Arial"/>
                <w:szCs w:val="18"/>
                <w:lang w:val="en-GB"/>
              </w:rPr>
              <w:t>4.14</w:t>
            </w:r>
          </w:p>
        </w:tc>
        <w:tc>
          <w:tcPr>
            <w:tcW w:w="568" w:type="pct"/>
            <w:shd w:val="clear" w:color="auto" w:fill="FFFFFF"/>
          </w:tcPr>
          <w:p w14:paraId="05B1FC2E" w14:textId="541E6FBC" w:rsidR="0063630D" w:rsidRPr="00542393" w:rsidRDefault="0063630D" w:rsidP="00195042">
            <w:pPr>
              <w:pStyle w:val="CETBodytext"/>
              <w:ind w:right="-1"/>
              <w:jc w:val="left"/>
              <w:rPr>
                <w:rFonts w:cs="Arial"/>
                <w:szCs w:val="18"/>
                <w:lang w:val="en-GB"/>
              </w:rPr>
            </w:pPr>
            <w:r w:rsidRPr="00542393">
              <w:rPr>
                <w:rFonts w:cs="Arial"/>
                <w:szCs w:val="18"/>
                <w:lang w:val="en-GB"/>
              </w:rPr>
              <w:t>9.91</w:t>
            </w:r>
          </w:p>
        </w:tc>
      </w:tr>
      <w:tr w:rsidR="00542393" w:rsidRPr="00542393" w14:paraId="1777C522" w14:textId="18243306" w:rsidTr="002E0897">
        <w:tc>
          <w:tcPr>
            <w:tcW w:w="1112" w:type="pct"/>
            <w:shd w:val="clear" w:color="auto" w:fill="FFFFFF"/>
          </w:tcPr>
          <w:p w14:paraId="59954EC2" w14:textId="1405CA27" w:rsidR="0063630D" w:rsidRPr="00542393" w:rsidRDefault="0063630D" w:rsidP="00195042">
            <w:pPr>
              <w:pStyle w:val="CETBodytext"/>
              <w:ind w:right="-1"/>
              <w:jc w:val="left"/>
              <w:rPr>
                <w:rFonts w:cs="Arial"/>
                <w:szCs w:val="18"/>
                <w:lang w:val="en-GB"/>
              </w:rPr>
            </w:pPr>
            <w:r w:rsidRPr="00542393">
              <w:rPr>
                <w:rFonts w:cs="Arial"/>
                <w:szCs w:val="18"/>
                <w:lang w:val="en-GB"/>
              </w:rPr>
              <w:t>Natural Gas power plant</w:t>
            </w:r>
          </w:p>
        </w:tc>
        <w:tc>
          <w:tcPr>
            <w:tcW w:w="587" w:type="pct"/>
            <w:shd w:val="clear" w:color="auto" w:fill="FFFFFF"/>
          </w:tcPr>
          <w:p w14:paraId="4FFB40F7" w14:textId="53445D97" w:rsidR="0063630D" w:rsidRPr="00542393" w:rsidRDefault="0063630D" w:rsidP="00195042">
            <w:pPr>
              <w:pStyle w:val="CETBodytext"/>
              <w:ind w:right="-1"/>
              <w:jc w:val="left"/>
              <w:rPr>
                <w:rFonts w:cs="Arial"/>
                <w:szCs w:val="18"/>
                <w:lang w:val="en-GB"/>
              </w:rPr>
            </w:pPr>
            <w:r w:rsidRPr="00542393">
              <w:rPr>
                <w:rFonts w:cs="Arial"/>
                <w:szCs w:val="18"/>
                <w:lang w:val="en-GB"/>
              </w:rPr>
              <w:t>500</w:t>
            </w:r>
          </w:p>
        </w:tc>
        <w:tc>
          <w:tcPr>
            <w:tcW w:w="941" w:type="pct"/>
            <w:shd w:val="clear" w:color="auto" w:fill="FFFFFF"/>
          </w:tcPr>
          <w:p w14:paraId="74F8316C" w14:textId="00929D24" w:rsidR="0063630D" w:rsidRPr="00542393" w:rsidRDefault="0063630D" w:rsidP="00195042">
            <w:pPr>
              <w:pStyle w:val="CETBodytext"/>
              <w:ind w:right="-1"/>
              <w:jc w:val="left"/>
              <w:rPr>
                <w:rFonts w:cs="Arial"/>
                <w:szCs w:val="18"/>
                <w:lang w:val="en-GB"/>
              </w:rPr>
            </w:pPr>
            <w:r w:rsidRPr="00542393">
              <w:rPr>
                <w:rFonts w:cs="Arial"/>
                <w:szCs w:val="18"/>
                <w:lang w:val="en-GB"/>
              </w:rPr>
              <w:t>4.76</w:t>
            </w:r>
          </w:p>
        </w:tc>
        <w:tc>
          <w:tcPr>
            <w:tcW w:w="994" w:type="pct"/>
            <w:shd w:val="clear" w:color="auto" w:fill="FFFFFF"/>
          </w:tcPr>
          <w:p w14:paraId="708CF970" w14:textId="22C49796" w:rsidR="0063630D" w:rsidRPr="00542393" w:rsidRDefault="0063630D" w:rsidP="00195042">
            <w:pPr>
              <w:pStyle w:val="CETBodytext"/>
              <w:ind w:right="-1"/>
              <w:jc w:val="left"/>
              <w:rPr>
                <w:rFonts w:cs="Arial"/>
                <w:szCs w:val="18"/>
                <w:lang w:val="en-GB"/>
              </w:rPr>
            </w:pPr>
            <w:r w:rsidRPr="00542393">
              <w:rPr>
                <w:rFonts w:cs="Arial"/>
                <w:szCs w:val="18"/>
                <w:lang w:val="en-GB"/>
              </w:rPr>
              <w:t>0.39</w:t>
            </w:r>
          </w:p>
        </w:tc>
        <w:tc>
          <w:tcPr>
            <w:tcW w:w="799" w:type="pct"/>
            <w:shd w:val="clear" w:color="auto" w:fill="FFFFFF"/>
          </w:tcPr>
          <w:p w14:paraId="6B4A2B9B" w14:textId="0F1B303A" w:rsidR="0063630D" w:rsidRPr="00542393" w:rsidRDefault="0063630D" w:rsidP="00195042">
            <w:pPr>
              <w:pStyle w:val="CETBodytext"/>
              <w:ind w:right="-1"/>
              <w:jc w:val="left"/>
              <w:rPr>
                <w:rFonts w:cs="Arial"/>
                <w:szCs w:val="18"/>
                <w:lang w:val="en-GB"/>
              </w:rPr>
            </w:pPr>
            <w:r w:rsidRPr="00542393">
              <w:rPr>
                <w:rFonts w:cs="Arial"/>
                <w:szCs w:val="18"/>
                <w:lang w:val="en-GB"/>
              </w:rPr>
              <w:t>1.69</w:t>
            </w:r>
          </w:p>
        </w:tc>
        <w:tc>
          <w:tcPr>
            <w:tcW w:w="568" w:type="pct"/>
            <w:shd w:val="clear" w:color="auto" w:fill="FFFFFF"/>
          </w:tcPr>
          <w:p w14:paraId="3FC63D81" w14:textId="08DF09B5" w:rsidR="0063630D" w:rsidRPr="00542393" w:rsidRDefault="0063630D" w:rsidP="00195042">
            <w:pPr>
              <w:pStyle w:val="CETBodytext"/>
              <w:ind w:right="-1"/>
              <w:jc w:val="left"/>
              <w:rPr>
                <w:rFonts w:cs="Arial"/>
                <w:szCs w:val="18"/>
                <w:lang w:val="en-GB"/>
              </w:rPr>
            </w:pPr>
            <w:r w:rsidRPr="00542393">
              <w:rPr>
                <w:rFonts w:cs="Arial"/>
                <w:szCs w:val="18"/>
                <w:lang w:val="en-GB"/>
              </w:rPr>
              <w:t>12.21</w:t>
            </w:r>
          </w:p>
        </w:tc>
      </w:tr>
    </w:tbl>
    <w:p w14:paraId="3455F54B" w14:textId="77777777" w:rsidR="002E0897" w:rsidRPr="00542393" w:rsidRDefault="002E0897" w:rsidP="002E0897">
      <w:pPr>
        <w:pStyle w:val="CETBodytext"/>
      </w:pPr>
    </w:p>
    <w:p w14:paraId="19A3BE52" w14:textId="6C0C52B2" w:rsidR="002E0897" w:rsidRPr="00542393" w:rsidRDefault="002E0897" w:rsidP="00D901A1">
      <w:pPr>
        <w:pStyle w:val="CETBodytext"/>
      </w:pPr>
      <w:r w:rsidRPr="00542393">
        <w:t xml:space="preserve">Table 2 shows the NETs data. </w:t>
      </w:r>
      <w:r w:rsidR="00FC064D" w:rsidRPr="00542393">
        <w:t>The power rating and capacity of BECCS were obtained from a study assuming an 85% operating capacity and a 33% thermal efficiency delivering up to 2.99 Mt CO</w:t>
      </w:r>
      <w:r w:rsidR="00FC064D" w:rsidRPr="00542393">
        <w:rPr>
          <w:vertAlign w:val="subscript"/>
        </w:rPr>
        <w:t>2</w:t>
      </w:r>
      <w:r w:rsidR="00FC064D" w:rsidRPr="00542393">
        <w:t xml:space="preserve">/y sequestration </w:t>
      </w:r>
      <w:r w:rsidR="00FC064D" w:rsidRPr="00542393">
        <w:fldChar w:fldCharType="begin" w:fldLock="1"/>
      </w:r>
      <w:r w:rsidR="00FC064D" w:rsidRPr="00542393">
        <w:instrText>ADDIN CSL_CITATION {"citationItems":[{"id":"ITEM-1","itemData":{"DOI":"10.1111/gcbb.12695","ISSN":"17571707","abstract":"Bioenergy with Carbon Capture and Storage (BECCS) features heavily in the energy scenarios designed to meet the Paris Agreement targets, but the models used to generate these scenarios do not address environmental and social implications of BECCS at the regional scale. We integrate ecosystem service values into a land-use optimization tool to determine the favourability of six potential UK locations for a 500 MW BECCS power plant operating on local biomass resources. Annually, each BECCS plant requires 2.33 Mt of biomass and generates 2.99 Mt CO2 of negative emissions and 3.72 TWh of electricity. We make three important discoveries: (a) the impacts of BECCS on ecosystem services are spatially discrete, with the most favourable locations for UK BECCS identified at Drax and Easington, where net annual welfare values (from the basket of ecosystems services quantified) of £39 and £25 million were generated, respectively, with notably lower annual welfare values at Barrow (−£6 million) and Thames (£2 million); (b) larger BECCS deployment beyond 500 MW reduces net social welfare values, with a 1 GW BECCS plant at Drax generating a net annual welfare value of £19 million (a 50% decline compared with the 500 MW deployment), and a welfare loss at all other sites; (c) BECCS can be deployed to generate net welfare gains, but trade-offs and co-benefits between ecosystem services are highly site and context specific, and these landscape-scale, site-specific impacts should be central to future BECCS policy developments. For the United Kingdom, meeting the Paris Agreement targets through reliance on BECCS requires over 1 GW at each of the six locations considered here and is likely, therefore, to result in a significant welfare loss. This implies that an increased number of smaller BECCS deployments will be needed to ensure a win–win for energy, negative emissions and ecosystem services.","author":[{"dropping-particle":"","family":"Donnison","given":"Caspar","non-dropping-particle":"","parse-names":false,"suffix":""},{"dropping-particle":"","family":"Holland","given":"Robert A","non-dropping-particle":"","parse-names":false,"suffix":""},{"dropping-particle":"","family":"Hastings","given":"Astley","non-dropping-particle":"","parse-names":false,"suffix":""},{"dropping-particle":"","family":"Armstrong","given":"Lindsay Marie","non-dropping-particle":"","parse-names":false,"suffix":""},{"dropping-particle":"","family":"Eigenbrod","given":"Felix","non-dropping-particle":"","parse-names":false,"suffix":""},{"dropping-particle":"","family":"Taylor","given":"Gail","non-dropping-particle":"","parse-names":false,"suffix":""}],"container-title":"GCB Bioenergy","id":"ITEM-1","issue":"8","issued":{"date-parts":[["2020"]]},"page":"586-604","title":"Bioenergy with Carbon Capture and Storage (BECCS): Finding the win–wins for energy, negative emissions and ecosystem services—size matters","type":"article-journal","volume":"12"},"uris":["http://www.mendeley.com/documents/?uuid=2b0e2a50-ffa0-383f-aead-530f20497a1f"]}],"mendeley":{"formattedCitation":"(Donnison et al., 2020)","plainTextFormattedCitation":"(Donnison et al., 2020)"},"properties":{"noteIndex":0},"schema":"https://github.com/citation-style-language/schema/raw/master/csl-citation.json"}</w:instrText>
      </w:r>
      <w:r w:rsidR="00FC064D" w:rsidRPr="00542393">
        <w:fldChar w:fldCharType="separate"/>
      </w:r>
      <w:r w:rsidR="00FC064D" w:rsidRPr="00542393">
        <w:rPr>
          <w:noProof/>
        </w:rPr>
        <w:t>(Donnison et al., 2020)</w:t>
      </w:r>
      <w:r w:rsidR="00FC064D" w:rsidRPr="00542393">
        <w:fldChar w:fldCharType="end"/>
      </w:r>
      <w:r w:rsidR="00FC064D" w:rsidRPr="00542393">
        <w:t>. The energy product of BC was assumed to be thermal energy and was excluded from the power generation. The cost of negative emissions from BC and BECCS correspond</w:t>
      </w:r>
      <w:r w:rsidR="00400C61" w:rsidRPr="00542393">
        <w:t>s</w:t>
      </w:r>
      <w:r w:rsidR="00FC064D" w:rsidRPr="00542393">
        <w:t xml:space="preserve"> to the lowest value within the ranges, as reported by </w:t>
      </w:r>
      <w:r w:rsidR="00FC064D" w:rsidRPr="00542393">
        <w:fldChar w:fldCharType="begin" w:fldLock="1"/>
      </w:r>
      <w:r w:rsidR="00FC064D" w:rsidRPr="00542393">
        <w:instrText>ADDIN CSL_CITATION {"citationItems":[{"id":"ITEM-1","itemData":{"DOI":"10.1088/1748-9326/aabf9f","ISSN":"17489326","abstract":"The most recent IPCC assessment has shown an important role for negative emissions technologies (NETs) in limiting global warming to 2 °C cost-effectively. However, a bottom-up, systematic, reproducible, and transparent literature assessment of the different options to remove CO2 from the atmosphere is currently missing. In part 1 of this three-part review on NETs, we assemble a comprehensive set of the relevant literature so far published, focusing on seven technologies: bioenergy with carbon capture and storage (BECCS), afforestation and reforestation, direct air carbon capture and storage (DACCS), enhanced weathering, ocean fertilisation, biochar, and soil carbon sequestration. In this part, part 2 of the review, we present estimates of costs, potentials, and side-effects for these technologies, and qualify them with the authors' assessment. Part 3 reviews the innovation and scaling challenges that must be addressed to realise NETs deployment as a viable climate mitigation strategy. Based on a systematic review of the literature, our best estimates for sustainable global NET potentials in 2050 are 0.5-3.6 GtCO2 yr-1 for afforestation and reforestation, 0.5-5 GtCO2 yr-1 for BECCS, 0.5-2 GtCO2 yr-1 for biochar, 2-4 GtCO2 yr-1 for enhanced weathering, 0.5-5 GtCO2 yr-1 for DACCS, and up to 5 GtCO2 yr-1 for soil carbon sequestration. Costs vary widely across the technologies, as do their permanency and cumulative potentials beyond 2050. It is unlikely that a single NET will be able to sustainably meet the rates of carbon uptake described in integrated assessment pathways consistent with 1.5 °C of global warming.","author":[{"dropping-particle":"","family":"Fuss","given":"Sabine","non-dropping-particle":"","parse-names":false,"suffix":""},{"dropping-particle":"","family":"Lamb","given":"William F","non-dropping-particle":"","parse-names":false,"suffix":""},{"dropping-particle":"","family":"Callaghan","given":"Max W","non-dropping-particle":"","parse-names":false,"suffix":""},{"dropping-particle":"","family":"Hilaire","given":"Jérôme","non-dropping-particle":"","parse-names":false,"suffix":""},{"dropping-particle":"","family":"Creutzig","given":"Felix","non-dropping-particle":"","parse-names":false,"suffix":""},{"dropping-particle":"","family":"Amann","given":"Thorben","non-dropping-particle":"","parse-names":false,"suffix":""},{"dropping-particle":"","family":"Beringer","given":"Tim","non-dropping-particle":"","parse-names":false,"suffix":""},{"dropping-particle":"","family":"Oliveira Garcia","given":"Wagner","non-dropping-particle":"De","parse-names":false,"suffix":""},{"dropping-particle":"","family":"Hartmann","given":"Jens","non-dropping-particle":"","parse-names":false,"suffix":""},{"dropping-particle":"","family":"Khanna","given":"Tarun","non-dropping-particle":"","parse-names":false,"suffix":""},{"dropping-particle":"","family":"Luderer","given":"Gunnar","non-dropping-particle":"","parse-names":false,"suffix":""},{"dropping-particle":"","family":"Nemet","given":"Gregory F","non-dropping-particle":"","parse-names":false,"suffix":""},{"dropping-particle":"","family":"Rogelj","given":"Joeri","non-dropping-particle":"","parse-names":false,"suffix":""},{"dropping-particle":"","family":"Smith","given":"Pete","non-dropping-particle":"","parse-names":false,"suffix":""},{"dropping-particle":"","family":"Vicente","given":"Joséluis Vicente","non-dropping-particle":"","parse-names":false,"suffix":""},{"dropping-particle":"","family":"Wilcox","given":"Jennifer","non-dropping-particle":"","parse-names":false,"suffix":""},{"dropping-particle":"","family":"Mar Zamora Dominguez","given":"Maria","non-dropping-particle":"Del","parse-names":false,"suffix":""},{"dropping-particle":"","family":"Minx","given":"Jan C","non-dropping-particle":"","parse-names":false,"suffix":""}],"container-title":"Environmental Research Letters","id":"ITEM-1","issue":"6","issued":{"date-parts":[["2018"]]},"note":"This paper reviews the various NETs and present bottum up data on potentials and costs. Also summarizes positive and negative impacts (socio-economic, environmental, biophysical). Although BECCS is included in IPCC scenario, author warns against sustainability of BECCS and promotes a portoflio of NETs with individual NETs at smaller scales. Author mentions that NETs can be deployed either due to biophysical limits (carbon budget has been exceeded) or for economics (cheaper to use NETs), or to prevent temperature overshoots. But futher delay of climate action locks in 2 deg scenario with NETs. Author suggests to study the interactions between NETs. \n\nAuthor mentioned that no single NET will be able to sustainably meet the negative emissions required.","page":"063002","title":"Negative emissions - Part 2: Costs, potentials and side effects","type":"article-journal","volume":"13"},"uris":["http://www.mendeley.com/documents/?uuid=cb50fd9a-a49a-42c1-bd4f-0ef536995e4f"]}],"mendeley":{"formattedCitation":"(Fuss et al., 2018)","manualFormatting":"Fuss et al. (2018)","plainTextFormattedCitation":"(Fuss et al., 2018)","previouslyFormattedCitation":"(Fuss et al., 2018)"},"properties":{"noteIndex":0},"schema":"https://github.com/citation-style-language/schema/raw/master/csl-citation.json"}</w:instrText>
      </w:r>
      <w:r w:rsidR="00FC064D" w:rsidRPr="00542393">
        <w:fldChar w:fldCharType="separate"/>
      </w:r>
      <w:r w:rsidR="00FC064D" w:rsidRPr="00542393">
        <w:rPr>
          <w:noProof/>
        </w:rPr>
        <w:t>Fuss et al. (2018)</w:t>
      </w:r>
      <w:r w:rsidR="00FC064D" w:rsidRPr="00542393">
        <w:fldChar w:fldCharType="end"/>
      </w:r>
      <w:r w:rsidR="00FC064D" w:rsidRPr="00542393">
        <w:t xml:space="preserve">, while the capacity of BC was based on the global capacity </w:t>
      </w:r>
      <w:r w:rsidR="00FC064D" w:rsidRPr="00542393">
        <w:fldChar w:fldCharType="begin" w:fldLock="1"/>
      </w:r>
      <w:r w:rsidR="00FC064D" w:rsidRPr="00542393">
        <w:instrText>ADDIN CSL_CITATION {"citationItems":[{"id":"ITEM-1","itemData":{"DOI":"10.1088/1748-9326/aabf9f","ISSN":"17489326","abstract":"The most recent IPCC assessment has shown an important role for negative emissions technologies (NETs) in limiting global warming to 2 °C cost-effectively. However, a bottom-up, systematic, reproducible, and transparent literature assessment of the different options to remove CO2 from the atmosphere is currently missing. In part 1 of this three-part review on NETs, we assemble a comprehensive set of the relevant literature so far published, focusing on seven technologies: bioenergy with carbon capture and storage (BECCS), afforestation and reforestation, direct air carbon capture and storage (DACCS), enhanced weathering, ocean fertilisation, biochar, and soil carbon sequestration. In this part, part 2 of the review, we present estimates of costs, potentials, and side-effects for these technologies, and qualify them with the authors' assessment. Part 3 reviews the innovation and scaling challenges that must be addressed to realise NETs deployment as a viable climate mitigation strategy. Based on a systematic review of the literature, our best estimates for sustainable global NET potentials in 2050 are 0.5-3.6 GtCO2 yr-1 for afforestation and reforestation, 0.5-5 GtCO2 yr-1 for BECCS, 0.5-2 GtCO2 yr-1 for biochar, 2-4 GtCO2 yr-1 for enhanced weathering, 0.5-5 GtCO2 yr-1 for DACCS, and up to 5 GtCO2 yr-1 for soil carbon sequestration. Costs vary widely across the technologies, as do their permanency and cumulative potentials beyond 2050. It is unlikely that a single NET will be able to sustainably meet the rates of carbon uptake described in integrated assessment pathways consistent with 1.5 °C of global warming.","author":[{"dropping-particle":"","family":"Fuss","given":"Sabine","non-dropping-particle":"","parse-names":false,"suffix":""},{"dropping-particle":"","family":"Lamb","given":"William F","non-dropping-particle":"","parse-names":false,"suffix":""},{"dropping-particle":"","family":"Callaghan","given":"Max W","non-dropping-particle":"","parse-names":false,"suffix":""},{"dropping-particle":"","family":"Hilaire","given":"Jérôme","non-dropping-particle":"","parse-names":false,"suffix":""},{"dropping-particle":"","family":"Creutzig","given":"Felix","non-dropping-particle":"","parse-names":false,"suffix":""},{"dropping-particle":"","family":"Amann","given":"Thorben","non-dropping-particle":"","parse-names":false,"suffix":""},{"dropping-particle":"","family":"Beringer","given":"Tim","non-dropping-particle":"","parse-names":false,"suffix":""},{"dropping-particle":"","family":"Oliveira Garcia","given":"Wagner","non-dropping-particle":"De","parse-names":false,"suffix":""},{"dropping-particle":"","family":"Hartmann","given":"Jens","non-dropping-particle":"","parse-names":false,"suffix":""},{"dropping-particle":"","family":"Khanna","given":"Tarun","non-dropping-particle":"","parse-names":false,"suffix":""},{"dropping-particle":"","family":"Luderer","given":"Gunnar","non-dropping-particle":"","parse-names":false,"suffix":""},{"dropping-particle":"","family":"Nemet","given":"Gregory F","non-dropping-particle":"","parse-names":false,"suffix":""},{"dropping-particle":"","family":"Rogelj","given":"Joeri","non-dropping-particle":"","parse-names":false,"suffix":""},{"dropping-particle":"","family":"Smith","given":"Pete","non-dropping-particle":"","parse-names":false,"suffix":""},{"dropping-particle":"","family":"Vicente","given":"Joséluis Vicente","non-dropping-particle":"","parse-names":false,"suffix":""},{"dropping-particle":"","family":"Wilcox","given":"Jennifer","non-dropping-particle":"","parse-names":false,"suffix":""},{"dropping-particle":"","family":"Mar Zamora Dominguez","given":"Maria","non-dropping-particle":"Del","parse-names":false,"suffix":""},{"dropping-particle":"","family":"Minx","given":"Jan C","non-dropping-particle":"","parse-names":false,"suffix":""}],"container-title":"Environmental Research Letters","id":"ITEM-1","issue":"6","issued":{"date-parts":[["2018"]]},"note":"This paper reviews the various NETs and present bottum up data on potentials and costs. Also summarizes positive and negative impacts (socio-economic, environmental, biophysical). Although BECCS is included in IPCC scenario, author warns against sustainability of BECCS and promotes a portoflio of NETs with individual NETs at smaller scales. Author mentions that NETs can be deployed either due to biophysical limits (carbon budget has been exceeded) or for economics (cheaper to use NETs), or to prevent temperature overshoots. But futher delay of climate action locks in 2 deg scenario with NETs. Author suggests to study the interactions between NETs. \n\nAuthor mentioned that no single NET will be able to sustainably meet the negative emissions required.","page":"063002","title":"Negative emissions - Part 2: Costs, potentials and side effects","type":"article-journal","volume":"13"},"uris":["http://www.mendeley.com/documents/?uuid=cb50fd9a-a49a-42c1-bd4f-0ef536995e4f"]}],"mendeley":{"formattedCitation":"(Fuss et al., 2018)","plainTextFormattedCitation":"(Fuss et al., 2018)","previouslyFormattedCitation":"(Fuss et al., 2018)"},"properties":{"noteIndex":0},"schema":"https://github.com/citation-style-language/schema/raw/master/csl-citation.json"}</w:instrText>
      </w:r>
      <w:r w:rsidR="00FC064D" w:rsidRPr="00542393">
        <w:fldChar w:fldCharType="separate"/>
      </w:r>
      <w:r w:rsidR="00FC064D" w:rsidRPr="00542393">
        <w:rPr>
          <w:noProof/>
        </w:rPr>
        <w:t>(Fuss et al., 2018)</w:t>
      </w:r>
      <w:r w:rsidR="00FC064D" w:rsidRPr="00542393">
        <w:fldChar w:fldCharType="end"/>
      </w:r>
      <w:r w:rsidR="00FC064D" w:rsidRPr="00542393">
        <w:t xml:space="preserve"> relative to the emissions considered in the case study. It was assumed that the NETs do not emit secondary emissions and that their energy requirements are from renewable energy sources  </w:t>
      </w:r>
      <w:r w:rsidR="00FC064D" w:rsidRPr="00542393">
        <w:fldChar w:fldCharType="begin" w:fldLock="1"/>
      </w:r>
      <w:r w:rsidR="00FC064D" w:rsidRPr="00542393">
        <w:instrText>ADDIN CSL_CITATION {"citationItems":[{"id":"ITEM-1","itemData":{"DOI":"10.1007/s10098-021-02095-y","ISBN":"0123456789","ISSN":"16189558","abstract":"The economic impact of CO2 emissions reduction requirements demands strategic planning to identify low-cost CO2 mitigation pathways from combinations of the many available CO2 emissions reduction options. Different tools have been developed to plan minimal cost CO2 reduction pathways taking into consideration various options such as CO2 capture, utilization, and sequestration (CCUS), shifting from fossil to renewable energy sources, as well as adopting sector-specific low emissions technologies. Current methods used to support strategic planning include high-level tools that cannot account for many possible options or fail to incorporate cost objective, and complex optimization approaches that are capable of identifying detailed low-cost solutions yet are demanding to use and often yield complex solutions in terms of processing schemes that are not easily understood by strategic planners. To address these limitations, a simple and clear methodology is proposed that allows to determine minimum cost CO2 reduction pathways from the rich set of available options. The novel methodology employs an algebraic targeting technique that yields minimum marginal abatement cost (Mini-MAC) curves to clearly represent the low-cost CO2 emissions reduction pathway available. The application of the methodology is illustrated with an example to develop minimum cost emissions reduction pathways considering CCUS, power shifting options, and negative emissions technologies. The benefits of the proposed Mini-MAC curves over alternative methods stem from their richness in terms of assessing CCUS, energy management options, and various integration options. Further, the clarity of the proposed Mini-MAC curves enables planners to easily understand available minimum cost pathways when developing strategies aimed at achieving low-cost CO2 emissions reduction. Graphical abstract: [Figure not available: see fulltext.]","author":[{"dropping-particle":"","family":"Lameh","given":"Mohammad","non-dropping-particle":"","parse-names":false,"suffix":""},{"dropping-particle":"","family":"Al-Mohannadi","given":"Dhabia M.","non-dropping-particle":"","parse-names":false,"suffix":""},{"dropping-particle":"","family":"Linke","given":"Patrick","non-dropping-particle":"","parse-names":false,"suffix":""}],"container-title":"Clean Technologies and Environmental Policy","id":"ITEM-1","issued":{"date-parts":[["2022"]]},"note":"This work developed a novel methodology for ranking carbon minimization projects and applied it to NETs. The method is done by determining all possible source sink combinations and ordering them in increasing order of abatement cost. Abatement cost means CO2 removal cost\n\nCheck figure 12 and example 3","page":"143-159","publisher":"Springer Berlin Heidelberg","title":"Minimum marginal abatement cost curves (Mini-MAC) for CO2 emissions reduction planning","type":"article-journal","volume":"24"},"uris":["http://www.mendeley.com/documents/?uuid=613212f0-16b2-40ec-8578-4259d2358fe4"]}],"mendeley":{"formattedCitation":"(Lameh et al., 2022)","plainTextFormattedCitation":"(Lameh et al., 2022)","previouslyFormattedCitation":"(Lameh et al., 2022)"},"properties":{"noteIndex":0},"schema":"https://github.com/citation-style-language/schema/raw/master/csl-citation.json"}</w:instrText>
      </w:r>
      <w:r w:rsidR="00FC064D" w:rsidRPr="00542393">
        <w:fldChar w:fldCharType="separate"/>
      </w:r>
      <w:r w:rsidR="00FC064D" w:rsidRPr="00542393">
        <w:rPr>
          <w:noProof/>
        </w:rPr>
        <w:t>(Lameh et al., 2022)</w:t>
      </w:r>
      <w:r w:rsidR="00FC064D" w:rsidRPr="00542393">
        <w:fldChar w:fldCharType="end"/>
      </w:r>
      <w:r w:rsidR="00FC064D" w:rsidRPr="00542393">
        <w:t xml:space="preserve">. </w:t>
      </w:r>
    </w:p>
    <w:p w14:paraId="28321D38" w14:textId="61005880" w:rsidR="0046313B" w:rsidRPr="00542393" w:rsidRDefault="0046313B" w:rsidP="0046313B">
      <w:pPr>
        <w:pStyle w:val="CETTabletitle"/>
      </w:pPr>
      <w:r w:rsidRPr="00542393">
        <w:t>Table 2: NETs data</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99"/>
        <w:gridCol w:w="3267"/>
        <w:gridCol w:w="2856"/>
        <w:gridCol w:w="1865"/>
      </w:tblGrid>
      <w:tr w:rsidR="00542393" w:rsidRPr="00542393" w14:paraId="226649E4" w14:textId="77777777" w:rsidTr="00620AEF">
        <w:tc>
          <w:tcPr>
            <w:tcW w:w="454" w:type="pct"/>
            <w:tcBorders>
              <w:top w:val="single" w:sz="12" w:space="0" w:color="008000"/>
              <w:bottom w:val="single" w:sz="6" w:space="0" w:color="008000"/>
            </w:tcBorders>
            <w:shd w:val="clear" w:color="auto" w:fill="FFFFFF"/>
          </w:tcPr>
          <w:p w14:paraId="2597BBB8" w14:textId="0146AC2B" w:rsidR="00B9204F" w:rsidRPr="00542393" w:rsidRDefault="00B9204F" w:rsidP="00FA20FA">
            <w:pPr>
              <w:pStyle w:val="CETBodytext"/>
              <w:jc w:val="left"/>
              <w:rPr>
                <w:lang w:val="en-GB"/>
              </w:rPr>
            </w:pPr>
            <w:r w:rsidRPr="00542393">
              <w:rPr>
                <w:lang w:val="en-GB"/>
              </w:rPr>
              <w:t>NET</w:t>
            </w:r>
          </w:p>
        </w:tc>
        <w:tc>
          <w:tcPr>
            <w:tcW w:w="1859" w:type="pct"/>
            <w:tcBorders>
              <w:top w:val="single" w:sz="12" w:space="0" w:color="008000"/>
              <w:bottom w:val="single" w:sz="6" w:space="0" w:color="008000"/>
            </w:tcBorders>
            <w:shd w:val="clear" w:color="auto" w:fill="FFFFFF"/>
          </w:tcPr>
          <w:p w14:paraId="25A07E0F" w14:textId="77777777" w:rsidR="00183EEC" w:rsidRPr="00542393" w:rsidRDefault="00183EEC" w:rsidP="00183EEC">
            <w:pPr>
              <w:pStyle w:val="CETBodytext"/>
              <w:jc w:val="left"/>
              <w:rPr>
                <w:lang w:val="en-GB"/>
              </w:rPr>
            </w:pPr>
            <w:r w:rsidRPr="00542393">
              <w:rPr>
                <w:lang w:val="en-GB"/>
              </w:rPr>
              <w:t xml:space="preserve">Power Rating </w:t>
            </w:r>
          </w:p>
          <w:p w14:paraId="49A1D32A" w14:textId="1910DE9E" w:rsidR="00B9204F" w:rsidRPr="00542393" w:rsidRDefault="00183EEC" w:rsidP="00183EEC">
            <w:pPr>
              <w:pStyle w:val="CETBodytext"/>
              <w:jc w:val="left"/>
              <w:rPr>
                <w:lang w:val="en-GB"/>
              </w:rPr>
            </w:pPr>
            <w:r w:rsidRPr="00542393">
              <w:rPr>
                <w:lang w:val="en-GB"/>
              </w:rPr>
              <w:t>(MW)</w:t>
            </w:r>
          </w:p>
        </w:tc>
        <w:tc>
          <w:tcPr>
            <w:tcW w:w="1625" w:type="pct"/>
            <w:tcBorders>
              <w:top w:val="single" w:sz="12" w:space="0" w:color="008000"/>
              <w:bottom w:val="single" w:sz="6" w:space="0" w:color="008000"/>
            </w:tcBorders>
            <w:shd w:val="clear" w:color="auto" w:fill="FFFFFF"/>
          </w:tcPr>
          <w:p w14:paraId="722CD0E5" w14:textId="77777777" w:rsidR="004107D0" w:rsidRPr="00542393" w:rsidRDefault="00156C90" w:rsidP="00AB7E14">
            <w:pPr>
              <w:pStyle w:val="CETBodytext"/>
              <w:jc w:val="left"/>
              <w:rPr>
                <w:lang w:val="en-GB"/>
              </w:rPr>
            </w:pPr>
            <w:r w:rsidRPr="00542393">
              <w:rPr>
                <w:lang w:val="en-GB"/>
              </w:rPr>
              <w:t xml:space="preserve">Sequestration </w:t>
            </w:r>
            <w:r w:rsidR="00B9204F" w:rsidRPr="00542393">
              <w:rPr>
                <w:lang w:val="en-GB"/>
              </w:rPr>
              <w:t xml:space="preserve">Capacity </w:t>
            </w:r>
          </w:p>
          <w:p w14:paraId="07095A82" w14:textId="79E21AD8" w:rsidR="00B9204F" w:rsidRPr="00542393" w:rsidRDefault="00B9204F" w:rsidP="00AB7E14">
            <w:pPr>
              <w:pStyle w:val="CETBodytext"/>
              <w:jc w:val="left"/>
              <w:rPr>
                <w:lang w:val="en-GB"/>
              </w:rPr>
            </w:pPr>
            <w:r w:rsidRPr="00542393">
              <w:rPr>
                <w:lang w:val="en-GB"/>
              </w:rPr>
              <w:t>(Mt CO</w:t>
            </w:r>
            <w:r w:rsidRPr="00542393">
              <w:rPr>
                <w:vertAlign w:val="subscript"/>
                <w:lang w:val="en-GB"/>
              </w:rPr>
              <w:t>2</w:t>
            </w:r>
            <w:r w:rsidRPr="00542393">
              <w:rPr>
                <w:lang w:val="en-GB"/>
              </w:rPr>
              <w:t>/y)</w:t>
            </w:r>
          </w:p>
        </w:tc>
        <w:tc>
          <w:tcPr>
            <w:tcW w:w="1061" w:type="pct"/>
            <w:tcBorders>
              <w:top w:val="single" w:sz="12" w:space="0" w:color="008000"/>
              <w:bottom w:val="single" w:sz="6" w:space="0" w:color="008000"/>
            </w:tcBorders>
            <w:shd w:val="clear" w:color="auto" w:fill="FFFFFF"/>
          </w:tcPr>
          <w:p w14:paraId="0CE1E880" w14:textId="22405F6A" w:rsidR="00B9204F" w:rsidRPr="00542393" w:rsidRDefault="00B9204F" w:rsidP="00FA20FA">
            <w:pPr>
              <w:pStyle w:val="CETBodytext"/>
              <w:jc w:val="left"/>
              <w:rPr>
                <w:lang w:val="en-GB"/>
              </w:rPr>
            </w:pPr>
            <w:r w:rsidRPr="00542393">
              <w:rPr>
                <w:lang w:val="en-GB"/>
              </w:rPr>
              <w:t>Cost</w:t>
            </w:r>
          </w:p>
          <w:p w14:paraId="196383D2" w14:textId="77777777" w:rsidR="00587C3D" w:rsidRPr="00542393" w:rsidRDefault="00B9204F" w:rsidP="00FA20FA">
            <w:pPr>
              <w:pStyle w:val="CETBodytext"/>
              <w:jc w:val="left"/>
            </w:pPr>
            <w:r w:rsidRPr="00542393">
              <w:rPr>
                <w:lang w:val="en-GB"/>
              </w:rPr>
              <w:t>(USD/t CO</w:t>
            </w:r>
            <w:r w:rsidRPr="00542393">
              <w:rPr>
                <w:vertAlign w:val="subscript"/>
                <w:lang w:val="en-GB"/>
              </w:rPr>
              <w:t>2</w:t>
            </w:r>
            <w:r w:rsidRPr="00542393">
              <w:rPr>
                <w:lang w:val="en-GB"/>
              </w:rPr>
              <w:t>)</w:t>
            </w:r>
            <w:r w:rsidR="00587C3D" w:rsidRPr="00542393">
              <w:t xml:space="preserve"> </w:t>
            </w:r>
          </w:p>
          <w:p w14:paraId="51A11D9D" w14:textId="50D513C0" w:rsidR="00B9204F" w:rsidRPr="00542393" w:rsidRDefault="00587C3D" w:rsidP="00FA20FA">
            <w:pPr>
              <w:pStyle w:val="CETBodytext"/>
              <w:jc w:val="left"/>
              <w:rPr>
                <w:lang w:val="en-GB"/>
              </w:rPr>
            </w:pPr>
            <w:r w:rsidRPr="00542393">
              <w:fldChar w:fldCharType="begin" w:fldLock="1"/>
            </w:r>
            <w:r w:rsidRPr="00542393">
              <w:instrText>ADDIN CSL_CITATION {"citationItems":[{"id":"ITEM-1","itemData":{"DOI":"10.1088/1748-9326/aabf9f","ISSN":"17489326","abstract":"The most recent IPCC assessment has shown an important role for negative emissions technologies (NETs) in limiting global warming to 2 °C cost-effectively. However, a bottom-up, systematic, reproducible, and transparent literature assessment of the different options to remove CO2 from the atmosphere is currently missing. In part 1 of this three-part review on NETs, we assemble a comprehensive set of the relevant literature so far published, focusing on seven technologies: bioenergy with carbon capture and storage (BECCS), afforestation and reforestation, direct air carbon capture and storage (DACCS), enhanced weathering, ocean fertilisation, biochar, and soil carbon sequestration. In this part, part 2 of the review, we present estimates of costs, potentials, and side-effects for these technologies, and qualify them with the authors' assessment. Part 3 reviews the innovation and scaling challenges that must be addressed to realise NETs deployment as a viable climate mitigation strategy. Based on a systematic review of the literature, our best estimates for sustainable global NET potentials in 2050 are 0.5-3.6 GtCO2 yr-1 for afforestation and reforestation, 0.5-5 GtCO2 yr-1 for BECCS, 0.5-2 GtCO2 yr-1 for biochar, 2-4 GtCO2 yr-1 for enhanced weathering, 0.5-5 GtCO2 yr-1 for DACCS, and up to 5 GtCO2 yr-1 for soil carbon sequestration. Costs vary widely across the technologies, as do their permanency and cumulative potentials beyond 2050. It is unlikely that a single NET will be able to sustainably meet the rates of carbon uptake described in integrated assessment pathways consistent with 1.5 °C of global warming.","author":[{"dropping-particle":"","family":"Fuss","given":"Sabine","non-dropping-particle":"","parse-names":false,"suffix":""},{"dropping-particle":"","family":"Lamb","given":"William F","non-dropping-particle":"","parse-names":false,"suffix":""},{"dropping-particle":"","family":"Callaghan","given":"Max W","non-dropping-particle":"","parse-names":false,"suffix":""},{"dropping-particle":"","family":"Hilaire","given":"Jérôme","non-dropping-particle":"","parse-names":false,"suffix":""},{"dropping-particle":"","family":"Creutzig","given":"Felix","non-dropping-particle":"","parse-names":false,"suffix":""},{"dropping-particle":"","family":"Amann","given":"Thorben","non-dropping-particle":"","parse-names":false,"suffix":""},{"dropping-particle":"","family":"Beringer","given":"Tim","non-dropping-particle":"","parse-names":false,"suffix":""},{"dropping-particle":"","family":"Oliveira Garcia","given":"Wagner","non-dropping-particle":"De","parse-names":false,"suffix":""},{"dropping-particle":"","family":"Hartmann","given":"Jens","non-dropping-particle":"","parse-names":false,"suffix":""},{"dropping-particle":"","family":"Khanna","given":"Tarun","non-dropping-particle":"","parse-names":false,"suffix":""},{"dropping-particle":"","family":"Luderer","given":"Gunnar","non-dropping-particle":"","parse-names":false,"suffix":""},{"dropping-particle":"","family":"Nemet","given":"Gregory F","non-dropping-particle":"","parse-names":false,"suffix":""},{"dropping-particle":"","family":"Rogelj","given":"Joeri","non-dropping-particle":"","parse-names":false,"suffix":""},{"dropping-particle":"","family":"Smith","given":"Pete","non-dropping-particle":"","parse-names":false,"suffix":""},{"dropping-particle":"","family":"Vicente","given":"Joséluis Vicente","non-dropping-particle":"","parse-names":false,"suffix":""},{"dropping-particle":"","family":"Wilcox","given":"Jennifer","non-dropping-particle":"","parse-names":false,"suffix":""},{"dropping-particle":"","family":"Mar Zamora Dominguez","given":"Maria","non-dropping-particle":"Del","parse-names":false,"suffix":""},{"dropping-particle":"","family":"Minx","given":"Jan C","non-dropping-particle":"","parse-names":false,"suffix":""}],"container-title":"Environmental Research Letters","id":"ITEM-1","issue":"6","issued":{"date-parts":[["2018"]]},"note":"This paper reviews the various NETs and present bottum up data on potentials and costs. Also summarizes positive and negative impacts (socio-economic, environmental, biophysical). Although BECCS is included in IPCC scenario, author warns against sustainability of BECCS and promotes a portoflio of NETs with individual NETs at smaller scales. Author mentions that NETs can be deployed either due to biophysical limits (carbon budget has been exceeded) or for economics (cheaper to use NETs), or to prevent temperature overshoots. But futher delay of climate action locks in 2 deg scenario with NETs. Author suggests to study the interactions between NETs. \n\nAuthor mentioned that no single NET will be able to sustainably meet the negative emissions required.","page":"063002","title":"Negative emissions - Part 2: Costs, potentials and side effects","type":"article-journal","volume":"13"},"uris":["http://www.mendeley.com/documents/?uuid=cb50fd9a-a49a-42c1-bd4f-0ef536995e4f"]}],"mendeley":{"formattedCitation":"(Fuss et al., 2018)","plainTextFormattedCitation":"(Fuss et al., 2018)","previouslyFormattedCitation":"(Fuss et al., 2018)"},"properties":{"noteIndex":0},"schema":"https://github.com/citation-style-language/schema/raw/master/csl-citation.json"}</w:instrText>
            </w:r>
            <w:r w:rsidRPr="00542393">
              <w:fldChar w:fldCharType="separate"/>
            </w:r>
            <w:r w:rsidRPr="00542393">
              <w:rPr>
                <w:noProof/>
              </w:rPr>
              <w:t>(Fuss et al., 2018)</w:t>
            </w:r>
            <w:r w:rsidRPr="00542393">
              <w:fldChar w:fldCharType="end"/>
            </w:r>
          </w:p>
        </w:tc>
      </w:tr>
      <w:tr w:rsidR="00542393" w:rsidRPr="00542393" w14:paraId="7CD5FCEA" w14:textId="77777777" w:rsidTr="00620AEF">
        <w:tc>
          <w:tcPr>
            <w:tcW w:w="454" w:type="pct"/>
            <w:shd w:val="clear" w:color="auto" w:fill="FFFFFF"/>
          </w:tcPr>
          <w:p w14:paraId="492D682D" w14:textId="3BA758B7" w:rsidR="00B9204F" w:rsidRPr="00542393" w:rsidRDefault="00B9204F" w:rsidP="00FA20FA">
            <w:pPr>
              <w:pStyle w:val="CETBodytext"/>
              <w:jc w:val="left"/>
              <w:rPr>
                <w:lang w:val="en-GB"/>
              </w:rPr>
            </w:pPr>
            <w:r w:rsidRPr="00542393">
              <w:rPr>
                <w:lang w:val="en-GB"/>
              </w:rPr>
              <w:t>BC</w:t>
            </w:r>
          </w:p>
        </w:tc>
        <w:tc>
          <w:tcPr>
            <w:tcW w:w="1859" w:type="pct"/>
            <w:shd w:val="clear" w:color="auto" w:fill="FFFFFF"/>
          </w:tcPr>
          <w:p w14:paraId="772C2D90" w14:textId="1E178889" w:rsidR="00B9204F" w:rsidRPr="00542393" w:rsidRDefault="00B9204F" w:rsidP="00FA20FA">
            <w:pPr>
              <w:pStyle w:val="CETBodytext"/>
              <w:jc w:val="left"/>
              <w:rPr>
                <w:lang w:val="en-GB"/>
              </w:rPr>
            </w:pPr>
            <w:r w:rsidRPr="00542393">
              <w:rPr>
                <w:lang w:val="en-GB"/>
              </w:rPr>
              <w:t>0</w:t>
            </w:r>
          </w:p>
        </w:tc>
        <w:tc>
          <w:tcPr>
            <w:tcW w:w="1625" w:type="pct"/>
            <w:shd w:val="clear" w:color="auto" w:fill="FFFFFF"/>
          </w:tcPr>
          <w:p w14:paraId="6E025099" w14:textId="210CF0E8" w:rsidR="00B9204F" w:rsidRPr="00542393" w:rsidRDefault="00B9204F" w:rsidP="00FA20FA">
            <w:pPr>
              <w:pStyle w:val="CETBodytext"/>
              <w:jc w:val="left"/>
              <w:rPr>
                <w:lang w:val="en-GB"/>
              </w:rPr>
            </w:pPr>
            <w:r w:rsidRPr="00542393">
              <w:rPr>
                <w:lang w:val="en-GB"/>
              </w:rPr>
              <w:t>1.25</w:t>
            </w:r>
            <w:r w:rsidR="00587C3D" w:rsidRPr="00542393">
              <w:rPr>
                <w:lang w:val="en-GB"/>
              </w:rPr>
              <w:t xml:space="preserve"> </w:t>
            </w:r>
            <w:r w:rsidR="00587C3D" w:rsidRPr="00542393">
              <w:fldChar w:fldCharType="begin" w:fldLock="1"/>
            </w:r>
            <w:r w:rsidR="00587C3D" w:rsidRPr="00542393">
              <w:instrText>ADDIN CSL_CITATION {"citationItems":[{"id":"ITEM-1","itemData":{"DOI":"10.1088/1748-9326/aabf9f","ISSN":"17489326","abstract":"The most recent IPCC assessment has shown an important role for negative emissions technologies (NETs) in limiting global warming to 2 °C cost-effectively. However, a bottom-up, systematic, reproducible, and transparent literature assessment of the different options to remove CO2 from the atmosphere is currently missing. In part 1 of this three-part review on NETs, we assemble a comprehensive set of the relevant literature so far published, focusing on seven technologies: bioenergy with carbon capture and storage (BECCS), afforestation and reforestation, direct air carbon capture and storage (DACCS), enhanced weathering, ocean fertilisation, biochar, and soil carbon sequestration. In this part, part 2 of the review, we present estimates of costs, potentials, and side-effects for these technologies, and qualify them with the authors' assessment. Part 3 reviews the innovation and scaling challenges that must be addressed to realise NETs deployment as a viable climate mitigation strategy. Based on a systematic review of the literature, our best estimates for sustainable global NET potentials in 2050 are 0.5-3.6 GtCO2 yr-1 for afforestation and reforestation, 0.5-5 GtCO2 yr-1 for BECCS, 0.5-2 GtCO2 yr-1 for biochar, 2-4 GtCO2 yr-1 for enhanced weathering, 0.5-5 GtCO2 yr-1 for DACCS, and up to 5 GtCO2 yr-1 for soil carbon sequestration. Costs vary widely across the technologies, as do their permanency and cumulative potentials beyond 2050. It is unlikely that a single NET will be able to sustainably meet the rates of carbon uptake described in integrated assessment pathways consistent with 1.5 °C of global warming.","author":[{"dropping-particle":"","family":"Fuss","given":"Sabine","non-dropping-particle":"","parse-names":false,"suffix":""},{"dropping-particle":"","family":"Lamb","given":"William F","non-dropping-particle":"","parse-names":false,"suffix":""},{"dropping-particle":"","family":"Callaghan","given":"Max W","non-dropping-particle":"","parse-names":false,"suffix":""},{"dropping-particle":"","family":"Hilaire","given":"Jérôme","non-dropping-particle":"","parse-names":false,"suffix":""},{"dropping-particle":"","family":"Creutzig","given":"Felix","non-dropping-particle":"","parse-names":false,"suffix":""},{"dropping-particle":"","family":"Amann","given":"Thorben","non-dropping-particle":"","parse-names":false,"suffix":""},{"dropping-particle":"","family":"Beringer","given":"Tim","non-dropping-particle":"","parse-names":false,"suffix":""},{"dropping-particle":"","family":"Oliveira Garcia","given":"Wagner","non-dropping-particle":"De","parse-names":false,"suffix":""},{"dropping-particle":"","family":"Hartmann","given":"Jens","non-dropping-particle":"","parse-names":false,"suffix":""},{"dropping-particle":"","family":"Khanna","given":"Tarun","non-dropping-particle":"","parse-names":false,"suffix":""},{"dropping-particle":"","family":"Luderer","given":"Gunnar","non-dropping-particle":"","parse-names":false,"suffix":""},{"dropping-particle":"","family":"Nemet","given":"Gregory F","non-dropping-particle":"","parse-names":false,"suffix":""},{"dropping-particle":"","family":"Rogelj","given":"Joeri","non-dropping-particle":"","parse-names":false,"suffix":""},{"dropping-particle":"","family":"Smith","given":"Pete","non-dropping-particle":"","parse-names":false,"suffix":""},{"dropping-particle":"","family":"Vicente","given":"Joséluis Vicente","non-dropping-particle":"","parse-names":false,"suffix":""},{"dropping-particle":"","family":"Wilcox","given":"Jennifer","non-dropping-particle":"","parse-names":false,"suffix":""},{"dropping-particle":"","family":"Mar Zamora Dominguez","given":"Maria","non-dropping-particle":"Del","parse-names":false,"suffix":""},{"dropping-particle":"","family":"Minx","given":"Jan C","non-dropping-particle":"","parse-names":false,"suffix":""}],"container-title":"Environmental Research Letters","id":"ITEM-1","issue":"6","issued":{"date-parts":[["2018"]]},"note":"This paper reviews the various NETs and present bottum up data on potentials and costs. Also summarizes positive and negative impacts (socio-economic, environmental, biophysical). Although BECCS is included in IPCC scenario, author warns against sustainability of BECCS and promotes a portoflio of NETs with individual NETs at smaller scales. Author mentions that NETs can be deployed either due to biophysical limits (carbon budget has been exceeded) or for economics (cheaper to use NETs), or to prevent temperature overshoots. But futher delay of climate action locks in 2 deg scenario with NETs. Author suggests to study the interactions between NETs. \n\nAuthor mentioned that no single NET will be able to sustainably meet the negative emissions required.","page":"063002","title":"Negative emissions - Part 2: Costs, potentials and side effects","type":"article-journal","volume":"13"},"uris":["http://www.mendeley.com/documents/?uuid=cb50fd9a-a49a-42c1-bd4f-0ef536995e4f"]}],"mendeley":{"formattedCitation":"(Fuss et al., 2018)","plainTextFormattedCitation":"(Fuss et al., 2018)","previouslyFormattedCitation":"(Fuss et al., 2018)"},"properties":{"noteIndex":0},"schema":"https://github.com/citation-style-language/schema/raw/master/csl-citation.json"}</w:instrText>
            </w:r>
            <w:r w:rsidR="00587C3D" w:rsidRPr="00542393">
              <w:fldChar w:fldCharType="separate"/>
            </w:r>
            <w:r w:rsidR="00587C3D" w:rsidRPr="00542393">
              <w:rPr>
                <w:noProof/>
              </w:rPr>
              <w:t>(Fuss et al., 2018)</w:t>
            </w:r>
            <w:r w:rsidR="00587C3D" w:rsidRPr="00542393">
              <w:fldChar w:fldCharType="end"/>
            </w:r>
          </w:p>
        </w:tc>
        <w:tc>
          <w:tcPr>
            <w:tcW w:w="1061" w:type="pct"/>
            <w:shd w:val="clear" w:color="auto" w:fill="FFFFFF"/>
          </w:tcPr>
          <w:p w14:paraId="69DAFE02" w14:textId="2CE2F387" w:rsidR="00B9204F" w:rsidRPr="00542393" w:rsidRDefault="00B9204F" w:rsidP="00FA20FA">
            <w:pPr>
              <w:pStyle w:val="CETBodytext"/>
              <w:jc w:val="left"/>
              <w:rPr>
                <w:lang w:val="en-GB"/>
              </w:rPr>
            </w:pPr>
            <w:r w:rsidRPr="00542393">
              <w:rPr>
                <w:lang w:val="en-GB"/>
              </w:rPr>
              <w:t>30</w:t>
            </w:r>
          </w:p>
        </w:tc>
      </w:tr>
      <w:tr w:rsidR="00542393" w:rsidRPr="00542393" w14:paraId="006EA8B8" w14:textId="77777777" w:rsidTr="00620AEF">
        <w:tc>
          <w:tcPr>
            <w:tcW w:w="454" w:type="pct"/>
            <w:shd w:val="clear" w:color="auto" w:fill="FFFFFF"/>
          </w:tcPr>
          <w:p w14:paraId="3854854F" w14:textId="09315E3E" w:rsidR="00B9204F" w:rsidRPr="00542393" w:rsidRDefault="00B9204F" w:rsidP="00FA20FA">
            <w:pPr>
              <w:pStyle w:val="CETBodytext"/>
              <w:ind w:right="-1"/>
              <w:jc w:val="left"/>
              <w:rPr>
                <w:rFonts w:cs="Arial"/>
                <w:szCs w:val="18"/>
                <w:lang w:val="en-GB"/>
              </w:rPr>
            </w:pPr>
            <w:r w:rsidRPr="00542393">
              <w:rPr>
                <w:rFonts w:cs="Arial"/>
                <w:szCs w:val="18"/>
                <w:lang w:val="en-GB"/>
              </w:rPr>
              <w:t>BECCS</w:t>
            </w:r>
          </w:p>
        </w:tc>
        <w:tc>
          <w:tcPr>
            <w:tcW w:w="1859" w:type="pct"/>
            <w:shd w:val="clear" w:color="auto" w:fill="FFFFFF"/>
          </w:tcPr>
          <w:p w14:paraId="52C6158A" w14:textId="64F7BBA8" w:rsidR="00B9204F" w:rsidRPr="00542393" w:rsidRDefault="00B9204F" w:rsidP="00FA20FA">
            <w:pPr>
              <w:pStyle w:val="CETBodytext"/>
              <w:ind w:right="-1"/>
              <w:jc w:val="left"/>
              <w:rPr>
                <w:rFonts w:cs="Arial"/>
                <w:szCs w:val="18"/>
                <w:lang w:val="en-GB"/>
              </w:rPr>
            </w:pPr>
            <w:r w:rsidRPr="00542393">
              <w:rPr>
                <w:rFonts w:cs="Arial"/>
                <w:szCs w:val="18"/>
                <w:lang w:val="en-GB"/>
              </w:rPr>
              <w:t xml:space="preserve">500 MW </w:t>
            </w:r>
            <w:r w:rsidR="0015403A" w:rsidRPr="00542393">
              <w:fldChar w:fldCharType="begin" w:fldLock="1"/>
            </w:r>
            <w:r w:rsidR="0015403A" w:rsidRPr="00542393">
              <w:instrText>ADDIN CSL_CITATION {"citationItems":[{"id":"ITEM-1","itemData":{"DOI":"10.1111/gcbb.12695","ISSN":"17571707","abstract":"Bioenergy with Carbon Capture and Storage (BECCS) features heavily in the energy scenarios designed to meet the Paris Agreement targets, but the models used to generate these scenarios do not address environmental and social implications of BECCS at the regional scale. We integrate ecosystem service values into a land-use optimization tool to determine the favourability of six potential UK locations for a 500 MW BECCS power plant operating on local biomass resources. Annually, each BECCS plant requires 2.33 Mt of biomass and generates 2.99 Mt CO2 of negative emissions and 3.72 TWh of electricity. We make three important discoveries: (a) the impacts of BECCS on ecosystem services are spatially discrete, with the most favourable locations for UK BECCS identified at Drax and Easington, where net annual welfare values (from the basket of ecosystems services quantified) of £39 and £25 million were generated, respectively, with notably lower annual welfare values at Barrow (−£6 million) and Thames (£2 million); (b) larger BECCS deployment beyond 500 MW reduces net social welfare values, with a 1 GW BECCS plant at Drax generating a net annual welfare value of £19 million (a 50% decline compared with the 500 MW deployment), and a welfare loss at all other sites; (c) BECCS can be deployed to generate net welfare gains, but trade-offs and co-benefits between ecosystem services are highly site and context specific, and these landscape-scale, site-specific impacts should be central to future BECCS policy developments. For the United Kingdom, meeting the Paris Agreement targets through reliance on BECCS requires over 1 GW at each of the six locations considered here and is likely, therefore, to result in a significant welfare loss. This implies that an increased number of smaller BECCS deployments will be needed to ensure a win–win for energy, negative emissions and ecosystem services.","author":[{"dropping-particle":"","family":"Donnison","given":"Caspar","non-dropping-particle":"","parse-names":false,"suffix":""},{"dropping-particle":"","family":"Holland","given":"Robert A","non-dropping-particle":"","parse-names":false,"suffix":""},{"dropping-particle":"","family":"Hastings","given":"Astley","non-dropping-particle":"","parse-names":false,"suffix":""},{"dropping-particle":"","family":"Armstrong","given":"Lindsay Marie","non-dropping-particle":"","parse-names":false,"suffix":""},{"dropping-particle":"","family":"Eigenbrod","given":"Felix","non-dropping-particle":"","parse-names":false,"suffix":""},{"dropping-particle":"","family":"Taylor","given":"Gail","non-dropping-particle":"","parse-names":false,"suffix":""}],"container-title":"GCB Bioenergy","id":"ITEM-1","issue":"8","issued":{"date-parts":[["2020"]]},"page":"586-604","title":"Bioenergy with Carbon Capture and Storage (BECCS): Finding the win–wins for energy, negative emissions and ecosystem services—size matters","type":"article-journal","volume":"12"},"uris":["http://www.mendeley.com/documents/?uuid=2b0e2a50-ffa0-383f-aead-530f20497a1f"]}],"mendeley":{"formattedCitation":"(Donnison et al., 2020)","plainTextFormattedCitation":"(Donnison et al., 2020)"},"properties":{"noteIndex":0},"schema":"https://github.com/citation-style-language/schema/raw/master/csl-citation.json"}</w:instrText>
            </w:r>
            <w:r w:rsidR="0015403A" w:rsidRPr="00542393">
              <w:fldChar w:fldCharType="separate"/>
            </w:r>
            <w:r w:rsidR="0015403A" w:rsidRPr="00542393">
              <w:rPr>
                <w:noProof/>
              </w:rPr>
              <w:t>(Donnison et al., 2020)</w:t>
            </w:r>
            <w:r w:rsidR="0015403A" w:rsidRPr="00542393">
              <w:fldChar w:fldCharType="end"/>
            </w:r>
          </w:p>
        </w:tc>
        <w:tc>
          <w:tcPr>
            <w:tcW w:w="1625" w:type="pct"/>
            <w:shd w:val="clear" w:color="auto" w:fill="FFFFFF"/>
          </w:tcPr>
          <w:p w14:paraId="1D8AFB8C" w14:textId="6FF958E3" w:rsidR="00B9204F" w:rsidRPr="00542393" w:rsidRDefault="00B9204F" w:rsidP="00FA20FA">
            <w:pPr>
              <w:pStyle w:val="CETBodytext"/>
              <w:ind w:right="-1"/>
              <w:jc w:val="left"/>
              <w:rPr>
                <w:rFonts w:cs="Arial"/>
                <w:szCs w:val="18"/>
                <w:lang w:val="en-GB"/>
              </w:rPr>
            </w:pPr>
            <w:r w:rsidRPr="00542393">
              <w:rPr>
                <w:rFonts w:cs="Arial"/>
                <w:szCs w:val="18"/>
                <w:lang w:val="en-GB"/>
              </w:rPr>
              <w:t>2.</w:t>
            </w:r>
            <w:r w:rsidR="002E150A" w:rsidRPr="00542393">
              <w:rPr>
                <w:rFonts w:cs="Arial"/>
                <w:szCs w:val="18"/>
                <w:lang w:val="en-GB"/>
              </w:rPr>
              <w:t>99</w:t>
            </w:r>
            <w:r w:rsidR="00587C3D" w:rsidRPr="00542393">
              <w:rPr>
                <w:rFonts w:cs="Arial"/>
                <w:szCs w:val="18"/>
                <w:lang w:val="en-GB"/>
              </w:rPr>
              <w:t xml:space="preserve"> </w:t>
            </w:r>
            <w:r w:rsidR="00587C3D" w:rsidRPr="00542393">
              <w:fldChar w:fldCharType="begin" w:fldLock="1"/>
            </w:r>
            <w:r w:rsidR="00587C3D" w:rsidRPr="00542393">
              <w:instrText>ADDIN CSL_CITATION {"citationItems":[{"id":"ITEM-1","itemData":{"DOI":"10.1111/gcbb.12695","ISSN":"17571707","abstract":"Bioenergy with Carbon Capture and Storage (BECCS) features heavily in the energy scenarios designed to meet the Paris Agreement targets, but the models used to generate these scenarios do not address environmental and social implications of BECCS at the regional scale. We integrate ecosystem service values into a land-use optimization tool to determine the favourability of six potential UK locations for a 500 MW BECCS power plant operating on local biomass resources. Annually, each BECCS plant requires 2.33 Mt of biomass and generates 2.99 Mt CO2 of negative emissions and 3.72 TWh of electricity. We make three important discoveries: (a) the impacts of BECCS on ecosystem services are spatially discrete, with the most favourable locations for UK BECCS identified at Drax and Easington, where net annual welfare values (from the basket of ecosystems services quantified) of £39 and £25 million were generated, respectively, with notably lower annual welfare values at Barrow (−£6 million) and Thames (£2 million); (b) larger BECCS deployment beyond 500 MW reduces net social welfare values, with a 1 GW BECCS plant at Drax generating a net annual welfare value of £19 million (a 50% decline compared with the 500 MW deployment), and a welfare loss at all other sites; (c) BECCS can be deployed to generate net welfare gains, but trade-offs and co-benefits between ecosystem services are highly site and context specific, and these landscape-scale, site-specific impacts should be central to future BECCS policy developments. For the United Kingdom, meeting the Paris Agreement targets through reliance on BECCS requires over 1 GW at each of the six locations considered here and is likely, therefore, to result in a significant welfare loss. This implies that an increased number of smaller BECCS deployments will be needed to ensure a win–win for energy, negative emissions and ecosystem services.","author":[{"dropping-particle":"","family":"Donnison","given":"Caspar","non-dropping-particle":"","parse-names":false,"suffix":""},{"dropping-particle":"","family":"Holland","given":"Robert A","non-dropping-particle":"","parse-names":false,"suffix":""},{"dropping-particle":"","family":"Hastings","given":"Astley","non-dropping-particle":"","parse-names":false,"suffix":""},{"dropping-particle":"","family":"Armstrong","given":"Lindsay Marie","non-dropping-particle":"","parse-names":false,"suffix":""},{"dropping-particle":"","family":"Eigenbrod","given":"Felix","non-dropping-particle":"","parse-names":false,"suffix":""},{"dropping-particle":"","family":"Taylor","given":"Gail","non-dropping-particle":"","parse-names":false,"suffix":""}],"container-title":"GCB Bioenergy","id":"ITEM-1","issue":"8","issued":{"date-parts":[["2020"]]},"page":"586-604","title":"Bioenergy with Carbon Capture and Storage (BECCS): Finding the win–wins for energy, negative emissions and ecosystem services—size matters","type":"article-journal","volume":"12"},"uris":["http://www.mendeley.com/documents/?uuid=2b0e2a50-ffa0-383f-aead-530f20497a1f"]}],"mendeley":{"formattedCitation":"(Donnison et al., 2020)","plainTextFormattedCitation":"(Donnison et al., 2020)"},"properties":{"noteIndex":0},"schema":"https://github.com/citation-style-language/schema/raw/master/csl-citation.json"}</w:instrText>
            </w:r>
            <w:r w:rsidR="00587C3D" w:rsidRPr="00542393">
              <w:fldChar w:fldCharType="separate"/>
            </w:r>
            <w:r w:rsidR="00587C3D" w:rsidRPr="00542393">
              <w:rPr>
                <w:noProof/>
              </w:rPr>
              <w:t>(Donnison et al., 2020)</w:t>
            </w:r>
            <w:r w:rsidR="00587C3D" w:rsidRPr="00542393">
              <w:fldChar w:fldCharType="end"/>
            </w:r>
          </w:p>
        </w:tc>
        <w:tc>
          <w:tcPr>
            <w:tcW w:w="1061" w:type="pct"/>
            <w:shd w:val="clear" w:color="auto" w:fill="FFFFFF"/>
          </w:tcPr>
          <w:p w14:paraId="77E0E726" w14:textId="48AF3F7E" w:rsidR="00B9204F" w:rsidRPr="00542393" w:rsidRDefault="00B9204F" w:rsidP="00FA20FA">
            <w:pPr>
              <w:pStyle w:val="CETBodytext"/>
              <w:ind w:right="-1"/>
              <w:jc w:val="left"/>
              <w:rPr>
                <w:rFonts w:cs="Arial"/>
                <w:szCs w:val="18"/>
                <w:lang w:val="en-GB"/>
              </w:rPr>
            </w:pPr>
            <w:r w:rsidRPr="00542393">
              <w:rPr>
                <w:rFonts w:cs="Arial"/>
                <w:szCs w:val="18"/>
                <w:lang w:val="en-GB"/>
              </w:rPr>
              <w:t>100</w:t>
            </w:r>
          </w:p>
        </w:tc>
      </w:tr>
    </w:tbl>
    <w:p w14:paraId="304B3B24" w14:textId="77777777" w:rsidR="0046313B" w:rsidRPr="00542393" w:rsidRDefault="0046313B" w:rsidP="0046313B">
      <w:pPr>
        <w:pStyle w:val="CETBodytext"/>
      </w:pPr>
    </w:p>
    <w:p w14:paraId="16299E46" w14:textId="6938E5C2" w:rsidR="00096B2E" w:rsidRPr="00542393" w:rsidRDefault="004322D6" w:rsidP="00096B2E">
      <w:pPr>
        <w:pStyle w:val="CETBodytext"/>
      </w:pPr>
      <w:r w:rsidRPr="00542393">
        <w:t>Implementing the proposed methodology</w:t>
      </w:r>
      <w:r w:rsidR="00B07FDD" w:rsidRPr="00542393">
        <w:t xml:space="preserve">, the </w:t>
      </w:r>
      <w:r w:rsidR="00F2712A" w:rsidRPr="00542393">
        <w:t>initial results are</w:t>
      </w:r>
      <w:r w:rsidR="00B07FDD" w:rsidRPr="00542393">
        <w:t xml:space="preserve"> found in Figure 3.</w:t>
      </w:r>
      <w:r w:rsidR="00845B5C" w:rsidRPr="00542393">
        <w:t xml:space="preserve"> </w:t>
      </w:r>
      <w:r w:rsidR="009E397C" w:rsidRPr="00542393">
        <w:t>B</w:t>
      </w:r>
      <w:r w:rsidR="00845B5C" w:rsidRPr="00542393">
        <w:t xml:space="preserve">oth NETs </w:t>
      </w:r>
      <w:r w:rsidR="00B87A32" w:rsidRPr="00542393">
        <w:t xml:space="preserve">have higher specific costs </w:t>
      </w:r>
      <w:r w:rsidR="009E397C" w:rsidRPr="00542393">
        <w:t xml:space="preserve">and are positioned above the </w:t>
      </w:r>
      <w:r w:rsidR="00845B5C" w:rsidRPr="00542393">
        <w:t>CO</w:t>
      </w:r>
      <w:r w:rsidR="00845B5C" w:rsidRPr="00542393">
        <w:rPr>
          <w:vertAlign w:val="subscript"/>
        </w:rPr>
        <w:t>2</w:t>
      </w:r>
      <w:r w:rsidR="00845B5C" w:rsidRPr="00542393">
        <w:t>-emitting sources</w:t>
      </w:r>
      <w:r w:rsidR="009E397C" w:rsidRPr="00542393">
        <w:t xml:space="preserve">. </w:t>
      </w:r>
      <w:r w:rsidR="006C3741" w:rsidRPr="00542393">
        <w:t>T</w:t>
      </w:r>
      <w:r w:rsidR="00F64293" w:rsidRPr="00542393">
        <w:t xml:space="preserve">he two traditional </w:t>
      </w:r>
      <w:r w:rsidR="006C3741" w:rsidRPr="00542393">
        <w:t xml:space="preserve">energy </w:t>
      </w:r>
      <w:r w:rsidR="00F64293" w:rsidRPr="00542393">
        <w:t xml:space="preserve">sources result </w:t>
      </w:r>
      <w:r w:rsidR="0087234A" w:rsidRPr="00542393">
        <w:t>in</w:t>
      </w:r>
      <w:r w:rsidR="00F64293" w:rsidRPr="00542393">
        <w:t xml:space="preserve"> a total emission equal to 5.83 </w:t>
      </w:r>
      <w:r w:rsidR="00F64293" w:rsidRPr="00542393">
        <w:rPr>
          <w:rFonts w:cs="Arial"/>
          <w:szCs w:val="18"/>
          <w:lang w:val="en-GB"/>
        </w:rPr>
        <w:t>Mt CO</w:t>
      </w:r>
      <w:r w:rsidR="00F64293" w:rsidRPr="00542393">
        <w:rPr>
          <w:rFonts w:cs="Arial"/>
          <w:szCs w:val="18"/>
          <w:vertAlign w:val="subscript"/>
          <w:lang w:val="en-GB"/>
        </w:rPr>
        <w:t>2</w:t>
      </w:r>
      <w:r w:rsidR="00F64293" w:rsidRPr="00542393">
        <w:rPr>
          <w:rFonts w:cs="Arial"/>
          <w:szCs w:val="18"/>
          <w:lang w:val="en-GB"/>
        </w:rPr>
        <w:t>/y while the negative emission available from the NETs is only 4.24 Mt CO</w:t>
      </w:r>
      <w:r w:rsidR="00F64293" w:rsidRPr="00542393">
        <w:rPr>
          <w:rFonts w:cs="Arial"/>
          <w:szCs w:val="18"/>
          <w:vertAlign w:val="subscript"/>
          <w:lang w:val="en-GB"/>
        </w:rPr>
        <w:t>2</w:t>
      </w:r>
      <w:r w:rsidR="00F64293" w:rsidRPr="00542393">
        <w:rPr>
          <w:rFonts w:cs="Arial"/>
          <w:szCs w:val="18"/>
          <w:lang w:val="en-GB"/>
        </w:rPr>
        <w:t xml:space="preserve">/y. </w:t>
      </w:r>
      <w:r w:rsidR="00F64293" w:rsidRPr="00542393">
        <w:t>Based on the figure, a net-zero deficit amounting to 1.59 Mt CO</w:t>
      </w:r>
      <w:r w:rsidR="00F64293" w:rsidRPr="00542393">
        <w:rPr>
          <w:vertAlign w:val="subscript"/>
        </w:rPr>
        <w:t>2</w:t>
      </w:r>
      <w:r w:rsidR="00F64293" w:rsidRPr="00542393">
        <w:t>/y exists for this scenario.</w:t>
      </w:r>
      <w:r w:rsidR="006C3741" w:rsidRPr="00542393">
        <w:t xml:space="preserve"> The graph also visually shows that although BECCS ha</w:t>
      </w:r>
      <w:r w:rsidR="0087234A" w:rsidRPr="00542393">
        <w:t>s</w:t>
      </w:r>
      <w:r w:rsidR="006C3741" w:rsidRPr="00542393">
        <w:t xml:space="preserve"> a major contribution to reach</w:t>
      </w:r>
      <w:r w:rsidR="00ED3B4F" w:rsidRPr="00542393">
        <w:t>ing</w:t>
      </w:r>
      <w:r w:rsidR="006C3741" w:rsidRPr="00542393">
        <w:t xml:space="preserve"> net-zero, implementing BECCS significantly raises the cost of the </w:t>
      </w:r>
      <w:r w:rsidR="00B87A32" w:rsidRPr="00542393">
        <w:t>scenario</w:t>
      </w:r>
      <w:r w:rsidR="006C3741" w:rsidRPr="00542393">
        <w:t xml:space="preserve">. </w:t>
      </w:r>
      <w:r w:rsidR="00096B2E" w:rsidRPr="00542393">
        <w:t>The total cost is calculated, beginning with the area under the curve of the CO</w:t>
      </w:r>
      <w:r w:rsidR="00096B2E" w:rsidRPr="00542393">
        <w:rPr>
          <w:vertAlign w:val="subscript"/>
        </w:rPr>
        <w:t>2</w:t>
      </w:r>
      <w:r w:rsidR="00096B2E" w:rsidRPr="00542393">
        <w:t>-emitting sources</w:t>
      </w:r>
      <w:r w:rsidR="00BB4E1B" w:rsidRPr="00542393">
        <w:t xml:space="preserve"> (represented by the dark green shade)</w:t>
      </w:r>
      <w:r w:rsidR="00096B2E" w:rsidRPr="00542393">
        <w:t>, then adding the area under the curve of the NETs</w:t>
      </w:r>
      <w:r w:rsidR="00BB4E1B" w:rsidRPr="00542393">
        <w:t xml:space="preserve"> (represented by both the light and dark green shades under the NET curve)</w:t>
      </w:r>
      <w:r w:rsidR="00096B2E" w:rsidRPr="00542393">
        <w:t>. The cost of power generation through the traditional sources is 6.16x10</w:t>
      </w:r>
      <w:r w:rsidR="00096B2E" w:rsidRPr="00542393">
        <w:rPr>
          <w:vertAlign w:val="superscript"/>
        </w:rPr>
        <w:t>7</w:t>
      </w:r>
      <w:r w:rsidR="00096B2E" w:rsidRPr="00542393">
        <w:t xml:space="preserve"> USD/y while the cost of the NETs is 3.37x10</w:t>
      </w:r>
      <w:r w:rsidR="00096B2E" w:rsidRPr="00542393">
        <w:rPr>
          <w:vertAlign w:val="superscript"/>
        </w:rPr>
        <w:t>8</w:t>
      </w:r>
      <w:r w:rsidR="00096B2E" w:rsidRPr="00542393">
        <w:t xml:space="preserve"> USD/y. The total cost of implementation is </w:t>
      </w:r>
      <w:r w:rsidR="008051A0" w:rsidRPr="00542393">
        <w:t>3.98</w:t>
      </w:r>
      <w:r w:rsidR="00096B2E" w:rsidRPr="00542393">
        <w:t>x10</w:t>
      </w:r>
      <w:r w:rsidR="00096B2E" w:rsidRPr="00542393">
        <w:rPr>
          <w:vertAlign w:val="superscript"/>
        </w:rPr>
        <w:t>8</w:t>
      </w:r>
      <w:r w:rsidR="00096B2E" w:rsidRPr="00542393">
        <w:t xml:space="preserve"> USD/y</w:t>
      </w:r>
      <w:r w:rsidR="003E71C0" w:rsidRPr="00542393">
        <w:t xml:space="preserve"> (= 6.16x10</w:t>
      </w:r>
      <w:r w:rsidR="003E71C0" w:rsidRPr="00542393">
        <w:rPr>
          <w:vertAlign w:val="superscript"/>
        </w:rPr>
        <w:t>7</w:t>
      </w:r>
      <w:r w:rsidR="003E71C0" w:rsidRPr="00542393">
        <w:t xml:space="preserve"> + 3.37x10</w:t>
      </w:r>
      <w:r w:rsidR="003E71C0" w:rsidRPr="00542393">
        <w:rPr>
          <w:vertAlign w:val="superscript"/>
        </w:rPr>
        <w:t>8</w:t>
      </w:r>
      <w:r w:rsidR="003E71C0" w:rsidRPr="00542393">
        <w:t xml:space="preserve"> USD/y)</w:t>
      </w:r>
      <w:r w:rsidR="00096B2E" w:rsidRPr="00542393">
        <w:t xml:space="preserve">. </w:t>
      </w:r>
    </w:p>
    <w:p w14:paraId="6AA39146" w14:textId="77777777" w:rsidR="00A72FB0" w:rsidRPr="00542393" w:rsidRDefault="00A72FB0" w:rsidP="00A4725D">
      <w:pPr>
        <w:pStyle w:val="CETBodytext"/>
      </w:pPr>
    </w:p>
    <w:p w14:paraId="666DC65B" w14:textId="5B3BADFC" w:rsidR="00E02E82" w:rsidRPr="00542393" w:rsidRDefault="00BB4E1B" w:rsidP="00D901A1">
      <w:pPr>
        <w:pStyle w:val="CETBodytext"/>
      </w:pPr>
      <w:r w:rsidRPr="00542393">
        <w:t xml:space="preserve"> </w:t>
      </w:r>
      <w:r w:rsidRPr="00542393">
        <w:rPr>
          <w:noProof/>
        </w:rPr>
        <w:drawing>
          <wp:inline distT="0" distB="0" distL="0" distR="0" wp14:anchorId="1FA5F647" wp14:editId="1A25B019">
            <wp:extent cx="4320000" cy="2185812"/>
            <wp:effectExtent l="0" t="0" r="444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2185812"/>
                    </a:xfrm>
                    <a:prstGeom prst="rect">
                      <a:avLst/>
                    </a:prstGeom>
                    <a:noFill/>
                    <a:ln>
                      <a:noFill/>
                    </a:ln>
                  </pic:spPr>
                </pic:pic>
              </a:graphicData>
            </a:graphic>
          </wp:inline>
        </w:drawing>
      </w:r>
      <w:r w:rsidR="00F64293" w:rsidRPr="00542393" w:rsidDel="00F64293">
        <w:rPr>
          <w:noProof/>
        </w:rPr>
        <w:t xml:space="preserve"> </w:t>
      </w:r>
    </w:p>
    <w:p w14:paraId="51732E9B" w14:textId="404F6622" w:rsidR="00A72FB0" w:rsidRPr="00542393" w:rsidRDefault="00A72FB0" w:rsidP="00A72FB0">
      <w:pPr>
        <w:pStyle w:val="CETCaption"/>
        <w:rPr>
          <w:rStyle w:val="CETCaptionCarattere"/>
          <w:i/>
        </w:rPr>
      </w:pPr>
      <w:r w:rsidRPr="00542393">
        <w:rPr>
          <w:rStyle w:val="CETCaptionCarattere"/>
          <w:i/>
        </w:rPr>
        <w:t xml:space="preserve">Figure 3: </w:t>
      </w:r>
      <w:r w:rsidR="009E18C2" w:rsidRPr="00542393">
        <w:rPr>
          <w:rStyle w:val="CETCaptionCarattere"/>
          <w:i/>
        </w:rPr>
        <w:t xml:space="preserve">Net-zero </w:t>
      </w:r>
      <w:r w:rsidR="00BB09C2" w:rsidRPr="00542393">
        <w:rPr>
          <w:rStyle w:val="CETCaptionCarattere"/>
          <w:i/>
        </w:rPr>
        <w:t xml:space="preserve">planning </w:t>
      </w:r>
      <w:r w:rsidR="009E18C2" w:rsidRPr="00542393">
        <w:rPr>
          <w:rStyle w:val="CETCaptionCarattere"/>
          <w:i/>
        </w:rPr>
        <w:t>case study</w:t>
      </w:r>
      <w:r w:rsidR="00F10D35" w:rsidRPr="00542393">
        <w:rPr>
          <w:rStyle w:val="CETCaptionCarattere"/>
          <w:i/>
        </w:rPr>
        <w:t xml:space="preserve"> </w:t>
      </w:r>
      <w:r w:rsidR="00F2712A" w:rsidRPr="00542393">
        <w:rPr>
          <w:rStyle w:val="CETCaptionCarattere"/>
          <w:i/>
        </w:rPr>
        <w:t>initial results</w:t>
      </w:r>
    </w:p>
    <w:p w14:paraId="6CB2D570" w14:textId="51335285" w:rsidR="00A4725D" w:rsidRPr="00542393" w:rsidRDefault="008051A0" w:rsidP="00E73E4D">
      <w:pPr>
        <w:pStyle w:val="CETBodytext"/>
      </w:pPr>
      <w:r w:rsidRPr="00542393">
        <w:lastRenderedPageBreak/>
        <w:t>To meet net-zero emissions</w:t>
      </w:r>
      <w:r w:rsidR="003B7946" w:rsidRPr="00542393">
        <w:t xml:space="preserve"> and to comply with </w:t>
      </w:r>
      <w:r w:rsidR="003B2B22" w:rsidRPr="00542393">
        <w:t xml:space="preserve">the </w:t>
      </w:r>
      <w:r w:rsidR="003B7946" w:rsidRPr="00542393">
        <w:t>coal reduction mandate</w:t>
      </w:r>
      <w:r w:rsidRPr="00542393">
        <w:t>, the decisionmaker reduces the amount of coal</w:t>
      </w:r>
      <w:r w:rsidR="00EB189B" w:rsidRPr="00542393">
        <w:t xml:space="preserve"> by shifting the graph</w:t>
      </w:r>
      <w:r w:rsidRPr="00542393">
        <w:t xml:space="preserve"> as shown in Figure 4.</w:t>
      </w:r>
      <w:r w:rsidR="00B87A32" w:rsidRPr="00542393">
        <w:t xml:space="preserve"> Here, the emission from coal is reduced by the net-zero deficit amount </w:t>
      </w:r>
      <w:r w:rsidR="00F2712A" w:rsidRPr="00542393">
        <w:t>from the initial results</w:t>
      </w:r>
      <w:r w:rsidR="00B87A32" w:rsidRPr="00542393">
        <w:t xml:space="preserve"> to achieve net-zero emissions. With the reduced emissions</w:t>
      </w:r>
      <w:r w:rsidR="00E73E4D" w:rsidRPr="00542393">
        <w:t xml:space="preserve"> (2.55 Mt CO</w:t>
      </w:r>
      <w:r w:rsidR="00E73E4D" w:rsidRPr="00542393">
        <w:rPr>
          <w:vertAlign w:val="subscript"/>
        </w:rPr>
        <w:t>2</w:t>
      </w:r>
      <w:r w:rsidR="00E73E4D" w:rsidRPr="00542393">
        <w:t>/y), using the emission factor in Table 1 (0.95</w:t>
      </w:r>
      <w:r w:rsidR="00B87A32" w:rsidRPr="00542393">
        <w:t xml:space="preserve"> </w:t>
      </w:r>
      <w:r w:rsidR="00E73E4D" w:rsidRPr="00542393">
        <w:t>t CO</w:t>
      </w:r>
      <w:r w:rsidR="00E73E4D" w:rsidRPr="00542393">
        <w:rPr>
          <w:vertAlign w:val="subscript"/>
        </w:rPr>
        <w:t>2</w:t>
      </w:r>
      <w:r w:rsidR="00E73E4D" w:rsidRPr="00542393">
        <w:t>/MWh), and assuming 8</w:t>
      </w:r>
      <w:r w:rsidR="004107D0" w:rsidRPr="00542393">
        <w:t>,</w:t>
      </w:r>
      <w:r w:rsidR="00E73E4D" w:rsidRPr="00542393">
        <w:t xml:space="preserve">700 operational hours per year, the </w:t>
      </w:r>
      <w:r w:rsidR="00F2712A" w:rsidRPr="00542393">
        <w:t xml:space="preserve">new </w:t>
      </w:r>
      <w:r w:rsidR="00E73E4D" w:rsidRPr="00542393">
        <w:t xml:space="preserve">power rating of the coal power plant </w:t>
      </w:r>
      <w:r w:rsidR="004D2AA9" w:rsidRPr="00542393">
        <w:t xml:space="preserve">is calculated to be </w:t>
      </w:r>
      <w:r w:rsidR="00E73E4D" w:rsidRPr="00542393">
        <w:t xml:space="preserve">308.53 MW to meet net-zero emissions. This value is </w:t>
      </w:r>
      <w:r w:rsidR="00305715" w:rsidRPr="00542393">
        <w:t>approximately</w:t>
      </w:r>
      <w:r w:rsidR="00E73E4D" w:rsidRPr="00542393">
        <w:t xml:space="preserve"> 200 MW lower than the coal power rating </w:t>
      </w:r>
      <w:r w:rsidR="00F2712A" w:rsidRPr="00542393">
        <w:t>in the original case study</w:t>
      </w:r>
      <w:r w:rsidR="00E73E4D" w:rsidRPr="00542393">
        <w:t xml:space="preserve">, indicating a reduction in the supply.  </w:t>
      </w:r>
      <w:r w:rsidR="00047C9C" w:rsidRPr="00542393">
        <w:t xml:space="preserve">Alternatively, the decisionmaker may opt to install another NET or use renewables for the additional power generation requirements to reach net-zero, or to </w:t>
      </w:r>
      <w:r w:rsidR="00E73E4D" w:rsidRPr="00542393">
        <w:t xml:space="preserve">change the composition of the </w:t>
      </w:r>
      <w:r w:rsidR="00047C9C" w:rsidRPr="00542393">
        <w:t>CO</w:t>
      </w:r>
      <w:r w:rsidR="00047C9C" w:rsidRPr="00542393">
        <w:rPr>
          <w:vertAlign w:val="subscript"/>
        </w:rPr>
        <w:t>2</w:t>
      </w:r>
      <w:r w:rsidR="00047C9C" w:rsidRPr="00542393">
        <w:t>-emitting sources</w:t>
      </w:r>
      <w:r w:rsidR="00E73E4D" w:rsidRPr="00542393">
        <w:t xml:space="preserve"> (e.g. reducing coal and increasing NG)</w:t>
      </w:r>
      <w:r w:rsidR="00047C9C" w:rsidRPr="00542393">
        <w:t xml:space="preserve"> </w:t>
      </w:r>
      <w:r w:rsidR="00E73E4D" w:rsidRPr="00542393">
        <w:t>to compensate</w:t>
      </w:r>
      <w:r w:rsidR="00047C9C" w:rsidRPr="00542393">
        <w:t xml:space="preserve"> for the power requirement.</w:t>
      </w:r>
      <w:r w:rsidR="00A4725D" w:rsidRPr="00542393">
        <w:t xml:space="preserve"> The cost of power generation through the traditional sources</w:t>
      </w:r>
      <w:r w:rsidR="00F2712A" w:rsidRPr="00542393">
        <w:t xml:space="preserve"> in the shifted graph</w:t>
      </w:r>
      <w:r w:rsidR="0082254E" w:rsidRPr="00542393">
        <w:t xml:space="preserve"> </w:t>
      </w:r>
      <w:r w:rsidR="00A4725D" w:rsidRPr="00542393">
        <w:t>is 4.</w:t>
      </w:r>
      <w:r w:rsidR="0082254E" w:rsidRPr="00542393">
        <w:t>59</w:t>
      </w:r>
      <w:r w:rsidR="00A4725D" w:rsidRPr="00542393">
        <w:t>x10</w:t>
      </w:r>
      <w:r w:rsidR="00A4725D" w:rsidRPr="00542393">
        <w:rPr>
          <w:vertAlign w:val="superscript"/>
        </w:rPr>
        <w:t>7</w:t>
      </w:r>
      <w:r w:rsidR="00A4725D" w:rsidRPr="00542393">
        <w:t xml:space="preserve"> USD/y while the cost of the NETs is 3.37x10</w:t>
      </w:r>
      <w:r w:rsidR="00A4725D" w:rsidRPr="00542393">
        <w:rPr>
          <w:vertAlign w:val="superscript"/>
        </w:rPr>
        <w:t>8</w:t>
      </w:r>
      <w:r w:rsidR="00A4725D" w:rsidRPr="00542393">
        <w:t xml:space="preserve"> USD/y. The total cost of implementation is 3.8</w:t>
      </w:r>
      <w:r w:rsidR="0082254E" w:rsidRPr="00542393">
        <w:t>2</w:t>
      </w:r>
      <w:r w:rsidR="00A4725D" w:rsidRPr="00542393">
        <w:t>x10</w:t>
      </w:r>
      <w:r w:rsidR="00A4725D" w:rsidRPr="00542393">
        <w:rPr>
          <w:vertAlign w:val="superscript"/>
        </w:rPr>
        <w:t>8</w:t>
      </w:r>
      <w:r w:rsidR="00A4725D" w:rsidRPr="00542393">
        <w:t xml:space="preserve"> USD/y</w:t>
      </w:r>
      <w:r w:rsidR="003E71C0" w:rsidRPr="00542393">
        <w:t xml:space="preserve"> (= 4.59x10</w:t>
      </w:r>
      <w:r w:rsidR="003E71C0" w:rsidRPr="00542393">
        <w:rPr>
          <w:vertAlign w:val="superscript"/>
        </w:rPr>
        <w:t xml:space="preserve">7 </w:t>
      </w:r>
      <w:r w:rsidR="003E71C0" w:rsidRPr="00542393">
        <w:t>+ 3.37x10</w:t>
      </w:r>
      <w:r w:rsidR="003E71C0" w:rsidRPr="00542393">
        <w:rPr>
          <w:vertAlign w:val="superscript"/>
        </w:rPr>
        <w:t>8</w:t>
      </w:r>
      <w:r w:rsidR="003E71C0" w:rsidRPr="00542393">
        <w:t xml:space="preserve"> USD/y)</w:t>
      </w:r>
      <w:r w:rsidR="0082254E" w:rsidRPr="00542393">
        <w:t xml:space="preserve">, which is slightly lower than </w:t>
      </w:r>
      <w:r w:rsidR="00F2712A" w:rsidRPr="00542393">
        <w:t>the original case study</w:t>
      </w:r>
      <w:r w:rsidR="0082254E" w:rsidRPr="00542393">
        <w:t>.</w:t>
      </w:r>
      <w:r w:rsidR="00A4725D" w:rsidRPr="00542393">
        <w:t xml:space="preserve"> </w:t>
      </w:r>
    </w:p>
    <w:p w14:paraId="49EE0419" w14:textId="0CB3BDFC" w:rsidR="00092F81" w:rsidRPr="00542393" w:rsidRDefault="00BB4E1B" w:rsidP="00A72FB0">
      <w:pPr>
        <w:pStyle w:val="CETCaption"/>
        <w:rPr>
          <w:i w:val="0"/>
          <w:iCs/>
        </w:rPr>
      </w:pPr>
      <w:r w:rsidRPr="00542393">
        <w:t xml:space="preserve"> </w:t>
      </w:r>
      <w:r w:rsidR="00051905" w:rsidRPr="00542393">
        <w:rPr>
          <w:noProof/>
        </w:rPr>
        <w:drawing>
          <wp:inline distT="0" distB="0" distL="0" distR="0" wp14:anchorId="724FD9B8" wp14:editId="491BA08F">
            <wp:extent cx="4320000" cy="2069785"/>
            <wp:effectExtent l="0" t="0" r="444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0" cy="2069785"/>
                    </a:xfrm>
                    <a:prstGeom prst="rect">
                      <a:avLst/>
                    </a:prstGeom>
                    <a:noFill/>
                    <a:ln>
                      <a:noFill/>
                    </a:ln>
                  </pic:spPr>
                </pic:pic>
              </a:graphicData>
            </a:graphic>
          </wp:inline>
        </w:drawing>
      </w:r>
    </w:p>
    <w:p w14:paraId="5F787181" w14:textId="6BE67401" w:rsidR="00092F81" w:rsidRPr="00542393" w:rsidRDefault="00092F81" w:rsidP="00092F81">
      <w:pPr>
        <w:pStyle w:val="CETCaption"/>
        <w:rPr>
          <w:rStyle w:val="CETCaptionCarattere"/>
          <w:i/>
        </w:rPr>
      </w:pPr>
      <w:r w:rsidRPr="00542393">
        <w:rPr>
          <w:rStyle w:val="CETCaptionCarattere"/>
          <w:i/>
        </w:rPr>
        <w:t xml:space="preserve">Figure 4: Net-zero </w:t>
      </w:r>
      <w:r w:rsidR="00BB09C2" w:rsidRPr="00542393">
        <w:rPr>
          <w:rStyle w:val="CETCaptionCarattere"/>
          <w:i/>
        </w:rPr>
        <w:t xml:space="preserve">planning </w:t>
      </w:r>
      <w:r w:rsidRPr="00542393">
        <w:rPr>
          <w:rStyle w:val="CETCaptionCarattere"/>
          <w:i/>
        </w:rPr>
        <w:t xml:space="preserve">case study </w:t>
      </w:r>
      <w:r w:rsidR="00F2712A" w:rsidRPr="00542393">
        <w:rPr>
          <w:rStyle w:val="CETCaptionCarattere"/>
          <w:i/>
        </w:rPr>
        <w:t>after shifting the graph</w:t>
      </w:r>
    </w:p>
    <w:p w14:paraId="6F934483" w14:textId="6EEFB9D0" w:rsidR="003759FD" w:rsidRPr="00542393" w:rsidRDefault="003759FD" w:rsidP="003759FD">
      <w:pPr>
        <w:pStyle w:val="CETHeading1"/>
        <w:rPr>
          <w:lang w:val="en-GB"/>
        </w:rPr>
      </w:pPr>
      <w:r w:rsidRPr="00542393">
        <w:rPr>
          <w:lang w:val="en-GB"/>
        </w:rPr>
        <w:t>Conclusions</w:t>
      </w:r>
    </w:p>
    <w:p w14:paraId="23723621" w14:textId="18292500" w:rsidR="003759FD" w:rsidRPr="00542393" w:rsidRDefault="003B234E" w:rsidP="003B234E">
      <w:pPr>
        <w:pStyle w:val="CETBodytext"/>
      </w:pPr>
      <w:r w:rsidRPr="00542393">
        <w:t xml:space="preserve">A graphical net-zero </w:t>
      </w:r>
      <w:r w:rsidR="00001E6A" w:rsidRPr="00542393">
        <w:t xml:space="preserve">emissions </w:t>
      </w:r>
      <w:r w:rsidR="00BB09C2" w:rsidRPr="00542393">
        <w:t xml:space="preserve">planning </w:t>
      </w:r>
      <w:r w:rsidRPr="00542393">
        <w:t>method</w:t>
      </w:r>
      <w:r w:rsidR="00001E6A" w:rsidRPr="00542393">
        <w:t xml:space="preserve"> is proposed</w:t>
      </w:r>
      <w:r w:rsidR="005C624F" w:rsidRPr="00542393">
        <w:t xml:space="preserve"> based on MAC curves. </w:t>
      </w:r>
      <w:r w:rsidR="00D24907" w:rsidRPr="00542393">
        <w:t xml:space="preserve">The method allows for the visual determination of the net-zero </w:t>
      </w:r>
      <w:r w:rsidR="000C1349" w:rsidRPr="00542393">
        <w:t>deficit</w:t>
      </w:r>
      <w:r w:rsidR="00D24907" w:rsidRPr="00542393">
        <w:t xml:space="preserve"> or the amount of additional negative emissions required </w:t>
      </w:r>
      <w:r w:rsidR="00B40300" w:rsidRPr="00542393">
        <w:t>to meet net-zero emissions given a set of CO</w:t>
      </w:r>
      <w:r w:rsidR="00B40300" w:rsidRPr="00542393">
        <w:rPr>
          <w:vertAlign w:val="subscript"/>
        </w:rPr>
        <w:t>2</w:t>
      </w:r>
      <w:r w:rsidR="00B40300" w:rsidRPr="00542393">
        <w:t>-emitting sources and NETs.</w:t>
      </w:r>
      <w:r w:rsidR="00086816" w:rsidRPr="00542393">
        <w:t xml:space="preserve"> The resulting graph shows </w:t>
      </w:r>
      <w:r w:rsidR="001D731E" w:rsidRPr="00542393">
        <w:t xml:space="preserve">the emissions or negative emissions of </w:t>
      </w:r>
      <w:r w:rsidR="003B2B22" w:rsidRPr="00542393">
        <w:t xml:space="preserve">each technology and their specific costs. </w:t>
      </w:r>
      <w:r w:rsidR="00BD7218" w:rsidRPr="00542393">
        <w:t xml:space="preserve">The total costs of implementation can be obtained by calculating the areas under the curves. </w:t>
      </w:r>
      <w:r w:rsidR="00D86F2F" w:rsidRPr="00542393">
        <w:t>The decisionmaker can add additional NETs, shift the graph</w:t>
      </w:r>
      <w:r w:rsidR="000F7C52" w:rsidRPr="00542393">
        <w:t>,</w:t>
      </w:r>
      <w:r w:rsidR="00D86F2F" w:rsidRPr="00542393">
        <w:t xml:space="preserve"> or change the composition of the CO</w:t>
      </w:r>
      <w:r w:rsidR="00D86F2F" w:rsidRPr="00542393">
        <w:rPr>
          <w:vertAlign w:val="subscript"/>
        </w:rPr>
        <w:t>2</w:t>
      </w:r>
      <w:r w:rsidR="00D86F2F" w:rsidRPr="00542393">
        <w:t>-emitting sources to meet net</w:t>
      </w:r>
      <w:r w:rsidR="000C1349" w:rsidRPr="00542393">
        <w:t xml:space="preserve"> </w:t>
      </w:r>
      <w:r w:rsidR="00D86F2F" w:rsidRPr="00542393">
        <w:t>zer</w:t>
      </w:r>
      <w:r w:rsidR="000F7C52" w:rsidRPr="00542393">
        <w:t xml:space="preserve">o. </w:t>
      </w:r>
      <w:r w:rsidR="009411D8" w:rsidRPr="00542393">
        <w:t xml:space="preserve">The case study shows that a scenario using 500 MW each of coal and natural gas power plants alongside a 500 MW BECCS plant and an additional </w:t>
      </w:r>
      <w:r w:rsidR="009411D8" w:rsidRPr="00542393">
        <w:rPr>
          <w:lang w:val="en-GB"/>
        </w:rPr>
        <w:t>1.25 Mt CO</w:t>
      </w:r>
      <w:r w:rsidR="009411D8" w:rsidRPr="00542393">
        <w:rPr>
          <w:vertAlign w:val="subscript"/>
          <w:lang w:val="en-GB"/>
        </w:rPr>
        <w:t>2</w:t>
      </w:r>
      <w:r w:rsidR="009411D8" w:rsidRPr="00542393">
        <w:rPr>
          <w:lang w:val="en-GB"/>
        </w:rPr>
        <w:t xml:space="preserve">/y sequestration thru BC </w:t>
      </w:r>
      <w:r w:rsidR="009411D8" w:rsidRPr="00542393">
        <w:t xml:space="preserve">results </w:t>
      </w:r>
      <w:r w:rsidR="003B54A8" w:rsidRPr="00542393">
        <w:t>in</w:t>
      </w:r>
      <w:r w:rsidR="009411D8" w:rsidRPr="00542393">
        <w:t xml:space="preserve"> a net-zero deficit equal to 1.59 Mt CO</w:t>
      </w:r>
      <w:r w:rsidR="009411D8" w:rsidRPr="00542393">
        <w:rPr>
          <w:vertAlign w:val="subscript"/>
        </w:rPr>
        <w:t>2</w:t>
      </w:r>
      <w:r w:rsidR="009411D8" w:rsidRPr="00542393">
        <w:t>/y that needs to be met to reach net-zero emissions.</w:t>
      </w:r>
      <w:r w:rsidR="0011261B" w:rsidRPr="00542393">
        <w:t xml:space="preserve"> Shifting the graph by reducing the emission from coal can achieve net-zero emissions but at </w:t>
      </w:r>
      <w:r w:rsidR="00ED3B4F" w:rsidRPr="00542393">
        <w:t xml:space="preserve">a </w:t>
      </w:r>
      <w:r w:rsidR="00852D92" w:rsidRPr="00542393">
        <w:t>reduced power rating</w:t>
      </w:r>
      <w:r w:rsidR="00401D14" w:rsidRPr="00542393">
        <w:t xml:space="preserve"> for coal</w:t>
      </w:r>
      <w:r w:rsidR="00852D92" w:rsidRPr="00542393">
        <w:t xml:space="preserve"> (308.53 MW)</w:t>
      </w:r>
      <w:r w:rsidR="0011261B" w:rsidRPr="00542393">
        <w:t xml:space="preserve">. </w:t>
      </w:r>
      <w:r w:rsidR="000F7C52" w:rsidRPr="00542393">
        <w:t>The proposed technique provides a simple and clear method for net-zero emissions planning</w:t>
      </w:r>
      <w:r w:rsidR="00916DE9" w:rsidRPr="00542393">
        <w:t xml:space="preserve"> with </w:t>
      </w:r>
      <w:r w:rsidR="00EE1270" w:rsidRPr="00542393">
        <w:t>the specific cost in view</w:t>
      </w:r>
      <w:r w:rsidR="000F7C52" w:rsidRPr="00542393">
        <w:t xml:space="preserve">. Future work can </w:t>
      </w:r>
      <w:r w:rsidR="00D4648A" w:rsidRPr="00542393">
        <w:t>involve algebraic targeting extensions</w:t>
      </w:r>
      <w:r w:rsidR="00953CAE" w:rsidRPr="00542393">
        <w:t xml:space="preserve">, demonstration in manufacturing industries, and using co-generation for negative specific costs. </w:t>
      </w:r>
      <w:r w:rsidR="009E672D" w:rsidRPr="009E672D">
        <w:t>Aside from costs, benefits can also be taken into account (</w:t>
      </w:r>
      <w:r w:rsidR="00D005D8" w:rsidRPr="009E672D">
        <w:t>e.g.,</w:t>
      </w:r>
      <w:r w:rsidR="009E672D" w:rsidRPr="009E672D">
        <w:t xml:space="preserve"> profits), such that when benefits exceed the costs, the curve</w:t>
      </w:r>
      <w:r w:rsidR="006647A4">
        <w:t>s</w:t>
      </w:r>
      <w:r w:rsidR="009E672D" w:rsidRPr="009E672D">
        <w:t xml:space="preserve"> for these technologies are below the x-axis. </w:t>
      </w:r>
      <w:r w:rsidR="00717177" w:rsidRPr="00542393">
        <w:t>This technique can also be combined with game theory to account for the inherently multi-agent nature of real carbon management problems.</w:t>
      </w:r>
    </w:p>
    <w:p w14:paraId="459D05E6" w14:textId="35FC19B0" w:rsidR="00600535" w:rsidRPr="00542393" w:rsidRDefault="00600535" w:rsidP="00600535">
      <w:pPr>
        <w:pStyle w:val="CETAcknowledgementstitle"/>
      </w:pPr>
      <w:r w:rsidRPr="00542393">
        <w:t>Acknowledgments</w:t>
      </w:r>
    </w:p>
    <w:p w14:paraId="17C54623" w14:textId="6B213D87" w:rsidR="00DE0161" w:rsidRPr="00542393" w:rsidRDefault="00DE0161" w:rsidP="00DE0161">
      <w:pPr>
        <w:pStyle w:val="CETBodytext"/>
        <w:rPr>
          <w:lang w:val="en-GB"/>
        </w:rPr>
      </w:pPr>
      <w:r w:rsidRPr="00542393">
        <w:rPr>
          <w:lang w:val="en-GB"/>
        </w:rPr>
        <w:t xml:space="preserve">Maria Victoria Migo-Sumagang would like to acknowledge the financial support of the Department of Science and Technology (DOST), Republic of the </w:t>
      </w:r>
      <w:r w:rsidRPr="00542393">
        <w:t>Philippines</w:t>
      </w:r>
      <w:r w:rsidRPr="00542393">
        <w:rPr>
          <w:lang w:val="en-GB"/>
        </w:rPr>
        <w:t xml:space="preserve">, via the Engineering Research and Development for Technology (ERDT) scholarship program, and the support of the Chemical Engineering Department (DChE), College of Engineering and Agro-Industrial Technology (CEAT), University of the Philippines Los Baños (UPLB). </w:t>
      </w:r>
      <w:r w:rsidR="006F4DDB" w:rsidRPr="00542393">
        <w:rPr>
          <w:lang w:val="en-GB"/>
        </w:rPr>
        <w:t>Dr Short, Dr Nair, and Prof Foo would like to acknowledge the funding of the British Council under the COP26 Trilateral Research Initiative programme.</w:t>
      </w:r>
    </w:p>
    <w:p w14:paraId="4F1327F8" w14:textId="77777777" w:rsidR="00600535" w:rsidRPr="00542393" w:rsidRDefault="00600535" w:rsidP="00600535">
      <w:pPr>
        <w:pStyle w:val="CETReference"/>
      </w:pPr>
      <w:r w:rsidRPr="00542393">
        <w:t>References</w:t>
      </w:r>
    </w:p>
    <w:p w14:paraId="35A0752C" w14:textId="501A1283" w:rsidR="00233DD1" w:rsidRPr="00542393" w:rsidRDefault="00233DD1" w:rsidP="00233DD1">
      <w:pPr>
        <w:pStyle w:val="CETReferencetext"/>
      </w:pPr>
      <w:r w:rsidRPr="00542393">
        <w:t>Chrobak U., 2021, Corporate Climate Pledges Pile Up—Will It Matter?, Engineering, 7(8), 1044–1046.</w:t>
      </w:r>
    </w:p>
    <w:p w14:paraId="13451B76" w14:textId="7D348DF8" w:rsidR="00D37A9B" w:rsidRPr="00542393" w:rsidRDefault="00D37A9B" w:rsidP="00233DD1">
      <w:pPr>
        <w:pStyle w:val="CETReferencetext"/>
      </w:pPr>
      <w:r w:rsidRPr="00542393">
        <w:lastRenderedPageBreak/>
        <w:t>Dhole V.R., Ramchandani N., Tainsh R.A., Wasilewski M., 1996, Make your process water pay for itself, Chemical Engineering, 103, 100-103.</w:t>
      </w:r>
    </w:p>
    <w:p w14:paraId="1840A820" w14:textId="5FCA3483" w:rsidR="00EA0A62" w:rsidRPr="00542393" w:rsidRDefault="00EA0A62" w:rsidP="00233DD1">
      <w:pPr>
        <w:pStyle w:val="CETReferencetext"/>
      </w:pPr>
      <w:r w:rsidRPr="00542393">
        <w:t>Donnison C., Holland R.A., Hastings A., Armstrong L.M., Eigenbrod F., Taylor G., 2020, Bioenergy with Carbon Capture and Storage (BECCS): Finding the win–wins for energy, negative emissions and ecosystem services—size matters, GCB Bioenergy, 12(8), 586–604.</w:t>
      </w:r>
    </w:p>
    <w:p w14:paraId="67BBE33C" w14:textId="77777777" w:rsidR="00233DD1" w:rsidRPr="00542393" w:rsidRDefault="00233DD1" w:rsidP="00233DD1">
      <w:pPr>
        <w:pStyle w:val="CETReferencetext"/>
      </w:pPr>
      <w:r w:rsidRPr="00542393">
        <w:t>Enkvist P.A., Nauclér T., Rosander J., 2007, A cost curve for greenhouse gas reduction, Mckinsey, 1–34.</w:t>
      </w:r>
    </w:p>
    <w:p w14:paraId="2E09753A" w14:textId="67B0321B" w:rsidR="00233DD1" w:rsidRPr="00542393" w:rsidRDefault="00233DD1" w:rsidP="00233DD1">
      <w:pPr>
        <w:pStyle w:val="CETReferencetext"/>
      </w:pPr>
      <w:r w:rsidRPr="00542393">
        <w:t>Fajardy M., Mac Dowell N., 2017, Can BECCS deliver sustainable and resource efficient negative emissions?, Energy and Environmental Science, 10(6), 1389–1426.</w:t>
      </w:r>
    </w:p>
    <w:p w14:paraId="6D7F1F4E" w14:textId="15FE3AAE" w:rsidR="00AD18C0" w:rsidRPr="00542393" w:rsidRDefault="00AD18C0" w:rsidP="00233DD1">
      <w:pPr>
        <w:pStyle w:val="CETReferencetext"/>
      </w:pPr>
      <w:r w:rsidRPr="00542393">
        <w:t>El-Halwagi M.M., Gabriel F., Harell D., 2003, Rigorous Graphical Targeting for Resource Conservation via Material Recycle/Reuse Networks, Industrial and Engineering Chemistry Research, 42(19), 4319–4328.</w:t>
      </w:r>
    </w:p>
    <w:p w14:paraId="551DE14D" w14:textId="0150E8BA" w:rsidR="00AD18C0" w:rsidRPr="00542393" w:rsidRDefault="00AD18C0" w:rsidP="00233DD1">
      <w:pPr>
        <w:pStyle w:val="CETReferencetext"/>
      </w:pPr>
      <w:r w:rsidRPr="00542393">
        <w:t>Foo D.C.Y., 2017, Extended Graphical Technique for the Evaluation of Carbon Dioxide Emission Reduction Projects, Process Integration and Optimization for Sustainability, 1(4), 269–274.</w:t>
      </w:r>
    </w:p>
    <w:p w14:paraId="5B39C5D9" w14:textId="57F140CF" w:rsidR="00A17B89" w:rsidRPr="00542393" w:rsidRDefault="00A17B89" w:rsidP="00233DD1">
      <w:pPr>
        <w:pStyle w:val="CETReferencetext"/>
      </w:pPr>
      <w:r w:rsidRPr="00542393">
        <w:t xml:space="preserve">Fuss S. </w:t>
      </w:r>
      <w:r w:rsidR="00E54CDD" w:rsidRPr="00542393">
        <w:t xml:space="preserve">Fuss S., Lamb W.F., Callaghan M.W., Hilaire J., Creutzig F., Amann T., Beringer T., De Oliveira Garcia W., Hartmann J., Khanna T., Luderer G., Nemet G.F., Rogelj J., Smith P., Vicente J.V., Wilcox J., Del Mar Zamora Dominguez M., Minx J.C., </w:t>
      </w:r>
      <w:r w:rsidRPr="00542393">
        <w:t>2018, Negative emissions - Part 2: Costs, potentials and side effects, Environmental Research Letters, 13, 063002.</w:t>
      </w:r>
    </w:p>
    <w:p w14:paraId="5D503D02" w14:textId="45816ABB" w:rsidR="00DE44A2" w:rsidRPr="00542393" w:rsidRDefault="00DE44A2" w:rsidP="00233DD1">
      <w:pPr>
        <w:pStyle w:val="CETReferencetext"/>
      </w:pPr>
      <w:r w:rsidRPr="00542393">
        <w:t>Hallale N., 2002, A new graphical targeting method for water minimisation, Advances in Environmental Research, 6(3), 377–390.</w:t>
      </w:r>
    </w:p>
    <w:p w14:paraId="3BE2F249" w14:textId="53A945F0" w:rsidR="00233DD1" w:rsidRPr="00542393" w:rsidRDefault="00233DD1" w:rsidP="00233DD1">
      <w:pPr>
        <w:pStyle w:val="CETReferencetext"/>
      </w:pPr>
      <w:r w:rsidRPr="00542393">
        <w:t>IPCC, 2014, Synthesis Report</w:t>
      </w:r>
      <w:r w:rsidR="00190488" w:rsidRPr="00542393">
        <w:t>,</w:t>
      </w:r>
      <w:r w:rsidRPr="00542393">
        <w:t xml:space="preserve"> Climate Change 2014: Contribution of Working Groups I, II and III to the Fifth Assessment Report of the Intergovernmental Panel on Climate Change, Geneva, Switzerland</w:t>
      </w:r>
      <w:r w:rsidR="00F6525B" w:rsidRPr="00542393">
        <w:t>.</w:t>
      </w:r>
    </w:p>
    <w:p w14:paraId="0C75A78D" w14:textId="6082175D" w:rsidR="00233DD1" w:rsidRPr="00542393" w:rsidRDefault="00233DD1" w:rsidP="00233DD1">
      <w:pPr>
        <w:pStyle w:val="CETReferencetext"/>
      </w:pPr>
      <w:r w:rsidRPr="00542393">
        <w:t>IPCC, 2021, Summary for Policymakers</w:t>
      </w:r>
      <w:r w:rsidR="00190488" w:rsidRPr="00542393">
        <w:t>,</w:t>
      </w:r>
      <w:r w:rsidRPr="00542393">
        <w:t xml:space="preserve"> Climate Change 2021: The Physical Science Basis. Contribution of Working Group I to the Sixth Assessment Report of the Intergovernmental Panel on Climate Change, </w:t>
      </w:r>
      <w:r w:rsidR="00606110" w:rsidRPr="00542393">
        <w:t xml:space="preserve">Cambridge University Press, </w:t>
      </w:r>
      <w:r w:rsidRPr="00542393">
        <w:t>Cambridge, UK and New York, USA</w:t>
      </w:r>
      <w:r w:rsidR="00F6525B" w:rsidRPr="00542393">
        <w:t>.</w:t>
      </w:r>
    </w:p>
    <w:p w14:paraId="18A97536" w14:textId="6BDFB13D" w:rsidR="00233DD1" w:rsidRPr="00542393" w:rsidRDefault="00233DD1" w:rsidP="00233DD1">
      <w:pPr>
        <w:pStyle w:val="CETReferencetext"/>
      </w:pPr>
      <w:r w:rsidRPr="00542393">
        <w:t>IPCC, 2022, Summary for policymakers</w:t>
      </w:r>
      <w:r w:rsidR="00190488" w:rsidRPr="00542393">
        <w:t>,</w:t>
      </w:r>
      <w:r w:rsidRPr="00542393">
        <w:t xml:space="preserve"> Climate change 2022: Mitigation of climate change. Contribution of Working Group III to the Sixth Assessment Report of the Intergovernmental Panel on Climate Change. Cambridge University Press</w:t>
      </w:r>
      <w:r w:rsidR="00606110" w:rsidRPr="00542393">
        <w:t>,</w:t>
      </w:r>
      <w:r w:rsidRPr="00542393">
        <w:t xml:space="preserve"> Cambridge, UK and New York, USA.</w:t>
      </w:r>
    </w:p>
    <w:p w14:paraId="380259CE" w14:textId="77777777" w:rsidR="00233DD1" w:rsidRPr="00542393" w:rsidRDefault="00233DD1" w:rsidP="00233DD1">
      <w:pPr>
        <w:pStyle w:val="CETReferencetext"/>
      </w:pPr>
      <w:r w:rsidRPr="00542393">
        <w:t>Iyer G. Clarke L., Edmonds J., Fawcett A., Fuhrman J., McJeon H., Waldhoff S., 2021, The role of carbon dioxide removal in net-zero emissions pledges, Energy and Climate Change, 2(6), 100043.</w:t>
      </w:r>
    </w:p>
    <w:p w14:paraId="4D3C0EB9" w14:textId="3BC3F0A2" w:rsidR="00233DD1" w:rsidRPr="00542393" w:rsidRDefault="00233DD1" w:rsidP="00233DD1">
      <w:pPr>
        <w:pStyle w:val="CETReferencetext"/>
      </w:pPr>
      <w:r w:rsidRPr="00542393">
        <w:t>Klemeš J.J., Varbanov P.S., Kravanja Z., 2013, Recent developments in Process Integration, Chemical Engineering Research and Design, 91(1</w:t>
      </w:r>
      <w:r w:rsidR="00B362B3" w:rsidRPr="00542393">
        <w:t>0</w:t>
      </w:r>
      <w:r w:rsidRPr="00542393">
        <w:t>), 2037–2053.</w:t>
      </w:r>
    </w:p>
    <w:p w14:paraId="140DB5B6" w14:textId="77777777" w:rsidR="00233DD1" w:rsidRPr="00542393" w:rsidRDefault="00233DD1" w:rsidP="00233DD1">
      <w:pPr>
        <w:pStyle w:val="CETReferencetext"/>
      </w:pPr>
      <w:r w:rsidRPr="00542393">
        <w:t>Köberle A.C., 2019, The Value of BECCS in IAMs: a Review, Current Sustainable/Renewable Energy Reports, 6(4), 107–115.</w:t>
      </w:r>
    </w:p>
    <w:p w14:paraId="6D00CD2C" w14:textId="77777777" w:rsidR="00233DD1" w:rsidRPr="00542393" w:rsidRDefault="00233DD1" w:rsidP="00233DD1">
      <w:pPr>
        <w:pStyle w:val="CETReferencetext"/>
      </w:pPr>
      <w:r w:rsidRPr="00542393">
        <w:t>Lameh M., Al-Mohannadi D.M., Linke P., 2022, Minimum marginal abatement cost curves (Mini-MAC) for CO2 emissions reduction planning, Clean Technologies and Environmental Policy, 24, 143–159.</w:t>
      </w:r>
    </w:p>
    <w:p w14:paraId="52CC0AD1" w14:textId="77777777" w:rsidR="00233DD1" w:rsidRPr="00542393" w:rsidRDefault="00233DD1" w:rsidP="00233DD1">
      <w:pPr>
        <w:pStyle w:val="CETReferencetext"/>
      </w:pPr>
      <w:r w:rsidRPr="00542393">
        <w:t>Meier A., Rosenfeld A.H., Wright J., 1982, Supply curves of conserved energy for California’s residential sector, Energy, 7(4), 347–358.</w:t>
      </w:r>
    </w:p>
    <w:p w14:paraId="78C7DB40" w14:textId="77777777" w:rsidR="00233DD1" w:rsidRPr="00542393" w:rsidRDefault="00233DD1" w:rsidP="00233DD1">
      <w:pPr>
        <w:pStyle w:val="CETReferencetext"/>
      </w:pPr>
      <w:r w:rsidRPr="00542393">
        <w:t>Migo-Sumagang M.V., Tan R.R., Tapia J.F.D., Aviso K.B., 2022, Fuzzy mixed-integer linear and quadratic programming models for planning negative emissions technologies portfolios with synergistic interactions, Cleaner Engineering and Technology, 9, 100507.</w:t>
      </w:r>
    </w:p>
    <w:p w14:paraId="26331299" w14:textId="77777777" w:rsidR="00233DD1" w:rsidRPr="00542393" w:rsidRDefault="00233DD1" w:rsidP="00233DD1">
      <w:pPr>
        <w:pStyle w:val="CETReferencetext"/>
      </w:pPr>
      <w:r w:rsidRPr="00542393">
        <w:t>Nair P.N.S.B., Tan R.R., Foo D.C.Y., 2020, Extended Graphical Approach for the Deployment of Negative Emission Technologies, Industrial and Engineering Chemistry Research, 59(42), 18977–18990.</w:t>
      </w:r>
    </w:p>
    <w:p w14:paraId="105D443D" w14:textId="77777777" w:rsidR="00233DD1" w:rsidRPr="00542393" w:rsidRDefault="00233DD1" w:rsidP="00233DD1">
      <w:pPr>
        <w:pStyle w:val="CETReferencetext"/>
      </w:pPr>
      <w:r w:rsidRPr="00542393">
        <w:t>Selosse S., Ricci O., 2014, Achieving negative emissions with BECCS (bioenergy with carbon capture and storage) in the power sector: New insights from the TIAM-FR (TIMES Integrated Assessment Model France) model, Energy, 76, 967–975.</w:t>
      </w:r>
    </w:p>
    <w:p w14:paraId="650F84AA" w14:textId="77777777" w:rsidR="00233DD1" w:rsidRPr="00542393" w:rsidRDefault="00233DD1" w:rsidP="00233DD1">
      <w:pPr>
        <w:pStyle w:val="CETReferencetext"/>
      </w:pPr>
      <w:r w:rsidRPr="00542393">
        <w:t>Smith P., Adams J., Beerling D.J., Beringer T., Calvin K.V., Fuss S., Griscom B., Hagemann N., Kammann C., Kraxner F., Minx J.C., Popp A., Renforth P., Vicente Vicente J.L., Keesstra S., 2019, Land-Management Options for Greenhouse Gas Removal and Their Impacts on Ecosystem Services and the Sustainable Development Goals, Annual Review of Environment and Resources, 44, 255–286.</w:t>
      </w:r>
    </w:p>
    <w:p w14:paraId="1F6169EB" w14:textId="77777777" w:rsidR="00233DD1" w:rsidRPr="00542393" w:rsidRDefault="00233DD1" w:rsidP="00233DD1">
      <w:pPr>
        <w:pStyle w:val="CETReferencetext"/>
      </w:pPr>
      <w:r w:rsidRPr="00542393">
        <w:t>Tatarewicz I., Lewarski M., Skwierz S., Krupin V., Jeszke R., Pyrka M., Szczepá Nski K., Sekuła M., Szczepański K., Sekuła M., 2021, The Role of BECCS in Achieving Climate Neutrality in the European Union, Energies, 14, 7842.</w:t>
      </w:r>
    </w:p>
    <w:p w14:paraId="6FAA4342" w14:textId="4BB20A4B" w:rsidR="00C52C3C" w:rsidRPr="00542393" w:rsidRDefault="00233DD1" w:rsidP="00E65B91">
      <w:pPr>
        <w:pStyle w:val="CETReferencetext"/>
      </w:pPr>
      <w:r w:rsidRPr="00542393">
        <w:t>The Royal Society, 2018, Greenhouse Gas Removal. London, UK.</w:t>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3A33" w14:textId="77777777" w:rsidR="005A7E58" w:rsidRDefault="005A7E58" w:rsidP="004F5E36">
      <w:r>
        <w:separator/>
      </w:r>
    </w:p>
  </w:endnote>
  <w:endnote w:type="continuationSeparator" w:id="0">
    <w:p w14:paraId="630C4C83" w14:textId="77777777" w:rsidR="005A7E58" w:rsidRDefault="005A7E5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3CF6" w14:textId="77777777" w:rsidR="005A7E58" w:rsidRDefault="005A7E58" w:rsidP="004F5E36">
      <w:r>
        <w:separator/>
      </w:r>
    </w:p>
  </w:footnote>
  <w:footnote w:type="continuationSeparator" w:id="0">
    <w:p w14:paraId="5401ACEB" w14:textId="77777777" w:rsidR="005A7E58" w:rsidRDefault="005A7E5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CD2378"/>
    <w:multiLevelType w:val="hybridMultilevel"/>
    <w:tmpl w:val="D87471E8"/>
    <w:lvl w:ilvl="0" w:tplc="6A6A035C">
      <w:start w:val="1"/>
      <w:numFmt w:val="decimal"/>
      <w:lvlText w:val="(S%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4660430">
    <w:abstractNumId w:val="10"/>
  </w:num>
  <w:num w:numId="2" w16cid:durableId="1065228557">
    <w:abstractNumId w:val="8"/>
  </w:num>
  <w:num w:numId="3" w16cid:durableId="1537544723">
    <w:abstractNumId w:val="3"/>
  </w:num>
  <w:num w:numId="4" w16cid:durableId="1428425748">
    <w:abstractNumId w:val="2"/>
  </w:num>
  <w:num w:numId="5" w16cid:durableId="826285882">
    <w:abstractNumId w:val="1"/>
  </w:num>
  <w:num w:numId="6" w16cid:durableId="1700426459">
    <w:abstractNumId w:val="0"/>
  </w:num>
  <w:num w:numId="7" w16cid:durableId="222913105">
    <w:abstractNumId w:val="9"/>
  </w:num>
  <w:num w:numId="8" w16cid:durableId="2130273324">
    <w:abstractNumId w:val="7"/>
  </w:num>
  <w:num w:numId="9" w16cid:durableId="107823466">
    <w:abstractNumId w:val="6"/>
  </w:num>
  <w:num w:numId="10" w16cid:durableId="360017241">
    <w:abstractNumId w:val="5"/>
  </w:num>
  <w:num w:numId="11" w16cid:durableId="1357852030">
    <w:abstractNumId w:val="4"/>
  </w:num>
  <w:num w:numId="12" w16cid:durableId="357778036">
    <w:abstractNumId w:val="17"/>
  </w:num>
  <w:num w:numId="13" w16cid:durableId="417871929">
    <w:abstractNumId w:val="12"/>
  </w:num>
  <w:num w:numId="14" w16cid:durableId="1132211703">
    <w:abstractNumId w:val="19"/>
  </w:num>
  <w:num w:numId="15" w16cid:durableId="2080664605">
    <w:abstractNumId w:val="21"/>
  </w:num>
  <w:num w:numId="16" w16cid:durableId="1482039694">
    <w:abstractNumId w:val="20"/>
  </w:num>
  <w:num w:numId="17" w16cid:durableId="789905967">
    <w:abstractNumId w:val="11"/>
  </w:num>
  <w:num w:numId="18" w16cid:durableId="1986621816">
    <w:abstractNumId w:val="12"/>
    <w:lvlOverride w:ilvl="0">
      <w:startOverride w:val="1"/>
    </w:lvlOverride>
  </w:num>
  <w:num w:numId="19" w16cid:durableId="1355111554">
    <w:abstractNumId w:val="16"/>
  </w:num>
  <w:num w:numId="20" w16cid:durableId="204610333">
    <w:abstractNumId w:val="15"/>
  </w:num>
  <w:num w:numId="21" w16cid:durableId="1670252144">
    <w:abstractNumId w:val="14"/>
  </w:num>
  <w:num w:numId="22" w16cid:durableId="714235741">
    <w:abstractNumId w:val="13"/>
  </w:num>
  <w:num w:numId="23" w16cid:durableId="17242110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1E6A"/>
    <w:rsid w:val="000027C0"/>
    <w:rsid w:val="000052FB"/>
    <w:rsid w:val="00007D31"/>
    <w:rsid w:val="000117CB"/>
    <w:rsid w:val="0001376A"/>
    <w:rsid w:val="00013CE3"/>
    <w:rsid w:val="0002109B"/>
    <w:rsid w:val="00025588"/>
    <w:rsid w:val="000301D8"/>
    <w:rsid w:val="0003148D"/>
    <w:rsid w:val="00031EEC"/>
    <w:rsid w:val="000404A2"/>
    <w:rsid w:val="00045892"/>
    <w:rsid w:val="00047C9C"/>
    <w:rsid w:val="00051566"/>
    <w:rsid w:val="00051905"/>
    <w:rsid w:val="00056B72"/>
    <w:rsid w:val="00057A90"/>
    <w:rsid w:val="00062A9A"/>
    <w:rsid w:val="00064E03"/>
    <w:rsid w:val="00065058"/>
    <w:rsid w:val="000655EE"/>
    <w:rsid w:val="00065CD8"/>
    <w:rsid w:val="0008088C"/>
    <w:rsid w:val="00082376"/>
    <w:rsid w:val="00084BE2"/>
    <w:rsid w:val="00085A81"/>
    <w:rsid w:val="000863D0"/>
    <w:rsid w:val="00086816"/>
    <w:rsid w:val="00086C39"/>
    <w:rsid w:val="000879F6"/>
    <w:rsid w:val="00087B04"/>
    <w:rsid w:val="00092F81"/>
    <w:rsid w:val="00096262"/>
    <w:rsid w:val="00096B2E"/>
    <w:rsid w:val="000A03B2"/>
    <w:rsid w:val="000A5AE9"/>
    <w:rsid w:val="000C1349"/>
    <w:rsid w:val="000D0268"/>
    <w:rsid w:val="000D2327"/>
    <w:rsid w:val="000D34BE"/>
    <w:rsid w:val="000D3EA4"/>
    <w:rsid w:val="000E102F"/>
    <w:rsid w:val="000E1959"/>
    <w:rsid w:val="000E36F1"/>
    <w:rsid w:val="000E3A73"/>
    <w:rsid w:val="000E414A"/>
    <w:rsid w:val="000E5E70"/>
    <w:rsid w:val="000F093C"/>
    <w:rsid w:val="000F375B"/>
    <w:rsid w:val="000F787B"/>
    <w:rsid w:val="000F7A4A"/>
    <w:rsid w:val="000F7C52"/>
    <w:rsid w:val="00101912"/>
    <w:rsid w:val="0010520E"/>
    <w:rsid w:val="001067E4"/>
    <w:rsid w:val="00106852"/>
    <w:rsid w:val="00111E73"/>
    <w:rsid w:val="0011261B"/>
    <w:rsid w:val="00113C51"/>
    <w:rsid w:val="001158B5"/>
    <w:rsid w:val="0012091F"/>
    <w:rsid w:val="00120AC8"/>
    <w:rsid w:val="00126BC2"/>
    <w:rsid w:val="001272C7"/>
    <w:rsid w:val="00127331"/>
    <w:rsid w:val="001308B6"/>
    <w:rsid w:val="0013121F"/>
    <w:rsid w:val="00131FE6"/>
    <w:rsid w:val="0013263F"/>
    <w:rsid w:val="001331DF"/>
    <w:rsid w:val="00134DE4"/>
    <w:rsid w:val="00135784"/>
    <w:rsid w:val="0014034D"/>
    <w:rsid w:val="00140E86"/>
    <w:rsid w:val="00141A0A"/>
    <w:rsid w:val="001437F7"/>
    <w:rsid w:val="00144D16"/>
    <w:rsid w:val="00147352"/>
    <w:rsid w:val="00150217"/>
    <w:rsid w:val="00150E59"/>
    <w:rsid w:val="001515E0"/>
    <w:rsid w:val="00152DE3"/>
    <w:rsid w:val="0015403A"/>
    <w:rsid w:val="00155715"/>
    <w:rsid w:val="00156C90"/>
    <w:rsid w:val="00164AF6"/>
    <w:rsid w:val="00164CF9"/>
    <w:rsid w:val="001667A6"/>
    <w:rsid w:val="00166C98"/>
    <w:rsid w:val="00173A9B"/>
    <w:rsid w:val="00183EEC"/>
    <w:rsid w:val="00184AD6"/>
    <w:rsid w:val="001858BA"/>
    <w:rsid w:val="00185FE0"/>
    <w:rsid w:val="001861A2"/>
    <w:rsid w:val="00190488"/>
    <w:rsid w:val="00193FE7"/>
    <w:rsid w:val="00195042"/>
    <w:rsid w:val="001A0383"/>
    <w:rsid w:val="001A1840"/>
    <w:rsid w:val="001A2D36"/>
    <w:rsid w:val="001A4AF7"/>
    <w:rsid w:val="001A634E"/>
    <w:rsid w:val="001A6D00"/>
    <w:rsid w:val="001B0349"/>
    <w:rsid w:val="001B16D1"/>
    <w:rsid w:val="001B1E93"/>
    <w:rsid w:val="001B65C1"/>
    <w:rsid w:val="001C1457"/>
    <w:rsid w:val="001C59E3"/>
    <w:rsid w:val="001C684B"/>
    <w:rsid w:val="001D0705"/>
    <w:rsid w:val="001D0CFB"/>
    <w:rsid w:val="001D21AF"/>
    <w:rsid w:val="001D3AE2"/>
    <w:rsid w:val="001D50F2"/>
    <w:rsid w:val="001D53FC"/>
    <w:rsid w:val="001D731E"/>
    <w:rsid w:val="001E1AB5"/>
    <w:rsid w:val="001E775B"/>
    <w:rsid w:val="001F206C"/>
    <w:rsid w:val="001F42A5"/>
    <w:rsid w:val="001F7B9D"/>
    <w:rsid w:val="00201C93"/>
    <w:rsid w:val="00205DCD"/>
    <w:rsid w:val="002103D9"/>
    <w:rsid w:val="002136DB"/>
    <w:rsid w:val="00214387"/>
    <w:rsid w:val="00215B43"/>
    <w:rsid w:val="002224B4"/>
    <w:rsid w:val="00222BAA"/>
    <w:rsid w:val="00225FFA"/>
    <w:rsid w:val="00233DD1"/>
    <w:rsid w:val="00234F08"/>
    <w:rsid w:val="002447EF"/>
    <w:rsid w:val="00251550"/>
    <w:rsid w:val="002521B3"/>
    <w:rsid w:val="00255CC9"/>
    <w:rsid w:val="00260235"/>
    <w:rsid w:val="00260B4B"/>
    <w:rsid w:val="00261488"/>
    <w:rsid w:val="00263B05"/>
    <w:rsid w:val="00263C7D"/>
    <w:rsid w:val="00266F31"/>
    <w:rsid w:val="00267532"/>
    <w:rsid w:val="0027221A"/>
    <w:rsid w:val="00274600"/>
    <w:rsid w:val="00275B61"/>
    <w:rsid w:val="00275FD8"/>
    <w:rsid w:val="002766DA"/>
    <w:rsid w:val="00280FAF"/>
    <w:rsid w:val="00282656"/>
    <w:rsid w:val="00294036"/>
    <w:rsid w:val="00296B83"/>
    <w:rsid w:val="002A6833"/>
    <w:rsid w:val="002B4015"/>
    <w:rsid w:val="002B475B"/>
    <w:rsid w:val="002B7389"/>
    <w:rsid w:val="002B78CE"/>
    <w:rsid w:val="002C29AE"/>
    <w:rsid w:val="002C2FB6"/>
    <w:rsid w:val="002E0897"/>
    <w:rsid w:val="002E150A"/>
    <w:rsid w:val="002E5FA7"/>
    <w:rsid w:val="002F3309"/>
    <w:rsid w:val="002F6AE7"/>
    <w:rsid w:val="003008CE"/>
    <w:rsid w:val="003009B7"/>
    <w:rsid w:val="00300E56"/>
    <w:rsid w:val="0030381F"/>
    <w:rsid w:val="0030469C"/>
    <w:rsid w:val="00304E25"/>
    <w:rsid w:val="00305715"/>
    <w:rsid w:val="003113E1"/>
    <w:rsid w:val="00313BE5"/>
    <w:rsid w:val="00316827"/>
    <w:rsid w:val="00317CCF"/>
    <w:rsid w:val="00321A0C"/>
    <w:rsid w:val="00321CA6"/>
    <w:rsid w:val="00321F98"/>
    <w:rsid w:val="00323763"/>
    <w:rsid w:val="0033408D"/>
    <w:rsid w:val="00334772"/>
    <w:rsid w:val="00334C09"/>
    <w:rsid w:val="0035015A"/>
    <w:rsid w:val="0035170E"/>
    <w:rsid w:val="00351FD2"/>
    <w:rsid w:val="00366D6D"/>
    <w:rsid w:val="00371564"/>
    <w:rsid w:val="003723D4"/>
    <w:rsid w:val="00375622"/>
    <w:rsid w:val="00375813"/>
    <w:rsid w:val="003759FD"/>
    <w:rsid w:val="00376526"/>
    <w:rsid w:val="003806B7"/>
    <w:rsid w:val="00380E68"/>
    <w:rsid w:val="00381905"/>
    <w:rsid w:val="00384CC8"/>
    <w:rsid w:val="003871FD"/>
    <w:rsid w:val="00390679"/>
    <w:rsid w:val="00390F85"/>
    <w:rsid w:val="0039513B"/>
    <w:rsid w:val="003A1E30"/>
    <w:rsid w:val="003A2829"/>
    <w:rsid w:val="003A641A"/>
    <w:rsid w:val="003A7D1C"/>
    <w:rsid w:val="003B0106"/>
    <w:rsid w:val="003B0119"/>
    <w:rsid w:val="003B234E"/>
    <w:rsid w:val="003B2B22"/>
    <w:rsid w:val="003B304B"/>
    <w:rsid w:val="003B3146"/>
    <w:rsid w:val="003B54A8"/>
    <w:rsid w:val="003B7946"/>
    <w:rsid w:val="003C22D0"/>
    <w:rsid w:val="003D17EB"/>
    <w:rsid w:val="003E2FA0"/>
    <w:rsid w:val="003E4F38"/>
    <w:rsid w:val="003E71C0"/>
    <w:rsid w:val="003E7902"/>
    <w:rsid w:val="003F015E"/>
    <w:rsid w:val="003F02F5"/>
    <w:rsid w:val="003F3C98"/>
    <w:rsid w:val="00400414"/>
    <w:rsid w:val="00400C61"/>
    <w:rsid w:val="00401D14"/>
    <w:rsid w:val="004033B6"/>
    <w:rsid w:val="004059DB"/>
    <w:rsid w:val="004107D0"/>
    <w:rsid w:val="0041446B"/>
    <w:rsid w:val="004232EE"/>
    <w:rsid w:val="00426335"/>
    <w:rsid w:val="0042681F"/>
    <w:rsid w:val="00426D88"/>
    <w:rsid w:val="0043178B"/>
    <w:rsid w:val="004322D6"/>
    <w:rsid w:val="004348B8"/>
    <w:rsid w:val="004351A7"/>
    <w:rsid w:val="0043677E"/>
    <w:rsid w:val="00436900"/>
    <w:rsid w:val="0044071E"/>
    <w:rsid w:val="0044329C"/>
    <w:rsid w:val="00447236"/>
    <w:rsid w:val="00451802"/>
    <w:rsid w:val="00451B3E"/>
    <w:rsid w:val="0045236C"/>
    <w:rsid w:val="00453E24"/>
    <w:rsid w:val="00457456"/>
    <w:rsid w:val="004577FE"/>
    <w:rsid w:val="00457B9C"/>
    <w:rsid w:val="0046164A"/>
    <w:rsid w:val="004628D2"/>
    <w:rsid w:val="00462DCD"/>
    <w:rsid w:val="0046313B"/>
    <w:rsid w:val="004648AD"/>
    <w:rsid w:val="00467711"/>
    <w:rsid w:val="004703A9"/>
    <w:rsid w:val="004760DE"/>
    <w:rsid w:val="004763D7"/>
    <w:rsid w:val="00481846"/>
    <w:rsid w:val="0048267D"/>
    <w:rsid w:val="00484714"/>
    <w:rsid w:val="00485725"/>
    <w:rsid w:val="00497065"/>
    <w:rsid w:val="004A004E"/>
    <w:rsid w:val="004A24CF"/>
    <w:rsid w:val="004A5592"/>
    <w:rsid w:val="004A7010"/>
    <w:rsid w:val="004A7A3C"/>
    <w:rsid w:val="004A7EFE"/>
    <w:rsid w:val="004B702B"/>
    <w:rsid w:val="004C0B6F"/>
    <w:rsid w:val="004C3D1D"/>
    <w:rsid w:val="004C3D84"/>
    <w:rsid w:val="004C7913"/>
    <w:rsid w:val="004D1A31"/>
    <w:rsid w:val="004D1C0A"/>
    <w:rsid w:val="004D2AA9"/>
    <w:rsid w:val="004D7980"/>
    <w:rsid w:val="004D7B69"/>
    <w:rsid w:val="004E3C39"/>
    <w:rsid w:val="004E3D71"/>
    <w:rsid w:val="004E46B3"/>
    <w:rsid w:val="004E48D9"/>
    <w:rsid w:val="004E4DD6"/>
    <w:rsid w:val="004E7424"/>
    <w:rsid w:val="004F1E12"/>
    <w:rsid w:val="004F5E36"/>
    <w:rsid w:val="004F6AC3"/>
    <w:rsid w:val="00503485"/>
    <w:rsid w:val="005072ED"/>
    <w:rsid w:val="00507B47"/>
    <w:rsid w:val="00507BEF"/>
    <w:rsid w:val="00507CC9"/>
    <w:rsid w:val="005119A5"/>
    <w:rsid w:val="00525F4C"/>
    <w:rsid w:val="00526EE7"/>
    <w:rsid w:val="005278B7"/>
    <w:rsid w:val="005300CB"/>
    <w:rsid w:val="005305D8"/>
    <w:rsid w:val="00531859"/>
    <w:rsid w:val="00532016"/>
    <w:rsid w:val="005346C8"/>
    <w:rsid w:val="005403BA"/>
    <w:rsid w:val="00542393"/>
    <w:rsid w:val="00543E7D"/>
    <w:rsid w:val="0054493F"/>
    <w:rsid w:val="005479BB"/>
    <w:rsid w:val="00547A68"/>
    <w:rsid w:val="00552FAE"/>
    <w:rsid w:val="005531C9"/>
    <w:rsid w:val="00556A02"/>
    <w:rsid w:val="00563C62"/>
    <w:rsid w:val="00565303"/>
    <w:rsid w:val="0057028A"/>
    <w:rsid w:val="00570C43"/>
    <w:rsid w:val="00580F5C"/>
    <w:rsid w:val="00585DE8"/>
    <w:rsid w:val="00587C3D"/>
    <w:rsid w:val="005903EB"/>
    <w:rsid w:val="00594166"/>
    <w:rsid w:val="005941BD"/>
    <w:rsid w:val="00596195"/>
    <w:rsid w:val="005A7E58"/>
    <w:rsid w:val="005B2110"/>
    <w:rsid w:val="005B2763"/>
    <w:rsid w:val="005B61E6"/>
    <w:rsid w:val="005C1878"/>
    <w:rsid w:val="005C4CBB"/>
    <w:rsid w:val="005C624F"/>
    <w:rsid w:val="005C77E1"/>
    <w:rsid w:val="005C7984"/>
    <w:rsid w:val="005D3A94"/>
    <w:rsid w:val="005D4792"/>
    <w:rsid w:val="005D668A"/>
    <w:rsid w:val="005D6A2F"/>
    <w:rsid w:val="005D7A98"/>
    <w:rsid w:val="005E13D1"/>
    <w:rsid w:val="005E1A82"/>
    <w:rsid w:val="005E422A"/>
    <w:rsid w:val="005E794C"/>
    <w:rsid w:val="005F0A28"/>
    <w:rsid w:val="005F0E5E"/>
    <w:rsid w:val="00600535"/>
    <w:rsid w:val="00606110"/>
    <w:rsid w:val="0060772F"/>
    <w:rsid w:val="00607984"/>
    <w:rsid w:val="006108ED"/>
    <w:rsid w:val="00610CD6"/>
    <w:rsid w:val="00620AEF"/>
    <w:rsid w:val="00620DEE"/>
    <w:rsid w:val="00621525"/>
    <w:rsid w:val="00621F92"/>
    <w:rsid w:val="0062280A"/>
    <w:rsid w:val="00624AC2"/>
    <w:rsid w:val="00625639"/>
    <w:rsid w:val="00631B33"/>
    <w:rsid w:val="00634F87"/>
    <w:rsid w:val="0063630D"/>
    <w:rsid w:val="0064184D"/>
    <w:rsid w:val="006422CC"/>
    <w:rsid w:val="006434DC"/>
    <w:rsid w:val="00644177"/>
    <w:rsid w:val="0064735C"/>
    <w:rsid w:val="00647630"/>
    <w:rsid w:val="006540FD"/>
    <w:rsid w:val="006559AD"/>
    <w:rsid w:val="006601A4"/>
    <w:rsid w:val="00660E3E"/>
    <w:rsid w:val="00661BEB"/>
    <w:rsid w:val="00661CA7"/>
    <w:rsid w:val="00662E74"/>
    <w:rsid w:val="00662F4F"/>
    <w:rsid w:val="00663819"/>
    <w:rsid w:val="006647A4"/>
    <w:rsid w:val="00667DA2"/>
    <w:rsid w:val="006751FE"/>
    <w:rsid w:val="00676F0F"/>
    <w:rsid w:val="00680C23"/>
    <w:rsid w:val="0068384E"/>
    <w:rsid w:val="006852C2"/>
    <w:rsid w:val="00693766"/>
    <w:rsid w:val="0069670F"/>
    <w:rsid w:val="006A267E"/>
    <w:rsid w:val="006A3281"/>
    <w:rsid w:val="006A345B"/>
    <w:rsid w:val="006A730F"/>
    <w:rsid w:val="006B06E4"/>
    <w:rsid w:val="006B1A8B"/>
    <w:rsid w:val="006B4888"/>
    <w:rsid w:val="006C233A"/>
    <w:rsid w:val="006C2E45"/>
    <w:rsid w:val="006C359C"/>
    <w:rsid w:val="006C3741"/>
    <w:rsid w:val="006C5579"/>
    <w:rsid w:val="006C7043"/>
    <w:rsid w:val="006D2C44"/>
    <w:rsid w:val="006D6155"/>
    <w:rsid w:val="006D6E8B"/>
    <w:rsid w:val="006E737D"/>
    <w:rsid w:val="006F4DDB"/>
    <w:rsid w:val="00703491"/>
    <w:rsid w:val="00703569"/>
    <w:rsid w:val="00703EE1"/>
    <w:rsid w:val="00705106"/>
    <w:rsid w:val="007128AA"/>
    <w:rsid w:val="00713973"/>
    <w:rsid w:val="00716063"/>
    <w:rsid w:val="00716D26"/>
    <w:rsid w:val="00717177"/>
    <w:rsid w:val="00717215"/>
    <w:rsid w:val="00720A24"/>
    <w:rsid w:val="00720FCA"/>
    <w:rsid w:val="007214FB"/>
    <w:rsid w:val="00732386"/>
    <w:rsid w:val="00734BA5"/>
    <w:rsid w:val="0073514D"/>
    <w:rsid w:val="007447F3"/>
    <w:rsid w:val="0075499F"/>
    <w:rsid w:val="00754F30"/>
    <w:rsid w:val="00763E78"/>
    <w:rsid w:val="007661C8"/>
    <w:rsid w:val="0077098D"/>
    <w:rsid w:val="00775611"/>
    <w:rsid w:val="007828A9"/>
    <w:rsid w:val="007900D7"/>
    <w:rsid w:val="00791069"/>
    <w:rsid w:val="00792BEA"/>
    <w:rsid w:val="007931FA"/>
    <w:rsid w:val="00795035"/>
    <w:rsid w:val="00797125"/>
    <w:rsid w:val="007A29E7"/>
    <w:rsid w:val="007A4861"/>
    <w:rsid w:val="007A5FF0"/>
    <w:rsid w:val="007A7BBA"/>
    <w:rsid w:val="007B0C50"/>
    <w:rsid w:val="007B28E6"/>
    <w:rsid w:val="007B48F9"/>
    <w:rsid w:val="007B4FE5"/>
    <w:rsid w:val="007C1A43"/>
    <w:rsid w:val="007C3485"/>
    <w:rsid w:val="007C7B2F"/>
    <w:rsid w:val="007D0B73"/>
    <w:rsid w:val="007D4AD8"/>
    <w:rsid w:val="007E1E17"/>
    <w:rsid w:val="007E6581"/>
    <w:rsid w:val="007F0717"/>
    <w:rsid w:val="007F397A"/>
    <w:rsid w:val="007F481A"/>
    <w:rsid w:val="0080013E"/>
    <w:rsid w:val="00802AE8"/>
    <w:rsid w:val="008051A0"/>
    <w:rsid w:val="00807EA7"/>
    <w:rsid w:val="00813288"/>
    <w:rsid w:val="00813553"/>
    <w:rsid w:val="008168FC"/>
    <w:rsid w:val="00821B82"/>
    <w:rsid w:val="0082254E"/>
    <w:rsid w:val="00824931"/>
    <w:rsid w:val="00830996"/>
    <w:rsid w:val="00832716"/>
    <w:rsid w:val="008345F1"/>
    <w:rsid w:val="0083567F"/>
    <w:rsid w:val="00841D6F"/>
    <w:rsid w:val="00845B5C"/>
    <w:rsid w:val="00846364"/>
    <w:rsid w:val="008516E1"/>
    <w:rsid w:val="008526A1"/>
    <w:rsid w:val="00852D92"/>
    <w:rsid w:val="00857B0C"/>
    <w:rsid w:val="008653C1"/>
    <w:rsid w:val="00865B07"/>
    <w:rsid w:val="008667EA"/>
    <w:rsid w:val="0086751A"/>
    <w:rsid w:val="0087234A"/>
    <w:rsid w:val="00874E5F"/>
    <w:rsid w:val="0087637F"/>
    <w:rsid w:val="00880A49"/>
    <w:rsid w:val="00884E00"/>
    <w:rsid w:val="00884EEB"/>
    <w:rsid w:val="00885F6E"/>
    <w:rsid w:val="00892AD5"/>
    <w:rsid w:val="00894A83"/>
    <w:rsid w:val="008A0AE2"/>
    <w:rsid w:val="008A1512"/>
    <w:rsid w:val="008B13B2"/>
    <w:rsid w:val="008B5D78"/>
    <w:rsid w:val="008C4EE7"/>
    <w:rsid w:val="008D32B9"/>
    <w:rsid w:val="008D4294"/>
    <w:rsid w:val="008D433B"/>
    <w:rsid w:val="008D4A16"/>
    <w:rsid w:val="008D53D2"/>
    <w:rsid w:val="008D5968"/>
    <w:rsid w:val="008D5B1C"/>
    <w:rsid w:val="008D77B8"/>
    <w:rsid w:val="008E0B2D"/>
    <w:rsid w:val="008E566E"/>
    <w:rsid w:val="008E7BB6"/>
    <w:rsid w:val="008F2387"/>
    <w:rsid w:val="008F4A8D"/>
    <w:rsid w:val="0090161A"/>
    <w:rsid w:val="00901641"/>
    <w:rsid w:val="00901EB6"/>
    <w:rsid w:val="00902D37"/>
    <w:rsid w:val="00904C62"/>
    <w:rsid w:val="00915696"/>
    <w:rsid w:val="00916DE9"/>
    <w:rsid w:val="0091750A"/>
    <w:rsid w:val="00922BA8"/>
    <w:rsid w:val="00924DAC"/>
    <w:rsid w:val="00927058"/>
    <w:rsid w:val="00930989"/>
    <w:rsid w:val="00937B13"/>
    <w:rsid w:val="009411D8"/>
    <w:rsid w:val="00942750"/>
    <w:rsid w:val="009450CE"/>
    <w:rsid w:val="00947179"/>
    <w:rsid w:val="0095164B"/>
    <w:rsid w:val="00953CAE"/>
    <w:rsid w:val="00954090"/>
    <w:rsid w:val="009573E7"/>
    <w:rsid w:val="00963E05"/>
    <w:rsid w:val="00964460"/>
    <w:rsid w:val="00964A45"/>
    <w:rsid w:val="00967843"/>
    <w:rsid w:val="00967D54"/>
    <w:rsid w:val="00971028"/>
    <w:rsid w:val="009713B8"/>
    <w:rsid w:val="00971BBA"/>
    <w:rsid w:val="0098073A"/>
    <w:rsid w:val="00981B52"/>
    <w:rsid w:val="0098329D"/>
    <w:rsid w:val="00987AF6"/>
    <w:rsid w:val="0099271F"/>
    <w:rsid w:val="00993B84"/>
    <w:rsid w:val="00996483"/>
    <w:rsid w:val="00996F5A"/>
    <w:rsid w:val="009A067F"/>
    <w:rsid w:val="009A397B"/>
    <w:rsid w:val="009B041A"/>
    <w:rsid w:val="009B4BDB"/>
    <w:rsid w:val="009B785E"/>
    <w:rsid w:val="009C0894"/>
    <w:rsid w:val="009C37C3"/>
    <w:rsid w:val="009C4A69"/>
    <w:rsid w:val="009C661D"/>
    <w:rsid w:val="009C68EE"/>
    <w:rsid w:val="009C7C86"/>
    <w:rsid w:val="009D2FF7"/>
    <w:rsid w:val="009D3572"/>
    <w:rsid w:val="009D3ED2"/>
    <w:rsid w:val="009D7827"/>
    <w:rsid w:val="009E18C2"/>
    <w:rsid w:val="009E397C"/>
    <w:rsid w:val="009E672D"/>
    <w:rsid w:val="009E7884"/>
    <w:rsid w:val="009E788A"/>
    <w:rsid w:val="009F0E08"/>
    <w:rsid w:val="009F4483"/>
    <w:rsid w:val="009F5811"/>
    <w:rsid w:val="009F6319"/>
    <w:rsid w:val="00A00466"/>
    <w:rsid w:val="00A00B89"/>
    <w:rsid w:val="00A039F4"/>
    <w:rsid w:val="00A10D1D"/>
    <w:rsid w:val="00A154AB"/>
    <w:rsid w:val="00A1763D"/>
    <w:rsid w:val="00A1791F"/>
    <w:rsid w:val="00A17B89"/>
    <w:rsid w:val="00A17CEC"/>
    <w:rsid w:val="00A21C4F"/>
    <w:rsid w:val="00A27EF0"/>
    <w:rsid w:val="00A341D8"/>
    <w:rsid w:val="00A35D88"/>
    <w:rsid w:val="00A36574"/>
    <w:rsid w:val="00A42361"/>
    <w:rsid w:val="00A43F2A"/>
    <w:rsid w:val="00A44464"/>
    <w:rsid w:val="00A4519A"/>
    <w:rsid w:val="00A4725D"/>
    <w:rsid w:val="00A50B20"/>
    <w:rsid w:val="00A51390"/>
    <w:rsid w:val="00A521C9"/>
    <w:rsid w:val="00A56CBA"/>
    <w:rsid w:val="00A60D13"/>
    <w:rsid w:val="00A60D55"/>
    <w:rsid w:val="00A62417"/>
    <w:rsid w:val="00A63171"/>
    <w:rsid w:val="00A6386B"/>
    <w:rsid w:val="00A640CC"/>
    <w:rsid w:val="00A65358"/>
    <w:rsid w:val="00A710DB"/>
    <w:rsid w:val="00A71C2B"/>
    <w:rsid w:val="00A7223D"/>
    <w:rsid w:val="00A72745"/>
    <w:rsid w:val="00A72FB0"/>
    <w:rsid w:val="00A75D64"/>
    <w:rsid w:val="00A76EFC"/>
    <w:rsid w:val="00A9051D"/>
    <w:rsid w:val="00A91010"/>
    <w:rsid w:val="00A97F29"/>
    <w:rsid w:val="00AA046C"/>
    <w:rsid w:val="00AA19BF"/>
    <w:rsid w:val="00AA4A9F"/>
    <w:rsid w:val="00AA702E"/>
    <w:rsid w:val="00AB0964"/>
    <w:rsid w:val="00AB5011"/>
    <w:rsid w:val="00AB53A3"/>
    <w:rsid w:val="00AB7E14"/>
    <w:rsid w:val="00AC4DD6"/>
    <w:rsid w:val="00AC7368"/>
    <w:rsid w:val="00AD052B"/>
    <w:rsid w:val="00AD1371"/>
    <w:rsid w:val="00AD16B9"/>
    <w:rsid w:val="00AD18C0"/>
    <w:rsid w:val="00AD1CAD"/>
    <w:rsid w:val="00AD6970"/>
    <w:rsid w:val="00AD6A8F"/>
    <w:rsid w:val="00AE2E8F"/>
    <w:rsid w:val="00AE331B"/>
    <w:rsid w:val="00AE377D"/>
    <w:rsid w:val="00AE65B4"/>
    <w:rsid w:val="00AF0EBA"/>
    <w:rsid w:val="00AF1D1C"/>
    <w:rsid w:val="00AF69D1"/>
    <w:rsid w:val="00B02C8A"/>
    <w:rsid w:val="00B042FF"/>
    <w:rsid w:val="00B07EC0"/>
    <w:rsid w:val="00B07FDD"/>
    <w:rsid w:val="00B17FBD"/>
    <w:rsid w:val="00B22CD7"/>
    <w:rsid w:val="00B23C67"/>
    <w:rsid w:val="00B30DD6"/>
    <w:rsid w:val="00B315A6"/>
    <w:rsid w:val="00B31813"/>
    <w:rsid w:val="00B33365"/>
    <w:rsid w:val="00B3623D"/>
    <w:rsid w:val="00B362B3"/>
    <w:rsid w:val="00B40300"/>
    <w:rsid w:val="00B4066F"/>
    <w:rsid w:val="00B45863"/>
    <w:rsid w:val="00B45F7F"/>
    <w:rsid w:val="00B477F4"/>
    <w:rsid w:val="00B524A8"/>
    <w:rsid w:val="00B5254D"/>
    <w:rsid w:val="00B52DEC"/>
    <w:rsid w:val="00B55108"/>
    <w:rsid w:val="00B55C44"/>
    <w:rsid w:val="00B56D84"/>
    <w:rsid w:val="00B57B36"/>
    <w:rsid w:val="00B57E6F"/>
    <w:rsid w:val="00B65C43"/>
    <w:rsid w:val="00B660DA"/>
    <w:rsid w:val="00B71070"/>
    <w:rsid w:val="00B73EE4"/>
    <w:rsid w:val="00B8686D"/>
    <w:rsid w:val="00B87A32"/>
    <w:rsid w:val="00B9204F"/>
    <w:rsid w:val="00B93481"/>
    <w:rsid w:val="00B93F69"/>
    <w:rsid w:val="00B94F6E"/>
    <w:rsid w:val="00B96513"/>
    <w:rsid w:val="00B97C01"/>
    <w:rsid w:val="00BA0451"/>
    <w:rsid w:val="00BA4C89"/>
    <w:rsid w:val="00BA56A8"/>
    <w:rsid w:val="00BA74D8"/>
    <w:rsid w:val="00BA763B"/>
    <w:rsid w:val="00BA7BD3"/>
    <w:rsid w:val="00BB09C2"/>
    <w:rsid w:val="00BB1621"/>
    <w:rsid w:val="00BB1DDC"/>
    <w:rsid w:val="00BB3B84"/>
    <w:rsid w:val="00BB4E1B"/>
    <w:rsid w:val="00BC2CD2"/>
    <w:rsid w:val="00BC30C9"/>
    <w:rsid w:val="00BC41EC"/>
    <w:rsid w:val="00BC691E"/>
    <w:rsid w:val="00BD077D"/>
    <w:rsid w:val="00BD40A9"/>
    <w:rsid w:val="00BD4F4E"/>
    <w:rsid w:val="00BD7218"/>
    <w:rsid w:val="00BE2C67"/>
    <w:rsid w:val="00BE3E58"/>
    <w:rsid w:val="00C01616"/>
    <w:rsid w:val="00C0162B"/>
    <w:rsid w:val="00C04C3D"/>
    <w:rsid w:val="00C068ED"/>
    <w:rsid w:val="00C13701"/>
    <w:rsid w:val="00C17CBA"/>
    <w:rsid w:val="00C20695"/>
    <w:rsid w:val="00C216CA"/>
    <w:rsid w:val="00C22E0C"/>
    <w:rsid w:val="00C267DB"/>
    <w:rsid w:val="00C27B40"/>
    <w:rsid w:val="00C31D6C"/>
    <w:rsid w:val="00C337FE"/>
    <w:rsid w:val="00C345B1"/>
    <w:rsid w:val="00C40142"/>
    <w:rsid w:val="00C42BCD"/>
    <w:rsid w:val="00C45838"/>
    <w:rsid w:val="00C5073C"/>
    <w:rsid w:val="00C514E1"/>
    <w:rsid w:val="00C52C3C"/>
    <w:rsid w:val="00C53072"/>
    <w:rsid w:val="00C57182"/>
    <w:rsid w:val="00C57863"/>
    <w:rsid w:val="00C621B4"/>
    <w:rsid w:val="00C62235"/>
    <w:rsid w:val="00C640AF"/>
    <w:rsid w:val="00C655FD"/>
    <w:rsid w:val="00C65B18"/>
    <w:rsid w:val="00C70E56"/>
    <w:rsid w:val="00C74400"/>
    <w:rsid w:val="00C75407"/>
    <w:rsid w:val="00C7656E"/>
    <w:rsid w:val="00C768F8"/>
    <w:rsid w:val="00C8325A"/>
    <w:rsid w:val="00C870A8"/>
    <w:rsid w:val="00C8735B"/>
    <w:rsid w:val="00C94434"/>
    <w:rsid w:val="00CA0D75"/>
    <w:rsid w:val="00CA12EE"/>
    <w:rsid w:val="00CA1C95"/>
    <w:rsid w:val="00CA5A9C"/>
    <w:rsid w:val="00CB067E"/>
    <w:rsid w:val="00CB1885"/>
    <w:rsid w:val="00CC4C20"/>
    <w:rsid w:val="00CC5475"/>
    <w:rsid w:val="00CC6053"/>
    <w:rsid w:val="00CD3517"/>
    <w:rsid w:val="00CD4C3E"/>
    <w:rsid w:val="00CD5FE2"/>
    <w:rsid w:val="00CD6836"/>
    <w:rsid w:val="00CE5A41"/>
    <w:rsid w:val="00CE7C68"/>
    <w:rsid w:val="00CF1F29"/>
    <w:rsid w:val="00CF7896"/>
    <w:rsid w:val="00D005D8"/>
    <w:rsid w:val="00D02B4C"/>
    <w:rsid w:val="00D040C4"/>
    <w:rsid w:val="00D10E9B"/>
    <w:rsid w:val="00D11581"/>
    <w:rsid w:val="00D12347"/>
    <w:rsid w:val="00D14D5A"/>
    <w:rsid w:val="00D20AD1"/>
    <w:rsid w:val="00D24907"/>
    <w:rsid w:val="00D258DD"/>
    <w:rsid w:val="00D274DD"/>
    <w:rsid w:val="00D376E6"/>
    <w:rsid w:val="00D37A9B"/>
    <w:rsid w:val="00D40D44"/>
    <w:rsid w:val="00D414BF"/>
    <w:rsid w:val="00D42D2E"/>
    <w:rsid w:val="00D4648A"/>
    <w:rsid w:val="00D46B7E"/>
    <w:rsid w:val="00D5363B"/>
    <w:rsid w:val="00D55549"/>
    <w:rsid w:val="00D5588A"/>
    <w:rsid w:val="00D57C84"/>
    <w:rsid w:val="00D6057D"/>
    <w:rsid w:val="00D7033F"/>
    <w:rsid w:val="00D7106D"/>
    <w:rsid w:val="00D71640"/>
    <w:rsid w:val="00D77639"/>
    <w:rsid w:val="00D77E79"/>
    <w:rsid w:val="00D836C5"/>
    <w:rsid w:val="00D84576"/>
    <w:rsid w:val="00D852DA"/>
    <w:rsid w:val="00D86DDC"/>
    <w:rsid w:val="00D86F2F"/>
    <w:rsid w:val="00D8726C"/>
    <w:rsid w:val="00D901A1"/>
    <w:rsid w:val="00D9187B"/>
    <w:rsid w:val="00D95476"/>
    <w:rsid w:val="00D96F78"/>
    <w:rsid w:val="00D97683"/>
    <w:rsid w:val="00DA1399"/>
    <w:rsid w:val="00DA24C6"/>
    <w:rsid w:val="00DA4D7B"/>
    <w:rsid w:val="00DB47A4"/>
    <w:rsid w:val="00DB6A15"/>
    <w:rsid w:val="00DC3076"/>
    <w:rsid w:val="00DC38DA"/>
    <w:rsid w:val="00DD208E"/>
    <w:rsid w:val="00DD271C"/>
    <w:rsid w:val="00DE0161"/>
    <w:rsid w:val="00DE0DD3"/>
    <w:rsid w:val="00DE2514"/>
    <w:rsid w:val="00DE264A"/>
    <w:rsid w:val="00DE3CDD"/>
    <w:rsid w:val="00DE44A2"/>
    <w:rsid w:val="00DF101A"/>
    <w:rsid w:val="00DF29EE"/>
    <w:rsid w:val="00DF49EE"/>
    <w:rsid w:val="00DF5072"/>
    <w:rsid w:val="00DF7933"/>
    <w:rsid w:val="00E02D18"/>
    <w:rsid w:val="00E02E82"/>
    <w:rsid w:val="00E041E7"/>
    <w:rsid w:val="00E048FC"/>
    <w:rsid w:val="00E04ECD"/>
    <w:rsid w:val="00E1035E"/>
    <w:rsid w:val="00E10DAE"/>
    <w:rsid w:val="00E13BCD"/>
    <w:rsid w:val="00E21885"/>
    <w:rsid w:val="00E23CA1"/>
    <w:rsid w:val="00E23E66"/>
    <w:rsid w:val="00E26315"/>
    <w:rsid w:val="00E304F9"/>
    <w:rsid w:val="00E409A8"/>
    <w:rsid w:val="00E40F5F"/>
    <w:rsid w:val="00E416D9"/>
    <w:rsid w:val="00E41AED"/>
    <w:rsid w:val="00E435C9"/>
    <w:rsid w:val="00E45C30"/>
    <w:rsid w:val="00E46F71"/>
    <w:rsid w:val="00E50C12"/>
    <w:rsid w:val="00E54CDD"/>
    <w:rsid w:val="00E57193"/>
    <w:rsid w:val="00E62F87"/>
    <w:rsid w:val="00E65B91"/>
    <w:rsid w:val="00E7209D"/>
    <w:rsid w:val="00E72EAD"/>
    <w:rsid w:val="00E73E4D"/>
    <w:rsid w:val="00E77223"/>
    <w:rsid w:val="00E83A85"/>
    <w:rsid w:val="00E8528B"/>
    <w:rsid w:val="00E85B94"/>
    <w:rsid w:val="00E8604A"/>
    <w:rsid w:val="00E978D0"/>
    <w:rsid w:val="00EA02B9"/>
    <w:rsid w:val="00EA0702"/>
    <w:rsid w:val="00EA0A62"/>
    <w:rsid w:val="00EA21EC"/>
    <w:rsid w:val="00EA4613"/>
    <w:rsid w:val="00EA504A"/>
    <w:rsid w:val="00EA7F91"/>
    <w:rsid w:val="00EB1523"/>
    <w:rsid w:val="00EB189B"/>
    <w:rsid w:val="00EB4BE0"/>
    <w:rsid w:val="00EB56BA"/>
    <w:rsid w:val="00EC0E49"/>
    <w:rsid w:val="00EC101F"/>
    <w:rsid w:val="00EC1D9F"/>
    <w:rsid w:val="00EC4019"/>
    <w:rsid w:val="00EC52A9"/>
    <w:rsid w:val="00EC5B7F"/>
    <w:rsid w:val="00ED056C"/>
    <w:rsid w:val="00ED1666"/>
    <w:rsid w:val="00ED3B4F"/>
    <w:rsid w:val="00ED4C1D"/>
    <w:rsid w:val="00EE0131"/>
    <w:rsid w:val="00EE1270"/>
    <w:rsid w:val="00EE17B0"/>
    <w:rsid w:val="00EF06D9"/>
    <w:rsid w:val="00EF56F2"/>
    <w:rsid w:val="00F02DF7"/>
    <w:rsid w:val="00F04D41"/>
    <w:rsid w:val="00F060BF"/>
    <w:rsid w:val="00F06E02"/>
    <w:rsid w:val="00F10D35"/>
    <w:rsid w:val="00F11AE0"/>
    <w:rsid w:val="00F135FE"/>
    <w:rsid w:val="00F21D22"/>
    <w:rsid w:val="00F239B7"/>
    <w:rsid w:val="00F2712A"/>
    <w:rsid w:val="00F305EC"/>
    <w:rsid w:val="00F30C64"/>
    <w:rsid w:val="00F32BA2"/>
    <w:rsid w:val="00F32CDB"/>
    <w:rsid w:val="00F3688A"/>
    <w:rsid w:val="00F44433"/>
    <w:rsid w:val="00F47A85"/>
    <w:rsid w:val="00F50098"/>
    <w:rsid w:val="00F52BF8"/>
    <w:rsid w:val="00F565FE"/>
    <w:rsid w:val="00F632EC"/>
    <w:rsid w:val="00F63A70"/>
    <w:rsid w:val="00F64293"/>
    <w:rsid w:val="00F64489"/>
    <w:rsid w:val="00F6525B"/>
    <w:rsid w:val="00F65C85"/>
    <w:rsid w:val="00F73B9D"/>
    <w:rsid w:val="00F7534E"/>
    <w:rsid w:val="00F8764D"/>
    <w:rsid w:val="00F93E5B"/>
    <w:rsid w:val="00F97EAB"/>
    <w:rsid w:val="00FA171F"/>
    <w:rsid w:val="00FA1802"/>
    <w:rsid w:val="00FA21D0"/>
    <w:rsid w:val="00FA22BF"/>
    <w:rsid w:val="00FA4A93"/>
    <w:rsid w:val="00FA5F5F"/>
    <w:rsid w:val="00FA7608"/>
    <w:rsid w:val="00FB30B8"/>
    <w:rsid w:val="00FB44B0"/>
    <w:rsid w:val="00FB463B"/>
    <w:rsid w:val="00FB730C"/>
    <w:rsid w:val="00FC064D"/>
    <w:rsid w:val="00FC2695"/>
    <w:rsid w:val="00FC3E03"/>
    <w:rsid w:val="00FC3FC1"/>
    <w:rsid w:val="00FC43A9"/>
    <w:rsid w:val="00FC6C9F"/>
    <w:rsid w:val="00FC7F99"/>
    <w:rsid w:val="00FD3ACE"/>
    <w:rsid w:val="00FD50E6"/>
    <w:rsid w:val="00FF7C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3F02F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17674</Words>
  <Characters>100747</Characters>
  <Application>Microsoft Office Word</Application>
  <DocSecurity>0</DocSecurity>
  <Lines>839</Lines>
  <Paragraphs>236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Ria Migo</cp:lastModifiedBy>
  <cp:revision>11</cp:revision>
  <cp:lastPrinted>2015-05-12T18:31:00Z</cp:lastPrinted>
  <dcterms:created xsi:type="dcterms:W3CDTF">2022-08-24T07:04:00Z</dcterms:created>
  <dcterms:modified xsi:type="dcterms:W3CDTF">2022-08-25T00:25:00Z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12th edition - Harvard</vt:lpwstr>
  </property>
  <property fmtid="{D5CDD505-2E9C-101B-9397-08002B2CF9AE}" pid="12" name="Mendeley Recent Style Id 4_1">
    <vt:lpwstr>https://csl.mendeley.com/styles/628371651/APA-maria-victoria-migo</vt:lpwstr>
  </property>
  <property fmtid="{D5CDD505-2E9C-101B-9397-08002B2CF9AE}" pid="13" name="Mendeley Recent Style Name 4_1">
    <vt:lpwstr>Elsevier - Harvard (with titles) - Maria Victoria Migo-Sumagang</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http://www.zotero.org/styles/plos-one</vt:lpwstr>
  </property>
  <property fmtid="{D5CDD505-2E9C-101B-9397-08002B2CF9AE}" pid="23" name="Mendeley Recent Style Name 9_1">
    <vt:lpwstr>PLOS ONE</vt:lpwstr>
  </property>
  <property fmtid="{D5CDD505-2E9C-101B-9397-08002B2CF9AE}" pid="24" name="Mendeley Document_1">
    <vt:lpwstr>True</vt:lpwstr>
  </property>
  <property fmtid="{D5CDD505-2E9C-101B-9397-08002B2CF9AE}" pid="25" name="Mendeley Unique User Id_1">
    <vt:lpwstr>b936a6cf-35e5-35d1-a1e8-6c3ae9edcae8</vt:lpwstr>
  </property>
  <property fmtid="{D5CDD505-2E9C-101B-9397-08002B2CF9AE}" pid="26" name="Mendeley Citation Style_1">
    <vt:lpwstr>http://www.zotero.org/styles/elsevier-harvard</vt:lpwstr>
  </property>
</Properties>
</file>