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0434FA57" w:rsidR="00E978D0" w:rsidRPr="004C5A69" w:rsidRDefault="00497EF4" w:rsidP="00E978D0">
      <w:pPr>
        <w:pStyle w:val="CETTitle"/>
      </w:pPr>
      <w:r w:rsidRPr="004C5A69">
        <w:t>Magnesium hydroxide nanoparticles production from natural bitterns</w:t>
      </w:r>
    </w:p>
    <w:p w14:paraId="0488FED2" w14:textId="6D2725A0" w:rsidR="00B57E6F" w:rsidRPr="00497EF4" w:rsidRDefault="00497EF4" w:rsidP="00B57E6F">
      <w:pPr>
        <w:pStyle w:val="CETAuthors"/>
        <w:rPr>
          <w:lang w:val="it-IT"/>
        </w:rPr>
      </w:pPr>
      <w:r w:rsidRPr="00497EF4">
        <w:rPr>
          <w:lang w:val="it-IT"/>
        </w:rPr>
        <w:t>Giuseppe Battaglia, Maria Alda Domina</w:t>
      </w:r>
      <w:r w:rsidR="002F799B">
        <w:rPr>
          <w:lang w:val="it-IT"/>
        </w:rPr>
        <w:t>,</w:t>
      </w:r>
      <w:r w:rsidR="00DB5724">
        <w:rPr>
          <w:lang w:val="it-IT"/>
        </w:rPr>
        <w:t xml:space="preserve"> Salvatore Romano,</w:t>
      </w:r>
      <w:r w:rsidRPr="00497EF4">
        <w:rPr>
          <w:lang w:val="it-IT"/>
        </w:rPr>
        <w:t xml:space="preserve"> Alessandro Tamburini, Andrea Cipollina</w:t>
      </w:r>
      <w:r w:rsidR="007019B8" w:rsidRPr="00C40669">
        <w:rPr>
          <w:lang w:val="it-IT"/>
        </w:rPr>
        <w:t>*</w:t>
      </w:r>
      <w:r w:rsidRPr="00497EF4">
        <w:rPr>
          <w:lang w:val="it-IT"/>
        </w:rPr>
        <w:t>, Giorgio Micale</w:t>
      </w:r>
    </w:p>
    <w:p w14:paraId="6B2D21B3" w14:textId="11DB5560" w:rsidR="00B57E6F" w:rsidRPr="00497EF4" w:rsidRDefault="00324435" w:rsidP="00B57E6F">
      <w:pPr>
        <w:pStyle w:val="CETAddress"/>
        <w:rPr>
          <w:lang w:val="it-IT"/>
        </w:rPr>
      </w:pPr>
      <w:r w:rsidRPr="00C40669">
        <w:rPr>
          <w:vertAlign w:val="superscript"/>
          <w:lang w:val="it-IT"/>
        </w:rPr>
        <w:t>a</w:t>
      </w:r>
      <w:r w:rsidR="00497EF4" w:rsidRPr="00497EF4">
        <w:rPr>
          <w:lang w:val="it-IT"/>
        </w:rPr>
        <w:t xml:space="preserve">Dipartimento di Ingegneria, Università degli Studi di Palermo, Viale delle Scienze </w:t>
      </w:r>
      <w:r w:rsidR="004C5A69">
        <w:rPr>
          <w:lang w:val="it-IT"/>
        </w:rPr>
        <w:t>E</w:t>
      </w:r>
      <w:r w:rsidR="00497EF4" w:rsidRPr="00497EF4">
        <w:rPr>
          <w:lang w:val="it-IT"/>
        </w:rPr>
        <w:t>d. 6, 90128 Palermo, Italy</w:t>
      </w:r>
      <w:r w:rsidR="00B57E6F" w:rsidRPr="00497EF4">
        <w:rPr>
          <w:lang w:val="it-IT"/>
        </w:rPr>
        <w:t xml:space="preserve"> </w:t>
      </w:r>
    </w:p>
    <w:p w14:paraId="73F1267A" w14:textId="26670D3B" w:rsidR="00B57E6F" w:rsidRDefault="00000000" w:rsidP="00B57E6F">
      <w:pPr>
        <w:pStyle w:val="CETemail"/>
        <w:rPr>
          <w:rStyle w:val="Collegamentoipertestuale"/>
        </w:rPr>
      </w:pPr>
      <w:hyperlink r:id="rId10" w:history="1">
        <w:r w:rsidR="00497EF4" w:rsidRPr="009F6148">
          <w:rPr>
            <w:rStyle w:val="Collegamentoipertestuale"/>
          </w:rPr>
          <w:t>andrea.cipollina@unipa.it</w:t>
        </w:r>
      </w:hyperlink>
    </w:p>
    <w:p w14:paraId="00EA5748" w14:textId="2332B6AA" w:rsidR="00A639B2" w:rsidRPr="004F5B5A" w:rsidRDefault="0058614A" w:rsidP="00A639B2">
      <w:pPr>
        <w:pStyle w:val="CETBodytext"/>
      </w:pPr>
      <w:bookmarkStart w:id="0" w:name="_Hlk495475023"/>
      <w:r>
        <w:rPr>
          <w:lang w:val="en-GB"/>
        </w:rPr>
        <w:t>Magnesium hydroxide</w:t>
      </w:r>
      <w:r w:rsidR="00D67016">
        <w:rPr>
          <w:lang w:val="en-GB"/>
        </w:rPr>
        <w:t xml:space="preserve"> </w:t>
      </w:r>
      <w:r w:rsidR="00FB48DC">
        <w:t xml:space="preserve">nanoparticles are </w:t>
      </w:r>
      <w:r w:rsidR="0062580B">
        <w:t>widely employed i</w:t>
      </w:r>
      <w:r w:rsidR="00FB48DC">
        <w:t>n numerous industrial applications.</w:t>
      </w:r>
      <w:r w:rsidR="0062580B">
        <w:t xml:space="preserve"> Several </w:t>
      </w:r>
      <w:r w:rsidR="00700542">
        <w:t>preparation</w:t>
      </w:r>
      <w:r w:rsidR="0062580B">
        <w:t xml:space="preserve"> methods have been proposed </w:t>
      </w:r>
      <w:r w:rsidR="0073676B">
        <w:t>using</w:t>
      </w:r>
      <w:r w:rsidR="006F10C0">
        <w:t xml:space="preserve"> </w:t>
      </w:r>
      <w:r w:rsidR="00735591">
        <w:t xml:space="preserve">mainly </w:t>
      </w:r>
      <w:r w:rsidR="00432C2A">
        <w:t>synthetic Mg</w:t>
      </w:r>
      <w:r w:rsidRPr="0058614A">
        <w:rPr>
          <w:vertAlign w:val="superscript"/>
        </w:rPr>
        <w:t>2+</w:t>
      </w:r>
      <w:r w:rsidR="00432C2A">
        <w:t xml:space="preserve"> containing solutions</w:t>
      </w:r>
      <w:r>
        <w:t xml:space="preserve">. In the present work, </w:t>
      </w:r>
      <w:r w:rsidR="00700542">
        <w:t xml:space="preserve">the possibility of producing </w:t>
      </w:r>
      <w:proofErr w:type="gramStart"/>
      <w:r w:rsidR="004F5B5A">
        <w:t>Mg(</w:t>
      </w:r>
      <w:proofErr w:type="gramEnd"/>
      <w:r w:rsidR="004F5B5A">
        <w:t>OH)</w:t>
      </w:r>
      <w:r w:rsidR="004F5B5A" w:rsidRPr="004F5B5A">
        <w:rPr>
          <w:vertAlign w:val="subscript"/>
        </w:rPr>
        <w:t>2</w:t>
      </w:r>
      <w:r w:rsidR="004F5B5A">
        <w:rPr>
          <w:vertAlign w:val="subscript"/>
        </w:rPr>
        <w:t xml:space="preserve"> </w:t>
      </w:r>
      <w:r w:rsidR="004F5B5A">
        <w:t xml:space="preserve">nanoparticles </w:t>
      </w:r>
      <w:r w:rsidR="00DF73C8">
        <w:t>from</w:t>
      </w:r>
      <w:r w:rsidR="004F5B5A">
        <w:t xml:space="preserve"> real bitterns, the by</w:t>
      </w:r>
      <w:r w:rsidR="00EE085F">
        <w:t>-</w:t>
      </w:r>
      <w:r w:rsidR="004F5B5A">
        <w:t xml:space="preserve">product of sea salt production, </w:t>
      </w:r>
      <w:r w:rsidR="00DF73C8">
        <w:t xml:space="preserve">is investigated. </w:t>
      </w:r>
      <w:r w:rsidR="00A06471">
        <w:t>Bitterns are</w:t>
      </w:r>
      <w:r w:rsidR="00A06471" w:rsidRPr="00A06471">
        <w:t xml:space="preserve"> highly concentrated Mg</w:t>
      </w:r>
      <w:r w:rsidR="00A06471" w:rsidRPr="00A06471">
        <w:rPr>
          <w:vertAlign w:val="superscript"/>
        </w:rPr>
        <w:t>2+</w:t>
      </w:r>
      <w:r w:rsidR="00A06471">
        <w:rPr>
          <w:vertAlign w:val="superscript"/>
        </w:rPr>
        <w:t xml:space="preserve"> </w:t>
      </w:r>
      <w:r w:rsidR="00A06471" w:rsidRPr="00A06471">
        <w:t xml:space="preserve">containing </w:t>
      </w:r>
      <w:r w:rsidR="00A06471">
        <w:t xml:space="preserve">solutions </w:t>
      </w:r>
      <w:r w:rsidR="00893FC8">
        <w:t xml:space="preserve">whose </w:t>
      </w:r>
      <w:r w:rsidR="00A06471" w:rsidRPr="00A06471">
        <w:t xml:space="preserve">exploitation can </w:t>
      </w:r>
      <w:r w:rsidR="00893FC8">
        <w:t xml:space="preserve">turn </w:t>
      </w:r>
      <w:r w:rsidR="00997B75">
        <w:t xml:space="preserve">a </w:t>
      </w:r>
      <w:r w:rsidR="00893FC8">
        <w:t>waste into valuable product</w:t>
      </w:r>
      <w:r w:rsidR="006E407C">
        <w:t>s</w:t>
      </w:r>
      <w:r w:rsidR="00A06471" w:rsidRPr="00A06471">
        <w:t xml:space="preserve"> embracing the circular economy idea.</w:t>
      </w:r>
      <w:r w:rsidR="00A06471">
        <w:t xml:space="preserve"> </w:t>
      </w:r>
      <w:r w:rsidR="00DF73C8">
        <w:t xml:space="preserve">Two bitterns </w:t>
      </w:r>
      <w:r w:rsidR="004F5B5A">
        <w:t xml:space="preserve">collected from </w:t>
      </w:r>
      <w:r w:rsidR="00DF73C8">
        <w:t xml:space="preserve">Galia and Margi saltworks of </w:t>
      </w:r>
      <w:r w:rsidR="004F5B5A">
        <w:t>the district of Trapani</w:t>
      </w:r>
      <w:r w:rsidR="0014482D">
        <w:t xml:space="preserve"> (Italy)</w:t>
      </w:r>
      <w:r w:rsidR="00DF73C8">
        <w:t xml:space="preserve"> were</w:t>
      </w:r>
      <w:r w:rsidR="005922A7">
        <w:t xml:space="preserve"> </w:t>
      </w:r>
      <w:r w:rsidR="00FD7CF2">
        <w:t>studied</w:t>
      </w:r>
      <w:r w:rsidR="005922A7">
        <w:t>. Galia and Margi bitterns had a 1</w:t>
      </w:r>
      <w:r w:rsidR="00440E9E">
        <w:t xml:space="preserve"> </w:t>
      </w:r>
      <w:r w:rsidR="005922A7">
        <w:t>M and 2.5</w:t>
      </w:r>
      <w:r w:rsidR="00440E9E">
        <w:t xml:space="preserve"> </w:t>
      </w:r>
      <w:r w:rsidR="005922A7">
        <w:t>M Mg</w:t>
      </w:r>
      <w:r w:rsidR="005922A7" w:rsidRPr="005922A7">
        <w:rPr>
          <w:vertAlign w:val="superscript"/>
        </w:rPr>
        <w:t>2+</w:t>
      </w:r>
      <w:r w:rsidR="005922A7">
        <w:t xml:space="preserve"> concentration, respectively. </w:t>
      </w:r>
      <w:r w:rsidR="004F5B5A">
        <w:t xml:space="preserve">A 2 mm diameter circular-cross </w:t>
      </w:r>
      <w:r w:rsidR="001A0925">
        <w:t xml:space="preserve">sectional </w:t>
      </w:r>
      <w:r w:rsidR="004F5B5A">
        <w:t xml:space="preserve">T-mixer was adopted to ensure fast </w:t>
      </w:r>
      <w:r w:rsidR="002A794E">
        <w:t>reactant</w:t>
      </w:r>
      <w:r w:rsidR="00E15B90">
        <w:t xml:space="preserve"> </w:t>
      </w:r>
      <w:r w:rsidR="004F5B5A">
        <w:t>mixing</w:t>
      </w:r>
      <w:r w:rsidR="002A794E">
        <w:t>.</w:t>
      </w:r>
      <w:r w:rsidR="007A6D31">
        <w:t xml:space="preserve"> </w:t>
      </w:r>
      <w:r w:rsidR="000627ED">
        <w:t>N</w:t>
      </w:r>
      <w:r w:rsidR="007A6D31">
        <w:t>aOH solutions were employed as precipitant agents.</w:t>
      </w:r>
      <w:r w:rsidR="004F5B5A">
        <w:t xml:space="preserve"> </w:t>
      </w:r>
      <w:proofErr w:type="gramStart"/>
      <w:r w:rsidR="004F5B5A">
        <w:t>Mg(</w:t>
      </w:r>
      <w:proofErr w:type="gramEnd"/>
      <w:r w:rsidR="004F5B5A">
        <w:t>OH)</w:t>
      </w:r>
      <w:r w:rsidR="004F5B5A" w:rsidRPr="004F5B5A">
        <w:rPr>
          <w:vertAlign w:val="subscript"/>
        </w:rPr>
        <w:t>2</w:t>
      </w:r>
      <w:r w:rsidR="004F5B5A">
        <w:t xml:space="preserve"> nanoparticles </w:t>
      </w:r>
      <w:r w:rsidR="00551B99">
        <w:t>characterized by</w:t>
      </w:r>
      <w:r w:rsidR="004F5B5A">
        <w:t xml:space="preserve"> cationic and mass purity</w:t>
      </w:r>
      <w:r w:rsidR="00551B99">
        <w:t xml:space="preserve"> </w:t>
      </w:r>
      <w:r w:rsidR="00292CE1">
        <w:t>higher than 99</w:t>
      </w:r>
      <w:r w:rsidR="00CA26AF">
        <w:t xml:space="preserve"> </w:t>
      </w:r>
      <w:r w:rsidR="00292CE1">
        <w:t xml:space="preserve">% and </w:t>
      </w:r>
      <w:r w:rsidR="004F5B5A">
        <w:t>90</w:t>
      </w:r>
      <w:r w:rsidR="00CA26AF">
        <w:t xml:space="preserve"> </w:t>
      </w:r>
      <w:r w:rsidR="004F5B5A">
        <w:t>%</w:t>
      </w:r>
      <w:r w:rsidR="00292CE1">
        <w:t xml:space="preserve">, respectively, </w:t>
      </w:r>
      <w:r w:rsidR="004F5B5A">
        <w:t xml:space="preserve">were successfully produced when treating </w:t>
      </w:r>
      <w:r w:rsidR="00217A5A">
        <w:t xml:space="preserve">Galia bitterns, while the excessive </w:t>
      </w:r>
      <w:r w:rsidR="00E976DA">
        <w:t xml:space="preserve">Margi </w:t>
      </w:r>
      <w:r w:rsidR="004F5B5A">
        <w:t>Mg</w:t>
      </w:r>
      <w:r w:rsidR="004F5B5A" w:rsidRPr="004F5B5A">
        <w:rPr>
          <w:vertAlign w:val="superscript"/>
        </w:rPr>
        <w:t>2+</w:t>
      </w:r>
      <w:r w:rsidR="004F5B5A">
        <w:t xml:space="preserve"> conce</w:t>
      </w:r>
      <w:r w:rsidR="00D234DD">
        <w:t>n</w:t>
      </w:r>
      <w:r w:rsidR="004F5B5A">
        <w:t>t</w:t>
      </w:r>
      <w:r w:rsidR="00D234DD">
        <w:t>r</w:t>
      </w:r>
      <w:r w:rsidR="004F5B5A">
        <w:t xml:space="preserve">ation </w:t>
      </w:r>
      <w:r w:rsidR="004E735D">
        <w:t xml:space="preserve">yielded </w:t>
      </w:r>
      <w:r w:rsidR="000D0FEE">
        <w:t xml:space="preserve">stronger </w:t>
      </w:r>
      <w:r w:rsidR="00E976DA">
        <w:t>micrometer</w:t>
      </w:r>
      <w:r w:rsidR="000D0FEE">
        <w:t xml:space="preserve"> </w:t>
      </w:r>
      <w:r w:rsidR="000D0FEE">
        <w:rPr>
          <w:lang w:val="en-GB"/>
        </w:rPr>
        <w:t>Mg(OH)</w:t>
      </w:r>
      <w:r w:rsidR="000D0FEE" w:rsidRPr="00700542">
        <w:rPr>
          <w:vertAlign w:val="subscript"/>
          <w:lang w:val="en-GB"/>
        </w:rPr>
        <w:t>2</w:t>
      </w:r>
      <w:r w:rsidR="00E976DA">
        <w:t xml:space="preserve"> agglomerates</w:t>
      </w:r>
      <w:r w:rsidR="004F5B5A">
        <w:t xml:space="preserve">. </w:t>
      </w:r>
    </w:p>
    <w:bookmarkEnd w:id="0"/>
    <w:p w14:paraId="476B2F2E" w14:textId="77777777" w:rsidR="00600535" w:rsidRPr="00B57B36" w:rsidRDefault="00600535" w:rsidP="00600535">
      <w:pPr>
        <w:pStyle w:val="CETHeading1"/>
        <w:rPr>
          <w:lang w:val="en-GB"/>
        </w:rPr>
      </w:pPr>
      <w:r w:rsidRPr="00B57B36">
        <w:rPr>
          <w:lang w:val="en-GB"/>
        </w:rPr>
        <w:t>Introduction</w:t>
      </w:r>
    </w:p>
    <w:p w14:paraId="456F6383" w14:textId="6C5DF105" w:rsidR="00DB59B2" w:rsidRDefault="0096123B" w:rsidP="00B90875">
      <w:pPr>
        <w:pStyle w:val="CETBodytext"/>
      </w:pPr>
      <w:r w:rsidRPr="00B90875">
        <w:t xml:space="preserve">In the </w:t>
      </w:r>
      <w:r w:rsidR="000E75DA" w:rsidRPr="00B90875">
        <w:t>last decades</w:t>
      </w:r>
      <w:r w:rsidRPr="00B90875">
        <w:t>, n</w:t>
      </w:r>
      <w:r w:rsidR="0025216B" w:rsidRPr="00B90875">
        <w:t xml:space="preserve">anoparticles </w:t>
      </w:r>
      <w:r w:rsidRPr="00B90875">
        <w:t xml:space="preserve">have attracted much interest </w:t>
      </w:r>
      <w:r w:rsidR="00C85184" w:rsidRPr="00B90875">
        <w:t>for</w:t>
      </w:r>
      <w:r w:rsidRPr="00B90875">
        <w:t xml:space="preserve"> their peculiar characteristics</w:t>
      </w:r>
      <w:r w:rsidR="00491BB2" w:rsidRPr="00B90875">
        <w:t>, e.g. superconductivity, thermal stability</w:t>
      </w:r>
      <w:r w:rsidR="007407B9">
        <w:t xml:space="preserve">, </w:t>
      </w:r>
      <w:r w:rsidR="00491BB2" w:rsidRPr="00B90875">
        <w:t>non-li</w:t>
      </w:r>
      <w:r w:rsidR="00827FFC" w:rsidRPr="00B90875">
        <w:t>n</w:t>
      </w:r>
      <w:r w:rsidR="00491BB2" w:rsidRPr="00B90875">
        <w:t>ear</w:t>
      </w:r>
      <w:r w:rsidR="00827FFC" w:rsidRPr="00B90875">
        <w:t xml:space="preserve"> optics</w:t>
      </w:r>
      <w:r w:rsidR="00DD3B1D">
        <w:t>, etc.</w:t>
      </w:r>
      <w:r w:rsidR="00827FFC" w:rsidRPr="00B90875">
        <w:t xml:space="preserve"> </w:t>
      </w:r>
      <w:r w:rsidR="00711F81" w:rsidRPr="00B90875">
        <w:fldChar w:fldCharType="begin" w:fldLock="1"/>
      </w:r>
      <w:r w:rsidR="00405058">
        <w:instrText>ADDIN CSL_CITATION {"citationItems":[{"id":"ITEM-1","itemData":{"DOI":"10.1016/j.compstruct.2003.09.010","ISSN":"02638223","abstract":"The magnesium hydroxide [Mg(OH)2] nanocrystallines with needle- or lamella-like morphologies were synthesized by a surfactant-mediated solution method. The structures and morphologies of Mg(OH)2 nanoparticles were characterized by X-ray diffraction, transmission electron microscope, and Fourier transform infrared. Mg(OH)2/ethylene-vinyl acetate copolymer (EVA) (1:1) nanocomposite was also prepared, and has a value of the limiting oxygen index of 38.3. The high-resolution transmission electron microscope picture shows that the Mg(OH)2 nanoparticles disperse homogeneously in EVA matrix and the scanning electron microscope images indicate that the char formed after combustion of the nanocomposite appears very compact. © 2003 Elsevier Ltd. All rights reserved.","author":[{"dropping-particle":"","family":"Qiu","given":"Longzhen","non-dropping-particle":"","parse-names":false,"suffix":""},{"dropping-particle":"","family":"Xie","given":"Rongcai","non-dropping-particle":"","parse-names":false,"suffix":""},{"dropping-particle":"","family":"Ding","given":"Peng","non-dropping-particle":"","parse-names":false,"suffix":""},{"dropping-particle":"","family":"Qu","given":"Baojun","non-dropping-particle":"","parse-names":false,"suffix":""}],"container-title":"Composite Structures","id":"ITEM-1","issue":"3-4","issued":{"date-parts":[["2003"]]},"note":"Poco importante","page":"391-395","publisher":"Elsevier BV","title":"Preparation and characterization of Mg(OH)2 nanoparticles and flame-retardant property of its nanocomposites with EVA","type":"article-journal","volume":"62"},"uris":["http://www.mendeley.com/documents/?uuid=3a24dd06-55a5-302e-a824-f86d1fa72fb9"]}],"mendeley":{"formattedCitation":"(Qiu et al., 2003)","plainTextFormattedCitation":"(Qiu et al., 2003)","previouslyFormattedCitation":"(Qiu et al., 2003)"},"properties":{"noteIndex":0},"schema":"https://github.com/citation-style-language/schema/raw/master/csl-citation.json"}</w:instrText>
      </w:r>
      <w:r w:rsidR="00711F81" w:rsidRPr="00B90875">
        <w:fldChar w:fldCharType="separate"/>
      </w:r>
      <w:r w:rsidR="00A56A21" w:rsidRPr="00A56A21">
        <w:rPr>
          <w:noProof/>
        </w:rPr>
        <w:t>(Qiu et al., 2003)</w:t>
      </w:r>
      <w:r w:rsidR="00711F81" w:rsidRPr="00B90875">
        <w:fldChar w:fldCharType="end"/>
      </w:r>
      <w:r w:rsidR="00491BB2" w:rsidRPr="00B90875">
        <w:t>.</w:t>
      </w:r>
      <w:r w:rsidR="00827FFC" w:rsidRPr="00B90875">
        <w:t xml:space="preserve"> </w:t>
      </w:r>
      <w:r w:rsidR="00C232B4">
        <w:t>Polymers embodying n</w:t>
      </w:r>
      <w:r w:rsidR="00C232B4" w:rsidRPr="00C232B4">
        <w:t xml:space="preserve">anoparticles </w:t>
      </w:r>
      <w:r w:rsidR="00C232B4">
        <w:t>have</w:t>
      </w:r>
      <w:r w:rsidR="000137F5" w:rsidRPr="00B90875">
        <w:t xml:space="preserve"> </w:t>
      </w:r>
      <w:r w:rsidR="002223FC" w:rsidRPr="00B90875">
        <w:t xml:space="preserve">also </w:t>
      </w:r>
      <w:r w:rsidR="000137F5" w:rsidRPr="00B90875">
        <w:t xml:space="preserve">been </w:t>
      </w:r>
      <w:r w:rsidR="00A84341">
        <w:t>widely</w:t>
      </w:r>
      <w:r w:rsidR="000137F5" w:rsidRPr="00B90875">
        <w:t xml:space="preserve"> investigated </w:t>
      </w:r>
      <w:r w:rsidR="00F1746C">
        <w:t>for</w:t>
      </w:r>
      <w:r w:rsidR="000137F5" w:rsidRPr="00B90875">
        <w:t xml:space="preserve"> </w:t>
      </w:r>
      <w:r w:rsidR="00985723">
        <w:t>their</w:t>
      </w:r>
      <w:r w:rsidR="00C832C5">
        <w:t xml:space="preserve"> </w:t>
      </w:r>
      <w:r w:rsidR="00985723">
        <w:t>superior</w:t>
      </w:r>
      <w:r w:rsidR="000137F5" w:rsidRPr="00B90875">
        <w:t xml:space="preserve"> </w:t>
      </w:r>
      <w:r w:rsidR="00C85184" w:rsidRPr="00B90875">
        <w:t>features</w:t>
      </w:r>
      <w:r w:rsidR="008369D4">
        <w:t xml:space="preserve"> </w:t>
      </w:r>
      <w:r w:rsidR="007F6494" w:rsidRPr="00B90875">
        <w:t xml:space="preserve">with respect </w:t>
      </w:r>
      <w:r w:rsidR="00985723">
        <w:t xml:space="preserve">to </w:t>
      </w:r>
      <w:r w:rsidR="00CE46B6">
        <w:t>those</w:t>
      </w:r>
      <w:r w:rsidR="000137F5" w:rsidRPr="00B90875">
        <w:t xml:space="preserve"> </w:t>
      </w:r>
      <w:r w:rsidR="006F1308">
        <w:t>exhibited</w:t>
      </w:r>
      <w:r w:rsidR="00F107BC">
        <w:t xml:space="preserve"> by materials </w:t>
      </w:r>
      <w:r w:rsidR="00C85184" w:rsidRPr="00B90875">
        <w:t>embodying</w:t>
      </w:r>
      <w:r w:rsidR="008369D4">
        <w:t xml:space="preserve"> </w:t>
      </w:r>
      <w:r w:rsidR="001F41B1" w:rsidRPr="00B90875">
        <w:t>micromet</w:t>
      </w:r>
      <w:r w:rsidR="001F41B1">
        <w:t>er</w:t>
      </w:r>
      <w:r w:rsidR="000137F5" w:rsidRPr="00B90875">
        <w:t xml:space="preserve"> particles</w:t>
      </w:r>
      <w:r w:rsidR="00103EAD">
        <w:t xml:space="preserve"> </w:t>
      </w:r>
      <w:r w:rsidR="00103EAD" w:rsidRPr="00B90875">
        <w:fldChar w:fldCharType="begin" w:fldLock="1"/>
      </w:r>
      <w:r w:rsidR="00A56A21">
        <w:instrText>ADDIN CSL_CITATION {"citationItems":[{"id":"ITEM-1","itemData":{"DOI":"10.1016/j.compstruct.2003.09.010","ISSN":"02638223","abstract":"The magnesium hydroxide [Mg(OH)2] nanocrystallines with needle- or lamella-like morphologies were synthesized by a surfactant-mediated solution method. The structures and morphologies of Mg(OH)2 nanoparticles were characterized by X-ray diffraction, transmission electron microscope, and Fourier transform infrared. Mg(OH)2/ethylene-vinyl acetate copolymer (EVA) (1:1) nanocomposite was also prepared, and has a value of the limiting oxygen index of 38.3. The high-resolution transmission electron microscope picture shows that the Mg(OH)2 nanoparticles disperse homogeneously in EVA matrix and the scanning electron microscope images indicate that the char formed after combustion of the nanocomposite appears very compact. © 2003 Elsevier Ltd. All rights reserved.","author":[{"dropping-particle":"","family":"Qiu","given":"Longzhen","non-dropping-particle":"","parse-names":false,"suffix":""},{"dropping-particle":"","family":"Xie","given":"Rongcai","non-dropping-particle":"","parse-names":false,"suffix":""},{"dropping-particle":"","family":"Ding","given":"Peng","non-dropping-particle":"","parse-names":false,"suffix":""},{"dropping-particle":"","family":"Qu","given":"Baojun","non-dropping-particle":"","parse-names":false,"suffix":""}],"container-title":"Composite Structures","id":"ITEM-1","issue":"3-4","issued":{"date-parts":[["2003"]]},"note":"Poco importante","page":"391-395","publisher":"Elsevier BV","title":"Preparation and characterization of Mg(OH)2 nanoparticles and flame-retardant property of its nanocomposites with EVA","type":"article-journal","volume":"62"},"uris":["http://www.mendeley.com/documents/?uuid=3a24dd06-55a5-302e-a824-f86d1fa72fb9"]}],"mendeley":{"formattedCitation":"(Qiu et al., 2003)","plainTextFormattedCitation":"(Qiu et al., 2003)","previouslyFormattedCitation":"(Qiu et al., 2003)"},"properties":{"noteIndex":0},"schema":"https://github.com/citation-style-language/schema/raw/master/csl-citation.json"}</w:instrText>
      </w:r>
      <w:r w:rsidR="00103EAD" w:rsidRPr="00B90875">
        <w:fldChar w:fldCharType="separate"/>
      </w:r>
      <w:r w:rsidR="00A56A21" w:rsidRPr="00A56A21">
        <w:rPr>
          <w:noProof/>
        </w:rPr>
        <w:t>(Qiu et al., 2003)</w:t>
      </w:r>
      <w:r w:rsidR="00103EAD" w:rsidRPr="00B90875">
        <w:fldChar w:fldCharType="end"/>
      </w:r>
      <w:r w:rsidR="00697AB3" w:rsidRPr="00B90875">
        <w:t>.</w:t>
      </w:r>
      <w:r w:rsidRPr="00B90875">
        <w:t xml:space="preserve"> In this context, </w:t>
      </w:r>
      <w:r w:rsidR="0074455F">
        <w:t>m</w:t>
      </w:r>
      <w:r w:rsidRPr="00B90875">
        <w:t>agnesium hydroxide, Mg(OH)</w:t>
      </w:r>
      <w:r w:rsidRPr="000E7040">
        <w:rPr>
          <w:vertAlign w:val="subscript"/>
        </w:rPr>
        <w:t>2</w:t>
      </w:r>
      <w:r w:rsidRPr="00B90875">
        <w:t xml:space="preserve">, nanoparticles have been extensively employed in numerous applications </w:t>
      </w:r>
      <w:r w:rsidRPr="00B90875">
        <w:fldChar w:fldCharType="begin" w:fldLock="1"/>
      </w:r>
      <w:r w:rsidR="00405058">
        <w:instrText>ADDIN CSL_CITATION {"citationItems":[{"id":"ITEM-1","itemData":{"DOI":"10.1039/c7ce01570d","ISSN":"14668033","abstract":"This review highlights synthetic routes for producing nanostructured magnesium hydroxide and focuses on how these various preparative approaches can produce Mg(OH)2 nanoparticles with controlled size and morphology. Mg(OH)2 nanocrystals with rod-, needle-, hollow tube- or platelet-like morphology can be synthesised by the modification of chemical and physical experimental parameters such as the selection of magnesium precursor, solvent and temperature or by employing surface modifiers and templates. Techniques based on hydrothermal/solvothermal treatments, microwave heating and (co-)precipitation are dominant in the production of Mg(OH)2 at the nanoscale, but other materials design approaches are now emerging. Bulk Mg(OH)2 has been extensively studied over decades and finds use in a wide range of applications. Moreover, the hydroxide can also serve as a precursor for other commercially important materials</w:instrText>
      </w:r>
      <w:r w:rsidR="00405058" w:rsidRPr="00847F9C">
        <w:rPr>
          <w:lang w:val="it-IT"/>
        </w:rPr>
        <w:instrText xml:space="preserve"> such as MgO. Nanostructuring the material has proven extremely useful in modifying some of its most important properties-not least enhancing the performance of Mg(OH)2 as a non-toxic flame retardant-but equally it is creating new avenues of applied research. We evaluate herein the latest efforts to design novel synthesis routes to nano-Mg(O</w:instrText>
      </w:r>
      <w:r w:rsidR="00405058" w:rsidRPr="002020FA">
        <w:rPr>
          <w:lang w:val="it-IT"/>
        </w:rPr>
        <w:instrText>H)2, to understand the mechanisms of crystallite growth and to tailor microstructure towards specific properties and applications.","author":[{"dropping-particle":"","family":"Balducci","given":"Giulia","non-dropping-particle":"","parse-names":false,"suffix":""},{"dropping-particle":"","family":"Bravo Diaz","given":"Laura","non-dropping-particle":"","parse-names":false,"suffix":""},{"dropping-particle":"","family":"Gregory","given":"Duncan H.","non-dropping-particle":"","parse-names":false,"suffix":""}],"container-title":"CrystEngComm","id":"ITEM-1","issue":"41","issued":{"date-parts":[["2017"]]},"page":"6067-6084","publisher":"Royal Society of Chemistry","title":"Recent progress in the synthesis of nanostructured magnesium hydroxide","type":"article","volume":"19"},"uris":["http://www.mendeley.com/documents/?uuid=7ace5c51-bdb6-3fb1-a1d9-3c7872a53651"]}],"mendeley":{"formattedCitation":"(Balducci et al., 2017)","plainTextFormattedCitation":"(Balducci et al., 2017)","previouslyFormattedCitation":"(Balducci et al., 2017)"},"properties":{"noteIndex":0},"schema":"https://github.com/citation-style-language/schema/raw/master/csl-citation.json"}</w:instrText>
      </w:r>
      <w:r w:rsidRPr="00B90875">
        <w:fldChar w:fldCharType="separate"/>
      </w:r>
      <w:r w:rsidR="00A56A21" w:rsidRPr="004C5A69">
        <w:rPr>
          <w:noProof/>
          <w:lang w:val="it-IT"/>
        </w:rPr>
        <w:t>(Balducci et al., 2017)</w:t>
      </w:r>
      <w:r w:rsidRPr="00B90875">
        <w:fldChar w:fldCharType="end"/>
      </w:r>
      <w:r w:rsidRPr="004C5A69">
        <w:rPr>
          <w:lang w:val="it-IT"/>
        </w:rPr>
        <w:t>.</w:t>
      </w:r>
      <w:r w:rsidR="0072060F" w:rsidRPr="004C5A69">
        <w:rPr>
          <w:lang w:val="it-IT"/>
        </w:rPr>
        <w:t xml:space="preserve"> </w:t>
      </w:r>
      <w:proofErr w:type="spellStart"/>
      <w:r w:rsidR="00713FC2" w:rsidRPr="004C5A69">
        <w:rPr>
          <w:lang w:val="it-IT"/>
        </w:rPr>
        <w:t>Pilarska</w:t>
      </w:r>
      <w:proofErr w:type="spellEnd"/>
      <w:r w:rsidR="00713FC2" w:rsidRPr="004C5A69">
        <w:rPr>
          <w:lang w:val="it-IT"/>
        </w:rPr>
        <w:t xml:space="preserve"> et al </w:t>
      </w:r>
      <w:r w:rsidR="00713FC2" w:rsidRPr="00B90875">
        <w:fldChar w:fldCharType="begin" w:fldLock="1"/>
      </w:r>
      <w:r w:rsidR="00405058">
        <w:rPr>
          <w:lang w:val="it-IT"/>
        </w:rPr>
        <w:instrText>ADDIN CSL_CITATION {"citationItems":[{"id":"ITEM-1","itemData":{"DOI":"10.1016/j.powtec.2012.10.008","ISSN":"00325910","abstract":"The effect of type and concentration of modifiers on the physicochemical and functional properties of magnesium hydroxide obtained by precipitation, and its calcinate magnesium oxide, was studied. Magnesium hydroxide obtained from magnesium sulfate and sodium hydroxide was subjected to thermal decomposition at 450 °C. The precipitation reaction took place in optimised conditions with the use of a modifier at suitably chosen concentration and molecular mass. The modifiers were non-ionic compounds representing poly(ethylene glycols): PEG 200, 8000, 20. 000. Detailed and comprehensive characterisation of the unmodified and modified samples, either hydrated or calcined was made. The magnesium hydroxide samples obtained in this study show plate morphology of particles. The modifier introduced into the reaction system had a direct influence on the morphological and dispersive properties of the products as well as their surface character and specific surface area. However, it was proved that the presence of a modifier did not change the crystalline structure of the products. A mechanism of PEG activity explaining the effect of different concentrations of the modifier on agglomerate formation was proposed. © 2012 Elsevier B.V.","author":[{"dropping-particle":"","family":"Pilarska","given":"Agnieszka","non-dropping-particle":"","parse-names":false,"suffix":""},{"dropping-particle":"","family":"Wysokowski","given":"Marcin","non-dropping-particle":"","parse-names":false,"suffix":""},{"dropping-particle":"","family":"Markiewicz","given":"Ewa","non-dropping-particle":"","parse-names":false,"suffix":""},{"dropping-particle":"","family":"Jesionowski","given":"Teofil","non-dropping-particle":"","parse-names":false,"suffix":""}],"container-title":"Powder Technology","id":"ITEM-1","issued":{"date-parts":[["2013","2"]]},"note":"ier on the surface of the plates of precipitated Mg(OH)2 (Fig. 2) shows that 2 wt.% ofPEG causes the chains to be ar- ranged so as to provide the best quality of the formed modifier layer","page":"148-157","title":"Synthesis of magnesium hydroxide and its calcinates by a precipitation method with the use of magnesium sulfate and poly(ethylene glycols)","type":"article-journal","volume":"235"},"uris":["http://www.mendeley.com/documents/?uuid=0efaf270-38a9-359c-8b07-c75fdf655c22"]}],"mendeley":{"formattedCitation":"(Pilarska et al., 2013)","plainTextFormattedCitation":"(Pilarska et al., 2013)","previouslyFormattedCitation":"(Pilarska et al., 2013)"},"properties":{"noteIndex":0},"schema":"https://github.com/citation-style-language/schema/raw/master/csl-citation.json"}</w:instrText>
      </w:r>
      <w:r w:rsidR="00713FC2" w:rsidRPr="00B90875">
        <w:fldChar w:fldCharType="separate"/>
      </w:r>
      <w:r w:rsidR="00A56A21" w:rsidRPr="004C5A69">
        <w:rPr>
          <w:noProof/>
          <w:lang w:val="it-IT"/>
        </w:rPr>
        <w:t>(Pilarska et al., 2013)</w:t>
      </w:r>
      <w:r w:rsidR="00713FC2" w:rsidRPr="00B90875">
        <w:fldChar w:fldCharType="end"/>
      </w:r>
      <w:r w:rsidR="00713FC2" w:rsidRPr="004C5A69">
        <w:rPr>
          <w:lang w:val="it-IT"/>
        </w:rPr>
        <w:t xml:space="preserve"> </w:t>
      </w:r>
      <w:proofErr w:type="spellStart"/>
      <w:r w:rsidR="00713FC2" w:rsidRPr="004C5A69">
        <w:rPr>
          <w:lang w:val="it-IT"/>
        </w:rPr>
        <w:t>studied</w:t>
      </w:r>
      <w:proofErr w:type="spellEnd"/>
      <w:r w:rsidR="00713FC2" w:rsidRPr="004C5A69">
        <w:rPr>
          <w:lang w:val="it-IT"/>
        </w:rPr>
        <w:t xml:space="preserve"> the </w:t>
      </w:r>
      <w:proofErr w:type="spellStart"/>
      <w:r w:rsidR="00713FC2" w:rsidRPr="004C5A69">
        <w:rPr>
          <w:lang w:val="it-IT"/>
        </w:rPr>
        <w:t>synthesis</w:t>
      </w:r>
      <w:proofErr w:type="spellEnd"/>
      <w:r w:rsidR="00713FC2" w:rsidRPr="004C5A69">
        <w:rPr>
          <w:lang w:val="it-IT"/>
        </w:rPr>
        <w:t xml:space="preserve"> of </w:t>
      </w:r>
      <w:proofErr w:type="spellStart"/>
      <w:r w:rsidR="00713FC2" w:rsidRPr="004C5A69">
        <w:rPr>
          <w:lang w:val="it-IT"/>
        </w:rPr>
        <w:t>magnesium</w:t>
      </w:r>
      <w:proofErr w:type="spellEnd"/>
      <w:r w:rsidR="00713FC2" w:rsidRPr="004C5A69">
        <w:rPr>
          <w:lang w:val="it-IT"/>
        </w:rPr>
        <w:t xml:space="preserve"> </w:t>
      </w:r>
      <w:proofErr w:type="spellStart"/>
      <w:r w:rsidR="00713FC2" w:rsidRPr="004C5A69">
        <w:rPr>
          <w:lang w:val="it-IT"/>
        </w:rPr>
        <w:t>hydroxide</w:t>
      </w:r>
      <w:proofErr w:type="spellEnd"/>
      <w:r w:rsidR="00713FC2" w:rsidRPr="004C5A69">
        <w:rPr>
          <w:lang w:val="it-IT"/>
        </w:rPr>
        <w:t xml:space="preserve"> </w:t>
      </w:r>
      <w:proofErr w:type="spellStart"/>
      <w:r w:rsidR="00713FC2" w:rsidRPr="004C5A69">
        <w:rPr>
          <w:lang w:val="it-IT"/>
        </w:rPr>
        <w:t>nanoparticles</w:t>
      </w:r>
      <w:proofErr w:type="spellEnd"/>
      <w:r w:rsidR="00713FC2" w:rsidRPr="004C5A69">
        <w:rPr>
          <w:lang w:val="it-IT"/>
        </w:rPr>
        <w:t xml:space="preserve"> </w:t>
      </w:r>
      <w:proofErr w:type="spellStart"/>
      <w:r w:rsidR="00B10E9B" w:rsidRPr="004C5A69">
        <w:rPr>
          <w:lang w:val="it-IT"/>
        </w:rPr>
        <w:t>as</w:t>
      </w:r>
      <w:proofErr w:type="spellEnd"/>
      <w:r w:rsidR="00B10E9B" w:rsidRPr="004C5A69">
        <w:rPr>
          <w:lang w:val="it-IT"/>
        </w:rPr>
        <w:t xml:space="preserve"> the precursor for the</w:t>
      </w:r>
      <w:r w:rsidR="00713FC2" w:rsidRPr="004C5A69">
        <w:rPr>
          <w:lang w:val="it-IT"/>
        </w:rPr>
        <w:t xml:space="preserve"> production of </w:t>
      </w:r>
      <w:proofErr w:type="spellStart"/>
      <w:r w:rsidR="0074455F" w:rsidRPr="004C5A69">
        <w:rPr>
          <w:lang w:val="it-IT"/>
        </w:rPr>
        <w:t>magnesium</w:t>
      </w:r>
      <w:proofErr w:type="spellEnd"/>
      <w:r w:rsidR="0074455F" w:rsidRPr="004C5A69">
        <w:rPr>
          <w:lang w:val="it-IT"/>
        </w:rPr>
        <w:t xml:space="preserve"> </w:t>
      </w:r>
      <w:proofErr w:type="spellStart"/>
      <w:r w:rsidR="0074455F" w:rsidRPr="004C5A69">
        <w:rPr>
          <w:lang w:val="it-IT"/>
        </w:rPr>
        <w:t>oxide</w:t>
      </w:r>
      <w:proofErr w:type="spellEnd"/>
      <w:r w:rsidR="0074455F" w:rsidRPr="004C5A69">
        <w:rPr>
          <w:lang w:val="it-IT"/>
        </w:rPr>
        <w:t xml:space="preserve"> (</w:t>
      </w:r>
      <w:r w:rsidR="00713FC2" w:rsidRPr="004C5A69">
        <w:rPr>
          <w:lang w:val="it-IT"/>
        </w:rPr>
        <w:t>MgO</w:t>
      </w:r>
      <w:r w:rsidR="0074455F" w:rsidRPr="004C5A69">
        <w:rPr>
          <w:lang w:val="it-IT"/>
        </w:rPr>
        <w:t>)</w:t>
      </w:r>
      <w:r w:rsidR="00713FC2" w:rsidRPr="004C5A69">
        <w:rPr>
          <w:lang w:val="it-IT"/>
        </w:rPr>
        <w:t xml:space="preserve"> </w:t>
      </w:r>
      <w:proofErr w:type="spellStart"/>
      <w:r w:rsidR="00713FC2" w:rsidRPr="004C5A69">
        <w:rPr>
          <w:lang w:val="it-IT"/>
        </w:rPr>
        <w:t>catalysts</w:t>
      </w:r>
      <w:proofErr w:type="spellEnd"/>
      <w:r w:rsidR="00713FC2" w:rsidRPr="004C5A69">
        <w:rPr>
          <w:lang w:val="it-IT"/>
        </w:rPr>
        <w:t xml:space="preserve">. </w:t>
      </w:r>
      <w:proofErr w:type="gramStart"/>
      <w:r w:rsidR="00FE2CCC" w:rsidRPr="00B90875">
        <w:t>Mg(</w:t>
      </w:r>
      <w:proofErr w:type="gramEnd"/>
      <w:r w:rsidR="00FE2CCC" w:rsidRPr="00B90875">
        <w:t>OH)</w:t>
      </w:r>
      <w:r w:rsidR="00FE2CCC" w:rsidRPr="00913933">
        <w:rPr>
          <w:vertAlign w:val="subscript"/>
        </w:rPr>
        <w:t>2</w:t>
      </w:r>
      <w:r w:rsidR="00FE2CCC" w:rsidRPr="00B90875">
        <w:t xml:space="preserve"> </w:t>
      </w:r>
      <w:r w:rsidR="00713FC2" w:rsidRPr="00B90875">
        <w:t>was precipitated from magnesium sulfate and sodium hydroxide</w:t>
      </w:r>
      <w:r w:rsidR="009444FD">
        <w:t xml:space="preserve"> (</w:t>
      </w:r>
      <w:r w:rsidR="009444FD" w:rsidRPr="00B90875">
        <w:t>NaOH</w:t>
      </w:r>
      <w:r w:rsidR="009444FD">
        <w:t>)</w:t>
      </w:r>
      <w:r w:rsidR="00713FC2" w:rsidRPr="00B90875">
        <w:t xml:space="preserve"> by precipitation. </w:t>
      </w:r>
      <w:r w:rsidR="002C4A59">
        <w:t>N</w:t>
      </w:r>
      <w:r w:rsidR="00713FC2" w:rsidRPr="00B90875">
        <w:t xml:space="preserve">on-ionic </w:t>
      </w:r>
      <w:proofErr w:type="gramStart"/>
      <w:r w:rsidR="00713FC2" w:rsidRPr="00B90875">
        <w:t>poly(</w:t>
      </w:r>
      <w:proofErr w:type="gramEnd"/>
      <w:r w:rsidR="00713FC2" w:rsidRPr="00B90875">
        <w:t>ethylene glycols) compound</w:t>
      </w:r>
      <w:r w:rsidR="002C4A59">
        <w:t>s</w:t>
      </w:r>
      <w:r w:rsidR="00713FC2" w:rsidRPr="00B90875">
        <w:t xml:space="preserve"> with different molecular weight</w:t>
      </w:r>
      <w:r w:rsidR="00713FC2">
        <w:t>s</w:t>
      </w:r>
      <w:r w:rsidR="00713FC2" w:rsidRPr="00B90875">
        <w:t xml:space="preserve"> </w:t>
      </w:r>
      <w:r w:rsidR="002C4A59">
        <w:t>were</w:t>
      </w:r>
      <w:r w:rsidR="00713FC2" w:rsidRPr="00B90875">
        <w:t xml:space="preserve"> added as</w:t>
      </w:r>
      <w:r w:rsidR="00713FC2">
        <w:t xml:space="preserve"> </w:t>
      </w:r>
      <w:r w:rsidR="00713FC2" w:rsidRPr="00B90875">
        <w:t>surface modifier</w:t>
      </w:r>
      <w:r w:rsidR="002A4CD0">
        <w:t>s</w:t>
      </w:r>
      <w:r w:rsidR="00713FC2" w:rsidRPr="00B90875">
        <w:t xml:space="preserve">. The authors successfully produced </w:t>
      </w:r>
      <w:proofErr w:type="gramStart"/>
      <w:r w:rsidR="00B75427" w:rsidRPr="00B90875">
        <w:t>Mg(</w:t>
      </w:r>
      <w:proofErr w:type="gramEnd"/>
      <w:r w:rsidR="00B75427" w:rsidRPr="00B90875">
        <w:t>OH)</w:t>
      </w:r>
      <w:r w:rsidR="00B75427" w:rsidRPr="003C51E1">
        <w:rPr>
          <w:vertAlign w:val="subscript"/>
        </w:rPr>
        <w:t>2</w:t>
      </w:r>
      <w:r w:rsidR="00B75427">
        <w:rPr>
          <w:vertAlign w:val="subscript"/>
        </w:rPr>
        <w:t xml:space="preserve"> </w:t>
      </w:r>
      <w:r w:rsidR="00713FC2" w:rsidRPr="00B90875">
        <w:t xml:space="preserve">nanoplates that, after calcination, </w:t>
      </w:r>
      <w:r w:rsidR="00F260BA">
        <w:t>formed</w:t>
      </w:r>
      <w:r w:rsidR="00713FC2" w:rsidRPr="00B90875">
        <w:t xml:space="preserve"> MgO </w:t>
      </w:r>
      <w:r w:rsidR="00A211B1">
        <w:t xml:space="preserve">particles </w:t>
      </w:r>
      <w:r w:rsidR="00713FC2" w:rsidRPr="00B90875">
        <w:t xml:space="preserve">with </w:t>
      </w:r>
      <w:r w:rsidR="00167776">
        <w:t xml:space="preserve">a </w:t>
      </w:r>
      <w:r w:rsidR="00713FC2" w:rsidRPr="00B90875">
        <w:t>high surface area.</w:t>
      </w:r>
      <w:r w:rsidR="00217F0B">
        <w:t xml:space="preserve"> </w:t>
      </w:r>
      <w:r w:rsidR="00713FC2" w:rsidRPr="00B90875">
        <w:t xml:space="preserve">Pan et al. </w:t>
      </w:r>
      <w:r w:rsidR="00713FC2" w:rsidRPr="00B90875">
        <w:fldChar w:fldCharType="begin" w:fldLock="1"/>
      </w:r>
      <w:r w:rsidR="00A56A21">
        <w:instrText>ADDIN CSL_CITATION {"citationItems":[{"id":"ITEM-1","itemData":{"DOI":"10.1021/am302910q","ISSN":"19448244","PMID":"23301496","abstract":"Here we reported the antibacterial effect and related mechanism of three nano-Mg(OH)2 slurries using Escherichia coli as model bacteria. X-ray diffraction (XRD), scanning electron microscopy (SEM) and laser particle size analysis revealed that the as-synthesized Mg(OH)2-MgCl2, Mg(OH)2-MgSO4 and Mg(OH)2-MgO are all composed by nanoflakes with different sizes, and their aggregates in water are 5.5, 4.5, and 1.2 μm, respectively. Bactericidal tests showed that the antibacterial efficiency is conversely correlated with the size of Mg(OH) 2 aggregates. Transmission electron microscopy (TEM) observation have not provided evidence of cellular internalization, however, the antibacterial effect is positive correlation to the loss of integrity of cell walls. SEM and zeta potential analysis revealed that the adhering ability of Mg(OH)2 on the bacterial surface is Mg(OH)2-MgCl2 &gt; Mg(OH)2-MgSO4 &gt; Mg(OH)2-MgO, indicating the toxicity of Mg(OH)2 may be caused by the electrostatic interaction-induced external adsorption. Confocal laser scanning microscopy (CLSM) further revealed that the adhering of Mg(OH)2 on the bacterial surface could increase the permeability of cell membranes. Taken together, the antibacterial mechanism of nano-Mg(OH)2 could be as follows: nano-Mg(OH)2 adsorbed on the bacterial surface by charge attraction first, and then destroyed the integrity of cell walls, which resulting in the final death of bacteria. © 2013 American Chemical Society.","author":[{"dropping-particle":"","family":"Pan","given":"Xiaohong","non-dropping-particle":"","parse-names":false,"suffix":""},{"dropping-particle":"","family":"Wang","given":"Yonghao","non-dropping-particle":"","parse-names":false,"suffix":""},{"dropping-particle":"","family":"Chen","given":"Zhi","non-dropping-particle":"","parse-names":false,"suffix":""},{"dropping-particle":"","family":"Pan","given":"Danmei","non-dropping-particle":"","parse-names":false,"suffix":""},{"dropping-particle":"","family":"Cheng","given":"Yangjian","non-dropping-particle":"","parse-names":false,"suffix":""},{"dropping-particle":"","family":"Liu","given":"Zunjing","non-dropping-particle":"","parse-names":false,"suffix":""},{"dropping-particle":"","family":"Lin","given":"Zhang","non-dropping-particle":"","parse-names":false,"suffix":""},{"dropping-particle":"","family":"Guan","given":"Xiong","non-dropping-particle":"","parse-names":false,"suffix":""}],"container-title":"ACS Applied Materials and Interfaces","id":"ITEM-1","issue":"3","issued":{"date-parts":[["2013","2","13"]]},"note":"Per lo zetapotential. Anche SEM\nSembra ceh il Mg a aplline piccoe sia ottimo per l'azione anti batterica","page":"1137-1142","title":"Investigation of antibacterial activity and related mechanism of a series of nano-Mg(OH)2","type":"article-journal","volume":"5"},"uris":["http://www.mendeley.com/documents/?uuid=54872f8f-d460-35ed-b8da-4eaca405daf5"]}],"mendeley":{"formattedCitation":"(Pan et al., 2013)","plainTextFormattedCitation":"(Pan et al., 2013)","previouslyFormattedCitation":"(Pan et al., 2013)"},"properties":{"noteIndex":0},"schema":"https://github.com/citation-style-language/schema/raw/master/csl-citation.json"}</w:instrText>
      </w:r>
      <w:r w:rsidR="00713FC2" w:rsidRPr="00B90875">
        <w:fldChar w:fldCharType="separate"/>
      </w:r>
      <w:r w:rsidR="00A56A21" w:rsidRPr="00A56A21">
        <w:rPr>
          <w:noProof/>
        </w:rPr>
        <w:t>(Pan et al., 2013)</w:t>
      </w:r>
      <w:r w:rsidR="00713FC2" w:rsidRPr="00B90875">
        <w:fldChar w:fldCharType="end"/>
      </w:r>
      <w:r w:rsidR="00713FC2" w:rsidRPr="00B90875">
        <w:t xml:space="preserve"> studied the antibacterial activity of Mg(OH)</w:t>
      </w:r>
      <w:r w:rsidR="00713FC2" w:rsidRPr="003C51E1">
        <w:rPr>
          <w:vertAlign w:val="subscript"/>
        </w:rPr>
        <w:t>2</w:t>
      </w:r>
      <w:r w:rsidR="00713FC2" w:rsidRPr="00B90875">
        <w:t xml:space="preserve"> nanoparticles on Escherichia coli. </w:t>
      </w:r>
      <w:proofErr w:type="gramStart"/>
      <w:r w:rsidR="00713FC2" w:rsidRPr="00B90875">
        <w:t>Mg(</w:t>
      </w:r>
      <w:proofErr w:type="gramEnd"/>
      <w:r w:rsidR="00713FC2" w:rsidRPr="00B90875">
        <w:t>OH)</w:t>
      </w:r>
      <w:r w:rsidR="00713FC2" w:rsidRPr="00913933">
        <w:rPr>
          <w:vertAlign w:val="subscript"/>
        </w:rPr>
        <w:t>2</w:t>
      </w:r>
      <w:r w:rsidR="00713FC2" w:rsidRPr="00B90875">
        <w:t xml:space="preserve"> nanoparticles were synthesized using NaOH and different Mg </w:t>
      </w:r>
      <w:r w:rsidR="007A3304">
        <w:t>solutions</w:t>
      </w:r>
      <w:r w:rsidR="00713FC2">
        <w:t xml:space="preserve">. </w:t>
      </w:r>
      <w:r w:rsidR="00713FC2" w:rsidRPr="00B90875">
        <w:t xml:space="preserve">The best antibacterial action was </w:t>
      </w:r>
      <w:r w:rsidR="00713FC2">
        <w:t xml:space="preserve">exhibited by </w:t>
      </w:r>
      <w:proofErr w:type="gramStart"/>
      <w:r w:rsidR="00713FC2" w:rsidRPr="00B90875">
        <w:t>Mg(</w:t>
      </w:r>
      <w:proofErr w:type="gramEnd"/>
      <w:r w:rsidR="00713FC2" w:rsidRPr="00B90875">
        <w:t>OH)</w:t>
      </w:r>
      <w:r w:rsidR="00713FC2" w:rsidRPr="000A1038">
        <w:rPr>
          <w:vertAlign w:val="subscript"/>
        </w:rPr>
        <w:t>2</w:t>
      </w:r>
      <w:r w:rsidR="00713FC2" w:rsidRPr="00B90875">
        <w:t xml:space="preserve"> particles precipitated from </w:t>
      </w:r>
      <w:r w:rsidR="00623627">
        <w:t>magnesium chloride (</w:t>
      </w:r>
      <w:r w:rsidR="00713FC2" w:rsidRPr="00B90875">
        <w:t>MgCl</w:t>
      </w:r>
      <w:r w:rsidR="00713FC2" w:rsidRPr="000D7309">
        <w:rPr>
          <w:vertAlign w:val="subscript"/>
        </w:rPr>
        <w:t>2</w:t>
      </w:r>
      <w:r w:rsidR="00623627" w:rsidRPr="00623627">
        <w:t>)</w:t>
      </w:r>
      <w:r w:rsidR="00713FC2" w:rsidRPr="00B90875">
        <w:t xml:space="preserve"> </w:t>
      </w:r>
      <w:r w:rsidR="007A3304">
        <w:t>solutions</w:t>
      </w:r>
      <w:r w:rsidR="00713FC2" w:rsidRPr="00B90875">
        <w:t>.</w:t>
      </w:r>
      <w:r w:rsidR="00217F0B">
        <w:t xml:space="preserve"> </w:t>
      </w:r>
      <w:r w:rsidR="000D56D6" w:rsidRPr="00B90875">
        <w:t xml:space="preserve">Ren et al. </w:t>
      </w:r>
      <w:r w:rsidR="000D56D6" w:rsidRPr="00B90875">
        <w:fldChar w:fldCharType="begin" w:fldLock="1"/>
      </w:r>
      <w:r w:rsidR="00405058">
        <w:instrText>ADDIN CSL_CITATION {"citationItems":[{"id":"ITEM-1","itemData":{"DOI":"10.1039/c6ra20020f","ISSN":"20462069","abstract":"Magnesium hydroxide (MH) has attracted much attention as an environmentally friendly flame retardant. In this paper, high throughput preparation of high-grade MH flame retardant was successfully achieved via microreaction technology and hydrothermal treatment. The results indicated that the reactant molar ratio and reactant concentration had a significant effect on the properties of MH including the morphology, average particle size and BET specific surface area, while the flow velocity and reaction temperature had little effect. To obtain MH with desirable properties, a highly concentrated NaOH solution was added into the hydrothermal slurry. The properties of MH were remarkably influenced by hydrothermal parameters such as NaOH concentration, time, temperature and solid content. High-grade MH flame retardant can be obtained with a NaOH concentration ≥2.4 M, hydrothermal time ≥3 h, hydrothermal temperature ≥170 °C and solid content ≤6.0 wt%. On the basis of laboratory work, a microreaction system based on a stacked plate microchannel reactor with an external volume of 7 L was developed for the pilot scale preparation of MH. The production capacity of MH slurry was up to 12.6 m3 h-1, and the pressure drop of the microreaction system was kept at 1.1 bar. The average particle size and BET specific surface area of as-prepared MH were 1.0 μm and 3.4 m2 g-1, respectively, which met the requirement of high-grade flame retardant.","author":[{"dropping-particle":"","family":"Ren","given":"Mingyue","non-dropping-particle":"","parse-names":false,"suffix":""},{"dropping-particle":"","family":"Yang","given":"Mei","non-dropping-particle":"","parse-names":false,"suffix":""},{"dropping-particle":"","family":"Li","given":"Shulian","non-dropping-particle":"","parse-names":false,"suffix":""},{"dropping-particle":"","family":"Chen","given":"Guangwen","non-dropping-particle":"","parse-names":false,"suffix":""},{"dropping-particle":"","family":"Yuan","given":"Quan","non-dropping-particle":"","parse-names":false,"suffix":""}],"container-title":"RSC Advances","id":"ITEM-1","issue":"95","issued":{"date-parts":[["2016"]]},"page":"92670-92681","publisher":"Royal Society of Chemistry","title":"High throughput preparation of magnesium hydroxide flame retardant: Via microreaction technology","type":"article-journal","volume":"6"},"uris":["http://www.mendeley.com/documents/?uuid=c7b7eda0-9ce9-3f3a-9ba0-79a07250e971"]}],"mendeley":{"formattedCitation":"(Ren et al., 2016)","plainTextFormattedCitation":"(Ren et al., 2016)","previouslyFormattedCitation":"(Ren et al., 2016)"},"properties":{"noteIndex":0},"schema":"https://github.com/citation-style-language/schema/raw/master/csl-citation.json"}</w:instrText>
      </w:r>
      <w:r w:rsidR="000D56D6" w:rsidRPr="00B90875">
        <w:fldChar w:fldCharType="separate"/>
      </w:r>
      <w:r w:rsidR="00A56A21" w:rsidRPr="00A56A21">
        <w:rPr>
          <w:noProof/>
        </w:rPr>
        <w:t>(Ren et al., 2016)</w:t>
      </w:r>
      <w:r w:rsidR="000D56D6" w:rsidRPr="00B90875">
        <w:fldChar w:fldCharType="end"/>
      </w:r>
      <w:r w:rsidR="000D56D6" w:rsidRPr="00B90875">
        <w:t xml:space="preserve"> studied the production of nano </w:t>
      </w:r>
      <w:r w:rsidR="00106C00" w:rsidRPr="00B90875">
        <w:t>Mg(OH)</w:t>
      </w:r>
      <w:r w:rsidR="00106C00" w:rsidRPr="003C51E1">
        <w:rPr>
          <w:vertAlign w:val="subscript"/>
        </w:rPr>
        <w:t>2</w:t>
      </w:r>
      <w:r w:rsidR="00106C00">
        <w:rPr>
          <w:vertAlign w:val="subscript"/>
        </w:rPr>
        <w:t xml:space="preserve"> </w:t>
      </w:r>
      <w:r w:rsidR="000D56D6" w:rsidRPr="00B90875">
        <w:t>particle</w:t>
      </w:r>
      <w:r w:rsidR="0004252A">
        <w:t>s</w:t>
      </w:r>
      <w:r w:rsidR="000D56D6" w:rsidRPr="00B90875">
        <w:t xml:space="preserve"> for flame retardant applications. The authors </w:t>
      </w:r>
      <w:r w:rsidR="00A81F5B">
        <w:t>synthesized</w:t>
      </w:r>
      <w:r w:rsidR="000D56D6" w:rsidRPr="00B90875">
        <w:t xml:space="preserve"> nano </w:t>
      </w:r>
      <w:proofErr w:type="gramStart"/>
      <w:r w:rsidR="0004252A" w:rsidRPr="00B90875">
        <w:t>Mg(</w:t>
      </w:r>
      <w:proofErr w:type="gramEnd"/>
      <w:r w:rsidR="0004252A" w:rsidRPr="00B90875">
        <w:t>OH)</w:t>
      </w:r>
      <w:r w:rsidR="0004252A" w:rsidRPr="003C51E1">
        <w:rPr>
          <w:vertAlign w:val="subscript"/>
        </w:rPr>
        <w:t>2</w:t>
      </w:r>
      <w:r w:rsidR="0004252A">
        <w:rPr>
          <w:vertAlign w:val="subscript"/>
        </w:rPr>
        <w:t xml:space="preserve"> </w:t>
      </w:r>
      <w:r w:rsidR="0004252A">
        <w:t>particles</w:t>
      </w:r>
      <w:r w:rsidR="0004252A">
        <w:rPr>
          <w:vertAlign w:val="subscript"/>
        </w:rPr>
        <w:t xml:space="preserve"> </w:t>
      </w:r>
      <w:r w:rsidR="000D56D6" w:rsidRPr="00B90875">
        <w:t xml:space="preserve">employing a reactor able to achieve very </w:t>
      </w:r>
      <w:r w:rsidR="00F842E7">
        <w:t>short</w:t>
      </w:r>
      <w:r w:rsidR="000D56D6" w:rsidRPr="00B90875">
        <w:t xml:space="preserve"> mixing times. </w:t>
      </w:r>
      <w:proofErr w:type="gramStart"/>
      <w:r w:rsidR="007E6385" w:rsidRPr="00B90875">
        <w:t>Mg(</w:t>
      </w:r>
      <w:proofErr w:type="gramEnd"/>
      <w:r w:rsidR="007E6385" w:rsidRPr="00B90875">
        <w:t>OH)</w:t>
      </w:r>
      <w:r w:rsidR="007E6385" w:rsidRPr="003C51E1">
        <w:rPr>
          <w:vertAlign w:val="subscript"/>
        </w:rPr>
        <w:t>2</w:t>
      </w:r>
      <w:r w:rsidR="007E6385">
        <w:rPr>
          <w:vertAlign w:val="subscript"/>
        </w:rPr>
        <w:t xml:space="preserve"> </w:t>
      </w:r>
      <w:r w:rsidR="000D56D6" w:rsidRPr="00B90875">
        <w:t xml:space="preserve">nanoparticles were then modified by </w:t>
      </w:r>
      <w:r w:rsidR="007E6385">
        <w:t xml:space="preserve">adopting </w:t>
      </w:r>
      <w:r w:rsidR="000D56D6" w:rsidRPr="00B90875">
        <w:t xml:space="preserve">a hydrothermal treatment. It was found that high-grade </w:t>
      </w:r>
      <w:r w:rsidR="007E6385" w:rsidRPr="00B90875">
        <w:t>Mg(OH)</w:t>
      </w:r>
      <w:r w:rsidR="007E6385" w:rsidRPr="003C51E1">
        <w:rPr>
          <w:vertAlign w:val="subscript"/>
        </w:rPr>
        <w:t>2</w:t>
      </w:r>
      <w:r w:rsidR="007E6385">
        <w:rPr>
          <w:vertAlign w:val="subscript"/>
        </w:rPr>
        <w:t xml:space="preserve"> </w:t>
      </w:r>
      <w:r w:rsidR="000D56D6" w:rsidRPr="00B90875">
        <w:t>flame retardant</w:t>
      </w:r>
      <w:r w:rsidR="007E6385">
        <w:t xml:space="preserve"> particles</w:t>
      </w:r>
      <w:r w:rsidR="000D56D6" w:rsidRPr="00B90875">
        <w:t xml:space="preserve"> can be obtained </w:t>
      </w:r>
      <w:r w:rsidR="00951735">
        <w:t>using</w:t>
      </w:r>
      <w:r w:rsidR="000D56D6" w:rsidRPr="00B90875">
        <w:t xml:space="preserve"> NaOH concentration</w:t>
      </w:r>
      <w:r w:rsidR="00951735">
        <w:t>s</w:t>
      </w:r>
      <w:r w:rsidR="000D56D6" w:rsidRPr="00B90875">
        <w:t xml:space="preserve"> ≥ 2.4 M, hydrothermal time ≥ 3 h, hydrothermal temperature ≥ 170 °C and solid content ≤ 6.0 </w:t>
      </w:r>
      <w:proofErr w:type="spellStart"/>
      <w:r w:rsidR="000D56D6" w:rsidRPr="00B90875">
        <w:t>wt</w:t>
      </w:r>
      <w:proofErr w:type="spellEnd"/>
      <w:r w:rsidR="000D56D6" w:rsidRPr="00B90875">
        <w:t>%.</w:t>
      </w:r>
      <w:r w:rsidR="00217F0B">
        <w:t xml:space="preserve"> </w:t>
      </w:r>
      <w:r w:rsidR="00E3329F" w:rsidRPr="00B90875">
        <w:t xml:space="preserve">Park et al. </w:t>
      </w:r>
      <w:r w:rsidR="00E3329F" w:rsidRPr="00B90875">
        <w:fldChar w:fldCharType="begin" w:fldLock="1"/>
      </w:r>
      <w:r w:rsidR="00A56A21">
        <w:instrText>ADDIN CSL_CITATION {"citationItems":[{"id":"ITEM-1","itemData":{"DOI":"10.1016/j.actbio.2018.04.022","ISSN":"18787568","PMID":"29673840","abstract":"Artificial scaffolds made up of various synthetic biodegradable polymers have been reported to have many advantages including cheap manufacturing, easy scale up, high mechanical strength, convenient manipulation, and molding into an unlimited variety of shapes. However, the synthetic biodegradable polymers still have the insufficiency for cartilage regeneration owing to their acidic degradation products. To reduce acidification by degradation of synthetic polymers, we incorporated magnesium hydroxide (MH) nanoparticles into porous polymer scaffold not only to effectively neutralize the acidic hydrolysate but also to minimize the structural disturbance of scaffolds. The neutralization effect of poly(D,L-lactic-co-glycolic acid; PLGA)/MH scaffold was confirmed with the maintenance of neutral pH, contrary to a PLGA scaffold with low pH. Further, the scaffolds were applied to evaluate the chondrogenic differentiation of the human bone marrow mesenchymal stem cells. In in vitro study, the PLGA/MH scaffold enhanced the chondrogenesis markers and reduced the calcification, compared to the PLGA scaffold. Additionally, the PLGA/MH scaffold reduced the release of inflammatory cytokines, compared to the PLGA scaffold, as the cell death decreased. Moreover, the addition of MH reduced necrotic cell death at the early stage of chondrogenic differentiation. Further, the necrotic cell death by the PLGA scaffold was mediated by cleavage of caspase-1, the so-called interleukin 1-converting enzyme, and MH alleviated it as well as nuclear factor kappa B expression. Furthermore, the PLGA/MH scaffold highly supported chondrogenic healing of rat osteochondral defect sites in in vivo study. Therefore, it was suggested that a synthetic polymer scaffold containing MH could be a novel healing tool to support cartilage regeneration and further treatment of orthopedic patients. Statement of Significance: Synthetic polymer scaffolds have been widely utilized for tissue regeneration. However, they have a disadvantage of releasing acidic products through degradation. This paper demonstrated a novel type of synthetic polymer scaffold with pH-neutralizing ceramic nanoparticles composed of magnesium hydroxide for cartilage regeneration. This polymer showed pH-neutralization property during polymer degradation and significant enhancement of chondrogenic differentiation of mesenchymal stem cells. It reduced not only chondrogenic calcification but also release of proinflammatory cytokines. …","author":[{"dropping-particle":"","family":"Park","given":"Kwang Sook","non-dropping-particle":"","parse-names":false,"suffix":""},{"dropping-particle":"","family":"Kim","given":"Byoung Ju","non-dropping-particle":"","parse-names":false,"suffix":""},{"dropping-particle":"","family":"Lih","given":"Eugene","non-dropping-particle":"","parse-names":false,"suffix":""},{"dropping-particle":"","family":"Park","given":"Wooram","non-dropping-particle":"","parse-names":false,"suffix":""},{"dropping-particle":"","family":"Lee","given":"Soo Hong","non-dropping-particle":"","parse-names":false,"suffix":""},{"dropping-particle":"","family":"Joung","given":"Yoon Ki","non-dropping-particle":"","parse-names":false,"suffix":""},{"dropping-particle":"","family":"Han","given":"Dong Keun","non-dropping-particle":"","parse-names":false,"suffix":""}],"container-title":"Acta Biomaterialia","id":"ITEM-1","issued":{"date-parts":[["2018","6","1"]]},"page":"204-216","publisher":"Acta Materialia Inc","title":"Versatile effects of magnesium hydroxide nanoparticles in PLGA scaffold–mediated chondrogenesis","type":"article-journal","volume":"73"},"uris":["http://www.mendeley.com/documents/?uuid=eeaee754-3e46-337d-894a-c2666a092a86"]}],"mendeley":{"formattedCitation":"(Park et al., 2018)","plainTextFormattedCitation":"(Park et al., 2018)","previouslyFormattedCitation":"(Park et al., 2018)"},"properties":{"noteIndex":0},"schema":"https://github.com/citation-style-language/schema/raw/master/csl-citation.json"}</w:instrText>
      </w:r>
      <w:r w:rsidR="00E3329F" w:rsidRPr="00B90875">
        <w:fldChar w:fldCharType="separate"/>
      </w:r>
      <w:r w:rsidR="00A56A21" w:rsidRPr="00A56A21">
        <w:rPr>
          <w:noProof/>
        </w:rPr>
        <w:t>(Park et al., 2018)</w:t>
      </w:r>
      <w:r w:rsidR="00E3329F" w:rsidRPr="00B90875">
        <w:fldChar w:fldCharType="end"/>
      </w:r>
      <w:r w:rsidR="00E3329F" w:rsidRPr="00B90875">
        <w:t xml:space="preserve"> </w:t>
      </w:r>
      <w:r w:rsidR="00BC63D1" w:rsidRPr="00B90875">
        <w:t xml:space="preserve">investigated the effect of </w:t>
      </w:r>
      <w:r w:rsidR="00715E51" w:rsidRPr="00B90875">
        <w:t xml:space="preserve">the </w:t>
      </w:r>
      <w:r w:rsidR="00BC63D1" w:rsidRPr="00B90875">
        <w:t>addition of</w:t>
      </w:r>
      <w:r w:rsidR="006107B1">
        <w:t xml:space="preserve"> </w:t>
      </w:r>
      <w:r w:rsidR="00EF52EF" w:rsidRPr="00B90875">
        <w:t>Mg(OH)</w:t>
      </w:r>
      <w:r w:rsidR="00EF52EF" w:rsidRPr="003C51E1">
        <w:rPr>
          <w:vertAlign w:val="subscript"/>
        </w:rPr>
        <w:t>2</w:t>
      </w:r>
      <w:r w:rsidR="00EF52EF">
        <w:rPr>
          <w:vertAlign w:val="subscript"/>
        </w:rPr>
        <w:t xml:space="preserve"> </w:t>
      </w:r>
      <w:r w:rsidR="00BC63D1" w:rsidRPr="00B90875">
        <w:t>nanoparticles into porous polymer scaffold</w:t>
      </w:r>
      <w:r w:rsidR="00267179">
        <w:t>s</w:t>
      </w:r>
      <w:r w:rsidR="00742EE7" w:rsidRPr="00B90875">
        <w:t xml:space="preserve"> to neutralize the release of acid products </w:t>
      </w:r>
      <w:r w:rsidR="000E7040">
        <w:t>during</w:t>
      </w:r>
      <w:r w:rsidR="00742EE7" w:rsidRPr="00B90875">
        <w:t xml:space="preserve"> </w:t>
      </w:r>
      <w:r w:rsidR="00B73158" w:rsidRPr="00B90875">
        <w:t xml:space="preserve">scaffold </w:t>
      </w:r>
      <w:r w:rsidR="00EA3105" w:rsidRPr="00B90875">
        <w:t>degradation</w:t>
      </w:r>
      <w:r w:rsidR="00715E51" w:rsidRPr="00B90875">
        <w:t>.</w:t>
      </w:r>
      <w:r w:rsidR="00742EE7" w:rsidRPr="00B90875">
        <w:t xml:space="preserve"> </w:t>
      </w:r>
      <w:r w:rsidR="003B3E2B">
        <w:t>T</w:t>
      </w:r>
      <w:r w:rsidR="001B3041" w:rsidRPr="00B90875">
        <w:t xml:space="preserve">he </w:t>
      </w:r>
      <w:proofErr w:type="gramStart"/>
      <w:r w:rsidR="00E32038" w:rsidRPr="00B90875">
        <w:t>Mg(</w:t>
      </w:r>
      <w:proofErr w:type="gramEnd"/>
      <w:r w:rsidR="00E32038" w:rsidRPr="00B90875">
        <w:t>OH)</w:t>
      </w:r>
      <w:r w:rsidR="00E32038" w:rsidRPr="003C51E1">
        <w:rPr>
          <w:vertAlign w:val="subscript"/>
        </w:rPr>
        <w:t>2</w:t>
      </w:r>
      <w:r w:rsidR="00E32038">
        <w:rPr>
          <w:vertAlign w:val="subscript"/>
        </w:rPr>
        <w:t xml:space="preserve"> </w:t>
      </w:r>
      <w:r w:rsidR="001B3041" w:rsidRPr="00B90875">
        <w:t>neutralization action</w:t>
      </w:r>
      <w:r w:rsidR="003B3E2B">
        <w:t xml:space="preserve"> </w:t>
      </w:r>
      <w:r w:rsidR="00CA3A6E">
        <w:t xml:space="preserve">was found to be </w:t>
      </w:r>
      <w:r w:rsidR="003B3E2B">
        <w:t>effective</w:t>
      </w:r>
      <w:r w:rsidR="00CA3A6E">
        <w:t xml:space="preserve"> against </w:t>
      </w:r>
      <w:r w:rsidR="003B3E2B">
        <w:t>t</w:t>
      </w:r>
      <w:r w:rsidR="00F53846" w:rsidRPr="00B90875">
        <w:t xml:space="preserve">he </w:t>
      </w:r>
      <w:r w:rsidR="003B3E2B">
        <w:t>acid release</w:t>
      </w:r>
      <w:r w:rsidR="00E92A61" w:rsidRPr="00B90875">
        <w:t>.</w:t>
      </w:r>
      <w:r w:rsidR="00217F0B">
        <w:t xml:space="preserve"> </w:t>
      </w:r>
      <w:r w:rsidR="00E8596E" w:rsidRPr="00B90875">
        <w:t xml:space="preserve">Battaglia et al. </w:t>
      </w:r>
      <w:r w:rsidR="00E8596E" w:rsidRPr="00B90875">
        <w:fldChar w:fldCharType="begin" w:fldLock="1"/>
      </w:r>
      <w:r w:rsidR="00A56A21">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E8596E" w:rsidRPr="00B90875">
        <w:fldChar w:fldCharType="separate"/>
      </w:r>
      <w:r w:rsidR="00A56A21" w:rsidRPr="00A56A21">
        <w:rPr>
          <w:noProof/>
        </w:rPr>
        <w:t>(Battaglia et al., 2022)</w:t>
      </w:r>
      <w:r w:rsidR="00E8596E" w:rsidRPr="00B90875">
        <w:fldChar w:fldCharType="end"/>
      </w:r>
      <w:r w:rsidR="0075583D">
        <w:t xml:space="preserve"> </w:t>
      </w:r>
      <w:r w:rsidR="00E8596E" w:rsidRPr="00B90875">
        <w:t xml:space="preserve">assessed the </w:t>
      </w:r>
      <w:r w:rsidR="0075583D">
        <w:t>crucial role</w:t>
      </w:r>
      <w:r w:rsidR="00E8596E" w:rsidRPr="00B90875">
        <w:t xml:space="preserve"> of </w:t>
      </w:r>
      <w:r w:rsidR="005409DC" w:rsidRPr="00B90875">
        <w:t>reactant</w:t>
      </w:r>
      <w:r w:rsidR="00972D10">
        <w:t>s</w:t>
      </w:r>
      <w:r w:rsidR="005409DC" w:rsidRPr="00B90875">
        <w:t xml:space="preserve"> </w:t>
      </w:r>
      <w:r w:rsidR="00E8596E" w:rsidRPr="00B90875">
        <w:t>mixing</w:t>
      </w:r>
      <w:r w:rsidR="005409DC" w:rsidRPr="00B90875">
        <w:t xml:space="preserve"> in</w:t>
      </w:r>
      <w:r w:rsidR="00E8596E" w:rsidRPr="00B90875">
        <w:t xml:space="preserve"> the Mg(OH)</w:t>
      </w:r>
      <w:r w:rsidR="00E8596E" w:rsidRPr="00972D10">
        <w:rPr>
          <w:vertAlign w:val="subscript"/>
        </w:rPr>
        <w:t>2</w:t>
      </w:r>
      <w:r w:rsidR="00E8596E" w:rsidRPr="00B90875">
        <w:t xml:space="preserve"> precipitation process</w:t>
      </w:r>
      <w:r w:rsidR="00540456" w:rsidRPr="00B90875">
        <w:t>.</w:t>
      </w:r>
      <w:r w:rsidR="00483B37">
        <w:t xml:space="preserve"> T</w:t>
      </w:r>
      <w:r w:rsidR="00540456" w:rsidRPr="00B90875">
        <w:t>h</w:t>
      </w:r>
      <w:r w:rsidR="00E8596E" w:rsidRPr="00B90875">
        <w:t xml:space="preserve">e authors employed two </w:t>
      </w:r>
      <w:r w:rsidR="00E8596E" w:rsidRPr="00634C9A">
        <w:t>circular cross-</w:t>
      </w:r>
      <w:r w:rsidR="001A0925">
        <w:t>sectional</w:t>
      </w:r>
      <w:r w:rsidR="00E8596E" w:rsidRPr="00634C9A">
        <w:t xml:space="preserve"> </w:t>
      </w:r>
      <w:r w:rsidR="00EA40CF">
        <w:t>T-</w:t>
      </w:r>
      <w:r w:rsidR="00C50ECB">
        <w:t>mixers</w:t>
      </w:r>
      <w:r w:rsidR="00E8596E" w:rsidRPr="00634C9A">
        <w:t xml:space="preserve"> with internal diameter</w:t>
      </w:r>
      <w:r w:rsidR="00A617C8" w:rsidRPr="00634C9A">
        <w:t>s</w:t>
      </w:r>
      <w:r w:rsidR="00E8596E" w:rsidRPr="00634C9A">
        <w:t xml:space="preserve"> respectively of 3 and 2 mm to tune the mixing degree </w:t>
      </w:r>
      <w:r w:rsidR="00540456" w:rsidRPr="00634C9A">
        <w:t xml:space="preserve">between </w:t>
      </w:r>
      <w:r w:rsidR="00540456" w:rsidRPr="00C40669">
        <w:rPr>
          <w:highlight w:val="yellow"/>
        </w:rPr>
        <w:t>1</w:t>
      </w:r>
      <w:r w:rsidR="00495B5D" w:rsidRPr="00C40669">
        <w:rPr>
          <w:highlight w:val="yellow"/>
        </w:rPr>
        <w:t xml:space="preserve"> </w:t>
      </w:r>
      <w:r w:rsidR="00540456" w:rsidRPr="00C40669">
        <w:rPr>
          <w:highlight w:val="yellow"/>
        </w:rPr>
        <w:t>M</w:t>
      </w:r>
      <w:r w:rsidR="00540456" w:rsidRPr="00634C9A">
        <w:t xml:space="preserve"> MgCl</w:t>
      </w:r>
      <w:r w:rsidR="00540456" w:rsidRPr="00634C9A">
        <w:rPr>
          <w:vertAlign w:val="subscript"/>
        </w:rPr>
        <w:t>2</w:t>
      </w:r>
      <w:r w:rsidR="00540456" w:rsidRPr="00634C9A">
        <w:t xml:space="preserve"> and </w:t>
      </w:r>
      <w:r w:rsidR="00540456" w:rsidRPr="00C40669">
        <w:rPr>
          <w:highlight w:val="yellow"/>
        </w:rPr>
        <w:t>2</w:t>
      </w:r>
      <w:r w:rsidR="00495B5D" w:rsidRPr="00C40669">
        <w:rPr>
          <w:highlight w:val="yellow"/>
        </w:rPr>
        <w:t xml:space="preserve"> </w:t>
      </w:r>
      <w:r w:rsidR="00540456" w:rsidRPr="00C40669">
        <w:rPr>
          <w:highlight w:val="yellow"/>
        </w:rPr>
        <w:t>M</w:t>
      </w:r>
      <w:r w:rsidR="00540456" w:rsidRPr="00634C9A">
        <w:t xml:space="preserve"> NaOH synthetic solutions</w:t>
      </w:r>
      <w:r w:rsidR="00851CF7">
        <w:t xml:space="preserve">. T-mixers were employed </w:t>
      </w:r>
      <w:r w:rsidR="00911606">
        <w:t>thanks</w:t>
      </w:r>
      <w:r w:rsidR="00634C9A" w:rsidRPr="00634C9A">
        <w:t xml:space="preserve"> to the short mixing times </w:t>
      </w:r>
      <w:r w:rsidR="00634C9A" w:rsidRPr="00634C9A">
        <w:rPr>
          <w:color w:val="000000" w:themeColor="text1"/>
          <w:szCs w:val="24"/>
        </w:rPr>
        <w:t xml:space="preserve">achieved in such systems </w:t>
      </w:r>
      <w:r w:rsidR="00634C9A" w:rsidRPr="00634C9A">
        <w:rPr>
          <w:color w:val="000000" w:themeColor="text1"/>
          <w:szCs w:val="24"/>
        </w:rPr>
        <w:fldChar w:fldCharType="begin" w:fldLock="1"/>
      </w:r>
      <w:r w:rsidR="00A56A21">
        <w:rPr>
          <w:color w:val="000000" w:themeColor="text1"/>
          <w:szCs w:val="24"/>
        </w:rPr>
        <w:instrText>ADDIN CSL_CITATION {"citationItems":[{"id":"ITEM-1","itemData":{"DOI":"10.3303/CET2186195","ISBN":"978-88-95608-84-6","ISSN":"2283-9216","abstract":"Precipitation processes have been successfully proved to be a feasible route to extract high-value products from wastes. However, reactive crystallization is characterized by fast kinetics, especially when highly concentrated solutions are used or sparingly soluble compounds precipitate, thus requiring a fast mixing of the reactants. In this context, T-shaped mixers have been extensively investigated both experimentally and numerically as a mean to achieve a rapid reactants homogenization. Many research efforts have been focused on the analysis of rectangular cross-sectional T-shaped mixers, while less attention has been devoted to the study of circular cross-sectional ones. In the present work, mixing times in a 3 mm circular cross-sectional T-shaped mixer have been optically estimated by exploiting the extremely fast neutralization reaction between sodium hydroxide and hydrochloric acid solutions. Reynolds numbers ranging between 1,000 and 6,000 were investigated. Mixing phenomena were (i) captured by detecting the colour change of a pH indicator by means of a high frame rate camera and (ii) quantified by a suitable image analysis technique. The assessed mixing times were found in accordance with available data in the literature.","author":[{"dropping-particle":"","family":"Romano","given":"S","non-dropping-particle":"","parse-names":false,"suffix":""},{"dropping-particle":"","family":"Battaglia","given":"G","non-dropping-particle":"","parse-names":false,"suffix":""},{"dropping-particle":"","family":"Bonafede","given":"S","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Chemical Engineering Transactions","id":"ITEM-1","issued":{"date-parts":[["2021"]]},"page":"1165-1170","title":"Experimental Assessment of the Mixing Quality in a Circular Cross-sectional T-shaped Mixer for the Precipitation of Sparingly Soluble Compounds","type":"paper-conference","volume":"86"},"uris":["http://www.mendeley.com/documents/?uuid=34f75e04-12f2-388a-9a31-62efff133007"]}],"mendeley":{"formattedCitation":"(Romano et al., 2021)","plainTextFormattedCitation":"(Romano et al., 2021)","previouslyFormattedCitation":"(Romano et al., 2021)"},"properties":{"noteIndex":0},"schema":"https://github.com/citation-style-language/schema/raw/master/csl-citation.json"}</w:instrText>
      </w:r>
      <w:r w:rsidR="00634C9A" w:rsidRPr="00634C9A">
        <w:rPr>
          <w:color w:val="000000" w:themeColor="text1"/>
          <w:szCs w:val="24"/>
        </w:rPr>
        <w:fldChar w:fldCharType="separate"/>
      </w:r>
      <w:r w:rsidR="00A56A21" w:rsidRPr="00A56A21">
        <w:rPr>
          <w:noProof/>
          <w:color w:val="000000" w:themeColor="text1"/>
          <w:szCs w:val="24"/>
        </w:rPr>
        <w:t>(Romano et al., 2021)</w:t>
      </w:r>
      <w:r w:rsidR="00634C9A" w:rsidRPr="00634C9A">
        <w:rPr>
          <w:color w:val="000000" w:themeColor="text1"/>
          <w:szCs w:val="24"/>
        </w:rPr>
        <w:fldChar w:fldCharType="end"/>
      </w:r>
      <w:r w:rsidR="00E8596E" w:rsidRPr="00634C9A">
        <w:t xml:space="preserve">. </w:t>
      </w:r>
      <w:proofErr w:type="gramStart"/>
      <w:r w:rsidR="00484887" w:rsidRPr="00B90875">
        <w:t>Mg(</w:t>
      </w:r>
      <w:proofErr w:type="gramEnd"/>
      <w:r w:rsidR="00484887" w:rsidRPr="00B90875">
        <w:t>OH)</w:t>
      </w:r>
      <w:r w:rsidR="00484887" w:rsidRPr="003C51E1">
        <w:rPr>
          <w:vertAlign w:val="subscript"/>
        </w:rPr>
        <w:t>2</w:t>
      </w:r>
      <w:r w:rsidR="00484887">
        <w:rPr>
          <w:vertAlign w:val="subscript"/>
        </w:rPr>
        <w:t xml:space="preserve"> </w:t>
      </w:r>
      <w:r w:rsidR="00E8596E" w:rsidRPr="00634C9A">
        <w:t>nanoflake</w:t>
      </w:r>
      <w:r w:rsidR="0090579D">
        <w:t xml:space="preserve">s </w:t>
      </w:r>
      <w:r w:rsidR="00E8596E" w:rsidRPr="00634C9A">
        <w:t xml:space="preserve">were obtained </w:t>
      </w:r>
      <w:r w:rsidR="00C87D2B" w:rsidRPr="00634C9A">
        <w:t>when</w:t>
      </w:r>
      <w:r w:rsidR="00E8596E" w:rsidRPr="00634C9A">
        <w:t xml:space="preserve"> </w:t>
      </w:r>
      <w:r w:rsidR="001C78D7">
        <w:t xml:space="preserve">the </w:t>
      </w:r>
      <w:r w:rsidR="00E8596E" w:rsidRPr="00634C9A">
        <w:t xml:space="preserve">mixing time between reagents was </w:t>
      </w:r>
      <w:r w:rsidR="009F76C4">
        <w:t>shorter</w:t>
      </w:r>
      <w:r w:rsidR="00E8596E" w:rsidRPr="00634C9A">
        <w:t xml:space="preserve"> than 2 </w:t>
      </w:r>
      <w:proofErr w:type="spellStart"/>
      <w:r w:rsidR="00E8596E" w:rsidRPr="00634C9A">
        <w:t>ms</w:t>
      </w:r>
      <w:r w:rsidR="00C87D2B" w:rsidRPr="00634C9A">
        <w:t>.</w:t>
      </w:r>
      <w:proofErr w:type="spellEnd"/>
      <w:r w:rsidR="00C87D2B" w:rsidRPr="00634C9A">
        <w:t xml:space="preserve"> The authors also </w:t>
      </w:r>
      <w:r w:rsidR="009B5822" w:rsidRPr="00634C9A">
        <w:t xml:space="preserve">highlighted the need </w:t>
      </w:r>
      <w:r w:rsidR="00A617C8" w:rsidRPr="00634C9A">
        <w:t>for</w:t>
      </w:r>
      <w:r w:rsidR="009B5822" w:rsidRPr="00634C9A">
        <w:t xml:space="preserve"> an anti-agglomerant </w:t>
      </w:r>
      <w:r w:rsidR="009B5822" w:rsidRPr="00634C9A">
        <w:lastRenderedPageBreak/>
        <w:t>treatment</w:t>
      </w:r>
      <w:r w:rsidR="00C87D2B" w:rsidRPr="00634C9A">
        <w:t>, i.e. the use of</w:t>
      </w:r>
      <w:r w:rsidR="00D732A7">
        <w:t xml:space="preserve"> </w:t>
      </w:r>
      <w:r w:rsidR="00C87D2B" w:rsidRPr="00634C9A">
        <w:t>dispersant and sonication,</w:t>
      </w:r>
      <w:r w:rsidR="009B5822" w:rsidRPr="00634C9A">
        <w:t xml:space="preserve"> to </w:t>
      </w:r>
      <w:r w:rsidR="00B70234" w:rsidRPr="00634C9A">
        <w:t>assess</w:t>
      </w:r>
      <w:r w:rsidR="009B5822" w:rsidRPr="00634C9A">
        <w:t xml:space="preserve"> the actual assemblage state of produced </w:t>
      </w:r>
      <w:proofErr w:type="gramStart"/>
      <w:r w:rsidR="009B5822" w:rsidRPr="00634C9A">
        <w:t>Mg(</w:t>
      </w:r>
      <w:proofErr w:type="gramEnd"/>
      <w:r w:rsidR="009B5822" w:rsidRPr="00634C9A">
        <w:t>OH)</w:t>
      </w:r>
      <w:r w:rsidR="009B5822" w:rsidRPr="00634C9A">
        <w:rPr>
          <w:vertAlign w:val="subscript"/>
        </w:rPr>
        <w:t>2</w:t>
      </w:r>
      <w:r w:rsidR="009B5822" w:rsidRPr="00634C9A">
        <w:t xml:space="preserve"> particles</w:t>
      </w:r>
      <w:r w:rsidR="00E8596E" w:rsidRPr="00634C9A">
        <w:t>.</w:t>
      </w:r>
      <w:r w:rsidR="00E8596E" w:rsidRPr="00B90875">
        <w:t xml:space="preserve"> </w:t>
      </w:r>
    </w:p>
    <w:p w14:paraId="6D9C2830" w14:textId="5F5603F1" w:rsidR="0071113C" w:rsidRPr="00B90875" w:rsidRDefault="00392571" w:rsidP="00B90875">
      <w:pPr>
        <w:pStyle w:val="CETBodytext"/>
      </w:pPr>
      <w:r w:rsidRPr="00B90875">
        <w:t xml:space="preserve">In the last years, </w:t>
      </w:r>
      <w:r w:rsidR="004A4A1B">
        <w:t>attention has been placed on the development of</w:t>
      </w:r>
      <w:r w:rsidR="003559D7" w:rsidRPr="00B90875">
        <w:t xml:space="preserve"> </w:t>
      </w:r>
      <w:r w:rsidR="00DC303D" w:rsidRPr="00B90875">
        <w:t xml:space="preserve">green </w:t>
      </w:r>
      <w:r w:rsidR="00FC15A1" w:rsidRPr="00B90875">
        <w:t>process</w:t>
      </w:r>
      <w:r w:rsidR="003241F8" w:rsidRPr="00B90875">
        <w:t>es</w:t>
      </w:r>
      <w:r w:rsidR="00E9154F" w:rsidRPr="00B90875">
        <w:t xml:space="preserve"> </w:t>
      </w:r>
      <w:r w:rsidR="003559D7" w:rsidRPr="00B90875">
        <w:t>for the production of nanoparticles</w:t>
      </w:r>
      <w:r w:rsidR="00FC15A1" w:rsidRPr="00B90875">
        <w:t xml:space="preserve"> </w:t>
      </w:r>
      <w:r w:rsidR="00DC303D" w:rsidRPr="00B90875">
        <w:fldChar w:fldCharType="begin" w:fldLock="1"/>
      </w:r>
      <w:r w:rsidR="00405058">
        <w:instrText>ADDIN CSL_CITATION {"citationItems":[{"id":"ITEM-1","itemData":{"DOI":"10.3303/CET1761109","ISSN":"22839216","abstract":"In this brief survey, we deal with green processes concerning the synthesis of zerovalent nanoparticles, enlighting some aspects motivating their choice with respect to traditional techniques generally relying upon toxic or noxious reactants and stabilizing agents. After a short discussion about health and environmental safety related to the use of standard reductants, we run through several green methods for metal nanoparticle synthesis and we split them into two basic classes, according to the electropositivity of the elements which the nanoparticles are made of. This classification has been proposed in order to account for strengths and weaknesses of processes based on active substances of biological origin that, though being effective in the production of noble metal nanoparticles, proved to be much less suitable when tested in the synthesis of nanoparticles made of more electropositive elements. The goal of this work is essentially oriented to stimulating new research trends for the eco-friendly production of nanosized non-noble elements deserving more attention by current nanobiotechnology.","author":[{"dropping-particle":"","family":"Reverberi","given":"Andrea P.","non-dropping-particle":"","parse-names":false,"suffix":""},{"dropping-particle":"","family":"Vocciante","given":"Marco","non-dropping-particle":"","parse-names":false,"suffix":""},{"dropping-particle":"","family":"Lunghi","given":"Erika","non-dropping-particle":"","parse-names":false,"suffix":""},{"dropping-particle":"","family":"Pietrelli","given":"Loris","non-dropping-particle":"","parse-names":false,"suffix":""},{"dropping-particle":"","family":"Fabiano","given":"Bruno","non-dropping-particle":"","parse-names":false,"suffix":""}],"container-title":"Chemical Engineering Transactions","id":"ITEM-1","issued":{"date-parts":[["2017"]]},"page":"667-672","publisher":"Italian Association of Chemical Engineering - AIDIC","title":"New trends in the synthesis of nanoparticles by green methods","type":"article-journal","volume":"61"},"uris":["http://www.mendeley.com/documents/?uuid=ddacfbd4-e911-3e64-9cf2-c7bda6588179"]}],"mendeley":{"formattedCitation":"(Reverberi et al., 2017)","plainTextFormattedCitation":"(Reverberi et al., 2017)","previouslyFormattedCitation":"(Reverberi et al., 2017)"},"properties":{"noteIndex":0},"schema":"https://github.com/citation-style-language/schema/raw/master/csl-citation.json"}</w:instrText>
      </w:r>
      <w:r w:rsidR="00DC303D" w:rsidRPr="00B90875">
        <w:fldChar w:fldCharType="separate"/>
      </w:r>
      <w:r w:rsidR="00A56A21" w:rsidRPr="00A56A21">
        <w:rPr>
          <w:noProof/>
        </w:rPr>
        <w:t>(Reverberi et al., 2017)</w:t>
      </w:r>
      <w:r w:rsidR="00DC303D" w:rsidRPr="00B90875">
        <w:fldChar w:fldCharType="end"/>
      </w:r>
      <w:r w:rsidR="003241F8" w:rsidRPr="00B90875">
        <w:t xml:space="preserve">. </w:t>
      </w:r>
      <w:r w:rsidR="000C12FA">
        <w:t>Up to now</w:t>
      </w:r>
      <w:r w:rsidR="00FE5424">
        <w:t>, however,</w:t>
      </w:r>
      <w:r w:rsidR="003241F8" w:rsidRPr="00B90875">
        <w:t xml:space="preserve"> the majority of commercial </w:t>
      </w:r>
      <w:r w:rsidR="00237457" w:rsidRPr="00B90875">
        <w:t>Mg(OH)</w:t>
      </w:r>
      <w:r w:rsidR="00237457" w:rsidRPr="003C51E1">
        <w:rPr>
          <w:vertAlign w:val="subscript"/>
        </w:rPr>
        <w:t>2</w:t>
      </w:r>
      <w:r w:rsidR="00237457">
        <w:rPr>
          <w:vertAlign w:val="subscript"/>
        </w:rPr>
        <w:t xml:space="preserve"> </w:t>
      </w:r>
      <w:r w:rsidR="003241F8" w:rsidRPr="00B90875">
        <w:t>products are</w:t>
      </w:r>
      <w:r w:rsidR="00D85DE7">
        <w:t xml:space="preserve"> </w:t>
      </w:r>
      <w:r w:rsidR="00C3046F">
        <w:t>synthesized</w:t>
      </w:r>
      <w:r w:rsidR="00106C6E">
        <w:t xml:space="preserve"> by</w:t>
      </w:r>
      <w:r w:rsidR="00C3046F">
        <w:t xml:space="preserve"> employing Mg containing </w:t>
      </w:r>
      <w:r w:rsidR="003241F8" w:rsidRPr="00B90875">
        <w:t>minerals</w:t>
      </w:r>
      <w:r w:rsidR="00BF27C5" w:rsidRPr="00B90875">
        <w:t xml:space="preserve"> </w:t>
      </w:r>
      <w:r w:rsidR="003241F8" w:rsidRPr="00B90875">
        <w:fldChar w:fldCharType="begin" w:fldLock="1"/>
      </w:r>
      <w:r w:rsidR="00405058">
        <w:instrText>ADDIN CSL_CITATION {"citationItems":[{"id":"ITEM-1","itemData":{"DOI":"10.1016/j.jclepro.2018.08.225","ISSN":"09596526","abstract":"In this study, modelling the carbon footprints of magnesium oxide and magnesium hydroxide (&gt;99% purity) production based on technologies treating bischofite brines (e.g. Aman process) and serpentinite ores (e.g. Magnifin process) was performed. The two technologies have been utilised by many producers around the world to deliver specialty magnesium products. Using theoretical values of heat of reaction obtained from HSC (H-enthalpy, S-entropy and Cp-heat capacity) software simulations and the practical thermal efficiency of roasting and pyrohydrolysis equipment, greenhouse gas (GHG) emissions of 2.7–5.6 kg CO2eq/kg MgO and 1.6–3.3 kg CO2eq/kg Mg(OH)2 were estimated for the process treating a bischofite brine. The corresponding figures calculated for the process recovering magnesium values from a serpentinite ore were determined as 3.8–7.5 kg CO2eq/kg MgO and 2.6–5.2 kg CO2eq/kg Mg(OH)2. They are somewhat comparable to MgO's carbon footprint of 3.1–4.5 kg CO2eq/kg MgO from Chinese producers using one-stage magnesite calcination to produce caustic calcined magnesia (</w:instrText>
      </w:r>
      <w:r w:rsidR="00405058">
        <w:rPr>
          <w:rFonts w:ascii="Cambria Math" w:hAnsi="Cambria Math" w:cs="Cambria Math"/>
        </w:rPr>
        <w:instrText>∼</w:instrText>
      </w:r>
      <w:r w:rsidR="00405058">
        <w:instrText>92% purity). From a carbon footprint perspective, it is apparent that the brine process provides the lowest environmental burdens compared to the serpentinite and magnesite routes.","author":[{"dropping-particle":"","family":"Luong","given":"Van Tri","non-dropping-particle":"","parse-names":false,"suffix":""},{"dropping-particle":"","family":"Amal","given":"Rose","non-dropping-particle":"","parse-names":false,"suffix":""},{"dropping-particle":"","family":"Scott","given":"Jason Anthony","non-dropping-particle":"","parse-names":false,"suffix":""},{"dropping-particle":"","family":"Ehrenberger","given":"Simone","non-dropping-particle":"","parse-names":false,"suffix":""},{"dropping-particle":"","family":"Tran","given":"Tam","non-dropping-particle":"","parse-names":false,"suffix":""}],"container-title":"Journal of Cleaner Production","id":"ITEM-1","issued":{"date-parts":[["2018","11","20"]]},"page":"1035-1044","publisher":"Elsevier Ltd","title":"A comparison of carbon footprints of magnesium oxide and magnesium hydroxide produced from conventional processes","type":"article-journal","volume":"202"},"uris":["http://www.mendeley.com/documents/?uuid=b65b1e7c-de34-3b7b-89c8-916748651eda"]}],"mendeley":{"formattedCitation":"(Luong et al., 2018)","plainTextFormattedCitation":"(Luong et al., 2018)","previouslyFormattedCitation":"(Luong et al., 2018)"},"properties":{"noteIndex":0},"schema":"https://github.com/citation-style-language/schema/raw/master/csl-citation.json"}</w:instrText>
      </w:r>
      <w:r w:rsidR="003241F8" w:rsidRPr="00B90875">
        <w:fldChar w:fldCharType="separate"/>
      </w:r>
      <w:r w:rsidR="00A56A21" w:rsidRPr="00A56A21">
        <w:rPr>
          <w:noProof/>
        </w:rPr>
        <w:t>(Luong et al., 2018)</w:t>
      </w:r>
      <w:r w:rsidR="003241F8" w:rsidRPr="00B90875">
        <w:fldChar w:fldCharType="end"/>
      </w:r>
      <w:r w:rsidR="003241F8" w:rsidRPr="00B90875">
        <w:t xml:space="preserve"> and seawater using dolomitic lime </w:t>
      </w:r>
      <w:r w:rsidR="003241F8" w:rsidRPr="00B90875">
        <w:fldChar w:fldCharType="begin" w:fldLock="1"/>
      </w:r>
      <w:r w:rsidR="00405058">
        <w:instrText>ADDIN CSL_CITATION {"citationItems":[{"id":"ITEM-1","itemData":{"DOI":"10.15255/CABEQ.2015.2325","ISSN":"03529568","abstract":"The process of obtaining magnesium hydroxide from seawater involves precipitation of magnesium ions with suitable basic reagents, such as calcined dolomite. The purity of the magnesium hydroxide precipitate depends on dolomite characteristics; therefore, it is necessary to find high purity dolomite with good physical properties. The aim of this study was to characterize the specific dolomite from the location of Dipalo-Sinj (Croatia), its quality, and the favourable conditions for calcination. Certain physical and chemical characteristics were determined by pure chemical analysis, as well as by using TG/DTG-DTA, FTIR and SEM/EDS analysis. Good chemical quality of dolomitic lime (59.03 wt. % CaO, and 40.69 wt. % MgO) with low content of impurities was confirmed with the TG/DTG-DTA thermal analysis. In the atmosphere of air + CO2, dolomite decomposes to CaCO3 and MgO in a temperature area between 415 and 824°C; thereafter, another reaction begins - the decomposition reaction of calcium carbonate, completed at 897°C. In air, the simultaneous decomposition of two carbonates occurs between 657-840°C. The FTIR and EDS analyses confirmed the complete breakdown of carbonates at 950°C. The main components (Mg, Ca, and O) confirmed the purity of the dolomite lime.","author":[{"dropping-particle":"","family":"Jakić","given":"J.","non-dropping-particle":"","parse-names":false,"suffix":""},{"dropping-particle":"","family":"Labor","given":"M.","non-dropping-particle":"","parse-names":false,"suffix":""},{"dropping-particle":"","family":"Martinac","given":"V.","non-dropping-particle":"","parse-names":false,"suffix":""}],"container-title":"Chemical and Biochemical Engineering Quarterly","id":"ITEM-1","issue":"3","issued":{"date-parts":[["2016"]]},"page":"373-379","publisher":"Assoc. of Chemists and Chemical Engineers of Croatia","title":"Characterization of dolomitic lime as the base reagent for precipitation of Mg(OH)2 from seawater","type":"article-journal","volume":"30"},"uris":["http://www.mendeley.com/documents/?uuid=8b1af559-550c-3921-8062-d4351f354c07"]}],"mendeley":{"formattedCitation":"(Jakić et al., 2016)","plainTextFormattedCitation":"(Jakić et al., 2016)","previouslyFormattedCitation":"(Jakić et al., 2016)"},"properties":{"noteIndex":0},"schema":"https://github.com/citation-style-language/schema/raw/master/csl-citation.json"}</w:instrText>
      </w:r>
      <w:r w:rsidR="003241F8" w:rsidRPr="00B90875">
        <w:fldChar w:fldCharType="separate"/>
      </w:r>
      <w:r w:rsidR="00A56A21" w:rsidRPr="00A56A21">
        <w:rPr>
          <w:noProof/>
        </w:rPr>
        <w:t>(Jakić et al., 2016)</w:t>
      </w:r>
      <w:r w:rsidR="003241F8" w:rsidRPr="00B90875">
        <w:fldChar w:fldCharType="end"/>
      </w:r>
      <w:r w:rsidR="00D00052">
        <w:t xml:space="preserve">. These processes require </w:t>
      </w:r>
      <w:r w:rsidR="00FD6AF6" w:rsidRPr="00B90875">
        <w:t xml:space="preserve">high energy </w:t>
      </w:r>
      <w:r w:rsidR="003241F8" w:rsidRPr="00B90875">
        <w:t xml:space="preserve">and </w:t>
      </w:r>
      <w:r w:rsidR="00FD6AF6" w:rsidRPr="00B90875">
        <w:t>caus</w:t>
      </w:r>
      <w:r w:rsidR="00D00052">
        <w:t>e</w:t>
      </w:r>
      <w:r w:rsidR="003241F8" w:rsidRPr="00B90875">
        <w:t xml:space="preserve"> mineral depletion.</w:t>
      </w:r>
      <w:r w:rsidR="00876805" w:rsidRPr="00B90875">
        <w:t xml:space="preserve"> </w:t>
      </w:r>
      <w:r w:rsidR="003241F8" w:rsidRPr="00B90875">
        <w:t xml:space="preserve">Luong et al. </w:t>
      </w:r>
      <w:r w:rsidR="003241F8" w:rsidRPr="00B90875">
        <w:fldChar w:fldCharType="begin" w:fldLock="1"/>
      </w:r>
      <w:r w:rsidR="00A56A21">
        <w:instrText>ADDIN CSL_CITATION {"citationItems":[{"id":"ITEM-1","itemData":{"DOI":"10.1016/j.jclepro.2018.08.225","ISSN":"09596526","abstract":"In this study, modelling the carbon footprints of magnesium oxide and magnesium hydroxide (&gt;99% purity) production based on technologies treating bischofite brines (e.g. Aman process) and serpentinite ores (e.g. Magnifin process) was performed. The two technologies have been utilised by many producers around the world to deliver specialty magnesium products. Using theoretical values of heat of reaction obtained from HSC (H-enthalpy, S-entropy and Cp-heat capacity) software simulations and the practical thermal efficiency of roasting and pyrohydrolysis equipment, greenhouse gas (GHG) emissions of 2.7–5.6 kg CO2eq/kg MgO and 1.6–3.3 kg CO2eq/kg Mg(OH)2 were estimated for the process treating a bischofite brine. The corresponding figures calculated for the process recovering magnesium values from a serpentinite ore were determined as 3.8–7.5 kg CO2eq/kg MgO and 2.6–5.2 kg CO2eq/kg Mg(OH)2. They are somewhat comparable to MgO's carbon footprint of 3.1–4.5 kg CO2eq/kg MgO from Chinese producers using one-stage magnesite calcination to produce caustic calcined magnesia (</w:instrText>
      </w:r>
      <w:r w:rsidR="00A56A21">
        <w:rPr>
          <w:rFonts w:ascii="Cambria Math" w:hAnsi="Cambria Math" w:cs="Cambria Math"/>
        </w:rPr>
        <w:instrText>∼</w:instrText>
      </w:r>
      <w:r w:rsidR="00A56A21">
        <w:instrText>92% purity). From a carbon footprint perspective, it is apparent that the brine process provides the lowest environmental burdens compared to the serpentinite and magnesite routes.","author":[{"dropping-particle":"","family":"Luong","given":"Van Tri","non-dropping-particle":"","parse-names":false,"suffix":""},{"dropping-particle":"","family":"Amal","given":"Rose","non-dropping-particle":"","parse-names":false,"suffix":""},{"dropping-particle":"","family":"Scott","given":"Jason Anthony","non-dropping-particle":"","parse-names":false,"suffix":""},{"dropping-particle":"","family":"Ehrenberger","given":"Simone","non-dropping-particle":"","parse-names":false,"suffix":""},{"dropping-particle":"","family":"Tran","given":"Tam","non-dropping-particle":"","parse-names":false,"suffix":""}],"container-title":"Journal of Cleaner Production","id":"ITEM-1","issued":{"date-parts":[["2018","11","20"]]},"page":"1035-1044","publisher":"Elsevier Ltd","title":"A comparison of carbon footprints of magnesium oxide and magnesium hydroxide produced from conventional processes","type":"article-journal","volume":"202"},"uris":["http://www.mendeley.com/documents/?uuid=b65b1e7c-de34-3b7b-89c8-916748651eda"]}],"mendeley":{"formattedCitation":"(Luong et al., 2018)","plainTextFormattedCitation":"(Luong et al., 2018)","previouslyFormattedCitation":"(Luong et al., 2018)"},"properties":{"noteIndex":0},"schema":"https://github.com/citation-style-language/schema/raw/master/csl-citation.json"}</w:instrText>
      </w:r>
      <w:r w:rsidR="003241F8" w:rsidRPr="00B90875">
        <w:fldChar w:fldCharType="separate"/>
      </w:r>
      <w:r w:rsidR="00A56A21" w:rsidRPr="00A56A21">
        <w:rPr>
          <w:noProof/>
        </w:rPr>
        <w:t>(Luong et al., 2018)</w:t>
      </w:r>
      <w:r w:rsidR="003241F8" w:rsidRPr="00B90875">
        <w:fldChar w:fldCharType="end"/>
      </w:r>
      <w:r w:rsidR="00BD1EE2">
        <w:t xml:space="preserve"> also</w:t>
      </w:r>
      <w:r w:rsidR="003241F8" w:rsidRPr="00B90875">
        <w:t xml:space="preserve"> analysed the carbon footprint of </w:t>
      </w:r>
      <w:r w:rsidR="003503A2" w:rsidRPr="00B90875">
        <w:t>Mg(OH)</w:t>
      </w:r>
      <w:r w:rsidR="003503A2" w:rsidRPr="003C51E1">
        <w:rPr>
          <w:vertAlign w:val="subscript"/>
        </w:rPr>
        <w:t>2</w:t>
      </w:r>
      <w:r w:rsidR="003503A2">
        <w:rPr>
          <w:vertAlign w:val="subscript"/>
        </w:rPr>
        <w:t xml:space="preserve"> </w:t>
      </w:r>
      <w:r w:rsidR="003241F8" w:rsidRPr="00B90875">
        <w:t>production from bischofite brines and serpentinite ores</w:t>
      </w:r>
      <w:r w:rsidR="00876805" w:rsidRPr="00B90875">
        <w:t xml:space="preserve">. </w:t>
      </w:r>
      <w:r w:rsidR="00520710" w:rsidRPr="00B90875">
        <w:t>1.6E3.3 kg CO</w:t>
      </w:r>
      <w:r w:rsidR="00520710" w:rsidRPr="00A826EF">
        <w:rPr>
          <w:vertAlign w:val="subscript"/>
        </w:rPr>
        <w:t>2</w:t>
      </w:r>
      <w:r w:rsidR="00520710" w:rsidRPr="00B90875">
        <w:t xml:space="preserve">eq/kg </w:t>
      </w:r>
      <w:proofErr w:type="gramStart"/>
      <w:r w:rsidR="00520710" w:rsidRPr="00B90875">
        <w:t>Mg(</w:t>
      </w:r>
      <w:proofErr w:type="gramEnd"/>
      <w:r w:rsidR="00520710" w:rsidRPr="00B90875">
        <w:t>OH)</w:t>
      </w:r>
      <w:r w:rsidR="00520710" w:rsidRPr="00A826EF">
        <w:rPr>
          <w:vertAlign w:val="subscript"/>
        </w:rPr>
        <w:t>2</w:t>
      </w:r>
      <w:r w:rsidR="00520710">
        <w:rPr>
          <w:vertAlign w:val="subscript"/>
        </w:rPr>
        <w:t xml:space="preserve"> </w:t>
      </w:r>
      <w:r w:rsidR="00520710" w:rsidRPr="00520710">
        <w:t>and</w:t>
      </w:r>
      <w:r w:rsidR="00520710">
        <w:rPr>
          <w:vertAlign w:val="subscript"/>
        </w:rPr>
        <w:t xml:space="preserve"> </w:t>
      </w:r>
      <w:r w:rsidR="00520710" w:rsidRPr="00B90875">
        <w:t>2.6E5.2 kg CO</w:t>
      </w:r>
      <w:r w:rsidR="00520710" w:rsidRPr="00FD1D00">
        <w:rPr>
          <w:vertAlign w:val="subscript"/>
        </w:rPr>
        <w:t>2</w:t>
      </w:r>
      <w:r w:rsidR="00520710" w:rsidRPr="00B90875">
        <w:t>eq/kg Mg(OH)</w:t>
      </w:r>
      <w:r w:rsidR="00520710" w:rsidRPr="00A44F27">
        <w:rPr>
          <w:vertAlign w:val="subscript"/>
        </w:rPr>
        <w:t>2</w:t>
      </w:r>
      <w:r w:rsidR="00520710">
        <w:t xml:space="preserve"> </w:t>
      </w:r>
      <w:r w:rsidR="00520710" w:rsidRPr="00520710">
        <w:t>were</w:t>
      </w:r>
      <w:r w:rsidR="00520710">
        <w:rPr>
          <w:vertAlign w:val="subscript"/>
        </w:rPr>
        <w:t xml:space="preserve"> </w:t>
      </w:r>
      <w:r w:rsidR="00520710">
        <w:t>calculated for</w:t>
      </w:r>
      <w:r w:rsidR="00A44F27">
        <w:t xml:space="preserve"> </w:t>
      </w:r>
      <w:r w:rsidR="00A44F27" w:rsidRPr="00B90875">
        <w:t xml:space="preserve">bischofite brine </w:t>
      </w:r>
      <w:r w:rsidR="00520710">
        <w:t>and serpentinite processes, respectively</w:t>
      </w:r>
      <w:r w:rsidR="00876805" w:rsidRPr="00B90875">
        <w:t>.</w:t>
      </w:r>
      <w:r w:rsidR="00BC67AC">
        <w:t xml:space="preserve"> </w:t>
      </w:r>
      <w:proofErr w:type="gramStart"/>
      <w:r w:rsidR="00193D2A" w:rsidRPr="00B90875">
        <w:t>Mg(</w:t>
      </w:r>
      <w:proofErr w:type="gramEnd"/>
      <w:r w:rsidR="00193D2A" w:rsidRPr="00B90875">
        <w:t>OH)</w:t>
      </w:r>
      <w:r w:rsidR="00193D2A" w:rsidRPr="003C51E1">
        <w:rPr>
          <w:vertAlign w:val="subscript"/>
        </w:rPr>
        <w:t>2</w:t>
      </w:r>
      <w:r w:rsidR="00193D2A">
        <w:rPr>
          <w:vertAlign w:val="subscript"/>
        </w:rPr>
        <w:t xml:space="preserve"> </w:t>
      </w:r>
      <w:r w:rsidR="00DB6ECC" w:rsidRPr="00B90875">
        <w:t>manufacturing</w:t>
      </w:r>
      <w:r w:rsidR="0089397C" w:rsidRPr="00B90875">
        <w:t xml:space="preserve"> </w:t>
      </w:r>
      <w:r w:rsidR="00CF5EEB">
        <w:t>through</w:t>
      </w:r>
      <w:r w:rsidR="0089397C" w:rsidRPr="00B90875">
        <w:t xml:space="preserve"> clean and sustainable process</w:t>
      </w:r>
      <w:r w:rsidR="00DB6ECC">
        <w:t>es</w:t>
      </w:r>
      <w:r w:rsidR="0089397C" w:rsidRPr="00B90875">
        <w:t xml:space="preserve"> </w:t>
      </w:r>
      <w:r w:rsidR="001231BC" w:rsidRPr="00B90875">
        <w:t xml:space="preserve">represents, therefore, a crucial opportunity to reduce the environmental impact of </w:t>
      </w:r>
      <w:r w:rsidR="00193D2A" w:rsidRPr="00B90875">
        <w:t>Mg(OH)</w:t>
      </w:r>
      <w:r w:rsidR="00193D2A" w:rsidRPr="003C51E1">
        <w:rPr>
          <w:vertAlign w:val="subscript"/>
        </w:rPr>
        <w:t>2</w:t>
      </w:r>
      <w:r w:rsidR="00193D2A">
        <w:rPr>
          <w:vertAlign w:val="subscript"/>
        </w:rPr>
        <w:t xml:space="preserve"> </w:t>
      </w:r>
      <w:r w:rsidR="001231BC" w:rsidRPr="00B90875">
        <w:t>production.</w:t>
      </w:r>
      <w:r w:rsidR="00E614D1" w:rsidRPr="00B90875">
        <w:t xml:space="preserve"> </w:t>
      </w:r>
      <w:r w:rsidR="00F647A2" w:rsidRPr="00B90875">
        <w:t>In this context, t</w:t>
      </w:r>
      <w:r w:rsidR="005A4BDE" w:rsidRPr="00B90875">
        <w:t xml:space="preserve">he </w:t>
      </w:r>
      <w:r w:rsidR="00E614D1" w:rsidRPr="00B90875">
        <w:t xml:space="preserve">European Horizon 2020 </w:t>
      </w:r>
      <w:proofErr w:type="spellStart"/>
      <w:r w:rsidR="005A4BDE" w:rsidRPr="00B90875">
        <w:t>SEArcularMINE</w:t>
      </w:r>
      <w:proofErr w:type="spellEnd"/>
      <w:r w:rsidR="005A4BDE" w:rsidRPr="00B90875">
        <w:t xml:space="preserve"> project</w:t>
      </w:r>
      <w:r w:rsidR="0089397C" w:rsidRPr="00B90875">
        <w:t xml:space="preserve"> aims at developing a novel </w:t>
      </w:r>
      <w:r w:rsidR="00AA0973" w:rsidRPr="00B90875">
        <w:t>sustainable</w:t>
      </w:r>
      <w:r w:rsidR="0003480E">
        <w:t xml:space="preserve"> </w:t>
      </w:r>
      <w:r w:rsidR="00AA0973" w:rsidRPr="00B90875">
        <w:t xml:space="preserve">integrated process </w:t>
      </w:r>
      <w:r w:rsidR="0089397C" w:rsidRPr="00B90875">
        <w:t xml:space="preserve">for </w:t>
      </w:r>
      <w:r w:rsidR="007619F2">
        <w:t xml:space="preserve">the </w:t>
      </w:r>
      <w:r w:rsidR="007619F2" w:rsidRPr="00B90875">
        <w:t>valorization</w:t>
      </w:r>
      <w:r w:rsidR="0089397C" w:rsidRPr="00B90875">
        <w:t xml:space="preserve"> of </w:t>
      </w:r>
      <w:r w:rsidR="00AA0973" w:rsidRPr="00B90875">
        <w:t xml:space="preserve">exhausted bitterns, the by-product of sea salt production, </w:t>
      </w:r>
      <w:r w:rsidR="00AC095F">
        <w:t>targeting</w:t>
      </w:r>
      <w:r w:rsidR="007619F2">
        <w:t>, among the other</w:t>
      </w:r>
      <w:r w:rsidR="00106C6E">
        <w:t>s</w:t>
      </w:r>
      <w:r w:rsidR="007619F2">
        <w:t>,</w:t>
      </w:r>
      <w:r w:rsidR="007619F2" w:rsidRPr="00B90875">
        <w:t xml:space="preserve"> Mg</w:t>
      </w:r>
      <w:r w:rsidR="00F535EB">
        <w:t xml:space="preserve"> recovery in the form of </w:t>
      </w:r>
      <w:proofErr w:type="gramStart"/>
      <w:r w:rsidR="00F535EB">
        <w:t>Mg</w:t>
      </w:r>
      <w:r w:rsidR="007619F2" w:rsidRPr="00B90875">
        <w:t>(</w:t>
      </w:r>
      <w:proofErr w:type="gramEnd"/>
      <w:r w:rsidR="007619F2" w:rsidRPr="00B90875">
        <w:t>OH)</w:t>
      </w:r>
      <w:r w:rsidR="007619F2" w:rsidRPr="007619F2">
        <w:rPr>
          <w:vertAlign w:val="subscript"/>
        </w:rPr>
        <w:t>2</w:t>
      </w:r>
      <w:r w:rsidR="009E30B2" w:rsidRPr="00B90875">
        <w:t>.</w:t>
      </w:r>
      <w:r w:rsidR="008C4A58" w:rsidRPr="00B90875">
        <w:t xml:space="preserve"> </w:t>
      </w:r>
    </w:p>
    <w:p w14:paraId="7287A512" w14:textId="342ECF82" w:rsidR="001E3B85" w:rsidRDefault="00173CD6" w:rsidP="00B90875">
      <w:pPr>
        <w:pStyle w:val="CETBodytext"/>
      </w:pPr>
      <w:r w:rsidRPr="00B90875">
        <w:t>The present work</w:t>
      </w:r>
      <w:r w:rsidR="00F72AD3" w:rsidRPr="00B90875">
        <w:t xml:space="preserve">, performed within the </w:t>
      </w:r>
      <w:proofErr w:type="spellStart"/>
      <w:r w:rsidR="005552D3" w:rsidRPr="00B90875">
        <w:t>SEArcularMINE</w:t>
      </w:r>
      <w:proofErr w:type="spellEnd"/>
      <w:r w:rsidR="00F72AD3" w:rsidRPr="00B90875">
        <w:t xml:space="preserve"> activities,</w:t>
      </w:r>
      <w:r w:rsidR="00214D74">
        <w:t xml:space="preserve"> </w:t>
      </w:r>
      <w:r w:rsidRPr="00B90875">
        <w:t>addresses</w:t>
      </w:r>
      <w:r w:rsidR="00797477">
        <w:t xml:space="preserve"> </w:t>
      </w:r>
      <w:r w:rsidR="0028318F" w:rsidRPr="00B90875">
        <w:t xml:space="preserve">the </w:t>
      </w:r>
      <w:r w:rsidR="00917410">
        <w:t xml:space="preserve">feasibility of </w:t>
      </w:r>
      <w:proofErr w:type="gramStart"/>
      <w:r w:rsidR="00C11F31" w:rsidRPr="00B90875">
        <w:t>Mg(</w:t>
      </w:r>
      <w:proofErr w:type="gramEnd"/>
      <w:r w:rsidR="00C11F31" w:rsidRPr="00B90875">
        <w:t>OH)</w:t>
      </w:r>
      <w:r w:rsidR="00C11F31" w:rsidRPr="003C51E1">
        <w:rPr>
          <w:vertAlign w:val="subscript"/>
        </w:rPr>
        <w:t>2</w:t>
      </w:r>
      <w:r w:rsidR="00C11F31">
        <w:rPr>
          <w:vertAlign w:val="subscript"/>
        </w:rPr>
        <w:t xml:space="preserve"> </w:t>
      </w:r>
      <w:r w:rsidR="00917410">
        <w:t xml:space="preserve">nanoparticles synthesis </w:t>
      </w:r>
      <w:r w:rsidR="00F43742">
        <w:t>from</w:t>
      </w:r>
      <w:r w:rsidR="00917410">
        <w:t xml:space="preserve"> t</w:t>
      </w:r>
      <w:r w:rsidR="0028318F" w:rsidRPr="00B90875">
        <w:t xml:space="preserve">wo real bitterns </w:t>
      </w:r>
      <w:r w:rsidR="00D12B41">
        <w:t>collected from</w:t>
      </w:r>
      <w:r w:rsidR="00917410">
        <w:t xml:space="preserve"> </w:t>
      </w:r>
      <w:r w:rsidR="00BE7E29" w:rsidRPr="00B90875">
        <w:t>Galia</w:t>
      </w:r>
      <w:r w:rsidR="0028318F" w:rsidRPr="00B90875">
        <w:t xml:space="preserve"> (</w:t>
      </w:r>
      <w:r w:rsidR="00245A62">
        <w:t xml:space="preserve">1 M </w:t>
      </w:r>
      <w:r w:rsidR="0028318F" w:rsidRPr="00B90875">
        <w:t>Mg</w:t>
      </w:r>
      <w:r w:rsidR="0028318F" w:rsidRPr="00B20C8E">
        <w:rPr>
          <w:vertAlign w:val="superscript"/>
        </w:rPr>
        <w:t>2+</w:t>
      </w:r>
      <w:r w:rsidR="0028318F" w:rsidRPr="00B90875">
        <w:t>) and Margi (</w:t>
      </w:r>
      <w:r w:rsidR="00245A62">
        <w:t>2.5 M</w:t>
      </w:r>
      <w:r w:rsidR="0028318F" w:rsidRPr="00B90875">
        <w:t xml:space="preserve"> </w:t>
      </w:r>
      <w:r w:rsidR="00245A62" w:rsidRPr="00B90875">
        <w:t>Mg</w:t>
      </w:r>
      <w:r w:rsidR="00245A62" w:rsidRPr="00B20C8E">
        <w:rPr>
          <w:vertAlign w:val="superscript"/>
        </w:rPr>
        <w:t>2+</w:t>
      </w:r>
      <w:r w:rsidR="0028318F" w:rsidRPr="00B90875">
        <w:t>) saltworks</w:t>
      </w:r>
      <w:r w:rsidR="00D12B41">
        <w:t xml:space="preserve"> located in the district of </w:t>
      </w:r>
      <w:r w:rsidR="00D12B41" w:rsidRPr="00B90875">
        <w:t>Trapani (Sicily, Italy)</w:t>
      </w:r>
      <w:r w:rsidR="00D12B41">
        <w:t xml:space="preserve">. </w:t>
      </w:r>
      <w:r w:rsidR="006305AE" w:rsidRPr="000F01C6">
        <w:t>A</w:t>
      </w:r>
      <w:r w:rsidR="00214D74" w:rsidRPr="000F01C6">
        <w:t xml:space="preserve"> 2-mm diameter circular cross-sectional T-mixer has been adopted</w:t>
      </w:r>
      <w:r w:rsidR="00EC1278" w:rsidRPr="000F01C6">
        <w:t xml:space="preserve"> </w:t>
      </w:r>
      <w:r w:rsidR="00214D74" w:rsidRPr="000F01C6">
        <w:t>to achieve short mixing times and a fast mixing of the reactants, thus promoting the production of nanoparticles</w:t>
      </w:r>
      <w:r w:rsidR="00577AA4" w:rsidRPr="000F01C6">
        <w:t>,</w:t>
      </w:r>
      <w:r w:rsidR="00214D74" w:rsidRPr="000F01C6">
        <w:t xml:space="preserve"> as extensively discussed in the literature </w:t>
      </w:r>
      <w:r w:rsidR="00214D74" w:rsidRPr="000F01C6">
        <w:fldChar w:fldCharType="begin" w:fldLock="1"/>
      </w:r>
      <w:r w:rsidR="00214D74" w:rsidRPr="000F01C6">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214D74" w:rsidRPr="000F01C6">
        <w:fldChar w:fldCharType="separate"/>
      </w:r>
      <w:r w:rsidR="00214D74" w:rsidRPr="000F01C6">
        <w:rPr>
          <w:noProof/>
        </w:rPr>
        <w:t>(Battaglia et al., 2022)</w:t>
      </w:r>
      <w:r w:rsidR="00214D74" w:rsidRPr="000F01C6">
        <w:fldChar w:fldCharType="end"/>
      </w:r>
      <w:r w:rsidR="00214D74" w:rsidRPr="000F01C6">
        <w:t>.</w:t>
      </w:r>
      <w:r w:rsidR="00EC1278" w:rsidRPr="000F01C6">
        <w:t xml:space="preserve"> </w:t>
      </w:r>
      <w:r w:rsidR="00D12B41" w:rsidRPr="000F01C6">
        <w:t>NaOH w</w:t>
      </w:r>
      <w:r w:rsidR="00106C6E" w:rsidRPr="000F01C6">
        <w:t>as</w:t>
      </w:r>
      <w:r w:rsidR="00D12B41" w:rsidRPr="000F01C6">
        <w:t xml:space="preserve"> employed as precipitating agent</w:t>
      </w:r>
      <w:r w:rsidR="00214D74" w:rsidRPr="000F01C6">
        <w:t>, while</w:t>
      </w:r>
      <w:r w:rsidR="002B43BD" w:rsidRPr="000F01C6">
        <w:t>, for the first time,</w:t>
      </w:r>
      <w:r w:rsidR="00214D74" w:rsidRPr="000F01C6">
        <w:t xml:space="preserve"> bitterns were</w:t>
      </w:r>
      <w:r w:rsidR="002B43BD" w:rsidRPr="000F01C6">
        <w:t xml:space="preserve"> </w:t>
      </w:r>
      <w:r w:rsidR="00577AA4" w:rsidRPr="000F01C6">
        <w:t>adopted</w:t>
      </w:r>
      <w:r w:rsidR="0019488E" w:rsidRPr="000F01C6">
        <w:t xml:space="preserve"> as </w:t>
      </w:r>
      <w:r w:rsidR="002C5039" w:rsidRPr="000F01C6">
        <w:t xml:space="preserve">feed stream containing </w:t>
      </w:r>
      <w:r w:rsidR="0019488E" w:rsidRPr="000F01C6">
        <w:t>Mg</w:t>
      </w:r>
      <w:r w:rsidR="0019488E" w:rsidRPr="000F01C6">
        <w:rPr>
          <w:vertAlign w:val="superscript"/>
        </w:rPr>
        <w:t>2+</w:t>
      </w:r>
      <w:r w:rsidR="000D6CE1" w:rsidRPr="000F01C6">
        <w:t>.</w:t>
      </w:r>
      <w:r w:rsidR="00391CC7" w:rsidRPr="000F01C6">
        <w:t xml:space="preserve"> </w:t>
      </w:r>
      <w:r w:rsidR="0028318F" w:rsidRPr="000F01C6">
        <w:t>Particle size</w:t>
      </w:r>
      <w:r w:rsidR="00241A06">
        <w:t xml:space="preserve"> distributions</w:t>
      </w:r>
      <w:r w:rsidR="0028318F" w:rsidRPr="00B90875">
        <w:t xml:space="preserve"> were</w:t>
      </w:r>
      <w:r w:rsidR="00241A06">
        <w:t xml:space="preserve"> </w:t>
      </w:r>
      <w:r w:rsidR="00BD16BA">
        <w:t>obtained</w:t>
      </w:r>
      <w:r w:rsidR="0028318F" w:rsidRPr="00B90875">
        <w:t xml:space="preserve"> by static light scattering </w:t>
      </w:r>
      <w:r w:rsidR="00241A06">
        <w:t>technique with and without an anti-agglomerant treatment.</w:t>
      </w:r>
      <w:r w:rsidR="001E3B85" w:rsidRPr="00B90875">
        <w:t xml:space="preserve"> </w:t>
      </w:r>
      <w:r w:rsidR="00031488">
        <w:t>In addition, p</w:t>
      </w:r>
      <w:r w:rsidR="00767FBB" w:rsidRPr="00B90875">
        <w:t>article</w:t>
      </w:r>
      <w:r w:rsidR="00AF18A1">
        <w:t>s’</w:t>
      </w:r>
      <w:r w:rsidR="00767FBB" w:rsidRPr="00B90875">
        <w:t xml:space="preserve"> purity was </w:t>
      </w:r>
      <w:r w:rsidR="001E3B85" w:rsidRPr="00B90875">
        <w:t>assessed b</w:t>
      </w:r>
      <w:r w:rsidR="00767FBB" w:rsidRPr="00B90875">
        <w:t xml:space="preserve">y ionic chromatography </w:t>
      </w:r>
      <w:r w:rsidR="00C3769D">
        <w:t xml:space="preserve">and </w:t>
      </w:r>
      <w:r w:rsidR="00C3769D" w:rsidRPr="00B90875">
        <w:t xml:space="preserve">thermogravimetric </w:t>
      </w:r>
      <w:r w:rsidR="00C7677F">
        <w:t>analyses</w:t>
      </w:r>
      <w:r w:rsidR="00767FBB" w:rsidRPr="00B90875">
        <w:t xml:space="preserve">. </w:t>
      </w:r>
    </w:p>
    <w:p w14:paraId="76098964" w14:textId="5C5730D5" w:rsidR="00991EE1" w:rsidRDefault="00991EE1" w:rsidP="006D68E6">
      <w:pPr>
        <w:pStyle w:val="CETHeading1"/>
      </w:pPr>
      <w:r w:rsidRPr="002F61D0">
        <w:t>Material and Methods</w:t>
      </w:r>
    </w:p>
    <w:p w14:paraId="668BE3EA" w14:textId="1A868A01" w:rsidR="00D93D69" w:rsidRDefault="00E05EB7" w:rsidP="00B90875">
      <w:pPr>
        <w:pStyle w:val="CETBodytext"/>
      </w:pPr>
      <w:r>
        <w:t xml:space="preserve">Magnesium hydroxide precipitation </w:t>
      </w:r>
      <w:r w:rsidR="009D231F">
        <w:t xml:space="preserve">from real bitterns </w:t>
      </w:r>
      <w:r>
        <w:t>was carried out employing a 2 mm circular cross-</w:t>
      </w:r>
      <w:r w:rsidR="001A0925">
        <w:t>sectional</w:t>
      </w:r>
      <w:r>
        <w:t xml:space="preserve"> T-mixer</w:t>
      </w:r>
      <w:r w:rsidR="00951E8A">
        <w:t xml:space="preserve"> drilled into </w:t>
      </w:r>
      <w:r w:rsidR="00951E8A" w:rsidRPr="00D94643">
        <w:t>a polymethyl methacrylate (PMMA) block</w:t>
      </w:r>
      <w:r>
        <w:t xml:space="preserve">. The T-mixer was made of 2 cm long horizontal </w:t>
      </w:r>
      <w:r w:rsidR="00220245">
        <w:t>pipes</w:t>
      </w:r>
      <w:r>
        <w:t xml:space="preserve"> merging into a 4 cm long vertical channel, also called mixing channel</w:t>
      </w:r>
      <w:r w:rsidR="005804F3">
        <w:t>. A</w:t>
      </w:r>
      <w:r w:rsidR="00D93D69">
        <w:t xml:space="preserve">n insight of the T-mixer is </w:t>
      </w:r>
      <w:r w:rsidR="001F76E0">
        <w:t xml:space="preserve">illustrated </w:t>
      </w:r>
      <w:r w:rsidR="00D93D69">
        <w:t xml:space="preserve">in </w:t>
      </w:r>
      <w:r w:rsidR="001F76E0">
        <w:t>the</w:t>
      </w:r>
      <w:r w:rsidR="00D93D69">
        <w:t xml:space="preserve"> left part of </w:t>
      </w:r>
      <w:r w:rsidR="00D93D69">
        <w:fldChar w:fldCharType="begin"/>
      </w:r>
      <w:r w:rsidR="00D93D69">
        <w:instrText xml:space="preserve"> REF _Ref103186196 \h </w:instrText>
      </w:r>
      <w:r w:rsidR="00B90875">
        <w:instrText xml:space="preserve"> \* MERGEFORMAT </w:instrText>
      </w:r>
      <w:r w:rsidR="00D93D69">
        <w:fldChar w:fldCharType="separate"/>
      </w:r>
      <w:r w:rsidR="001A3C27" w:rsidRPr="00F82AE2">
        <w:t xml:space="preserve">Figure </w:t>
      </w:r>
      <w:r w:rsidR="001A3C27">
        <w:rPr>
          <w:noProof/>
        </w:rPr>
        <w:t>1</w:t>
      </w:r>
      <w:r w:rsidR="00D93D69">
        <w:fldChar w:fldCharType="end"/>
      </w:r>
      <w:r>
        <w:t xml:space="preserve">. </w:t>
      </w:r>
      <w:r w:rsidR="006A25C3">
        <w:t>Reacting s</w:t>
      </w:r>
      <w:r w:rsidR="00EA7BEA">
        <w:t>olutions</w:t>
      </w:r>
      <w:r w:rsidR="006A25C3">
        <w:t xml:space="preserve"> </w:t>
      </w:r>
      <w:r w:rsidR="00EA7BEA">
        <w:t xml:space="preserve">were withdrawn from two containing flasks and fed to the T-mixer by means of two gear pumps </w:t>
      </w:r>
      <w:r w:rsidR="00EA7BEA" w:rsidRPr="00D94643">
        <w:t>(Fluid-o-Tech® FG200/FG300 series)</w:t>
      </w:r>
      <w:r w:rsidR="00EA0DC5">
        <w:t xml:space="preserve"> controlled by a dedicated </w:t>
      </w:r>
      <w:r w:rsidR="00EA0DC5" w:rsidRPr="00D94643">
        <w:rPr>
          <w:color w:val="000000" w:themeColor="text1"/>
        </w:rPr>
        <w:t>LabVIEW code</w:t>
      </w:r>
      <w:r w:rsidR="00EA7BEA">
        <w:t xml:space="preserve">. </w:t>
      </w:r>
    </w:p>
    <w:p w14:paraId="0864069B" w14:textId="51539B7F" w:rsidR="00991EE1" w:rsidRPr="00D94643" w:rsidRDefault="00E05EB7" w:rsidP="00B90875">
      <w:pPr>
        <w:pStyle w:val="CETBodytext"/>
        <w:rPr>
          <w:color w:val="FF0000"/>
        </w:rPr>
      </w:pPr>
      <w:r>
        <w:t xml:space="preserve">  </w:t>
      </w:r>
    </w:p>
    <w:p w14:paraId="06BBEEA4" w14:textId="151BDD68" w:rsidR="00D93D69" w:rsidRDefault="00912EFD" w:rsidP="00E26186">
      <w:pPr>
        <w:keepNext/>
        <w:jc w:val="left"/>
      </w:pPr>
      <w:r>
        <w:rPr>
          <w:noProof/>
        </w:rPr>
        <w:drawing>
          <wp:inline distT="0" distB="0" distL="0" distR="0" wp14:anchorId="41EE73D3" wp14:editId="6550FA8C">
            <wp:extent cx="3839330" cy="1193800"/>
            <wp:effectExtent l="0" t="0" r="889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17071"/>
                    <a:stretch/>
                  </pic:blipFill>
                  <pic:spPr bwMode="auto">
                    <a:xfrm>
                      <a:off x="0" y="0"/>
                      <a:ext cx="3840544" cy="1194177"/>
                    </a:xfrm>
                    <a:prstGeom prst="rect">
                      <a:avLst/>
                    </a:prstGeom>
                    <a:noFill/>
                    <a:ln>
                      <a:noFill/>
                    </a:ln>
                    <a:extLst>
                      <a:ext uri="{53640926-AAD7-44D8-BBD7-CCE9431645EC}">
                        <a14:shadowObscured xmlns:a14="http://schemas.microsoft.com/office/drawing/2010/main"/>
                      </a:ext>
                    </a:extLst>
                  </pic:spPr>
                </pic:pic>
              </a:graphicData>
            </a:graphic>
          </wp:inline>
        </w:drawing>
      </w:r>
    </w:p>
    <w:p w14:paraId="005E1951" w14:textId="43B3C724" w:rsidR="00991EE1" w:rsidRPr="00E511C3" w:rsidRDefault="00D93D69" w:rsidP="00E511C3">
      <w:pPr>
        <w:pStyle w:val="CETCaption"/>
      </w:pPr>
      <w:bookmarkStart w:id="1" w:name="_Ref103186196"/>
      <w:r w:rsidRPr="00F82AE2">
        <w:t xml:space="preserve">Figure </w:t>
      </w:r>
      <w:r w:rsidRPr="00F82AE2">
        <w:fldChar w:fldCharType="begin"/>
      </w:r>
      <w:r w:rsidRPr="00F82AE2">
        <w:instrText xml:space="preserve"> SEQ Figure \* ARABIC </w:instrText>
      </w:r>
      <w:r w:rsidRPr="00F82AE2">
        <w:fldChar w:fldCharType="separate"/>
      </w:r>
      <w:r w:rsidR="001A3C27">
        <w:rPr>
          <w:noProof/>
        </w:rPr>
        <w:t>1</w:t>
      </w:r>
      <w:r w:rsidRPr="00F82AE2">
        <w:fldChar w:fldCharType="end"/>
      </w:r>
      <w:bookmarkEnd w:id="1"/>
      <w:r w:rsidR="00480DFA" w:rsidRPr="00F82AE2">
        <w:t xml:space="preserve"> Schematic </w:t>
      </w:r>
      <w:r w:rsidR="00F82AE2">
        <w:t>drawing</w:t>
      </w:r>
      <w:r w:rsidR="00480DFA" w:rsidRPr="00F82AE2">
        <w:t xml:space="preserve"> of the experimental set-up</w:t>
      </w:r>
      <w:r w:rsidR="00F82AE2">
        <w:t xml:space="preserve">. On the left, an insight of the employed 2 mm </w:t>
      </w:r>
      <w:r w:rsidR="00ED3C98">
        <w:t>circular</w:t>
      </w:r>
      <w:r w:rsidR="00F82AE2">
        <w:t xml:space="preserve"> cross-</w:t>
      </w:r>
      <w:r w:rsidR="001A0925" w:rsidRPr="001A0925">
        <w:t>sectional</w:t>
      </w:r>
      <w:r w:rsidR="00F82AE2">
        <w:t xml:space="preserve"> T-mixer.</w:t>
      </w:r>
      <w:r w:rsidR="00480DFA" w:rsidRPr="00F82AE2">
        <w:t xml:space="preserve"> </w:t>
      </w:r>
    </w:p>
    <w:p w14:paraId="0B1F1C4E" w14:textId="362AB2F9" w:rsidR="00991EE1" w:rsidRDefault="005527EF" w:rsidP="004E66F4">
      <w:pPr>
        <w:pStyle w:val="CETBodytext"/>
      </w:pPr>
      <w:r>
        <w:t>T</w:t>
      </w:r>
      <w:r w:rsidR="000A4E0D">
        <w:t>he</w:t>
      </w:r>
      <w:r w:rsidR="005D5AE5">
        <w:t xml:space="preserve"> </w:t>
      </w:r>
      <w:proofErr w:type="gramStart"/>
      <w:r w:rsidR="005D5AE5">
        <w:rPr>
          <w:color w:val="000000" w:themeColor="text1"/>
        </w:rPr>
        <w:t>Mg(</w:t>
      </w:r>
      <w:proofErr w:type="gramEnd"/>
      <w:r w:rsidR="005D5AE5">
        <w:rPr>
          <w:color w:val="000000" w:themeColor="text1"/>
        </w:rPr>
        <w:t>OH)</w:t>
      </w:r>
      <w:r w:rsidR="005D5AE5" w:rsidRPr="00273101">
        <w:rPr>
          <w:color w:val="000000" w:themeColor="text1"/>
          <w:vertAlign w:val="subscript"/>
        </w:rPr>
        <w:t>2</w:t>
      </w:r>
      <w:r w:rsidR="005D5AE5">
        <w:rPr>
          <w:color w:val="000000" w:themeColor="text1"/>
          <w:vertAlign w:val="subscript"/>
        </w:rPr>
        <w:t xml:space="preserve"> </w:t>
      </w:r>
      <w:r w:rsidR="00961E5F">
        <w:t>precipitation</w:t>
      </w:r>
      <w:r>
        <w:t xml:space="preserve"> </w:t>
      </w:r>
      <w:r w:rsidR="00961E5F">
        <w:t xml:space="preserve">occurs through the </w:t>
      </w:r>
      <w:r>
        <w:t xml:space="preserve">reaction between </w:t>
      </w:r>
      <w:r w:rsidR="005D5AE5">
        <w:t xml:space="preserve">hydroxyl </w:t>
      </w:r>
      <w:r>
        <w:t xml:space="preserve">and magnesium </w:t>
      </w:r>
      <w:r w:rsidR="004B214C">
        <w:t>ions</w:t>
      </w:r>
      <w:r w:rsidR="00B35EE3">
        <w:t xml:space="preserve"> </w:t>
      </w:r>
      <w:r w:rsidR="008D68B1">
        <w:t>forming</w:t>
      </w:r>
      <w:r w:rsidR="00B35EE3">
        <w:t xml:space="preserve"> </w:t>
      </w:r>
      <w:r w:rsidR="005D5AE5">
        <w:t>sparingly soluble Mg(OH)</w:t>
      </w:r>
      <w:r w:rsidR="005D5AE5" w:rsidRPr="005D5AE5">
        <w:rPr>
          <w:vertAlign w:val="subscript"/>
        </w:rPr>
        <w:t>2</w:t>
      </w:r>
      <w:r w:rsidR="005D5AE5">
        <w:t xml:space="preserve"> powders</w:t>
      </w:r>
      <w:r w:rsidR="00E1368B">
        <w:t>, as reported in Eq. (1)</w:t>
      </w:r>
      <w:r w:rsidR="00991EE1" w:rsidRPr="0028133C">
        <w:t>:</w:t>
      </w:r>
    </w:p>
    <w:tbl>
      <w:tblPr>
        <w:tblW w:w="5000" w:type="pct"/>
        <w:tblLook w:val="04A0" w:firstRow="1" w:lastRow="0" w:firstColumn="1" w:lastColumn="0" w:noHBand="0" w:noVBand="1"/>
      </w:tblPr>
      <w:tblGrid>
        <w:gridCol w:w="7984"/>
        <w:gridCol w:w="803"/>
      </w:tblGrid>
      <w:tr w:rsidR="00E511C3" w:rsidRPr="00B57B36" w14:paraId="7EE9F3D1" w14:textId="77777777" w:rsidTr="00F3734C">
        <w:tc>
          <w:tcPr>
            <w:tcW w:w="8188" w:type="dxa"/>
            <w:shd w:val="clear" w:color="auto" w:fill="auto"/>
            <w:vAlign w:val="center"/>
          </w:tcPr>
          <w:p w14:paraId="40A63D76" w14:textId="68A29690" w:rsidR="00E511C3" w:rsidRPr="00CE7F17" w:rsidRDefault="00000000" w:rsidP="00F3734C">
            <w:pPr>
              <w:pStyle w:val="CETEquation"/>
              <w:rPr>
                <w:rFonts w:cs="Arial"/>
              </w:rPr>
            </w:pPr>
            <m:oMathPara>
              <m:oMathParaPr>
                <m:jc m:val="left"/>
              </m:oMathParaPr>
              <m:oMath>
                <m:sSup>
                  <m:sSupPr>
                    <m:ctrlPr>
                      <w:rPr>
                        <w:rFonts w:ascii="Cambria Math" w:hAnsi="Cambria Math" w:cs="Arial"/>
                        <w:i/>
                        <w:lang w:eastAsia="it-IT"/>
                      </w:rPr>
                    </m:ctrlPr>
                  </m:sSupPr>
                  <m:e>
                    <m:r>
                      <w:rPr>
                        <w:rFonts w:ascii="Cambria Math" w:hAnsi="Cambria Math" w:cs="Arial"/>
                        <w:lang w:eastAsia="it-IT"/>
                      </w:rPr>
                      <m:t>Mg</m:t>
                    </m:r>
                  </m:e>
                  <m:sup>
                    <m:r>
                      <w:rPr>
                        <w:rFonts w:ascii="Cambria Math" w:hAnsi="Cambria Math" w:cs="Arial"/>
                        <w:lang w:eastAsia="it-IT"/>
                      </w:rPr>
                      <m:t>2+</m:t>
                    </m:r>
                  </m:sup>
                </m:sSup>
                <m:d>
                  <m:dPr>
                    <m:ctrlPr>
                      <w:rPr>
                        <w:rFonts w:ascii="Cambria Math" w:hAnsi="Cambria Math" w:cs="Arial"/>
                        <w:i/>
                        <w:lang w:eastAsia="it-IT"/>
                      </w:rPr>
                    </m:ctrlPr>
                  </m:dPr>
                  <m:e>
                    <m:r>
                      <w:rPr>
                        <w:rFonts w:ascii="Cambria Math" w:hAnsi="Cambria Math" w:cs="Arial"/>
                        <w:lang w:eastAsia="it-IT"/>
                      </w:rPr>
                      <m:t>aq</m:t>
                    </m:r>
                  </m:e>
                </m:d>
                <m:r>
                  <w:rPr>
                    <w:rFonts w:ascii="Cambria Math" w:hAnsi="Cambria Math" w:cs="Arial"/>
                    <w:lang w:eastAsia="it-IT"/>
                  </w:rPr>
                  <m:t xml:space="preserve">+2 </m:t>
                </m:r>
                <m:sSup>
                  <m:sSupPr>
                    <m:ctrlPr>
                      <w:rPr>
                        <w:rFonts w:ascii="Cambria Math" w:hAnsi="Cambria Math" w:cs="Arial"/>
                        <w:i/>
                        <w:lang w:eastAsia="it-IT"/>
                      </w:rPr>
                    </m:ctrlPr>
                  </m:sSupPr>
                  <m:e>
                    <m:r>
                      <w:rPr>
                        <w:rFonts w:ascii="Cambria Math" w:hAnsi="Cambria Math" w:cs="Arial"/>
                        <w:lang w:eastAsia="it-IT"/>
                      </w:rPr>
                      <m:t>OH</m:t>
                    </m:r>
                  </m:e>
                  <m:sup>
                    <m:r>
                      <w:rPr>
                        <w:rFonts w:ascii="Cambria Math" w:hAnsi="Cambria Math" w:cs="Arial"/>
                        <w:lang w:eastAsia="it-IT"/>
                      </w:rPr>
                      <m:t>-</m:t>
                    </m:r>
                  </m:sup>
                </m:sSup>
                <m:d>
                  <m:dPr>
                    <m:ctrlPr>
                      <w:rPr>
                        <w:rFonts w:ascii="Cambria Math" w:hAnsi="Cambria Math" w:cs="Arial"/>
                        <w:i/>
                        <w:lang w:eastAsia="it-IT"/>
                      </w:rPr>
                    </m:ctrlPr>
                  </m:dPr>
                  <m:e>
                    <m:r>
                      <w:rPr>
                        <w:rFonts w:ascii="Cambria Math" w:hAnsi="Cambria Math" w:cs="Arial"/>
                        <w:lang w:eastAsia="it-IT"/>
                      </w:rPr>
                      <m:t>aq</m:t>
                    </m:r>
                  </m:e>
                </m:d>
                <m:r>
                  <w:rPr>
                    <w:rFonts w:ascii="Cambria Math" w:hAnsi="Cambria Math" w:cs="Arial"/>
                    <w:lang w:eastAsia="it-IT"/>
                  </w:rPr>
                  <m:t xml:space="preserve">+2 </m:t>
                </m:r>
                <m:sSup>
                  <m:sSupPr>
                    <m:ctrlPr>
                      <w:rPr>
                        <w:rFonts w:ascii="Cambria Math" w:hAnsi="Cambria Math" w:cs="Arial"/>
                        <w:i/>
                        <w:lang w:eastAsia="it-IT"/>
                      </w:rPr>
                    </m:ctrlPr>
                  </m:sSupPr>
                  <m:e>
                    <m:r>
                      <w:rPr>
                        <w:rFonts w:ascii="Cambria Math" w:hAnsi="Cambria Math" w:cs="Arial"/>
                        <w:lang w:eastAsia="it-IT"/>
                      </w:rPr>
                      <m:t>Na</m:t>
                    </m:r>
                  </m:e>
                  <m:sup>
                    <m:r>
                      <w:rPr>
                        <w:rFonts w:ascii="Cambria Math" w:hAnsi="Cambria Math" w:cs="Arial"/>
                        <w:lang w:eastAsia="it-IT"/>
                      </w:rPr>
                      <m:t>-</m:t>
                    </m:r>
                  </m:sup>
                </m:sSup>
                <m:r>
                  <w:rPr>
                    <w:rFonts w:ascii="Cambria Math" w:hAnsi="Cambria Math" w:cs="Arial"/>
                    <w:lang w:eastAsia="it-IT"/>
                  </w:rPr>
                  <m:t>(aq)</m:t>
                </m:r>
                <m:r>
                  <m:rPr>
                    <m:sty m:val="p"/>
                  </m:rPr>
                  <w:rPr>
                    <w:rFonts w:ascii="Cambria Math" w:eastAsiaTheme="minorEastAsia" w:hAnsi="Cambria Math" w:cs="Arial"/>
                    <w:lang w:eastAsia="it-IT"/>
                  </w:rPr>
                  <m:t xml:space="preserve"> </m:t>
                </m:r>
                <m:r>
                  <w:rPr>
                    <w:rFonts w:ascii="Cambria Math" w:hAnsi="Cambria Math" w:cs="Arial"/>
                    <w:lang w:eastAsia="it-IT"/>
                  </w:rPr>
                  <m:t xml:space="preserve"> → Mg</m:t>
                </m:r>
                <m:sSub>
                  <m:sSubPr>
                    <m:ctrlPr>
                      <w:rPr>
                        <w:rFonts w:ascii="Cambria Math" w:hAnsi="Cambria Math" w:cs="Arial"/>
                        <w:i/>
                        <w:lang w:eastAsia="it-IT"/>
                      </w:rPr>
                    </m:ctrlPr>
                  </m:sSubPr>
                  <m:e>
                    <m:r>
                      <w:rPr>
                        <w:rFonts w:ascii="Cambria Math" w:hAnsi="Cambria Math" w:cs="Arial"/>
                        <w:lang w:eastAsia="it-IT"/>
                      </w:rPr>
                      <m:t>(OH)</m:t>
                    </m:r>
                  </m:e>
                  <m:sub>
                    <m:r>
                      <w:rPr>
                        <w:rFonts w:ascii="Cambria Math" w:hAnsi="Cambria Math" w:cs="Arial"/>
                        <w:lang w:eastAsia="it-IT"/>
                      </w:rPr>
                      <m:t>2</m:t>
                    </m:r>
                  </m:sub>
                </m:sSub>
                <m:r>
                  <w:rPr>
                    <w:rFonts w:ascii="Cambria Math" w:hAnsi="Cambria Math" w:cs="Arial"/>
                    <w:lang w:eastAsia="it-IT"/>
                  </w:rPr>
                  <m:t xml:space="preserve">(s)+2 </m:t>
                </m:r>
                <m:sSup>
                  <m:sSupPr>
                    <m:ctrlPr>
                      <w:rPr>
                        <w:rFonts w:ascii="Cambria Math" w:hAnsi="Cambria Math" w:cs="Arial"/>
                        <w:i/>
                        <w:lang w:eastAsia="it-IT"/>
                      </w:rPr>
                    </m:ctrlPr>
                  </m:sSupPr>
                  <m:e>
                    <m:r>
                      <w:rPr>
                        <w:rFonts w:ascii="Cambria Math" w:hAnsi="Cambria Math" w:cs="Arial"/>
                        <w:lang w:eastAsia="it-IT"/>
                      </w:rPr>
                      <m:t>Na</m:t>
                    </m:r>
                  </m:e>
                  <m:sup>
                    <m:r>
                      <w:rPr>
                        <w:rFonts w:ascii="Cambria Math" w:hAnsi="Cambria Math" w:cs="Arial"/>
                        <w:lang w:eastAsia="it-IT"/>
                      </w:rPr>
                      <m:t>-</m:t>
                    </m:r>
                  </m:sup>
                </m:sSup>
                <m:r>
                  <w:rPr>
                    <w:rFonts w:ascii="Cambria Math" w:hAnsi="Cambria Math" w:cs="Arial"/>
                    <w:lang w:eastAsia="it-IT"/>
                  </w:rPr>
                  <m:t>(aq)</m:t>
                </m:r>
              </m:oMath>
            </m:oMathPara>
          </w:p>
        </w:tc>
        <w:tc>
          <w:tcPr>
            <w:tcW w:w="815" w:type="dxa"/>
            <w:shd w:val="clear" w:color="auto" w:fill="auto"/>
            <w:vAlign w:val="center"/>
          </w:tcPr>
          <w:p w14:paraId="4490B7DA" w14:textId="77777777" w:rsidR="00E511C3" w:rsidRPr="00B57B36" w:rsidRDefault="00E511C3" w:rsidP="00F3734C">
            <w:pPr>
              <w:pStyle w:val="CETEquation"/>
              <w:jc w:val="right"/>
            </w:pPr>
            <w:r w:rsidRPr="00B57B36">
              <w:t>(1)</w:t>
            </w:r>
          </w:p>
        </w:tc>
      </w:tr>
    </w:tbl>
    <w:p w14:paraId="3ED65C78" w14:textId="77777777" w:rsidR="00E511C3" w:rsidRDefault="00E511C3" w:rsidP="004E66F4">
      <w:pPr>
        <w:pStyle w:val="CETBodytext"/>
      </w:pPr>
    </w:p>
    <w:p w14:paraId="1092DABC" w14:textId="7A07C200" w:rsidR="00231A8D" w:rsidRDefault="00A2453C" w:rsidP="00231A8D">
      <w:pPr>
        <w:rPr>
          <w:szCs w:val="24"/>
          <w:lang w:val="en-US"/>
        </w:rPr>
      </w:pPr>
      <w:r>
        <w:rPr>
          <w:color w:val="000000" w:themeColor="text1"/>
        </w:rPr>
        <w:t xml:space="preserve">In the present work, </w:t>
      </w:r>
      <w:proofErr w:type="gramStart"/>
      <w:r w:rsidR="00287F23">
        <w:rPr>
          <w:color w:val="000000" w:themeColor="text1"/>
        </w:rPr>
        <w:t>Mg(</w:t>
      </w:r>
      <w:proofErr w:type="gramEnd"/>
      <w:r w:rsidR="00287F23">
        <w:rPr>
          <w:color w:val="000000" w:themeColor="text1"/>
        </w:rPr>
        <w:t>OH)</w:t>
      </w:r>
      <w:r w:rsidR="00287F23" w:rsidRPr="00273101">
        <w:rPr>
          <w:color w:val="000000" w:themeColor="text1"/>
          <w:vertAlign w:val="subscript"/>
        </w:rPr>
        <w:t>2</w:t>
      </w:r>
      <w:r w:rsidR="00287F23">
        <w:rPr>
          <w:color w:val="000000" w:themeColor="text1"/>
          <w:vertAlign w:val="subscript"/>
        </w:rPr>
        <w:t xml:space="preserve"> </w:t>
      </w:r>
      <w:r w:rsidR="00287F23">
        <w:rPr>
          <w:color w:val="000000" w:themeColor="text1"/>
        </w:rPr>
        <w:t xml:space="preserve"> powders </w:t>
      </w:r>
      <w:r>
        <w:rPr>
          <w:color w:val="000000" w:themeColor="text1"/>
        </w:rPr>
        <w:t>were</w:t>
      </w:r>
      <w:r w:rsidR="00A1548B">
        <w:rPr>
          <w:lang w:eastAsia="it-IT"/>
        </w:rPr>
        <w:t xml:space="preserve"> synthesized </w:t>
      </w:r>
      <w:r w:rsidR="00CF4C12">
        <w:rPr>
          <w:lang w:eastAsia="it-IT"/>
        </w:rPr>
        <w:t xml:space="preserve">using </w:t>
      </w:r>
      <w:r w:rsidR="00302DC3">
        <w:rPr>
          <w:lang w:eastAsia="it-IT"/>
        </w:rPr>
        <w:t>Margi and Galia bittern</w:t>
      </w:r>
      <w:r w:rsidR="00622046">
        <w:rPr>
          <w:lang w:eastAsia="it-IT"/>
        </w:rPr>
        <w:t>s</w:t>
      </w:r>
      <w:r w:rsidR="00302DC3">
        <w:rPr>
          <w:lang w:eastAsia="it-IT"/>
        </w:rPr>
        <w:t xml:space="preserve"> </w:t>
      </w:r>
      <w:r w:rsidR="00CF4C12">
        <w:rPr>
          <w:lang w:eastAsia="it-IT"/>
        </w:rPr>
        <w:t>treated</w:t>
      </w:r>
      <w:r w:rsidR="00A1548B">
        <w:rPr>
          <w:lang w:eastAsia="it-IT"/>
        </w:rPr>
        <w:t xml:space="preserve"> </w:t>
      </w:r>
      <w:r w:rsidR="00302DC3">
        <w:rPr>
          <w:lang w:eastAsia="it-IT"/>
        </w:rPr>
        <w:t>with synthetic NaO</w:t>
      </w:r>
      <w:r w:rsidR="00D431D5">
        <w:rPr>
          <w:lang w:eastAsia="it-IT"/>
        </w:rPr>
        <w:t>H</w:t>
      </w:r>
      <w:r w:rsidR="00302DC3">
        <w:rPr>
          <w:lang w:eastAsia="it-IT"/>
        </w:rPr>
        <w:t xml:space="preserve"> solutions.</w:t>
      </w:r>
      <w:r w:rsidR="00D431D5">
        <w:rPr>
          <w:lang w:eastAsia="it-IT"/>
        </w:rPr>
        <w:t xml:space="preserve"> NaOH solutions were </w:t>
      </w:r>
      <w:r w:rsidR="00622046">
        <w:rPr>
          <w:lang w:eastAsia="it-IT"/>
        </w:rPr>
        <w:t>made</w:t>
      </w:r>
      <w:r w:rsidR="00D431D5">
        <w:rPr>
          <w:lang w:eastAsia="it-IT"/>
        </w:rPr>
        <w:t xml:space="preserve"> </w:t>
      </w:r>
      <w:r w:rsidR="00D431D5" w:rsidRPr="00DF4E15">
        <w:rPr>
          <w:szCs w:val="24"/>
          <w:lang w:val="en-US"/>
        </w:rPr>
        <w:t xml:space="preserve">by </w:t>
      </w:r>
      <w:r w:rsidR="002F5815">
        <w:rPr>
          <w:szCs w:val="24"/>
          <w:lang w:val="en-US"/>
        </w:rPr>
        <w:t>dissolving</w:t>
      </w:r>
      <w:r w:rsidR="00D431D5" w:rsidRPr="00DF4E15">
        <w:rPr>
          <w:szCs w:val="24"/>
          <w:lang w:val="en-US"/>
        </w:rPr>
        <w:t xml:space="preserve"> NaOH pellets </w:t>
      </w:r>
      <w:r w:rsidR="00D431D5" w:rsidRPr="00930B1F">
        <w:rPr>
          <w:szCs w:val="24"/>
          <w:lang w:val="en-US"/>
        </w:rPr>
        <w:t>(</w:t>
      </w:r>
      <w:proofErr w:type="spellStart"/>
      <w:r w:rsidR="00D431D5" w:rsidRPr="00930B1F">
        <w:rPr>
          <w:szCs w:val="24"/>
          <w:lang w:val="en-US"/>
        </w:rPr>
        <w:t>Honeywell|Fluka</w:t>
      </w:r>
      <w:proofErr w:type="spellEnd"/>
      <w:r w:rsidR="00D431D5" w:rsidRPr="00930B1F">
        <w:rPr>
          <w:szCs w:val="24"/>
          <w:lang w:val="en-US"/>
        </w:rPr>
        <w:t xml:space="preserve">™, purity </w:t>
      </w:r>
      <w:r w:rsidR="00D431D5">
        <w:rPr>
          <w:szCs w:val="24"/>
          <w:lang w:val="en-US"/>
        </w:rPr>
        <w:t>&gt;</w:t>
      </w:r>
      <w:r w:rsidR="00D431D5" w:rsidRPr="00930B1F">
        <w:rPr>
          <w:szCs w:val="24"/>
          <w:lang w:val="en-US"/>
        </w:rPr>
        <w:t xml:space="preserve"> 98</w:t>
      </w:r>
      <w:r w:rsidR="00CC40C0">
        <w:rPr>
          <w:szCs w:val="24"/>
          <w:lang w:val="en-US"/>
        </w:rPr>
        <w:t xml:space="preserve"> </w:t>
      </w:r>
      <w:r w:rsidR="00D431D5" w:rsidRPr="00930B1F">
        <w:rPr>
          <w:szCs w:val="24"/>
          <w:lang w:val="en-US"/>
        </w:rPr>
        <w:t xml:space="preserve">%) </w:t>
      </w:r>
      <w:r w:rsidR="00D431D5">
        <w:rPr>
          <w:szCs w:val="24"/>
          <w:lang w:val="en-US"/>
        </w:rPr>
        <w:t>in deionized water</w:t>
      </w:r>
      <w:r w:rsidR="00556B0E">
        <w:rPr>
          <w:szCs w:val="24"/>
          <w:lang w:val="en-US"/>
        </w:rPr>
        <w:t xml:space="preserve"> and</w:t>
      </w:r>
      <w:r w:rsidR="00E432BE">
        <w:rPr>
          <w:szCs w:val="24"/>
          <w:lang w:val="en-US"/>
        </w:rPr>
        <w:t xml:space="preserve"> their</w:t>
      </w:r>
      <w:r w:rsidR="00556B0E">
        <w:rPr>
          <w:szCs w:val="24"/>
          <w:lang w:val="en-US"/>
        </w:rPr>
        <w:t xml:space="preserve"> </w:t>
      </w:r>
      <w:r w:rsidR="001E1909">
        <w:rPr>
          <w:szCs w:val="24"/>
          <w:lang w:val="en-US"/>
        </w:rPr>
        <w:t>concentrations</w:t>
      </w:r>
      <w:r w:rsidR="00E432BE">
        <w:rPr>
          <w:szCs w:val="24"/>
          <w:lang w:val="en-US"/>
        </w:rPr>
        <w:t xml:space="preserve"> </w:t>
      </w:r>
      <w:r w:rsidR="001E1909">
        <w:rPr>
          <w:szCs w:val="24"/>
          <w:lang w:val="en-US"/>
        </w:rPr>
        <w:t xml:space="preserve">verified by </w:t>
      </w:r>
      <w:r w:rsidR="004E25B0">
        <w:rPr>
          <w:szCs w:val="24"/>
          <w:lang w:val="en-US"/>
        </w:rPr>
        <w:t>titration</w:t>
      </w:r>
      <w:r w:rsidR="00D431D5">
        <w:rPr>
          <w:szCs w:val="24"/>
          <w:lang w:val="en-US"/>
        </w:rPr>
        <w:t>.</w:t>
      </w:r>
      <w:r w:rsidR="00231A8D">
        <w:rPr>
          <w:szCs w:val="24"/>
          <w:lang w:val="en-US"/>
        </w:rPr>
        <w:t xml:space="preserve"> </w:t>
      </w:r>
    </w:p>
    <w:p w14:paraId="42D71E83" w14:textId="5A161EFB" w:rsidR="008E55FD" w:rsidRDefault="008E6092" w:rsidP="00313418">
      <w:pPr>
        <w:pStyle w:val="CETBodytext"/>
        <w:rPr>
          <w:szCs w:val="24"/>
        </w:rPr>
      </w:pPr>
      <w:r>
        <w:rPr>
          <w:lang w:eastAsia="it-IT"/>
        </w:rPr>
        <w:t>Bitterns</w:t>
      </w:r>
      <w:r w:rsidR="00E17768">
        <w:rPr>
          <w:lang w:eastAsia="it-IT"/>
        </w:rPr>
        <w:t>’</w:t>
      </w:r>
      <w:r>
        <w:rPr>
          <w:lang w:eastAsia="it-IT"/>
        </w:rPr>
        <w:t xml:space="preserve"> </w:t>
      </w:r>
      <w:r w:rsidR="00B96283">
        <w:rPr>
          <w:lang w:eastAsia="it-IT"/>
        </w:rPr>
        <w:t>Mg</w:t>
      </w:r>
      <w:r w:rsidR="00B96283" w:rsidRPr="00B96283">
        <w:rPr>
          <w:vertAlign w:val="superscript"/>
          <w:lang w:eastAsia="it-IT"/>
        </w:rPr>
        <w:t>2+</w:t>
      </w:r>
      <w:r w:rsidR="00B96283">
        <w:rPr>
          <w:szCs w:val="24"/>
        </w:rPr>
        <w:t xml:space="preserve"> </w:t>
      </w:r>
      <w:r w:rsidR="008F5E84">
        <w:rPr>
          <w:szCs w:val="24"/>
        </w:rPr>
        <w:t>compositi</w:t>
      </w:r>
      <w:r w:rsidR="00F34869">
        <w:rPr>
          <w:szCs w:val="24"/>
        </w:rPr>
        <w:t>o</w:t>
      </w:r>
      <w:r w:rsidR="00F07072">
        <w:rPr>
          <w:szCs w:val="24"/>
        </w:rPr>
        <w:t xml:space="preserve">n </w:t>
      </w:r>
      <w:r w:rsidR="00F34869">
        <w:rPr>
          <w:szCs w:val="24"/>
        </w:rPr>
        <w:t xml:space="preserve">was </w:t>
      </w:r>
      <w:r w:rsidR="00125CE9">
        <w:rPr>
          <w:szCs w:val="24"/>
        </w:rPr>
        <w:t xml:space="preserve">assessed through </w:t>
      </w:r>
      <w:r w:rsidR="00F34869">
        <w:rPr>
          <w:szCs w:val="24"/>
        </w:rPr>
        <w:t xml:space="preserve">Ion Chromatography </w:t>
      </w:r>
      <w:r w:rsidR="00890789" w:rsidRPr="00BF6584">
        <w:rPr>
          <w:szCs w:val="24"/>
        </w:rPr>
        <w:t>(</w:t>
      </w:r>
      <w:r w:rsidR="00890789">
        <w:rPr>
          <w:szCs w:val="24"/>
        </w:rPr>
        <w:t xml:space="preserve">IC, </w:t>
      </w:r>
      <w:proofErr w:type="spellStart"/>
      <w:r w:rsidR="00890789" w:rsidRPr="00BF6584">
        <w:rPr>
          <w:szCs w:val="24"/>
        </w:rPr>
        <w:t>Metrohm</w:t>
      </w:r>
      <w:proofErr w:type="spellEnd"/>
      <w:r w:rsidR="00890789" w:rsidRPr="00BF6584">
        <w:rPr>
          <w:szCs w:val="24"/>
        </w:rPr>
        <w:t xml:space="preserve"> 882 Compact IC plus</w:t>
      </w:r>
      <w:r w:rsidR="00890789">
        <w:rPr>
          <w:szCs w:val="24"/>
        </w:rPr>
        <w:t>) analysis</w:t>
      </w:r>
      <w:r w:rsidR="00B67F7B">
        <w:rPr>
          <w:szCs w:val="24"/>
        </w:rPr>
        <w:t xml:space="preserve">. NaOH solutions and </w:t>
      </w:r>
      <w:r w:rsidR="0061222A">
        <w:rPr>
          <w:szCs w:val="24"/>
        </w:rPr>
        <w:t>bittern Mg</w:t>
      </w:r>
      <w:r w:rsidR="0061222A" w:rsidRPr="0061222A">
        <w:rPr>
          <w:szCs w:val="24"/>
          <w:vertAlign w:val="superscript"/>
        </w:rPr>
        <w:t>2+</w:t>
      </w:r>
      <w:r w:rsidR="0061222A">
        <w:rPr>
          <w:szCs w:val="24"/>
        </w:rPr>
        <w:t xml:space="preserve"> concentrations are</w:t>
      </w:r>
      <w:r w:rsidR="00313418">
        <w:rPr>
          <w:szCs w:val="24"/>
        </w:rPr>
        <w:t xml:space="preserve"> reported in </w:t>
      </w:r>
      <w:r w:rsidR="00313418">
        <w:rPr>
          <w:szCs w:val="24"/>
        </w:rPr>
        <w:fldChar w:fldCharType="begin"/>
      </w:r>
      <w:r w:rsidR="00313418">
        <w:rPr>
          <w:szCs w:val="24"/>
        </w:rPr>
        <w:instrText xml:space="preserve"> REF _Ref93743761 \h </w:instrText>
      </w:r>
      <w:r w:rsidR="00313418">
        <w:rPr>
          <w:szCs w:val="24"/>
        </w:rPr>
      </w:r>
      <w:r w:rsidR="00313418">
        <w:rPr>
          <w:szCs w:val="24"/>
        </w:rPr>
        <w:fldChar w:fldCharType="separate"/>
      </w:r>
      <w:r w:rsidR="001A3C27" w:rsidRPr="00161064">
        <w:t xml:space="preserve">Table </w:t>
      </w:r>
      <w:r w:rsidR="001A3C27">
        <w:rPr>
          <w:noProof/>
        </w:rPr>
        <w:t>1</w:t>
      </w:r>
      <w:r w:rsidR="00313418">
        <w:rPr>
          <w:szCs w:val="24"/>
        </w:rPr>
        <w:fldChar w:fldCharType="end"/>
      </w:r>
      <w:r w:rsidR="00313418">
        <w:rPr>
          <w:szCs w:val="24"/>
        </w:rPr>
        <w:t>.</w:t>
      </w:r>
    </w:p>
    <w:p w14:paraId="06A6BCB3" w14:textId="77777777" w:rsidR="00313418" w:rsidRPr="006F05FF" w:rsidRDefault="00313418" w:rsidP="00313418">
      <w:pPr>
        <w:pStyle w:val="CETBodytext"/>
        <w:rPr>
          <w:b/>
          <w:bCs/>
          <w:szCs w:val="24"/>
        </w:rPr>
      </w:pPr>
    </w:p>
    <w:p w14:paraId="477800CC" w14:textId="41B250B9" w:rsidR="00991EE1" w:rsidRPr="00360C24" w:rsidRDefault="00991EE1" w:rsidP="00EC2F83">
      <w:pPr>
        <w:pStyle w:val="CETheadingx"/>
      </w:pPr>
      <w:r w:rsidRPr="00B54A93">
        <w:t xml:space="preserve">Experimental </w:t>
      </w:r>
      <w:r>
        <w:t xml:space="preserve">tests and procedure </w:t>
      </w:r>
    </w:p>
    <w:p w14:paraId="75735BF3" w14:textId="4AE2CC9C" w:rsidR="00653039" w:rsidRPr="00845EC6" w:rsidRDefault="00EE2E7F" w:rsidP="00845EC6">
      <w:pPr>
        <w:pStyle w:val="CETBodytext"/>
      </w:pPr>
      <w:proofErr w:type="gramStart"/>
      <w:r>
        <w:rPr>
          <w:color w:val="000000" w:themeColor="text1"/>
        </w:rPr>
        <w:t>Mg(</w:t>
      </w:r>
      <w:proofErr w:type="gramEnd"/>
      <w:r>
        <w:rPr>
          <w:color w:val="000000" w:themeColor="text1"/>
        </w:rPr>
        <w:t>OH)</w:t>
      </w:r>
      <w:r w:rsidRPr="00273101">
        <w:rPr>
          <w:color w:val="000000" w:themeColor="text1"/>
          <w:vertAlign w:val="subscript"/>
        </w:rPr>
        <w:t>2</w:t>
      </w:r>
      <w:r>
        <w:rPr>
          <w:color w:val="000000" w:themeColor="text1"/>
          <w:vertAlign w:val="subscript"/>
        </w:rPr>
        <w:t xml:space="preserve"> </w:t>
      </w:r>
      <w:r w:rsidR="008535C5" w:rsidRPr="00845EC6">
        <w:t xml:space="preserve">particles </w:t>
      </w:r>
      <w:r w:rsidR="00B14CD8" w:rsidRPr="00845EC6">
        <w:t xml:space="preserve">were synthesized </w:t>
      </w:r>
      <w:r w:rsidR="00BB08D4">
        <w:t xml:space="preserve">by </w:t>
      </w:r>
      <w:r w:rsidR="00B476B5" w:rsidRPr="00845EC6">
        <w:t xml:space="preserve">performing stoichiometric and 20% </w:t>
      </w:r>
      <w:r w:rsidR="00134B76" w:rsidRPr="00845EC6">
        <w:t>OH</w:t>
      </w:r>
      <w:r w:rsidR="00134B76" w:rsidRPr="00A13E77">
        <w:rPr>
          <w:vertAlign w:val="superscript"/>
        </w:rPr>
        <w:t>-</w:t>
      </w:r>
      <w:r w:rsidR="00134B76" w:rsidRPr="00845EC6">
        <w:t xml:space="preserve"> </w:t>
      </w:r>
      <w:r w:rsidR="00B476B5" w:rsidRPr="00845EC6">
        <w:t xml:space="preserve">excess precipitation </w:t>
      </w:r>
      <w:r w:rsidR="00CE3462">
        <w:t>experiments</w:t>
      </w:r>
      <w:r w:rsidR="00517B39" w:rsidRPr="00845EC6">
        <w:t>.</w:t>
      </w:r>
      <w:r w:rsidR="002215D5" w:rsidRPr="00845EC6">
        <w:t xml:space="preserve"> </w:t>
      </w:r>
      <w:r w:rsidR="0028195A">
        <w:t>T</w:t>
      </w:r>
      <w:r w:rsidR="0028195A" w:rsidRPr="00845EC6">
        <w:t>he same 2 mm</w:t>
      </w:r>
      <w:r w:rsidR="003D6153">
        <w:t xml:space="preserve"> diameter</w:t>
      </w:r>
      <w:r w:rsidR="0028195A" w:rsidRPr="00845EC6">
        <w:t xml:space="preserve"> T-mixer</w:t>
      </w:r>
      <w:r w:rsidR="0028195A">
        <w:t xml:space="preserve"> employed by </w:t>
      </w:r>
      <w:r w:rsidR="003B2449" w:rsidRPr="00845EC6">
        <w:t xml:space="preserve">Battaglia et al. </w:t>
      </w:r>
      <w:r w:rsidR="002215D5" w:rsidRPr="00845EC6">
        <w:fldChar w:fldCharType="begin" w:fldLock="1"/>
      </w:r>
      <w:r w:rsidR="00A56A21">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2215D5" w:rsidRPr="00845EC6">
        <w:fldChar w:fldCharType="separate"/>
      </w:r>
      <w:r w:rsidR="00A56A21" w:rsidRPr="00A56A21">
        <w:rPr>
          <w:noProof/>
        </w:rPr>
        <w:t>(Battaglia et al., 2022)</w:t>
      </w:r>
      <w:r w:rsidR="002215D5" w:rsidRPr="00845EC6">
        <w:fldChar w:fldCharType="end"/>
      </w:r>
      <w:r w:rsidR="002215D5" w:rsidRPr="00845EC6">
        <w:t xml:space="preserve"> </w:t>
      </w:r>
      <w:r w:rsidR="0028195A">
        <w:t xml:space="preserve">was used. Battaglia et al. obtained </w:t>
      </w:r>
      <w:proofErr w:type="gramStart"/>
      <w:r w:rsidR="0028195A">
        <w:rPr>
          <w:color w:val="000000" w:themeColor="text1"/>
        </w:rPr>
        <w:t>Mg(</w:t>
      </w:r>
      <w:proofErr w:type="gramEnd"/>
      <w:r w:rsidR="0028195A">
        <w:rPr>
          <w:color w:val="000000" w:themeColor="text1"/>
        </w:rPr>
        <w:t>OH)</w:t>
      </w:r>
      <w:r w:rsidR="0028195A" w:rsidRPr="00273101">
        <w:rPr>
          <w:color w:val="000000" w:themeColor="text1"/>
          <w:vertAlign w:val="subscript"/>
        </w:rPr>
        <w:t>2</w:t>
      </w:r>
      <w:r w:rsidR="008B2D11">
        <w:rPr>
          <w:color w:val="000000" w:themeColor="text1"/>
          <w:vertAlign w:val="subscript"/>
        </w:rPr>
        <w:t xml:space="preserve"> </w:t>
      </w:r>
      <w:r w:rsidR="002215D5" w:rsidRPr="00845EC6">
        <w:t>nanoparticles</w:t>
      </w:r>
      <w:r w:rsidR="00D737A9">
        <w:t xml:space="preserve"> from </w:t>
      </w:r>
      <w:r w:rsidR="002215D5" w:rsidRPr="00845EC6">
        <w:t>1</w:t>
      </w:r>
      <w:r w:rsidR="00CC40C0">
        <w:t xml:space="preserve"> </w:t>
      </w:r>
      <w:r w:rsidR="002215D5" w:rsidRPr="00845EC6">
        <w:t>M MgCl</w:t>
      </w:r>
      <w:r w:rsidR="002215D5" w:rsidRPr="00EE2E7F">
        <w:rPr>
          <w:vertAlign w:val="subscript"/>
        </w:rPr>
        <w:t>2</w:t>
      </w:r>
      <w:r w:rsidR="002215D5" w:rsidRPr="00845EC6">
        <w:t xml:space="preserve"> and 2</w:t>
      </w:r>
      <w:r w:rsidR="00CC40C0">
        <w:t xml:space="preserve"> </w:t>
      </w:r>
      <w:r w:rsidR="002215D5" w:rsidRPr="00845EC6">
        <w:t>M NaOH synthetic solutions</w:t>
      </w:r>
      <w:r w:rsidR="00C54336" w:rsidRPr="00845EC6">
        <w:t xml:space="preserve"> </w:t>
      </w:r>
      <w:r w:rsidR="00AA1105" w:rsidRPr="00845EC6">
        <w:t>when the</w:t>
      </w:r>
      <w:r w:rsidR="00347AE2" w:rsidRPr="00845EC6">
        <w:t xml:space="preserve"> </w:t>
      </w:r>
      <w:r w:rsidR="00347AE2" w:rsidRPr="00845EC6">
        <w:lastRenderedPageBreak/>
        <w:t xml:space="preserve">mean fluid flow velocity in the mixing channel </w:t>
      </w:r>
      <w:r w:rsidR="00560124" w:rsidRPr="00845EC6">
        <w:t>was</w:t>
      </w:r>
      <w:r w:rsidR="00347AE2" w:rsidRPr="00845EC6">
        <w:t xml:space="preserve"> 12 m/s (a </w:t>
      </w:r>
      <w:r w:rsidR="0073219B" w:rsidRPr="00845EC6">
        <w:t xml:space="preserve">total </w:t>
      </w:r>
      <w:r w:rsidR="00347AE2" w:rsidRPr="00845EC6">
        <w:t xml:space="preserve">flow rate of </w:t>
      </w:r>
      <w:r w:rsidR="0008233C" w:rsidRPr="00845EC6">
        <w:t>~</w:t>
      </w:r>
      <w:r w:rsidR="00347AE2" w:rsidRPr="00845EC6">
        <w:t>2320 mL/min).</w:t>
      </w:r>
      <w:r w:rsidR="00251074" w:rsidRPr="00845EC6">
        <w:t xml:space="preserve"> </w:t>
      </w:r>
      <w:r w:rsidR="002215D5" w:rsidRPr="00845EC6">
        <w:t>In the present work</w:t>
      </w:r>
      <w:r w:rsidR="00A25BA2">
        <w:t>,</w:t>
      </w:r>
      <w:r w:rsidR="002215D5" w:rsidRPr="00845EC6">
        <w:t xml:space="preserve"> due to the high Mg</w:t>
      </w:r>
      <w:r w:rsidR="002215D5" w:rsidRPr="00A25BA2">
        <w:rPr>
          <w:vertAlign w:val="superscript"/>
        </w:rPr>
        <w:t>2+</w:t>
      </w:r>
      <w:r w:rsidR="002215D5" w:rsidRPr="00845EC6">
        <w:t xml:space="preserve"> content in the Margi bittern</w:t>
      </w:r>
      <w:r w:rsidR="00D123DC" w:rsidRPr="00845EC6">
        <w:t>s</w:t>
      </w:r>
      <w:r w:rsidR="002215D5" w:rsidRPr="00845EC6">
        <w:t xml:space="preserve">, </w:t>
      </w:r>
      <w:proofErr w:type="gramStart"/>
      <w:r w:rsidR="002215D5" w:rsidRPr="00845EC6">
        <w:t>i.e.</w:t>
      </w:r>
      <w:proofErr w:type="gramEnd"/>
      <w:r w:rsidR="002215D5" w:rsidRPr="00845EC6">
        <w:t xml:space="preserve"> ~2.5</w:t>
      </w:r>
      <w:r w:rsidR="00CC40C0">
        <w:t xml:space="preserve"> </w:t>
      </w:r>
      <w:r w:rsidR="002215D5" w:rsidRPr="00845EC6">
        <w:t>M, at least a 5</w:t>
      </w:r>
      <w:r w:rsidR="00CC40C0">
        <w:t xml:space="preserve"> </w:t>
      </w:r>
      <w:r w:rsidR="002215D5" w:rsidRPr="00845EC6">
        <w:t xml:space="preserve">M NaOH solution would </w:t>
      </w:r>
      <w:r w:rsidR="00F86E5F" w:rsidRPr="00845EC6">
        <w:t>be</w:t>
      </w:r>
      <w:r w:rsidR="002215D5" w:rsidRPr="00845EC6">
        <w:t xml:space="preserve"> needed</w:t>
      </w:r>
      <w:r w:rsidR="00C714C9" w:rsidRPr="00845EC6">
        <w:t xml:space="preserve"> if the same solution flow rate </w:t>
      </w:r>
      <w:r w:rsidR="00FF482C">
        <w:t>had</w:t>
      </w:r>
      <w:r w:rsidR="00F86E5F" w:rsidRPr="00845EC6">
        <w:t xml:space="preserve"> </w:t>
      </w:r>
      <w:r w:rsidR="00BB08D4">
        <w:t xml:space="preserve">been </w:t>
      </w:r>
      <w:r w:rsidR="00C714C9" w:rsidRPr="00845EC6">
        <w:t>used</w:t>
      </w:r>
      <w:r w:rsidR="002215D5" w:rsidRPr="00845EC6">
        <w:t xml:space="preserve">. </w:t>
      </w:r>
      <w:r w:rsidR="00315DD7" w:rsidRPr="00845EC6">
        <w:t>To</w:t>
      </w:r>
      <w:r w:rsidR="00E001F6" w:rsidRPr="00845EC6">
        <w:t xml:space="preserve"> avoid handling </w:t>
      </w:r>
      <w:r w:rsidR="00204B7A">
        <w:t>hazardous</w:t>
      </w:r>
      <w:r w:rsidR="00E001F6" w:rsidRPr="00845EC6">
        <w:t xml:space="preserve"> solutions, </w:t>
      </w:r>
      <w:r w:rsidR="00FE4B91" w:rsidRPr="00845EC6">
        <w:t xml:space="preserve">the </w:t>
      </w:r>
      <w:r w:rsidR="002215D5" w:rsidRPr="00845EC6">
        <w:t>NaOH</w:t>
      </w:r>
      <w:r w:rsidR="00EA2F5B" w:rsidRPr="00845EC6">
        <w:t xml:space="preserve"> flow rate was doubled with respect </w:t>
      </w:r>
      <w:r w:rsidR="00EC4AE2" w:rsidRPr="00845EC6">
        <w:t xml:space="preserve">to </w:t>
      </w:r>
      <w:r w:rsidR="00EA2F5B" w:rsidRPr="00845EC6">
        <w:t>that of bitterns’ one, targeting</w:t>
      </w:r>
      <w:r w:rsidR="00FE4B91" w:rsidRPr="00845EC6">
        <w:t xml:space="preserve"> </w:t>
      </w:r>
      <w:r w:rsidR="00EA2F5B" w:rsidRPr="00845EC6">
        <w:t xml:space="preserve">the same </w:t>
      </w:r>
      <w:r w:rsidR="00A30CBC" w:rsidRPr="00845EC6">
        <w:t xml:space="preserve">total </w:t>
      </w:r>
      <w:r w:rsidR="00EA2F5B" w:rsidRPr="00845EC6">
        <w:t xml:space="preserve">flow rate in the mixing channel </w:t>
      </w:r>
      <w:r w:rsidR="00F86E5F" w:rsidRPr="00845EC6">
        <w:t xml:space="preserve">employed </w:t>
      </w:r>
      <w:r w:rsidR="002A7563">
        <w:t xml:space="preserve">by Battaglia et al. </w:t>
      </w:r>
      <w:r w:rsidR="00EA2F5B" w:rsidRPr="00845EC6">
        <w:fldChar w:fldCharType="begin" w:fldLock="1"/>
      </w:r>
      <w:r w:rsidR="00A56A21">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EA2F5B" w:rsidRPr="00845EC6">
        <w:fldChar w:fldCharType="separate"/>
      </w:r>
      <w:r w:rsidR="00A56A21" w:rsidRPr="00A56A21">
        <w:rPr>
          <w:noProof/>
        </w:rPr>
        <w:t>(Battaglia et al., 2022)</w:t>
      </w:r>
      <w:r w:rsidR="00EA2F5B" w:rsidRPr="00845EC6">
        <w:fldChar w:fldCharType="end"/>
      </w:r>
      <w:r w:rsidR="00A30CBC" w:rsidRPr="00845EC6">
        <w:t xml:space="preserve">, i.e. </w:t>
      </w:r>
      <w:r w:rsidR="0008233C" w:rsidRPr="00845EC6">
        <w:t>~</w:t>
      </w:r>
      <w:r w:rsidR="00A30CBC" w:rsidRPr="00845EC6">
        <w:t>2320 mL/min</w:t>
      </w:r>
      <w:r w:rsidR="00EA2F5B" w:rsidRPr="00845EC6">
        <w:t xml:space="preserve">. </w:t>
      </w:r>
      <w:r w:rsidR="00991EE1" w:rsidRPr="00845EC6">
        <w:fldChar w:fldCharType="begin"/>
      </w:r>
      <w:r w:rsidR="00991EE1" w:rsidRPr="00845EC6">
        <w:instrText xml:space="preserve"> REF _Ref93743761 \h  \* MERGEFORMAT </w:instrText>
      </w:r>
      <w:r w:rsidR="00991EE1" w:rsidRPr="00845EC6">
        <w:fldChar w:fldCharType="separate"/>
      </w:r>
      <w:r w:rsidR="001A3C27" w:rsidRPr="00161064">
        <w:t xml:space="preserve">Table </w:t>
      </w:r>
      <w:r w:rsidR="001A3C27">
        <w:t>1</w:t>
      </w:r>
      <w:r w:rsidR="00991EE1" w:rsidRPr="00845EC6">
        <w:fldChar w:fldCharType="end"/>
      </w:r>
      <w:r w:rsidR="00991EE1" w:rsidRPr="00845EC6">
        <w:t xml:space="preserve"> </w:t>
      </w:r>
      <w:r w:rsidR="00990AB4" w:rsidRPr="00845EC6">
        <w:t xml:space="preserve">presents details of </w:t>
      </w:r>
      <w:r w:rsidR="004E0F86" w:rsidRPr="00845EC6">
        <w:t xml:space="preserve">the </w:t>
      </w:r>
      <w:r w:rsidR="00991EE1" w:rsidRPr="00845EC6">
        <w:t xml:space="preserve">experimental tests. </w:t>
      </w:r>
      <w:r w:rsidR="00653039" w:rsidRPr="00845EC6">
        <w:t xml:space="preserve">Each experiment was </w:t>
      </w:r>
      <w:r w:rsidR="004E6532" w:rsidRPr="00845EC6">
        <w:t xml:space="preserve">conducted </w:t>
      </w:r>
      <w:r w:rsidR="00653039" w:rsidRPr="00845EC6">
        <w:t xml:space="preserve">twice for </w:t>
      </w:r>
      <w:r w:rsidR="002B5560" w:rsidRPr="00845EC6">
        <w:t>reproducibility</w:t>
      </w:r>
      <w:r w:rsidR="004E6532" w:rsidRPr="00845EC6">
        <w:t xml:space="preserve"> </w:t>
      </w:r>
      <w:r w:rsidR="00653039" w:rsidRPr="00845EC6">
        <w:t>purpose</w:t>
      </w:r>
      <w:r w:rsidR="004B7FBE">
        <w:t>s</w:t>
      </w:r>
      <w:r w:rsidR="004E6532" w:rsidRPr="00845EC6">
        <w:t>.</w:t>
      </w:r>
    </w:p>
    <w:p w14:paraId="0E67A27D" w14:textId="1BA4D1DA" w:rsidR="004009B1" w:rsidRPr="0085642E" w:rsidRDefault="00991EE1" w:rsidP="0085642E">
      <w:pPr>
        <w:pStyle w:val="CETCaption"/>
        <w:rPr>
          <w:lang w:val="en-US"/>
        </w:rPr>
      </w:pPr>
      <w:bookmarkStart w:id="2" w:name="_Ref93743761"/>
      <w:r w:rsidRPr="00161064">
        <w:rPr>
          <w:lang w:val="en-US"/>
        </w:rPr>
        <w:t xml:space="preserve">Table </w:t>
      </w:r>
      <w:r w:rsidRPr="00161064">
        <w:rPr>
          <w:b/>
        </w:rPr>
        <w:fldChar w:fldCharType="begin"/>
      </w:r>
      <w:r w:rsidRPr="00161064">
        <w:rPr>
          <w:lang w:val="en-US"/>
        </w:rPr>
        <w:instrText xml:space="preserve"> SEQ Table \* ARABIC </w:instrText>
      </w:r>
      <w:r w:rsidRPr="00161064">
        <w:rPr>
          <w:b/>
        </w:rPr>
        <w:fldChar w:fldCharType="separate"/>
      </w:r>
      <w:r w:rsidR="001A3C27">
        <w:rPr>
          <w:noProof/>
          <w:lang w:val="en-US"/>
        </w:rPr>
        <w:t>1</w:t>
      </w:r>
      <w:r w:rsidRPr="00161064">
        <w:rPr>
          <w:b/>
        </w:rPr>
        <w:fldChar w:fldCharType="end"/>
      </w:r>
      <w:bookmarkEnd w:id="2"/>
      <w:r w:rsidRPr="00D90D47">
        <w:rPr>
          <w:lang w:val="en-US"/>
        </w:rPr>
        <w:t xml:space="preserve"> Operating conditions of experimental tests.</w:t>
      </w:r>
    </w:p>
    <w:tbl>
      <w:tblPr>
        <w:tblW w:w="855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2"/>
        <w:gridCol w:w="1113"/>
        <w:gridCol w:w="1276"/>
        <w:gridCol w:w="959"/>
        <w:gridCol w:w="1215"/>
        <w:gridCol w:w="1795"/>
        <w:gridCol w:w="1321"/>
      </w:tblGrid>
      <w:tr w:rsidR="00267CE9" w:rsidRPr="003734B7" w14:paraId="701F8F89" w14:textId="765DABD2" w:rsidTr="00C740B6">
        <w:tc>
          <w:tcPr>
            <w:tcW w:w="872" w:type="dxa"/>
            <w:tcBorders>
              <w:top w:val="single" w:sz="12" w:space="0" w:color="008000"/>
              <w:bottom w:val="single" w:sz="4" w:space="0" w:color="auto"/>
            </w:tcBorders>
            <w:shd w:val="clear" w:color="auto" w:fill="FFFFFF"/>
            <w:vAlign w:val="center"/>
          </w:tcPr>
          <w:p w14:paraId="40FB28A4" w14:textId="4178F3C3" w:rsidR="00267CE9" w:rsidRPr="004C71D8" w:rsidRDefault="00267CE9" w:rsidP="00BE381D">
            <w:pPr>
              <w:pStyle w:val="CETBodytext"/>
              <w:jc w:val="center"/>
              <w:rPr>
                <w:i/>
                <w:iCs/>
                <w:lang w:val="en-GB"/>
              </w:rPr>
            </w:pPr>
            <w:r w:rsidRPr="004C71D8">
              <w:rPr>
                <w:i/>
                <w:iCs/>
                <w:lang w:val="en-GB"/>
              </w:rPr>
              <w:t>Tests</w:t>
            </w:r>
          </w:p>
        </w:tc>
        <w:tc>
          <w:tcPr>
            <w:tcW w:w="1113" w:type="dxa"/>
            <w:tcBorders>
              <w:top w:val="single" w:sz="12" w:space="0" w:color="008000"/>
              <w:bottom w:val="single" w:sz="4" w:space="0" w:color="auto"/>
            </w:tcBorders>
            <w:shd w:val="clear" w:color="auto" w:fill="FFFFFF"/>
            <w:vAlign w:val="center"/>
          </w:tcPr>
          <w:p w14:paraId="7E52E9F3" w14:textId="68EFFDCA" w:rsidR="00267CE9" w:rsidRPr="004C71D8" w:rsidRDefault="00267CE9" w:rsidP="00BE381D">
            <w:pPr>
              <w:pStyle w:val="CETBodytext"/>
              <w:jc w:val="center"/>
              <w:rPr>
                <w:i/>
                <w:iCs/>
                <w:lang w:val="en-GB"/>
              </w:rPr>
            </w:pPr>
            <w:r w:rsidRPr="004C71D8">
              <w:rPr>
                <w:i/>
                <w:iCs/>
                <w:lang w:val="en-GB"/>
              </w:rPr>
              <w:t>Bittern solution</w:t>
            </w:r>
          </w:p>
        </w:tc>
        <w:tc>
          <w:tcPr>
            <w:tcW w:w="1276" w:type="dxa"/>
            <w:tcBorders>
              <w:top w:val="single" w:sz="12" w:space="0" w:color="008000"/>
              <w:bottom w:val="single" w:sz="4" w:space="0" w:color="auto"/>
            </w:tcBorders>
            <w:shd w:val="clear" w:color="auto" w:fill="FFFFFF"/>
            <w:vAlign w:val="center"/>
          </w:tcPr>
          <w:p w14:paraId="4DE60F54" w14:textId="17CBB3FB" w:rsidR="00267CE9" w:rsidRPr="004C71D8" w:rsidRDefault="00267CE9" w:rsidP="00BE381D">
            <w:pPr>
              <w:pStyle w:val="CETBodytext"/>
              <w:jc w:val="center"/>
              <w:rPr>
                <w:i/>
                <w:iCs/>
                <w:lang w:val="en-GB"/>
              </w:rPr>
            </w:pPr>
            <w:r w:rsidRPr="004C71D8">
              <w:rPr>
                <w:i/>
                <w:iCs/>
                <w:lang w:val="en-GB"/>
              </w:rPr>
              <w:t>OH</w:t>
            </w:r>
            <w:r w:rsidRPr="004C71D8">
              <w:rPr>
                <w:i/>
                <w:iCs/>
                <w:vertAlign w:val="superscript"/>
                <w:lang w:val="en-GB"/>
              </w:rPr>
              <w:t>-</w:t>
            </w:r>
            <w:r w:rsidRPr="004C71D8">
              <w:rPr>
                <w:i/>
                <w:iCs/>
                <w:lang w:val="en-GB"/>
              </w:rPr>
              <w:t>/ Mg</w:t>
            </w:r>
            <w:r w:rsidRPr="004C71D8">
              <w:rPr>
                <w:i/>
                <w:iCs/>
                <w:vertAlign w:val="superscript"/>
                <w:lang w:val="en-GB"/>
              </w:rPr>
              <w:t>2+</w:t>
            </w:r>
          </w:p>
        </w:tc>
        <w:tc>
          <w:tcPr>
            <w:tcW w:w="959" w:type="dxa"/>
            <w:tcBorders>
              <w:top w:val="single" w:sz="12" w:space="0" w:color="008000"/>
              <w:bottom w:val="single" w:sz="4" w:space="0" w:color="auto"/>
            </w:tcBorders>
            <w:shd w:val="clear" w:color="auto" w:fill="FFFFFF"/>
            <w:vAlign w:val="center"/>
          </w:tcPr>
          <w:p w14:paraId="74E401FD" w14:textId="77777777" w:rsidR="00267CE9" w:rsidRPr="004C71D8" w:rsidRDefault="00267CE9" w:rsidP="00BE381D">
            <w:pPr>
              <w:pStyle w:val="CETBodytext"/>
              <w:jc w:val="center"/>
              <w:rPr>
                <w:i/>
                <w:iCs/>
                <w:lang w:val="en-GB"/>
              </w:rPr>
            </w:pPr>
            <w:r w:rsidRPr="004C71D8">
              <w:rPr>
                <w:i/>
                <w:iCs/>
                <w:lang w:val="en-GB"/>
              </w:rPr>
              <w:t>Bittern flowrate</w:t>
            </w:r>
          </w:p>
          <w:p w14:paraId="0DE6F3B1" w14:textId="6A2D4CE1" w:rsidR="00267CE9" w:rsidRPr="004C71D8" w:rsidRDefault="00267CE9" w:rsidP="00BE381D">
            <w:pPr>
              <w:pStyle w:val="CETBodytext"/>
              <w:jc w:val="center"/>
              <w:rPr>
                <w:i/>
                <w:iCs/>
                <w:lang w:val="en-GB"/>
              </w:rPr>
            </w:pPr>
            <w:r w:rsidRPr="004C71D8">
              <w:rPr>
                <w:i/>
                <w:iCs/>
                <w:lang w:val="en-GB"/>
              </w:rPr>
              <w:t>(mL/min)</w:t>
            </w:r>
          </w:p>
        </w:tc>
        <w:tc>
          <w:tcPr>
            <w:tcW w:w="1215" w:type="dxa"/>
            <w:tcBorders>
              <w:top w:val="single" w:sz="12" w:space="0" w:color="008000"/>
              <w:bottom w:val="single" w:sz="4" w:space="0" w:color="auto"/>
            </w:tcBorders>
            <w:shd w:val="clear" w:color="auto" w:fill="FFFFFF"/>
            <w:vAlign w:val="center"/>
          </w:tcPr>
          <w:p w14:paraId="56BC7897" w14:textId="77777777" w:rsidR="00267CE9" w:rsidRPr="004C71D8" w:rsidRDefault="00267CE9" w:rsidP="00BE381D">
            <w:pPr>
              <w:pStyle w:val="CETBodytext"/>
              <w:jc w:val="center"/>
              <w:rPr>
                <w:i/>
                <w:iCs/>
                <w:lang w:val="en-GB"/>
              </w:rPr>
            </w:pPr>
            <w:r w:rsidRPr="004C71D8">
              <w:rPr>
                <w:i/>
                <w:iCs/>
                <w:lang w:val="en-GB"/>
              </w:rPr>
              <w:t>NaOH/Bittern</w:t>
            </w:r>
          </w:p>
          <w:p w14:paraId="5D8A085E" w14:textId="176B1F49" w:rsidR="00267CE9" w:rsidRPr="004C71D8" w:rsidRDefault="00267CE9" w:rsidP="00BE381D">
            <w:pPr>
              <w:pStyle w:val="CETBodytext"/>
              <w:jc w:val="center"/>
              <w:rPr>
                <w:i/>
                <w:iCs/>
                <w:lang w:val="en-GB"/>
              </w:rPr>
            </w:pPr>
            <w:r w:rsidRPr="004C71D8">
              <w:rPr>
                <w:i/>
                <w:iCs/>
                <w:lang w:val="en-GB"/>
              </w:rPr>
              <w:t>flowrate ratio</w:t>
            </w:r>
          </w:p>
        </w:tc>
        <w:tc>
          <w:tcPr>
            <w:tcW w:w="1795" w:type="dxa"/>
            <w:tcBorders>
              <w:top w:val="single" w:sz="12" w:space="0" w:color="008000"/>
              <w:bottom w:val="single" w:sz="4" w:space="0" w:color="auto"/>
            </w:tcBorders>
            <w:shd w:val="clear" w:color="auto" w:fill="FFFFFF"/>
            <w:vAlign w:val="center"/>
          </w:tcPr>
          <w:p w14:paraId="559BBFDC" w14:textId="79C05785" w:rsidR="00267CE9" w:rsidRPr="004C71D8" w:rsidRDefault="00267CE9" w:rsidP="00A51987">
            <w:pPr>
              <w:pStyle w:val="CETBodytext"/>
              <w:jc w:val="center"/>
              <w:rPr>
                <w:i/>
                <w:iCs/>
                <w:lang w:val="en-GB"/>
              </w:rPr>
            </w:pPr>
            <w:r w:rsidRPr="004C71D8">
              <w:rPr>
                <w:i/>
                <w:iCs/>
                <w:lang w:val="en-GB"/>
              </w:rPr>
              <w:t>Mg</w:t>
            </w:r>
            <w:r w:rsidR="00A51987" w:rsidRPr="004C71D8">
              <w:rPr>
                <w:i/>
                <w:iCs/>
                <w:vertAlign w:val="superscript"/>
                <w:lang w:val="en-GB"/>
              </w:rPr>
              <w:t>2+</w:t>
            </w:r>
            <w:r w:rsidRPr="004C71D8">
              <w:rPr>
                <w:i/>
                <w:iCs/>
                <w:lang w:val="en-GB"/>
              </w:rPr>
              <w:t xml:space="preserve"> concentration</w:t>
            </w:r>
            <w:r w:rsidR="00A51987" w:rsidRPr="004C71D8">
              <w:rPr>
                <w:i/>
                <w:iCs/>
                <w:lang w:val="en-GB"/>
              </w:rPr>
              <w:t xml:space="preserve"> </w:t>
            </w:r>
            <w:r w:rsidRPr="004C71D8">
              <w:rPr>
                <w:i/>
                <w:iCs/>
                <w:lang w:val="en-GB"/>
              </w:rPr>
              <w:t>(M)</w:t>
            </w:r>
          </w:p>
        </w:tc>
        <w:tc>
          <w:tcPr>
            <w:tcW w:w="1321" w:type="dxa"/>
            <w:tcBorders>
              <w:top w:val="single" w:sz="12" w:space="0" w:color="008000"/>
              <w:bottom w:val="single" w:sz="4" w:space="0" w:color="auto"/>
            </w:tcBorders>
            <w:shd w:val="clear" w:color="auto" w:fill="FFFFFF"/>
            <w:vAlign w:val="center"/>
          </w:tcPr>
          <w:p w14:paraId="6CC6A70E" w14:textId="77777777" w:rsidR="00267CE9" w:rsidRPr="004C71D8" w:rsidRDefault="00267CE9" w:rsidP="00BE381D">
            <w:pPr>
              <w:pStyle w:val="CETBodytext"/>
              <w:jc w:val="center"/>
              <w:rPr>
                <w:i/>
                <w:iCs/>
                <w:lang w:val="en-GB"/>
              </w:rPr>
            </w:pPr>
            <w:r w:rsidRPr="004C71D8">
              <w:rPr>
                <w:i/>
                <w:iCs/>
                <w:lang w:val="en-GB"/>
              </w:rPr>
              <w:t>NaOH concentration</w:t>
            </w:r>
          </w:p>
          <w:p w14:paraId="10CB72E5" w14:textId="1C03AC2A" w:rsidR="00267CE9" w:rsidRPr="004C71D8" w:rsidRDefault="00267CE9" w:rsidP="00BE381D">
            <w:pPr>
              <w:pStyle w:val="CETBodytext"/>
              <w:jc w:val="center"/>
              <w:rPr>
                <w:i/>
                <w:iCs/>
                <w:lang w:val="en-GB"/>
              </w:rPr>
            </w:pPr>
            <w:r w:rsidRPr="004C71D8">
              <w:rPr>
                <w:i/>
                <w:iCs/>
                <w:lang w:val="en-GB"/>
              </w:rPr>
              <w:t>(M)</w:t>
            </w:r>
          </w:p>
        </w:tc>
      </w:tr>
      <w:tr w:rsidR="00267CE9" w:rsidRPr="003734B7" w14:paraId="25821407" w14:textId="3E85BE3E" w:rsidTr="00C740B6">
        <w:tc>
          <w:tcPr>
            <w:tcW w:w="872" w:type="dxa"/>
            <w:tcBorders>
              <w:top w:val="single" w:sz="4" w:space="0" w:color="auto"/>
              <w:left w:val="nil"/>
              <w:bottom w:val="nil"/>
              <w:right w:val="nil"/>
            </w:tcBorders>
            <w:shd w:val="clear" w:color="auto" w:fill="FFFFFF"/>
            <w:vAlign w:val="center"/>
          </w:tcPr>
          <w:p w14:paraId="4D10D542" w14:textId="56398C4E" w:rsidR="00267CE9" w:rsidRPr="004C71D8" w:rsidRDefault="00FC4AA3" w:rsidP="00267CE9">
            <w:pPr>
              <w:pStyle w:val="CETBodytext"/>
              <w:jc w:val="center"/>
              <w:rPr>
                <w:i/>
                <w:iCs/>
                <w:lang w:val="en-GB"/>
              </w:rPr>
            </w:pPr>
            <w:r w:rsidRPr="004C71D8">
              <w:rPr>
                <w:i/>
                <w:iCs/>
                <w:lang w:val="en-GB"/>
              </w:rPr>
              <w:t>M_</w:t>
            </w:r>
            <w:r w:rsidR="007E1024" w:rsidRPr="004C71D8">
              <w:rPr>
                <w:i/>
                <w:iCs/>
                <w:lang w:val="en-GB"/>
              </w:rPr>
              <w:t>S</w:t>
            </w:r>
          </w:p>
        </w:tc>
        <w:tc>
          <w:tcPr>
            <w:tcW w:w="1113" w:type="dxa"/>
            <w:tcBorders>
              <w:top w:val="single" w:sz="4" w:space="0" w:color="auto"/>
              <w:left w:val="nil"/>
              <w:bottom w:val="nil"/>
              <w:right w:val="nil"/>
            </w:tcBorders>
            <w:shd w:val="clear" w:color="auto" w:fill="FFFFFF"/>
            <w:vAlign w:val="center"/>
          </w:tcPr>
          <w:p w14:paraId="19D232E6" w14:textId="7DABB13E" w:rsidR="00267CE9" w:rsidRPr="004C71D8" w:rsidRDefault="00FC4AA3" w:rsidP="00FC4AA3">
            <w:pPr>
              <w:pStyle w:val="CETBodytext"/>
              <w:jc w:val="center"/>
              <w:rPr>
                <w:i/>
                <w:iCs/>
                <w:lang w:val="en-GB"/>
              </w:rPr>
            </w:pPr>
            <w:r w:rsidRPr="004C71D8">
              <w:rPr>
                <w:i/>
                <w:iCs/>
                <w:lang w:val="en-GB"/>
              </w:rPr>
              <w:t>Margi</w:t>
            </w:r>
          </w:p>
        </w:tc>
        <w:tc>
          <w:tcPr>
            <w:tcW w:w="1276" w:type="dxa"/>
            <w:tcBorders>
              <w:top w:val="single" w:sz="4" w:space="0" w:color="auto"/>
              <w:left w:val="nil"/>
              <w:bottom w:val="nil"/>
              <w:right w:val="nil"/>
            </w:tcBorders>
            <w:shd w:val="clear" w:color="auto" w:fill="FFFFFF"/>
            <w:vAlign w:val="center"/>
          </w:tcPr>
          <w:p w14:paraId="2FF766F1" w14:textId="78955335" w:rsidR="00267CE9" w:rsidRPr="004C71D8" w:rsidRDefault="00267CE9" w:rsidP="00FC4AA3">
            <w:pPr>
              <w:pStyle w:val="CETBodytext"/>
              <w:jc w:val="center"/>
              <w:rPr>
                <w:i/>
                <w:iCs/>
                <w:lang w:val="en-GB"/>
              </w:rPr>
            </w:pPr>
            <w:r w:rsidRPr="004C71D8">
              <w:rPr>
                <w:i/>
                <w:iCs/>
                <w:lang w:val="en-GB"/>
              </w:rPr>
              <w:t>Stoichiometric</w:t>
            </w:r>
          </w:p>
        </w:tc>
        <w:tc>
          <w:tcPr>
            <w:tcW w:w="959" w:type="dxa"/>
            <w:tcBorders>
              <w:top w:val="single" w:sz="4" w:space="0" w:color="auto"/>
              <w:left w:val="nil"/>
              <w:bottom w:val="nil"/>
              <w:right w:val="nil"/>
            </w:tcBorders>
            <w:shd w:val="clear" w:color="auto" w:fill="FFFFFF"/>
            <w:vAlign w:val="center"/>
          </w:tcPr>
          <w:p w14:paraId="4134E6AB" w14:textId="13A6146A" w:rsidR="00267CE9" w:rsidRPr="004C71D8" w:rsidRDefault="00267CE9" w:rsidP="00267CE9">
            <w:pPr>
              <w:pStyle w:val="CETBodytext"/>
              <w:jc w:val="center"/>
              <w:rPr>
                <w:i/>
                <w:iCs/>
                <w:lang w:val="en-GB"/>
              </w:rPr>
            </w:pPr>
            <w:r w:rsidRPr="004C71D8">
              <w:rPr>
                <w:i/>
                <w:iCs/>
                <w:lang w:val="en-GB"/>
              </w:rPr>
              <w:t>780±20</w:t>
            </w:r>
          </w:p>
        </w:tc>
        <w:tc>
          <w:tcPr>
            <w:tcW w:w="1215" w:type="dxa"/>
            <w:tcBorders>
              <w:top w:val="single" w:sz="4" w:space="0" w:color="auto"/>
              <w:left w:val="nil"/>
              <w:bottom w:val="nil"/>
              <w:right w:val="nil"/>
            </w:tcBorders>
            <w:shd w:val="clear" w:color="auto" w:fill="FFFFFF"/>
            <w:vAlign w:val="center"/>
          </w:tcPr>
          <w:p w14:paraId="48F985D3" w14:textId="039BF29D" w:rsidR="00267CE9" w:rsidRPr="004C71D8" w:rsidRDefault="00267CE9" w:rsidP="00267CE9">
            <w:pPr>
              <w:pStyle w:val="CETBodytext"/>
              <w:jc w:val="center"/>
              <w:rPr>
                <w:i/>
                <w:iCs/>
                <w:lang w:val="en-GB"/>
              </w:rPr>
            </w:pPr>
            <w:r w:rsidRPr="004C71D8">
              <w:rPr>
                <w:i/>
                <w:iCs/>
                <w:lang w:val="en-GB"/>
              </w:rPr>
              <w:t>2</w:t>
            </w:r>
          </w:p>
        </w:tc>
        <w:tc>
          <w:tcPr>
            <w:tcW w:w="1795" w:type="dxa"/>
            <w:tcBorders>
              <w:top w:val="single" w:sz="4" w:space="0" w:color="auto"/>
              <w:left w:val="nil"/>
              <w:bottom w:val="nil"/>
              <w:right w:val="nil"/>
            </w:tcBorders>
            <w:shd w:val="clear" w:color="auto" w:fill="FFFFFF"/>
            <w:vAlign w:val="center"/>
          </w:tcPr>
          <w:p w14:paraId="7F2BEB76" w14:textId="4190E61E" w:rsidR="00267CE9" w:rsidRPr="004C71D8" w:rsidRDefault="00267CE9" w:rsidP="00267CE9">
            <w:pPr>
              <w:pStyle w:val="CETBodytext"/>
              <w:jc w:val="center"/>
              <w:rPr>
                <w:i/>
                <w:iCs/>
                <w:lang w:val="en-GB"/>
              </w:rPr>
            </w:pPr>
            <w:r w:rsidRPr="004C71D8">
              <w:rPr>
                <w:i/>
                <w:iCs/>
                <w:lang w:val="en-GB"/>
              </w:rPr>
              <w:t>2.48±0.0</w:t>
            </w:r>
            <w:r w:rsidR="004F51C0" w:rsidRPr="004C71D8">
              <w:rPr>
                <w:i/>
                <w:iCs/>
                <w:lang w:val="en-GB"/>
              </w:rPr>
              <w:t>5</w:t>
            </w:r>
          </w:p>
        </w:tc>
        <w:tc>
          <w:tcPr>
            <w:tcW w:w="1321" w:type="dxa"/>
            <w:tcBorders>
              <w:top w:val="single" w:sz="4" w:space="0" w:color="auto"/>
              <w:left w:val="nil"/>
              <w:bottom w:val="nil"/>
              <w:right w:val="nil"/>
            </w:tcBorders>
            <w:shd w:val="clear" w:color="auto" w:fill="FFFFFF"/>
            <w:vAlign w:val="center"/>
          </w:tcPr>
          <w:p w14:paraId="6571B689" w14:textId="6417A369" w:rsidR="00267CE9" w:rsidRPr="004C71D8" w:rsidRDefault="00267CE9" w:rsidP="00267CE9">
            <w:pPr>
              <w:pStyle w:val="CETBodytext"/>
              <w:jc w:val="center"/>
              <w:rPr>
                <w:i/>
                <w:iCs/>
                <w:lang w:val="en-GB"/>
              </w:rPr>
            </w:pPr>
            <w:r w:rsidRPr="004C71D8">
              <w:rPr>
                <w:i/>
                <w:iCs/>
                <w:lang w:val="en-GB"/>
              </w:rPr>
              <w:t>2.50±0.0</w:t>
            </w:r>
            <w:r w:rsidR="004F51C0" w:rsidRPr="004C71D8">
              <w:rPr>
                <w:i/>
                <w:iCs/>
                <w:lang w:val="en-GB"/>
              </w:rPr>
              <w:t>5</w:t>
            </w:r>
          </w:p>
        </w:tc>
      </w:tr>
      <w:tr w:rsidR="00FC4AA3" w:rsidRPr="00BA3420" w14:paraId="7C1A0FAE" w14:textId="53C8A34F" w:rsidTr="00C740B6">
        <w:tc>
          <w:tcPr>
            <w:tcW w:w="872" w:type="dxa"/>
            <w:tcBorders>
              <w:top w:val="nil"/>
              <w:left w:val="nil"/>
              <w:bottom w:val="nil"/>
              <w:right w:val="nil"/>
            </w:tcBorders>
            <w:shd w:val="clear" w:color="auto" w:fill="FFFFFF"/>
            <w:vAlign w:val="center"/>
          </w:tcPr>
          <w:p w14:paraId="0A470539" w14:textId="786AA7AD" w:rsidR="00FC4AA3" w:rsidRPr="004C71D8" w:rsidRDefault="00FC4AA3" w:rsidP="00267CE9">
            <w:pPr>
              <w:pStyle w:val="CETBodytext"/>
              <w:jc w:val="center"/>
              <w:rPr>
                <w:i/>
                <w:iCs/>
                <w:lang w:val="en-GB"/>
              </w:rPr>
            </w:pPr>
            <w:r w:rsidRPr="004C71D8">
              <w:rPr>
                <w:i/>
                <w:iCs/>
                <w:lang w:val="en-GB"/>
              </w:rPr>
              <w:t>M_</w:t>
            </w:r>
            <w:r w:rsidR="007E1024" w:rsidRPr="004C71D8">
              <w:rPr>
                <w:i/>
                <w:iCs/>
                <w:lang w:val="en-GB"/>
              </w:rPr>
              <w:t>E</w:t>
            </w:r>
          </w:p>
        </w:tc>
        <w:tc>
          <w:tcPr>
            <w:tcW w:w="1113" w:type="dxa"/>
            <w:tcBorders>
              <w:top w:val="nil"/>
              <w:left w:val="nil"/>
              <w:bottom w:val="nil"/>
              <w:right w:val="nil"/>
            </w:tcBorders>
            <w:shd w:val="clear" w:color="auto" w:fill="FFFFFF"/>
            <w:vAlign w:val="center"/>
          </w:tcPr>
          <w:p w14:paraId="61A0036B" w14:textId="3EBB9D0C" w:rsidR="00FC4AA3" w:rsidRPr="004C71D8" w:rsidRDefault="009417E9" w:rsidP="00FC4AA3">
            <w:pPr>
              <w:pStyle w:val="CETBodytext"/>
              <w:jc w:val="center"/>
              <w:rPr>
                <w:i/>
                <w:iCs/>
                <w:lang w:val="en-GB"/>
              </w:rPr>
            </w:pPr>
            <w:r w:rsidRPr="004C71D8">
              <w:rPr>
                <w:i/>
                <w:iCs/>
                <w:lang w:val="en-GB"/>
              </w:rPr>
              <w:t>M</w:t>
            </w:r>
            <w:r w:rsidR="00FC4AA3" w:rsidRPr="004C71D8">
              <w:rPr>
                <w:i/>
                <w:iCs/>
                <w:lang w:val="en-GB"/>
              </w:rPr>
              <w:t>argi</w:t>
            </w:r>
          </w:p>
        </w:tc>
        <w:tc>
          <w:tcPr>
            <w:tcW w:w="1276" w:type="dxa"/>
            <w:tcBorders>
              <w:top w:val="nil"/>
              <w:left w:val="nil"/>
              <w:bottom w:val="nil"/>
              <w:right w:val="nil"/>
            </w:tcBorders>
            <w:shd w:val="clear" w:color="auto" w:fill="FFFFFF"/>
            <w:vAlign w:val="center"/>
          </w:tcPr>
          <w:p w14:paraId="52B0040D" w14:textId="28BFAB84" w:rsidR="00FC4AA3" w:rsidRPr="004C71D8" w:rsidRDefault="00FC4AA3" w:rsidP="00267CE9">
            <w:pPr>
              <w:pStyle w:val="CETBodytext"/>
              <w:jc w:val="center"/>
              <w:rPr>
                <w:i/>
                <w:iCs/>
                <w:lang w:val="en-GB"/>
              </w:rPr>
            </w:pPr>
            <w:r w:rsidRPr="004C71D8">
              <w:rPr>
                <w:i/>
                <w:iCs/>
                <w:lang w:val="en-GB"/>
              </w:rPr>
              <w:t>20% excess of OH-</w:t>
            </w:r>
          </w:p>
        </w:tc>
        <w:tc>
          <w:tcPr>
            <w:tcW w:w="959" w:type="dxa"/>
            <w:tcBorders>
              <w:top w:val="nil"/>
              <w:left w:val="nil"/>
              <w:bottom w:val="nil"/>
              <w:right w:val="nil"/>
            </w:tcBorders>
            <w:shd w:val="clear" w:color="auto" w:fill="FFFFFF"/>
            <w:vAlign w:val="center"/>
          </w:tcPr>
          <w:p w14:paraId="45983AF1" w14:textId="5D443B7E" w:rsidR="00FC4AA3" w:rsidRPr="004C71D8" w:rsidRDefault="00FC4AA3" w:rsidP="00267CE9">
            <w:pPr>
              <w:pStyle w:val="CETBodytext"/>
              <w:jc w:val="center"/>
              <w:rPr>
                <w:i/>
                <w:iCs/>
                <w:lang w:val="en-GB"/>
              </w:rPr>
            </w:pPr>
            <w:r w:rsidRPr="004C71D8">
              <w:rPr>
                <w:i/>
                <w:iCs/>
                <w:lang w:val="en-GB"/>
              </w:rPr>
              <w:t>780±20</w:t>
            </w:r>
          </w:p>
        </w:tc>
        <w:tc>
          <w:tcPr>
            <w:tcW w:w="1215" w:type="dxa"/>
            <w:tcBorders>
              <w:top w:val="nil"/>
              <w:left w:val="nil"/>
              <w:bottom w:val="nil"/>
              <w:right w:val="nil"/>
            </w:tcBorders>
            <w:shd w:val="clear" w:color="auto" w:fill="FFFFFF"/>
            <w:vAlign w:val="center"/>
          </w:tcPr>
          <w:p w14:paraId="550337FC" w14:textId="10B72244" w:rsidR="00FC4AA3" w:rsidRPr="004C71D8" w:rsidRDefault="00FC4AA3" w:rsidP="00267CE9">
            <w:pPr>
              <w:pStyle w:val="CETBodytext"/>
              <w:jc w:val="center"/>
              <w:rPr>
                <w:i/>
                <w:iCs/>
                <w:lang w:val="en-GB"/>
              </w:rPr>
            </w:pPr>
            <w:r w:rsidRPr="004C71D8">
              <w:rPr>
                <w:i/>
                <w:iCs/>
                <w:lang w:val="en-GB"/>
              </w:rPr>
              <w:t>2</w:t>
            </w:r>
          </w:p>
        </w:tc>
        <w:tc>
          <w:tcPr>
            <w:tcW w:w="1795" w:type="dxa"/>
            <w:tcBorders>
              <w:top w:val="nil"/>
              <w:left w:val="nil"/>
              <w:bottom w:val="nil"/>
              <w:right w:val="nil"/>
            </w:tcBorders>
            <w:shd w:val="clear" w:color="auto" w:fill="FFFFFF"/>
            <w:vAlign w:val="center"/>
          </w:tcPr>
          <w:p w14:paraId="1D74825C" w14:textId="1201B35F" w:rsidR="00FC4AA3" w:rsidRPr="004C71D8" w:rsidRDefault="00FC4AA3" w:rsidP="00267CE9">
            <w:pPr>
              <w:pStyle w:val="CETBodytext"/>
              <w:jc w:val="center"/>
              <w:rPr>
                <w:i/>
                <w:iCs/>
                <w:lang w:val="en-GB"/>
              </w:rPr>
            </w:pPr>
            <w:r w:rsidRPr="004C71D8">
              <w:rPr>
                <w:i/>
                <w:iCs/>
                <w:lang w:val="en-GB"/>
              </w:rPr>
              <w:t>2.48±0.0</w:t>
            </w:r>
            <w:r w:rsidR="004F51C0" w:rsidRPr="004C71D8">
              <w:rPr>
                <w:i/>
                <w:iCs/>
                <w:lang w:val="en-GB"/>
              </w:rPr>
              <w:t>5</w:t>
            </w:r>
          </w:p>
        </w:tc>
        <w:tc>
          <w:tcPr>
            <w:tcW w:w="1321" w:type="dxa"/>
            <w:tcBorders>
              <w:top w:val="nil"/>
              <w:left w:val="nil"/>
              <w:bottom w:val="nil"/>
              <w:right w:val="nil"/>
            </w:tcBorders>
            <w:shd w:val="clear" w:color="auto" w:fill="FFFFFF"/>
            <w:vAlign w:val="center"/>
          </w:tcPr>
          <w:p w14:paraId="4FA945D3" w14:textId="5A78E721" w:rsidR="00FC4AA3" w:rsidRPr="004C71D8" w:rsidRDefault="00FC4AA3" w:rsidP="00267CE9">
            <w:pPr>
              <w:pStyle w:val="CETBodytext"/>
              <w:jc w:val="center"/>
              <w:rPr>
                <w:i/>
                <w:iCs/>
                <w:lang w:val="en-GB"/>
              </w:rPr>
            </w:pPr>
            <w:r w:rsidRPr="004C71D8">
              <w:rPr>
                <w:i/>
                <w:iCs/>
                <w:lang w:val="en-GB"/>
              </w:rPr>
              <w:t>3.00± 0.0</w:t>
            </w:r>
            <w:r w:rsidR="004F51C0" w:rsidRPr="004C71D8">
              <w:rPr>
                <w:i/>
                <w:iCs/>
                <w:lang w:val="en-GB"/>
              </w:rPr>
              <w:t>6</w:t>
            </w:r>
          </w:p>
        </w:tc>
      </w:tr>
      <w:tr w:rsidR="00FC4AA3" w:rsidRPr="00BA3420" w14:paraId="6E7AAB20" w14:textId="261AC826" w:rsidTr="00C740B6">
        <w:tc>
          <w:tcPr>
            <w:tcW w:w="872" w:type="dxa"/>
            <w:tcBorders>
              <w:top w:val="nil"/>
              <w:left w:val="nil"/>
              <w:bottom w:val="nil"/>
              <w:right w:val="nil"/>
            </w:tcBorders>
            <w:shd w:val="clear" w:color="auto" w:fill="FFFFFF"/>
            <w:vAlign w:val="center"/>
          </w:tcPr>
          <w:p w14:paraId="0ED88824" w14:textId="392FC5AC" w:rsidR="00FC4AA3" w:rsidRPr="004C71D8" w:rsidRDefault="00FC4AA3" w:rsidP="00267CE9">
            <w:pPr>
              <w:pStyle w:val="CETBodytext"/>
              <w:jc w:val="center"/>
              <w:rPr>
                <w:i/>
                <w:iCs/>
                <w:lang w:val="en-GB"/>
              </w:rPr>
            </w:pPr>
            <w:r w:rsidRPr="004C71D8">
              <w:rPr>
                <w:i/>
                <w:iCs/>
                <w:lang w:val="en-GB"/>
              </w:rPr>
              <w:t>G_</w:t>
            </w:r>
            <w:r w:rsidR="007E1024" w:rsidRPr="004C71D8">
              <w:rPr>
                <w:i/>
                <w:iCs/>
                <w:lang w:val="en-GB"/>
              </w:rPr>
              <w:t>S</w:t>
            </w:r>
          </w:p>
        </w:tc>
        <w:tc>
          <w:tcPr>
            <w:tcW w:w="1113" w:type="dxa"/>
            <w:tcBorders>
              <w:top w:val="nil"/>
              <w:left w:val="nil"/>
              <w:bottom w:val="nil"/>
              <w:right w:val="nil"/>
            </w:tcBorders>
            <w:shd w:val="clear" w:color="auto" w:fill="FFFFFF"/>
            <w:vAlign w:val="center"/>
          </w:tcPr>
          <w:p w14:paraId="23EB7F5B" w14:textId="3E84A336" w:rsidR="00FC4AA3" w:rsidRPr="004C71D8" w:rsidRDefault="00FC4AA3" w:rsidP="00A21752">
            <w:pPr>
              <w:pStyle w:val="CETBodytext"/>
              <w:jc w:val="center"/>
              <w:rPr>
                <w:i/>
                <w:iCs/>
                <w:lang w:val="en-GB"/>
              </w:rPr>
            </w:pPr>
            <w:r w:rsidRPr="004C71D8">
              <w:rPr>
                <w:i/>
                <w:iCs/>
                <w:lang w:val="en-GB"/>
              </w:rPr>
              <w:t>Galia</w:t>
            </w:r>
          </w:p>
        </w:tc>
        <w:tc>
          <w:tcPr>
            <w:tcW w:w="1276" w:type="dxa"/>
            <w:tcBorders>
              <w:top w:val="nil"/>
              <w:left w:val="nil"/>
              <w:bottom w:val="nil"/>
              <w:right w:val="nil"/>
            </w:tcBorders>
            <w:shd w:val="clear" w:color="auto" w:fill="FFFFFF"/>
            <w:vAlign w:val="center"/>
          </w:tcPr>
          <w:p w14:paraId="1C819B54" w14:textId="4DB9363D" w:rsidR="00FC4AA3" w:rsidRPr="004C71D8" w:rsidRDefault="00FC4AA3" w:rsidP="00267CE9">
            <w:pPr>
              <w:pStyle w:val="CETBodytext"/>
              <w:jc w:val="center"/>
              <w:rPr>
                <w:i/>
                <w:iCs/>
                <w:lang w:val="en-GB"/>
              </w:rPr>
            </w:pPr>
            <w:r w:rsidRPr="004C71D8">
              <w:rPr>
                <w:i/>
                <w:iCs/>
                <w:lang w:val="en-GB"/>
              </w:rPr>
              <w:t>Stoichiometric</w:t>
            </w:r>
          </w:p>
        </w:tc>
        <w:tc>
          <w:tcPr>
            <w:tcW w:w="959" w:type="dxa"/>
            <w:tcBorders>
              <w:top w:val="nil"/>
              <w:left w:val="nil"/>
              <w:bottom w:val="nil"/>
              <w:right w:val="nil"/>
            </w:tcBorders>
            <w:shd w:val="clear" w:color="auto" w:fill="FFFFFF"/>
            <w:vAlign w:val="center"/>
          </w:tcPr>
          <w:p w14:paraId="3330B41E" w14:textId="414711D9" w:rsidR="00FC4AA3" w:rsidRPr="004C71D8" w:rsidRDefault="00FC4AA3" w:rsidP="00267CE9">
            <w:pPr>
              <w:pStyle w:val="CETBodytext"/>
              <w:jc w:val="center"/>
              <w:rPr>
                <w:i/>
                <w:iCs/>
                <w:lang w:val="en-GB"/>
              </w:rPr>
            </w:pPr>
            <w:r w:rsidRPr="004C71D8">
              <w:rPr>
                <w:i/>
                <w:iCs/>
                <w:lang w:val="en-GB"/>
              </w:rPr>
              <w:t>780±20</w:t>
            </w:r>
          </w:p>
        </w:tc>
        <w:tc>
          <w:tcPr>
            <w:tcW w:w="1215" w:type="dxa"/>
            <w:tcBorders>
              <w:top w:val="nil"/>
              <w:left w:val="nil"/>
              <w:bottom w:val="nil"/>
              <w:right w:val="nil"/>
            </w:tcBorders>
            <w:shd w:val="clear" w:color="auto" w:fill="FFFFFF"/>
            <w:vAlign w:val="center"/>
          </w:tcPr>
          <w:p w14:paraId="28133DF5" w14:textId="5CAA4B24" w:rsidR="00FC4AA3" w:rsidRPr="004C71D8" w:rsidRDefault="00FC4AA3" w:rsidP="00267CE9">
            <w:pPr>
              <w:pStyle w:val="CETBodytext"/>
              <w:jc w:val="center"/>
              <w:rPr>
                <w:i/>
                <w:iCs/>
                <w:lang w:val="en-GB"/>
              </w:rPr>
            </w:pPr>
            <w:r w:rsidRPr="004C71D8">
              <w:rPr>
                <w:i/>
                <w:iCs/>
                <w:lang w:val="en-GB"/>
              </w:rPr>
              <w:t>2</w:t>
            </w:r>
          </w:p>
        </w:tc>
        <w:tc>
          <w:tcPr>
            <w:tcW w:w="1795" w:type="dxa"/>
            <w:tcBorders>
              <w:top w:val="nil"/>
              <w:left w:val="nil"/>
              <w:bottom w:val="nil"/>
              <w:right w:val="nil"/>
            </w:tcBorders>
            <w:shd w:val="clear" w:color="auto" w:fill="FFFFFF"/>
            <w:vAlign w:val="center"/>
          </w:tcPr>
          <w:p w14:paraId="0902D52E" w14:textId="4E9EC07F" w:rsidR="00FC4AA3" w:rsidRPr="004C71D8" w:rsidRDefault="00FC4AA3" w:rsidP="00267CE9">
            <w:pPr>
              <w:pStyle w:val="CETBodytext"/>
              <w:jc w:val="center"/>
              <w:rPr>
                <w:i/>
                <w:iCs/>
                <w:lang w:val="en-GB"/>
              </w:rPr>
            </w:pPr>
            <w:r w:rsidRPr="004C71D8">
              <w:rPr>
                <w:i/>
                <w:iCs/>
                <w:lang w:val="en-GB"/>
              </w:rPr>
              <w:t>0.96±0.18</w:t>
            </w:r>
          </w:p>
        </w:tc>
        <w:tc>
          <w:tcPr>
            <w:tcW w:w="1321" w:type="dxa"/>
            <w:tcBorders>
              <w:top w:val="nil"/>
              <w:left w:val="nil"/>
              <w:bottom w:val="nil"/>
              <w:right w:val="nil"/>
            </w:tcBorders>
            <w:shd w:val="clear" w:color="auto" w:fill="FFFFFF"/>
            <w:vAlign w:val="center"/>
          </w:tcPr>
          <w:p w14:paraId="137F31FB" w14:textId="345BD23A" w:rsidR="00FC4AA3" w:rsidRPr="004C71D8" w:rsidRDefault="00FC4AA3" w:rsidP="00267CE9">
            <w:pPr>
              <w:pStyle w:val="CETBodytext"/>
              <w:jc w:val="center"/>
              <w:rPr>
                <w:i/>
                <w:iCs/>
                <w:lang w:val="en-GB"/>
              </w:rPr>
            </w:pPr>
            <w:r w:rsidRPr="004C71D8">
              <w:rPr>
                <w:i/>
                <w:iCs/>
                <w:lang w:val="en-GB"/>
              </w:rPr>
              <w:t>1.00± 0.0</w:t>
            </w:r>
            <w:r w:rsidR="004F51C0" w:rsidRPr="004C71D8">
              <w:rPr>
                <w:i/>
                <w:iCs/>
                <w:lang w:val="en-GB"/>
              </w:rPr>
              <w:t>2</w:t>
            </w:r>
          </w:p>
        </w:tc>
      </w:tr>
      <w:tr w:rsidR="00FC4AA3" w:rsidRPr="00BA3420" w14:paraId="08C3AAEE" w14:textId="159887A4" w:rsidTr="00C740B6">
        <w:tc>
          <w:tcPr>
            <w:tcW w:w="872" w:type="dxa"/>
            <w:tcBorders>
              <w:top w:val="nil"/>
            </w:tcBorders>
            <w:shd w:val="clear" w:color="auto" w:fill="FFFFFF"/>
            <w:vAlign w:val="center"/>
          </w:tcPr>
          <w:p w14:paraId="7303EEB9" w14:textId="4D81D5CC" w:rsidR="00FC4AA3" w:rsidRPr="004C71D8" w:rsidRDefault="00FC4AA3" w:rsidP="00267CE9">
            <w:pPr>
              <w:pStyle w:val="CETBodytext"/>
              <w:ind w:right="-1"/>
              <w:jc w:val="center"/>
              <w:rPr>
                <w:i/>
                <w:iCs/>
                <w:lang w:val="en-GB"/>
              </w:rPr>
            </w:pPr>
            <w:r w:rsidRPr="004C71D8">
              <w:rPr>
                <w:i/>
                <w:iCs/>
                <w:lang w:val="en-GB"/>
              </w:rPr>
              <w:t>G_</w:t>
            </w:r>
            <w:r w:rsidR="007E1024" w:rsidRPr="004C71D8">
              <w:rPr>
                <w:i/>
                <w:iCs/>
                <w:lang w:val="en-GB"/>
              </w:rPr>
              <w:t>E</w:t>
            </w:r>
          </w:p>
        </w:tc>
        <w:tc>
          <w:tcPr>
            <w:tcW w:w="1113" w:type="dxa"/>
            <w:tcBorders>
              <w:top w:val="nil"/>
            </w:tcBorders>
            <w:shd w:val="clear" w:color="auto" w:fill="FFFFFF"/>
            <w:vAlign w:val="center"/>
          </w:tcPr>
          <w:p w14:paraId="78EA1209" w14:textId="01761DE5" w:rsidR="00FC4AA3" w:rsidRPr="004C71D8" w:rsidRDefault="00FC4AA3" w:rsidP="00267CE9">
            <w:pPr>
              <w:pStyle w:val="CETBodytext"/>
              <w:ind w:right="-1"/>
              <w:jc w:val="center"/>
              <w:rPr>
                <w:i/>
                <w:iCs/>
                <w:lang w:val="en-GB"/>
              </w:rPr>
            </w:pPr>
            <w:r w:rsidRPr="004C71D8">
              <w:rPr>
                <w:i/>
                <w:iCs/>
                <w:lang w:val="en-GB"/>
              </w:rPr>
              <w:t>Galia</w:t>
            </w:r>
          </w:p>
        </w:tc>
        <w:tc>
          <w:tcPr>
            <w:tcW w:w="1276" w:type="dxa"/>
            <w:tcBorders>
              <w:top w:val="nil"/>
            </w:tcBorders>
            <w:shd w:val="clear" w:color="auto" w:fill="FFFFFF"/>
            <w:vAlign w:val="center"/>
          </w:tcPr>
          <w:p w14:paraId="46C2D396" w14:textId="1C7967F9" w:rsidR="00FC4AA3" w:rsidRPr="004C71D8" w:rsidRDefault="00FC4AA3" w:rsidP="00267CE9">
            <w:pPr>
              <w:pStyle w:val="CETBodytext"/>
              <w:ind w:right="-1"/>
              <w:jc w:val="center"/>
              <w:rPr>
                <w:i/>
                <w:iCs/>
                <w:lang w:val="en-GB"/>
              </w:rPr>
            </w:pPr>
            <w:r w:rsidRPr="004C71D8">
              <w:rPr>
                <w:i/>
                <w:iCs/>
                <w:lang w:val="en-GB"/>
              </w:rPr>
              <w:t>20% excess of OH-</w:t>
            </w:r>
          </w:p>
        </w:tc>
        <w:tc>
          <w:tcPr>
            <w:tcW w:w="959" w:type="dxa"/>
            <w:tcBorders>
              <w:top w:val="nil"/>
            </w:tcBorders>
            <w:shd w:val="clear" w:color="auto" w:fill="FFFFFF"/>
            <w:vAlign w:val="center"/>
          </w:tcPr>
          <w:p w14:paraId="3B3C061F" w14:textId="3DE59B9A" w:rsidR="00FC4AA3" w:rsidRPr="004C71D8" w:rsidRDefault="00FC4AA3" w:rsidP="00267CE9">
            <w:pPr>
              <w:pStyle w:val="CETBodytext"/>
              <w:ind w:right="-1"/>
              <w:jc w:val="center"/>
              <w:rPr>
                <w:i/>
                <w:iCs/>
                <w:lang w:val="en-GB"/>
              </w:rPr>
            </w:pPr>
            <w:r w:rsidRPr="004C71D8">
              <w:rPr>
                <w:i/>
                <w:iCs/>
                <w:lang w:val="en-GB"/>
              </w:rPr>
              <w:t>780±20</w:t>
            </w:r>
          </w:p>
        </w:tc>
        <w:tc>
          <w:tcPr>
            <w:tcW w:w="1215" w:type="dxa"/>
            <w:tcBorders>
              <w:top w:val="nil"/>
            </w:tcBorders>
            <w:shd w:val="clear" w:color="auto" w:fill="FFFFFF"/>
            <w:vAlign w:val="center"/>
          </w:tcPr>
          <w:p w14:paraId="035C800B" w14:textId="0C118603" w:rsidR="00FC4AA3" w:rsidRPr="004C71D8" w:rsidRDefault="00FC4AA3" w:rsidP="00267CE9">
            <w:pPr>
              <w:pStyle w:val="CETBodytext"/>
              <w:jc w:val="center"/>
              <w:rPr>
                <w:i/>
                <w:iCs/>
                <w:lang w:val="en-GB"/>
              </w:rPr>
            </w:pPr>
            <w:r w:rsidRPr="004C71D8">
              <w:rPr>
                <w:i/>
                <w:iCs/>
                <w:lang w:val="en-GB"/>
              </w:rPr>
              <w:t>2</w:t>
            </w:r>
          </w:p>
        </w:tc>
        <w:tc>
          <w:tcPr>
            <w:tcW w:w="1795" w:type="dxa"/>
            <w:tcBorders>
              <w:top w:val="nil"/>
            </w:tcBorders>
            <w:shd w:val="clear" w:color="auto" w:fill="FFFFFF"/>
            <w:vAlign w:val="center"/>
          </w:tcPr>
          <w:p w14:paraId="71A0BC8F" w14:textId="5FF2DCAF" w:rsidR="00FC4AA3" w:rsidRPr="004C71D8" w:rsidRDefault="00FC4AA3" w:rsidP="00267CE9">
            <w:pPr>
              <w:pStyle w:val="CETBodytext"/>
              <w:jc w:val="center"/>
              <w:rPr>
                <w:i/>
                <w:iCs/>
                <w:lang w:val="en-GB"/>
              </w:rPr>
            </w:pPr>
            <w:r w:rsidRPr="004C71D8">
              <w:rPr>
                <w:i/>
                <w:iCs/>
                <w:lang w:val="en-GB"/>
              </w:rPr>
              <w:t>0.96±0.18</w:t>
            </w:r>
          </w:p>
        </w:tc>
        <w:tc>
          <w:tcPr>
            <w:tcW w:w="1321" w:type="dxa"/>
            <w:tcBorders>
              <w:top w:val="nil"/>
            </w:tcBorders>
            <w:shd w:val="clear" w:color="auto" w:fill="FFFFFF"/>
            <w:vAlign w:val="center"/>
          </w:tcPr>
          <w:p w14:paraId="3CE40533" w14:textId="751AAB5C" w:rsidR="00FC4AA3" w:rsidRPr="004C71D8" w:rsidRDefault="00FC4AA3" w:rsidP="00267CE9">
            <w:pPr>
              <w:pStyle w:val="CETBodytext"/>
              <w:jc w:val="center"/>
              <w:rPr>
                <w:i/>
                <w:iCs/>
                <w:lang w:val="en-GB"/>
              </w:rPr>
            </w:pPr>
            <w:r w:rsidRPr="004C71D8">
              <w:rPr>
                <w:i/>
                <w:iCs/>
                <w:lang w:val="en-GB"/>
              </w:rPr>
              <w:t>1.20± 0.0</w:t>
            </w:r>
            <w:r w:rsidR="004F51C0" w:rsidRPr="004C71D8">
              <w:rPr>
                <w:i/>
                <w:iCs/>
                <w:lang w:val="en-GB"/>
              </w:rPr>
              <w:t>2</w:t>
            </w:r>
          </w:p>
        </w:tc>
      </w:tr>
    </w:tbl>
    <w:p w14:paraId="51392EE0" w14:textId="77777777" w:rsidR="004009B1" w:rsidRDefault="004009B1" w:rsidP="00991EE1">
      <w:pPr>
        <w:spacing w:line="360" w:lineRule="auto"/>
        <w:ind w:firstLine="425"/>
        <w:rPr>
          <w:szCs w:val="24"/>
          <w:lang w:val="en-US"/>
        </w:rPr>
      </w:pPr>
    </w:p>
    <w:p w14:paraId="34121D3D" w14:textId="05CC7368" w:rsidR="00991EE1" w:rsidRPr="00EC1899" w:rsidRDefault="00CA1832" w:rsidP="00EC1899">
      <w:pPr>
        <w:pStyle w:val="CETBodytext"/>
      </w:pPr>
      <w:r w:rsidRPr="00EC1899">
        <w:t xml:space="preserve">After precipitation, </w:t>
      </w:r>
      <w:proofErr w:type="gramStart"/>
      <w:r w:rsidR="00E802AC">
        <w:rPr>
          <w:color w:val="000000" w:themeColor="text1"/>
        </w:rPr>
        <w:t>Mg(</w:t>
      </w:r>
      <w:proofErr w:type="gramEnd"/>
      <w:r w:rsidR="00E802AC">
        <w:rPr>
          <w:color w:val="000000" w:themeColor="text1"/>
        </w:rPr>
        <w:t>OH)</w:t>
      </w:r>
      <w:r w:rsidR="00E802AC" w:rsidRPr="00273101">
        <w:rPr>
          <w:color w:val="000000" w:themeColor="text1"/>
          <w:vertAlign w:val="subscript"/>
        </w:rPr>
        <w:t>2</w:t>
      </w:r>
      <w:r w:rsidR="00E802AC">
        <w:rPr>
          <w:color w:val="000000" w:themeColor="text1"/>
          <w:vertAlign w:val="subscript"/>
        </w:rPr>
        <w:t xml:space="preserve"> </w:t>
      </w:r>
      <w:r w:rsidR="00EA2F5B" w:rsidRPr="00EC1899">
        <w:t xml:space="preserve">suspensions were collected in a receiving flask. </w:t>
      </w:r>
      <w:r w:rsidR="009A6B36" w:rsidRPr="00EC1899">
        <w:t>P</w:t>
      </w:r>
      <w:r w:rsidR="00EA2F5B" w:rsidRPr="00EC1899">
        <w:t xml:space="preserve">art of the suspension was immediately analysed by </w:t>
      </w:r>
      <w:r w:rsidR="009A6B36" w:rsidRPr="00EC1899">
        <w:t xml:space="preserve">using the </w:t>
      </w:r>
      <w:r w:rsidR="00EA2F5B" w:rsidRPr="00EC1899">
        <w:t xml:space="preserve">static light scattering </w:t>
      </w:r>
      <w:r w:rsidR="009A6B36" w:rsidRPr="00EC1899">
        <w:t>Malvern M</w:t>
      </w:r>
      <w:r w:rsidR="00EA2F5B" w:rsidRPr="00EC1899">
        <w:t>astersizer2000</w:t>
      </w:r>
      <w:r w:rsidR="009A6B36" w:rsidRPr="00EC1899">
        <w:t xml:space="preserve"> </w:t>
      </w:r>
      <w:proofErr w:type="spellStart"/>
      <w:r w:rsidR="007F6282" w:rsidRPr="00EC1899">
        <w:t>granulometer</w:t>
      </w:r>
      <w:proofErr w:type="spellEnd"/>
      <w:r w:rsidR="001E60FC" w:rsidRPr="00EC1899">
        <w:t xml:space="preserve"> </w:t>
      </w:r>
      <w:r w:rsidR="005F4793" w:rsidRPr="00EC1899">
        <w:t xml:space="preserve">equipped with the Hydro 2000 MU </w:t>
      </w:r>
      <w:r w:rsidR="008B0F2A" w:rsidRPr="00EC1899">
        <w:t>dispersant unit</w:t>
      </w:r>
      <w:r w:rsidR="00EA2F5B" w:rsidRPr="00EC1899">
        <w:t>.</w:t>
      </w:r>
      <w:r w:rsidR="008B0F2A" w:rsidRPr="00EC1899">
        <w:t xml:space="preserve"> All measurements</w:t>
      </w:r>
      <w:r w:rsidR="005F4793" w:rsidRPr="00EC1899">
        <w:t xml:space="preserve"> </w:t>
      </w:r>
      <w:r w:rsidR="008B0F2A" w:rsidRPr="00EC1899">
        <w:t xml:space="preserve">were </w:t>
      </w:r>
      <w:r w:rsidR="001E60FC" w:rsidRPr="00EC1899">
        <w:t>conducted</w:t>
      </w:r>
      <w:r w:rsidR="008B0F2A" w:rsidRPr="00EC1899">
        <w:t xml:space="preserve"> </w:t>
      </w:r>
      <w:r w:rsidR="00D310BA" w:rsidRPr="00EC1899">
        <w:t xml:space="preserve">by </w:t>
      </w:r>
      <w:r w:rsidR="008B0F2A" w:rsidRPr="00EC1899">
        <w:t>setting the Hydro 2000 MU stirrer velocity at 2000</w:t>
      </w:r>
      <w:r w:rsidR="00204B7A">
        <w:t xml:space="preserve"> </w:t>
      </w:r>
      <w:r w:rsidR="008B0F2A" w:rsidRPr="00EC1899">
        <w:t xml:space="preserve">rpm. </w:t>
      </w:r>
      <w:r w:rsidR="008D1951">
        <w:t>Volume particle</w:t>
      </w:r>
      <w:r w:rsidR="007F6282" w:rsidRPr="00EC1899">
        <w:t xml:space="preserve"> size distribution</w:t>
      </w:r>
      <w:r w:rsidR="00F75DE8" w:rsidRPr="00EC1899">
        <w:t>s (</w:t>
      </w:r>
      <w:r w:rsidR="008D1951">
        <w:t>V-P</w:t>
      </w:r>
      <w:r w:rsidR="00F75DE8" w:rsidRPr="00EC1899">
        <w:t>SDs)</w:t>
      </w:r>
      <w:r w:rsidR="007F6282" w:rsidRPr="00EC1899">
        <w:t xml:space="preserve"> were obtained with and without sonication and the addition of </w:t>
      </w:r>
      <w:r w:rsidR="001E60FC" w:rsidRPr="00EC1899">
        <w:t xml:space="preserve">the </w:t>
      </w:r>
      <w:proofErr w:type="gramStart"/>
      <w:r w:rsidR="007F6282" w:rsidRPr="00EC1899">
        <w:t>poly(</w:t>
      </w:r>
      <w:proofErr w:type="gramEnd"/>
      <w:r w:rsidR="007F6282" w:rsidRPr="00EC1899">
        <w:t>acrylic acid, sodium salt), (PAA, MW 1200, Sigma-Aldrich, Inc.) as a dispersant</w:t>
      </w:r>
      <w:r w:rsidR="001E60FC" w:rsidRPr="00EC1899">
        <w:t xml:space="preserve">. </w:t>
      </w:r>
      <w:r w:rsidR="008D1951">
        <w:t>V-P</w:t>
      </w:r>
      <w:r w:rsidR="001E60FC" w:rsidRPr="00EC1899">
        <w:t>SD measurements were performed as follow</w:t>
      </w:r>
      <w:r w:rsidR="007B4A1F" w:rsidRPr="00EC1899">
        <w:t>s</w:t>
      </w:r>
      <w:r w:rsidR="000B4ECF" w:rsidRPr="00EC1899">
        <w:t>: (</w:t>
      </w:r>
      <w:r w:rsidR="008059A1">
        <w:t>i</w:t>
      </w:r>
      <w:r w:rsidR="007F6282" w:rsidRPr="00EC1899">
        <w:t xml:space="preserve">) </w:t>
      </w:r>
      <w:r w:rsidR="005F4793" w:rsidRPr="00EC1899">
        <w:t xml:space="preserve">30 PAA drops were added into the </w:t>
      </w:r>
      <w:r w:rsidR="00467246" w:rsidRPr="00EC1899">
        <w:t>H</w:t>
      </w:r>
      <w:r w:rsidR="005F4793" w:rsidRPr="00EC1899">
        <w:t xml:space="preserve">ydro 2000 MU beaker filled with 700 mL deionized water </w:t>
      </w:r>
      <w:r w:rsidR="007F6282" w:rsidRPr="00EC1899">
        <w:t xml:space="preserve">and the background was </w:t>
      </w:r>
      <w:r w:rsidR="00467246" w:rsidRPr="00EC1899">
        <w:t>acquired</w:t>
      </w:r>
      <w:r w:rsidR="007F6282" w:rsidRPr="00EC1899">
        <w:t>; (</w:t>
      </w:r>
      <w:r w:rsidR="008059A1">
        <w:t>ii</w:t>
      </w:r>
      <w:r w:rsidR="007F6282" w:rsidRPr="00EC1899">
        <w:t>) Mg(OH)</w:t>
      </w:r>
      <w:r w:rsidR="007F6282" w:rsidRPr="008059A1">
        <w:rPr>
          <w:vertAlign w:val="subscript"/>
        </w:rPr>
        <w:t xml:space="preserve">2 </w:t>
      </w:r>
      <w:r w:rsidR="007F6282" w:rsidRPr="00EC1899">
        <w:t xml:space="preserve">suspension </w:t>
      </w:r>
      <w:r w:rsidR="00493956" w:rsidRPr="00EC1899">
        <w:t xml:space="preserve">was added </w:t>
      </w:r>
      <w:r w:rsidR="007F6282" w:rsidRPr="00EC1899">
        <w:t xml:space="preserve">until the light obscuration </w:t>
      </w:r>
      <w:r w:rsidR="00C00BA0" w:rsidRPr="00EC1899">
        <w:t>was</w:t>
      </w:r>
      <w:r w:rsidR="007F6282" w:rsidRPr="00EC1899">
        <w:t xml:space="preserve"> ~24</w:t>
      </w:r>
      <w:r w:rsidR="006A6341">
        <w:t xml:space="preserve"> </w:t>
      </w:r>
      <w:r w:rsidR="007F6282" w:rsidRPr="00EC1899">
        <w:t xml:space="preserve">%; (3) 5 </w:t>
      </w:r>
      <w:r w:rsidR="008D1951">
        <w:t>V-P</w:t>
      </w:r>
      <w:r w:rsidR="008D1951" w:rsidRPr="00EC1899">
        <w:t>SD</w:t>
      </w:r>
      <w:r w:rsidR="008D1951">
        <w:t>s</w:t>
      </w:r>
      <w:r w:rsidR="008D1951" w:rsidRPr="00EC1899">
        <w:t xml:space="preserve"> </w:t>
      </w:r>
      <w:r w:rsidR="007F6282" w:rsidRPr="00EC1899">
        <w:t>measurements were conducted; (4) 5 min</w:t>
      </w:r>
      <w:r w:rsidR="006012FE">
        <w:t>s</w:t>
      </w:r>
      <w:r w:rsidR="007F6282" w:rsidRPr="00EC1899">
        <w:t xml:space="preserve"> of </w:t>
      </w:r>
      <w:r w:rsidR="00F75DE8" w:rsidRPr="000F01C6">
        <w:t xml:space="preserve">sonication </w:t>
      </w:r>
      <w:r w:rsidR="00030AA5" w:rsidRPr="000F01C6">
        <w:t xml:space="preserve">were </w:t>
      </w:r>
      <w:r w:rsidR="00F75DE8" w:rsidRPr="000F01C6">
        <w:t xml:space="preserve">applied </w:t>
      </w:r>
      <w:r w:rsidR="007B4A1F" w:rsidRPr="000F01C6">
        <w:t>through</w:t>
      </w:r>
      <w:r w:rsidR="00F75DE8" w:rsidRPr="000F01C6">
        <w:t xml:space="preserve"> t</w:t>
      </w:r>
      <w:r w:rsidR="007F6282" w:rsidRPr="000F01C6">
        <w:t>he</w:t>
      </w:r>
      <w:r w:rsidR="00535ABC" w:rsidRPr="000F01C6">
        <w:t xml:space="preserve"> Hydro 2000 MU</w:t>
      </w:r>
      <w:r w:rsidR="007F6282" w:rsidRPr="000F01C6">
        <w:t xml:space="preserve"> integrated ultrasound probe at 20 kHz; (5) 5 further </w:t>
      </w:r>
      <w:r w:rsidR="008D1951" w:rsidRPr="000F01C6">
        <w:t xml:space="preserve">V-PSDs </w:t>
      </w:r>
      <w:r w:rsidR="007F6282" w:rsidRPr="000F01C6">
        <w:t xml:space="preserve">measurements were </w:t>
      </w:r>
      <w:r w:rsidR="00653039" w:rsidRPr="000F01C6">
        <w:t>collected</w:t>
      </w:r>
      <w:r w:rsidR="007F6282" w:rsidRPr="000F01C6">
        <w:t>.</w:t>
      </w:r>
      <w:r w:rsidR="004E55F4" w:rsidRPr="000F01C6">
        <w:t xml:space="preserve"> Experiments were conducted </w:t>
      </w:r>
      <w:r w:rsidR="00107229" w:rsidRPr="000F01C6">
        <w:t xml:space="preserve">twice </w:t>
      </w:r>
      <w:r w:rsidR="004E55F4" w:rsidRPr="000F01C6">
        <w:t xml:space="preserve">for </w:t>
      </w:r>
      <w:r w:rsidR="00943E46" w:rsidRPr="000F01C6">
        <w:t>reproducibility</w:t>
      </w:r>
      <w:r w:rsidR="004E55F4" w:rsidRPr="000F01C6">
        <w:t xml:space="preserve"> purposes. </w:t>
      </w:r>
      <w:r w:rsidR="008318BF" w:rsidRPr="000F01C6">
        <w:t xml:space="preserve">Average </w:t>
      </w:r>
      <w:r w:rsidR="004E55F4" w:rsidRPr="000F01C6">
        <w:t>V-PSD</w:t>
      </w:r>
      <w:r w:rsidR="008318BF" w:rsidRPr="000F01C6">
        <w:t>s between repeated tests (10 curves in total) are shown in</w:t>
      </w:r>
      <w:r w:rsidR="004E55F4" w:rsidRPr="000F01C6">
        <w:t xml:space="preserve"> </w:t>
      </w:r>
      <w:r w:rsidR="004E55F4" w:rsidRPr="000F01C6">
        <w:fldChar w:fldCharType="begin"/>
      </w:r>
      <w:r w:rsidR="004E55F4" w:rsidRPr="000F01C6">
        <w:instrText xml:space="preserve"> REF _Ref103434625 \h </w:instrText>
      </w:r>
      <w:r w:rsidR="003A086C" w:rsidRPr="000F01C6">
        <w:instrText xml:space="preserve"> \* MERGEFORMAT </w:instrText>
      </w:r>
      <w:r w:rsidR="004E55F4" w:rsidRPr="000F01C6">
        <w:fldChar w:fldCharType="separate"/>
      </w:r>
      <w:r w:rsidR="001A3C27" w:rsidRPr="000F01C6">
        <w:t>Figure 2</w:t>
      </w:r>
      <w:r w:rsidR="004E55F4" w:rsidRPr="000F01C6">
        <w:fldChar w:fldCharType="end"/>
      </w:r>
      <w:r w:rsidR="008318BF" w:rsidRPr="000F01C6">
        <w:t xml:space="preserve"> along with error bars </w:t>
      </w:r>
      <w:r w:rsidR="00AB3D45" w:rsidRPr="000F01C6">
        <w:t>considering</w:t>
      </w:r>
      <w:r w:rsidR="003A086C" w:rsidRPr="000F01C6">
        <w:t xml:space="preserve"> both tests repeatability and multiple V-PSDs measurements </w:t>
      </w:r>
      <w:r w:rsidR="00080C34" w:rsidRPr="000F01C6">
        <w:t>uncertainty</w:t>
      </w:r>
      <w:r w:rsidR="003A086C" w:rsidRPr="000F01C6">
        <w:t xml:space="preserve">. </w:t>
      </w:r>
      <w:r w:rsidR="001E3644" w:rsidRPr="000F01C6">
        <w:t>T</w:t>
      </w:r>
      <w:r w:rsidR="00884F2B" w:rsidRPr="000F01C6">
        <w:t xml:space="preserve">he remaining </w:t>
      </w:r>
      <w:proofErr w:type="gramStart"/>
      <w:r w:rsidR="00D45E11" w:rsidRPr="000F01C6">
        <w:rPr>
          <w:color w:val="000000" w:themeColor="text1"/>
        </w:rPr>
        <w:t>Mg(</w:t>
      </w:r>
      <w:proofErr w:type="gramEnd"/>
      <w:r w:rsidR="00D45E11" w:rsidRPr="000F01C6">
        <w:rPr>
          <w:color w:val="000000" w:themeColor="text1"/>
        </w:rPr>
        <w:t>OH)</w:t>
      </w:r>
      <w:r w:rsidR="00D45E11" w:rsidRPr="000F01C6">
        <w:rPr>
          <w:color w:val="000000" w:themeColor="text1"/>
          <w:vertAlign w:val="subscript"/>
        </w:rPr>
        <w:t xml:space="preserve">2 </w:t>
      </w:r>
      <w:r w:rsidR="00590395" w:rsidRPr="000F01C6">
        <w:t xml:space="preserve">suspension </w:t>
      </w:r>
      <w:r w:rsidR="00EA2F5B" w:rsidRPr="000F01C6">
        <w:t>was filtrated</w:t>
      </w:r>
      <w:r w:rsidR="00590395" w:rsidRPr="000F01C6">
        <w:t xml:space="preserve"> </w:t>
      </w:r>
      <w:r w:rsidR="00EA2F5B" w:rsidRPr="000F01C6">
        <w:t>using a Buchner</w:t>
      </w:r>
      <w:r w:rsidR="00EA2F5B" w:rsidRPr="00EC1899">
        <w:t xml:space="preserve"> funnel and 1.8</w:t>
      </w:r>
      <w:r w:rsidR="005C7BA3">
        <w:t xml:space="preserve"> </w:t>
      </w:r>
      <w:r w:rsidR="00EA2F5B" w:rsidRPr="00EC1899">
        <w:t xml:space="preserve">μm glass fiber filters (GE Healthcare Life Science Whatman™). </w:t>
      </w:r>
      <w:proofErr w:type="gramStart"/>
      <w:r w:rsidR="00466594">
        <w:rPr>
          <w:color w:val="000000" w:themeColor="text1"/>
        </w:rPr>
        <w:t>Mg(</w:t>
      </w:r>
      <w:proofErr w:type="gramEnd"/>
      <w:r w:rsidR="00466594">
        <w:rPr>
          <w:color w:val="000000" w:themeColor="text1"/>
        </w:rPr>
        <w:t>OH)</w:t>
      </w:r>
      <w:r w:rsidR="00466594" w:rsidRPr="00273101">
        <w:rPr>
          <w:color w:val="000000" w:themeColor="text1"/>
          <w:vertAlign w:val="subscript"/>
        </w:rPr>
        <w:t>2</w:t>
      </w:r>
      <w:r w:rsidR="00466594">
        <w:rPr>
          <w:color w:val="000000" w:themeColor="text1"/>
          <w:vertAlign w:val="subscript"/>
        </w:rPr>
        <w:t xml:space="preserve"> </w:t>
      </w:r>
      <w:r w:rsidR="00EA2F5B" w:rsidRPr="00EC1899">
        <w:t xml:space="preserve">cake was </w:t>
      </w:r>
      <w:r w:rsidR="00590395" w:rsidRPr="00EC1899">
        <w:t xml:space="preserve">then </w:t>
      </w:r>
      <w:r w:rsidR="00EA2F5B" w:rsidRPr="00EC1899">
        <w:t xml:space="preserve">washed </w:t>
      </w:r>
      <w:r w:rsidR="00590395" w:rsidRPr="00EC1899">
        <w:t>with</w:t>
      </w:r>
      <w:r w:rsidR="00EA2F5B" w:rsidRPr="00EC1899">
        <w:t xml:space="preserve"> </w:t>
      </w:r>
      <w:r w:rsidR="00590395" w:rsidRPr="00EC1899">
        <w:t xml:space="preserve">a deionized water volume </w:t>
      </w:r>
      <w:r w:rsidR="00EA2F5B" w:rsidRPr="00EC1899">
        <w:t>equal to that of the filtrated suspension. The cake was then dried at 105</w:t>
      </w:r>
      <w:r w:rsidR="009B4873">
        <w:t xml:space="preserve"> </w:t>
      </w:r>
      <w:r w:rsidR="00EA2F5B" w:rsidRPr="00EC1899">
        <w:t>°C in an oven for 24</w:t>
      </w:r>
      <w:r w:rsidR="009B4873">
        <w:t xml:space="preserve"> </w:t>
      </w:r>
      <w:r w:rsidR="00EA2F5B" w:rsidRPr="00EC1899">
        <w:t>h.</w:t>
      </w:r>
      <w:r w:rsidR="004A71D7" w:rsidRPr="00EC1899">
        <w:t xml:space="preserve"> </w:t>
      </w:r>
      <w:r w:rsidR="005D1643" w:rsidRPr="00EC1899">
        <w:t>(i) ~</w:t>
      </w:r>
      <w:r w:rsidR="00807E86" w:rsidRPr="00EC1899">
        <w:t xml:space="preserve">100 mg </w:t>
      </w:r>
      <w:r w:rsidR="006E0134">
        <w:rPr>
          <w:color w:val="000000" w:themeColor="text1"/>
        </w:rPr>
        <w:t>Mg(OH)</w:t>
      </w:r>
      <w:r w:rsidR="006E0134" w:rsidRPr="00273101">
        <w:rPr>
          <w:color w:val="000000" w:themeColor="text1"/>
          <w:vertAlign w:val="subscript"/>
        </w:rPr>
        <w:t>2</w:t>
      </w:r>
      <w:r w:rsidR="006E0134">
        <w:rPr>
          <w:color w:val="000000" w:themeColor="text1"/>
          <w:vertAlign w:val="subscript"/>
        </w:rPr>
        <w:t xml:space="preserve"> </w:t>
      </w:r>
      <w:r w:rsidR="00DB5E49" w:rsidRPr="00EC1899">
        <w:t>powder</w:t>
      </w:r>
      <w:r w:rsidR="00EA2F5B" w:rsidRPr="00EC1899">
        <w:t xml:space="preserve"> </w:t>
      </w:r>
      <w:r w:rsidR="00DB5E49" w:rsidRPr="00EC1899">
        <w:t xml:space="preserve">was </w:t>
      </w:r>
      <w:r w:rsidR="00807E86" w:rsidRPr="00EC1899">
        <w:t xml:space="preserve">dissolved </w:t>
      </w:r>
      <w:r w:rsidR="00466594" w:rsidRPr="00EC1899">
        <w:t>in 1</w:t>
      </w:r>
      <w:r w:rsidR="009B4873">
        <w:t xml:space="preserve"> </w:t>
      </w:r>
      <w:r w:rsidR="00807E86" w:rsidRPr="00EC1899">
        <w:t xml:space="preserve">M hydrochloric acid (HCl, </w:t>
      </w:r>
      <w:proofErr w:type="spellStart"/>
      <w:r w:rsidR="00807E86" w:rsidRPr="00EC1899">
        <w:t>Honeywell|FlukaTM</w:t>
      </w:r>
      <w:proofErr w:type="spellEnd"/>
      <w:r w:rsidR="00807E86" w:rsidRPr="00EC1899">
        <w:t>)</w:t>
      </w:r>
      <w:r w:rsidR="00DB5E49" w:rsidRPr="00EC1899">
        <w:t xml:space="preserve"> </w:t>
      </w:r>
      <w:r w:rsidR="00807E86" w:rsidRPr="00EC1899">
        <w:t>for cation content assessment through IC</w:t>
      </w:r>
      <w:r w:rsidR="00455383" w:rsidRPr="00EC1899">
        <w:t>; (ii)</w:t>
      </w:r>
      <w:r w:rsidR="00807E86" w:rsidRPr="00EC1899">
        <w:t xml:space="preserve"> </w:t>
      </w:r>
      <w:r w:rsidR="00455383" w:rsidRPr="00EC1899">
        <w:t>~</w:t>
      </w:r>
      <w:r w:rsidR="00C5245F" w:rsidRPr="00EC1899">
        <w:t xml:space="preserve">80-200 mg </w:t>
      </w:r>
      <w:r w:rsidR="00455383" w:rsidRPr="00EC1899">
        <w:t>was</w:t>
      </w:r>
      <w:r w:rsidR="00C5245F" w:rsidRPr="00EC1899">
        <w:t xml:space="preserve"> used for mass purity assessment </w:t>
      </w:r>
      <w:r w:rsidR="00807E86" w:rsidRPr="00EC1899">
        <w:t>via Thermogravimetric Analysis (TGA, STA 449 F1 Jupiter analyzer, NETZSCH)</w:t>
      </w:r>
      <w:r w:rsidR="00466594">
        <w:t>;</w:t>
      </w:r>
      <w:r w:rsidR="00807E86" w:rsidRPr="00EC1899">
        <w:t xml:space="preserve"> </w:t>
      </w:r>
      <w:r w:rsidR="00466594" w:rsidRPr="00EC1899">
        <w:t xml:space="preserve">(iii) few grams were also employed for morphology </w:t>
      </w:r>
      <w:r w:rsidR="00054222">
        <w:t>observation</w:t>
      </w:r>
      <w:r w:rsidR="00466594" w:rsidRPr="00EC1899">
        <w:t xml:space="preserve"> using the Scanning Electron Microscopy (SEM FEI Quanta 200 FEG) equipment. </w:t>
      </w:r>
      <w:r w:rsidR="00807E86" w:rsidRPr="00EC1899">
        <w:t xml:space="preserve">TGA analyses were </w:t>
      </w:r>
      <w:r w:rsidR="00455383" w:rsidRPr="00EC1899">
        <w:t>conducted</w:t>
      </w:r>
      <w:r w:rsidR="003C04C7" w:rsidRPr="00EC1899">
        <w:t xml:space="preserve"> </w:t>
      </w:r>
      <w:r w:rsidR="009D4062" w:rsidRPr="00EC1899">
        <w:t>with</w:t>
      </w:r>
      <w:r w:rsidR="003C04C7" w:rsidRPr="00EC1899">
        <w:t xml:space="preserve"> </w:t>
      </w:r>
      <w:r w:rsidR="00807E86" w:rsidRPr="00EC1899">
        <w:t>a heating rate of 10</w:t>
      </w:r>
      <w:r w:rsidR="009B4873">
        <w:t xml:space="preserve"> </w:t>
      </w:r>
      <w:r w:rsidR="00807E86" w:rsidRPr="00EC1899">
        <w:t xml:space="preserve">°C/min </w:t>
      </w:r>
      <w:r w:rsidR="009D4062" w:rsidRPr="00EC1899">
        <w:t xml:space="preserve">from </w:t>
      </w:r>
      <w:r w:rsidR="00807E86" w:rsidRPr="00EC1899">
        <w:t>30</w:t>
      </w:r>
      <w:r w:rsidR="009B4873">
        <w:t xml:space="preserve"> </w:t>
      </w:r>
      <w:r w:rsidR="00807E86" w:rsidRPr="00EC1899">
        <w:t>°C to 1000</w:t>
      </w:r>
      <w:r w:rsidR="009B4873">
        <w:t xml:space="preserve"> </w:t>
      </w:r>
      <w:r w:rsidR="00807E86" w:rsidRPr="00EC1899">
        <w:t>°C, under a constant nitrogen flow of 20 mL/min.</w:t>
      </w:r>
      <w:r w:rsidR="00D46A28" w:rsidRPr="00EC1899">
        <w:t xml:space="preserve"> </w:t>
      </w:r>
    </w:p>
    <w:p w14:paraId="08B3E3E0" w14:textId="77777777" w:rsidR="001C45EC" w:rsidRPr="00860105" w:rsidRDefault="001C45EC" w:rsidP="003316E8">
      <w:pPr>
        <w:pStyle w:val="CETBodytext"/>
      </w:pPr>
    </w:p>
    <w:p w14:paraId="7091C8DF" w14:textId="1CF4C32F" w:rsidR="007A7688" w:rsidRDefault="00C2276D" w:rsidP="003316E8">
      <w:pPr>
        <w:pStyle w:val="CETheadingx"/>
      </w:pPr>
      <w:r>
        <w:t xml:space="preserve">Cationic and mass purity </w:t>
      </w:r>
    </w:p>
    <w:p w14:paraId="12A8E55E" w14:textId="77777777" w:rsidR="007F1C04" w:rsidRDefault="007F1C04" w:rsidP="007F1C04">
      <w:pPr>
        <w:pStyle w:val="CETBodytext"/>
      </w:pPr>
      <w:proofErr w:type="gramStart"/>
      <w:r>
        <w:t>M</w:t>
      </w:r>
      <w:r w:rsidRPr="00E7565E">
        <w:t>g(</w:t>
      </w:r>
      <w:proofErr w:type="gramEnd"/>
      <w:r w:rsidRPr="00E7565E">
        <w:t>OH)</w:t>
      </w:r>
      <w:r w:rsidRPr="00E7565E">
        <w:rPr>
          <w:vertAlign w:val="subscript"/>
        </w:rPr>
        <w:t>2</w:t>
      </w:r>
      <w:r w:rsidRPr="00E7565E">
        <w:t xml:space="preserve"> </w:t>
      </w:r>
      <w:r>
        <w:t>cationic purity was determined as the Mg</w:t>
      </w:r>
      <w:r w:rsidRPr="001C45EC">
        <w:rPr>
          <w:vertAlign w:val="superscript"/>
        </w:rPr>
        <w:t>2+</w:t>
      </w:r>
      <w:r>
        <w:t xml:space="preserve"> ions concentration contained in dissolved powders over the total cation species concentration detected by the IC technique</w:t>
      </w:r>
      <w:r w:rsidRPr="00E7565E">
        <w:t xml:space="preserve">: </w:t>
      </w:r>
    </w:p>
    <w:tbl>
      <w:tblPr>
        <w:tblW w:w="5000" w:type="pct"/>
        <w:tblLook w:val="04A0" w:firstRow="1" w:lastRow="0" w:firstColumn="1" w:lastColumn="0" w:noHBand="0" w:noVBand="1"/>
      </w:tblPr>
      <w:tblGrid>
        <w:gridCol w:w="7984"/>
        <w:gridCol w:w="803"/>
      </w:tblGrid>
      <w:tr w:rsidR="00E511C3" w:rsidRPr="00B57B36" w14:paraId="4925E2C1" w14:textId="77777777" w:rsidTr="00F3734C">
        <w:tc>
          <w:tcPr>
            <w:tcW w:w="8188" w:type="dxa"/>
            <w:shd w:val="clear" w:color="auto" w:fill="auto"/>
            <w:vAlign w:val="center"/>
          </w:tcPr>
          <w:p w14:paraId="544BFB28" w14:textId="5CFDC40D" w:rsidR="00E511C3" w:rsidRPr="00E511C3" w:rsidRDefault="00E511C3" w:rsidP="00F3734C">
            <w:pPr>
              <w:pStyle w:val="CETEquation"/>
              <w:rPr>
                <w:rFonts w:cs="Arial"/>
              </w:rPr>
            </w:pPr>
            <m:oMathPara>
              <m:oMathParaPr>
                <m:jc m:val="left"/>
              </m:oMathParaPr>
              <m:oMath>
                <m:r>
                  <w:rPr>
                    <w:rFonts w:ascii="Cambria Math" w:hAnsi="Cambria Math"/>
                  </w:rPr>
                  <m:t>Cationic purity=</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Mg2+</m:t>
                        </m:r>
                      </m:sub>
                    </m:sSub>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e>
                    </m:nary>
                  </m:den>
                </m:f>
                <m:r>
                  <w:rPr>
                    <w:rFonts w:ascii="Cambria Math" w:hAnsi="Cambria Math"/>
                  </w:rPr>
                  <m:t xml:space="preserve">*100   </m:t>
                </m:r>
              </m:oMath>
            </m:oMathPara>
          </w:p>
        </w:tc>
        <w:tc>
          <w:tcPr>
            <w:tcW w:w="815" w:type="dxa"/>
            <w:shd w:val="clear" w:color="auto" w:fill="auto"/>
            <w:vAlign w:val="center"/>
          </w:tcPr>
          <w:p w14:paraId="01EF01D4" w14:textId="3CC2CEB5" w:rsidR="00E511C3" w:rsidRPr="00B57B36" w:rsidRDefault="00E511C3" w:rsidP="00F3734C">
            <w:pPr>
              <w:pStyle w:val="CETEquation"/>
              <w:jc w:val="right"/>
            </w:pPr>
            <w:r w:rsidRPr="00B57B36">
              <w:t>(</w:t>
            </w:r>
            <w:r>
              <w:t>2</w:t>
            </w:r>
            <w:r w:rsidRPr="00B57B36">
              <w:t>)</w:t>
            </w:r>
          </w:p>
        </w:tc>
      </w:tr>
    </w:tbl>
    <w:p w14:paraId="7EEFB86E" w14:textId="5C13D9B0" w:rsidR="00606513" w:rsidRDefault="00B67F8D" w:rsidP="003316E8">
      <w:pPr>
        <w:pStyle w:val="CETBodytext"/>
      </w:pPr>
      <w:bookmarkStart w:id="3" w:name="_Hlk104018275"/>
      <w:r w:rsidRPr="00E7565E">
        <w:t xml:space="preserve">where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A713AC">
        <w:t xml:space="preserve"> </w:t>
      </w:r>
      <w:r w:rsidRPr="00E7565E">
        <w:t>is the</w:t>
      </w:r>
      <w:r w:rsidR="00A713AC">
        <w:t xml:space="preserve"> concentration of the </w:t>
      </w:r>
      <w:r w:rsidR="00780634">
        <w:t xml:space="preserve">i-th </w:t>
      </w:r>
      <w:r w:rsidRPr="00E7565E">
        <w:t>cation</w:t>
      </w:r>
      <w:r w:rsidR="00A713AC">
        <w:t xml:space="preserve"> species and N is the total number of detected cations</w:t>
      </w:r>
      <w:r w:rsidRPr="00E7565E">
        <w:t>.</w:t>
      </w:r>
    </w:p>
    <w:bookmarkEnd w:id="3"/>
    <w:p w14:paraId="2BE0DCF8" w14:textId="14F6896E" w:rsidR="00960C13" w:rsidRDefault="00606513" w:rsidP="003316E8">
      <w:pPr>
        <w:pStyle w:val="CETBodytext"/>
      </w:pPr>
      <w:proofErr w:type="gramStart"/>
      <w:r>
        <w:t>M</w:t>
      </w:r>
      <w:r w:rsidRPr="00E7565E">
        <w:t>g(</w:t>
      </w:r>
      <w:proofErr w:type="gramEnd"/>
      <w:r w:rsidRPr="00E7565E">
        <w:t>OH)</w:t>
      </w:r>
      <w:r w:rsidRPr="00E7565E">
        <w:rPr>
          <w:vertAlign w:val="subscript"/>
        </w:rPr>
        <w:t>2</w:t>
      </w:r>
      <w:r w:rsidRPr="00E7565E">
        <w:t xml:space="preserve"> </w:t>
      </w:r>
      <w:r>
        <w:t>mass purity</w:t>
      </w:r>
      <w:r w:rsidR="00C02419">
        <w:t xml:space="preserve"> </w:t>
      </w:r>
      <w:r>
        <w:t xml:space="preserve">was </w:t>
      </w:r>
      <w:r w:rsidR="00605203">
        <w:t>calculated</w:t>
      </w:r>
      <w:r w:rsidR="00C02419">
        <w:t xml:space="preserve"> considering the </w:t>
      </w:r>
      <w:r w:rsidR="00000A65">
        <w:t>M</w:t>
      </w:r>
      <w:r w:rsidR="00000A65" w:rsidRPr="00E7565E">
        <w:t>g(OH)</w:t>
      </w:r>
      <w:r w:rsidR="00000A65" w:rsidRPr="00E7565E">
        <w:rPr>
          <w:vertAlign w:val="subscript"/>
        </w:rPr>
        <w:t>2</w:t>
      </w:r>
      <w:r w:rsidR="00000A65" w:rsidRPr="00E7565E">
        <w:t xml:space="preserve"> </w:t>
      </w:r>
      <w:r w:rsidR="00C02419">
        <w:t xml:space="preserve">mass over the </w:t>
      </w:r>
      <w:r w:rsidR="00BE3C01">
        <w:t>dry</w:t>
      </w:r>
      <w:r w:rsidR="00C02419">
        <w:t xml:space="preserve"> sample mass</w:t>
      </w:r>
      <w:r w:rsidR="00960C13">
        <w:t>:</w:t>
      </w:r>
    </w:p>
    <w:tbl>
      <w:tblPr>
        <w:tblpPr w:leftFromText="180" w:rightFromText="180" w:vertAnchor="text" w:horzAnchor="margin" w:tblpY="169"/>
        <w:tblW w:w="5000" w:type="pct"/>
        <w:tblLook w:val="04A0" w:firstRow="1" w:lastRow="0" w:firstColumn="1" w:lastColumn="0" w:noHBand="0" w:noVBand="1"/>
      </w:tblPr>
      <w:tblGrid>
        <w:gridCol w:w="7985"/>
        <w:gridCol w:w="802"/>
      </w:tblGrid>
      <w:tr w:rsidR="00960C13" w:rsidRPr="00B57B36" w14:paraId="7E9537EC" w14:textId="77777777" w:rsidTr="00960C13">
        <w:tc>
          <w:tcPr>
            <w:tcW w:w="7985" w:type="dxa"/>
            <w:shd w:val="clear" w:color="auto" w:fill="auto"/>
            <w:vAlign w:val="center"/>
          </w:tcPr>
          <w:p w14:paraId="06F5EE46" w14:textId="77777777" w:rsidR="00960C13" w:rsidRPr="00E511C3" w:rsidRDefault="00960C13" w:rsidP="00960C13">
            <w:pPr>
              <w:pStyle w:val="CETEquation"/>
              <w:rPr>
                <w:rFonts w:cs="Arial"/>
              </w:rPr>
            </w:pPr>
            <m:oMathPara>
              <m:oMathParaPr>
                <m:jc m:val="left"/>
              </m:oMathParaPr>
              <m:oMath>
                <m:r>
                  <w:rPr>
                    <w:rFonts w:ascii="Cambria Math" w:hAnsi="Cambria Math"/>
                  </w:rPr>
                  <m:t>Mass purity %=</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Mg</m:t>
                        </m:r>
                        <m:d>
                          <m:dPr>
                            <m:ctrlPr>
                              <w:rPr>
                                <w:rFonts w:ascii="Cambria Math" w:hAnsi="Cambria Math"/>
                                <w:i/>
                              </w:rPr>
                            </m:ctrlPr>
                          </m:dPr>
                          <m:e>
                            <m:r>
                              <w:rPr>
                                <w:rFonts w:ascii="Cambria Math" w:hAnsi="Cambria Math"/>
                              </w:rPr>
                              <m:t>OH</m:t>
                            </m:r>
                          </m:e>
                        </m:d>
                        <m:r>
                          <w:rPr>
                            <w:rFonts w:ascii="Cambria Math" w:hAnsi="Cambria Math"/>
                          </w:rPr>
                          <m:t>2</m:t>
                        </m:r>
                      </m:sub>
                      <m:sup>
                        <m:r>
                          <w:rPr>
                            <w:rFonts w:ascii="Cambria Math" w:hAnsi="Cambria Math"/>
                          </w:rPr>
                          <m:t>∆T=320-480°C</m:t>
                        </m:r>
                      </m:sup>
                    </m:sSubSup>
                  </m:num>
                  <m:den>
                    <m:sSubSup>
                      <m:sSubSupPr>
                        <m:ctrlPr>
                          <w:rPr>
                            <w:rFonts w:ascii="Cambria Math" w:hAnsi="Cambria Math"/>
                            <w:i/>
                          </w:rPr>
                        </m:ctrlPr>
                      </m:sSubSupPr>
                      <m:e>
                        <m:r>
                          <w:rPr>
                            <w:rFonts w:ascii="Cambria Math" w:hAnsi="Cambria Math"/>
                          </w:rPr>
                          <m:t>m</m:t>
                        </m:r>
                      </m:e>
                      <m:sub>
                        <m:r>
                          <w:rPr>
                            <w:rFonts w:ascii="Cambria Math" w:hAnsi="Cambria Math"/>
                          </w:rPr>
                          <m:t>sample</m:t>
                        </m:r>
                      </m:sub>
                      <m:sup>
                        <m:r>
                          <w:rPr>
                            <w:rFonts w:ascii="Cambria Math" w:hAnsi="Cambria Math"/>
                          </w:rPr>
                          <m:t>Total</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H2O</m:t>
                        </m:r>
                      </m:sub>
                      <m:sup>
                        <m:r>
                          <w:rPr>
                            <w:rFonts w:ascii="Cambria Math" w:hAnsi="Cambria Math"/>
                          </w:rPr>
                          <m:t>∆T=30-200°C</m:t>
                        </m:r>
                      </m:sup>
                    </m:sSubSup>
                  </m:den>
                </m:f>
                <m:r>
                  <w:rPr>
                    <w:rFonts w:ascii="Cambria Math" w:hAnsi="Cambria Math"/>
                  </w:rPr>
                  <m:t xml:space="preserve">*100  </m:t>
                </m:r>
              </m:oMath>
            </m:oMathPara>
          </w:p>
        </w:tc>
        <w:tc>
          <w:tcPr>
            <w:tcW w:w="802" w:type="dxa"/>
            <w:shd w:val="clear" w:color="auto" w:fill="auto"/>
            <w:vAlign w:val="center"/>
          </w:tcPr>
          <w:p w14:paraId="23C2ADE0" w14:textId="77777777" w:rsidR="00960C13" w:rsidRPr="00B57B36" w:rsidRDefault="00960C13" w:rsidP="00960C13">
            <w:pPr>
              <w:pStyle w:val="CETEquation"/>
              <w:jc w:val="right"/>
            </w:pPr>
            <w:r w:rsidRPr="00B57B36">
              <w:t>(</w:t>
            </w:r>
            <w:r>
              <w:t>3</w:t>
            </w:r>
            <w:r w:rsidRPr="00B57B36">
              <w:t>)</w:t>
            </w:r>
          </w:p>
        </w:tc>
      </w:tr>
    </w:tbl>
    <w:p w14:paraId="549B1AF3" w14:textId="6A1FECCB" w:rsidR="00B67F8D" w:rsidRPr="008F0A31" w:rsidRDefault="00970E68" w:rsidP="003316E8">
      <w:pPr>
        <w:pStyle w:val="CETBodytext"/>
      </w:pPr>
      <w:r>
        <w:t xml:space="preserve">In Eq. (3), </w:t>
      </w:r>
      <w:proofErr w:type="gramStart"/>
      <w:r w:rsidR="00000A65">
        <w:t>M</w:t>
      </w:r>
      <w:r w:rsidR="00000A65" w:rsidRPr="00E7565E">
        <w:t>g(</w:t>
      </w:r>
      <w:proofErr w:type="gramEnd"/>
      <w:r w:rsidR="00000A65" w:rsidRPr="00E7565E">
        <w:t>OH)</w:t>
      </w:r>
      <w:r w:rsidR="00000A65" w:rsidRPr="00E7565E">
        <w:rPr>
          <w:vertAlign w:val="subscript"/>
        </w:rPr>
        <w:t>2</w:t>
      </w:r>
      <w:r w:rsidR="00000A65">
        <w:t xml:space="preserve"> </w:t>
      </w:r>
      <w:r w:rsidR="00C02419">
        <w:t>mass</w:t>
      </w:r>
      <w:r>
        <w:t>,</w:t>
      </w:r>
      <w:r w:rsidR="00C02419">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Mg</m:t>
            </m:r>
            <m:d>
              <m:dPr>
                <m:ctrlPr>
                  <w:rPr>
                    <w:rFonts w:ascii="Cambria Math" w:hAnsi="Cambria Math"/>
                    <w:i/>
                  </w:rPr>
                </m:ctrlPr>
              </m:dPr>
              <m:e>
                <m:r>
                  <w:rPr>
                    <w:rFonts w:ascii="Cambria Math" w:hAnsi="Cambria Math"/>
                  </w:rPr>
                  <m:t>OH</m:t>
                </m:r>
              </m:e>
            </m:d>
            <m:r>
              <w:rPr>
                <w:rFonts w:ascii="Cambria Math" w:hAnsi="Cambria Math"/>
              </w:rPr>
              <m:t>2</m:t>
            </m:r>
          </m:sub>
          <m:sup>
            <m:r>
              <w:rPr>
                <w:rFonts w:ascii="Cambria Math" w:hAnsi="Cambria Math"/>
              </w:rPr>
              <m:t>∆T=320-480°C</m:t>
            </m:r>
          </m:sup>
        </m:sSubSup>
        <m:r>
          <w:rPr>
            <w:rFonts w:ascii="Cambria Math" w:hAnsi="Cambria Math"/>
          </w:rPr>
          <m:t>,</m:t>
        </m:r>
      </m:oMath>
      <w:r>
        <w:t xml:space="preserve"> </w:t>
      </w:r>
      <w:r w:rsidR="00C02419">
        <w:t xml:space="preserve">was obtained by considering the water mass loss detected between </w:t>
      </w:r>
      <w:r w:rsidR="00B67F8D">
        <w:t>320</w:t>
      </w:r>
      <w:r w:rsidR="009B4873">
        <w:t xml:space="preserve"> </w:t>
      </w:r>
      <w:r w:rsidR="00F51D14">
        <w:t>°C</w:t>
      </w:r>
      <w:r w:rsidR="00B67F8D">
        <w:t xml:space="preserve"> and 480</w:t>
      </w:r>
      <w:r w:rsidR="009B4873">
        <w:t xml:space="preserve"> </w:t>
      </w:r>
      <w:r w:rsidR="00B67F8D">
        <w:t>°C</w:t>
      </w:r>
      <w:r w:rsidR="00F51D14">
        <w:t xml:space="preserve"> </w:t>
      </w:r>
      <w:r w:rsidR="00C02419">
        <w:t xml:space="preserve">in the </w:t>
      </w:r>
      <w:r w:rsidR="00B67F8D">
        <w:t>TG analysis</w:t>
      </w:r>
      <w:r w:rsidR="00C02419">
        <w:t xml:space="preserve">. </w:t>
      </w:r>
      <w:r w:rsidR="00BE3C01">
        <w:t>The dry sample mass was</w:t>
      </w:r>
      <w:r w:rsidR="00206487">
        <w:t xml:space="preserve"> </w:t>
      </w:r>
      <w:r w:rsidR="00792B91">
        <w:t>calculated</w:t>
      </w:r>
      <w:r w:rsidR="00206487">
        <w:t xml:space="preserve"> by subtracting the sample humidity</w:t>
      </w:r>
      <w:r w:rsidR="0057163D">
        <w:t>,</w:t>
      </w:r>
      <w:r w:rsidR="0057163D" w:rsidRPr="0057163D">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H2O</m:t>
            </m:r>
          </m:sub>
          <m:sup>
            <m:r>
              <w:rPr>
                <w:rFonts w:ascii="Cambria Math" w:hAnsi="Cambria Math"/>
              </w:rPr>
              <m:t>∆T=30-200°C</m:t>
            </m:r>
          </m:sup>
        </m:sSubSup>
      </m:oMath>
      <w:r w:rsidR="0057163D">
        <w:t xml:space="preserve">, </w:t>
      </w:r>
      <w:r w:rsidR="00A0031F">
        <w:t>to</w:t>
      </w:r>
      <w:r w:rsidR="00206487">
        <w:t xml:space="preserve"> the initial total sample mass</w:t>
      </w:r>
      <w:r w:rsidR="0057163D">
        <w:t>,</w:t>
      </w:r>
      <w:r w:rsidR="0057163D" w:rsidRPr="0057163D">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sample</m:t>
            </m:r>
          </m:sub>
          <m:sup>
            <m:r>
              <w:rPr>
                <w:rFonts w:ascii="Cambria Math" w:hAnsi="Cambria Math"/>
              </w:rPr>
              <m:t>Total</m:t>
            </m:r>
          </m:sup>
        </m:sSubSup>
      </m:oMath>
      <w:r w:rsidR="00BE3C01">
        <w:t xml:space="preserve">. The humidity content was </w:t>
      </w:r>
      <w:r w:rsidR="00764D94">
        <w:t xml:space="preserve">assessed as </w:t>
      </w:r>
      <w:r w:rsidR="00BE3C01">
        <w:t xml:space="preserve">the water loss measured </w:t>
      </w:r>
      <w:r w:rsidR="00B67F8D" w:rsidRPr="008F0A31">
        <w:t>between 30</w:t>
      </w:r>
      <w:r w:rsidR="009B4873">
        <w:t xml:space="preserve"> </w:t>
      </w:r>
      <w:r w:rsidR="00F51D14">
        <w:t>°C</w:t>
      </w:r>
      <w:r w:rsidR="00B67F8D" w:rsidRPr="008F0A31">
        <w:t xml:space="preserve"> and 200</w:t>
      </w:r>
      <w:r w:rsidR="009B4873">
        <w:t xml:space="preserve"> </w:t>
      </w:r>
      <w:r w:rsidR="00B67F8D" w:rsidRPr="008F0A31">
        <w:t>°C.</w:t>
      </w:r>
      <w:r w:rsidR="005F285A">
        <w:t xml:space="preserve"> </w:t>
      </w:r>
    </w:p>
    <w:p w14:paraId="694892E3" w14:textId="7A16A88D" w:rsidR="00D9573C" w:rsidRDefault="005444FB" w:rsidP="00D9573C">
      <w:pPr>
        <w:pStyle w:val="CETHeading1"/>
      </w:pPr>
      <w:r>
        <w:lastRenderedPageBreak/>
        <w:t>Results</w:t>
      </w:r>
    </w:p>
    <w:p w14:paraId="524D145F" w14:textId="5AC0CBE4" w:rsidR="006F4F7F" w:rsidRPr="006F4F7F" w:rsidRDefault="006F4F7F" w:rsidP="006F4F7F">
      <w:pPr>
        <w:pStyle w:val="CETBodytext"/>
      </w:pPr>
      <w:proofErr w:type="gramStart"/>
      <w:r>
        <w:t>Mg(</w:t>
      </w:r>
      <w:proofErr w:type="gramEnd"/>
      <w:r>
        <w:t>OH)</w:t>
      </w:r>
      <w:r w:rsidRPr="006F4F7F">
        <w:rPr>
          <w:vertAlign w:val="subscript"/>
        </w:rPr>
        <w:t>2</w:t>
      </w:r>
      <w:r>
        <w:rPr>
          <w:vertAlign w:val="subscript"/>
        </w:rPr>
        <w:t xml:space="preserve"> </w:t>
      </w:r>
      <w:r>
        <w:t>particles produced from natural bitterns were characterized in terms of particles sizes, morphology and purity. Particles size distributions and SEM images are discussed</w:t>
      </w:r>
      <w:r w:rsidR="00BA6C5E">
        <w:t xml:space="preserve"> in Section 3.1. C</w:t>
      </w:r>
      <w:r>
        <w:t>ationic and mass purity values</w:t>
      </w:r>
      <w:r w:rsidR="00BA6C5E">
        <w:t xml:space="preserve"> are reported in Section 3.2.</w:t>
      </w:r>
      <w:r>
        <w:t xml:space="preserve"> </w:t>
      </w:r>
    </w:p>
    <w:p w14:paraId="45EEE2EC" w14:textId="291E6185" w:rsidR="00FA65DE" w:rsidRDefault="00FA65DE" w:rsidP="005444FB">
      <w:pPr>
        <w:pStyle w:val="CETheadingx"/>
      </w:pPr>
      <w:r w:rsidRPr="00000542">
        <w:t>Particle granulometry</w:t>
      </w:r>
      <w:r w:rsidR="00640DCD">
        <w:t xml:space="preserve"> and shapes</w:t>
      </w:r>
    </w:p>
    <w:p w14:paraId="5285359F" w14:textId="40E89A0C" w:rsidR="00086867" w:rsidRDefault="00B31690" w:rsidP="00FA65DE">
      <w:r>
        <w:rPr>
          <w:lang w:val="en-US"/>
        </w:rPr>
        <w:t xml:space="preserve">Volume particle </w:t>
      </w:r>
      <w:r w:rsidR="00086867">
        <w:t xml:space="preserve">size distributions </w:t>
      </w:r>
      <w:r w:rsidR="00D1442F">
        <w:t xml:space="preserve">of </w:t>
      </w:r>
      <w:proofErr w:type="gramStart"/>
      <w:r w:rsidR="00FB26EB">
        <w:t>M</w:t>
      </w:r>
      <w:r w:rsidR="00FB26EB" w:rsidRPr="00E7565E">
        <w:t>g(</w:t>
      </w:r>
      <w:proofErr w:type="gramEnd"/>
      <w:r w:rsidR="00FB26EB" w:rsidRPr="00E7565E">
        <w:t>OH)</w:t>
      </w:r>
      <w:r w:rsidR="00FB26EB" w:rsidRPr="00E7565E">
        <w:rPr>
          <w:vertAlign w:val="subscript"/>
        </w:rPr>
        <w:t>2</w:t>
      </w:r>
      <w:r w:rsidR="00FB26EB">
        <w:t xml:space="preserve"> </w:t>
      </w:r>
      <w:r w:rsidR="00D1442F">
        <w:t xml:space="preserve">particles precipitated from </w:t>
      </w:r>
      <w:r w:rsidR="00086867">
        <w:t>Margi and Galia bitterns under stoichiometric and 20</w:t>
      </w:r>
      <w:r w:rsidR="00AB7AA5">
        <w:t xml:space="preserve"> </w:t>
      </w:r>
      <w:r w:rsidR="00086867">
        <w:t>% OH</w:t>
      </w:r>
      <w:r w:rsidR="00086867" w:rsidRPr="00086867">
        <w:rPr>
          <w:vertAlign w:val="superscript"/>
        </w:rPr>
        <w:t>-</w:t>
      </w:r>
      <w:r w:rsidR="00086867">
        <w:rPr>
          <w:vertAlign w:val="superscript"/>
        </w:rPr>
        <w:t xml:space="preserve"> </w:t>
      </w:r>
      <w:r w:rsidR="00086867">
        <w:t xml:space="preserve">hydroxyl ions conditions are presented in </w:t>
      </w:r>
      <w:r w:rsidR="00086867">
        <w:fldChar w:fldCharType="begin"/>
      </w:r>
      <w:r w:rsidR="00086867">
        <w:instrText xml:space="preserve"> REF _Ref103434625 \h </w:instrText>
      </w:r>
      <w:r w:rsidR="00086867">
        <w:fldChar w:fldCharType="separate"/>
      </w:r>
      <w:r w:rsidR="001A3C27" w:rsidRPr="004C71D8">
        <w:t xml:space="preserve">Figure </w:t>
      </w:r>
      <w:r w:rsidR="001A3C27">
        <w:rPr>
          <w:noProof/>
        </w:rPr>
        <w:t>2</w:t>
      </w:r>
      <w:r w:rsidR="00086867">
        <w:fldChar w:fldCharType="end"/>
      </w:r>
      <w:r w:rsidR="00086867">
        <w:t xml:space="preserve">. </w:t>
      </w:r>
      <w:r w:rsidR="00C435BF">
        <w:t>V-P</w:t>
      </w:r>
      <w:r w:rsidR="00C435BF" w:rsidRPr="00EC1899">
        <w:t>SD</w:t>
      </w:r>
      <w:r w:rsidR="00C435BF">
        <w:t>s</w:t>
      </w:r>
      <w:r w:rsidR="00C435BF" w:rsidRPr="00EC1899">
        <w:t xml:space="preserve"> </w:t>
      </w:r>
      <w:r w:rsidR="00D1442F">
        <w:t>were obtained with</w:t>
      </w:r>
      <w:r w:rsidR="00012707">
        <w:t xml:space="preserve"> (</w:t>
      </w:r>
      <w:r w:rsidR="00012707">
        <w:fldChar w:fldCharType="begin"/>
      </w:r>
      <w:r w:rsidR="00012707">
        <w:instrText xml:space="preserve"> REF _Ref103434625 \h </w:instrText>
      </w:r>
      <w:r w:rsidR="00012707">
        <w:fldChar w:fldCharType="separate"/>
      </w:r>
      <w:r w:rsidR="001A3C27" w:rsidRPr="004C71D8">
        <w:t xml:space="preserve">Figure </w:t>
      </w:r>
      <w:r w:rsidR="001A3C27">
        <w:rPr>
          <w:noProof/>
        </w:rPr>
        <w:t>2</w:t>
      </w:r>
      <w:r w:rsidR="00012707">
        <w:fldChar w:fldCharType="end"/>
      </w:r>
      <w:r w:rsidR="00012707">
        <w:t>.b and 2.d) and</w:t>
      </w:r>
      <w:r w:rsidR="00D1442F">
        <w:t xml:space="preserve"> without </w:t>
      </w:r>
      <w:r w:rsidR="00012707">
        <w:t>(</w:t>
      </w:r>
      <w:r w:rsidR="00012707">
        <w:fldChar w:fldCharType="begin"/>
      </w:r>
      <w:r w:rsidR="00012707">
        <w:instrText xml:space="preserve"> REF _Ref103434625 \h </w:instrText>
      </w:r>
      <w:r w:rsidR="00012707">
        <w:fldChar w:fldCharType="separate"/>
      </w:r>
      <w:r w:rsidR="001A3C27" w:rsidRPr="004C71D8">
        <w:t xml:space="preserve">Figure </w:t>
      </w:r>
      <w:r w:rsidR="001A3C27">
        <w:rPr>
          <w:noProof/>
        </w:rPr>
        <w:t>2</w:t>
      </w:r>
      <w:r w:rsidR="00012707">
        <w:fldChar w:fldCharType="end"/>
      </w:r>
      <w:r w:rsidR="00012707">
        <w:t>.</w:t>
      </w:r>
      <w:proofErr w:type="gramStart"/>
      <w:r w:rsidR="00012707">
        <w:t>a and</w:t>
      </w:r>
      <w:proofErr w:type="gramEnd"/>
      <w:r w:rsidR="00012707">
        <w:t xml:space="preserve"> 2.c) sonication</w:t>
      </w:r>
      <w:r w:rsidR="00D1442F">
        <w:t>.</w:t>
      </w:r>
      <w:r w:rsidR="00485CE8">
        <w:t xml:space="preserve"> The anti-agglomerant PAA agent was used in all analysis.</w:t>
      </w:r>
    </w:p>
    <w:p w14:paraId="4BEA18EA" w14:textId="77777777" w:rsidR="009B4C3D" w:rsidRDefault="009B4C3D" w:rsidP="00FA65DE"/>
    <w:p w14:paraId="14CC42B6" w14:textId="5E4AAC30" w:rsidR="00CB668F" w:rsidRDefault="00F7409D" w:rsidP="00C40669">
      <w:pPr>
        <w:spacing w:line="240" w:lineRule="auto"/>
        <w:jc w:val="left"/>
      </w:pPr>
      <w:r w:rsidRPr="00C40669">
        <w:rPr>
          <w:noProof/>
        </w:rPr>
        <w:drawing>
          <wp:inline distT="0" distB="0" distL="0" distR="0" wp14:anchorId="0ECE7C93" wp14:editId="296E25D7">
            <wp:extent cx="4720153" cy="3420000"/>
            <wp:effectExtent l="0" t="0" r="444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0153" cy="3420000"/>
                    </a:xfrm>
                    <a:prstGeom prst="rect">
                      <a:avLst/>
                    </a:prstGeom>
                    <a:noFill/>
                  </pic:spPr>
                </pic:pic>
              </a:graphicData>
            </a:graphic>
          </wp:inline>
        </w:drawing>
      </w:r>
    </w:p>
    <w:p w14:paraId="4964D653" w14:textId="1FC4AE56" w:rsidR="00FA65DE" w:rsidRPr="000F01C6" w:rsidRDefault="00CB668F" w:rsidP="004C71D8">
      <w:pPr>
        <w:pStyle w:val="CETCaption"/>
      </w:pPr>
      <w:bookmarkStart w:id="4" w:name="_Ref103434625"/>
      <w:r w:rsidRPr="000F01C6">
        <w:t xml:space="preserve">Figure </w:t>
      </w:r>
      <w:r w:rsidRPr="000F01C6">
        <w:fldChar w:fldCharType="begin"/>
      </w:r>
      <w:r w:rsidRPr="000F01C6">
        <w:instrText xml:space="preserve"> SEQ Figure \* ARABIC </w:instrText>
      </w:r>
      <w:r w:rsidRPr="000F01C6">
        <w:fldChar w:fldCharType="separate"/>
      </w:r>
      <w:r w:rsidR="001A3C27" w:rsidRPr="000F01C6">
        <w:rPr>
          <w:noProof/>
        </w:rPr>
        <w:t>2</w:t>
      </w:r>
      <w:r w:rsidRPr="000F01C6">
        <w:fldChar w:fldCharType="end"/>
      </w:r>
      <w:bookmarkEnd w:id="4"/>
      <w:r w:rsidRPr="000F01C6">
        <w:t xml:space="preserve"> </w:t>
      </w:r>
      <w:r w:rsidR="00B31690" w:rsidRPr="000F01C6">
        <w:t>Volume particle</w:t>
      </w:r>
      <w:r w:rsidR="00FA65DE" w:rsidRPr="000F01C6">
        <w:t xml:space="preserve"> size distributions </w:t>
      </w:r>
      <w:r w:rsidR="00A00DFF" w:rsidRPr="000F01C6">
        <w:t xml:space="preserve">of </w:t>
      </w:r>
      <w:proofErr w:type="gramStart"/>
      <w:r w:rsidR="00104532" w:rsidRPr="000F01C6">
        <w:t>Mg(</w:t>
      </w:r>
      <w:proofErr w:type="gramEnd"/>
      <w:r w:rsidR="00104532" w:rsidRPr="000F01C6">
        <w:t>OH)</w:t>
      </w:r>
      <w:r w:rsidR="00104532" w:rsidRPr="000F01C6">
        <w:rPr>
          <w:vertAlign w:val="subscript"/>
        </w:rPr>
        <w:t>2</w:t>
      </w:r>
      <w:r w:rsidR="00104532" w:rsidRPr="000F01C6">
        <w:t xml:space="preserve"> </w:t>
      </w:r>
      <w:r w:rsidR="00A00DFF" w:rsidRPr="000F01C6">
        <w:t>particles precipitated from Margi and Galia</w:t>
      </w:r>
      <w:r w:rsidR="00214142" w:rsidRPr="000F01C6">
        <w:t xml:space="preserve"> </w:t>
      </w:r>
      <w:r w:rsidR="00A00DFF" w:rsidRPr="000F01C6">
        <w:t>bitterns under stoichiometric</w:t>
      </w:r>
      <w:r w:rsidR="00214142" w:rsidRPr="000F01C6">
        <w:t xml:space="preserve"> (M_S and G_S)</w:t>
      </w:r>
      <w:r w:rsidR="00A00DFF" w:rsidRPr="000F01C6">
        <w:t xml:space="preserve"> and </w:t>
      </w:r>
      <w:r w:rsidR="0016015F" w:rsidRPr="000F01C6">
        <w:t>20</w:t>
      </w:r>
      <w:r w:rsidR="00AB7AA5" w:rsidRPr="000F01C6">
        <w:t xml:space="preserve"> </w:t>
      </w:r>
      <w:r w:rsidR="0016015F" w:rsidRPr="000F01C6">
        <w:t xml:space="preserve">% </w:t>
      </w:r>
      <w:r w:rsidR="00A00DFF" w:rsidRPr="000F01C6">
        <w:t>OH</w:t>
      </w:r>
      <w:r w:rsidR="00A00DFF" w:rsidRPr="000F01C6">
        <w:rPr>
          <w:vertAlign w:val="superscript"/>
        </w:rPr>
        <w:t>-</w:t>
      </w:r>
      <w:r w:rsidR="00A00DFF" w:rsidRPr="000F01C6">
        <w:t xml:space="preserve"> excess conditions </w:t>
      </w:r>
      <w:r w:rsidR="00214142" w:rsidRPr="000F01C6">
        <w:t xml:space="preserve">(M_E and G_E): (a) and (c) without sonication; (b) and (d) </w:t>
      </w:r>
      <w:r w:rsidR="00A00DFF" w:rsidRPr="000F01C6">
        <w:t>with</w:t>
      </w:r>
      <w:r w:rsidR="00214142" w:rsidRPr="000F01C6">
        <w:t xml:space="preserve"> sonication treatment.</w:t>
      </w:r>
      <w:r w:rsidR="00DB1146" w:rsidRPr="000F01C6">
        <w:t xml:space="preserve"> The anti-agglomerant PAA agent was used in all analysis.</w:t>
      </w:r>
      <w:r w:rsidR="00D1713F" w:rsidRPr="000F01C6">
        <w:t xml:space="preserve"> For the G_S case also </w:t>
      </w:r>
      <w:r w:rsidR="00D73325" w:rsidRPr="000F01C6">
        <w:t>its corresponding</w:t>
      </w:r>
      <w:r w:rsidR="00D1713F" w:rsidRPr="000F01C6">
        <w:t xml:space="preserve"> Number size distribution </w:t>
      </w:r>
      <w:r w:rsidR="00D73325" w:rsidRPr="000F01C6">
        <w:t>is</w:t>
      </w:r>
      <w:r w:rsidR="00D1713F" w:rsidRPr="000F01C6">
        <w:t xml:space="preserve"> reported.</w:t>
      </w:r>
    </w:p>
    <w:p w14:paraId="27FA13BA" w14:textId="5BA339FA" w:rsidR="00086867" w:rsidRDefault="002B0F5C" w:rsidP="00D20B24">
      <w:pPr>
        <w:pStyle w:val="CETBodytext"/>
      </w:pPr>
      <w:r w:rsidRPr="000F01C6">
        <w:t>S</w:t>
      </w:r>
      <w:r w:rsidR="00086867" w:rsidRPr="000F01C6">
        <w:t xml:space="preserve">imilar </w:t>
      </w:r>
      <w:r w:rsidR="00C435BF" w:rsidRPr="000F01C6">
        <w:t xml:space="preserve">V-PSDs </w:t>
      </w:r>
      <w:r w:rsidR="00086867" w:rsidRPr="000F01C6">
        <w:t xml:space="preserve">are </w:t>
      </w:r>
      <w:r w:rsidRPr="000F01C6">
        <w:t>observed</w:t>
      </w:r>
      <w:r w:rsidR="00086867" w:rsidRPr="000F01C6">
        <w:t xml:space="preserve"> in the absence of sonication regardless </w:t>
      </w:r>
      <w:r w:rsidR="00462C9C" w:rsidRPr="000F01C6">
        <w:t xml:space="preserve">of </w:t>
      </w:r>
      <w:r w:rsidR="00086867" w:rsidRPr="000F01C6">
        <w:t xml:space="preserve">the employed bittern </w:t>
      </w:r>
      <w:r w:rsidR="0070741A" w:rsidRPr="000F01C6">
        <w:t>or</w:t>
      </w:r>
      <w:r w:rsidR="00086867" w:rsidRPr="000F01C6">
        <w:t xml:space="preserve"> </w:t>
      </w:r>
      <w:r w:rsidR="00495DC9" w:rsidRPr="000F01C6">
        <w:t xml:space="preserve">precipitation condition, see </w:t>
      </w:r>
      <w:r w:rsidR="00495DC9" w:rsidRPr="000F01C6">
        <w:fldChar w:fldCharType="begin"/>
      </w:r>
      <w:r w:rsidR="00495DC9" w:rsidRPr="000F01C6">
        <w:instrText xml:space="preserve"> REF _Ref103434625 \h </w:instrText>
      </w:r>
      <w:r w:rsidR="00D20B24" w:rsidRPr="000F01C6">
        <w:instrText xml:space="preserve"> \* MERGEFORMAT </w:instrText>
      </w:r>
      <w:r w:rsidR="00495DC9" w:rsidRPr="000F01C6">
        <w:fldChar w:fldCharType="separate"/>
      </w:r>
      <w:r w:rsidR="001A3C27" w:rsidRPr="000F01C6">
        <w:t xml:space="preserve">Figure </w:t>
      </w:r>
      <w:r w:rsidR="001A3C27" w:rsidRPr="000F01C6">
        <w:rPr>
          <w:noProof/>
        </w:rPr>
        <w:t>2</w:t>
      </w:r>
      <w:r w:rsidR="00495DC9" w:rsidRPr="000F01C6">
        <w:fldChar w:fldCharType="end"/>
      </w:r>
      <w:r w:rsidR="00495DC9" w:rsidRPr="000F01C6">
        <w:t>.</w:t>
      </w:r>
      <w:proofErr w:type="gramStart"/>
      <w:r w:rsidR="00495DC9" w:rsidRPr="000F01C6">
        <w:t>a and</w:t>
      </w:r>
      <w:proofErr w:type="gramEnd"/>
      <w:r w:rsidR="00495DC9" w:rsidRPr="000F01C6">
        <w:t xml:space="preserve"> 2.c.</w:t>
      </w:r>
      <w:r w:rsidR="00334725" w:rsidRPr="000F01C6">
        <w:t xml:space="preserve"> </w:t>
      </w:r>
      <w:r w:rsidR="005C0973" w:rsidRPr="000F01C6">
        <w:t>Specifically, p</w:t>
      </w:r>
      <w:r w:rsidR="007C5B64" w:rsidRPr="000F01C6">
        <w:t>articles range between 1</w:t>
      </w:r>
      <w:r w:rsidR="00B92420" w:rsidRPr="000F01C6">
        <w:t xml:space="preserve"> and </w:t>
      </w:r>
      <w:r w:rsidR="00A8704E" w:rsidRPr="000F01C6">
        <w:t>100</w:t>
      </w:r>
      <w:r w:rsidR="007C5B64" w:rsidRPr="000F01C6">
        <w:t xml:space="preserve"> </w:t>
      </w:r>
      <w:r w:rsidR="007C5B64" w:rsidRPr="000F01C6">
        <w:rPr>
          <w:rFonts w:cs="Arial"/>
        </w:rPr>
        <w:t>µ</w:t>
      </w:r>
      <w:r w:rsidR="007C5B64" w:rsidRPr="000F01C6">
        <w:t>m</w:t>
      </w:r>
      <w:r w:rsidR="00655C2A" w:rsidRPr="000F01C6">
        <w:t>.</w:t>
      </w:r>
      <w:r w:rsidR="007817AB" w:rsidRPr="000F01C6">
        <w:t xml:space="preserve"> </w:t>
      </w:r>
      <w:r w:rsidR="00700185" w:rsidRPr="000F01C6">
        <w:t>Particle</w:t>
      </w:r>
      <w:r w:rsidR="002A3E23" w:rsidRPr="000F01C6">
        <w:t xml:space="preserve"> </w:t>
      </w:r>
      <w:r w:rsidR="00700185" w:rsidRPr="000F01C6">
        <w:t xml:space="preserve">dimensions </w:t>
      </w:r>
      <w:r w:rsidR="00947A86" w:rsidRPr="000F01C6">
        <w:t>decrease</w:t>
      </w:r>
      <w:r w:rsidR="00700185" w:rsidRPr="000F01C6">
        <w:t xml:space="preserve"> </w:t>
      </w:r>
      <w:r w:rsidR="008B1605" w:rsidRPr="000F01C6">
        <w:t>after sonication.</w:t>
      </w:r>
      <w:r w:rsidR="00C00066" w:rsidRPr="000F01C6">
        <w:t xml:space="preserve"> N</w:t>
      </w:r>
      <w:r w:rsidR="009C4E3E" w:rsidRPr="000F01C6">
        <w:t xml:space="preserve">arrow </w:t>
      </w:r>
      <w:r w:rsidR="00C435BF" w:rsidRPr="000F01C6">
        <w:t xml:space="preserve">V-PSDs </w:t>
      </w:r>
      <w:r w:rsidR="009C4E3E" w:rsidRPr="000F01C6">
        <w:t xml:space="preserve">from </w:t>
      </w:r>
      <w:r w:rsidR="008B1605" w:rsidRPr="000F01C6">
        <w:t xml:space="preserve">1 to 10 </w:t>
      </w:r>
      <w:r w:rsidR="008B1605" w:rsidRPr="000F01C6">
        <w:rPr>
          <w:rFonts w:cs="Arial"/>
        </w:rPr>
        <w:t>µ</w:t>
      </w:r>
      <w:r w:rsidR="008B1605" w:rsidRPr="000F01C6">
        <w:t xml:space="preserve">m </w:t>
      </w:r>
      <w:r w:rsidR="009C4E3E" w:rsidRPr="000F01C6">
        <w:t xml:space="preserve">are </w:t>
      </w:r>
      <w:r w:rsidR="00413F2F" w:rsidRPr="000F01C6">
        <w:t>observed</w:t>
      </w:r>
      <w:r w:rsidR="00C00066" w:rsidRPr="000F01C6">
        <w:t xml:space="preserve"> both for M_S and M_E samples</w:t>
      </w:r>
      <w:r w:rsidR="00DB1503" w:rsidRPr="000F01C6">
        <w:t xml:space="preserve">, </w:t>
      </w:r>
      <w:r w:rsidR="00F0665D" w:rsidRPr="000F01C6">
        <w:t>as shown in</w:t>
      </w:r>
      <w:r w:rsidR="00DB1503" w:rsidRPr="000F01C6">
        <w:t xml:space="preserve"> </w:t>
      </w:r>
      <w:r w:rsidR="00DB1503" w:rsidRPr="000F01C6">
        <w:fldChar w:fldCharType="begin"/>
      </w:r>
      <w:r w:rsidR="00DB1503" w:rsidRPr="000F01C6">
        <w:instrText xml:space="preserve"> REF _Ref103434625 \h </w:instrText>
      </w:r>
      <w:r w:rsidR="00D20B24" w:rsidRPr="000F01C6">
        <w:instrText xml:space="preserve"> \* MERGEFORMAT </w:instrText>
      </w:r>
      <w:r w:rsidR="00DB1503" w:rsidRPr="000F01C6">
        <w:fldChar w:fldCharType="separate"/>
      </w:r>
      <w:r w:rsidR="001A3C27" w:rsidRPr="000F01C6">
        <w:t xml:space="preserve">Figure </w:t>
      </w:r>
      <w:r w:rsidR="001A3C27" w:rsidRPr="000F01C6">
        <w:rPr>
          <w:noProof/>
        </w:rPr>
        <w:t>2</w:t>
      </w:r>
      <w:r w:rsidR="00DB1503" w:rsidRPr="000F01C6">
        <w:fldChar w:fldCharType="end"/>
      </w:r>
      <w:r w:rsidR="00DB1503" w:rsidRPr="000F01C6">
        <w:t xml:space="preserve">.b. </w:t>
      </w:r>
      <w:r w:rsidR="002610A6" w:rsidRPr="000F01C6">
        <w:t xml:space="preserve">Conversely, a considerable </w:t>
      </w:r>
      <w:r w:rsidR="00F67F74" w:rsidRPr="000F01C6">
        <w:t>particle size</w:t>
      </w:r>
      <w:r w:rsidR="002610A6" w:rsidRPr="000F01C6">
        <w:t xml:space="preserve"> variation is </w:t>
      </w:r>
      <w:r w:rsidR="00D47FF6" w:rsidRPr="000F01C6">
        <w:t>noticed</w:t>
      </w:r>
      <w:r w:rsidR="002610A6" w:rsidRPr="000F01C6">
        <w:t xml:space="preserve"> </w:t>
      </w:r>
      <w:r w:rsidR="001A7FAE" w:rsidRPr="000F01C6">
        <w:t>in</w:t>
      </w:r>
      <w:r w:rsidR="002610A6" w:rsidRPr="000F01C6">
        <w:t xml:space="preserve"> </w:t>
      </w:r>
      <w:r w:rsidR="00AB42E0" w:rsidRPr="000F01C6">
        <w:t xml:space="preserve">the </w:t>
      </w:r>
      <w:r w:rsidR="002610A6" w:rsidRPr="000F01C6">
        <w:t>G_S</w:t>
      </w:r>
      <w:r w:rsidR="000872EC" w:rsidRPr="000F01C6">
        <w:t xml:space="preserve"> sample</w:t>
      </w:r>
      <w:r w:rsidR="00C66256" w:rsidRPr="000F01C6">
        <w:t xml:space="preserve">. </w:t>
      </w:r>
      <w:r w:rsidR="00036B9F" w:rsidRPr="000F01C6">
        <w:t xml:space="preserve">Specifically, </w:t>
      </w:r>
      <w:r w:rsidR="00872E23" w:rsidRPr="000F01C6">
        <w:t xml:space="preserve">a bi-modal distribution is observed. </w:t>
      </w:r>
      <w:r w:rsidR="00B4154A" w:rsidRPr="000F01C6">
        <w:t>Particles</w:t>
      </w:r>
      <w:r w:rsidR="00872E23" w:rsidRPr="000F01C6">
        <w:t xml:space="preserve"> </w:t>
      </w:r>
      <w:r w:rsidR="00FB501C" w:rsidRPr="000F01C6">
        <w:t xml:space="preserve">range </w:t>
      </w:r>
      <w:r w:rsidR="00872E23" w:rsidRPr="000F01C6">
        <w:t>between 0.06-0.6</w:t>
      </w:r>
      <w:r w:rsidR="00872E23" w:rsidRPr="000F01C6">
        <w:rPr>
          <w:rFonts w:cs="Arial"/>
        </w:rPr>
        <w:t xml:space="preserve"> µ</w:t>
      </w:r>
      <w:r w:rsidR="00872E23" w:rsidRPr="000F01C6">
        <w:t xml:space="preserve">m and 1-10 </w:t>
      </w:r>
      <w:r w:rsidR="00872E23" w:rsidRPr="000F01C6">
        <w:rPr>
          <w:rFonts w:cs="Arial"/>
        </w:rPr>
        <w:t>µ</w:t>
      </w:r>
      <w:r w:rsidR="00872E23" w:rsidRPr="000F01C6">
        <w:t>m</w:t>
      </w:r>
      <w:r w:rsidR="007C5172" w:rsidRPr="000F01C6">
        <w:t>.</w:t>
      </w:r>
      <w:r w:rsidR="00872E23" w:rsidRPr="000F01C6">
        <w:t xml:space="preserve"> </w:t>
      </w:r>
      <w:r w:rsidR="00B03383" w:rsidRPr="000F01C6">
        <w:t>L</w:t>
      </w:r>
      <w:r w:rsidR="00872E23" w:rsidRPr="000F01C6">
        <w:t xml:space="preserve">arge particles can be </w:t>
      </w:r>
      <w:r w:rsidR="00F52AD2" w:rsidRPr="000F01C6">
        <w:t xml:space="preserve">either attributed to </w:t>
      </w:r>
      <w:r w:rsidR="00751B2D" w:rsidRPr="000F01C6">
        <w:t xml:space="preserve">impurities </w:t>
      </w:r>
      <w:r w:rsidR="00872E23" w:rsidRPr="000F01C6">
        <w:t>or co-precipitat</w:t>
      </w:r>
      <w:r w:rsidR="00F52AD2" w:rsidRPr="000F01C6">
        <w:t xml:space="preserve">ed compounds </w:t>
      </w:r>
      <w:r w:rsidR="00B4154A" w:rsidRPr="000F01C6">
        <w:t>due to</w:t>
      </w:r>
      <w:r w:rsidR="00872E23" w:rsidRPr="000F01C6">
        <w:t xml:space="preserve"> the </w:t>
      </w:r>
      <w:r w:rsidR="00732AEA" w:rsidRPr="000F01C6">
        <w:t xml:space="preserve">bittern </w:t>
      </w:r>
      <w:r w:rsidR="00872E23" w:rsidRPr="000F01C6">
        <w:t>real</w:t>
      </w:r>
      <w:r w:rsidR="00732AEA" w:rsidRPr="000F01C6">
        <w:t xml:space="preserve"> nature</w:t>
      </w:r>
      <w:r w:rsidR="00872E23" w:rsidRPr="000F01C6">
        <w:t xml:space="preserve">. </w:t>
      </w:r>
      <w:r w:rsidR="00F201D0" w:rsidRPr="000F01C6">
        <w:t>In this case, also t</w:t>
      </w:r>
      <w:r w:rsidR="00A3027D" w:rsidRPr="000F01C6">
        <w:t>he</w:t>
      </w:r>
      <w:r w:rsidR="00B4154A" w:rsidRPr="000F01C6">
        <w:t xml:space="preserve"> number particle size distribution</w:t>
      </w:r>
      <w:r w:rsidR="001A4726" w:rsidRPr="000F01C6">
        <w:t xml:space="preserve"> (NSD)</w:t>
      </w:r>
      <w:r w:rsidR="00B4154A" w:rsidRPr="000F01C6">
        <w:t xml:space="preserve"> is </w:t>
      </w:r>
      <w:r w:rsidR="00A3027D" w:rsidRPr="000F01C6">
        <w:t>reported</w:t>
      </w:r>
      <w:r w:rsidR="00B4154A" w:rsidRPr="000F01C6">
        <w:t xml:space="preserve">. </w:t>
      </w:r>
      <w:r w:rsidR="001A4726" w:rsidRPr="000F01C6">
        <w:t>NSD</w:t>
      </w:r>
      <w:r w:rsidR="00B4154A" w:rsidRPr="000F01C6">
        <w:t xml:space="preserve"> </w:t>
      </w:r>
      <w:r w:rsidR="00EE5D5E" w:rsidRPr="000F01C6">
        <w:t>provides information regarding the</w:t>
      </w:r>
      <w:r w:rsidR="00B4154A" w:rsidRPr="000F01C6">
        <w:t xml:space="preserve"> number percentage</w:t>
      </w:r>
      <w:r w:rsidR="00D6300F" w:rsidRPr="000F01C6">
        <w:t>s</w:t>
      </w:r>
      <w:r w:rsidR="00B4154A" w:rsidRPr="000F01C6">
        <w:t xml:space="preserve"> of particles with a</w:t>
      </w:r>
      <w:r w:rsidR="00CA20CE" w:rsidRPr="000F01C6">
        <w:t xml:space="preserve"> certain</w:t>
      </w:r>
      <w:r w:rsidR="00B4154A" w:rsidRPr="000F01C6">
        <w:t xml:space="preserve"> dimension</w:t>
      </w:r>
      <w:r w:rsidR="001A4726" w:rsidRPr="000F01C6">
        <w:t xml:space="preserve">. </w:t>
      </w:r>
      <w:r w:rsidR="00FA5B4B" w:rsidRPr="000F01C6">
        <w:t>In the NSD, p</w:t>
      </w:r>
      <w:r w:rsidR="001A4726" w:rsidRPr="000F01C6">
        <w:t xml:space="preserve">articles </w:t>
      </w:r>
      <w:r w:rsidR="0036340B" w:rsidRPr="000F01C6">
        <w:t>range</w:t>
      </w:r>
      <w:r w:rsidR="001A4726" w:rsidRPr="000F01C6">
        <w:t xml:space="preserve"> between </w:t>
      </w:r>
      <w:r w:rsidR="00DA1A65" w:rsidRPr="000F01C6">
        <w:t>0.0</w:t>
      </w:r>
      <w:r w:rsidR="001A4726" w:rsidRPr="000F01C6">
        <w:t xml:space="preserve">2 and </w:t>
      </w:r>
      <w:r w:rsidR="00DA1A65" w:rsidRPr="000F01C6">
        <w:t>0.</w:t>
      </w:r>
      <w:r w:rsidR="001A4726" w:rsidRPr="000F01C6">
        <w:t xml:space="preserve">2 </w:t>
      </w:r>
      <w:r w:rsidR="00DA1A65" w:rsidRPr="000F01C6">
        <w:rPr>
          <w:rFonts w:cs="Arial"/>
        </w:rPr>
        <w:t>µ</w:t>
      </w:r>
      <w:r w:rsidR="001A4726" w:rsidRPr="000F01C6">
        <w:t>m, thus demonstrating</w:t>
      </w:r>
      <w:r w:rsidR="008F47E3" w:rsidRPr="000F01C6">
        <w:t xml:space="preserve"> </w:t>
      </w:r>
      <w:r w:rsidR="001A4726" w:rsidRPr="000F01C6">
        <w:t>the main presence of nanoparticles in the suspension.</w:t>
      </w:r>
      <w:r w:rsidR="00AD3E12" w:rsidRPr="000F01C6">
        <w:t xml:space="preserve"> </w:t>
      </w:r>
      <w:r w:rsidR="00D27934" w:rsidRPr="000F01C6">
        <w:t xml:space="preserve">Such </w:t>
      </w:r>
      <w:r w:rsidR="007E31B4" w:rsidRPr="000F01C6">
        <w:t xml:space="preserve">a </w:t>
      </w:r>
      <w:r w:rsidR="00D27934" w:rsidRPr="000F01C6">
        <w:t xml:space="preserve">result is not attained for the G_E sample where </w:t>
      </w:r>
      <w:r w:rsidR="007C5172" w:rsidRPr="000F01C6">
        <w:t xml:space="preserve">particles range between 1-10 </w:t>
      </w:r>
      <w:r w:rsidR="007C5172" w:rsidRPr="000F01C6">
        <w:rPr>
          <w:rFonts w:cs="Arial"/>
        </w:rPr>
        <w:t>µ</w:t>
      </w:r>
      <w:r w:rsidR="007C5172" w:rsidRPr="000F01C6">
        <w:t xml:space="preserve">m. </w:t>
      </w:r>
      <w:r w:rsidR="00655638" w:rsidRPr="000F01C6">
        <w:t>In the absence of sonication</w:t>
      </w:r>
      <w:r w:rsidR="00822405" w:rsidRPr="000F01C6">
        <w:t>,</w:t>
      </w:r>
      <w:r w:rsidR="00655638" w:rsidRPr="000F01C6">
        <w:t xml:space="preserve"> weak agglomerates, i.e. particles kept together by electrostatic forces, are mainly measured</w:t>
      </w:r>
      <w:r w:rsidR="00E06547" w:rsidRPr="000F01C6">
        <w:t xml:space="preserve"> d</w:t>
      </w:r>
      <w:r w:rsidR="00655638" w:rsidRPr="000F01C6">
        <w:t>ue to the</w:t>
      </w:r>
      <w:r w:rsidR="00411957" w:rsidRPr="000F01C6">
        <w:t xml:space="preserve"> un-stable nature </w:t>
      </w:r>
      <w:r w:rsidR="00655638" w:rsidRPr="000F01C6">
        <w:t xml:space="preserve">of </w:t>
      </w:r>
      <w:r w:rsidR="00245749" w:rsidRPr="000F01C6">
        <w:t>Mg(OH)</w:t>
      </w:r>
      <w:r w:rsidR="00245749" w:rsidRPr="000F01C6">
        <w:rPr>
          <w:vertAlign w:val="subscript"/>
        </w:rPr>
        <w:t>2</w:t>
      </w:r>
      <w:r w:rsidR="00245749" w:rsidRPr="000F01C6">
        <w:t xml:space="preserve"> </w:t>
      </w:r>
      <w:r w:rsidR="00655638" w:rsidRPr="000F01C6">
        <w:t>particles</w:t>
      </w:r>
      <w:r w:rsidR="00411957" w:rsidRPr="000F01C6">
        <w:t xml:space="preserve"> characterized by low zeta-potential values</w:t>
      </w:r>
      <w:r w:rsidR="007D2142" w:rsidRPr="000F01C6">
        <w:t xml:space="preserve"> varying from </w:t>
      </w:r>
      <w:r w:rsidR="00020C5E" w:rsidRPr="000F01C6">
        <w:rPr>
          <w:rFonts w:cs="Arial"/>
        </w:rPr>
        <w:t xml:space="preserve">~ </w:t>
      </w:r>
      <w:r w:rsidR="00943E46" w:rsidRPr="000F01C6">
        <w:rPr>
          <w:rFonts w:cs="Arial"/>
        </w:rPr>
        <w:t>+</w:t>
      </w:r>
      <w:r w:rsidR="007D2142" w:rsidRPr="000F01C6">
        <w:t xml:space="preserve">23 mV </w:t>
      </w:r>
      <w:r w:rsidR="00CA504D" w:rsidRPr="000F01C6">
        <w:t xml:space="preserve">at pH 10 </w:t>
      </w:r>
      <w:r w:rsidR="007D2142" w:rsidRPr="000F01C6">
        <w:t xml:space="preserve">to </w:t>
      </w:r>
      <w:r w:rsidR="00020C5E" w:rsidRPr="000F01C6">
        <w:rPr>
          <w:rFonts w:cs="Arial"/>
        </w:rPr>
        <w:t xml:space="preserve">~ </w:t>
      </w:r>
      <w:r w:rsidR="007D2142" w:rsidRPr="000F01C6">
        <w:t xml:space="preserve">-23 mV </w:t>
      </w:r>
      <w:r w:rsidR="00CA504D" w:rsidRPr="000F01C6">
        <w:t>at pH 13</w:t>
      </w:r>
      <w:r w:rsidR="00E06547" w:rsidRPr="000F01C6">
        <w:t xml:space="preserve"> </w:t>
      </w:r>
      <w:r w:rsidR="00E06547" w:rsidRPr="000F01C6">
        <w:fldChar w:fldCharType="begin" w:fldLock="1"/>
      </w:r>
      <w:r w:rsidR="00A56A21" w:rsidRPr="000F01C6">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E06547" w:rsidRPr="000F01C6">
        <w:fldChar w:fldCharType="separate"/>
      </w:r>
      <w:r w:rsidR="00A56A21" w:rsidRPr="000F01C6">
        <w:rPr>
          <w:noProof/>
        </w:rPr>
        <w:t>(Battaglia et al., 2022)</w:t>
      </w:r>
      <w:r w:rsidR="00E06547" w:rsidRPr="000F01C6">
        <w:fldChar w:fldCharType="end"/>
      </w:r>
      <w:r w:rsidR="00BE063E" w:rsidRPr="000F01C6">
        <w:t xml:space="preserve">, thus similar </w:t>
      </w:r>
      <w:r w:rsidR="00C435BF" w:rsidRPr="000F01C6">
        <w:t xml:space="preserve">V-PSDs </w:t>
      </w:r>
      <w:r w:rsidR="00BE063E" w:rsidRPr="000F01C6">
        <w:t xml:space="preserve">are observed in </w:t>
      </w:r>
      <w:r w:rsidR="00BE063E" w:rsidRPr="000F01C6">
        <w:fldChar w:fldCharType="begin"/>
      </w:r>
      <w:r w:rsidR="00BE063E" w:rsidRPr="000F01C6">
        <w:instrText xml:space="preserve"> REF _Ref103434625 \h  \* MERGEFORMAT </w:instrText>
      </w:r>
      <w:r w:rsidR="00BE063E" w:rsidRPr="000F01C6">
        <w:fldChar w:fldCharType="separate"/>
      </w:r>
      <w:r w:rsidR="001A3C27" w:rsidRPr="000F01C6">
        <w:t xml:space="preserve">Figure </w:t>
      </w:r>
      <w:r w:rsidR="001A3C27" w:rsidRPr="000F01C6">
        <w:rPr>
          <w:noProof/>
        </w:rPr>
        <w:t>2</w:t>
      </w:r>
      <w:r w:rsidR="00BE063E" w:rsidRPr="000F01C6">
        <w:fldChar w:fldCharType="end"/>
      </w:r>
      <w:r w:rsidR="00BE063E" w:rsidRPr="000F01C6">
        <w:t>.a and 2.c</w:t>
      </w:r>
      <w:r w:rsidR="00E06547" w:rsidRPr="000F01C6">
        <w:t xml:space="preserve">. </w:t>
      </w:r>
      <w:r w:rsidR="00822405" w:rsidRPr="000F01C6">
        <w:t>On the other hand, the application of the PAA dispersant agent and sonication allow</w:t>
      </w:r>
      <w:r w:rsidR="009A0DBD" w:rsidRPr="000F01C6">
        <w:t>s</w:t>
      </w:r>
      <w:r w:rsidR="00822405" w:rsidRPr="000F01C6">
        <w:t xml:space="preserve"> the measurement of either strong agglomerates or aggregates. Strong agglomerates are aggregates kept together by </w:t>
      </w:r>
      <w:r w:rsidR="003F64D6" w:rsidRPr="000F01C6">
        <w:t>strong</w:t>
      </w:r>
      <w:r w:rsidR="00822405" w:rsidRPr="000F01C6">
        <w:t xml:space="preserve"> bridges that can be still broken down after the application of a strong external force (a long duration of ultrasounds, </w:t>
      </w:r>
      <w:proofErr w:type="gramStart"/>
      <w:r w:rsidR="00D0579E" w:rsidRPr="000F01C6">
        <w:t>e.g.</w:t>
      </w:r>
      <w:proofErr w:type="gramEnd"/>
      <w:r w:rsidR="00822405" w:rsidRPr="000F01C6">
        <w:t xml:space="preserve"> &gt;10 mins). Aggregates are primary particles linked by chemical bonds that cannot be broken down by the application of sonication. </w:t>
      </w:r>
      <w:r w:rsidR="00B83E8B" w:rsidRPr="000F01C6">
        <w:t>Therefore,</w:t>
      </w:r>
      <w:r w:rsidR="00B83E8B">
        <w:t xml:space="preserve"> </w:t>
      </w:r>
      <w:r w:rsidR="00B83E8B">
        <w:fldChar w:fldCharType="begin"/>
      </w:r>
      <w:r w:rsidR="00B83E8B">
        <w:instrText xml:space="preserve"> REF _Ref103434625 \h  \* MERGEFORMAT </w:instrText>
      </w:r>
      <w:r w:rsidR="00B83E8B">
        <w:fldChar w:fldCharType="separate"/>
      </w:r>
      <w:r w:rsidR="001A3C27" w:rsidRPr="004C71D8">
        <w:t xml:space="preserve">Figure </w:t>
      </w:r>
      <w:r w:rsidR="001A3C27">
        <w:rPr>
          <w:noProof/>
        </w:rPr>
        <w:t>2</w:t>
      </w:r>
      <w:r w:rsidR="00B83E8B">
        <w:fldChar w:fldCharType="end"/>
      </w:r>
      <w:r w:rsidR="00B83E8B">
        <w:t xml:space="preserve">.a and 2.c </w:t>
      </w:r>
      <w:r w:rsidR="002F242E">
        <w:lastRenderedPageBreak/>
        <w:t>refer to</w:t>
      </w:r>
      <w:r w:rsidR="00B83E8B">
        <w:t xml:space="preserve"> </w:t>
      </w:r>
      <w:r w:rsidR="00D00412">
        <w:t>M</w:t>
      </w:r>
      <w:r w:rsidR="00D00412" w:rsidRPr="00E7565E">
        <w:t>g(OH)</w:t>
      </w:r>
      <w:r w:rsidR="00D00412" w:rsidRPr="00E7565E">
        <w:rPr>
          <w:vertAlign w:val="subscript"/>
        </w:rPr>
        <w:t>2</w:t>
      </w:r>
      <w:r w:rsidR="00D00412">
        <w:t xml:space="preserve"> </w:t>
      </w:r>
      <w:r w:rsidR="00B83E8B">
        <w:t>agglomerates</w:t>
      </w:r>
      <w:r w:rsidR="002F242E">
        <w:t xml:space="preserve"> size distributions</w:t>
      </w:r>
      <w:r w:rsidR="00B83E8B">
        <w:t xml:space="preserve">, while </w:t>
      </w:r>
      <w:r w:rsidR="00B83E8B">
        <w:fldChar w:fldCharType="begin"/>
      </w:r>
      <w:r w:rsidR="00B83E8B">
        <w:instrText xml:space="preserve"> REF _Ref103434625 \h  \* MERGEFORMAT </w:instrText>
      </w:r>
      <w:r w:rsidR="00B83E8B">
        <w:fldChar w:fldCharType="separate"/>
      </w:r>
      <w:r w:rsidR="001A3C27" w:rsidRPr="004C71D8">
        <w:t xml:space="preserve">Figure </w:t>
      </w:r>
      <w:r w:rsidR="001A3C27">
        <w:rPr>
          <w:noProof/>
        </w:rPr>
        <w:t>2</w:t>
      </w:r>
      <w:r w:rsidR="00B83E8B">
        <w:fldChar w:fldCharType="end"/>
      </w:r>
      <w:r w:rsidR="00B83E8B">
        <w:t xml:space="preserve">.b and 2.d </w:t>
      </w:r>
      <w:r w:rsidR="005259A0">
        <w:t>report the size distributions of</w:t>
      </w:r>
      <w:r w:rsidR="00B83E8B">
        <w:t xml:space="preserve"> strong agglomerates for M_S, M_E and G_E samples and aggregates for the G_S case.</w:t>
      </w:r>
      <w:r w:rsidR="001F5F33">
        <w:t xml:space="preserve"> Considering the M_S and G_S cases, only the G_S sample presents nanoparticles. This is mainly due to the very high Mg</w:t>
      </w:r>
      <w:r w:rsidR="001F5F33" w:rsidRPr="001F5F33">
        <w:rPr>
          <w:vertAlign w:val="superscript"/>
        </w:rPr>
        <w:t>2+</w:t>
      </w:r>
      <w:r w:rsidR="001F5F33">
        <w:rPr>
          <w:vertAlign w:val="superscript"/>
        </w:rPr>
        <w:t xml:space="preserve"> </w:t>
      </w:r>
      <w:r w:rsidR="001F5F33">
        <w:t xml:space="preserve">concentration in the Margi bittern which </w:t>
      </w:r>
      <w:r w:rsidR="00E30CFF">
        <w:t xml:space="preserve">requires an even shorter mixing time than that achieved in the </w:t>
      </w:r>
      <w:r w:rsidR="006D5542">
        <w:t xml:space="preserve">employed </w:t>
      </w:r>
      <w:r w:rsidR="00E30CFF">
        <w:t>T-mixer. Conversely, Galia bittern has a similar Mg</w:t>
      </w:r>
      <w:r w:rsidR="00E30CFF" w:rsidRPr="00E30CFF">
        <w:rPr>
          <w:vertAlign w:val="superscript"/>
        </w:rPr>
        <w:t>2+</w:t>
      </w:r>
      <w:r w:rsidR="00E30CFF">
        <w:t xml:space="preserve"> concentration </w:t>
      </w:r>
      <w:r w:rsidR="00401D09">
        <w:t>as</w:t>
      </w:r>
      <w:r w:rsidR="00E30CFF">
        <w:t xml:space="preserve"> that employed by Battaglia et al. </w:t>
      </w:r>
      <w:r w:rsidR="00E30CFF">
        <w:fldChar w:fldCharType="begin" w:fldLock="1"/>
      </w:r>
      <w:r w:rsidR="00A56A21">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Technology","id":"ITEM-1","issued":{"date-parts":[["2022"]]},"page":"117106","publisher":"The Authors","title":"Analysis of particles size distributions in Mg(OH)2 precipitation from highly concentrated MgCl2 solutions","type":"article-journal","volume":"398"},"uris":["http://www.mendeley.com/documents/?uuid=64124311-da21-4e46-b116-ed0fb977e888"]}],"mendeley":{"formattedCitation":"(Battaglia et al., 2022)","plainTextFormattedCitation":"(Battaglia et al., 2022)","previouslyFormattedCitation":"(Battaglia et al., 2022)"},"properties":{"noteIndex":0},"schema":"https://github.com/citation-style-language/schema/raw/master/csl-citation.json"}</w:instrText>
      </w:r>
      <w:r w:rsidR="00E30CFF">
        <w:fldChar w:fldCharType="separate"/>
      </w:r>
      <w:r w:rsidR="00A56A21" w:rsidRPr="00A56A21">
        <w:rPr>
          <w:noProof/>
        </w:rPr>
        <w:t>(Battaglia et al., 2022)</w:t>
      </w:r>
      <w:r w:rsidR="00E30CFF">
        <w:fldChar w:fldCharType="end"/>
      </w:r>
      <w:r w:rsidR="00B5261B">
        <w:t xml:space="preserve">, that can be successfully homogenized by the </w:t>
      </w:r>
      <w:r w:rsidR="004F65F7">
        <w:t xml:space="preserve">employed </w:t>
      </w:r>
      <w:r w:rsidR="00B5261B">
        <w:t>T-mixer</w:t>
      </w:r>
      <w:r w:rsidR="004F65F7">
        <w:t xml:space="preserve"> and operating parameters</w:t>
      </w:r>
      <w:r w:rsidR="00E30CFF">
        <w:t xml:space="preserve">. </w:t>
      </w:r>
      <w:r w:rsidR="00467851">
        <w:t>Regarding</w:t>
      </w:r>
      <w:r w:rsidR="000A1A06">
        <w:t xml:space="preserve"> </w:t>
      </w:r>
      <w:r w:rsidR="00C435BF">
        <w:t>V-P</w:t>
      </w:r>
      <w:r w:rsidR="00C435BF" w:rsidRPr="00EC1899">
        <w:t>SD</w:t>
      </w:r>
      <w:r w:rsidR="00C435BF">
        <w:t>s</w:t>
      </w:r>
      <w:r w:rsidR="00C435BF" w:rsidRPr="00EC1899">
        <w:t xml:space="preserve"> </w:t>
      </w:r>
      <w:r w:rsidR="000A1A06">
        <w:t>obtained for M_E and G_E samples, it can be expected th</w:t>
      </w:r>
      <w:r w:rsidR="000A1A06" w:rsidRPr="000F01C6">
        <w:t xml:space="preserve">at </w:t>
      </w:r>
      <w:r w:rsidR="006B6BED" w:rsidRPr="000F01C6">
        <w:t xml:space="preserve">the suspension pH would be </w:t>
      </w:r>
      <w:r w:rsidR="006B6BED" w:rsidRPr="000F01C6">
        <w:rPr>
          <w:rFonts w:cs="Arial"/>
        </w:rPr>
        <w:t>~</w:t>
      </w:r>
      <w:r w:rsidR="006B6BED" w:rsidRPr="000F01C6">
        <w:t xml:space="preserve">12 during all the </w:t>
      </w:r>
      <w:proofErr w:type="gramStart"/>
      <w:r w:rsidR="00BA6BB7" w:rsidRPr="000F01C6">
        <w:t>Mg(</w:t>
      </w:r>
      <w:proofErr w:type="gramEnd"/>
      <w:r w:rsidR="00BA6BB7" w:rsidRPr="000F01C6">
        <w:t>OH)</w:t>
      </w:r>
      <w:r w:rsidR="00BA6BB7" w:rsidRPr="000F01C6">
        <w:rPr>
          <w:vertAlign w:val="subscript"/>
        </w:rPr>
        <w:t>2</w:t>
      </w:r>
      <w:r w:rsidR="00BA6BB7" w:rsidRPr="000F01C6">
        <w:t xml:space="preserve"> </w:t>
      </w:r>
      <w:r w:rsidR="006B6BED" w:rsidRPr="000F01C6">
        <w:t xml:space="preserve">precipitation process due to </w:t>
      </w:r>
      <w:r w:rsidR="00C80C9B" w:rsidRPr="000F01C6">
        <w:t xml:space="preserve">the </w:t>
      </w:r>
      <w:r w:rsidR="00567BA1" w:rsidRPr="000F01C6">
        <w:t xml:space="preserve">employed </w:t>
      </w:r>
      <w:r w:rsidR="000A1A06" w:rsidRPr="000F01C6">
        <w:t>OH</w:t>
      </w:r>
      <w:r w:rsidR="000A1A06" w:rsidRPr="000F01C6">
        <w:rPr>
          <w:vertAlign w:val="superscript"/>
        </w:rPr>
        <w:t>-</w:t>
      </w:r>
      <w:r w:rsidR="000A1A06" w:rsidRPr="000F01C6">
        <w:t xml:space="preserve"> </w:t>
      </w:r>
      <w:r w:rsidR="00C80C9B" w:rsidRPr="000F01C6">
        <w:t>excess</w:t>
      </w:r>
      <w:r w:rsidR="006B6BED" w:rsidRPr="000F01C6">
        <w:t xml:space="preserve">. </w:t>
      </w:r>
      <w:r w:rsidR="00A21B35" w:rsidRPr="000F01C6">
        <w:t xml:space="preserve">At such pH value, </w:t>
      </w:r>
      <w:r w:rsidR="0080384D" w:rsidRPr="000F01C6">
        <w:t xml:space="preserve">the </w:t>
      </w:r>
      <w:proofErr w:type="gramStart"/>
      <w:r w:rsidR="00567BA1" w:rsidRPr="000F01C6">
        <w:t>Mg(</w:t>
      </w:r>
      <w:proofErr w:type="gramEnd"/>
      <w:r w:rsidR="00567BA1" w:rsidRPr="000F01C6">
        <w:t>OH)</w:t>
      </w:r>
      <w:r w:rsidR="00567BA1" w:rsidRPr="000F01C6">
        <w:rPr>
          <w:vertAlign w:val="subscript"/>
        </w:rPr>
        <w:t>2</w:t>
      </w:r>
      <w:r w:rsidR="00567BA1" w:rsidRPr="000F01C6">
        <w:t xml:space="preserve"> </w:t>
      </w:r>
      <w:r w:rsidR="0080384D" w:rsidRPr="000F01C6">
        <w:t>z</w:t>
      </w:r>
      <w:r w:rsidR="00645F4A" w:rsidRPr="000F01C6">
        <w:t xml:space="preserve">eta-potential reaches its </w:t>
      </w:r>
      <w:r w:rsidR="00AD35D9" w:rsidRPr="000F01C6">
        <w:t xml:space="preserve">iso-electric point </w:t>
      </w:r>
      <w:r w:rsidR="00645F4A" w:rsidRPr="000F01C6">
        <w:t xml:space="preserve">(null </w:t>
      </w:r>
      <w:r w:rsidR="00A442AD" w:rsidRPr="000F01C6">
        <w:t>z</w:t>
      </w:r>
      <w:r w:rsidR="00645F4A" w:rsidRPr="000F01C6">
        <w:t>eta-potential condition</w:t>
      </w:r>
      <w:r w:rsidR="00DC2852" w:rsidRPr="000F01C6">
        <w:t>, the highest un-stable condition for the particles</w:t>
      </w:r>
      <w:r w:rsidR="00645F4A" w:rsidRPr="000F01C6">
        <w:t>)</w:t>
      </w:r>
      <w:r w:rsidR="00A21B35" w:rsidRPr="000F01C6">
        <w:t xml:space="preserve"> </w:t>
      </w:r>
      <w:r w:rsidR="005D792E" w:rsidRPr="000F01C6">
        <w:t xml:space="preserve">increasing </w:t>
      </w:r>
      <w:r w:rsidR="00A21B35" w:rsidRPr="000F01C6">
        <w:t>particle agglomeration tendency</w:t>
      </w:r>
      <w:r w:rsidR="005D792E" w:rsidRPr="000F01C6">
        <w:t xml:space="preserve"> that, in turn, enhance</w:t>
      </w:r>
      <w:r w:rsidR="00634378" w:rsidRPr="000F01C6">
        <w:t>s</w:t>
      </w:r>
      <w:r w:rsidR="005D792E" w:rsidRPr="000F01C6">
        <w:t xml:space="preserve"> </w:t>
      </w:r>
      <w:r w:rsidR="00634378" w:rsidRPr="000F01C6">
        <w:t>particle</w:t>
      </w:r>
      <w:r w:rsidR="00E93495" w:rsidRPr="000F01C6">
        <w:t xml:space="preserve"> stickin</w:t>
      </w:r>
      <w:r w:rsidR="00E93495">
        <w:t>g probability</w:t>
      </w:r>
      <w:r w:rsidR="00294666">
        <w:t xml:space="preserve"> eventually</w:t>
      </w:r>
      <w:r w:rsidR="00E93495">
        <w:t xml:space="preserve"> </w:t>
      </w:r>
      <w:r w:rsidR="00D81305">
        <w:t>favoring</w:t>
      </w:r>
      <w:r w:rsidR="00E93495">
        <w:t xml:space="preserve"> the formation of bridges between </w:t>
      </w:r>
      <w:r w:rsidR="00A21B35">
        <w:t>aggregates</w:t>
      </w:r>
      <w:r w:rsidR="004E327B">
        <w:t>.</w:t>
      </w:r>
      <w:r w:rsidR="00AE6C9E">
        <w:t xml:space="preserve"> </w:t>
      </w:r>
      <w:r w:rsidR="005114DD">
        <w:t xml:space="preserve">A </w:t>
      </w:r>
      <w:r w:rsidR="00CA0B0B">
        <w:t xml:space="preserve">SEM image </w:t>
      </w:r>
      <w:r w:rsidR="005114DD">
        <w:t xml:space="preserve">of </w:t>
      </w:r>
      <w:proofErr w:type="gramStart"/>
      <w:r w:rsidR="008D53CC">
        <w:t>M</w:t>
      </w:r>
      <w:r w:rsidR="008D53CC" w:rsidRPr="00E7565E">
        <w:t>g(</w:t>
      </w:r>
      <w:proofErr w:type="gramEnd"/>
      <w:r w:rsidR="008D53CC" w:rsidRPr="00E7565E">
        <w:t>OH)</w:t>
      </w:r>
      <w:r w:rsidR="008D53CC" w:rsidRPr="00E7565E">
        <w:rPr>
          <w:vertAlign w:val="subscript"/>
        </w:rPr>
        <w:t>2</w:t>
      </w:r>
      <w:r w:rsidR="001B57BA">
        <w:rPr>
          <w:vertAlign w:val="subscript"/>
        </w:rPr>
        <w:t xml:space="preserve"> </w:t>
      </w:r>
      <w:r w:rsidR="005114DD">
        <w:t xml:space="preserve">particles </w:t>
      </w:r>
      <w:r w:rsidR="00CA0B0B">
        <w:t xml:space="preserve">obtained </w:t>
      </w:r>
      <w:r w:rsidR="005114DD">
        <w:t>for</w:t>
      </w:r>
      <w:r w:rsidR="00CA0B0B">
        <w:t xml:space="preserve"> case G_</w:t>
      </w:r>
      <w:r w:rsidR="006E6106">
        <w:t>S</w:t>
      </w:r>
      <w:r w:rsidR="005114DD">
        <w:t xml:space="preserve"> is </w:t>
      </w:r>
      <w:r w:rsidR="00CA0B0B">
        <w:t xml:space="preserve">reported in </w:t>
      </w:r>
      <w:r w:rsidR="00CA0B0B">
        <w:fldChar w:fldCharType="begin"/>
      </w:r>
      <w:r w:rsidR="00CA0B0B">
        <w:instrText xml:space="preserve"> REF _Ref103437323 \h </w:instrText>
      </w:r>
      <w:r w:rsidR="00D20B24">
        <w:instrText xml:space="preserve"> \* MERGEFORMAT </w:instrText>
      </w:r>
      <w:r w:rsidR="00CA0B0B">
        <w:fldChar w:fldCharType="separate"/>
      </w:r>
      <w:r w:rsidR="001A3C27" w:rsidRPr="006579F8">
        <w:t xml:space="preserve">Figure </w:t>
      </w:r>
      <w:r w:rsidR="001A3C27">
        <w:rPr>
          <w:noProof/>
        </w:rPr>
        <w:t>3</w:t>
      </w:r>
      <w:r w:rsidR="00CA0B0B">
        <w:fldChar w:fldCharType="end"/>
      </w:r>
      <w:r w:rsidR="00604F2E">
        <w:t xml:space="preserve">. For the sake of </w:t>
      </w:r>
      <w:r w:rsidR="005114DD">
        <w:t>brevity,</w:t>
      </w:r>
      <w:r w:rsidR="00D414FA">
        <w:t xml:space="preserve"> </w:t>
      </w:r>
      <w:r w:rsidR="00604F2E">
        <w:t xml:space="preserve">no other SEM images are reported as very similar results are obtained among the </w:t>
      </w:r>
      <w:r w:rsidR="001D020D">
        <w:t xml:space="preserve">other </w:t>
      </w:r>
      <w:r w:rsidR="00604F2E">
        <w:t>experimental tests.</w:t>
      </w:r>
    </w:p>
    <w:p w14:paraId="4A216BF9" w14:textId="77777777" w:rsidR="002155FB" w:rsidRDefault="002155FB" w:rsidP="00D20B24">
      <w:pPr>
        <w:pStyle w:val="CETBodytext"/>
      </w:pPr>
    </w:p>
    <w:p w14:paraId="66712402" w14:textId="6B2DB741" w:rsidR="00C3541A" w:rsidRDefault="00BA4DD9" w:rsidP="00C3541A">
      <w:pPr>
        <w:pStyle w:val="CETAcknowledgementstitle"/>
        <w:keepNext/>
        <w:jc w:val="center"/>
      </w:pPr>
      <w:r>
        <w:t xml:space="preserve"> </w:t>
      </w:r>
      <w:r w:rsidR="00AF7864">
        <w:rPr>
          <w:noProof/>
        </w:rPr>
        <w:drawing>
          <wp:inline distT="0" distB="0" distL="0" distR="0" wp14:anchorId="45A0D4D5" wp14:editId="3B840391">
            <wp:extent cx="2272326" cy="1440000"/>
            <wp:effectExtent l="0" t="0" r="0"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31199"/>
                    <a:stretch/>
                  </pic:blipFill>
                  <pic:spPr bwMode="auto">
                    <a:xfrm>
                      <a:off x="0" y="0"/>
                      <a:ext cx="2272326"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32C4A22" w14:textId="172ECB2C" w:rsidR="00FA65DE" w:rsidRPr="006579F8" w:rsidRDefault="00C3541A" w:rsidP="006579F8">
      <w:pPr>
        <w:pStyle w:val="CETCaption"/>
      </w:pPr>
      <w:bookmarkStart w:id="5" w:name="_Ref103437323"/>
      <w:r w:rsidRPr="006579F8">
        <w:t xml:space="preserve">Figure </w:t>
      </w:r>
      <w:r w:rsidRPr="006579F8">
        <w:fldChar w:fldCharType="begin"/>
      </w:r>
      <w:r w:rsidRPr="006579F8">
        <w:instrText xml:space="preserve"> SEQ Figure \* ARABIC </w:instrText>
      </w:r>
      <w:r w:rsidRPr="006579F8">
        <w:fldChar w:fldCharType="separate"/>
      </w:r>
      <w:r w:rsidR="001A3C27">
        <w:rPr>
          <w:noProof/>
        </w:rPr>
        <w:t>3</w:t>
      </w:r>
      <w:r w:rsidRPr="006579F8">
        <w:fldChar w:fldCharType="end"/>
      </w:r>
      <w:bookmarkEnd w:id="5"/>
      <w:r w:rsidR="000432D9" w:rsidRPr="006579F8">
        <w:t xml:space="preserve"> A SEM image of </w:t>
      </w:r>
      <w:proofErr w:type="gramStart"/>
      <w:r w:rsidR="008D53CC">
        <w:t>M</w:t>
      </w:r>
      <w:r w:rsidR="008D53CC" w:rsidRPr="00E7565E">
        <w:t>g(</w:t>
      </w:r>
      <w:proofErr w:type="gramEnd"/>
      <w:r w:rsidR="008D53CC" w:rsidRPr="00E7565E">
        <w:t>OH)</w:t>
      </w:r>
      <w:r w:rsidR="008D53CC" w:rsidRPr="00E7565E">
        <w:rPr>
          <w:vertAlign w:val="subscript"/>
        </w:rPr>
        <w:t>2</w:t>
      </w:r>
      <w:r w:rsidR="008D53CC">
        <w:rPr>
          <w:vertAlign w:val="subscript"/>
        </w:rPr>
        <w:t xml:space="preserve"> </w:t>
      </w:r>
      <w:r w:rsidR="000432D9" w:rsidRPr="006579F8">
        <w:t xml:space="preserve">nanoparticles obtained for </w:t>
      </w:r>
      <w:r w:rsidR="005427D6">
        <w:t xml:space="preserve">the </w:t>
      </w:r>
      <w:r w:rsidR="000432D9" w:rsidRPr="006579F8">
        <w:t>G_S sample.</w:t>
      </w:r>
    </w:p>
    <w:p w14:paraId="548B3D66" w14:textId="7F5B82DD" w:rsidR="00730E84" w:rsidRDefault="005D4EF5" w:rsidP="006579F8">
      <w:pPr>
        <w:pStyle w:val="CETBodytext"/>
      </w:pPr>
      <w:r w:rsidRPr="006579F8">
        <w:t xml:space="preserve">Nanoflakes and globular MH particles can be observed in </w:t>
      </w:r>
      <w:r w:rsidRPr="006579F8">
        <w:fldChar w:fldCharType="begin"/>
      </w:r>
      <w:r w:rsidRPr="006579F8">
        <w:instrText xml:space="preserve"> REF _Ref103437323 \h </w:instrText>
      </w:r>
      <w:r w:rsidR="006579F8" w:rsidRPr="006579F8">
        <w:instrText xml:space="preserve"> \* MERGEFORMAT </w:instrText>
      </w:r>
      <w:r w:rsidRPr="006579F8">
        <w:fldChar w:fldCharType="separate"/>
      </w:r>
      <w:r w:rsidR="001A3C27" w:rsidRPr="006579F8">
        <w:t xml:space="preserve">Figure </w:t>
      </w:r>
      <w:r w:rsidR="001A3C27">
        <w:rPr>
          <w:noProof/>
        </w:rPr>
        <w:t>3</w:t>
      </w:r>
      <w:r w:rsidRPr="006579F8">
        <w:fldChar w:fldCharType="end"/>
      </w:r>
      <w:r w:rsidRPr="006579F8">
        <w:t xml:space="preserve"> with dimension</w:t>
      </w:r>
      <w:r w:rsidR="00E94CFB" w:rsidRPr="006579F8">
        <w:t>s</w:t>
      </w:r>
      <w:r w:rsidRPr="006579F8">
        <w:t xml:space="preserve"> between few </w:t>
      </w:r>
      <w:r w:rsidR="00DA1A65" w:rsidRPr="006579F8">
        <w:t>nanometers</w:t>
      </w:r>
      <w:r w:rsidRPr="006579F8">
        <w:t xml:space="preserve"> to </w:t>
      </w:r>
      <w:r w:rsidR="00DA1A65">
        <w:t>0.</w:t>
      </w:r>
      <w:r w:rsidRPr="006579F8">
        <w:t xml:space="preserve">200 </w:t>
      </w:r>
      <w:r w:rsidR="00DA1A65" w:rsidRPr="00DA1A65">
        <w:rPr>
          <w:rFonts w:cs="Arial"/>
        </w:rPr>
        <w:t>µ</w:t>
      </w:r>
      <w:r w:rsidRPr="006579F8">
        <w:t>m</w:t>
      </w:r>
      <w:r w:rsidR="007F395E" w:rsidRPr="006579F8">
        <w:t xml:space="preserve">, in accordance with </w:t>
      </w:r>
      <w:r w:rsidR="009B16B8">
        <w:t>the G_S N</w:t>
      </w:r>
      <w:r w:rsidR="00C435BF" w:rsidRPr="00EC1899">
        <w:t xml:space="preserve">SD </w:t>
      </w:r>
      <w:r w:rsidR="007F395E" w:rsidRPr="006579F8">
        <w:t xml:space="preserve">shown in </w:t>
      </w:r>
      <w:r w:rsidR="007F395E" w:rsidRPr="006579F8">
        <w:fldChar w:fldCharType="begin"/>
      </w:r>
      <w:r w:rsidR="007F395E" w:rsidRPr="006579F8">
        <w:instrText xml:space="preserve"> REF _Ref103434625 \h </w:instrText>
      </w:r>
      <w:r w:rsidR="006579F8" w:rsidRPr="006579F8">
        <w:instrText xml:space="preserve"> \* MERGEFORMAT </w:instrText>
      </w:r>
      <w:r w:rsidR="007F395E" w:rsidRPr="006579F8">
        <w:fldChar w:fldCharType="separate"/>
      </w:r>
      <w:r w:rsidR="001A3C27" w:rsidRPr="004C71D8">
        <w:t xml:space="preserve">Figure </w:t>
      </w:r>
      <w:r w:rsidR="001A3C27">
        <w:rPr>
          <w:noProof/>
        </w:rPr>
        <w:t>2</w:t>
      </w:r>
      <w:r w:rsidR="007F395E" w:rsidRPr="006579F8">
        <w:fldChar w:fldCharType="end"/>
      </w:r>
      <w:r w:rsidR="00AB7AA5">
        <w:t>.</w:t>
      </w:r>
      <w:r w:rsidR="007F395E" w:rsidRPr="006579F8">
        <w:t>d</w:t>
      </w:r>
      <w:r w:rsidR="006E6106" w:rsidRPr="006579F8">
        <w:t>.</w:t>
      </w:r>
    </w:p>
    <w:p w14:paraId="550D9C40" w14:textId="77777777" w:rsidR="006579F8" w:rsidRPr="006579F8" w:rsidRDefault="006579F8" w:rsidP="006579F8">
      <w:pPr>
        <w:pStyle w:val="CETBodytext"/>
      </w:pPr>
    </w:p>
    <w:p w14:paraId="4F8D5EC0" w14:textId="243E4602" w:rsidR="00BC7A67" w:rsidRDefault="00E02DCE" w:rsidP="00325F83">
      <w:pPr>
        <w:pStyle w:val="CETheadingx"/>
      </w:pPr>
      <w:r w:rsidRPr="00325F83">
        <w:t xml:space="preserve">Cationic and Mass </w:t>
      </w:r>
      <w:r w:rsidR="00BC7A67" w:rsidRPr="00325F83">
        <w:t>Purity</w:t>
      </w:r>
    </w:p>
    <w:p w14:paraId="4444A3B0" w14:textId="3CDD456E" w:rsidR="00513534" w:rsidRDefault="006C498F" w:rsidP="00752F95">
      <w:pPr>
        <w:pStyle w:val="CETBodytext"/>
      </w:pPr>
      <w:r>
        <w:t xml:space="preserve">In </w:t>
      </w:r>
      <w:r w:rsidR="00D11D01">
        <w:t>S</w:t>
      </w:r>
      <w:r>
        <w:t xml:space="preserve">ection 3.1, </w:t>
      </w:r>
      <w:r w:rsidR="00C435BF">
        <w:t>V-P</w:t>
      </w:r>
      <w:r w:rsidR="00C435BF" w:rsidRPr="00EC1899">
        <w:t>SD</w:t>
      </w:r>
      <w:r w:rsidR="00C435BF">
        <w:t>s</w:t>
      </w:r>
      <w:r w:rsidR="00C435BF" w:rsidRPr="00EC1899">
        <w:t xml:space="preserve"> </w:t>
      </w:r>
      <w:r>
        <w:t>of</w:t>
      </w:r>
      <w:r w:rsidR="00164A2B">
        <w:t xml:space="preserve"> </w:t>
      </w:r>
      <w:proofErr w:type="gramStart"/>
      <w:r w:rsidR="00411939">
        <w:t>M</w:t>
      </w:r>
      <w:r w:rsidR="00411939" w:rsidRPr="00E7565E">
        <w:t>g(</w:t>
      </w:r>
      <w:proofErr w:type="gramEnd"/>
      <w:r w:rsidR="00411939" w:rsidRPr="00E7565E">
        <w:t>OH)</w:t>
      </w:r>
      <w:r w:rsidR="00411939" w:rsidRPr="00E7565E">
        <w:rPr>
          <w:vertAlign w:val="subscript"/>
        </w:rPr>
        <w:t>2</w:t>
      </w:r>
      <w:r w:rsidR="00411939">
        <w:rPr>
          <w:vertAlign w:val="subscript"/>
        </w:rPr>
        <w:t xml:space="preserve"> </w:t>
      </w:r>
      <w:r>
        <w:t xml:space="preserve">particles </w:t>
      </w:r>
      <w:r w:rsidR="00164A2B">
        <w:t>precipitated</w:t>
      </w:r>
      <w:r>
        <w:t xml:space="preserve"> </w:t>
      </w:r>
      <w:r w:rsidR="00420995">
        <w:t>from</w:t>
      </w:r>
      <w:r>
        <w:t xml:space="preserve"> Galia bitterns under stoichiometric conditions </w:t>
      </w:r>
      <w:r w:rsidR="000A1123">
        <w:t xml:space="preserve">demonstrated the possibility of </w:t>
      </w:r>
      <w:r w:rsidR="0080199A">
        <w:t>producing</w:t>
      </w:r>
      <w:r w:rsidR="008249DA">
        <w:t xml:space="preserve"> </w:t>
      </w:r>
      <w:r w:rsidR="0080199A">
        <w:t>nanoparticles from exhausted</w:t>
      </w:r>
      <w:r w:rsidR="005C130B">
        <w:t xml:space="preserve"> saltworks</w:t>
      </w:r>
      <w:r w:rsidR="0080199A">
        <w:t xml:space="preserve"> bitterns</w:t>
      </w:r>
      <w:r w:rsidR="005C130B">
        <w:t xml:space="preserve">. Due to the nature of the </w:t>
      </w:r>
      <w:r w:rsidR="002A691E">
        <w:t xml:space="preserve">initial </w:t>
      </w:r>
      <w:r w:rsidR="005C130B">
        <w:t>Mg</w:t>
      </w:r>
      <w:r w:rsidR="005C130B" w:rsidRPr="005C130B">
        <w:rPr>
          <w:vertAlign w:val="superscript"/>
        </w:rPr>
        <w:t>2+</w:t>
      </w:r>
      <w:r w:rsidR="005C130B">
        <w:t xml:space="preserve"> containing solutions,</w:t>
      </w:r>
      <w:r w:rsidR="002A691E">
        <w:t xml:space="preserve"> </w:t>
      </w:r>
      <w:r w:rsidR="00C519E4">
        <w:t xml:space="preserve">particles’ </w:t>
      </w:r>
      <w:r w:rsidR="002A691E">
        <w:t>cationic and mass purity were investigated</w:t>
      </w:r>
      <w:r w:rsidR="002F0FFF">
        <w:t>.</w:t>
      </w:r>
      <w:r w:rsidR="00654419">
        <w:t xml:space="preserve"> </w:t>
      </w:r>
      <w:r w:rsidR="00D20B24">
        <w:fldChar w:fldCharType="begin"/>
      </w:r>
      <w:r w:rsidR="00D20B24">
        <w:instrText xml:space="preserve"> REF _Ref103502712 \h </w:instrText>
      </w:r>
      <w:r w:rsidR="00D20B24">
        <w:fldChar w:fldCharType="separate"/>
      </w:r>
      <w:r w:rsidR="001A3C27" w:rsidRPr="004C71D8">
        <w:t xml:space="preserve">Table </w:t>
      </w:r>
      <w:r w:rsidR="001A3C27">
        <w:rPr>
          <w:noProof/>
        </w:rPr>
        <w:t>2</w:t>
      </w:r>
      <w:r w:rsidR="00D20B24">
        <w:fldChar w:fldCharType="end"/>
      </w:r>
      <w:r w:rsidR="00D20B24">
        <w:t xml:space="preserve"> </w:t>
      </w:r>
      <w:r w:rsidR="002F0FFF">
        <w:t>reports</w:t>
      </w:r>
      <w:r w:rsidR="00215640">
        <w:t xml:space="preserve"> cation concentrations measured by IC in dissolved </w:t>
      </w:r>
      <w:proofErr w:type="gramStart"/>
      <w:r w:rsidR="00D96E81">
        <w:t>M</w:t>
      </w:r>
      <w:r w:rsidR="00D96E81" w:rsidRPr="00E7565E">
        <w:t>g(</w:t>
      </w:r>
      <w:proofErr w:type="gramEnd"/>
      <w:r w:rsidR="00D96E81" w:rsidRPr="00E7565E">
        <w:t>OH)</w:t>
      </w:r>
      <w:r w:rsidR="00D96E81" w:rsidRPr="00E7565E">
        <w:rPr>
          <w:vertAlign w:val="subscript"/>
        </w:rPr>
        <w:t>2</w:t>
      </w:r>
      <w:r w:rsidR="00EB1FEA">
        <w:rPr>
          <w:vertAlign w:val="subscript"/>
        </w:rPr>
        <w:t xml:space="preserve"> </w:t>
      </w:r>
      <w:r w:rsidR="00215640">
        <w:t xml:space="preserve">powders along </w:t>
      </w:r>
      <w:r w:rsidR="003B4A70">
        <w:t xml:space="preserve">with </w:t>
      </w:r>
      <w:r w:rsidR="002B06EF">
        <w:t>calculate</w:t>
      </w:r>
      <w:r w:rsidR="00D96E81">
        <w:t>d</w:t>
      </w:r>
      <w:r w:rsidR="002B06EF">
        <w:t xml:space="preserve"> </w:t>
      </w:r>
      <w:r w:rsidR="002F0FFF">
        <w:t>cationic purity</w:t>
      </w:r>
      <w:r w:rsidR="006E4309">
        <w:t xml:space="preserve"> values</w:t>
      </w:r>
      <w:r w:rsidR="00995509">
        <w:t>, Eq.(2)</w:t>
      </w:r>
      <w:r w:rsidR="00215640">
        <w:t xml:space="preserve">. </w:t>
      </w:r>
      <w:r w:rsidR="002525B8">
        <w:t xml:space="preserve">Furthermore, </w:t>
      </w:r>
      <w:r w:rsidR="00215640">
        <w:t>humidity</w:t>
      </w:r>
      <w:r w:rsidR="00CD73C6">
        <w:t xml:space="preserve">, </w:t>
      </w:r>
      <w:proofErr w:type="gramStart"/>
      <w:r w:rsidR="00EB1FEA">
        <w:t>M</w:t>
      </w:r>
      <w:r w:rsidR="00EB1FEA" w:rsidRPr="00E7565E">
        <w:t>g(</w:t>
      </w:r>
      <w:proofErr w:type="gramEnd"/>
      <w:r w:rsidR="00EB1FEA" w:rsidRPr="00E7565E">
        <w:t>OH)</w:t>
      </w:r>
      <w:r w:rsidR="00EB1FEA" w:rsidRPr="00E7565E">
        <w:rPr>
          <w:vertAlign w:val="subscript"/>
        </w:rPr>
        <w:t>2</w:t>
      </w:r>
      <w:r w:rsidR="00EB1FEA">
        <w:rPr>
          <w:vertAlign w:val="subscript"/>
        </w:rPr>
        <w:t xml:space="preserve"> </w:t>
      </w:r>
      <w:r w:rsidR="00215640">
        <w:t xml:space="preserve">mass percentage measured by TG analysis </w:t>
      </w:r>
      <w:r w:rsidR="00CD73C6">
        <w:t xml:space="preserve">and </w:t>
      </w:r>
      <w:r w:rsidR="00215640">
        <w:t>dry based mass purity calculations</w:t>
      </w:r>
      <w:r w:rsidR="00CD73C6">
        <w:t>, Eq.(3),</w:t>
      </w:r>
      <w:r w:rsidR="00EB1FEA">
        <w:t xml:space="preserve"> are </w:t>
      </w:r>
      <w:r w:rsidR="00252F70">
        <w:t xml:space="preserve">also </w:t>
      </w:r>
      <w:r w:rsidR="00EB1FEA">
        <w:t>reported</w:t>
      </w:r>
      <w:r w:rsidR="00215640">
        <w:t xml:space="preserve">. </w:t>
      </w:r>
    </w:p>
    <w:p w14:paraId="4E427F9E" w14:textId="5C3D5286" w:rsidR="000C0655" w:rsidRPr="004C71D8" w:rsidRDefault="000C0655" w:rsidP="004C71D8">
      <w:pPr>
        <w:pStyle w:val="CETTabletitle"/>
      </w:pPr>
      <w:bookmarkStart w:id="6" w:name="_Ref103502712"/>
      <w:r w:rsidRPr="004C71D8">
        <w:t xml:space="preserve">Table </w:t>
      </w:r>
      <w:r w:rsidRPr="004C71D8">
        <w:fldChar w:fldCharType="begin"/>
      </w:r>
      <w:r w:rsidRPr="004C71D8">
        <w:instrText xml:space="preserve"> SEQ Table \* ARABIC </w:instrText>
      </w:r>
      <w:r w:rsidRPr="004C71D8">
        <w:fldChar w:fldCharType="separate"/>
      </w:r>
      <w:r w:rsidR="001A3C27">
        <w:rPr>
          <w:noProof/>
        </w:rPr>
        <w:t>2</w:t>
      </w:r>
      <w:r w:rsidRPr="004C71D8">
        <w:fldChar w:fldCharType="end"/>
      </w:r>
      <w:bookmarkEnd w:id="6"/>
      <w:r w:rsidR="00215640" w:rsidRPr="004C71D8">
        <w:t xml:space="preserve"> </w:t>
      </w:r>
      <w:r w:rsidR="00A80A48" w:rsidRPr="004C71D8">
        <w:t xml:space="preserve">Cationic and mass purity of </w:t>
      </w:r>
      <w:proofErr w:type="gramStart"/>
      <w:r w:rsidR="00EE4E18" w:rsidRPr="004C71D8">
        <w:t>Mg(</w:t>
      </w:r>
      <w:proofErr w:type="gramEnd"/>
      <w:r w:rsidR="00EE4E18" w:rsidRPr="004C71D8">
        <w:t>OH)</w:t>
      </w:r>
      <w:r w:rsidR="00EE4E18" w:rsidRPr="00D414FA">
        <w:rPr>
          <w:vertAlign w:val="subscript"/>
        </w:rPr>
        <w:t>2</w:t>
      </w:r>
      <w:r w:rsidR="00EE4E18" w:rsidRPr="004C71D8">
        <w:t xml:space="preserve"> </w:t>
      </w:r>
      <w:r w:rsidR="00A80A48" w:rsidRPr="004C71D8">
        <w:t xml:space="preserve">samples precipitated from Margi and Galia bitterns. </w:t>
      </w:r>
      <w:r w:rsidR="004468D4" w:rsidRPr="004C71D8">
        <w:t>C</w:t>
      </w:r>
      <w:r w:rsidR="00A80A48" w:rsidRPr="004C71D8">
        <w:t xml:space="preserve">ation concentrations in dissolved </w:t>
      </w:r>
      <w:proofErr w:type="gramStart"/>
      <w:r w:rsidR="00935BA4" w:rsidRPr="004C71D8">
        <w:t>Mg(</w:t>
      </w:r>
      <w:proofErr w:type="gramEnd"/>
      <w:r w:rsidR="00935BA4" w:rsidRPr="004C71D8">
        <w:t>OH)</w:t>
      </w:r>
      <w:r w:rsidR="00935BA4" w:rsidRPr="00D414FA">
        <w:rPr>
          <w:vertAlign w:val="subscript"/>
        </w:rPr>
        <w:t>2</w:t>
      </w:r>
      <w:r w:rsidR="00935BA4" w:rsidRPr="004C71D8">
        <w:t xml:space="preserve"> </w:t>
      </w:r>
      <w:r w:rsidR="00A80A48" w:rsidRPr="004C71D8">
        <w:t>powders</w:t>
      </w:r>
      <w:r w:rsidR="005D37A3" w:rsidRPr="004C71D8">
        <w:t>,</w:t>
      </w:r>
      <w:r w:rsidR="00A80A48" w:rsidRPr="004C71D8">
        <w:t xml:space="preserve"> measured by IC</w:t>
      </w:r>
      <w:r w:rsidR="005D37A3" w:rsidRPr="004C71D8">
        <w:t xml:space="preserve">, </w:t>
      </w:r>
      <w:r w:rsidR="00A80A48" w:rsidRPr="004C71D8">
        <w:t xml:space="preserve">humidity and </w:t>
      </w:r>
      <w:r w:rsidR="00BB2A6F" w:rsidRPr="004C71D8">
        <w:t>Mg(OH)</w:t>
      </w:r>
      <w:r w:rsidR="00BB2A6F" w:rsidRPr="00C5226B">
        <w:rPr>
          <w:vertAlign w:val="subscript"/>
        </w:rPr>
        <w:t>2</w:t>
      </w:r>
      <w:r w:rsidR="00BB2A6F" w:rsidRPr="004C71D8">
        <w:t xml:space="preserve"> </w:t>
      </w:r>
      <w:r w:rsidR="00A80A48" w:rsidRPr="004C71D8">
        <w:t>mass percentage</w:t>
      </w:r>
      <w:r w:rsidR="00F04237" w:rsidRPr="004C71D8">
        <w:t>,</w:t>
      </w:r>
      <w:r w:rsidR="00A80A48" w:rsidRPr="004C71D8">
        <w:t xml:space="preserve"> measured by TG analysis</w:t>
      </w:r>
      <w:r w:rsidR="00F04237" w:rsidRPr="004C71D8">
        <w:t>,</w:t>
      </w:r>
      <w:r w:rsidR="00A80A48" w:rsidRPr="004C71D8">
        <w:t xml:space="preserve"> </w:t>
      </w:r>
      <w:r w:rsidR="004468D4" w:rsidRPr="004C71D8">
        <w:t>are</w:t>
      </w:r>
      <w:r w:rsidR="00A80A48" w:rsidRPr="004C71D8">
        <w:t xml:space="preserve"> also reported.</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851"/>
        <w:gridCol w:w="850"/>
        <w:gridCol w:w="851"/>
        <w:gridCol w:w="1276"/>
        <w:gridCol w:w="850"/>
        <w:gridCol w:w="1701"/>
        <w:gridCol w:w="1418"/>
      </w:tblGrid>
      <w:tr w:rsidR="00E4309B" w:rsidRPr="003734B7" w14:paraId="58E69296" w14:textId="17B69CF6" w:rsidTr="00FE16D6">
        <w:tc>
          <w:tcPr>
            <w:tcW w:w="567" w:type="dxa"/>
            <w:tcBorders>
              <w:top w:val="single" w:sz="12" w:space="0" w:color="008000"/>
              <w:bottom w:val="single" w:sz="4" w:space="0" w:color="auto"/>
            </w:tcBorders>
            <w:shd w:val="clear" w:color="auto" w:fill="FFFFFF"/>
            <w:vAlign w:val="center"/>
          </w:tcPr>
          <w:p w14:paraId="3B4C51B7" w14:textId="77777777" w:rsidR="00E4309B" w:rsidRPr="004C71D8" w:rsidRDefault="00E4309B" w:rsidP="000F4C60">
            <w:pPr>
              <w:pStyle w:val="CETBodytext"/>
              <w:jc w:val="center"/>
              <w:rPr>
                <w:i/>
                <w:iCs/>
                <w:lang w:val="en-GB"/>
              </w:rPr>
            </w:pPr>
            <w:r w:rsidRPr="004C71D8">
              <w:rPr>
                <w:i/>
                <w:iCs/>
                <w:lang w:val="en-GB"/>
              </w:rPr>
              <w:t>Tests</w:t>
            </w:r>
          </w:p>
        </w:tc>
        <w:tc>
          <w:tcPr>
            <w:tcW w:w="851" w:type="dxa"/>
            <w:tcBorders>
              <w:top w:val="single" w:sz="12" w:space="0" w:color="008000"/>
              <w:bottom w:val="single" w:sz="4" w:space="0" w:color="auto"/>
            </w:tcBorders>
            <w:shd w:val="clear" w:color="auto" w:fill="FFFFFF"/>
            <w:vAlign w:val="center"/>
          </w:tcPr>
          <w:p w14:paraId="79E7B809" w14:textId="51EA16BF" w:rsidR="00E4309B" w:rsidRPr="004C71D8" w:rsidRDefault="00E4309B" w:rsidP="000F4C60">
            <w:pPr>
              <w:pStyle w:val="CETBodytext"/>
              <w:jc w:val="center"/>
              <w:rPr>
                <w:i/>
                <w:iCs/>
                <w:lang w:val="en-GB"/>
              </w:rPr>
            </w:pPr>
            <w:r w:rsidRPr="004C71D8">
              <w:rPr>
                <w:i/>
                <w:iCs/>
                <w:lang w:val="en-GB"/>
              </w:rPr>
              <w:t>Ca</w:t>
            </w:r>
            <w:r w:rsidR="00FE16D6" w:rsidRPr="004C71D8">
              <w:rPr>
                <w:i/>
                <w:iCs/>
                <w:vertAlign w:val="superscript"/>
                <w:lang w:val="en-GB"/>
              </w:rPr>
              <w:t>2+</w:t>
            </w:r>
            <w:r w:rsidRPr="004C71D8">
              <w:rPr>
                <w:i/>
                <w:iCs/>
                <w:lang w:val="en-GB"/>
              </w:rPr>
              <w:t xml:space="preserve"> (mg/g</w:t>
            </w:r>
            <w:r w:rsidR="005D3B29" w:rsidRPr="004C71D8">
              <w:rPr>
                <w:i/>
                <w:iCs/>
                <w:lang w:val="en-GB"/>
              </w:rPr>
              <w:t>, IC)</w:t>
            </w:r>
          </w:p>
        </w:tc>
        <w:tc>
          <w:tcPr>
            <w:tcW w:w="850" w:type="dxa"/>
            <w:tcBorders>
              <w:top w:val="single" w:sz="12" w:space="0" w:color="008000"/>
              <w:bottom w:val="single" w:sz="4" w:space="0" w:color="auto"/>
            </w:tcBorders>
            <w:shd w:val="clear" w:color="auto" w:fill="FFFFFF"/>
            <w:vAlign w:val="center"/>
          </w:tcPr>
          <w:p w14:paraId="498C3A50" w14:textId="2E175E64" w:rsidR="00E4309B" w:rsidRPr="004C71D8" w:rsidRDefault="00E4309B" w:rsidP="000F4C60">
            <w:pPr>
              <w:pStyle w:val="CETBodytext"/>
              <w:jc w:val="center"/>
              <w:rPr>
                <w:i/>
                <w:iCs/>
                <w:lang w:val="en-GB"/>
              </w:rPr>
            </w:pPr>
            <w:r w:rsidRPr="004C71D8">
              <w:rPr>
                <w:i/>
                <w:iCs/>
                <w:lang w:val="en-GB"/>
              </w:rPr>
              <w:t>Mg</w:t>
            </w:r>
            <w:r w:rsidR="00FE16D6" w:rsidRPr="004C71D8">
              <w:rPr>
                <w:i/>
                <w:iCs/>
                <w:vertAlign w:val="superscript"/>
                <w:lang w:val="en-GB"/>
              </w:rPr>
              <w:t>2+</w:t>
            </w:r>
            <w:r w:rsidRPr="004C71D8">
              <w:rPr>
                <w:i/>
                <w:iCs/>
                <w:lang w:val="en-GB"/>
              </w:rPr>
              <w:t xml:space="preserve"> (mg/g</w:t>
            </w:r>
            <w:r w:rsidR="005D3B29" w:rsidRPr="004C71D8">
              <w:rPr>
                <w:i/>
                <w:iCs/>
                <w:lang w:val="en-GB"/>
              </w:rPr>
              <w:t>, IC</w:t>
            </w:r>
            <w:r w:rsidRPr="004C71D8">
              <w:rPr>
                <w:i/>
                <w:iCs/>
                <w:lang w:val="en-GB"/>
              </w:rPr>
              <w:t>)</w:t>
            </w:r>
          </w:p>
        </w:tc>
        <w:tc>
          <w:tcPr>
            <w:tcW w:w="851" w:type="dxa"/>
            <w:tcBorders>
              <w:top w:val="single" w:sz="12" w:space="0" w:color="008000"/>
              <w:bottom w:val="single" w:sz="4" w:space="0" w:color="auto"/>
            </w:tcBorders>
            <w:shd w:val="clear" w:color="auto" w:fill="FFFFFF"/>
            <w:vAlign w:val="center"/>
          </w:tcPr>
          <w:p w14:paraId="302C68D9" w14:textId="0666B65C" w:rsidR="00E4309B" w:rsidRPr="004C71D8" w:rsidRDefault="00E4309B" w:rsidP="000F4C60">
            <w:pPr>
              <w:pStyle w:val="CETBodytext"/>
              <w:jc w:val="center"/>
              <w:rPr>
                <w:i/>
                <w:iCs/>
                <w:lang w:val="en-GB"/>
              </w:rPr>
            </w:pPr>
            <w:r w:rsidRPr="004C71D8">
              <w:rPr>
                <w:i/>
                <w:iCs/>
                <w:lang w:val="en-GB"/>
              </w:rPr>
              <w:t>Na</w:t>
            </w:r>
            <w:r w:rsidR="00FE16D6" w:rsidRPr="004C71D8">
              <w:rPr>
                <w:i/>
                <w:iCs/>
                <w:vertAlign w:val="superscript"/>
                <w:lang w:val="en-GB"/>
              </w:rPr>
              <w:t>+</w:t>
            </w:r>
            <w:r w:rsidRPr="004C71D8">
              <w:rPr>
                <w:i/>
                <w:iCs/>
                <w:lang w:val="en-GB"/>
              </w:rPr>
              <w:t xml:space="preserve"> (mg/g</w:t>
            </w:r>
            <w:r w:rsidR="005D3B29" w:rsidRPr="004C71D8">
              <w:rPr>
                <w:i/>
                <w:iCs/>
                <w:lang w:val="en-GB"/>
              </w:rPr>
              <w:t>, IC</w:t>
            </w:r>
            <w:r w:rsidRPr="004C71D8">
              <w:rPr>
                <w:i/>
                <w:iCs/>
                <w:lang w:val="en-GB"/>
              </w:rPr>
              <w:t>)</w:t>
            </w:r>
          </w:p>
        </w:tc>
        <w:tc>
          <w:tcPr>
            <w:tcW w:w="1276" w:type="dxa"/>
            <w:tcBorders>
              <w:top w:val="single" w:sz="12" w:space="0" w:color="008000"/>
              <w:bottom w:val="single" w:sz="4" w:space="0" w:color="auto"/>
            </w:tcBorders>
            <w:shd w:val="clear" w:color="auto" w:fill="FFFFFF"/>
            <w:vAlign w:val="center"/>
          </w:tcPr>
          <w:p w14:paraId="68BFF73A" w14:textId="003378A5" w:rsidR="00E4309B" w:rsidRPr="004C71D8" w:rsidRDefault="00E4309B" w:rsidP="000F4C60">
            <w:pPr>
              <w:pStyle w:val="CETBodytext"/>
              <w:jc w:val="center"/>
              <w:rPr>
                <w:i/>
                <w:iCs/>
                <w:lang w:val="en-GB"/>
              </w:rPr>
            </w:pPr>
            <w:r w:rsidRPr="004C71D8">
              <w:rPr>
                <w:i/>
                <w:iCs/>
                <w:lang w:val="en-GB"/>
              </w:rPr>
              <w:t>Cationic Purity</w:t>
            </w:r>
            <w:r w:rsidR="005D3B29" w:rsidRPr="004C71D8">
              <w:rPr>
                <w:i/>
                <w:iCs/>
                <w:lang w:val="en-GB"/>
              </w:rPr>
              <w:t xml:space="preserve"> (IC)</w:t>
            </w:r>
            <w:r w:rsidRPr="004C71D8">
              <w:rPr>
                <w:i/>
                <w:iCs/>
                <w:lang w:val="en-GB"/>
              </w:rPr>
              <w:t xml:space="preserve"> %</w:t>
            </w:r>
          </w:p>
        </w:tc>
        <w:tc>
          <w:tcPr>
            <w:tcW w:w="850" w:type="dxa"/>
            <w:tcBorders>
              <w:top w:val="single" w:sz="12" w:space="0" w:color="008000"/>
              <w:bottom w:val="single" w:sz="4" w:space="0" w:color="auto"/>
            </w:tcBorders>
            <w:shd w:val="clear" w:color="auto" w:fill="FFFFFF"/>
            <w:vAlign w:val="center"/>
          </w:tcPr>
          <w:p w14:paraId="277C4C5B" w14:textId="3E7342D9" w:rsidR="00E4309B" w:rsidRPr="004C71D8" w:rsidRDefault="00B0491F" w:rsidP="000F4C60">
            <w:pPr>
              <w:pStyle w:val="CETBodytext"/>
              <w:jc w:val="center"/>
              <w:rPr>
                <w:i/>
                <w:iCs/>
                <w:lang w:val="en-GB"/>
              </w:rPr>
            </w:pPr>
            <w:r w:rsidRPr="004C71D8">
              <w:rPr>
                <w:i/>
                <w:iCs/>
                <w:lang w:val="en-GB"/>
              </w:rPr>
              <w:t>Humidity (TG)</w:t>
            </w:r>
            <w:r w:rsidR="00B324A3" w:rsidRPr="004C71D8">
              <w:rPr>
                <w:i/>
                <w:iCs/>
                <w:lang w:val="en-GB"/>
              </w:rPr>
              <w:t xml:space="preserve"> %</w:t>
            </w:r>
          </w:p>
        </w:tc>
        <w:tc>
          <w:tcPr>
            <w:tcW w:w="1701" w:type="dxa"/>
            <w:tcBorders>
              <w:top w:val="single" w:sz="12" w:space="0" w:color="008000"/>
              <w:bottom w:val="single" w:sz="4" w:space="0" w:color="auto"/>
            </w:tcBorders>
            <w:shd w:val="clear" w:color="auto" w:fill="FFFFFF"/>
            <w:vAlign w:val="center"/>
          </w:tcPr>
          <w:p w14:paraId="57830869" w14:textId="10D4EFCD" w:rsidR="00E4309B" w:rsidRPr="004C71D8" w:rsidRDefault="00B0491F" w:rsidP="000F4C60">
            <w:pPr>
              <w:pStyle w:val="CETBodytext"/>
              <w:jc w:val="center"/>
              <w:rPr>
                <w:i/>
                <w:iCs/>
                <w:lang w:val="en-GB"/>
              </w:rPr>
            </w:pPr>
            <w:proofErr w:type="gramStart"/>
            <w:r w:rsidRPr="004C71D8">
              <w:rPr>
                <w:i/>
                <w:iCs/>
                <w:lang w:val="en-GB"/>
              </w:rPr>
              <w:t>Mg(</w:t>
            </w:r>
            <w:proofErr w:type="gramEnd"/>
            <w:r w:rsidRPr="004C71D8">
              <w:rPr>
                <w:i/>
                <w:iCs/>
                <w:lang w:val="en-GB"/>
              </w:rPr>
              <w:t>OH)</w:t>
            </w:r>
            <w:r w:rsidRPr="004C71D8">
              <w:rPr>
                <w:i/>
                <w:iCs/>
                <w:vertAlign w:val="subscript"/>
                <w:lang w:val="en-GB"/>
              </w:rPr>
              <w:t xml:space="preserve">2 </w:t>
            </w:r>
            <w:r w:rsidRPr="004C71D8">
              <w:rPr>
                <w:i/>
                <w:iCs/>
                <w:lang w:val="en-GB"/>
              </w:rPr>
              <w:t>mass</w:t>
            </w:r>
            <w:r w:rsidR="005D3B29" w:rsidRPr="004C71D8">
              <w:rPr>
                <w:i/>
                <w:iCs/>
                <w:lang w:val="en-GB"/>
              </w:rPr>
              <w:t xml:space="preserve"> (TG)</w:t>
            </w:r>
            <w:r w:rsidR="00B324A3" w:rsidRPr="004C71D8">
              <w:rPr>
                <w:i/>
                <w:iCs/>
                <w:lang w:val="en-GB"/>
              </w:rPr>
              <w:t xml:space="preserve"> %</w:t>
            </w:r>
          </w:p>
        </w:tc>
        <w:tc>
          <w:tcPr>
            <w:tcW w:w="1418" w:type="dxa"/>
            <w:tcBorders>
              <w:top w:val="single" w:sz="12" w:space="0" w:color="008000"/>
              <w:bottom w:val="single" w:sz="4" w:space="0" w:color="auto"/>
            </w:tcBorders>
            <w:shd w:val="clear" w:color="auto" w:fill="FFFFFF"/>
          </w:tcPr>
          <w:p w14:paraId="53B055B8" w14:textId="2E4023C2" w:rsidR="00E4309B" w:rsidRPr="004C71D8" w:rsidRDefault="00B0491F" w:rsidP="000F4C60">
            <w:pPr>
              <w:pStyle w:val="CETBodytext"/>
              <w:jc w:val="center"/>
              <w:rPr>
                <w:i/>
                <w:iCs/>
                <w:lang w:val="en-GB"/>
              </w:rPr>
            </w:pPr>
            <w:r w:rsidRPr="004C71D8">
              <w:rPr>
                <w:i/>
                <w:iCs/>
                <w:lang w:val="en-GB"/>
              </w:rPr>
              <w:t>Dry Mass Purity</w:t>
            </w:r>
            <w:r w:rsidR="005D3B29" w:rsidRPr="004C71D8">
              <w:rPr>
                <w:i/>
                <w:iCs/>
                <w:lang w:val="en-GB"/>
              </w:rPr>
              <w:t xml:space="preserve"> (TG)</w:t>
            </w:r>
            <w:r w:rsidRPr="004C71D8">
              <w:rPr>
                <w:i/>
                <w:iCs/>
                <w:lang w:val="en-GB"/>
              </w:rPr>
              <w:t xml:space="preserve"> %</w:t>
            </w:r>
          </w:p>
        </w:tc>
      </w:tr>
      <w:tr w:rsidR="00B0491F" w:rsidRPr="003734B7" w14:paraId="3BF9E434" w14:textId="2ED55135" w:rsidTr="00FE16D6">
        <w:tc>
          <w:tcPr>
            <w:tcW w:w="567" w:type="dxa"/>
            <w:tcBorders>
              <w:top w:val="single" w:sz="4" w:space="0" w:color="auto"/>
              <w:left w:val="nil"/>
              <w:bottom w:val="nil"/>
              <w:right w:val="nil"/>
            </w:tcBorders>
            <w:shd w:val="clear" w:color="auto" w:fill="FFFFFF"/>
            <w:vAlign w:val="center"/>
          </w:tcPr>
          <w:p w14:paraId="20927AA8" w14:textId="77777777" w:rsidR="00B0491F" w:rsidRPr="004C71D8" w:rsidRDefault="00B0491F" w:rsidP="00B0491F">
            <w:pPr>
              <w:pStyle w:val="CETBodytext"/>
              <w:jc w:val="center"/>
              <w:rPr>
                <w:i/>
                <w:iCs/>
                <w:lang w:val="en-GB"/>
              </w:rPr>
            </w:pPr>
            <w:r w:rsidRPr="004C71D8">
              <w:rPr>
                <w:i/>
                <w:iCs/>
                <w:lang w:val="en-GB"/>
              </w:rPr>
              <w:t>M_S</w:t>
            </w:r>
          </w:p>
        </w:tc>
        <w:tc>
          <w:tcPr>
            <w:tcW w:w="851" w:type="dxa"/>
            <w:tcBorders>
              <w:top w:val="single" w:sz="4" w:space="0" w:color="auto"/>
              <w:left w:val="nil"/>
              <w:bottom w:val="nil"/>
              <w:right w:val="nil"/>
            </w:tcBorders>
            <w:shd w:val="clear" w:color="auto" w:fill="FFFFFF"/>
          </w:tcPr>
          <w:p w14:paraId="2E7843AB" w14:textId="6C6F86C3" w:rsidR="00B0491F" w:rsidRPr="004C71D8" w:rsidRDefault="00B0491F" w:rsidP="00B0491F">
            <w:pPr>
              <w:pStyle w:val="CETBodytext"/>
              <w:jc w:val="center"/>
              <w:rPr>
                <w:i/>
                <w:iCs/>
                <w:lang w:val="en-GB"/>
              </w:rPr>
            </w:pPr>
            <w:r w:rsidRPr="004C71D8">
              <w:rPr>
                <w:i/>
                <w:iCs/>
                <w:lang w:val="en-GB"/>
              </w:rPr>
              <w:t>LOQ</w:t>
            </w:r>
          </w:p>
        </w:tc>
        <w:tc>
          <w:tcPr>
            <w:tcW w:w="850" w:type="dxa"/>
            <w:tcBorders>
              <w:top w:val="single" w:sz="4" w:space="0" w:color="auto"/>
              <w:left w:val="nil"/>
              <w:bottom w:val="nil"/>
              <w:right w:val="nil"/>
            </w:tcBorders>
            <w:shd w:val="clear" w:color="auto" w:fill="FFFFFF"/>
          </w:tcPr>
          <w:p w14:paraId="56C8B948" w14:textId="4F38F918" w:rsidR="00B0491F" w:rsidRPr="004C71D8" w:rsidRDefault="00B0491F" w:rsidP="00B0491F">
            <w:pPr>
              <w:pStyle w:val="CETBodytext"/>
              <w:jc w:val="center"/>
              <w:rPr>
                <w:i/>
                <w:iCs/>
                <w:lang w:val="en-GB"/>
              </w:rPr>
            </w:pPr>
            <w:r w:rsidRPr="004C71D8">
              <w:rPr>
                <w:i/>
                <w:iCs/>
                <w:lang w:val="en-GB"/>
              </w:rPr>
              <w:t xml:space="preserve">376 ± </w:t>
            </w:r>
            <w:r w:rsidR="00896EFD" w:rsidRPr="004C71D8">
              <w:rPr>
                <w:i/>
                <w:iCs/>
                <w:lang w:val="en-GB"/>
              </w:rPr>
              <w:t>1</w:t>
            </w:r>
          </w:p>
        </w:tc>
        <w:tc>
          <w:tcPr>
            <w:tcW w:w="851" w:type="dxa"/>
            <w:tcBorders>
              <w:top w:val="single" w:sz="4" w:space="0" w:color="auto"/>
              <w:left w:val="nil"/>
              <w:bottom w:val="nil"/>
              <w:right w:val="nil"/>
            </w:tcBorders>
            <w:shd w:val="clear" w:color="auto" w:fill="FFFFFF"/>
          </w:tcPr>
          <w:p w14:paraId="6D78E7E7" w14:textId="08774ECA" w:rsidR="00B0491F" w:rsidRPr="004C71D8" w:rsidRDefault="00B0491F" w:rsidP="00B0491F">
            <w:pPr>
              <w:pStyle w:val="CETBodytext"/>
              <w:jc w:val="center"/>
              <w:rPr>
                <w:i/>
                <w:iCs/>
                <w:lang w:val="en-GB"/>
              </w:rPr>
            </w:pPr>
            <w:r w:rsidRPr="004C71D8">
              <w:rPr>
                <w:i/>
                <w:iCs/>
                <w:lang w:val="en-GB"/>
              </w:rPr>
              <w:t>1.8 ± 0.</w:t>
            </w:r>
            <w:r w:rsidR="00896EFD" w:rsidRPr="004C71D8">
              <w:rPr>
                <w:i/>
                <w:iCs/>
                <w:lang w:val="en-GB"/>
              </w:rPr>
              <w:t>5</w:t>
            </w:r>
          </w:p>
        </w:tc>
        <w:tc>
          <w:tcPr>
            <w:tcW w:w="1276" w:type="dxa"/>
            <w:tcBorders>
              <w:top w:val="single" w:sz="4" w:space="0" w:color="auto"/>
              <w:left w:val="nil"/>
              <w:bottom w:val="nil"/>
              <w:right w:val="nil"/>
            </w:tcBorders>
            <w:shd w:val="clear" w:color="auto" w:fill="FFFFFF"/>
          </w:tcPr>
          <w:p w14:paraId="52658692" w14:textId="7B49573E" w:rsidR="00B0491F" w:rsidRPr="004C71D8" w:rsidRDefault="00896EFD" w:rsidP="00B0491F">
            <w:pPr>
              <w:pStyle w:val="CETBodytext"/>
              <w:jc w:val="center"/>
              <w:rPr>
                <w:i/>
                <w:iCs/>
                <w:lang w:val="en-GB"/>
              </w:rPr>
            </w:pPr>
            <w:r w:rsidRPr="004C71D8">
              <w:rPr>
                <w:i/>
                <w:iCs/>
                <w:lang w:val="en-GB"/>
              </w:rPr>
              <w:t>&gt;</w:t>
            </w:r>
            <w:r w:rsidR="00B0491F" w:rsidRPr="004C71D8">
              <w:rPr>
                <w:i/>
                <w:iCs/>
                <w:lang w:val="en-GB"/>
              </w:rPr>
              <w:t>99</w:t>
            </w:r>
          </w:p>
        </w:tc>
        <w:tc>
          <w:tcPr>
            <w:tcW w:w="850" w:type="dxa"/>
            <w:tcBorders>
              <w:top w:val="single" w:sz="4" w:space="0" w:color="auto"/>
              <w:left w:val="nil"/>
              <w:bottom w:val="nil"/>
              <w:right w:val="nil"/>
            </w:tcBorders>
            <w:shd w:val="clear" w:color="auto" w:fill="FFFFFF"/>
            <w:vAlign w:val="center"/>
          </w:tcPr>
          <w:p w14:paraId="1BE88068" w14:textId="6E11DE46" w:rsidR="00B0491F" w:rsidRPr="004C71D8" w:rsidRDefault="009C620B" w:rsidP="00B0491F">
            <w:pPr>
              <w:pStyle w:val="CETBodytext"/>
              <w:jc w:val="center"/>
              <w:rPr>
                <w:i/>
                <w:iCs/>
                <w:lang w:val="en-GB"/>
              </w:rPr>
            </w:pPr>
            <w:r w:rsidRPr="004C71D8">
              <w:rPr>
                <w:i/>
                <w:iCs/>
                <w:lang w:val="en-GB"/>
              </w:rPr>
              <w:t>2.3</w:t>
            </w:r>
          </w:p>
        </w:tc>
        <w:tc>
          <w:tcPr>
            <w:tcW w:w="1701" w:type="dxa"/>
            <w:tcBorders>
              <w:top w:val="single" w:sz="4" w:space="0" w:color="auto"/>
              <w:left w:val="nil"/>
              <w:bottom w:val="nil"/>
              <w:right w:val="nil"/>
            </w:tcBorders>
            <w:shd w:val="clear" w:color="auto" w:fill="FFFFFF"/>
            <w:vAlign w:val="center"/>
          </w:tcPr>
          <w:p w14:paraId="4192E8CD" w14:textId="49CBFD7E" w:rsidR="00B0491F" w:rsidRPr="004C71D8" w:rsidRDefault="009C620B" w:rsidP="00B0491F">
            <w:pPr>
              <w:pStyle w:val="CETBodytext"/>
              <w:jc w:val="center"/>
              <w:rPr>
                <w:i/>
                <w:iCs/>
                <w:lang w:val="en-GB"/>
              </w:rPr>
            </w:pPr>
            <w:r w:rsidRPr="004C71D8">
              <w:rPr>
                <w:i/>
                <w:iCs/>
                <w:lang w:val="en-GB"/>
              </w:rPr>
              <w:t>88</w:t>
            </w:r>
          </w:p>
        </w:tc>
        <w:tc>
          <w:tcPr>
            <w:tcW w:w="1418" w:type="dxa"/>
            <w:tcBorders>
              <w:top w:val="single" w:sz="4" w:space="0" w:color="auto"/>
              <w:left w:val="nil"/>
              <w:bottom w:val="nil"/>
              <w:right w:val="nil"/>
            </w:tcBorders>
            <w:shd w:val="clear" w:color="auto" w:fill="FFFFFF"/>
          </w:tcPr>
          <w:p w14:paraId="48991E2B" w14:textId="2FD7375F" w:rsidR="00B0491F" w:rsidRPr="004C71D8" w:rsidRDefault="00811BD5" w:rsidP="00B0491F">
            <w:pPr>
              <w:pStyle w:val="CETBodytext"/>
              <w:jc w:val="center"/>
              <w:rPr>
                <w:i/>
                <w:iCs/>
                <w:lang w:val="en-GB"/>
              </w:rPr>
            </w:pPr>
            <w:r w:rsidRPr="004C71D8">
              <w:rPr>
                <w:i/>
                <w:iCs/>
                <w:lang w:val="en-GB"/>
              </w:rPr>
              <w:t>90</w:t>
            </w:r>
          </w:p>
        </w:tc>
      </w:tr>
      <w:tr w:rsidR="00B0491F" w:rsidRPr="00BA3420" w14:paraId="52C3BAD9" w14:textId="35272F23" w:rsidTr="00FE16D6">
        <w:tc>
          <w:tcPr>
            <w:tcW w:w="567" w:type="dxa"/>
            <w:tcBorders>
              <w:top w:val="nil"/>
              <w:left w:val="nil"/>
              <w:bottom w:val="nil"/>
              <w:right w:val="nil"/>
            </w:tcBorders>
            <w:shd w:val="clear" w:color="auto" w:fill="FFFFFF"/>
            <w:vAlign w:val="center"/>
          </w:tcPr>
          <w:p w14:paraId="7CB46FA9" w14:textId="77777777" w:rsidR="00B0491F" w:rsidRPr="004C71D8" w:rsidRDefault="00B0491F" w:rsidP="00B0491F">
            <w:pPr>
              <w:pStyle w:val="CETBodytext"/>
              <w:jc w:val="center"/>
              <w:rPr>
                <w:i/>
                <w:iCs/>
                <w:lang w:val="en-GB"/>
              </w:rPr>
            </w:pPr>
            <w:r w:rsidRPr="004C71D8">
              <w:rPr>
                <w:i/>
                <w:iCs/>
                <w:lang w:val="en-GB"/>
              </w:rPr>
              <w:t>M_E</w:t>
            </w:r>
          </w:p>
        </w:tc>
        <w:tc>
          <w:tcPr>
            <w:tcW w:w="851" w:type="dxa"/>
            <w:tcBorders>
              <w:top w:val="nil"/>
              <w:left w:val="nil"/>
              <w:bottom w:val="nil"/>
              <w:right w:val="nil"/>
            </w:tcBorders>
            <w:shd w:val="clear" w:color="auto" w:fill="FFFFFF"/>
          </w:tcPr>
          <w:p w14:paraId="312C9F41" w14:textId="1882E76F" w:rsidR="00B0491F" w:rsidRPr="004C71D8" w:rsidRDefault="00B0491F" w:rsidP="00B0491F">
            <w:pPr>
              <w:pStyle w:val="CETBodytext"/>
              <w:jc w:val="center"/>
              <w:rPr>
                <w:i/>
                <w:iCs/>
                <w:lang w:val="en-GB"/>
              </w:rPr>
            </w:pPr>
            <w:r w:rsidRPr="004C71D8">
              <w:rPr>
                <w:i/>
                <w:iCs/>
                <w:lang w:val="en-GB"/>
              </w:rPr>
              <w:t>LOQ</w:t>
            </w:r>
          </w:p>
        </w:tc>
        <w:tc>
          <w:tcPr>
            <w:tcW w:w="850" w:type="dxa"/>
            <w:tcBorders>
              <w:top w:val="nil"/>
              <w:left w:val="nil"/>
              <w:bottom w:val="nil"/>
              <w:right w:val="nil"/>
            </w:tcBorders>
            <w:shd w:val="clear" w:color="auto" w:fill="FFFFFF"/>
          </w:tcPr>
          <w:p w14:paraId="17E65A01" w14:textId="6A665F70" w:rsidR="00B0491F" w:rsidRPr="004C71D8" w:rsidRDefault="00B0491F" w:rsidP="00B0491F">
            <w:pPr>
              <w:pStyle w:val="CETBodytext"/>
              <w:jc w:val="center"/>
              <w:rPr>
                <w:i/>
                <w:iCs/>
                <w:lang w:val="en-GB"/>
              </w:rPr>
            </w:pPr>
            <w:r w:rsidRPr="004C71D8">
              <w:rPr>
                <w:i/>
                <w:iCs/>
                <w:lang w:val="en-GB"/>
              </w:rPr>
              <w:t xml:space="preserve">375 ± </w:t>
            </w:r>
            <w:r w:rsidR="00896EFD" w:rsidRPr="004C71D8">
              <w:rPr>
                <w:i/>
                <w:iCs/>
                <w:lang w:val="en-GB"/>
              </w:rPr>
              <w:t>2</w:t>
            </w:r>
          </w:p>
        </w:tc>
        <w:tc>
          <w:tcPr>
            <w:tcW w:w="851" w:type="dxa"/>
            <w:tcBorders>
              <w:top w:val="nil"/>
              <w:left w:val="nil"/>
              <w:bottom w:val="nil"/>
              <w:right w:val="nil"/>
            </w:tcBorders>
            <w:shd w:val="clear" w:color="auto" w:fill="FFFFFF"/>
          </w:tcPr>
          <w:p w14:paraId="7B17A696" w14:textId="508A6261" w:rsidR="00B0491F" w:rsidRPr="004C71D8" w:rsidRDefault="00B0491F" w:rsidP="00B0491F">
            <w:pPr>
              <w:pStyle w:val="CETBodytext"/>
              <w:jc w:val="center"/>
              <w:rPr>
                <w:i/>
                <w:iCs/>
                <w:lang w:val="en-GB"/>
              </w:rPr>
            </w:pPr>
            <w:r w:rsidRPr="004C71D8">
              <w:rPr>
                <w:i/>
                <w:iCs/>
                <w:lang w:val="en-GB"/>
              </w:rPr>
              <w:t>3.5 ± 0.</w:t>
            </w:r>
            <w:r w:rsidR="00896EFD" w:rsidRPr="004C71D8">
              <w:rPr>
                <w:i/>
                <w:iCs/>
                <w:lang w:val="en-GB"/>
              </w:rPr>
              <w:t>1</w:t>
            </w:r>
          </w:p>
        </w:tc>
        <w:tc>
          <w:tcPr>
            <w:tcW w:w="1276" w:type="dxa"/>
            <w:tcBorders>
              <w:top w:val="nil"/>
              <w:left w:val="nil"/>
              <w:bottom w:val="nil"/>
              <w:right w:val="nil"/>
            </w:tcBorders>
            <w:shd w:val="clear" w:color="auto" w:fill="FFFFFF"/>
          </w:tcPr>
          <w:p w14:paraId="555EBA9B" w14:textId="4BBE4EA1" w:rsidR="00B0491F" w:rsidRPr="004C71D8" w:rsidRDefault="00896EFD" w:rsidP="00B0491F">
            <w:pPr>
              <w:pStyle w:val="CETBodytext"/>
              <w:jc w:val="center"/>
              <w:rPr>
                <w:i/>
                <w:iCs/>
                <w:lang w:val="en-GB"/>
              </w:rPr>
            </w:pPr>
            <w:r w:rsidRPr="004C71D8">
              <w:rPr>
                <w:i/>
                <w:iCs/>
                <w:lang w:val="en-GB"/>
              </w:rPr>
              <w:t>&gt;</w:t>
            </w:r>
            <w:r w:rsidR="00B0491F" w:rsidRPr="004C71D8">
              <w:rPr>
                <w:i/>
                <w:iCs/>
                <w:lang w:val="en-GB"/>
              </w:rPr>
              <w:t>99</w:t>
            </w:r>
          </w:p>
        </w:tc>
        <w:tc>
          <w:tcPr>
            <w:tcW w:w="850" w:type="dxa"/>
            <w:tcBorders>
              <w:top w:val="nil"/>
              <w:left w:val="nil"/>
              <w:bottom w:val="nil"/>
              <w:right w:val="nil"/>
            </w:tcBorders>
            <w:shd w:val="clear" w:color="auto" w:fill="FFFFFF"/>
            <w:vAlign w:val="center"/>
          </w:tcPr>
          <w:p w14:paraId="2E29BEBA" w14:textId="1F4C2091" w:rsidR="00B0491F" w:rsidRPr="004C71D8" w:rsidRDefault="009C620B" w:rsidP="00B0491F">
            <w:pPr>
              <w:pStyle w:val="CETBodytext"/>
              <w:jc w:val="center"/>
              <w:rPr>
                <w:i/>
                <w:iCs/>
                <w:lang w:val="en-GB"/>
              </w:rPr>
            </w:pPr>
            <w:r w:rsidRPr="004C71D8">
              <w:rPr>
                <w:i/>
                <w:iCs/>
                <w:lang w:val="en-GB"/>
              </w:rPr>
              <w:t>3.6</w:t>
            </w:r>
          </w:p>
        </w:tc>
        <w:tc>
          <w:tcPr>
            <w:tcW w:w="1701" w:type="dxa"/>
            <w:tcBorders>
              <w:top w:val="nil"/>
              <w:left w:val="nil"/>
              <w:bottom w:val="nil"/>
              <w:right w:val="nil"/>
            </w:tcBorders>
            <w:shd w:val="clear" w:color="auto" w:fill="FFFFFF"/>
            <w:vAlign w:val="center"/>
          </w:tcPr>
          <w:p w14:paraId="1286A710" w14:textId="7A3A62E0" w:rsidR="00B0491F" w:rsidRPr="004C71D8" w:rsidRDefault="009C620B" w:rsidP="00B0491F">
            <w:pPr>
              <w:pStyle w:val="CETBodytext"/>
              <w:jc w:val="center"/>
              <w:rPr>
                <w:i/>
                <w:iCs/>
                <w:lang w:val="en-GB"/>
              </w:rPr>
            </w:pPr>
            <w:r w:rsidRPr="004C71D8">
              <w:rPr>
                <w:i/>
                <w:iCs/>
                <w:lang w:val="en-GB"/>
              </w:rPr>
              <w:t>89</w:t>
            </w:r>
          </w:p>
        </w:tc>
        <w:tc>
          <w:tcPr>
            <w:tcW w:w="1418" w:type="dxa"/>
            <w:tcBorders>
              <w:top w:val="nil"/>
              <w:left w:val="nil"/>
              <w:bottom w:val="nil"/>
              <w:right w:val="nil"/>
            </w:tcBorders>
            <w:shd w:val="clear" w:color="auto" w:fill="FFFFFF"/>
          </w:tcPr>
          <w:p w14:paraId="3B48318C" w14:textId="72F61BF4" w:rsidR="00B0491F" w:rsidRPr="004C71D8" w:rsidRDefault="00811BD5" w:rsidP="00B0491F">
            <w:pPr>
              <w:pStyle w:val="CETBodytext"/>
              <w:jc w:val="center"/>
              <w:rPr>
                <w:i/>
                <w:iCs/>
                <w:lang w:val="en-GB"/>
              </w:rPr>
            </w:pPr>
            <w:r w:rsidRPr="004C71D8">
              <w:rPr>
                <w:i/>
                <w:iCs/>
                <w:lang w:val="en-GB"/>
              </w:rPr>
              <w:t>93</w:t>
            </w:r>
          </w:p>
        </w:tc>
      </w:tr>
      <w:tr w:rsidR="00B0491F" w:rsidRPr="00BA3420" w14:paraId="6C0A3B2C" w14:textId="5BA1ADE9" w:rsidTr="00FE16D6">
        <w:tc>
          <w:tcPr>
            <w:tcW w:w="567" w:type="dxa"/>
            <w:tcBorders>
              <w:top w:val="nil"/>
              <w:left w:val="nil"/>
              <w:bottom w:val="nil"/>
              <w:right w:val="nil"/>
            </w:tcBorders>
            <w:shd w:val="clear" w:color="auto" w:fill="FFFFFF"/>
            <w:vAlign w:val="center"/>
          </w:tcPr>
          <w:p w14:paraId="39E3ECDA" w14:textId="77777777" w:rsidR="00B0491F" w:rsidRPr="004C71D8" w:rsidRDefault="00B0491F" w:rsidP="00B0491F">
            <w:pPr>
              <w:pStyle w:val="CETBodytext"/>
              <w:jc w:val="center"/>
              <w:rPr>
                <w:i/>
                <w:iCs/>
                <w:lang w:val="en-GB"/>
              </w:rPr>
            </w:pPr>
            <w:r w:rsidRPr="004C71D8">
              <w:rPr>
                <w:i/>
                <w:iCs/>
                <w:lang w:val="en-GB"/>
              </w:rPr>
              <w:t>G_S</w:t>
            </w:r>
          </w:p>
        </w:tc>
        <w:tc>
          <w:tcPr>
            <w:tcW w:w="851" w:type="dxa"/>
            <w:tcBorders>
              <w:top w:val="nil"/>
              <w:left w:val="nil"/>
              <w:bottom w:val="nil"/>
              <w:right w:val="nil"/>
            </w:tcBorders>
            <w:shd w:val="clear" w:color="auto" w:fill="FFFFFF"/>
          </w:tcPr>
          <w:p w14:paraId="78022EC0" w14:textId="19910766" w:rsidR="00B0491F" w:rsidRPr="004C71D8" w:rsidRDefault="00B0491F" w:rsidP="00B0491F">
            <w:pPr>
              <w:pStyle w:val="CETBodytext"/>
              <w:jc w:val="center"/>
              <w:rPr>
                <w:i/>
                <w:iCs/>
                <w:lang w:val="en-GB"/>
              </w:rPr>
            </w:pPr>
            <w:r w:rsidRPr="004C71D8">
              <w:rPr>
                <w:i/>
                <w:iCs/>
                <w:lang w:val="en-GB"/>
              </w:rPr>
              <w:t>LOQ</w:t>
            </w:r>
          </w:p>
        </w:tc>
        <w:tc>
          <w:tcPr>
            <w:tcW w:w="850" w:type="dxa"/>
            <w:tcBorders>
              <w:top w:val="nil"/>
              <w:left w:val="nil"/>
              <w:bottom w:val="nil"/>
              <w:right w:val="nil"/>
            </w:tcBorders>
            <w:shd w:val="clear" w:color="auto" w:fill="FFFFFF"/>
          </w:tcPr>
          <w:p w14:paraId="06C86780" w14:textId="5CA7E45E" w:rsidR="00B0491F" w:rsidRPr="004C71D8" w:rsidRDefault="00B0491F" w:rsidP="00B0491F">
            <w:pPr>
              <w:pStyle w:val="CETBodytext"/>
              <w:jc w:val="center"/>
              <w:rPr>
                <w:i/>
                <w:iCs/>
                <w:lang w:val="en-GB"/>
              </w:rPr>
            </w:pPr>
            <w:r w:rsidRPr="004C71D8">
              <w:rPr>
                <w:i/>
                <w:iCs/>
                <w:lang w:val="en-GB"/>
              </w:rPr>
              <w:t>371 ± 3</w:t>
            </w:r>
          </w:p>
        </w:tc>
        <w:tc>
          <w:tcPr>
            <w:tcW w:w="851" w:type="dxa"/>
            <w:tcBorders>
              <w:top w:val="nil"/>
              <w:left w:val="nil"/>
              <w:bottom w:val="nil"/>
              <w:right w:val="nil"/>
            </w:tcBorders>
            <w:shd w:val="clear" w:color="auto" w:fill="FFFFFF"/>
          </w:tcPr>
          <w:p w14:paraId="513754C4" w14:textId="607A70DE" w:rsidR="00B0491F" w:rsidRPr="004C71D8" w:rsidRDefault="00B0491F" w:rsidP="00B0491F">
            <w:pPr>
              <w:pStyle w:val="CETBodytext"/>
              <w:jc w:val="center"/>
              <w:rPr>
                <w:i/>
                <w:iCs/>
                <w:lang w:val="en-GB"/>
              </w:rPr>
            </w:pPr>
            <w:r w:rsidRPr="004C71D8">
              <w:rPr>
                <w:i/>
                <w:iCs/>
                <w:lang w:val="en-GB"/>
              </w:rPr>
              <w:t>2.</w:t>
            </w:r>
            <w:r w:rsidR="00896EFD" w:rsidRPr="004C71D8">
              <w:rPr>
                <w:i/>
                <w:iCs/>
                <w:lang w:val="en-GB"/>
              </w:rPr>
              <w:t>5</w:t>
            </w:r>
            <w:r w:rsidRPr="004C71D8">
              <w:rPr>
                <w:i/>
                <w:iCs/>
                <w:lang w:val="en-GB"/>
              </w:rPr>
              <w:t xml:space="preserve"> ± 1.</w:t>
            </w:r>
            <w:r w:rsidR="00896EFD" w:rsidRPr="004C71D8">
              <w:rPr>
                <w:i/>
                <w:iCs/>
                <w:lang w:val="en-GB"/>
              </w:rPr>
              <w:t>1</w:t>
            </w:r>
          </w:p>
        </w:tc>
        <w:tc>
          <w:tcPr>
            <w:tcW w:w="1276" w:type="dxa"/>
            <w:tcBorders>
              <w:top w:val="nil"/>
              <w:left w:val="nil"/>
              <w:bottom w:val="nil"/>
              <w:right w:val="nil"/>
            </w:tcBorders>
            <w:shd w:val="clear" w:color="auto" w:fill="FFFFFF"/>
          </w:tcPr>
          <w:p w14:paraId="52BBD70B" w14:textId="0784BA08" w:rsidR="00B0491F" w:rsidRPr="004C71D8" w:rsidRDefault="00896EFD" w:rsidP="00B0491F">
            <w:pPr>
              <w:pStyle w:val="CETBodytext"/>
              <w:jc w:val="center"/>
              <w:rPr>
                <w:i/>
                <w:iCs/>
                <w:lang w:val="en-GB"/>
              </w:rPr>
            </w:pPr>
            <w:r w:rsidRPr="004C71D8">
              <w:rPr>
                <w:i/>
                <w:iCs/>
                <w:lang w:val="en-GB"/>
              </w:rPr>
              <w:t>&gt;</w:t>
            </w:r>
            <w:r w:rsidR="00B0491F" w:rsidRPr="004C71D8">
              <w:rPr>
                <w:i/>
                <w:iCs/>
                <w:lang w:val="en-GB"/>
              </w:rPr>
              <w:t>99</w:t>
            </w:r>
          </w:p>
        </w:tc>
        <w:tc>
          <w:tcPr>
            <w:tcW w:w="850" w:type="dxa"/>
            <w:tcBorders>
              <w:top w:val="nil"/>
              <w:left w:val="nil"/>
              <w:bottom w:val="nil"/>
              <w:right w:val="nil"/>
            </w:tcBorders>
            <w:shd w:val="clear" w:color="auto" w:fill="FFFFFF"/>
            <w:vAlign w:val="center"/>
          </w:tcPr>
          <w:p w14:paraId="0B3593CC" w14:textId="0DE4E649" w:rsidR="00B0491F" w:rsidRPr="004C71D8" w:rsidRDefault="009C620B" w:rsidP="00B0491F">
            <w:pPr>
              <w:pStyle w:val="CETBodytext"/>
              <w:jc w:val="center"/>
              <w:rPr>
                <w:i/>
                <w:iCs/>
                <w:lang w:val="en-GB"/>
              </w:rPr>
            </w:pPr>
            <w:r w:rsidRPr="004C71D8">
              <w:rPr>
                <w:i/>
                <w:iCs/>
                <w:lang w:val="en-GB"/>
              </w:rPr>
              <w:t>3.3</w:t>
            </w:r>
          </w:p>
        </w:tc>
        <w:tc>
          <w:tcPr>
            <w:tcW w:w="1701" w:type="dxa"/>
            <w:tcBorders>
              <w:top w:val="nil"/>
              <w:left w:val="nil"/>
              <w:bottom w:val="nil"/>
              <w:right w:val="nil"/>
            </w:tcBorders>
            <w:shd w:val="clear" w:color="auto" w:fill="FFFFFF"/>
            <w:vAlign w:val="center"/>
          </w:tcPr>
          <w:p w14:paraId="2173A193" w14:textId="7957ED21" w:rsidR="00B0491F" w:rsidRPr="004C71D8" w:rsidRDefault="009C620B" w:rsidP="00B0491F">
            <w:pPr>
              <w:pStyle w:val="CETBodytext"/>
              <w:jc w:val="center"/>
              <w:rPr>
                <w:i/>
                <w:iCs/>
                <w:lang w:val="en-GB"/>
              </w:rPr>
            </w:pPr>
            <w:r w:rsidRPr="004C71D8">
              <w:rPr>
                <w:i/>
                <w:iCs/>
                <w:lang w:val="en-GB"/>
              </w:rPr>
              <w:t>9</w:t>
            </w:r>
            <w:r w:rsidR="00387007">
              <w:rPr>
                <w:i/>
                <w:iCs/>
                <w:lang w:val="en-GB"/>
              </w:rPr>
              <w:t>1</w:t>
            </w:r>
          </w:p>
        </w:tc>
        <w:tc>
          <w:tcPr>
            <w:tcW w:w="1418" w:type="dxa"/>
            <w:tcBorders>
              <w:top w:val="nil"/>
              <w:left w:val="nil"/>
              <w:bottom w:val="nil"/>
              <w:right w:val="nil"/>
            </w:tcBorders>
            <w:shd w:val="clear" w:color="auto" w:fill="FFFFFF"/>
          </w:tcPr>
          <w:p w14:paraId="6499AC9E" w14:textId="7214AF13" w:rsidR="00B0491F" w:rsidRPr="004C71D8" w:rsidRDefault="00811BD5" w:rsidP="00B0491F">
            <w:pPr>
              <w:pStyle w:val="CETBodytext"/>
              <w:jc w:val="center"/>
              <w:rPr>
                <w:i/>
                <w:iCs/>
                <w:lang w:val="en-GB"/>
              </w:rPr>
            </w:pPr>
            <w:r w:rsidRPr="004C71D8">
              <w:rPr>
                <w:i/>
                <w:iCs/>
                <w:lang w:val="en-GB"/>
              </w:rPr>
              <w:t>94</w:t>
            </w:r>
          </w:p>
        </w:tc>
      </w:tr>
      <w:tr w:rsidR="00B0491F" w:rsidRPr="00BA3420" w14:paraId="51FAA036" w14:textId="76801598" w:rsidTr="00FE16D6">
        <w:tc>
          <w:tcPr>
            <w:tcW w:w="567" w:type="dxa"/>
            <w:tcBorders>
              <w:top w:val="nil"/>
            </w:tcBorders>
            <w:shd w:val="clear" w:color="auto" w:fill="FFFFFF"/>
            <w:vAlign w:val="center"/>
          </w:tcPr>
          <w:p w14:paraId="5F8CFEB8" w14:textId="77777777" w:rsidR="00B0491F" w:rsidRPr="004C71D8" w:rsidRDefault="00B0491F" w:rsidP="00B0491F">
            <w:pPr>
              <w:pStyle w:val="CETBodytext"/>
              <w:ind w:right="-1"/>
              <w:jc w:val="center"/>
              <w:rPr>
                <w:i/>
                <w:iCs/>
                <w:lang w:val="en-GB"/>
              </w:rPr>
            </w:pPr>
            <w:r w:rsidRPr="004C71D8">
              <w:rPr>
                <w:i/>
                <w:iCs/>
                <w:lang w:val="en-GB"/>
              </w:rPr>
              <w:t>G_E</w:t>
            </w:r>
          </w:p>
        </w:tc>
        <w:tc>
          <w:tcPr>
            <w:tcW w:w="851" w:type="dxa"/>
            <w:tcBorders>
              <w:top w:val="nil"/>
            </w:tcBorders>
            <w:shd w:val="clear" w:color="auto" w:fill="FFFFFF"/>
          </w:tcPr>
          <w:p w14:paraId="3F14BCE0" w14:textId="12270117" w:rsidR="00B0491F" w:rsidRPr="004C71D8" w:rsidRDefault="00B0491F" w:rsidP="00B0491F">
            <w:pPr>
              <w:pStyle w:val="CETBodytext"/>
              <w:jc w:val="center"/>
              <w:rPr>
                <w:i/>
                <w:iCs/>
                <w:lang w:val="en-GB"/>
              </w:rPr>
            </w:pPr>
            <w:r w:rsidRPr="004C71D8">
              <w:rPr>
                <w:i/>
                <w:iCs/>
                <w:lang w:val="en-GB"/>
              </w:rPr>
              <w:t>LOQ</w:t>
            </w:r>
          </w:p>
        </w:tc>
        <w:tc>
          <w:tcPr>
            <w:tcW w:w="850" w:type="dxa"/>
            <w:tcBorders>
              <w:top w:val="nil"/>
            </w:tcBorders>
            <w:shd w:val="clear" w:color="auto" w:fill="FFFFFF"/>
          </w:tcPr>
          <w:p w14:paraId="199EA3A9" w14:textId="5AFBB10D" w:rsidR="00B0491F" w:rsidRPr="004C71D8" w:rsidRDefault="00B0491F" w:rsidP="00B0491F">
            <w:pPr>
              <w:pStyle w:val="CETBodytext"/>
              <w:jc w:val="center"/>
              <w:rPr>
                <w:i/>
                <w:iCs/>
                <w:lang w:val="en-GB"/>
              </w:rPr>
            </w:pPr>
            <w:r w:rsidRPr="004C71D8">
              <w:rPr>
                <w:i/>
                <w:iCs/>
                <w:lang w:val="en-GB"/>
              </w:rPr>
              <w:t xml:space="preserve">376 ± </w:t>
            </w:r>
            <w:r w:rsidR="00896EFD" w:rsidRPr="004C71D8">
              <w:rPr>
                <w:i/>
                <w:iCs/>
                <w:lang w:val="en-GB"/>
              </w:rPr>
              <w:t>1</w:t>
            </w:r>
          </w:p>
        </w:tc>
        <w:tc>
          <w:tcPr>
            <w:tcW w:w="851" w:type="dxa"/>
            <w:tcBorders>
              <w:top w:val="nil"/>
            </w:tcBorders>
            <w:shd w:val="clear" w:color="auto" w:fill="FFFFFF"/>
          </w:tcPr>
          <w:p w14:paraId="75F94C67" w14:textId="1B25AE0A" w:rsidR="00B0491F" w:rsidRPr="004C71D8" w:rsidRDefault="00B0491F" w:rsidP="00B0491F">
            <w:pPr>
              <w:pStyle w:val="CETBodytext"/>
              <w:jc w:val="center"/>
              <w:rPr>
                <w:i/>
                <w:iCs/>
                <w:lang w:val="en-GB"/>
              </w:rPr>
            </w:pPr>
            <w:r w:rsidRPr="004C71D8">
              <w:rPr>
                <w:i/>
                <w:iCs/>
                <w:lang w:val="en-GB"/>
              </w:rPr>
              <w:t>LOQ</w:t>
            </w:r>
          </w:p>
        </w:tc>
        <w:tc>
          <w:tcPr>
            <w:tcW w:w="1276" w:type="dxa"/>
            <w:tcBorders>
              <w:top w:val="nil"/>
            </w:tcBorders>
            <w:shd w:val="clear" w:color="auto" w:fill="FFFFFF"/>
          </w:tcPr>
          <w:p w14:paraId="77F50C97" w14:textId="01440CEA" w:rsidR="00B0491F" w:rsidRPr="004C71D8" w:rsidRDefault="00B0491F" w:rsidP="00B0491F">
            <w:pPr>
              <w:pStyle w:val="CETBodytext"/>
              <w:jc w:val="center"/>
              <w:rPr>
                <w:i/>
                <w:iCs/>
                <w:lang w:val="en-GB"/>
              </w:rPr>
            </w:pPr>
            <w:r w:rsidRPr="004C71D8">
              <w:rPr>
                <w:i/>
                <w:iCs/>
                <w:lang w:val="en-GB"/>
              </w:rPr>
              <w:t>&gt;99</w:t>
            </w:r>
          </w:p>
        </w:tc>
        <w:tc>
          <w:tcPr>
            <w:tcW w:w="850" w:type="dxa"/>
            <w:tcBorders>
              <w:top w:val="nil"/>
            </w:tcBorders>
            <w:shd w:val="clear" w:color="auto" w:fill="FFFFFF"/>
            <w:vAlign w:val="center"/>
          </w:tcPr>
          <w:p w14:paraId="0EF102C1" w14:textId="57C76986" w:rsidR="00B0491F" w:rsidRPr="004C71D8" w:rsidRDefault="009C620B" w:rsidP="00B0491F">
            <w:pPr>
              <w:pStyle w:val="CETBodytext"/>
              <w:jc w:val="center"/>
              <w:rPr>
                <w:i/>
                <w:iCs/>
                <w:lang w:val="en-GB"/>
              </w:rPr>
            </w:pPr>
            <w:r w:rsidRPr="004C71D8">
              <w:rPr>
                <w:i/>
                <w:iCs/>
                <w:lang w:val="en-GB"/>
              </w:rPr>
              <w:t>3.9</w:t>
            </w:r>
          </w:p>
        </w:tc>
        <w:tc>
          <w:tcPr>
            <w:tcW w:w="1701" w:type="dxa"/>
            <w:tcBorders>
              <w:top w:val="nil"/>
            </w:tcBorders>
            <w:shd w:val="clear" w:color="auto" w:fill="FFFFFF"/>
            <w:vAlign w:val="center"/>
          </w:tcPr>
          <w:p w14:paraId="4F03705E" w14:textId="19353568" w:rsidR="00B0491F" w:rsidRPr="004C71D8" w:rsidRDefault="009C620B" w:rsidP="00B0491F">
            <w:pPr>
              <w:pStyle w:val="CETBodytext"/>
              <w:jc w:val="center"/>
              <w:rPr>
                <w:i/>
                <w:iCs/>
                <w:lang w:val="en-GB"/>
              </w:rPr>
            </w:pPr>
            <w:r w:rsidRPr="004C71D8">
              <w:rPr>
                <w:i/>
                <w:iCs/>
                <w:lang w:val="en-GB"/>
              </w:rPr>
              <w:t>9</w:t>
            </w:r>
            <w:r w:rsidR="00387007">
              <w:rPr>
                <w:i/>
                <w:iCs/>
                <w:lang w:val="en-GB"/>
              </w:rPr>
              <w:t>3</w:t>
            </w:r>
          </w:p>
        </w:tc>
        <w:tc>
          <w:tcPr>
            <w:tcW w:w="1418" w:type="dxa"/>
            <w:tcBorders>
              <w:top w:val="nil"/>
            </w:tcBorders>
            <w:shd w:val="clear" w:color="auto" w:fill="FFFFFF"/>
          </w:tcPr>
          <w:p w14:paraId="2AC94D26" w14:textId="30EF4B59" w:rsidR="00B0491F" w:rsidRPr="004C71D8" w:rsidRDefault="00811BD5" w:rsidP="00B0491F">
            <w:pPr>
              <w:pStyle w:val="CETBodytext"/>
              <w:jc w:val="center"/>
              <w:rPr>
                <w:i/>
                <w:iCs/>
                <w:lang w:val="en-GB"/>
              </w:rPr>
            </w:pPr>
            <w:r w:rsidRPr="004C71D8">
              <w:rPr>
                <w:i/>
                <w:iCs/>
                <w:lang w:val="en-GB"/>
              </w:rPr>
              <w:t>97</w:t>
            </w:r>
          </w:p>
        </w:tc>
      </w:tr>
    </w:tbl>
    <w:p w14:paraId="5976EB76" w14:textId="1AD52474" w:rsidR="00C13699" w:rsidRDefault="00CF77D5" w:rsidP="00E62899">
      <w:pPr>
        <w:pStyle w:val="CETCaption"/>
        <w:rPr>
          <w:i w:val="0"/>
          <w:iCs/>
        </w:rPr>
      </w:pPr>
      <w:r>
        <w:rPr>
          <w:i w:val="0"/>
          <w:iCs/>
        </w:rPr>
        <w:t>Cationic purity is always higher than 99</w:t>
      </w:r>
      <w:r w:rsidR="007B3152">
        <w:rPr>
          <w:i w:val="0"/>
          <w:iCs/>
        </w:rPr>
        <w:t xml:space="preserve"> </w:t>
      </w:r>
      <w:r>
        <w:rPr>
          <w:i w:val="0"/>
          <w:iCs/>
        </w:rPr>
        <w:t>% in all sampl</w:t>
      </w:r>
      <w:r w:rsidRPr="000F01C6">
        <w:rPr>
          <w:i w:val="0"/>
          <w:iCs/>
        </w:rPr>
        <w:t xml:space="preserve">es, </w:t>
      </w:r>
      <w:r w:rsidR="00030AA5" w:rsidRPr="000F01C6">
        <w:rPr>
          <w:i w:val="0"/>
          <w:iCs/>
        </w:rPr>
        <w:t xml:space="preserve">i.e. </w:t>
      </w:r>
      <w:r w:rsidRPr="000F01C6">
        <w:rPr>
          <w:i w:val="0"/>
          <w:iCs/>
        </w:rPr>
        <w:t>Mg</w:t>
      </w:r>
      <w:r w:rsidRPr="000F01C6">
        <w:rPr>
          <w:i w:val="0"/>
          <w:iCs/>
          <w:vertAlign w:val="superscript"/>
        </w:rPr>
        <w:t xml:space="preserve">2+ </w:t>
      </w:r>
      <w:r w:rsidR="00885630" w:rsidRPr="000F01C6">
        <w:rPr>
          <w:i w:val="0"/>
          <w:iCs/>
        </w:rPr>
        <w:t>ions</w:t>
      </w:r>
      <w:r w:rsidRPr="000F01C6">
        <w:rPr>
          <w:i w:val="0"/>
          <w:iCs/>
        </w:rPr>
        <w:t xml:space="preserve"> </w:t>
      </w:r>
      <w:r w:rsidR="00030AA5" w:rsidRPr="000F01C6">
        <w:rPr>
          <w:i w:val="0"/>
          <w:iCs/>
        </w:rPr>
        <w:t xml:space="preserve">are </w:t>
      </w:r>
      <w:r w:rsidRPr="000F01C6">
        <w:rPr>
          <w:i w:val="0"/>
          <w:iCs/>
        </w:rPr>
        <w:t>the ma</w:t>
      </w:r>
      <w:r>
        <w:rPr>
          <w:i w:val="0"/>
          <w:iCs/>
        </w:rPr>
        <w:t>in cation</w:t>
      </w:r>
      <w:r w:rsidR="00885630">
        <w:rPr>
          <w:i w:val="0"/>
          <w:iCs/>
        </w:rPr>
        <w:t>s</w:t>
      </w:r>
      <w:r>
        <w:rPr>
          <w:i w:val="0"/>
          <w:iCs/>
        </w:rPr>
        <w:t xml:space="preserve"> present in the synthesized </w:t>
      </w:r>
      <w:proofErr w:type="gramStart"/>
      <w:r w:rsidR="00C60C4B">
        <w:rPr>
          <w:i w:val="0"/>
          <w:iCs/>
        </w:rPr>
        <w:t>Mg(</w:t>
      </w:r>
      <w:proofErr w:type="gramEnd"/>
      <w:r w:rsidR="00C60C4B">
        <w:rPr>
          <w:i w:val="0"/>
          <w:iCs/>
        </w:rPr>
        <w:t>OH)</w:t>
      </w:r>
      <w:r w:rsidR="00C60C4B" w:rsidRPr="00C60C4B">
        <w:rPr>
          <w:i w:val="0"/>
          <w:iCs/>
          <w:vertAlign w:val="subscript"/>
        </w:rPr>
        <w:t>2</w:t>
      </w:r>
      <w:r>
        <w:rPr>
          <w:i w:val="0"/>
          <w:iCs/>
        </w:rPr>
        <w:t xml:space="preserve"> </w:t>
      </w:r>
      <w:r w:rsidR="00885630">
        <w:rPr>
          <w:i w:val="0"/>
          <w:iCs/>
        </w:rPr>
        <w:t>powders</w:t>
      </w:r>
      <w:r>
        <w:rPr>
          <w:i w:val="0"/>
          <w:iCs/>
        </w:rPr>
        <w:t xml:space="preserve">. </w:t>
      </w:r>
      <w:r w:rsidR="00E944AD">
        <w:rPr>
          <w:i w:val="0"/>
          <w:iCs/>
        </w:rPr>
        <w:t>Mass purity values, however, are higher than 90</w:t>
      </w:r>
      <w:r w:rsidR="00BF1B8D">
        <w:rPr>
          <w:i w:val="0"/>
          <w:iCs/>
        </w:rPr>
        <w:t xml:space="preserve"> </w:t>
      </w:r>
      <w:r w:rsidR="00E944AD">
        <w:rPr>
          <w:i w:val="0"/>
          <w:iCs/>
        </w:rPr>
        <w:t xml:space="preserve">% but do not reach </w:t>
      </w:r>
      <w:r w:rsidR="006A642F">
        <w:rPr>
          <w:i w:val="0"/>
          <w:iCs/>
        </w:rPr>
        <w:t>100</w:t>
      </w:r>
      <w:r w:rsidR="007B3152">
        <w:rPr>
          <w:i w:val="0"/>
          <w:iCs/>
        </w:rPr>
        <w:t xml:space="preserve"> </w:t>
      </w:r>
      <w:r w:rsidR="006A642F">
        <w:rPr>
          <w:i w:val="0"/>
          <w:iCs/>
        </w:rPr>
        <w:t>%</w:t>
      </w:r>
      <w:r w:rsidR="00722319">
        <w:rPr>
          <w:i w:val="0"/>
          <w:iCs/>
        </w:rPr>
        <w:t xml:space="preserve"> values</w:t>
      </w:r>
      <w:r w:rsidR="006A642F">
        <w:rPr>
          <w:i w:val="0"/>
          <w:iCs/>
        </w:rPr>
        <w:t xml:space="preserve">. The main </w:t>
      </w:r>
      <w:r w:rsidR="00D20096">
        <w:rPr>
          <w:i w:val="0"/>
          <w:iCs/>
        </w:rPr>
        <w:t xml:space="preserve">expected </w:t>
      </w:r>
      <w:r w:rsidR="006A642F">
        <w:rPr>
          <w:i w:val="0"/>
          <w:iCs/>
        </w:rPr>
        <w:t xml:space="preserve">contaminants in the particles are </w:t>
      </w:r>
      <w:r w:rsidR="00B51A88">
        <w:rPr>
          <w:i w:val="0"/>
          <w:iCs/>
        </w:rPr>
        <w:t>magnesium carbonate (</w:t>
      </w:r>
      <w:r w:rsidR="006A642F">
        <w:rPr>
          <w:i w:val="0"/>
          <w:iCs/>
        </w:rPr>
        <w:t>MgCO</w:t>
      </w:r>
      <w:r w:rsidR="006A642F" w:rsidRPr="006A642F">
        <w:rPr>
          <w:i w:val="0"/>
          <w:iCs/>
          <w:vertAlign w:val="subscript"/>
        </w:rPr>
        <w:t>3</w:t>
      </w:r>
      <w:r w:rsidR="00B51A88" w:rsidRPr="00B51A88">
        <w:rPr>
          <w:i w:val="0"/>
          <w:iCs/>
        </w:rPr>
        <w:t>)</w:t>
      </w:r>
      <w:r w:rsidR="006A642F">
        <w:rPr>
          <w:i w:val="0"/>
          <w:iCs/>
        </w:rPr>
        <w:t xml:space="preserve"> and Boron compounds. MgCO</w:t>
      </w:r>
      <w:r w:rsidR="006A642F" w:rsidRPr="006A642F">
        <w:rPr>
          <w:i w:val="0"/>
          <w:iCs/>
          <w:vertAlign w:val="subscript"/>
        </w:rPr>
        <w:t>3</w:t>
      </w:r>
      <w:r w:rsidR="006A642F">
        <w:rPr>
          <w:i w:val="0"/>
          <w:iCs/>
          <w:vertAlign w:val="subscript"/>
        </w:rPr>
        <w:t xml:space="preserve"> </w:t>
      </w:r>
      <w:r w:rsidR="006A642F">
        <w:rPr>
          <w:i w:val="0"/>
          <w:iCs/>
        </w:rPr>
        <w:t>is likely to</w:t>
      </w:r>
      <w:r w:rsidR="00FA033B">
        <w:rPr>
          <w:i w:val="0"/>
          <w:iCs/>
        </w:rPr>
        <w:t xml:space="preserve"> be</w:t>
      </w:r>
      <w:r w:rsidR="006A642F">
        <w:rPr>
          <w:i w:val="0"/>
          <w:iCs/>
        </w:rPr>
        <w:t xml:space="preserve"> </w:t>
      </w:r>
      <w:r w:rsidR="005242C4">
        <w:rPr>
          <w:i w:val="0"/>
          <w:iCs/>
        </w:rPr>
        <w:t xml:space="preserve">formed by carbonation </w:t>
      </w:r>
      <w:r w:rsidR="006A642F">
        <w:rPr>
          <w:i w:val="0"/>
          <w:iCs/>
        </w:rPr>
        <w:t xml:space="preserve">due to the </w:t>
      </w:r>
      <w:r w:rsidR="00D41237">
        <w:rPr>
          <w:i w:val="0"/>
          <w:iCs/>
        </w:rPr>
        <w:t>CO</w:t>
      </w:r>
      <w:r w:rsidR="00D41237" w:rsidRPr="006A642F">
        <w:rPr>
          <w:i w:val="0"/>
          <w:iCs/>
          <w:vertAlign w:val="subscript"/>
        </w:rPr>
        <w:t>2</w:t>
      </w:r>
      <w:r w:rsidR="009D0AA7">
        <w:rPr>
          <w:i w:val="0"/>
          <w:iCs/>
          <w:vertAlign w:val="subscript"/>
        </w:rPr>
        <w:t xml:space="preserve"> </w:t>
      </w:r>
      <w:r w:rsidR="005242C4">
        <w:rPr>
          <w:i w:val="0"/>
          <w:iCs/>
        </w:rPr>
        <w:t xml:space="preserve">presence </w:t>
      </w:r>
      <w:r w:rsidR="006A642F">
        <w:rPr>
          <w:i w:val="0"/>
          <w:iCs/>
        </w:rPr>
        <w:t xml:space="preserve">in </w:t>
      </w:r>
      <w:r w:rsidR="00D41237">
        <w:rPr>
          <w:i w:val="0"/>
          <w:iCs/>
        </w:rPr>
        <w:t>the precipitation</w:t>
      </w:r>
      <w:r w:rsidR="006A642F">
        <w:rPr>
          <w:i w:val="0"/>
          <w:iCs/>
        </w:rPr>
        <w:t xml:space="preserve"> water system </w:t>
      </w:r>
      <w:r w:rsidR="002A6E83">
        <w:rPr>
          <w:i w:val="0"/>
          <w:iCs/>
          <w:vertAlign w:val="subscript"/>
        </w:rPr>
        <w:fldChar w:fldCharType="begin" w:fldLock="1"/>
      </w:r>
      <w:r w:rsidR="00405058">
        <w:rPr>
          <w:i w:val="0"/>
          <w:iCs/>
          <w:vertAlign w:val="subscript"/>
        </w:rPr>
        <w:instrText>ADDIN CSL_CITATION {"citationItems":[{"id":"ITEM-1","itemData":{"abstract":"A process for preparing magnesium hydroxide having high purity which comprises dispersing the raw product in water,","author":[{"dropping-particle":"","family":"Verri","given":"Giancarlo","non-dropping-particle":"","parse-names":false,"suffix":""}],"id":"ITEM-1","issued":{"date-parts":[["1997"]]},"title":"Process for the purification of magnesium hydroxide","type":"patent"},"uris":["http://www.mendeley.com/documents/?uuid=b3574fe8-a991-39b6-a9f5-fc156bda3355"]}],"mendeley":{"formattedCitation":"(Verri, 1997)","plainTextFormattedCitation":"(Verri, 1997)","previouslyFormattedCitation":"(Verri, 1997)"},"properties":{"noteIndex":0},"schema":"https://github.com/citation-style-language/schema/raw/master/csl-citation.json"}</w:instrText>
      </w:r>
      <w:r w:rsidR="002A6E83">
        <w:rPr>
          <w:i w:val="0"/>
          <w:iCs/>
          <w:vertAlign w:val="subscript"/>
        </w:rPr>
        <w:fldChar w:fldCharType="separate"/>
      </w:r>
      <w:r w:rsidR="00A56A21" w:rsidRPr="00A56A21">
        <w:rPr>
          <w:i w:val="0"/>
          <w:iCs/>
          <w:noProof/>
        </w:rPr>
        <w:t>(Verri, 1997)</w:t>
      </w:r>
      <w:r w:rsidR="002A6E83">
        <w:rPr>
          <w:i w:val="0"/>
          <w:iCs/>
          <w:vertAlign w:val="subscript"/>
        </w:rPr>
        <w:fldChar w:fldCharType="end"/>
      </w:r>
      <w:r w:rsidR="002A6E83" w:rsidRPr="002A6E83">
        <w:rPr>
          <w:i w:val="0"/>
          <w:iCs/>
        </w:rPr>
        <w:t>.</w:t>
      </w:r>
      <w:r w:rsidR="002A6E83">
        <w:rPr>
          <w:i w:val="0"/>
          <w:iCs/>
        </w:rPr>
        <w:t xml:space="preserve"> Boron compound traces </w:t>
      </w:r>
      <w:r w:rsidR="00AE3D2A">
        <w:rPr>
          <w:i w:val="0"/>
          <w:iCs/>
        </w:rPr>
        <w:t xml:space="preserve">have been </w:t>
      </w:r>
      <w:r w:rsidR="008928C9">
        <w:rPr>
          <w:i w:val="0"/>
          <w:iCs/>
        </w:rPr>
        <w:t>reported</w:t>
      </w:r>
      <w:r w:rsidR="00AE3D2A">
        <w:rPr>
          <w:i w:val="0"/>
          <w:iCs/>
        </w:rPr>
        <w:t xml:space="preserve"> in the literature since </w:t>
      </w:r>
      <w:r w:rsidR="002A6E83">
        <w:rPr>
          <w:i w:val="0"/>
          <w:iCs/>
        </w:rPr>
        <w:t xml:space="preserve">Boron is adsorbed </w:t>
      </w:r>
      <w:r w:rsidR="00AA1728">
        <w:rPr>
          <w:i w:val="0"/>
          <w:iCs/>
        </w:rPr>
        <w:t>i</w:t>
      </w:r>
      <w:r w:rsidR="002A6E83">
        <w:rPr>
          <w:i w:val="0"/>
          <w:iCs/>
        </w:rPr>
        <w:t xml:space="preserve">nto </w:t>
      </w:r>
      <w:r w:rsidR="00AE3D2A" w:rsidRPr="00AE3D2A">
        <w:rPr>
          <w:i w:val="0"/>
          <w:iCs/>
        </w:rPr>
        <w:t>Mg(OH)</w:t>
      </w:r>
      <w:r w:rsidR="00AE3D2A" w:rsidRPr="00AE3D2A">
        <w:rPr>
          <w:i w:val="0"/>
          <w:iCs/>
          <w:vertAlign w:val="subscript"/>
        </w:rPr>
        <w:t xml:space="preserve">2 </w:t>
      </w:r>
      <w:r w:rsidR="002A6E83" w:rsidRPr="00AE3D2A">
        <w:rPr>
          <w:i w:val="0"/>
          <w:iCs/>
        </w:rPr>
        <w:t>surfa</w:t>
      </w:r>
      <w:r w:rsidR="002A6E83">
        <w:rPr>
          <w:i w:val="0"/>
          <w:iCs/>
        </w:rPr>
        <w:t>ce</w:t>
      </w:r>
      <w:r w:rsidR="00C578F2">
        <w:rPr>
          <w:i w:val="0"/>
          <w:iCs/>
        </w:rPr>
        <w:t xml:space="preserve"> </w:t>
      </w:r>
      <w:r w:rsidR="002A6E83">
        <w:rPr>
          <w:i w:val="0"/>
          <w:iCs/>
        </w:rPr>
        <w:fldChar w:fldCharType="begin" w:fldLock="1"/>
      </w:r>
      <w:r w:rsidR="00A56A21">
        <w:rPr>
          <w:i w:val="0"/>
          <w:iCs/>
        </w:rPr>
        <w:instrText>ADDIN CSL_CITATION {"citationItems":[{"id":"ITEM-1","itemData":{"ISBN":"0471656038","abstract":"Magnesia compounds have applications across many different fields, including pharmaceuticals, environmental organizations, waste and water treatment, and industries from steel to agriculture. This book collects the variety of information on magnesia production and use under one cover. History of magnesia -- Formation and occurrence of magnesite and brucite -- Synthetic magnesia -- Mining and processing magnesite -- Calcination of magnesium hydroxide and carbonate -- Furnaces and kilns -- Postcalcination processing -- Physical and chemical properties of magnesium oxide -- Other magnesia products -- Water and wastewater applications for magnesia products -- Magnesia in polymer applications -- Environmental applications -- Role of magnesium in animal, plant, and human nutrition -- Magnesium salts and magnesium metal -- Pulp applications -- Magnesia cements -- Miscellaneous magnesia applications.","author":[{"dropping-particle":"","family":"Shand","given":"Mark A.","non-dropping-particle":"","parse-names":false,"suffix":""}],"id":"ITEM-1","issued":{"date-parts":[["2006"]]},"number-of-pages":"266","publisher":"Wiley-Interscience","title":"The chemistry and technology of magnesia","type":"book"},"uris":["http://www.mendeley.com/documents/?uuid=93fe9969-a01b-3459-a848-4f54459a0666"]}],"mendeley":{"formattedCitation":"(Shand, 2006)","plainTextFormattedCitation":"(Shand, 2006)","previouslyFormattedCitation":"(Shand, 2006)"},"properties":{"noteIndex":0},"schema":"https://github.com/citation-style-language/schema/raw/master/csl-citation.json"}</w:instrText>
      </w:r>
      <w:r w:rsidR="002A6E83">
        <w:rPr>
          <w:i w:val="0"/>
          <w:iCs/>
        </w:rPr>
        <w:fldChar w:fldCharType="separate"/>
      </w:r>
      <w:r w:rsidR="00A56A21" w:rsidRPr="00A56A21">
        <w:rPr>
          <w:i w:val="0"/>
          <w:iCs/>
          <w:noProof/>
        </w:rPr>
        <w:t>(Shand, 2006)</w:t>
      </w:r>
      <w:r w:rsidR="002A6E83">
        <w:rPr>
          <w:i w:val="0"/>
          <w:iCs/>
        </w:rPr>
        <w:fldChar w:fldCharType="end"/>
      </w:r>
      <w:r w:rsidR="002A6E83">
        <w:rPr>
          <w:i w:val="0"/>
          <w:iCs/>
        </w:rPr>
        <w:t xml:space="preserve">. </w:t>
      </w:r>
    </w:p>
    <w:p w14:paraId="593FF309" w14:textId="77777777" w:rsidR="00FF58F3" w:rsidRPr="003734B7" w:rsidRDefault="00FF58F3" w:rsidP="00FF58F3">
      <w:pPr>
        <w:pStyle w:val="CETHeading1"/>
        <w:rPr>
          <w:i/>
          <w:iCs/>
          <w:color w:val="808080" w:themeColor="background1" w:themeShade="80"/>
          <w:lang w:val="en-GB"/>
        </w:rPr>
      </w:pPr>
      <w:r w:rsidRPr="003734B7">
        <w:rPr>
          <w:i/>
          <w:iCs/>
          <w:color w:val="808080" w:themeColor="background1" w:themeShade="80"/>
          <w:lang w:val="en-GB"/>
        </w:rPr>
        <w:lastRenderedPageBreak/>
        <w:t>Conclusions</w:t>
      </w:r>
    </w:p>
    <w:p w14:paraId="77B96FFA" w14:textId="38D36739" w:rsidR="0000082D" w:rsidRPr="008E4DF3" w:rsidRDefault="00335A42" w:rsidP="0086414A">
      <w:pPr>
        <w:pStyle w:val="CETBodytext"/>
        <w:rPr>
          <w:b/>
          <w:bCs/>
        </w:rPr>
      </w:pPr>
      <w:r>
        <w:t xml:space="preserve">The production of </w:t>
      </w:r>
      <w:proofErr w:type="gramStart"/>
      <w:r>
        <w:t>Mg(</w:t>
      </w:r>
      <w:proofErr w:type="gramEnd"/>
      <w:r>
        <w:t>OH)</w:t>
      </w:r>
      <w:r w:rsidRPr="00335A42">
        <w:rPr>
          <w:vertAlign w:val="subscript"/>
        </w:rPr>
        <w:t>2</w:t>
      </w:r>
      <w:r>
        <w:rPr>
          <w:vertAlign w:val="subscript"/>
        </w:rPr>
        <w:t xml:space="preserve"> </w:t>
      </w:r>
      <w:r w:rsidR="00F21F0C" w:rsidRPr="00335A42">
        <w:t xml:space="preserve">nanoparticles </w:t>
      </w:r>
      <w:r>
        <w:t xml:space="preserve">from real bitterns was </w:t>
      </w:r>
      <w:r w:rsidR="003E2039">
        <w:t>investigated</w:t>
      </w:r>
      <w:r>
        <w:t xml:space="preserve">. </w:t>
      </w:r>
      <w:r w:rsidR="00C435BF">
        <w:t>Volume P</w:t>
      </w:r>
      <w:r w:rsidR="00070B4A">
        <w:t>article size distributions</w:t>
      </w:r>
      <w:r w:rsidR="009343D2">
        <w:t xml:space="preserve"> (</w:t>
      </w:r>
      <w:r w:rsidR="00C435BF">
        <w:t>V-P</w:t>
      </w:r>
      <w:r w:rsidR="00C435BF" w:rsidRPr="00EC1899">
        <w:t>SD</w:t>
      </w:r>
      <w:r w:rsidR="00C435BF">
        <w:t>s</w:t>
      </w:r>
      <w:r w:rsidR="009343D2">
        <w:t>)</w:t>
      </w:r>
      <w:r w:rsidR="00070B4A">
        <w:t xml:space="preserve"> of </w:t>
      </w:r>
      <w:proofErr w:type="gramStart"/>
      <w:r w:rsidR="000B760E">
        <w:t>Mg(</w:t>
      </w:r>
      <w:proofErr w:type="gramEnd"/>
      <w:r w:rsidR="000B760E">
        <w:t>OH)</w:t>
      </w:r>
      <w:r w:rsidR="000B760E" w:rsidRPr="00335A42">
        <w:rPr>
          <w:vertAlign w:val="subscript"/>
        </w:rPr>
        <w:t>2</w:t>
      </w:r>
      <w:r w:rsidR="000B760E">
        <w:rPr>
          <w:vertAlign w:val="subscript"/>
        </w:rPr>
        <w:t xml:space="preserve">  </w:t>
      </w:r>
      <w:r w:rsidR="00070B4A">
        <w:t>particles precipitated under stoichiometric and 20</w:t>
      </w:r>
      <w:r w:rsidR="007B3152">
        <w:t xml:space="preserve"> </w:t>
      </w:r>
      <w:r w:rsidR="00070B4A">
        <w:t>% OH</w:t>
      </w:r>
      <w:r w:rsidR="00070B4A" w:rsidRPr="00070B4A">
        <w:rPr>
          <w:vertAlign w:val="superscript"/>
        </w:rPr>
        <w:t>-</w:t>
      </w:r>
      <w:r w:rsidR="00070B4A">
        <w:t xml:space="preserve"> conditions were </w:t>
      </w:r>
      <w:r w:rsidR="00140288">
        <w:t>measured</w:t>
      </w:r>
      <w:r w:rsidR="00070B4A">
        <w:t xml:space="preserve"> by static light scattering </w:t>
      </w:r>
      <w:r w:rsidR="00140288">
        <w:t>technique</w:t>
      </w:r>
      <w:r w:rsidR="00070B4A">
        <w:t xml:space="preserve"> with and without the use of an anti-agglomerant treatment.</w:t>
      </w:r>
      <w:r w:rsidR="00417E93">
        <w:t xml:space="preserve"> </w:t>
      </w:r>
      <w:r w:rsidR="00822266">
        <w:t>Without the anti-agglomerant treatment, s</w:t>
      </w:r>
      <w:r w:rsidR="009343D2">
        <w:t>imilar</w:t>
      </w:r>
      <w:r w:rsidR="000F10BE">
        <w:t xml:space="preserve"> </w:t>
      </w:r>
      <w:r w:rsidR="00B31690">
        <w:t>V-P</w:t>
      </w:r>
      <w:r w:rsidR="00B31690" w:rsidRPr="00EC1899">
        <w:t>SD</w:t>
      </w:r>
      <w:r w:rsidR="00B31690">
        <w:t>s</w:t>
      </w:r>
      <w:r w:rsidR="00B31690" w:rsidRPr="00EC1899">
        <w:t xml:space="preserve"> </w:t>
      </w:r>
      <w:r w:rsidR="000F10BE">
        <w:t xml:space="preserve">ranging from 1 </w:t>
      </w:r>
      <w:r w:rsidR="000F10BE">
        <w:rPr>
          <w:rFonts w:cs="Arial"/>
        </w:rPr>
        <w:t>µ</w:t>
      </w:r>
      <w:r w:rsidR="000F10BE">
        <w:t xml:space="preserve">m to </w:t>
      </w:r>
      <w:r w:rsidR="00333E46">
        <w:t>100</w:t>
      </w:r>
      <w:r w:rsidR="000F10BE">
        <w:t xml:space="preserve"> </w:t>
      </w:r>
      <w:r w:rsidR="000F10BE">
        <w:rPr>
          <w:rFonts w:cs="Arial"/>
        </w:rPr>
        <w:t>µ</w:t>
      </w:r>
      <w:r w:rsidR="000F10BE">
        <w:t>m</w:t>
      </w:r>
      <w:r w:rsidR="00917566">
        <w:t xml:space="preserve">, characteristics of </w:t>
      </w:r>
      <w:proofErr w:type="gramStart"/>
      <w:r w:rsidR="00917566">
        <w:t>Mg(</w:t>
      </w:r>
      <w:proofErr w:type="gramEnd"/>
      <w:r w:rsidR="00917566">
        <w:t>OH)</w:t>
      </w:r>
      <w:r w:rsidR="00917566" w:rsidRPr="00335A42">
        <w:rPr>
          <w:vertAlign w:val="subscript"/>
        </w:rPr>
        <w:t>2</w:t>
      </w:r>
      <w:r w:rsidR="00917566">
        <w:rPr>
          <w:vertAlign w:val="subscript"/>
        </w:rPr>
        <w:t xml:space="preserve">  </w:t>
      </w:r>
      <w:r w:rsidR="003C1229" w:rsidRPr="003C1229">
        <w:t>weak</w:t>
      </w:r>
      <w:r w:rsidR="003C1229">
        <w:rPr>
          <w:vertAlign w:val="subscript"/>
        </w:rPr>
        <w:t xml:space="preserve"> </w:t>
      </w:r>
      <w:r w:rsidR="00917566">
        <w:t xml:space="preserve">agglomerates, </w:t>
      </w:r>
      <w:r w:rsidR="000F10BE">
        <w:t xml:space="preserve">were observed regardless of bitterns and precipitation conditions. </w:t>
      </w:r>
      <w:r w:rsidR="00041439">
        <w:t xml:space="preserve">Conversely, </w:t>
      </w:r>
      <w:r w:rsidR="008274A6">
        <w:t>n</w:t>
      </w:r>
      <w:r w:rsidR="00B4248D">
        <w:t xml:space="preserve">arrow </w:t>
      </w:r>
      <w:r w:rsidR="00B31690">
        <w:t>V-P</w:t>
      </w:r>
      <w:r w:rsidR="00B31690" w:rsidRPr="00EC1899">
        <w:t>SD</w:t>
      </w:r>
      <w:r w:rsidR="00B31690">
        <w:t>s</w:t>
      </w:r>
      <w:r w:rsidR="00B31690" w:rsidRPr="00EC1899">
        <w:t xml:space="preserve"> </w:t>
      </w:r>
      <w:r w:rsidR="00946BD6">
        <w:t xml:space="preserve">in the range </w:t>
      </w:r>
      <w:r w:rsidR="00C37FC7">
        <w:t>from</w:t>
      </w:r>
      <w:r w:rsidR="00946BD6">
        <w:t xml:space="preserve"> 1 </w:t>
      </w:r>
      <w:r w:rsidR="00946BD6">
        <w:rPr>
          <w:rFonts w:cs="Arial"/>
        </w:rPr>
        <w:t>µ</w:t>
      </w:r>
      <w:r w:rsidR="00946BD6">
        <w:t xml:space="preserve">m </w:t>
      </w:r>
      <w:r w:rsidR="00C37FC7">
        <w:t>to</w:t>
      </w:r>
      <w:r w:rsidR="00946BD6">
        <w:t xml:space="preserve"> 10 </w:t>
      </w:r>
      <w:r w:rsidR="00946BD6">
        <w:rPr>
          <w:rFonts w:cs="Arial"/>
        </w:rPr>
        <w:t>µ</w:t>
      </w:r>
      <w:r w:rsidR="00946BD6">
        <w:t xml:space="preserve">m, </w:t>
      </w:r>
      <w:r w:rsidR="00B4248D">
        <w:t xml:space="preserve">associated </w:t>
      </w:r>
      <w:r w:rsidR="001654E6">
        <w:t>with</w:t>
      </w:r>
      <w:r w:rsidR="00B4248D">
        <w:t xml:space="preserve"> strong </w:t>
      </w:r>
      <w:proofErr w:type="gramStart"/>
      <w:r w:rsidR="00B4248D">
        <w:t>Mg(</w:t>
      </w:r>
      <w:proofErr w:type="gramEnd"/>
      <w:r w:rsidR="00B4248D">
        <w:t>OH)</w:t>
      </w:r>
      <w:r w:rsidR="00B4248D" w:rsidRPr="00335A42">
        <w:rPr>
          <w:vertAlign w:val="subscript"/>
        </w:rPr>
        <w:t>2</w:t>
      </w:r>
      <w:r w:rsidR="00B4248D">
        <w:rPr>
          <w:vertAlign w:val="subscript"/>
        </w:rPr>
        <w:t xml:space="preserve">  </w:t>
      </w:r>
      <w:r w:rsidR="00B4248D">
        <w:t>agglomerates</w:t>
      </w:r>
      <w:r w:rsidR="00946BD6">
        <w:t>,</w:t>
      </w:r>
      <w:r w:rsidR="00B4248D">
        <w:t xml:space="preserve"> were </w:t>
      </w:r>
      <w:r w:rsidR="00946BD6">
        <w:t xml:space="preserve">measured </w:t>
      </w:r>
      <w:r w:rsidR="000F10BE">
        <w:t xml:space="preserve">after </w:t>
      </w:r>
      <w:r w:rsidR="00041439">
        <w:t xml:space="preserve">particle </w:t>
      </w:r>
      <w:r w:rsidR="000F10BE">
        <w:t>treatment</w:t>
      </w:r>
      <w:r w:rsidR="00853223">
        <w:t xml:space="preserve">. </w:t>
      </w:r>
      <w:proofErr w:type="gramStart"/>
      <w:r w:rsidR="00F20D81">
        <w:t>Mg(</w:t>
      </w:r>
      <w:proofErr w:type="gramEnd"/>
      <w:r w:rsidR="00F20D81">
        <w:t>OH)</w:t>
      </w:r>
      <w:r w:rsidR="00F20D81" w:rsidRPr="00917566">
        <w:rPr>
          <w:vertAlign w:val="subscript"/>
        </w:rPr>
        <w:t>2</w:t>
      </w:r>
      <w:r w:rsidR="00F20D81">
        <w:rPr>
          <w:vertAlign w:val="subscript"/>
        </w:rPr>
        <w:t xml:space="preserve"> </w:t>
      </w:r>
      <w:r w:rsidR="001654E6" w:rsidRPr="001654E6">
        <w:t>nano</w:t>
      </w:r>
      <w:r w:rsidR="00F20D81">
        <w:t xml:space="preserve">particles </w:t>
      </w:r>
      <w:r w:rsidR="008D6201">
        <w:t xml:space="preserve">ranging from </w:t>
      </w:r>
      <w:r w:rsidR="00D34B7D">
        <w:t>0.0</w:t>
      </w:r>
      <w:r w:rsidR="008D6201">
        <w:t xml:space="preserve">2 </w:t>
      </w:r>
      <w:r w:rsidR="00D34B7D">
        <w:rPr>
          <w:rFonts w:cs="Arial"/>
        </w:rPr>
        <w:t>µ</w:t>
      </w:r>
      <w:r w:rsidR="008D6201">
        <w:t xml:space="preserve">m to </w:t>
      </w:r>
      <w:r w:rsidR="00D34B7D">
        <w:t>0.</w:t>
      </w:r>
      <w:r w:rsidR="008D6201">
        <w:t>2</w:t>
      </w:r>
      <w:r w:rsidR="00D34B7D">
        <w:t xml:space="preserve"> </w:t>
      </w:r>
      <w:r w:rsidR="00D34B7D">
        <w:rPr>
          <w:rFonts w:cs="Arial"/>
        </w:rPr>
        <w:t>µ</w:t>
      </w:r>
      <w:r w:rsidR="008D6201">
        <w:t xml:space="preserve">m </w:t>
      </w:r>
      <w:r w:rsidR="001654E6">
        <w:t xml:space="preserve">were </w:t>
      </w:r>
      <w:r w:rsidR="00F20D81">
        <w:t xml:space="preserve">produced </w:t>
      </w:r>
      <w:r w:rsidR="001654E6">
        <w:t xml:space="preserve">only </w:t>
      </w:r>
      <w:r w:rsidR="0079074C">
        <w:t>using</w:t>
      </w:r>
      <w:r w:rsidR="001654E6">
        <w:t xml:space="preserve"> </w:t>
      </w:r>
      <w:r w:rsidR="000F10BE">
        <w:t>Galia bittern</w:t>
      </w:r>
      <w:r w:rsidR="00F20D81">
        <w:t>s</w:t>
      </w:r>
      <w:r w:rsidR="000F10BE">
        <w:t xml:space="preserve"> under stoichiometric conditions</w:t>
      </w:r>
      <w:r w:rsidR="00D755C6">
        <w:t>. This was attributed to the lower Mg</w:t>
      </w:r>
      <w:r w:rsidR="00D755C6" w:rsidRPr="00D755C6">
        <w:rPr>
          <w:vertAlign w:val="superscript"/>
        </w:rPr>
        <w:t>2+</w:t>
      </w:r>
      <w:r w:rsidR="00D755C6">
        <w:t xml:space="preserve"> concentration in Galia bittern</w:t>
      </w:r>
      <w:r w:rsidR="008D6201">
        <w:t>s</w:t>
      </w:r>
      <w:r w:rsidR="00D755C6">
        <w:t xml:space="preserve"> with respect to </w:t>
      </w:r>
      <w:r w:rsidR="002850BC">
        <w:t xml:space="preserve">that of </w:t>
      </w:r>
      <w:r w:rsidR="00D755C6">
        <w:t>Margi one</w:t>
      </w:r>
      <w:r w:rsidR="008D6201">
        <w:t>s</w:t>
      </w:r>
      <w:r w:rsidR="00C97B3D">
        <w:t xml:space="preserve"> and the lower pH value during the precipitation process with respect to OH</w:t>
      </w:r>
      <w:r w:rsidR="00C97B3D" w:rsidRPr="00C97B3D">
        <w:rPr>
          <w:vertAlign w:val="superscript"/>
        </w:rPr>
        <w:t>-</w:t>
      </w:r>
      <w:r w:rsidR="00C97B3D">
        <w:t xml:space="preserve"> excess</w:t>
      </w:r>
      <w:r w:rsidR="00DC40BA">
        <w:t xml:space="preserve"> cases</w:t>
      </w:r>
      <w:r w:rsidR="00D755C6">
        <w:t>.</w:t>
      </w:r>
      <w:r w:rsidR="000F10BE">
        <w:t xml:space="preserve"> </w:t>
      </w:r>
      <w:proofErr w:type="gramStart"/>
      <w:r w:rsidR="00917566">
        <w:t>Mg(</w:t>
      </w:r>
      <w:proofErr w:type="gramEnd"/>
      <w:r w:rsidR="00917566">
        <w:t>OH)</w:t>
      </w:r>
      <w:r w:rsidR="00917566" w:rsidRPr="00917566">
        <w:rPr>
          <w:vertAlign w:val="subscript"/>
        </w:rPr>
        <w:t>2</w:t>
      </w:r>
      <w:r w:rsidR="00917566">
        <w:rPr>
          <w:vertAlign w:val="subscript"/>
        </w:rPr>
        <w:t xml:space="preserve"> </w:t>
      </w:r>
      <w:r w:rsidR="004156B0">
        <w:t>particles</w:t>
      </w:r>
      <w:r w:rsidR="00583B58">
        <w:t xml:space="preserve"> cationic and mass purity </w:t>
      </w:r>
      <w:r w:rsidR="0037409D">
        <w:t>were</w:t>
      </w:r>
      <w:r w:rsidR="00583B58">
        <w:t xml:space="preserve"> also investigated</w:t>
      </w:r>
      <w:r w:rsidR="0037409D">
        <w:t xml:space="preserve">. </w:t>
      </w:r>
      <w:r w:rsidR="000A7107">
        <w:t xml:space="preserve">Cationic purity was always higher </w:t>
      </w:r>
      <w:r w:rsidR="00583B58">
        <w:t>than 99</w:t>
      </w:r>
      <w:r w:rsidR="00B60226">
        <w:t xml:space="preserve"> </w:t>
      </w:r>
      <w:r w:rsidR="00583B58">
        <w:t>%</w:t>
      </w:r>
      <w:r w:rsidR="000A7107">
        <w:t xml:space="preserve">, while mass purity ranged from </w:t>
      </w:r>
      <w:r w:rsidR="0037409D">
        <w:t>90</w:t>
      </w:r>
      <w:r w:rsidR="00830927">
        <w:t xml:space="preserve"> </w:t>
      </w:r>
      <w:r w:rsidR="0037409D">
        <w:t>%</w:t>
      </w:r>
      <w:r w:rsidR="000A7107">
        <w:t xml:space="preserve"> to 95</w:t>
      </w:r>
      <w:r w:rsidR="00830927">
        <w:t xml:space="preserve"> </w:t>
      </w:r>
      <w:r w:rsidR="000A7107">
        <w:t>%.</w:t>
      </w:r>
      <w:r w:rsidR="0037409D">
        <w:t xml:space="preserve"> </w:t>
      </w:r>
      <w:r w:rsidR="002020FA" w:rsidRPr="002020FA">
        <w:t xml:space="preserve">Overall, high purity </w:t>
      </w:r>
      <w:proofErr w:type="gramStart"/>
      <w:r w:rsidR="002020FA" w:rsidRPr="002020FA">
        <w:t>Mg(</w:t>
      </w:r>
      <w:proofErr w:type="gramEnd"/>
      <w:r w:rsidR="002020FA" w:rsidRPr="002020FA">
        <w:t>OH)</w:t>
      </w:r>
      <w:r w:rsidR="002020FA" w:rsidRPr="002020FA">
        <w:rPr>
          <w:vertAlign w:val="subscript"/>
        </w:rPr>
        <w:t>2</w:t>
      </w:r>
      <w:r w:rsidR="002020FA" w:rsidRPr="002020FA">
        <w:t xml:space="preserve"> nanoparticles were successfully produced from real exhausted Galia bitterns </w:t>
      </w:r>
      <w:r w:rsidR="002020FA" w:rsidRPr="000F01C6">
        <w:t>demonstrating the possibility of valorizing a waste to produce valuable products in the concept of the circular economy.</w:t>
      </w:r>
      <w:r w:rsidR="004D17D8" w:rsidRPr="000F01C6">
        <w:t xml:space="preserve"> </w:t>
      </w:r>
      <w:r w:rsidR="003C0FB6" w:rsidRPr="000F01C6">
        <w:t xml:space="preserve">A scale up of the proposed approach will be carried out in the second phase of the </w:t>
      </w:r>
      <w:proofErr w:type="spellStart"/>
      <w:r w:rsidR="00ED41CD" w:rsidRPr="000F01C6">
        <w:t>SEArcularMINE</w:t>
      </w:r>
      <w:proofErr w:type="spellEnd"/>
      <w:r w:rsidR="00ED41CD" w:rsidRPr="000F01C6">
        <w:t xml:space="preserve"> project aiming at </w:t>
      </w:r>
      <w:r w:rsidR="0086414A" w:rsidRPr="000F01C6">
        <w:t xml:space="preserve">exploiting the </w:t>
      </w:r>
      <w:proofErr w:type="gramStart"/>
      <w:r w:rsidR="0086414A" w:rsidRPr="000F01C6">
        <w:t>bitterns</w:t>
      </w:r>
      <w:proofErr w:type="gramEnd"/>
      <w:r w:rsidR="0086414A" w:rsidRPr="000F01C6">
        <w:t xml:space="preserve"> potential</w:t>
      </w:r>
      <w:r w:rsidR="00DB05C1" w:rsidRPr="000F01C6">
        <w:t xml:space="preserve"> as Mg source.</w:t>
      </w:r>
      <w:r w:rsidR="0086414A" w:rsidRPr="000F01C6">
        <w:t xml:space="preserve"> </w:t>
      </w:r>
      <w:r w:rsidR="00DB05C1" w:rsidRPr="000F01C6">
        <w:t xml:space="preserve">In the best scenario, this </w:t>
      </w:r>
      <w:r w:rsidR="0086414A" w:rsidRPr="000F01C6">
        <w:t xml:space="preserve">has been estimated to satisfy </w:t>
      </w:r>
      <w:r w:rsidR="003E44ED" w:rsidRPr="000F01C6">
        <w:t>more than</w:t>
      </w:r>
      <w:r w:rsidR="0086414A" w:rsidRPr="000F01C6">
        <w:t xml:space="preserve"> </w:t>
      </w:r>
      <w:r w:rsidR="00F4071C" w:rsidRPr="000F01C6">
        <w:t>30</w:t>
      </w:r>
      <w:r w:rsidR="0086414A" w:rsidRPr="000F01C6">
        <w:t xml:space="preserve"> % of </w:t>
      </w:r>
      <w:r w:rsidR="00F4071C" w:rsidRPr="000F01C6">
        <w:t xml:space="preserve">the </w:t>
      </w:r>
      <w:r w:rsidR="0086414A" w:rsidRPr="000F01C6">
        <w:t xml:space="preserve">worldwide </w:t>
      </w:r>
      <w:proofErr w:type="gramStart"/>
      <w:r w:rsidR="0086414A" w:rsidRPr="000F01C6">
        <w:t>Mg(</w:t>
      </w:r>
      <w:proofErr w:type="gramEnd"/>
      <w:r w:rsidR="0086414A" w:rsidRPr="000F01C6">
        <w:t>OH)</w:t>
      </w:r>
      <w:r w:rsidR="0086414A" w:rsidRPr="000F01C6">
        <w:rPr>
          <w:vertAlign w:val="subscript"/>
        </w:rPr>
        <w:t>2</w:t>
      </w:r>
      <w:r w:rsidR="0086414A" w:rsidRPr="000F01C6">
        <w:t xml:space="preserve"> demand.</w:t>
      </w:r>
      <w:r w:rsidR="00EA0531" w:rsidRPr="00335A42">
        <w:rPr>
          <w:b/>
          <w:bCs/>
        </w:rPr>
        <w:t xml:space="preserve"> </w:t>
      </w:r>
    </w:p>
    <w:p w14:paraId="459D05E6" w14:textId="25DE7D03" w:rsidR="00600535" w:rsidRPr="00B57B36" w:rsidRDefault="00600535" w:rsidP="00600535">
      <w:pPr>
        <w:pStyle w:val="CETAcknowledgementstitle"/>
      </w:pPr>
      <w:r w:rsidRPr="00B57B36">
        <w:t>Acknowledgments</w:t>
      </w:r>
    </w:p>
    <w:p w14:paraId="33F8138F" w14:textId="23531E2E" w:rsidR="00600535" w:rsidRPr="00B57B36" w:rsidRDefault="005A21B2" w:rsidP="00600535">
      <w:pPr>
        <w:pStyle w:val="CETBodytext"/>
        <w:rPr>
          <w:lang w:val="en-GB"/>
        </w:rPr>
      </w:pPr>
      <w:r w:rsidRPr="005A21B2">
        <w:rPr>
          <w:lang w:val="en-GB"/>
        </w:rPr>
        <w:t>This project has received funding from the European Union’s Horizon 2020 research and innovation programme under Grant Agreement No. 869467 (</w:t>
      </w:r>
      <w:proofErr w:type="spellStart"/>
      <w:r w:rsidRPr="005A21B2">
        <w:rPr>
          <w:lang w:val="en-GB"/>
        </w:rPr>
        <w:t>SEArcularMINE</w:t>
      </w:r>
      <w:proofErr w:type="spellEnd"/>
      <w:r w:rsidRPr="005A21B2">
        <w:rPr>
          <w:lang w:val="en-GB"/>
        </w:rPr>
        <w:t>). This output reflects only the author’s view. The European Health and Digital Executive Agency (</w:t>
      </w:r>
      <w:proofErr w:type="spellStart"/>
      <w:r w:rsidRPr="005A21B2">
        <w:rPr>
          <w:lang w:val="en-GB"/>
        </w:rPr>
        <w:t>HaDEA</w:t>
      </w:r>
      <w:proofErr w:type="spellEnd"/>
      <w:r w:rsidRPr="005A21B2">
        <w:rPr>
          <w:lang w:val="en-GB"/>
        </w:rPr>
        <w:t>) and the European Commission cannot be held responsible for any use that may be made of the information contained therein.</w:t>
      </w:r>
    </w:p>
    <w:p w14:paraId="4F1327F8" w14:textId="0BE7C1BF" w:rsidR="00600535" w:rsidRPr="004C5A69" w:rsidRDefault="00600535" w:rsidP="00600535">
      <w:pPr>
        <w:pStyle w:val="CETReference"/>
      </w:pPr>
      <w:r w:rsidRPr="004C5A69">
        <w:t>References</w:t>
      </w:r>
    </w:p>
    <w:p w14:paraId="54E1973C" w14:textId="5DDA12D9" w:rsidR="00405058" w:rsidRPr="007E1ACA" w:rsidRDefault="005A21B2" w:rsidP="00405058">
      <w:pPr>
        <w:widowControl w:val="0"/>
        <w:autoSpaceDE w:val="0"/>
        <w:autoSpaceDN w:val="0"/>
        <w:adjustRightInd w:val="0"/>
        <w:spacing w:line="240" w:lineRule="auto"/>
        <w:ind w:left="480" w:hanging="480"/>
        <w:rPr>
          <w:rFonts w:cs="Arial"/>
          <w:noProof/>
          <w:szCs w:val="24"/>
        </w:rPr>
      </w:pPr>
      <w:r w:rsidRPr="007E1ACA">
        <w:fldChar w:fldCharType="begin" w:fldLock="1"/>
      </w:r>
      <w:r w:rsidRPr="007E1ACA">
        <w:instrText xml:space="preserve">ADDIN Mendeley Bibliography CSL_BIBLIOGRAPHY </w:instrText>
      </w:r>
      <w:r w:rsidRPr="007E1ACA">
        <w:fldChar w:fldCharType="separate"/>
      </w:r>
      <w:r w:rsidR="00405058" w:rsidRPr="007E1ACA">
        <w:rPr>
          <w:rFonts w:cs="Arial"/>
          <w:noProof/>
          <w:szCs w:val="24"/>
        </w:rPr>
        <w:t>Balducci, G., Bravo Diaz, L., Gregory, D. H.</w:t>
      </w:r>
      <w:r w:rsidR="00A4320E" w:rsidRPr="007E1ACA">
        <w:rPr>
          <w:rFonts w:cs="Arial"/>
          <w:noProof/>
          <w:szCs w:val="24"/>
        </w:rPr>
        <w:t xml:space="preserve">, </w:t>
      </w:r>
      <w:r w:rsidR="00405058" w:rsidRPr="007E1ACA">
        <w:rPr>
          <w:rFonts w:cs="Arial"/>
          <w:noProof/>
          <w:szCs w:val="24"/>
        </w:rPr>
        <w:t>2017</w:t>
      </w:r>
      <w:r w:rsidR="00A4320E" w:rsidRPr="007E1ACA">
        <w:rPr>
          <w:rFonts w:cs="Arial"/>
          <w:noProof/>
          <w:szCs w:val="24"/>
        </w:rPr>
        <w:t>,</w:t>
      </w:r>
      <w:r w:rsidR="00405058" w:rsidRPr="007E1ACA">
        <w:rPr>
          <w:rFonts w:cs="Arial"/>
          <w:noProof/>
          <w:szCs w:val="24"/>
        </w:rPr>
        <w:t xml:space="preserve"> Recent progress in the synthesis of nanostructured magnesium hydroxide</w:t>
      </w:r>
      <w:r w:rsidR="00A4320E" w:rsidRPr="007E1ACA">
        <w:rPr>
          <w:rFonts w:cs="Arial"/>
          <w:noProof/>
          <w:szCs w:val="24"/>
        </w:rPr>
        <w:t xml:space="preserve">, </w:t>
      </w:r>
      <w:r w:rsidR="00405058" w:rsidRPr="007E1ACA">
        <w:rPr>
          <w:rFonts w:cs="Arial"/>
          <w:noProof/>
          <w:szCs w:val="24"/>
        </w:rPr>
        <w:t>CrystEngComm</w:t>
      </w:r>
      <w:r w:rsidR="00A4320E" w:rsidRPr="007E1ACA">
        <w:rPr>
          <w:rFonts w:cs="Arial"/>
          <w:noProof/>
          <w:szCs w:val="24"/>
        </w:rPr>
        <w:t xml:space="preserve">, </w:t>
      </w:r>
      <w:r w:rsidR="00405058" w:rsidRPr="007E1ACA">
        <w:rPr>
          <w:rFonts w:cs="Arial"/>
          <w:noProof/>
          <w:szCs w:val="24"/>
        </w:rPr>
        <w:t>19</w:t>
      </w:r>
      <w:r w:rsidR="00A4320E" w:rsidRPr="007E1ACA">
        <w:rPr>
          <w:rFonts w:cs="Arial"/>
          <w:noProof/>
          <w:szCs w:val="24"/>
        </w:rPr>
        <w:t>(41)</w:t>
      </w:r>
      <w:r w:rsidR="00405058" w:rsidRPr="007E1ACA">
        <w:rPr>
          <w:rFonts w:cs="Arial"/>
          <w:noProof/>
          <w:szCs w:val="24"/>
        </w:rPr>
        <w:t>,</w:t>
      </w:r>
      <w:r w:rsidR="00A4320E" w:rsidRPr="007E1ACA">
        <w:rPr>
          <w:rFonts w:cs="Arial"/>
          <w:noProof/>
          <w:szCs w:val="24"/>
        </w:rPr>
        <w:t xml:space="preserve"> </w:t>
      </w:r>
      <w:r w:rsidR="00405058" w:rsidRPr="007E1ACA">
        <w:rPr>
          <w:rFonts w:cs="Arial"/>
          <w:noProof/>
          <w:szCs w:val="24"/>
        </w:rPr>
        <w:t>6067–6084</w:t>
      </w:r>
      <w:r w:rsidR="00A4320E" w:rsidRPr="007E1ACA">
        <w:rPr>
          <w:rFonts w:cs="Arial"/>
          <w:noProof/>
          <w:szCs w:val="24"/>
        </w:rPr>
        <w:t>.</w:t>
      </w:r>
    </w:p>
    <w:p w14:paraId="6D73AF09" w14:textId="7E27567A"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Battaglia, G., Romano, S., Raponi, A., Marchisio, D., Ciofalo, M., Tamburini, A., Cipollina, A., Micale, G.</w:t>
      </w:r>
      <w:r w:rsidR="00A4320E" w:rsidRPr="007E1ACA">
        <w:rPr>
          <w:rFonts w:cs="Arial"/>
          <w:noProof/>
          <w:szCs w:val="24"/>
        </w:rPr>
        <w:t xml:space="preserve">, </w:t>
      </w:r>
      <w:r w:rsidRPr="007E1ACA">
        <w:rPr>
          <w:rFonts w:cs="Arial"/>
          <w:noProof/>
          <w:szCs w:val="24"/>
        </w:rPr>
        <w:t>2022</w:t>
      </w:r>
      <w:r w:rsidR="00A4320E" w:rsidRPr="007E1ACA">
        <w:rPr>
          <w:rFonts w:cs="Arial"/>
          <w:noProof/>
          <w:szCs w:val="24"/>
        </w:rPr>
        <w:t>,</w:t>
      </w:r>
      <w:r w:rsidRPr="007E1ACA">
        <w:rPr>
          <w:rFonts w:cs="Arial"/>
          <w:noProof/>
          <w:szCs w:val="24"/>
        </w:rPr>
        <w:t xml:space="preserve"> Analysis of particles size distributions in Mg(OH)2 precipitation from highly concentrated MgCl2 solutions</w:t>
      </w:r>
      <w:r w:rsidR="00A4320E" w:rsidRPr="007E1ACA">
        <w:rPr>
          <w:rFonts w:cs="Arial"/>
          <w:noProof/>
          <w:szCs w:val="24"/>
        </w:rPr>
        <w:t xml:space="preserve">, </w:t>
      </w:r>
      <w:r w:rsidRPr="007E1ACA">
        <w:rPr>
          <w:rFonts w:cs="Arial"/>
          <w:noProof/>
          <w:szCs w:val="24"/>
        </w:rPr>
        <w:t>Powder Technology, 398, 117106.</w:t>
      </w:r>
    </w:p>
    <w:p w14:paraId="0A0EEF19" w14:textId="2C05C9E5"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Jakić, J., Labor, M.,</w:t>
      </w:r>
      <w:r w:rsidR="00A4320E" w:rsidRPr="007E1ACA">
        <w:rPr>
          <w:rFonts w:cs="Arial"/>
          <w:noProof/>
          <w:szCs w:val="24"/>
        </w:rPr>
        <w:t xml:space="preserve"> </w:t>
      </w:r>
      <w:r w:rsidRPr="007E1ACA">
        <w:rPr>
          <w:rFonts w:cs="Arial"/>
          <w:noProof/>
          <w:szCs w:val="24"/>
        </w:rPr>
        <w:t>Martinac, V.</w:t>
      </w:r>
      <w:r w:rsidR="00A4320E" w:rsidRPr="007E1ACA">
        <w:rPr>
          <w:rFonts w:cs="Arial"/>
          <w:noProof/>
          <w:szCs w:val="24"/>
        </w:rPr>
        <w:t>,</w:t>
      </w:r>
      <w:r w:rsidRPr="007E1ACA">
        <w:rPr>
          <w:rFonts w:cs="Arial"/>
          <w:noProof/>
          <w:szCs w:val="24"/>
        </w:rPr>
        <w:t xml:space="preserve"> 2016</w:t>
      </w:r>
      <w:r w:rsidR="00A4320E" w:rsidRPr="007E1ACA">
        <w:rPr>
          <w:rFonts w:cs="Arial"/>
          <w:noProof/>
          <w:szCs w:val="24"/>
        </w:rPr>
        <w:t>,</w:t>
      </w:r>
      <w:r w:rsidRPr="007E1ACA">
        <w:rPr>
          <w:rFonts w:cs="Arial"/>
          <w:noProof/>
          <w:szCs w:val="24"/>
        </w:rPr>
        <w:t xml:space="preserve"> Characterization of dolomitic lime as the base reagent for precipitation of Mg(OH)2 from seawater</w:t>
      </w:r>
      <w:r w:rsidR="00A4320E" w:rsidRPr="007E1ACA">
        <w:rPr>
          <w:rFonts w:cs="Arial"/>
          <w:noProof/>
          <w:szCs w:val="24"/>
        </w:rPr>
        <w:t>,</w:t>
      </w:r>
      <w:r w:rsidRPr="007E1ACA">
        <w:rPr>
          <w:rFonts w:cs="Arial"/>
          <w:noProof/>
          <w:szCs w:val="24"/>
        </w:rPr>
        <w:t xml:space="preserve"> Chemical and Biochemical Engineering Quarterly, 30(3), 373–379.</w:t>
      </w:r>
    </w:p>
    <w:p w14:paraId="79F74B40" w14:textId="37932170"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Luong, V. T., Amal, R., Scott, J. A., Ehrenberger, S., Tran, T.</w:t>
      </w:r>
      <w:r w:rsidR="00A4320E" w:rsidRPr="007E1ACA">
        <w:rPr>
          <w:rFonts w:cs="Arial"/>
          <w:noProof/>
          <w:szCs w:val="24"/>
        </w:rPr>
        <w:t xml:space="preserve">, </w:t>
      </w:r>
      <w:r w:rsidRPr="007E1ACA">
        <w:rPr>
          <w:rFonts w:cs="Arial"/>
          <w:noProof/>
          <w:szCs w:val="24"/>
        </w:rPr>
        <w:t>2018</w:t>
      </w:r>
      <w:r w:rsidR="00A4320E" w:rsidRPr="007E1ACA">
        <w:rPr>
          <w:rFonts w:cs="Arial"/>
          <w:noProof/>
          <w:szCs w:val="24"/>
        </w:rPr>
        <w:t xml:space="preserve">, </w:t>
      </w:r>
      <w:r w:rsidRPr="007E1ACA">
        <w:rPr>
          <w:rFonts w:cs="Arial"/>
          <w:noProof/>
          <w:szCs w:val="24"/>
        </w:rPr>
        <w:t>A comparison of carbon footprints of magnesium oxide and magnesium hydroxide produced from conventional processes</w:t>
      </w:r>
      <w:r w:rsidR="00A4320E" w:rsidRPr="007E1ACA">
        <w:rPr>
          <w:rFonts w:cs="Arial"/>
          <w:noProof/>
          <w:szCs w:val="24"/>
        </w:rPr>
        <w:t>,</w:t>
      </w:r>
      <w:r w:rsidRPr="007E1ACA">
        <w:rPr>
          <w:rFonts w:cs="Arial"/>
          <w:noProof/>
          <w:szCs w:val="24"/>
        </w:rPr>
        <w:t xml:space="preserve"> Journal of Cleaner Production, 202, 1035–1044</w:t>
      </w:r>
      <w:r w:rsidR="00A4320E" w:rsidRPr="007E1ACA">
        <w:rPr>
          <w:rFonts w:cs="Arial"/>
          <w:noProof/>
          <w:szCs w:val="24"/>
        </w:rPr>
        <w:t>.</w:t>
      </w:r>
    </w:p>
    <w:p w14:paraId="1F0EC6CB" w14:textId="4757DC06"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Pan, X., Wang, Y., Chen, Z., Pan, D., Cheng, Y., Liu, Z., Lin, Z., Guan, X.</w:t>
      </w:r>
      <w:r w:rsidR="00A4320E" w:rsidRPr="007E1ACA">
        <w:rPr>
          <w:rFonts w:cs="Arial"/>
          <w:noProof/>
          <w:szCs w:val="24"/>
        </w:rPr>
        <w:t>,</w:t>
      </w:r>
      <w:r w:rsidRPr="007E1ACA">
        <w:rPr>
          <w:rFonts w:cs="Arial"/>
          <w:noProof/>
          <w:szCs w:val="24"/>
        </w:rPr>
        <w:t xml:space="preserve"> 2013</w:t>
      </w:r>
      <w:r w:rsidR="00A4320E" w:rsidRPr="007E1ACA">
        <w:rPr>
          <w:rFonts w:cs="Arial"/>
          <w:noProof/>
          <w:szCs w:val="24"/>
        </w:rPr>
        <w:t>,</w:t>
      </w:r>
      <w:r w:rsidRPr="007E1ACA">
        <w:rPr>
          <w:rFonts w:cs="Arial"/>
          <w:noProof/>
          <w:szCs w:val="24"/>
        </w:rPr>
        <w:t xml:space="preserve"> Investigation of antibacterial activity and related mechanism of a series of nano-Mg(OH)2</w:t>
      </w:r>
      <w:r w:rsidR="00A4320E" w:rsidRPr="007E1ACA">
        <w:rPr>
          <w:rFonts w:cs="Arial"/>
          <w:noProof/>
          <w:szCs w:val="24"/>
        </w:rPr>
        <w:t>,</w:t>
      </w:r>
      <w:r w:rsidRPr="007E1ACA">
        <w:rPr>
          <w:rFonts w:cs="Arial"/>
          <w:noProof/>
          <w:szCs w:val="24"/>
        </w:rPr>
        <w:t xml:space="preserve"> ACS Applied Materials and Interfaces, 5(3), 1137–1142.</w:t>
      </w:r>
    </w:p>
    <w:p w14:paraId="14ED2CFF" w14:textId="11E57682"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Park, K. S., Kim, B. J., Lih, E., Park, W., Lee, S. H., Joung, Y. K., Han, D. K.</w:t>
      </w:r>
      <w:r w:rsidR="00A4320E" w:rsidRPr="007E1ACA">
        <w:rPr>
          <w:rFonts w:cs="Arial"/>
          <w:noProof/>
          <w:szCs w:val="24"/>
        </w:rPr>
        <w:t xml:space="preserve">, </w:t>
      </w:r>
      <w:r w:rsidRPr="007E1ACA">
        <w:rPr>
          <w:rFonts w:cs="Arial"/>
          <w:noProof/>
          <w:szCs w:val="24"/>
        </w:rPr>
        <w:t>2018</w:t>
      </w:r>
      <w:r w:rsidR="00A4320E" w:rsidRPr="007E1ACA">
        <w:rPr>
          <w:rFonts w:cs="Arial"/>
          <w:noProof/>
          <w:szCs w:val="24"/>
        </w:rPr>
        <w:t>,</w:t>
      </w:r>
      <w:r w:rsidRPr="007E1ACA">
        <w:rPr>
          <w:rFonts w:cs="Arial"/>
          <w:noProof/>
          <w:szCs w:val="24"/>
        </w:rPr>
        <w:t xml:space="preserve"> Versatile effects of magnesium hydroxide nanoparticles in PLGA scaffold–mediated chondrogenesis</w:t>
      </w:r>
      <w:r w:rsidR="00A4320E" w:rsidRPr="007E1ACA">
        <w:rPr>
          <w:rFonts w:cs="Arial"/>
          <w:noProof/>
          <w:szCs w:val="24"/>
        </w:rPr>
        <w:t>,</w:t>
      </w:r>
      <w:r w:rsidRPr="007E1ACA">
        <w:rPr>
          <w:rFonts w:cs="Arial"/>
          <w:noProof/>
          <w:szCs w:val="24"/>
        </w:rPr>
        <w:t xml:space="preserve"> Acta Biomaterialia, 73, 204–216.</w:t>
      </w:r>
    </w:p>
    <w:p w14:paraId="69E3DE8B" w14:textId="27C8F0E5"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Pilarska, A., Wysokowski, M., Markiewicz, E., Jesionowski, T.</w:t>
      </w:r>
      <w:r w:rsidR="00A4320E" w:rsidRPr="007E1ACA">
        <w:rPr>
          <w:rFonts w:cs="Arial"/>
          <w:noProof/>
          <w:szCs w:val="24"/>
        </w:rPr>
        <w:t xml:space="preserve">, </w:t>
      </w:r>
      <w:r w:rsidRPr="007E1ACA">
        <w:rPr>
          <w:rFonts w:cs="Arial"/>
          <w:noProof/>
          <w:szCs w:val="24"/>
        </w:rPr>
        <w:t>2013</w:t>
      </w:r>
      <w:r w:rsidR="00A4320E" w:rsidRPr="007E1ACA">
        <w:rPr>
          <w:rFonts w:cs="Arial"/>
          <w:noProof/>
          <w:szCs w:val="24"/>
        </w:rPr>
        <w:t>,</w:t>
      </w:r>
      <w:r w:rsidRPr="007E1ACA">
        <w:rPr>
          <w:rFonts w:cs="Arial"/>
          <w:noProof/>
          <w:szCs w:val="24"/>
        </w:rPr>
        <w:t xml:space="preserve"> Synthesis of magnesium hydroxide and its calcinates by a precipitation method with the use of magnesium sulfate and poly(ethylene glycols</w:t>
      </w:r>
      <w:r w:rsidR="00A4320E" w:rsidRPr="007E1ACA">
        <w:rPr>
          <w:rFonts w:cs="Arial"/>
          <w:noProof/>
          <w:szCs w:val="24"/>
        </w:rPr>
        <w:t>,</w:t>
      </w:r>
      <w:r w:rsidRPr="007E1ACA">
        <w:rPr>
          <w:rFonts w:cs="Arial"/>
          <w:noProof/>
          <w:szCs w:val="24"/>
        </w:rPr>
        <w:t xml:space="preserve"> Powder Technology, 235, 148–157.</w:t>
      </w:r>
    </w:p>
    <w:p w14:paraId="65DD6544" w14:textId="09BEA321"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Qiu, L., Xie, R., Ding, P., Qu, B.</w:t>
      </w:r>
      <w:r w:rsidR="00A4320E" w:rsidRPr="007E1ACA">
        <w:rPr>
          <w:rFonts w:cs="Arial"/>
          <w:noProof/>
          <w:szCs w:val="24"/>
        </w:rPr>
        <w:t xml:space="preserve">, </w:t>
      </w:r>
      <w:r w:rsidRPr="007E1ACA">
        <w:rPr>
          <w:rFonts w:cs="Arial"/>
          <w:noProof/>
          <w:szCs w:val="24"/>
        </w:rPr>
        <w:t>2003</w:t>
      </w:r>
      <w:r w:rsidR="00A4320E" w:rsidRPr="007E1ACA">
        <w:rPr>
          <w:rFonts w:cs="Arial"/>
          <w:noProof/>
          <w:szCs w:val="24"/>
        </w:rPr>
        <w:t>,</w:t>
      </w:r>
      <w:r w:rsidRPr="007E1ACA">
        <w:rPr>
          <w:rFonts w:cs="Arial"/>
          <w:noProof/>
          <w:szCs w:val="24"/>
        </w:rPr>
        <w:t xml:space="preserve"> Preparation and characterization of Mg(OH)2 nanoparticles and flame-retardant property of its nanocomposites with EVA</w:t>
      </w:r>
      <w:r w:rsidR="00A4320E" w:rsidRPr="007E1ACA">
        <w:rPr>
          <w:rFonts w:cs="Arial"/>
          <w:noProof/>
          <w:szCs w:val="24"/>
        </w:rPr>
        <w:t>,</w:t>
      </w:r>
      <w:r w:rsidRPr="007E1ACA">
        <w:rPr>
          <w:rFonts w:cs="Arial"/>
          <w:noProof/>
          <w:szCs w:val="24"/>
        </w:rPr>
        <w:t xml:space="preserve"> Composite Structures, 62(3–4), 391–395. </w:t>
      </w:r>
    </w:p>
    <w:p w14:paraId="7982DBAF" w14:textId="45386078"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Ren, M., Yang, M., Li, S., Chen, G., Yuan, Q.</w:t>
      </w:r>
      <w:r w:rsidR="00A4320E" w:rsidRPr="007E1ACA">
        <w:rPr>
          <w:rFonts w:cs="Arial"/>
          <w:noProof/>
          <w:szCs w:val="24"/>
        </w:rPr>
        <w:t>, 2</w:t>
      </w:r>
      <w:r w:rsidRPr="007E1ACA">
        <w:rPr>
          <w:rFonts w:cs="Arial"/>
          <w:noProof/>
          <w:szCs w:val="24"/>
        </w:rPr>
        <w:t>016</w:t>
      </w:r>
      <w:r w:rsidR="00A4320E" w:rsidRPr="007E1ACA">
        <w:rPr>
          <w:rFonts w:cs="Arial"/>
          <w:noProof/>
          <w:szCs w:val="24"/>
        </w:rPr>
        <w:t>,</w:t>
      </w:r>
      <w:r w:rsidRPr="007E1ACA">
        <w:rPr>
          <w:rFonts w:cs="Arial"/>
          <w:noProof/>
          <w:szCs w:val="24"/>
        </w:rPr>
        <w:t xml:space="preserve"> High throughput preparation of magnesium hydroxide flame retardant: Via microreaction technology</w:t>
      </w:r>
      <w:r w:rsidR="00A4320E" w:rsidRPr="007E1ACA">
        <w:rPr>
          <w:rFonts w:cs="Arial"/>
          <w:noProof/>
          <w:szCs w:val="24"/>
        </w:rPr>
        <w:t>,</w:t>
      </w:r>
      <w:r w:rsidRPr="007E1ACA">
        <w:rPr>
          <w:rFonts w:cs="Arial"/>
          <w:noProof/>
          <w:szCs w:val="24"/>
        </w:rPr>
        <w:t xml:space="preserve"> RSC Advances, 6(95), 92670–92681.</w:t>
      </w:r>
    </w:p>
    <w:p w14:paraId="2C32BDB0" w14:textId="665955B2"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Reverberi, A. P., Vocciante, M., Lunghi, E., Pietrelli, L., Fabiano, B.</w:t>
      </w:r>
      <w:r w:rsidR="00A4320E" w:rsidRPr="007E1ACA">
        <w:rPr>
          <w:rFonts w:cs="Arial"/>
          <w:noProof/>
          <w:szCs w:val="24"/>
        </w:rPr>
        <w:t xml:space="preserve">, </w:t>
      </w:r>
      <w:r w:rsidRPr="007E1ACA">
        <w:rPr>
          <w:rFonts w:cs="Arial"/>
          <w:noProof/>
          <w:szCs w:val="24"/>
        </w:rPr>
        <w:t>2017</w:t>
      </w:r>
      <w:r w:rsidR="00A4320E" w:rsidRPr="007E1ACA">
        <w:rPr>
          <w:rFonts w:cs="Arial"/>
          <w:noProof/>
          <w:szCs w:val="24"/>
        </w:rPr>
        <w:t xml:space="preserve">, </w:t>
      </w:r>
      <w:r w:rsidRPr="007E1ACA">
        <w:rPr>
          <w:rFonts w:cs="Arial"/>
          <w:noProof/>
          <w:szCs w:val="24"/>
        </w:rPr>
        <w:t>New trends in the synthesis of nanoparticles by green methods</w:t>
      </w:r>
      <w:r w:rsidR="00A4320E" w:rsidRPr="007E1ACA">
        <w:rPr>
          <w:rFonts w:cs="Arial"/>
          <w:noProof/>
          <w:szCs w:val="24"/>
        </w:rPr>
        <w:t>,</w:t>
      </w:r>
      <w:r w:rsidRPr="007E1ACA">
        <w:rPr>
          <w:rFonts w:cs="Arial"/>
          <w:noProof/>
          <w:szCs w:val="24"/>
        </w:rPr>
        <w:t xml:space="preserve"> Chemical Engineering Transactions, 61, 667–672.</w:t>
      </w:r>
    </w:p>
    <w:p w14:paraId="31A3DF2E" w14:textId="3F005F5D"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Romano, S., Battaglia, G., Bonafede, S., Marchisio, D., Ciofalo, M., Tamburini, A., Cipollina, A., Micale, G.</w:t>
      </w:r>
      <w:r w:rsidR="00A4320E" w:rsidRPr="007E1ACA">
        <w:rPr>
          <w:rFonts w:cs="Arial"/>
          <w:noProof/>
          <w:szCs w:val="24"/>
        </w:rPr>
        <w:t xml:space="preserve">, </w:t>
      </w:r>
      <w:r w:rsidRPr="007E1ACA">
        <w:rPr>
          <w:rFonts w:cs="Arial"/>
          <w:noProof/>
          <w:szCs w:val="24"/>
        </w:rPr>
        <w:t>2021</w:t>
      </w:r>
      <w:r w:rsidR="00A4320E" w:rsidRPr="007E1ACA">
        <w:rPr>
          <w:rFonts w:cs="Arial"/>
          <w:noProof/>
          <w:szCs w:val="24"/>
        </w:rPr>
        <w:t>,</w:t>
      </w:r>
      <w:r w:rsidRPr="007E1ACA">
        <w:rPr>
          <w:rFonts w:cs="Arial"/>
          <w:noProof/>
          <w:szCs w:val="24"/>
        </w:rPr>
        <w:t xml:space="preserve"> Experimental Assessment of the Mixing Quality in a Circular Cross-sectional T-shaped Mixer for the Precipitation of Sparingly Soluble Compounds</w:t>
      </w:r>
      <w:r w:rsidR="00786E0A" w:rsidRPr="007E1ACA">
        <w:rPr>
          <w:rFonts w:cs="Arial"/>
          <w:noProof/>
          <w:szCs w:val="24"/>
        </w:rPr>
        <w:t>,</w:t>
      </w:r>
      <w:r w:rsidRPr="007E1ACA">
        <w:rPr>
          <w:rFonts w:cs="Arial"/>
          <w:noProof/>
          <w:szCs w:val="24"/>
        </w:rPr>
        <w:t xml:space="preserve"> Chemical Engineering Transactions, 86, 1165–1170. </w:t>
      </w:r>
    </w:p>
    <w:p w14:paraId="76B5C42B" w14:textId="5DC49740" w:rsidR="00405058" w:rsidRPr="007E1ACA" w:rsidRDefault="00405058" w:rsidP="00405058">
      <w:pPr>
        <w:widowControl w:val="0"/>
        <w:autoSpaceDE w:val="0"/>
        <w:autoSpaceDN w:val="0"/>
        <w:adjustRightInd w:val="0"/>
        <w:spacing w:line="240" w:lineRule="auto"/>
        <w:ind w:left="480" w:hanging="480"/>
        <w:rPr>
          <w:rFonts w:cs="Arial"/>
          <w:noProof/>
          <w:szCs w:val="24"/>
        </w:rPr>
      </w:pPr>
      <w:r w:rsidRPr="007E1ACA">
        <w:rPr>
          <w:rFonts w:cs="Arial"/>
          <w:noProof/>
          <w:szCs w:val="24"/>
        </w:rPr>
        <w:t>Shand, M. A.</w:t>
      </w:r>
      <w:r w:rsidR="00786E0A" w:rsidRPr="007E1ACA">
        <w:rPr>
          <w:rFonts w:cs="Arial"/>
          <w:noProof/>
          <w:szCs w:val="24"/>
        </w:rPr>
        <w:t xml:space="preserve">, </w:t>
      </w:r>
      <w:r w:rsidRPr="007E1ACA">
        <w:rPr>
          <w:rFonts w:cs="Arial"/>
          <w:noProof/>
          <w:szCs w:val="24"/>
        </w:rPr>
        <w:t>2006</w:t>
      </w:r>
      <w:r w:rsidR="00786E0A" w:rsidRPr="007E1ACA">
        <w:rPr>
          <w:rFonts w:cs="Arial"/>
          <w:noProof/>
          <w:szCs w:val="24"/>
        </w:rPr>
        <w:t>,</w:t>
      </w:r>
      <w:r w:rsidRPr="007E1ACA">
        <w:rPr>
          <w:rFonts w:cs="Arial"/>
          <w:noProof/>
          <w:szCs w:val="24"/>
        </w:rPr>
        <w:t xml:space="preserve"> The chemistry and technology of magnesia. Wiley-Interscience.</w:t>
      </w:r>
    </w:p>
    <w:p w14:paraId="3633AB5E" w14:textId="2B1FAF17" w:rsidR="00405058" w:rsidRPr="007E1ACA" w:rsidRDefault="00405058" w:rsidP="00405058">
      <w:pPr>
        <w:widowControl w:val="0"/>
        <w:autoSpaceDE w:val="0"/>
        <w:autoSpaceDN w:val="0"/>
        <w:adjustRightInd w:val="0"/>
        <w:spacing w:line="240" w:lineRule="auto"/>
        <w:ind w:left="480" w:hanging="480"/>
        <w:rPr>
          <w:rFonts w:cs="Arial"/>
          <w:noProof/>
        </w:rPr>
      </w:pPr>
      <w:r w:rsidRPr="007E1ACA">
        <w:rPr>
          <w:rFonts w:cs="Arial"/>
          <w:noProof/>
          <w:szCs w:val="24"/>
        </w:rPr>
        <w:t>Verri, G.</w:t>
      </w:r>
      <w:r w:rsidR="00786E0A" w:rsidRPr="007E1ACA">
        <w:rPr>
          <w:rFonts w:cs="Arial"/>
          <w:noProof/>
          <w:szCs w:val="24"/>
        </w:rPr>
        <w:t>, 1</w:t>
      </w:r>
      <w:r w:rsidRPr="007E1ACA">
        <w:rPr>
          <w:rFonts w:cs="Arial"/>
          <w:noProof/>
          <w:szCs w:val="24"/>
        </w:rPr>
        <w:t>997</w:t>
      </w:r>
      <w:r w:rsidR="00786E0A" w:rsidRPr="007E1ACA">
        <w:rPr>
          <w:rFonts w:cs="Arial"/>
          <w:noProof/>
          <w:szCs w:val="24"/>
        </w:rPr>
        <w:t xml:space="preserve">, </w:t>
      </w:r>
      <w:r w:rsidRPr="007E1ACA">
        <w:rPr>
          <w:rFonts w:cs="Arial"/>
          <w:noProof/>
          <w:szCs w:val="24"/>
        </w:rPr>
        <w:t>Process for the purification of magnesium hydroxide</w:t>
      </w:r>
      <w:r w:rsidR="00786E0A" w:rsidRPr="007E1ACA">
        <w:rPr>
          <w:rFonts w:cs="Arial"/>
          <w:noProof/>
          <w:szCs w:val="24"/>
        </w:rPr>
        <w:t>. P</w:t>
      </w:r>
      <w:r w:rsidRPr="007E1ACA">
        <w:rPr>
          <w:rFonts w:cs="Arial"/>
          <w:noProof/>
          <w:szCs w:val="24"/>
        </w:rPr>
        <w:t>atents.google.com/patent/US5626825A/en</w:t>
      </w:r>
    </w:p>
    <w:p w14:paraId="7A5C79D7" w14:textId="3D990252" w:rsidR="00E139FB" w:rsidRPr="00734EDA" w:rsidRDefault="005A21B2" w:rsidP="00405058">
      <w:pPr>
        <w:widowControl w:val="0"/>
        <w:autoSpaceDE w:val="0"/>
        <w:autoSpaceDN w:val="0"/>
        <w:adjustRightInd w:val="0"/>
        <w:ind w:left="284" w:hanging="284"/>
        <w:rPr>
          <w:lang w:val="en-US"/>
        </w:rPr>
      </w:pPr>
      <w:r w:rsidRPr="007E1ACA">
        <w:fldChar w:fldCharType="end"/>
      </w:r>
    </w:p>
    <w:sectPr w:rsidR="00E139FB" w:rsidRPr="00734ED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1580" w14:textId="77777777" w:rsidR="00947157" w:rsidRDefault="00947157" w:rsidP="004F5E36">
      <w:r>
        <w:separator/>
      </w:r>
    </w:p>
  </w:endnote>
  <w:endnote w:type="continuationSeparator" w:id="0">
    <w:p w14:paraId="3DCD212F" w14:textId="77777777" w:rsidR="00947157" w:rsidRDefault="009471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2087" w14:textId="77777777" w:rsidR="00947157" w:rsidRDefault="00947157" w:rsidP="004F5E36">
      <w:r>
        <w:separator/>
      </w:r>
    </w:p>
  </w:footnote>
  <w:footnote w:type="continuationSeparator" w:id="0">
    <w:p w14:paraId="5C47DBFA" w14:textId="77777777" w:rsidR="00947157" w:rsidRDefault="009471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15E187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4869964">
    <w:abstractNumId w:val="10"/>
  </w:num>
  <w:num w:numId="2" w16cid:durableId="537159430">
    <w:abstractNumId w:val="8"/>
  </w:num>
  <w:num w:numId="3" w16cid:durableId="1348215429">
    <w:abstractNumId w:val="3"/>
  </w:num>
  <w:num w:numId="4" w16cid:durableId="2040276049">
    <w:abstractNumId w:val="2"/>
  </w:num>
  <w:num w:numId="5" w16cid:durableId="1498425586">
    <w:abstractNumId w:val="1"/>
  </w:num>
  <w:num w:numId="6" w16cid:durableId="217789833">
    <w:abstractNumId w:val="0"/>
  </w:num>
  <w:num w:numId="7" w16cid:durableId="322051690">
    <w:abstractNumId w:val="9"/>
  </w:num>
  <w:num w:numId="8" w16cid:durableId="1415861559">
    <w:abstractNumId w:val="7"/>
  </w:num>
  <w:num w:numId="9" w16cid:durableId="359623988">
    <w:abstractNumId w:val="6"/>
  </w:num>
  <w:num w:numId="10" w16cid:durableId="204102454">
    <w:abstractNumId w:val="5"/>
  </w:num>
  <w:num w:numId="11" w16cid:durableId="690298653">
    <w:abstractNumId w:val="4"/>
  </w:num>
  <w:num w:numId="12" w16cid:durableId="2065520306">
    <w:abstractNumId w:val="17"/>
  </w:num>
  <w:num w:numId="13" w16cid:durableId="2043895505">
    <w:abstractNumId w:val="12"/>
  </w:num>
  <w:num w:numId="14" w16cid:durableId="1501651594">
    <w:abstractNumId w:val="18"/>
  </w:num>
  <w:num w:numId="15" w16cid:durableId="1933587523">
    <w:abstractNumId w:val="20"/>
  </w:num>
  <w:num w:numId="16" w16cid:durableId="99838238">
    <w:abstractNumId w:val="19"/>
  </w:num>
  <w:num w:numId="17" w16cid:durableId="2087412617">
    <w:abstractNumId w:val="11"/>
  </w:num>
  <w:num w:numId="18" w16cid:durableId="1617982498">
    <w:abstractNumId w:val="12"/>
    <w:lvlOverride w:ilvl="0">
      <w:startOverride w:val="1"/>
    </w:lvlOverride>
  </w:num>
  <w:num w:numId="19" w16cid:durableId="1340697582">
    <w:abstractNumId w:val="16"/>
  </w:num>
  <w:num w:numId="20" w16cid:durableId="894898616">
    <w:abstractNumId w:val="15"/>
  </w:num>
  <w:num w:numId="21" w16cid:durableId="1728800462">
    <w:abstractNumId w:val="14"/>
  </w:num>
  <w:num w:numId="22" w16cid:durableId="1147622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2D"/>
    <w:rsid w:val="0000089F"/>
    <w:rsid w:val="00000A65"/>
    <w:rsid w:val="00000D80"/>
    <w:rsid w:val="00001A00"/>
    <w:rsid w:val="000027C0"/>
    <w:rsid w:val="000052FB"/>
    <w:rsid w:val="00005F6F"/>
    <w:rsid w:val="00007800"/>
    <w:rsid w:val="000117CB"/>
    <w:rsid w:val="00012707"/>
    <w:rsid w:val="000137F5"/>
    <w:rsid w:val="0001774D"/>
    <w:rsid w:val="00017D60"/>
    <w:rsid w:val="00020C5E"/>
    <w:rsid w:val="00021B66"/>
    <w:rsid w:val="00025698"/>
    <w:rsid w:val="00026547"/>
    <w:rsid w:val="00027026"/>
    <w:rsid w:val="00027C7A"/>
    <w:rsid w:val="00030AA5"/>
    <w:rsid w:val="00031488"/>
    <w:rsid w:val="0003148D"/>
    <w:rsid w:val="00031EEC"/>
    <w:rsid w:val="0003480E"/>
    <w:rsid w:val="00034C18"/>
    <w:rsid w:val="00036B9F"/>
    <w:rsid w:val="0003755C"/>
    <w:rsid w:val="00041439"/>
    <w:rsid w:val="0004252A"/>
    <w:rsid w:val="000428AE"/>
    <w:rsid w:val="000428E2"/>
    <w:rsid w:val="000432D9"/>
    <w:rsid w:val="00045CD6"/>
    <w:rsid w:val="00051566"/>
    <w:rsid w:val="00052D86"/>
    <w:rsid w:val="00054222"/>
    <w:rsid w:val="00054375"/>
    <w:rsid w:val="000627ED"/>
    <w:rsid w:val="00062A9A"/>
    <w:rsid w:val="00063920"/>
    <w:rsid w:val="00065058"/>
    <w:rsid w:val="000654A6"/>
    <w:rsid w:val="00066B07"/>
    <w:rsid w:val="00070B4A"/>
    <w:rsid w:val="00074243"/>
    <w:rsid w:val="00076213"/>
    <w:rsid w:val="00076694"/>
    <w:rsid w:val="00080290"/>
    <w:rsid w:val="00080C34"/>
    <w:rsid w:val="0008233C"/>
    <w:rsid w:val="0008512C"/>
    <w:rsid w:val="0008534C"/>
    <w:rsid w:val="00085B75"/>
    <w:rsid w:val="00086867"/>
    <w:rsid w:val="00086C39"/>
    <w:rsid w:val="000872EC"/>
    <w:rsid w:val="0009084E"/>
    <w:rsid w:val="00092267"/>
    <w:rsid w:val="00094353"/>
    <w:rsid w:val="00095C57"/>
    <w:rsid w:val="000A03B2"/>
    <w:rsid w:val="000A1038"/>
    <w:rsid w:val="000A1123"/>
    <w:rsid w:val="000A1A06"/>
    <w:rsid w:val="000A3C18"/>
    <w:rsid w:val="000A4E0D"/>
    <w:rsid w:val="000A7107"/>
    <w:rsid w:val="000B4ECF"/>
    <w:rsid w:val="000B760E"/>
    <w:rsid w:val="000C0655"/>
    <w:rsid w:val="000C12FA"/>
    <w:rsid w:val="000C2A37"/>
    <w:rsid w:val="000D0268"/>
    <w:rsid w:val="000D0359"/>
    <w:rsid w:val="000D0FEE"/>
    <w:rsid w:val="000D34BE"/>
    <w:rsid w:val="000D5121"/>
    <w:rsid w:val="000D56D6"/>
    <w:rsid w:val="000D6CE1"/>
    <w:rsid w:val="000D7309"/>
    <w:rsid w:val="000E0839"/>
    <w:rsid w:val="000E0D1A"/>
    <w:rsid w:val="000E102F"/>
    <w:rsid w:val="000E2404"/>
    <w:rsid w:val="000E36F1"/>
    <w:rsid w:val="000E3A73"/>
    <w:rsid w:val="000E414A"/>
    <w:rsid w:val="000E50AB"/>
    <w:rsid w:val="000E6701"/>
    <w:rsid w:val="000E6EA8"/>
    <w:rsid w:val="000E7040"/>
    <w:rsid w:val="000E75DA"/>
    <w:rsid w:val="000F01C6"/>
    <w:rsid w:val="000F093C"/>
    <w:rsid w:val="000F10BE"/>
    <w:rsid w:val="000F4068"/>
    <w:rsid w:val="000F5E00"/>
    <w:rsid w:val="000F5FD6"/>
    <w:rsid w:val="000F787B"/>
    <w:rsid w:val="0010373D"/>
    <w:rsid w:val="00103EAD"/>
    <w:rsid w:val="00104532"/>
    <w:rsid w:val="001050E1"/>
    <w:rsid w:val="00106C00"/>
    <w:rsid w:val="00106C6E"/>
    <w:rsid w:val="00107229"/>
    <w:rsid w:val="001078F9"/>
    <w:rsid w:val="001112D5"/>
    <w:rsid w:val="00111C99"/>
    <w:rsid w:val="0012091F"/>
    <w:rsid w:val="001231BC"/>
    <w:rsid w:val="00125CE9"/>
    <w:rsid w:val="00126BC2"/>
    <w:rsid w:val="0012702E"/>
    <w:rsid w:val="0012781B"/>
    <w:rsid w:val="00127FDF"/>
    <w:rsid w:val="001308B6"/>
    <w:rsid w:val="0013121F"/>
    <w:rsid w:val="00131FE6"/>
    <w:rsid w:val="001323C5"/>
    <w:rsid w:val="0013263F"/>
    <w:rsid w:val="001329C4"/>
    <w:rsid w:val="001331DF"/>
    <w:rsid w:val="00134473"/>
    <w:rsid w:val="00134B76"/>
    <w:rsid w:val="00134DE4"/>
    <w:rsid w:val="00135A07"/>
    <w:rsid w:val="00135A59"/>
    <w:rsid w:val="00136330"/>
    <w:rsid w:val="00136F13"/>
    <w:rsid w:val="00140288"/>
    <w:rsid w:val="0014034D"/>
    <w:rsid w:val="001418B8"/>
    <w:rsid w:val="0014482D"/>
    <w:rsid w:val="00144D16"/>
    <w:rsid w:val="0014592E"/>
    <w:rsid w:val="00145A31"/>
    <w:rsid w:val="00147E8E"/>
    <w:rsid w:val="00150E59"/>
    <w:rsid w:val="00151502"/>
    <w:rsid w:val="00152DE3"/>
    <w:rsid w:val="00152FB0"/>
    <w:rsid w:val="00154598"/>
    <w:rsid w:val="001547E9"/>
    <w:rsid w:val="00155594"/>
    <w:rsid w:val="001568A7"/>
    <w:rsid w:val="00157B90"/>
    <w:rsid w:val="0016015F"/>
    <w:rsid w:val="00161044"/>
    <w:rsid w:val="00161E02"/>
    <w:rsid w:val="0016368C"/>
    <w:rsid w:val="0016426F"/>
    <w:rsid w:val="00164A2B"/>
    <w:rsid w:val="00164C82"/>
    <w:rsid w:val="00164CF9"/>
    <w:rsid w:val="001654E6"/>
    <w:rsid w:val="0016578C"/>
    <w:rsid w:val="001667A6"/>
    <w:rsid w:val="00167776"/>
    <w:rsid w:val="00172459"/>
    <w:rsid w:val="00173C42"/>
    <w:rsid w:val="00173CD6"/>
    <w:rsid w:val="0018006F"/>
    <w:rsid w:val="001814AB"/>
    <w:rsid w:val="00181DC6"/>
    <w:rsid w:val="00182E0F"/>
    <w:rsid w:val="00184AD6"/>
    <w:rsid w:val="001856DC"/>
    <w:rsid w:val="001875E6"/>
    <w:rsid w:val="00187C62"/>
    <w:rsid w:val="00190B0B"/>
    <w:rsid w:val="00191DC2"/>
    <w:rsid w:val="00192299"/>
    <w:rsid w:val="00193D0A"/>
    <w:rsid w:val="00193D2A"/>
    <w:rsid w:val="0019488E"/>
    <w:rsid w:val="00194F73"/>
    <w:rsid w:val="001A0925"/>
    <w:rsid w:val="001A09F9"/>
    <w:rsid w:val="001A225C"/>
    <w:rsid w:val="001A2953"/>
    <w:rsid w:val="001A3C27"/>
    <w:rsid w:val="001A3D86"/>
    <w:rsid w:val="001A4726"/>
    <w:rsid w:val="001A4AF7"/>
    <w:rsid w:val="001A6716"/>
    <w:rsid w:val="001A7063"/>
    <w:rsid w:val="001A7529"/>
    <w:rsid w:val="001A7FAE"/>
    <w:rsid w:val="001B02A7"/>
    <w:rsid w:val="001B0349"/>
    <w:rsid w:val="001B1684"/>
    <w:rsid w:val="001B1E93"/>
    <w:rsid w:val="001B2A71"/>
    <w:rsid w:val="001B3041"/>
    <w:rsid w:val="001B57BA"/>
    <w:rsid w:val="001B65C1"/>
    <w:rsid w:val="001C45EC"/>
    <w:rsid w:val="001C4721"/>
    <w:rsid w:val="001C608B"/>
    <w:rsid w:val="001C684B"/>
    <w:rsid w:val="001C78D7"/>
    <w:rsid w:val="001D020D"/>
    <w:rsid w:val="001D0A42"/>
    <w:rsid w:val="001D0CFB"/>
    <w:rsid w:val="001D21AF"/>
    <w:rsid w:val="001D3858"/>
    <w:rsid w:val="001D53FC"/>
    <w:rsid w:val="001D696F"/>
    <w:rsid w:val="001D786D"/>
    <w:rsid w:val="001E1909"/>
    <w:rsid w:val="001E1971"/>
    <w:rsid w:val="001E3644"/>
    <w:rsid w:val="001E3B85"/>
    <w:rsid w:val="001E6003"/>
    <w:rsid w:val="001E60FC"/>
    <w:rsid w:val="001F41B1"/>
    <w:rsid w:val="001F42A5"/>
    <w:rsid w:val="001F5F33"/>
    <w:rsid w:val="001F76E0"/>
    <w:rsid w:val="001F7B9D"/>
    <w:rsid w:val="0020156B"/>
    <w:rsid w:val="00201C93"/>
    <w:rsid w:val="002020FA"/>
    <w:rsid w:val="00204A19"/>
    <w:rsid w:val="00204B7A"/>
    <w:rsid w:val="00204F71"/>
    <w:rsid w:val="002058E5"/>
    <w:rsid w:val="00206487"/>
    <w:rsid w:val="00206932"/>
    <w:rsid w:val="0020781B"/>
    <w:rsid w:val="00210557"/>
    <w:rsid w:val="00214142"/>
    <w:rsid w:val="00214D74"/>
    <w:rsid w:val="002155FB"/>
    <w:rsid w:val="00215640"/>
    <w:rsid w:val="00217A5A"/>
    <w:rsid w:val="00217F0B"/>
    <w:rsid w:val="00220245"/>
    <w:rsid w:val="0022060F"/>
    <w:rsid w:val="002215D5"/>
    <w:rsid w:val="002223FC"/>
    <w:rsid w:val="002224B4"/>
    <w:rsid w:val="002227CA"/>
    <w:rsid w:val="00222A74"/>
    <w:rsid w:val="00223535"/>
    <w:rsid w:val="00225552"/>
    <w:rsid w:val="00231498"/>
    <w:rsid w:val="00231A8D"/>
    <w:rsid w:val="00232E8F"/>
    <w:rsid w:val="00233978"/>
    <w:rsid w:val="002351AC"/>
    <w:rsid w:val="00237457"/>
    <w:rsid w:val="00240C7E"/>
    <w:rsid w:val="00241A06"/>
    <w:rsid w:val="00243135"/>
    <w:rsid w:val="002447EF"/>
    <w:rsid w:val="00245297"/>
    <w:rsid w:val="00245749"/>
    <w:rsid w:val="00245A62"/>
    <w:rsid w:val="00246763"/>
    <w:rsid w:val="00251074"/>
    <w:rsid w:val="00251550"/>
    <w:rsid w:val="0025216B"/>
    <w:rsid w:val="002525B8"/>
    <w:rsid w:val="00252F70"/>
    <w:rsid w:val="00260006"/>
    <w:rsid w:val="002610A6"/>
    <w:rsid w:val="00263B05"/>
    <w:rsid w:val="002647C4"/>
    <w:rsid w:val="00265F5B"/>
    <w:rsid w:val="00267179"/>
    <w:rsid w:val="00267CE9"/>
    <w:rsid w:val="0027221A"/>
    <w:rsid w:val="00272EC1"/>
    <w:rsid w:val="00273101"/>
    <w:rsid w:val="00275B61"/>
    <w:rsid w:val="00280927"/>
    <w:rsid w:val="00280FAF"/>
    <w:rsid w:val="0028195A"/>
    <w:rsid w:val="00282656"/>
    <w:rsid w:val="0028318F"/>
    <w:rsid w:val="002850BC"/>
    <w:rsid w:val="00286E7E"/>
    <w:rsid w:val="00287F23"/>
    <w:rsid w:val="00292439"/>
    <w:rsid w:val="00292CE1"/>
    <w:rsid w:val="00294666"/>
    <w:rsid w:val="00296B83"/>
    <w:rsid w:val="002A226D"/>
    <w:rsid w:val="002A2596"/>
    <w:rsid w:val="002A26E3"/>
    <w:rsid w:val="002A374B"/>
    <w:rsid w:val="002A3E23"/>
    <w:rsid w:val="002A4532"/>
    <w:rsid w:val="002A4CD0"/>
    <w:rsid w:val="002A5B71"/>
    <w:rsid w:val="002A691E"/>
    <w:rsid w:val="002A6E83"/>
    <w:rsid w:val="002A73F8"/>
    <w:rsid w:val="002A7563"/>
    <w:rsid w:val="002A794E"/>
    <w:rsid w:val="002B014A"/>
    <w:rsid w:val="002B06EF"/>
    <w:rsid w:val="002B0F5C"/>
    <w:rsid w:val="002B4015"/>
    <w:rsid w:val="002B43BD"/>
    <w:rsid w:val="002B5248"/>
    <w:rsid w:val="002B5560"/>
    <w:rsid w:val="002B6ACA"/>
    <w:rsid w:val="002B78CE"/>
    <w:rsid w:val="002B796E"/>
    <w:rsid w:val="002C2FB6"/>
    <w:rsid w:val="002C4A59"/>
    <w:rsid w:val="002C5039"/>
    <w:rsid w:val="002C5305"/>
    <w:rsid w:val="002C646F"/>
    <w:rsid w:val="002C71AD"/>
    <w:rsid w:val="002D26BB"/>
    <w:rsid w:val="002D303A"/>
    <w:rsid w:val="002D3693"/>
    <w:rsid w:val="002D5D1A"/>
    <w:rsid w:val="002D6801"/>
    <w:rsid w:val="002D68E0"/>
    <w:rsid w:val="002E11A6"/>
    <w:rsid w:val="002E5FA7"/>
    <w:rsid w:val="002E78C9"/>
    <w:rsid w:val="002F0FFF"/>
    <w:rsid w:val="002F242E"/>
    <w:rsid w:val="002F3309"/>
    <w:rsid w:val="002F3A36"/>
    <w:rsid w:val="002F5815"/>
    <w:rsid w:val="002F6C19"/>
    <w:rsid w:val="002F799B"/>
    <w:rsid w:val="003008CE"/>
    <w:rsid w:val="003009B7"/>
    <w:rsid w:val="00300AA0"/>
    <w:rsid w:val="00300E56"/>
    <w:rsid w:val="00302DC3"/>
    <w:rsid w:val="003036D7"/>
    <w:rsid w:val="0030469C"/>
    <w:rsid w:val="00304DCD"/>
    <w:rsid w:val="00313418"/>
    <w:rsid w:val="00315DD7"/>
    <w:rsid w:val="0032084D"/>
    <w:rsid w:val="0032099F"/>
    <w:rsid w:val="00321CA6"/>
    <w:rsid w:val="00323763"/>
    <w:rsid w:val="003241F8"/>
    <w:rsid w:val="00324435"/>
    <w:rsid w:val="003252A3"/>
    <w:rsid w:val="00325F83"/>
    <w:rsid w:val="00326798"/>
    <w:rsid w:val="00326DD4"/>
    <w:rsid w:val="00330548"/>
    <w:rsid w:val="003316E8"/>
    <w:rsid w:val="00332BBC"/>
    <w:rsid w:val="00333E46"/>
    <w:rsid w:val="0033457E"/>
    <w:rsid w:val="00334725"/>
    <w:rsid w:val="00334C09"/>
    <w:rsid w:val="003358C3"/>
    <w:rsid w:val="00335A42"/>
    <w:rsid w:val="003368D9"/>
    <w:rsid w:val="0033754B"/>
    <w:rsid w:val="00337C8A"/>
    <w:rsid w:val="00341B0F"/>
    <w:rsid w:val="00345AD8"/>
    <w:rsid w:val="0034789D"/>
    <w:rsid w:val="00347AE2"/>
    <w:rsid w:val="003503A2"/>
    <w:rsid w:val="003559D7"/>
    <w:rsid w:val="00356B4B"/>
    <w:rsid w:val="00361F0E"/>
    <w:rsid w:val="0036340B"/>
    <w:rsid w:val="003635B4"/>
    <w:rsid w:val="00370B1E"/>
    <w:rsid w:val="003723D4"/>
    <w:rsid w:val="003734B7"/>
    <w:rsid w:val="0037409D"/>
    <w:rsid w:val="00376167"/>
    <w:rsid w:val="0037688D"/>
    <w:rsid w:val="0037791D"/>
    <w:rsid w:val="00381905"/>
    <w:rsid w:val="00382A72"/>
    <w:rsid w:val="00384798"/>
    <w:rsid w:val="00384CC8"/>
    <w:rsid w:val="0038509E"/>
    <w:rsid w:val="003857FB"/>
    <w:rsid w:val="00385F7C"/>
    <w:rsid w:val="0038698E"/>
    <w:rsid w:val="00387007"/>
    <w:rsid w:val="003871FD"/>
    <w:rsid w:val="00387855"/>
    <w:rsid w:val="00387AEC"/>
    <w:rsid w:val="0039005F"/>
    <w:rsid w:val="00391CC7"/>
    <w:rsid w:val="00392571"/>
    <w:rsid w:val="0039350B"/>
    <w:rsid w:val="003971D0"/>
    <w:rsid w:val="003A086C"/>
    <w:rsid w:val="003A1E30"/>
    <w:rsid w:val="003A2829"/>
    <w:rsid w:val="003A5FCE"/>
    <w:rsid w:val="003A7D1C"/>
    <w:rsid w:val="003B08FE"/>
    <w:rsid w:val="003B0B4E"/>
    <w:rsid w:val="003B2449"/>
    <w:rsid w:val="003B304B"/>
    <w:rsid w:val="003B3146"/>
    <w:rsid w:val="003B3924"/>
    <w:rsid w:val="003B3E2B"/>
    <w:rsid w:val="003B4743"/>
    <w:rsid w:val="003B4A70"/>
    <w:rsid w:val="003B555A"/>
    <w:rsid w:val="003B578E"/>
    <w:rsid w:val="003B6DAE"/>
    <w:rsid w:val="003C04C7"/>
    <w:rsid w:val="003C0DDE"/>
    <w:rsid w:val="003C0FB6"/>
    <w:rsid w:val="003C1229"/>
    <w:rsid w:val="003C51E1"/>
    <w:rsid w:val="003C5CE3"/>
    <w:rsid w:val="003C73E1"/>
    <w:rsid w:val="003D6153"/>
    <w:rsid w:val="003D6755"/>
    <w:rsid w:val="003E1AFF"/>
    <w:rsid w:val="003E2039"/>
    <w:rsid w:val="003E3CF0"/>
    <w:rsid w:val="003E44ED"/>
    <w:rsid w:val="003E6D5F"/>
    <w:rsid w:val="003F015E"/>
    <w:rsid w:val="003F1C1F"/>
    <w:rsid w:val="003F1C6F"/>
    <w:rsid w:val="003F238E"/>
    <w:rsid w:val="003F2F0C"/>
    <w:rsid w:val="003F4B52"/>
    <w:rsid w:val="003F64D6"/>
    <w:rsid w:val="003F6DE7"/>
    <w:rsid w:val="00400414"/>
    <w:rsid w:val="004009B1"/>
    <w:rsid w:val="00401C52"/>
    <w:rsid w:val="00401D09"/>
    <w:rsid w:val="004023A6"/>
    <w:rsid w:val="00402567"/>
    <w:rsid w:val="00403187"/>
    <w:rsid w:val="00405058"/>
    <w:rsid w:val="0041109F"/>
    <w:rsid w:val="00411939"/>
    <w:rsid w:val="00411957"/>
    <w:rsid w:val="00411EF7"/>
    <w:rsid w:val="00412C85"/>
    <w:rsid w:val="00413F2F"/>
    <w:rsid w:val="0041446B"/>
    <w:rsid w:val="00414A53"/>
    <w:rsid w:val="004156B0"/>
    <w:rsid w:val="00417B15"/>
    <w:rsid w:val="00417E93"/>
    <w:rsid w:val="00420995"/>
    <w:rsid w:val="004217F5"/>
    <w:rsid w:val="004218BC"/>
    <w:rsid w:val="00421E7B"/>
    <w:rsid w:val="00422318"/>
    <w:rsid w:val="004229D2"/>
    <w:rsid w:val="00422A82"/>
    <w:rsid w:val="00424260"/>
    <w:rsid w:val="0042438E"/>
    <w:rsid w:val="00424A2C"/>
    <w:rsid w:val="0042692E"/>
    <w:rsid w:val="00432C2A"/>
    <w:rsid w:val="0044071E"/>
    <w:rsid w:val="00440E9E"/>
    <w:rsid w:val="004411DF"/>
    <w:rsid w:val="004417D6"/>
    <w:rsid w:val="0044329C"/>
    <w:rsid w:val="004468D4"/>
    <w:rsid w:val="004527C0"/>
    <w:rsid w:val="00453566"/>
    <w:rsid w:val="00453E24"/>
    <w:rsid w:val="00453F61"/>
    <w:rsid w:val="00454CB0"/>
    <w:rsid w:val="00455383"/>
    <w:rsid w:val="00456377"/>
    <w:rsid w:val="00457456"/>
    <w:rsid w:val="004577FE"/>
    <w:rsid w:val="00457B9C"/>
    <w:rsid w:val="00460B3A"/>
    <w:rsid w:val="004614F9"/>
    <w:rsid w:val="0046164A"/>
    <w:rsid w:val="004627E5"/>
    <w:rsid w:val="004628D2"/>
    <w:rsid w:val="00462C9C"/>
    <w:rsid w:val="00462DCD"/>
    <w:rsid w:val="004648AD"/>
    <w:rsid w:val="00466594"/>
    <w:rsid w:val="004668B3"/>
    <w:rsid w:val="00467229"/>
    <w:rsid w:val="00467246"/>
    <w:rsid w:val="00467851"/>
    <w:rsid w:val="004703A9"/>
    <w:rsid w:val="00474EB8"/>
    <w:rsid w:val="004760DE"/>
    <w:rsid w:val="004763D7"/>
    <w:rsid w:val="00480DFA"/>
    <w:rsid w:val="00483B37"/>
    <w:rsid w:val="00483BF0"/>
    <w:rsid w:val="00484887"/>
    <w:rsid w:val="00485CE8"/>
    <w:rsid w:val="0048784E"/>
    <w:rsid w:val="00491390"/>
    <w:rsid w:val="00491BB2"/>
    <w:rsid w:val="00492C52"/>
    <w:rsid w:val="00493956"/>
    <w:rsid w:val="00495B5D"/>
    <w:rsid w:val="00495DC9"/>
    <w:rsid w:val="00497EF4"/>
    <w:rsid w:val="004A004E"/>
    <w:rsid w:val="004A0955"/>
    <w:rsid w:val="004A10E3"/>
    <w:rsid w:val="004A24CF"/>
    <w:rsid w:val="004A2A25"/>
    <w:rsid w:val="004A3688"/>
    <w:rsid w:val="004A48E4"/>
    <w:rsid w:val="004A4A1B"/>
    <w:rsid w:val="004A6E7B"/>
    <w:rsid w:val="004A71D7"/>
    <w:rsid w:val="004B214C"/>
    <w:rsid w:val="004B6FFF"/>
    <w:rsid w:val="004B7FBE"/>
    <w:rsid w:val="004C1F31"/>
    <w:rsid w:val="004C32A1"/>
    <w:rsid w:val="004C3C0C"/>
    <w:rsid w:val="004C3D1D"/>
    <w:rsid w:val="004C3D84"/>
    <w:rsid w:val="004C3EFC"/>
    <w:rsid w:val="004C5A69"/>
    <w:rsid w:val="004C5E11"/>
    <w:rsid w:val="004C6CD2"/>
    <w:rsid w:val="004C71D8"/>
    <w:rsid w:val="004C7913"/>
    <w:rsid w:val="004C7A42"/>
    <w:rsid w:val="004D17D8"/>
    <w:rsid w:val="004D4317"/>
    <w:rsid w:val="004E0F86"/>
    <w:rsid w:val="004E25B0"/>
    <w:rsid w:val="004E327B"/>
    <w:rsid w:val="004E34C2"/>
    <w:rsid w:val="004E369E"/>
    <w:rsid w:val="004E4678"/>
    <w:rsid w:val="004E4DD6"/>
    <w:rsid w:val="004E55F4"/>
    <w:rsid w:val="004E6532"/>
    <w:rsid w:val="004E66F4"/>
    <w:rsid w:val="004E735D"/>
    <w:rsid w:val="004F51C0"/>
    <w:rsid w:val="004F5B5A"/>
    <w:rsid w:val="004F5E36"/>
    <w:rsid w:val="004F65F7"/>
    <w:rsid w:val="004F6BF8"/>
    <w:rsid w:val="004F6CB1"/>
    <w:rsid w:val="004F7FD9"/>
    <w:rsid w:val="00503875"/>
    <w:rsid w:val="005038EF"/>
    <w:rsid w:val="0050427A"/>
    <w:rsid w:val="005042D5"/>
    <w:rsid w:val="00506D86"/>
    <w:rsid w:val="00507B47"/>
    <w:rsid w:val="00507BEF"/>
    <w:rsid w:val="00507CC9"/>
    <w:rsid w:val="005114DD"/>
    <w:rsid w:val="005119A5"/>
    <w:rsid w:val="00513534"/>
    <w:rsid w:val="00513994"/>
    <w:rsid w:val="00515966"/>
    <w:rsid w:val="00517B39"/>
    <w:rsid w:val="0052031D"/>
    <w:rsid w:val="00520710"/>
    <w:rsid w:val="00522507"/>
    <w:rsid w:val="00523D6A"/>
    <w:rsid w:val="005242C4"/>
    <w:rsid w:val="00524AB3"/>
    <w:rsid w:val="00524FF4"/>
    <w:rsid w:val="005259A0"/>
    <w:rsid w:val="005270D5"/>
    <w:rsid w:val="0052715F"/>
    <w:rsid w:val="005278B7"/>
    <w:rsid w:val="0052796D"/>
    <w:rsid w:val="005304CB"/>
    <w:rsid w:val="00530B00"/>
    <w:rsid w:val="00530B87"/>
    <w:rsid w:val="00532016"/>
    <w:rsid w:val="005346C8"/>
    <w:rsid w:val="0053558A"/>
    <w:rsid w:val="00535ABC"/>
    <w:rsid w:val="00540456"/>
    <w:rsid w:val="005409DC"/>
    <w:rsid w:val="005427D6"/>
    <w:rsid w:val="00542FAA"/>
    <w:rsid w:val="00543298"/>
    <w:rsid w:val="00543E7D"/>
    <w:rsid w:val="005441D3"/>
    <w:rsid w:val="005444FB"/>
    <w:rsid w:val="005448A1"/>
    <w:rsid w:val="00545943"/>
    <w:rsid w:val="00546D6F"/>
    <w:rsid w:val="00547298"/>
    <w:rsid w:val="00547A68"/>
    <w:rsid w:val="00551B99"/>
    <w:rsid w:val="00551EDA"/>
    <w:rsid w:val="005527EF"/>
    <w:rsid w:val="005528EA"/>
    <w:rsid w:val="005531C9"/>
    <w:rsid w:val="005532E7"/>
    <w:rsid w:val="005552D3"/>
    <w:rsid w:val="00556B0E"/>
    <w:rsid w:val="00560124"/>
    <w:rsid w:val="00561B76"/>
    <w:rsid w:val="00562F3A"/>
    <w:rsid w:val="00563B95"/>
    <w:rsid w:val="00564115"/>
    <w:rsid w:val="00566910"/>
    <w:rsid w:val="00567235"/>
    <w:rsid w:val="00567BA1"/>
    <w:rsid w:val="00570C43"/>
    <w:rsid w:val="00570D0A"/>
    <w:rsid w:val="0057163D"/>
    <w:rsid w:val="00572264"/>
    <w:rsid w:val="0057261F"/>
    <w:rsid w:val="005748CD"/>
    <w:rsid w:val="005762AA"/>
    <w:rsid w:val="00577AA4"/>
    <w:rsid w:val="005804F3"/>
    <w:rsid w:val="005808F1"/>
    <w:rsid w:val="00580FC8"/>
    <w:rsid w:val="005835F7"/>
    <w:rsid w:val="00583B58"/>
    <w:rsid w:val="00585D49"/>
    <w:rsid w:val="0058614A"/>
    <w:rsid w:val="00590395"/>
    <w:rsid w:val="005922A7"/>
    <w:rsid w:val="00593250"/>
    <w:rsid w:val="00596100"/>
    <w:rsid w:val="00596AAE"/>
    <w:rsid w:val="00597A43"/>
    <w:rsid w:val="005A083B"/>
    <w:rsid w:val="005A21B2"/>
    <w:rsid w:val="005A2DE2"/>
    <w:rsid w:val="005A3281"/>
    <w:rsid w:val="005A4BDE"/>
    <w:rsid w:val="005B2110"/>
    <w:rsid w:val="005B3A0A"/>
    <w:rsid w:val="005B5907"/>
    <w:rsid w:val="005B61E6"/>
    <w:rsid w:val="005B63A1"/>
    <w:rsid w:val="005C0973"/>
    <w:rsid w:val="005C0EB6"/>
    <w:rsid w:val="005C107F"/>
    <w:rsid w:val="005C130B"/>
    <w:rsid w:val="005C2858"/>
    <w:rsid w:val="005C4C66"/>
    <w:rsid w:val="005C53D0"/>
    <w:rsid w:val="005C77E1"/>
    <w:rsid w:val="005C7BA3"/>
    <w:rsid w:val="005D0B14"/>
    <w:rsid w:val="005D1643"/>
    <w:rsid w:val="005D2057"/>
    <w:rsid w:val="005D2649"/>
    <w:rsid w:val="005D2A04"/>
    <w:rsid w:val="005D311E"/>
    <w:rsid w:val="005D37A3"/>
    <w:rsid w:val="005D37F1"/>
    <w:rsid w:val="005D3966"/>
    <w:rsid w:val="005D3B29"/>
    <w:rsid w:val="005D4EF5"/>
    <w:rsid w:val="005D5AE5"/>
    <w:rsid w:val="005D65E3"/>
    <w:rsid w:val="005D668A"/>
    <w:rsid w:val="005D6A2F"/>
    <w:rsid w:val="005D792E"/>
    <w:rsid w:val="005E1A82"/>
    <w:rsid w:val="005E794C"/>
    <w:rsid w:val="005F0A28"/>
    <w:rsid w:val="005F0DE9"/>
    <w:rsid w:val="005F0E5E"/>
    <w:rsid w:val="005F1260"/>
    <w:rsid w:val="005F1C8B"/>
    <w:rsid w:val="005F285A"/>
    <w:rsid w:val="005F4793"/>
    <w:rsid w:val="005F58EF"/>
    <w:rsid w:val="005F5EA3"/>
    <w:rsid w:val="005F72E1"/>
    <w:rsid w:val="00600535"/>
    <w:rsid w:val="006012FE"/>
    <w:rsid w:val="006032CF"/>
    <w:rsid w:val="00603B0B"/>
    <w:rsid w:val="00603F45"/>
    <w:rsid w:val="00604BD9"/>
    <w:rsid w:val="00604F2E"/>
    <w:rsid w:val="00605203"/>
    <w:rsid w:val="00606347"/>
    <w:rsid w:val="00606513"/>
    <w:rsid w:val="006107B1"/>
    <w:rsid w:val="00610CD6"/>
    <w:rsid w:val="0061222A"/>
    <w:rsid w:val="00612A2B"/>
    <w:rsid w:val="00615455"/>
    <w:rsid w:val="006175F3"/>
    <w:rsid w:val="00620DEE"/>
    <w:rsid w:val="00621EA4"/>
    <w:rsid w:val="00621F92"/>
    <w:rsid w:val="00622046"/>
    <w:rsid w:val="0062280A"/>
    <w:rsid w:val="00623627"/>
    <w:rsid w:val="00625639"/>
    <w:rsid w:val="0062580B"/>
    <w:rsid w:val="00625F27"/>
    <w:rsid w:val="006262C4"/>
    <w:rsid w:val="00626B7C"/>
    <w:rsid w:val="006305AE"/>
    <w:rsid w:val="00631214"/>
    <w:rsid w:val="00631B33"/>
    <w:rsid w:val="00634378"/>
    <w:rsid w:val="00634C9A"/>
    <w:rsid w:val="00640D98"/>
    <w:rsid w:val="00640DCD"/>
    <w:rsid w:val="0064184D"/>
    <w:rsid w:val="006422CC"/>
    <w:rsid w:val="00642743"/>
    <w:rsid w:val="00645F4A"/>
    <w:rsid w:val="00646AFD"/>
    <w:rsid w:val="0065166B"/>
    <w:rsid w:val="00653039"/>
    <w:rsid w:val="0065367C"/>
    <w:rsid w:val="00654419"/>
    <w:rsid w:val="00655638"/>
    <w:rsid w:val="00655C2A"/>
    <w:rsid w:val="006579F8"/>
    <w:rsid w:val="006607D0"/>
    <w:rsid w:val="00660DB5"/>
    <w:rsid w:val="00660E3E"/>
    <w:rsid w:val="00661C07"/>
    <w:rsid w:val="00662E74"/>
    <w:rsid w:val="00665577"/>
    <w:rsid w:val="00671FB4"/>
    <w:rsid w:val="0067317E"/>
    <w:rsid w:val="0067453B"/>
    <w:rsid w:val="00680C23"/>
    <w:rsid w:val="00683528"/>
    <w:rsid w:val="00683ABE"/>
    <w:rsid w:val="00686B40"/>
    <w:rsid w:val="00692A68"/>
    <w:rsid w:val="00693766"/>
    <w:rsid w:val="00693D3E"/>
    <w:rsid w:val="00694EE7"/>
    <w:rsid w:val="00697AB3"/>
    <w:rsid w:val="00697AD5"/>
    <w:rsid w:val="006A25C3"/>
    <w:rsid w:val="006A3281"/>
    <w:rsid w:val="006A6341"/>
    <w:rsid w:val="006A642F"/>
    <w:rsid w:val="006A684F"/>
    <w:rsid w:val="006A6B61"/>
    <w:rsid w:val="006A786E"/>
    <w:rsid w:val="006B00C4"/>
    <w:rsid w:val="006B291A"/>
    <w:rsid w:val="006B29F5"/>
    <w:rsid w:val="006B4888"/>
    <w:rsid w:val="006B5D77"/>
    <w:rsid w:val="006B6BED"/>
    <w:rsid w:val="006C0678"/>
    <w:rsid w:val="006C2E45"/>
    <w:rsid w:val="006C359C"/>
    <w:rsid w:val="006C498F"/>
    <w:rsid w:val="006C5579"/>
    <w:rsid w:val="006C7470"/>
    <w:rsid w:val="006C74D4"/>
    <w:rsid w:val="006D5542"/>
    <w:rsid w:val="006D68E6"/>
    <w:rsid w:val="006D6E8B"/>
    <w:rsid w:val="006D754E"/>
    <w:rsid w:val="006E0134"/>
    <w:rsid w:val="006E407C"/>
    <w:rsid w:val="006E4309"/>
    <w:rsid w:val="006E6106"/>
    <w:rsid w:val="006E6149"/>
    <w:rsid w:val="006E737D"/>
    <w:rsid w:val="006F10C0"/>
    <w:rsid w:val="006F1308"/>
    <w:rsid w:val="006F4F7F"/>
    <w:rsid w:val="006F590B"/>
    <w:rsid w:val="00700185"/>
    <w:rsid w:val="00700542"/>
    <w:rsid w:val="007019B8"/>
    <w:rsid w:val="00704DB5"/>
    <w:rsid w:val="00705331"/>
    <w:rsid w:val="0070741A"/>
    <w:rsid w:val="0071113C"/>
    <w:rsid w:val="00711F81"/>
    <w:rsid w:val="00712286"/>
    <w:rsid w:val="00712A70"/>
    <w:rsid w:val="00713213"/>
    <w:rsid w:val="00713973"/>
    <w:rsid w:val="007139D3"/>
    <w:rsid w:val="00713FC2"/>
    <w:rsid w:val="00713FFC"/>
    <w:rsid w:val="00714487"/>
    <w:rsid w:val="00715E51"/>
    <w:rsid w:val="0072060F"/>
    <w:rsid w:val="00720A24"/>
    <w:rsid w:val="00721C20"/>
    <w:rsid w:val="00722319"/>
    <w:rsid w:val="00724B2B"/>
    <w:rsid w:val="00725513"/>
    <w:rsid w:val="00726A4E"/>
    <w:rsid w:val="00730E84"/>
    <w:rsid w:val="0073143D"/>
    <w:rsid w:val="0073219B"/>
    <w:rsid w:val="00732386"/>
    <w:rsid w:val="00732AA2"/>
    <w:rsid w:val="00732AEA"/>
    <w:rsid w:val="00732EB5"/>
    <w:rsid w:val="007334F6"/>
    <w:rsid w:val="00733DDC"/>
    <w:rsid w:val="00734EDA"/>
    <w:rsid w:val="0073514D"/>
    <w:rsid w:val="00735591"/>
    <w:rsid w:val="0073676B"/>
    <w:rsid w:val="007407B9"/>
    <w:rsid w:val="007408B0"/>
    <w:rsid w:val="00740D26"/>
    <w:rsid w:val="00742EE7"/>
    <w:rsid w:val="00743BB7"/>
    <w:rsid w:val="0074455F"/>
    <w:rsid w:val="007447F3"/>
    <w:rsid w:val="00747F19"/>
    <w:rsid w:val="007506E5"/>
    <w:rsid w:val="00751B2D"/>
    <w:rsid w:val="00752F95"/>
    <w:rsid w:val="00753621"/>
    <w:rsid w:val="0075499F"/>
    <w:rsid w:val="0075583D"/>
    <w:rsid w:val="00757876"/>
    <w:rsid w:val="00757994"/>
    <w:rsid w:val="00757CEA"/>
    <w:rsid w:val="00757D02"/>
    <w:rsid w:val="007619F2"/>
    <w:rsid w:val="0076320E"/>
    <w:rsid w:val="00763FC1"/>
    <w:rsid w:val="00764D94"/>
    <w:rsid w:val="0076593E"/>
    <w:rsid w:val="007661C8"/>
    <w:rsid w:val="00767444"/>
    <w:rsid w:val="0076756B"/>
    <w:rsid w:val="007679C8"/>
    <w:rsid w:val="00767D0E"/>
    <w:rsid w:val="00767FBB"/>
    <w:rsid w:val="007704A4"/>
    <w:rsid w:val="0077098D"/>
    <w:rsid w:val="00771263"/>
    <w:rsid w:val="007721EC"/>
    <w:rsid w:val="00775CE5"/>
    <w:rsid w:val="00776A90"/>
    <w:rsid w:val="00777F78"/>
    <w:rsid w:val="00780634"/>
    <w:rsid w:val="0078173F"/>
    <w:rsid w:val="007817AB"/>
    <w:rsid w:val="00783368"/>
    <w:rsid w:val="00786E0A"/>
    <w:rsid w:val="007878F0"/>
    <w:rsid w:val="0079074C"/>
    <w:rsid w:val="007921E6"/>
    <w:rsid w:val="00792B91"/>
    <w:rsid w:val="007931FA"/>
    <w:rsid w:val="007955DD"/>
    <w:rsid w:val="00796934"/>
    <w:rsid w:val="00797477"/>
    <w:rsid w:val="007A3304"/>
    <w:rsid w:val="007A4861"/>
    <w:rsid w:val="007A597B"/>
    <w:rsid w:val="007A6D31"/>
    <w:rsid w:val="007A7688"/>
    <w:rsid w:val="007A7BBA"/>
    <w:rsid w:val="007B0C50"/>
    <w:rsid w:val="007B3152"/>
    <w:rsid w:val="007B3306"/>
    <w:rsid w:val="007B48F9"/>
    <w:rsid w:val="007B4A1F"/>
    <w:rsid w:val="007B521F"/>
    <w:rsid w:val="007C1A43"/>
    <w:rsid w:val="007C27B8"/>
    <w:rsid w:val="007C302B"/>
    <w:rsid w:val="007C5172"/>
    <w:rsid w:val="007C57C2"/>
    <w:rsid w:val="007C5B64"/>
    <w:rsid w:val="007C71C1"/>
    <w:rsid w:val="007D10D2"/>
    <w:rsid w:val="007D2142"/>
    <w:rsid w:val="007D2296"/>
    <w:rsid w:val="007E1024"/>
    <w:rsid w:val="007E1ACA"/>
    <w:rsid w:val="007E31B4"/>
    <w:rsid w:val="007E6385"/>
    <w:rsid w:val="007F1C04"/>
    <w:rsid w:val="007F37F6"/>
    <w:rsid w:val="007F395E"/>
    <w:rsid w:val="007F4652"/>
    <w:rsid w:val="007F4779"/>
    <w:rsid w:val="007F47D5"/>
    <w:rsid w:val="007F6282"/>
    <w:rsid w:val="007F6494"/>
    <w:rsid w:val="007F6A4E"/>
    <w:rsid w:val="007F79DB"/>
    <w:rsid w:val="0080013E"/>
    <w:rsid w:val="0080199A"/>
    <w:rsid w:val="00801E42"/>
    <w:rsid w:val="0080318E"/>
    <w:rsid w:val="0080384D"/>
    <w:rsid w:val="00803D91"/>
    <w:rsid w:val="008043B2"/>
    <w:rsid w:val="008059A1"/>
    <w:rsid w:val="0080616A"/>
    <w:rsid w:val="00807E86"/>
    <w:rsid w:val="0081065E"/>
    <w:rsid w:val="008107C1"/>
    <w:rsid w:val="00811882"/>
    <w:rsid w:val="00811BD5"/>
    <w:rsid w:val="00811D19"/>
    <w:rsid w:val="00812B2D"/>
    <w:rsid w:val="00813288"/>
    <w:rsid w:val="008168FC"/>
    <w:rsid w:val="00816E73"/>
    <w:rsid w:val="008214F0"/>
    <w:rsid w:val="00822266"/>
    <w:rsid w:val="00822405"/>
    <w:rsid w:val="008249DA"/>
    <w:rsid w:val="008268A3"/>
    <w:rsid w:val="008274A6"/>
    <w:rsid w:val="00827FFC"/>
    <w:rsid w:val="008303D0"/>
    <w:rsid w:val="00830561"/>
    <w:rsid w:val="00830927"/>
    <w:rsid w:val="00830996"/>
    <w:rsid w:val="008318BF"/>
    <w:rsid w:val="00831EB6"/>
    <w:rsid w:val="008345F1"/>
    <w:rsid w:val="008369D4"/>
    <w:rsid w:val="00844885"/>
    <w:rsid w:val="0084488E"/>
    <w:rsid w:val="00845EC6"/>
    <w:rsid w:val="00847F9C"/>
    <w:rsid w:val="00851CF7"/>
    <w:rsid w:val="00853223"/>
    <w:rsid w:val="008535C5"/>
    <w:rsid w:val="00853E70"/>
    <w:rsid w:val="0085642E"/>
    <w:rsid w:val="00860105"/>
    <w:rsid w:val="0086414A"/>
    <w:rsid w:val="0086462C"/>
    <w:rsid w:val="00864C65"/>
    <w:rsid w:val="00865B07"/>
    <w:rsid w:val="008667EA"/>
    <w:rsid w:val="00867A2B"/>
    <w:rsid w:val="00872E23"/>
    <w:rsid w:val="008733AD"/>
    <w:rsid w:val="00875459"/>
    <w:rsid w:val="0087618D"/>
    <w:rsid w:val="0087637F"/>
    <w:rsid w:val="00876805"/>
    <w:rsid w:val="0087738C"/>
    <w:rsid w:val="008832CF"/>
    <w:rsid w:val="00884F2B"/>
    <w:rsid w:val="00885630"/>
    <w:rsid w:val="00890789"/>
    <w:rsid w:val="0089094E"/>
    <w:rsid w:val="008928C9"/>
    <w:rsid w:val="00892AD5"/>
    <w:rsid w:val="008931F8"/>
    <w:rsid w:val="0089397C"/>
    <w:rsid w:val="00893FC8"/>
    <w:rsid w:val="00896EFD"/>
    <w:rsid w:val="00897E24"/>
    <w:rsid w:val="008A1512"/>
    <w:rsid w:val="008A3727"/>
    <w:rsid w:val="008A452A"/>
    <w:rsid w:val="008A789B"/>
    <w:rsid w:val="008B0B48"/>
    <w:rsid w:val="008B0F2A"/>
    <w:rsid w:val="008B1605"/>
    <w:rsid w:val="008B2D11"/>
    <w:rsid w:val="008B2DBD"/>
    <w:rsid w:val="008B42EF"/>
    <w:rsid w:val="008B5352"/>
    <w:rsid w:val="008B6C53"/>
    <w:rsid w:val="008C0434"/>
    <w:rsid w:val="008C1333"/>
    <w:rsid w:val="008C4A58"/>
    <w:rsid w:val="008C6390"/>
    <w:rsid w:val="008D0CC0"/>
    <w:rsid w:val="008D1951"/>
    <w:rsid w:val="008D32B9"/>
    <w:rsid w:val="008D34CB"/>
    <w:rsid w:val="008D38E3"/>
    <w:rsid w:val="008D433B"/>
    <w:rsid w:val="008D4A16"/>
    <w:rsid w:val="008D53CC"/>
    <w:rsid w:val="008D6201"/>
    <w:rsid w:val="008D6738"/>
    <w:rsid w:val="008D68B1"/>
    <w:rsid w:val="008D6DC8"/>
    <w:rsid w:val="008D7909"/>
    <w:rsid w:val="008E0F20"/>
    <w:rsid w:val="008E14B2"/>
    <w:rsid w:val="008E27CF"/>
    <w:rsid w:val="008E476E"/>
    <w:rsid w:val="008E4DF3"/>
    <w:rsid w:val="008E55FD"/>
    <w:rsid w:val="008E566E"/>
    <w:rsid w:val="008E6092"/>
    <w:rsid w:val="008F2D4D"/>
    <w:rsid w:val="008F3D45"/>
    <w:rsid w:val="008F42A3"/>
    <w:rsid w:val="008F47E3"/>
    <w:rsid w:val="008F5AF8"/>
    <w:rsid w:val="008F5E84"/>
    <w:rsid w:val="008F6949"/>
    <w:rsid w:val="0090161A"/>
    <w:rsid w:val="00901AD6"/>
    <w:rsid w:val="00901EB6"/>
    <w:rsid w:val="00904C62"/>
    <w:rsid w:val="0090579D"/>
    <w:rsid w:val="009061D1"/>
    <w:rsid w:val="00911606"/>
    <w:rsid w:val="00912004"/>
    <w:rsid w:val="00912EFD"/>
    <w:rsid w:val="00913933"/>
    <w:rsid w:val="00915CE5"/>
    <w:rsid w:val="00917410"/>
    <w:rsid w:val="00917566"/>
    <w:rsid w:val="00922BA8"/>
    <w:rsid w:val="009242B6"/>
    <w:rsid w:val="0092451F"/>
    <w:rsid w:val="00924DAC"/>
    <w:rsid w:val="00927058"/>
    <w:rsid w:val="009301BE"/>
    <w:rsid w:val="009304EB"/>
    <w:rsid w:val="009331AF"/>
    <w:rsid w:val="009335F8"/>
    <w:rsid w:val="009343D2"/>
    <w:rsid w:val="00934B34"/>
    <w:rsid w:val="00934DB7"/>
    <w:rsid w:val="00935BA4"/>
    <w:rsid w:val="009417E9"/>
    <w:rsid w:val="00941A3C"/>
    <w:rsid w:val="0094230D"/>
    <w:rsid w:val="00942572"/>
    <w:rsid w:val="00942750"/>
    <w:rsid w:val="009433F1"/>
    <w:rsid w:val="00943B32"/>
    <w:rsid w:val="00943E46"/>
    <w:rsid w:val="009444FD"/>
    <w:rsid w:val="009450CE"/>
    <w:rsid w:val="00946AFD"/>
    <w:rsid w:val="00946BD6"/>
    <w:rsid w:val="00947157"/>
    <w:rsid w:val="00947179"/>
    <w:rsid w:val="00947A86"/>
    <w:rsid w:val="0095164B"/>
    <w:rsid w:val="00951735"/>
    <w:rsid w:val="00951E8A"/>
    <w:rsid w:val="00954090"/>
    <w:rsid w:val="009573E7"/>
    <w:rsid w:val="00960148"/>
    <w:rsid w:val="00960C13"/>
    <w:rsid w:val="0096123B"/>
    <w:rsid w:val="00961599"/>
    <w:rsid w:val="00961E5F"/>
    <w:rsid w:val="00963A2D"/>
    <w:rsid w:val="00963E05"/>
    <w:rsid w:val="00964A45"/>
    <w:rsid w:val="00967843"/>
    <w:rsid w:val="00967BCA"/>
    <w:rsid w:val="00967D54"/>
    <w:rsid w:val="00967E44"/>
    <w:rsid w:val="00970995"/>
    <w:rsid w:val="00970E68"/>
    <w:rsid w:val="00971028"/>
    <w:rsid w:val="00972D10"/>
    <w:rsid w:val="0097643A"/>
    <w:rsid w:val="00980900"/>
    <w:rsid w:val="00985723"/>
    <w:rsid w:val="0098643C"/>
    <w:rsid w:val="00990AB4"/>
    <w:rsid w:val="00991631"/>
    <w:rsid w:val="00991EE1"/>
    <w:rsid w:val="009930BF"/>
    <w:rsid w:val="00993653"/>
    <w:rsid w:val="00993B84"/>
    <w:rsid w:val="00995509"/>
    <w:rsid w:val="00995DD4"/>
    <w:rsid w:val="009962DD"/>
    <w:rsid w:val="00996483"/>
    <w:rsid w:val="00996F5A"/>
    <w:rsid w:val="00997751"/>
    <w:rsid w:val="00997B75"/>
    <w:rsid w:val="009A0DBD"/>
    <w:rsid w:val="009A21D2"/>
    <w:rsid w:val="009A6B36"/>
    <w:rsid w:val="009A7878"/>
    <w:rsid w:val="009B041A"/>
    <w:rsid w:val="009B0979"/>
    <w:rsid w:val="009B16B8"/>
    <w:rsid w:val="009B3615"/>
    <w:rsid w:val="009B4873"/>
    <w:rsid w:val="009B4C3D"/>
    <w:rsid w:val="009B532B"/>
    <w:rsid w:val="009B5822"/>
    <w:rsid w:val="009B5BD4"/>
    <w:rsid w:val="009B5EF7"/>
    <w:rsid w:val="009B651C"/>
    <w:rsid w:val="009C1435"/>
    <w:rsid w:val="009C15AB"/>
    <w:rsid w:val="009C37C3"/>
    <w:rsid w:val="009C428B"/>
    <w:rsid w:val="009C4891"/>
    <w:rsid w:val="009C4E3E"/>
    <w:rsid w:val="009C620B"/>
    <w:rsid w:val="009C6CA4"/>
    <w:rsid w:val="009C7C86"/>
    <w:rsid w:val="009D0AA7"/>
    <w:rsid w:val="009D1B20"/>
    <w:rsid w:val="009D231F"/>
    <w:rsid w:val="009D2FF7"/>
    <w:rsid w:val="009D3C76"/>
    <w:rsid w:val="009D4062"/>
    <w:rsid w:val="009D50D0"/>
    <w:rsid w:val="009E17FB"/>
    <w:rsid w:val="009E30B2"/>
    <w:rsid w:val="009E4B56"/>
    <w:rsid w:val="009E532E"/>
    <w:rsid w:val="009E57B9"/>
    <w:rsid w:val="009E7884"/>
    <w:rsid w:val="009E788A"/>
    <w:rsid w:val="009F0E08"/>
    <w:rsid w:val="009F2832"/>
    <w:rsid w:val="009F2C5F"/>
    <w:rsid w:val="009F4B42"/>
    <w:rsid w:val="009F5B22"/>
    <w:rsid w:val="009F76C4"/>
    <w:rsid w:val="00A0031F"/>
    <w:rsid w:val="00A00DA4"/>
    <w:rsid w:val="00A00DFF"/>
    <w:rsid w:val="00A02AA4"/>
    <w:rsid w:val="00A048D4"/>
    <w:rsid w:val="00A06471"/>
    <w:rsid w:val="00A10C15"/>
    <w:rsid w:val="00A13E77"/>
    <w:rsid w:val="00A1548B"/>
    <w:rsid w:val="00A1763D"/>
    <w:rsid w:val="00A17CEC"/>
    <w:rsid w:val="00A211B1"/>
    <w:rsid w:val="00A21752"/>
    <w:rsid w:val="00A21B35"/>
    <w:rsid w:val="00A2453C"/>
    <w:rsid w:val="00A25BA2"/>
    <w:rsid w:val="00A27EF0"/>
    <w:rsid w:val="00A3027D"/>
    <w:rsid w:val="00A30CBC"/>
    <w:rsid w:val="00A30CF7"/>
    <w:rsid w:val="00A32989"/>
    <w:rsid w:val="00A42361"/>
    <w:rsid w:val="00A4320E"/>
    <w:rsid w:val="00A442AD"/>
    <w:rsid w:val="00A44F27"/>
    <w:rsid w:val="00A5049F"/>
    <w:rsid w:val="00A50B20"/>
    <w:rsid w:val="00A51318"/>
    <w:rsid w:val="00A51390"/>
    <w:rsid w:val="00A51987"/>
    <w:rsid w:val="00A51C03"/>
    <w:rsid w:val="00A52800"/>
    <w:rsid w:val="00A55A9A"/>
    <w:rsid w:val="00A56A21"/>
    <w:rsid w:val="00A6001E"/>
    <w:rsid w:val="00A60D13"/>
    <w:rsid w:val="00A617C8"/>
    <w:rsid w:val="00A639B2"/>
    <w:rsid w:val="00A65A92"/>
    <w:rsid w:val="00A6638C"/>
    <w:rsid w:val="00A708A5"/>
    <w:rsid w:val="00A713AC"/>
    <w:rsid w:val="00A7223D"/>
    <w:rsid w:val="00A72745"/>
    <w:rsid w:val="00A72B37"/>
    <w:rsid w:val="00A74BA0"/>
    <w:rsid w:val="00A76EFC"/>
    <w:rsid w:val="00A80A48"/>
    <w:rsid w:val="00A81E74"/>
    <w:rsid w:val="00A81F5B"/>
    <w:rsid w:val="00A826EF"/>
    <w:rsid w:val="00A84341"/>
    <w:rsid w:val="00A852ED"/>
    <w:rsid w:val="00A8704E"/>
    <w:rsid w:val="00A90874"/>
    <w:rsid w:val="00A90ECD"/>
    <w:rsid w:val="00A91010"/>
    <w:rsid w:val="00A91CDB"/>
    <w:rsid w:val="00A93E2C"/>
    <w:rsid w:val="00A9477E"/>
    <w:rsid w:val="00A95793"/>
    <w:rsid w:val="00A96C27"/>
    <w:rsid w:val="00A97F29"/>
    <w:rsid w:val="00AA0973"/>
    <w:rsid w:val="00AA1105"/>
    <w:rsid w:val="00AA1728"/>
    <w:rsid w:val="00AA287E"/>
    <w:rsid w:val="00AA654D"/>
    <w:rsid w:val="00AA702E"/>
    <w:rsid w:val="00AA7981"/>
    <w:rsid w:val="00AB073C"/>
    <w:rsid w:val="00AB0964"/>
    <w:rsid w:val="00AB0D14"/>
    <w:rsid w:val="00AB31EF"/>
    <w:rsid w:val="00AB3D45"/>
    <w:rsid w:val="00AB42E0"/>
    <w:rsid w:val="00AB5011"/>
    <w:rsid w:val="00AB53E3"/>
    <w:rsid w:val="00AB7AA5"/>
    <w:rsid w:val="00AC095F"/>
    <w:rsid w:val="00AC7368"/>
    <w:rsid w:val="00AD16B9"/>
    <w:rsid w:val="00AD35D9"/>
    <w:rsid w:val="00AD3E12"/>
    <w:rsid w:val="00AD64E7"/>
    <w:rsid w:val="00AD7733"/>
    <w:rsid w:val="00AE01B6"/>
    <w:rsid w:val="00AE13E6"/>
    <w:rsid w:val="00AE227B"/>
    <w:rsid w:val="00AE2682"/>
    <w:rsid w:val="00AE31B9"/>
    <w:rsid w:val="00AE377D"/>
    <w:rsid w:val="00AE3A86"/>
    <w:rsid w:val="00AE3D2A"/>
    <w:rsid w:val="00AE4137"/>
    <w:rsid w:val="00AE67BF"/>
    <w:rsid w:val="00AE6B70"/>
    <w:rsid w:val="00AE6C9E"/>
    <w:rsid w:val="00AF0EBA"/>
    <w:rsid w:val="00AF18A1"/>
    <w:rsid w:val="00AF2203"/>
    <w:rsid w:val="00AF3406"/>
    <w:rsid w:val="00AF71F5"/>
    <w:rsid w:val="00AF7864"/>
    <w:rsid w:val="00B00045"/>
    <w:rsid w:val="00B0020F"/>
    <w:rsid w:val="00B003AC"/>
    <w:rsid w:val="00B02C8A"/>
    <w:rsid w:val="00B03383"/>
    <w:rsid w:val="00B0491F"/>
    <w:rsid w:val="00B10E9B"/>
    <w:rsid w:val="00B13486"/>
    <w:rsid w:val="00B14CD8"/>
    <w:rsid w:val="00B16994"/>
    <w:rsid w:val="00B17649"/>
    <w:rsid w:val="00B17FBD"/>
    <w:rsid w:val="00B20211"/>
    <w:rsid w:val="00B20C8E"/>
    <w:rsid w:val="00B256DA"/>
    <w:rsid w:val="00B315A6"/>
    <w:rsid w:val="00B31690"/>
    <w:rsid w:val="00B31813"/>
    <w:rsid w:val="00B324A3"/>
    <w:rsid w:val="00B32D33"/>
    <w:rsid w:val="00B33365"/>
    <w:rsid w:val="00B34571"/>
    <w:rsid w:val="00B35EE3"/>
    <w:rsid w:val="00B405AA"/>
    <w:rsid w:val="00B40C59"/>
    <w:rsid w:val="00B40EE9"/>
    <w:rsid w:val="00B4154A"/>
    <w:rsid w:val="00B41B54"/>
    <w:rsid w:val="00B4248D"/>
    <w:rsid w:val="00B47293"/>
    <w:rsid w:val="00B476B5"/>
    <w:rsid w:val="00B518DB"/>
    <w:rsid w:val="00B51A88"/>
    <w:rsid w:val="00B5261B"/>
    <w:rsid w:val="00B56B0D"/>
    <w:rsid w:val="00B57B21"/>
    <w:rsid w:val="00B57B36"/>
    <w:rsid w:val="00B57E6F"/>
    <w:rsid w:val="00B60226"/>
    <w:rsid w:val="00B61DF1"/>
    <w:rsid w:val="00B65BA9"/>
    <w:rsid w:val="00B6680A"/>
    <w:rsid w:val="00B66E0E"/>
    <w:rsid w:val="00B67F7B"/>
    <w:rsid w:val="00B67F8D"/>
    <w:rsid w:val="00B70234"/>
    <w:rsid w:val="00B73158"/>
    <w:rsid w:val="00B75427"/>
    <w:rsid w:val="00B81644"/>
    <w:rsid w:val="00B832A4"/>
    <w:rsid w:val="00B83E8B"/>
    <w:rsid w:val="00B8686D"/>
    <w:rsid w:val="00B86ECD"/>
    <w:rsid w:val="00B876FA"/>
    <w:rsid w:val="00B87B40"/>
    <w:rsid w:val="00B87D19"/>
    <w:rsid w:val="00B90875"/>
    <w:rsid w:val="00B916E1"/>
    <w:rsid w:val="00B91B13"/>
    <w:rsid w:val="00B92420"/>
    <w:rsid w:val="00B93D66"/>
    <w:rsid w:val="00B93F69"/>
    <w:rsid w:val="00B96283"/>
    <w:rsid w:val="00B97368"/>
    <w:rsid w:val="00BA1980"/>
    <w:rsid w:val="00BA3420"/>
    <w:rsid w:val="00BA41EE"/>
    <w:rsid w:val="00BA4D66"/>
    <w:rsid w:val="00BA4DD9"/>
    <w:rsid w:val="00BA5963"/>
    <w:rsid w:val="00BA6BB7"/>
    <w:rsid w:val="00BA6C5E"/>
    <w:rsid w:val="00BA7255"/>
    <w:rsid w:val="00BB08D4"/>
    <w:rsid w:val="00BB1DDC"/>
    <w:rsid w:val="00BB2A6F"/>
    <w:rsid w:val="00BB306C"/>
    <w:rsid w:val="00BB4CF2"/>
    <w:rsid w:val="00BB5BC2"/>
    <w:rsid w:val="00BB5FED"/>
    <w:rsid w:val="00BB79DA"/>
    <w:rsid w:val="00BB7CBE"/>
    <w:rsid w:val="00BC1078"/>
    <w:rsid w:val="00BC30C9"/>
    <w:rsid w:val="00BC63D1"/>
    <w:rsid w:val="00BC67AC"/>
    <w:rsid w:val="00BC7763"/>
    <w:rsid w:val="00BC7A67"/>
    <w:rsid w:val="00BD077D"/>
    <w:rsid w:val="00BD16BA"/>
    <w:rsid w:val="00BD1EE2"/>
    <w:rsid w:val="00BD21D2"/>
    <w:rsid w:val="00BD4118"/>
    <w:rsid w:val="00BE063E"/>
    <w:rsid w:val="00BE2993"/>
    <w:rsid w:val="00BE2DD5"/>
    <w:rsid w:val="00BE381D"/>
    <w:rsid w:val="00BE38A2"/>
    <w:rsid w:val="00BE3C01"/>
    <w:rsid w:val="00BE3E58"/>
    <w:rsid w:val="00BE5856"/>
    <w:rsid w:val="00BE6C7A"/>
    <w:rsid w:val="00BE6F5A"/>
    <w:rsid w:val="00BE71D9"/>
    <w:rsid w:val="00BE7E29"/>
    <w:rsid w:val="00BE7E51"/>
    <w:rsid w:val="00BF0C02"/>
    <w:rsid w:val="00BF0C20"/>
    <w:rsid w:val="00BF1B8D"/>
    <w:rsid w:val="00BF27C5"/>
    <w:rsid w:val="00BF4107"/>
    <w:rsid w:val="00BF724B"/>
    <w:rsid w:val="00BF7265"/>
    <w:rsid w:val="00C00066"/>
    <w:rsid w:val="00C00BA0"/>
    <w:rsid w:val="00C01616"/>
    <w:rsid w:val="00C0162B"/>
    <w:rsid w:val="00C02419"/>
    <w:rsid w:val="00C0480F"/>
    <w:rsid w:val="00C068ED"/>
    <w:rsid w:val="00C07F83"/>
    <w:rsid w:val="00C11C6E"/>
    <w:rsid w:val="00C11F31"/>
    <w:rsid w:val="00C1367E"/>
    <w:rsid w:val="00C13699"/>
    <w:rsid w:val="00C13779"/>
    <w:rsid w:val="00C13E96"/>
    <w:rsid w:val="00C15082"/>
    <w:rsid w:val="00C16C6C"/>
    <w:rsid w:val="00C1780E"/>
    <w:rsid w:val="00C2276D"/>
    <w:rsid w:val="00C22E0C"/>
    <w:rsid w:val="00C232B4"/>
    <w:rsid w:val="00C2615D"/>
    <w:rsid w:val="00C27C46"/>
    <w:rsid w:val="00C3046F"/>
    <w:rsid w:val="00C331ED"/>
    <w:rsid w:val="00C33D88"/>
    <w:rsid w:val="00C345B1"/>
    <w:rsid w:val="00C3541A"/>
    <w:rsid w:val="00C3769D"/>
    <w:rsid w:val="00C37FC7"/>
    <w:rsid w:val="00C40142"/>
    <w:rsid w:val="00C40669"/>
    <w:rsid w:val="00C41CA4"/>
    <w:rsid w:val="00C423CE"/>
    <w:rsid w:val="00C435BF"/>
    <w:rsid w:val="00C4461D"/>
    <w:rsid w:val="00C45228"/>
    <w:rsid w:val="00C50ECB"/>
    <w:rsid w:val="00C5158A"/>
    <w:rsid w:val="00C519E4"/>
    <w:rsid w:val="00C5226B"/>
    <w:rsid w:val="00C5245F"/>
    <w:rsid w:val="00C52C3C"/>
    <w:rsid w:val="00C54336"/>
    <w:rsid w:val="00C547F6"/>
    <w:rsid w:val="00C56020"/>
    <w:rsid w:val="00C56774"/>
    <w:rsid w:val="00C57182"/>
    <w:rsid w:val="00C57863"/>
    <w:rsid w:val="00C578F2"/>
    <w:rsid w:val="00C6018B"/>
    <w:rsid w:val="00C60C4B"/>
    <w:rsid w:val="00C62138"/>
    <w:rsid w:val="00C6258F"/>
    <w:rsid w:val="00C62891"/>
    <w:rsid w:val="00C640AF"/>
    <w:rsid w:val="00C655FD"/>
    <w:rsid w:val="00C66256"/>
    <w:rsid w:val="00C663F4"/>
    <w:rsid w:val="00C707B1"/>
    <w:rsid w:val="00C714C9"/>
    <w:rsid w:val="00C723D0"/>
    <w:rsid w:val="00C740B6"/>
    <w:rsid w:val="00C75407"/>
    <w:rsid w:val="00C75EF2"/>
    <w:rsid w:val="00C7677F"/>
    <w:rsid w:val="00C7755D"/>
    <w:rsid w:val="00C80C9B"/>
    <w:rsid w:val="00C82807"/>
    <w:rsid w:val="00C82A08"/>
    <w:rsid w:val="00C832C5"/>
    <w:rsid w:val="00C84E07"/>
    <w:rsid w:val="00C85184"/>
    <w:rsid w:val="00C8540A"/>
    <w:rsid w:val="00C85B16"/>
    <w:rsid w:val="00C85C5C"/>
    <w:rsid w:val="00C870A8"/>
    <w:rsid w:val="00C871FC"/>
    <w:rsid w:val="00C87403"/>
    <w:rsid w:val="00C87D2B"/>
    <w:rsid w:val="00C9053A"/>
    <w:rsid w:val="00C92448"/>
    <w:rsid w:val="00C924D1"/>
    <w:rsid w:val="00C94434"/>
    <w:rsid w:val="00C95A08"/>
    <w:rsid w:val="00C97414"/>
    <w:rsid w:val="00C97B3D"/>
    <w:rsid w:val="00CA0B0B"/>
    <w:rsid w:val="00CA0D75"/>
    <w:rsid w:val="00CA1832"/>
    <w:rsid w:val="00CA1C95"/>
    <w:rsid w:val="00CA20CE"/>
    <w:rsid w:val="00CA26AF"/>
    <w:rsid w:val="00CA3A6E"/>
    <w:rsid w:val="00CA504D"/>
    <w:rsid w:val="00CA5A9C"/>
    <w:rsid w:val="00CB4396"/>
    <w:rsid w:val="00CB668F"/>
    <w:rsid w:val="00CC22DC"/>
    <w:rsid w:val="00CC40C0"/>
    <w:rsid w:val="00CC4C20"/>
    <w:rsid w:val="00CC74DF"/>
    <w:rsid w:val="00CD3517"/>
    <w:rsid w:val="00CD5FE2"/>
    <w:rsid w:val="00CD63FE"/>
    <w:rsid w:val="00CD73C6"/>
    <w:rsid w:val="00CD7B65"/>
    <w:rsid w:val="00CE0D10"/>
    <w:rsid w:val="00CE16F8"/>
    <w:rsid w:val="00CE1EE3"/>
    <w:rsid w:val="00CE3462"/>
    <w:rsid w:val="00CE46B6"/>
    <w:rsid w:val="00CE6C48"/>
    <w:rsid w:val="00CE7967"/>
    <w:rsid w:val="00CE7C68"/>
    <w:rsid w:val="00CE7F17"/>
    <w:rsid w:val="00CF019A"/>
    <w:rsid w:val="00CF126C"/>
    <w:rsid w:val="00CF3D4F"/>
    <w:rsid w:val="00CF4C12"/>
    <w:rsid w:val="00CF5EEB"/>
    <w:rsid w:val="00CF68DC"/>
    <w:rsid w:val="00CF6FF0"/>
    <w:rsid w:val="00CF71DC"/>
    <w:rsid w:val="00CF77D5"/>
    <w:rsid w:val="00D00052"/>
    <w:rsid w:val="00D00412"/>
    <w:rsid w:val="00D02B4C"/>
    <w:rsid w:val="00D03513"/>
    <w:rsid w:val="00D040C4"/>
    <w:rsid w:val="00D0579E"/>
    <w:rsid w:val="00D11D01"/>
    <w:rsid w:val="00D123DC"/>
    <w:rsid w:val="00D12B41"/>
    <w:rsid w:val="00D133ED"/>
    <w:rsid w:val="00D1442F"/>
    <w:rsid w:val="00D14923"/>
    <w:rsid w:val="00D16BAA"/>
    <w:rsid w:val="00D1713F"/>
    <w:rsid w:val="00D17D2E"/>
    <w:rsid w:val="00D20096"/>
    <w:rsid w:val="00D20AD1"/>
    <w:rsid w:val="00D20B24"/>
    <w:rsid w:val="00D234DD"/>
    <w:rsid w:val="00D26D9C"/>
    <w:rsid w:val="00D2770E"/>
    <w:rsid w:val="00D27934"/>
    <w:rsid w:val="00D30494"/>
    <w:rsid w:val="00D310BA"/>
    <w:rsid w:val="00D31395"/>
    <w:rsid w:val="00D33951"/>
    <w:rsid w:val="00D34B7D"/>
    <w:rsid w:val="00D41237"/>
    <w:rsid w:val="00D414FA"/>
    <w:rsid w:val="00D41628"/>
    <w:rsid w:val="00D41B03"/>
    <w:rsid w:val="00D4274A"/>
    <w:rsid w:val="00D431D5"/>
    <w:rsid w:val="00D43C0E"/>
    <w:rsid w:val="00D45E11"/>
    <w:rsid w:val="00D46A28"/>
    <w:rsid w:val="00D46B7E"/>
    <w:rsid w:val="00D47FF6"/>
    <w:rsid w:val="00D502C3"/>
    <w:rsid w:val="00D57C84"/>
    <w:rsid w:val="00D6057D"/>
    <w:rsid w:val="00D61D1D"/>
    <w:rsid w:val="00D6300F"/>
    <w:rsid w:val="00D65133"/>
    <w:rsid w:val="00D67016"/>
    <w:rsid w:val="00D71640"/>
    <w:rsid w:val="00D732A7"/>
    <w:rsid w:val="00D73325"/>
    <w:rsid w:val="00D737A9"/>
    <w:rsid w:val="00D755C6"/>
    <w:rsid w:val="00D763BA"/>
    <w:rsid w:val="00D76848"/>
    <w:rsid w:val="00D80BD3"/>
    <w:rsid w:val="00D81305"/>
    <w:rsid w:val="00D836C5"/>
    <w:rsid w:val="00D84170"/>
    <w:rsid w:val="00D84576"/>
    <w:rsid w:val="00D8533E"/>
    <w:rsid w:val="00D85842"/>
    <w:rsid w:val="00D85DE7"/>
    <w:rsid w:val="00D86CF2"/>
    <w:rsid w:val="00D93D69"/>
    <w:rsid w:val="00D94046"/>
    <w:rsid w:val="00D9573C"/>
    <w:rsid w:val="00D96957"/>
    <w:rsid w:val="00D96E81"/>
    <w:rsid w:val="00DA0504"/>
    <w:rsid w:val="00DA1399"/>
    <w:rsid w:val="00DA1A65"/>
    <w:rsid w:val="00DA1CAB"/>
    <w:rsid w:val="00DA24C6"/>
    <w:rsid w:val="00DA4D7B"/>
    <w:rsid w:val="00DA5A8A"/>
    <w:rsid w:val="00DA6486"/>
    <w:rsid w:val="00DA76B9"/>
    <w:rsid w:val="00DA7E3A"/>
    <w:rsid w:val="00DB05C1"/>
    <w:rsid w:val="00DB1146"/>
    <w:rsid w:val="00DB1503"/>
    <w:rsid w:val="00DB1980"/>
    <w:rsid w:val="00DB2320"/>
    <w:rsid w:val="00DB30B3"/>
    <w:rsid w:val="00DB4387"/>
    <w:rsid w:val="00DB5724"/>
    <w:rsid w:val="00DB59B2"/>
    <w:rsid w:val="00DB5E49"/>
    <w:rsid w:val="00DB63FD"/>
    <w:rsid w:val="00DB6634"/>
    <w:rsid w:val="00DB6E04"/>
    <w:rsid w:val="00DB6ECC"/>
    <w:rsid w:val="00DC16DF"/>
    <w:rsid w:val="00DC1E00"/>
    <w:rsid w:val="00DC256A"/>
    <w:rsid w:val="00DC2852"/>
    <w:rsid w:val="00DC303D"/>
    <w:rsid w:val="00DC40BA"/>
    <w:rsid w:val="00DC51D5"/>
    <w:rsid w:val="00DC52EA"/>
    <w:rsid w:val="00DC6EDA"/>
    <w:rsid w:val="00DC761C"/>
    <w:rsid w:val="00DD23E0"/>
    <w:rsid w:val="00DD271C"/>
    <w:rsid w:val="00DD2A02"/>
    <w:rsid w:val="00DD36F4"/>
    <w:rsid w:val="00DD3B1D"/>
    <w:rsid w:val="00DD3FED"/>
    <w:rsid w:val="00DE264A"/>
    <w:rsid w:val="00DE3A85"/>
    <w:rsid w:val="00DE496C"/>
    <w:rsid w:val="00DF013E"/>
    <w:rsid w:val="00DF365F"/>
    <w:rsid w:val="00DF5072"/>
    <w:rsid w:val="00DF73C8"/>
    <w:rsid w:val="00E001F6"/>
    <w:rsid w:val="00E023E2"/>
    <w:rsid w:val="00E02D18"/>
    <w:rsid w:val="00E02DCE"/>
    <w:rsid w:val="00E041E7"/>
    <w:rsid w:val="00E05EB7"/>
    <w:rsid w:val="00E06547"/>
    <w:rsid w:val="00E07F5E"/>
    <w:rsid w:val="00E10847"/>
    <w:rsid w:val="00E11755"/>
    <w:rsid w:val="00E12203"/>
    <w:rsid w:val="00E123D3"/>
    <w:rsid w:val="00E12444"/>
    <w:rsid w:val="00E126FC"/>
    <w:rsid w:val="00E1368B"/>
    <w:rsid w:val="00E139FB"/>
    <w:rsid w:val="00E15B90"/>
    <w:rsid w:val="00E15E06"/>
    <w:rsid w:val="00E16138"/>
    <w:rsid w:val="00E1646C"/>
    <w:rsid w:val="00E1775F"/>
    <w:rsid w:val="00E17768"/>
    <w:rsid w:val="00E23CA1"/>
    <w:rsid w:val="00E244B4"/>
    <w:rsid w:val="00E24593"/>
    <w:rsid w:val="00E26027"/>
    <w:rsid w:val="00E26186"/>
    <w:rsid w:val="00E30CFF"/>
    <w:rsid w:val="00E32038"/>
    <w:rsid w:val="00E3329F"/>
    <w:rsid w:val="00E35E65"/>
    <w:rsid w:val="00E409A8"/>
    <w:rsid w:val="00E4309B"/>
    <w:rsid w:val="00E432BE"/>
    <w:rsid w:val="00E43BAE"/>
    <w:rsid w:val="00E4698C"/>
    <w:rsid w:val="00E4729C"/>
    <w:rsid w:val="00E50B31"/>
    <w:rsid w:val="00E50C12"/>
    <w:rsid w:val="00E511C3"/>
    <w:rsid w:val="00E56758"/>
    <w:rsid w:val="00E614D1"/>
    <w:rsid w:val="00E62899"/>
    <w:rsid w:val="00E638CF"/>
    <w:rsid w:val="00E643CE"/>
    <w:rsid w:val="00E64C5A"/>
    <w:rsid w:val="00E65B91"/>
    <w:rsid w:val="00E66D33"/>
    <w:rsid w:val="00E70B82"/>
    <w:rsid w:val="00E7209D"/>
    <w:rsid w:val="00E72EAD"/>
    <w:rsid w:val="00E76262"/>
    <w:rsid w:val="00E77223"/>
    <w:rsid w:val="00E77385"/>
    <w:rsid w:val="00E77E11"/>
    <w:rsid w:val="00E802AC"/>
    <w:rsid w:val="00E8429A"/>
    <w:rsid w:val="00E8528B"/>
    <w:rsid w:val="00E8596E"/>
    <w:rsid w:val="00E85B94"/>
    <w:rsid w:val="00E86514"/>
    <w:rsid w:val="00E9154F"/>
    <w:rsid w:val="00E9207A"/>
    <w:rsid w:val="00E92517"/>
    <w:rsid w:val="00E92A61"/>
    <w:rsid w:val="00E93495"/>
    <w:rsid w:val="00E93D3C"/>
    <w:rsid w:val="00E944AD"/>
    <w:rsid w:val="00E94CFB"/>
    <w:rsid w:val="00E96702"/>
    <w:rsid w:val="00E976DA"/>
    <w:rsid w:val="00E978D0"/>
    <w:rsid w:val="00EA0447"/>
    <w:rsid w:val="00EA0531"/>
    <w:rsid w:val="00EA0DC5"/>
    <w:rsid w:val="00EA2F5B"/>
    <w:rsid w:val="00EA3105"/>
    <w:rsid w:val="00EA40CF"/>
    <w:rsid w:val="00EA4613"/>
    <w:rsid w:val="00EA7BEA"/>
    <w:rsid w:val="00EA7F91"/>
    <w:rsid w:val="00EB0275"/>
    <w:rsid w:val="00EB1523"/>
    <w:rsid w:val="00EB1FEA"/>
    <w:rsid w:val="00EB21D5"/>
    <w:rsid w:val="00EC0E49"/>
    <w:rsid w:val="00EC101F"/>
    <w:rsid w:val="00EC1278"/>
    <w:rsid w:val="00EC1899"/>
    <w:rsid w:val="00EC1D9F"/>
    <w:rsid w:val="00EC1EA8"/>
    <w:rsid w:val="00EC21CC"/>
    <w:rsid w:val="00EC2F83"/>
    <w:rsid w:val="00EC40A5"/>
    <w:rsid w:val="00EC4AE2"/>
    <w:rsid w:val="00EC7CFF"/>
    <w:rsid w:val="00ED3C98"/>
    <w:rsid w:val="00ED3D63"/>
    <w:rsid w:val="00ED41CD"/>
    <w:rsid w:val="00ED4B6E"/>
    <w:rsid w:val="00EE0131"/>
    <w:rsid w:val="00EE0665"/>
    <w:rsid w:val="00EE085F"/>
    <w:rsid w:val="00EE17B0"/>
    <w:rsid w:val="00EE2E7F"/>
    <w:rsid w:val="00EE2F56"/>
    <w:rsid w:val="00EE4E18"/>
    <w:rsid w:val="00EE5D5E"/>
    <w:rsid w:val="00EE7834"/>
    <w:rsid w:val="00EF06D9"/>
    <w:rsid w:val="00EF08B7"/>
    <w:rsid w:val="00EF3B65"/>
    <w:rsid w:val="00EF52EF"/>
    <w:rsid w:val="00EF5EC5"/>
    <w:rsid w:val="00EF5F30"/>
    <w:rsid w:val="00F04237"/>
    <w:rsid w:val="00F04FB2"/>
    <w:rsid w:val="00F0665D"/>
    <w:rsid w:val="00F07072"/>
    <w:rsid w:val="00F107BC"/>
    <w:rsid w:val="00F114F5"/>
    <w:rsid w:val="00F12694"/>
    <w:rsid w:val="00F12E99"/>
    <w:rsid w:val="00F14A93"/>
    <w:rsid w:val="00F14BF7"/>
    <w:rsid w:val="00F14E6A"/>
    <w:rsid w:val="00F15E17"/>
    <w:rsid w:val="00F1746C"/>
    <w:rsid w:val="00F201D0"/>
    <w:rsid w:val="00F20D81"/>
    <w:rsid w:val="00F21379"/>
    <w:rsid w:val="00F21F0C"/>
    <w:rsid w:val="00F23DED"/>
    <w:rsid w:val="00F260BA"/>
    <w:rsid w:val="00F27C70"/>
    <w:rsid w:val="00F30C64"/>
    <w:rsid w:val="00F315ED"/>
    <w:rsid w:val="00F32BA2"/>
    <w:rsid w:val="00F32CDB"/>
    <w:rsid w:val="00F34869"/>
    <w:rsid w:val="00F36BB2"/>
    <w:rsid w:val="00F4071C"/>
    <w:rsid w:val="00F42835"/>
    <w:rsid w:val="00F43159"/>
    <w:rsid w:val="00F43742"/>
    <w:rsid w:val="00F43F72"/>
    <w:rsid w:val="00F45D27"/>
    <w:rsid w:val="00F50671"/>
    <w:rsid w:val="00F51D14"/>
    <w:rsid w:val="00F52AD2"/>
    <w:rsid w:val="00F535EB"/>
    <w:rsid w:val="00F53846"/>
    <w:rsid w:val="00F54BFD"/>
    <w:rsid w:val="00F54DD5"/>
    <w:rsid w:val="00F565FE"/>
    <w:rsid w:val="00F578C2"/>
    <w:rsid w:val="00F62BAA"/>
    <w:rsid w:val="00F63A70"/>
    <w:rsid w:val="00F647A2"/>
    <w:rsid w:val="00F67F74"/>
    <w:rsid w:val="00F70CC6"/>
    <w:rsid w:val="00F7188B"/>
    <w:rsid w:val="00F72287"/>
    <w:rsid w:val="00F72AD3"/>
    <w:rsid w:val="00F72D3F"/>
    <w:rsid w:val="00F7408A"/>
    <w:rsid w:val="00F7409D"/>
    <w:rsid w:val="00F74411"/>
    <w:rsid w:val="00F7534E"/>
    <w:rsid w:val="00F75DE8"/>
    <w:rsid w:val="00F773CC"/>
    <w:rsid w:val="00F8077A"/>
    <w:rsid w:val="00F80DC5"/>
    <w:rsid w:val="00F826A7"/>
    <w:rsid w:val="00F82AE2"/>
    <w:rsid w:val="00F833FD"/>
    <w:rsid w:val="00F83425"/>
    <w:rsid w:val="00F842E7"/>
    <w:rsid w:val="00F86E5F"/>
    <w:rsid w:val="00F932ED"/>
    <w:rsid w:val="00F93EF9"/>
    <w:rsid w:val="00F966BC"/>
    <w:rsid w:val="00FA033B"/>
    <w:rsid w:val="00FA0B71"/>
    <w:rsid w:val="00FA1802"/>
    <w:rsid w:val="00FA1925"/>
    <w:rsid w:val="00FA21D0"/>
    <w:rsid w:val="00FA47DA"/>
    <w:rsid w:val="00FA4EBE"/>
    <w:rsid w:val="00FA5B4B"/>
    <w:rsid w:val="00FA5F5F"/>
    <w:rsid w:val="00FA65DE"/>
    <w:rsid w:val="00FB0D75"/>
    <w:rsid w:val="00FB14B3"/>
    <w:rsid w:val="00FB1506"/>
    <w:rsid w:val="00FB26EB"/>
    <w:rsid w:val="00FB41EA"/>
    <w:rsid w:val="00FB48DC"/>
    <w:rsid w:val="00FB501C"/>
    <w:rsid w:val="00FB65C9"/>
    <w:rsid w:val="00FB730C"/>
    <w:rsid w:val="00FC0281"/>
    <w:rsid w:val="00FC151F"/>
    <w:rsid w:val="00FC15A1"/>
    <w:rsid w:val="00FC2695"/>
    <w:rsid w:val="00FC2877"/>
    <w:rsid w:val="00FC2A08"/>
    <w:rsid w:val="00FC3E03"/>
    <w:rsid w:val="00FC3E73"/>
    <w:rsid w:val="00FC3FC1"/>
    <w:rsid w:val="00FC4AA3"/>
    <w:rsid w:val="00FC6CF4"/>
    <w:rsid w:val="00FD1920"/>
    <w:rsid w:val="00FD1D00"/>
    <w:rsid w:val="00FD1FB8"/>
    <w:rsid w:val="00FD4BEA"/>
    <w:rsid w:val="00FD6AF6"/>
    <w:rsid w:val="00FD7CF2"/>
    <w:rsid w:val="00FE02DA"/>
    <w:rsid w:val="00FE16D6"/>
    <w:rsid w:val="00FE242F"/>
    <w:rsid w:val="00FE2CCC"/>
    <w:rsid w:val="00FE4B91"/>
    <w:rsid w:val="00FE5424"/>
    <w:rsid w:val="00FE5AFA"/>
    <w:rsid w:val="00FE7A79"/>
    <w:rsid w:val="00FF2836"/>
    <w:rsid w:val="00FF289D"/>
    <w:rsid w:val="00FF2AE8"/>
    <w:rsid w:val="00FF482C"/>
    <w:rsid w:val="00FF58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B6ACA"/>
    <w:pPr>
      <w:keepNext/>
      <w:numPr>
        <w:ilvl w:val="2"/>
        <w:numId w:val="1"/>
      </w:numPr>
      <w:suppressAutoHyphens/>
      <w:spacing w:before="120" w:after="120" w:line="240" w:lineRule="auto"/>
      <w:ind w:left="0"/>
    </w:pPr>
    <w:rPr>
      <w:rFonts w:ascii="Arial" w:eastAsia="Times New Roman" w:hAnsi="Arial" w:cs="Times New Roman"/>
      <w:b/>
      <w:i/>
      <w:iCs/>
      <w:color w:val="808080" w:themeColor="background1" w:themeShade="80"/>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B6ACA"/>
    <w:rPr>
      <w:rFonts w:ascii="Arial" w:eastAsia="Times New Roman" w:hAnsi="Arial" w:cs="Times New Roman"/>
      <w:b/>
      <w:i/>
      <w:iCs/>
      <w:color w:val="808080" w:themeColor="background1" w:themeShade="80"/>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1"/>
    <w:unhideWhenUsed/>
    <w:qFormat/>
    <w:rsid w:val="0003148D"/>
    <w:pPr>
      <w:spacing w:after="120"/>
    </w:pPr>
  </w:style>
  <w:style w:type="character" w:customStyle="1" w:styleId="CorpotestoCarattere">
    <w:name w:val="Corpo testo Carattere"/>
    <w:basedOn w:val="Carpredefinitoparagrafo"/>
    <w:link w:val="Corpotesto"/>
    <w:uiPriority w:val="1"/>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i/>
      <w:iCs/>
      <w:color w:val="808080" w:themeColor="background1" w:themeShade="80"/>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497EF4"/>
    <w:rPr>
      <w:color w:val="605E5C"/>
      <w:shd w:val="clear" w:color="auto" w:fill="E1DFDD"/>
    </w:rPr>
  </w:style>
  <w:style w:type="table" w:styleId="Tabellagriglia2">
    <w:name w:val="Grid Table 2"/>
    <w:basedOn w:val="Tabellanormale"/>
    <w:uiPriority w:val="47"/>
    <w:rsid w:val="00991E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E430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e">
    <w:name w:val="Revision"/>
    <w:hidden/>
    <w:uiPriority w:val="99"/>
    <w:semiHidden/>
    <w:rsid w:val="004E55F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cipollina@unip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BBD0-ED2D-480B-897C-BF649D2F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11370</Words>
  <Characters>64810</Characters>
  <Application>Microsoft Office Word</Application>
  <DocSecurity>0</DocSecurity>
  <Lines>540</Lines>
  <Paragraphs>152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7</cp:revision>
  <cp:lastPrinted>2022-07-25T20:28:00Z</cp:lastPrinted>
  <dcterms:created xsi:type="dcterms:W3CDTF">2022-07-25T20:26:00Z</dcterms:created>
  <dcterms:modified xsi:type="dcterms:W3CDTF">2022-08-10T09:33:00Z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ed06fe9d-06ff-3d66-aa93-186e36956a84</vt:lpwstr>
  </property>
  <property fmtid="{D5CDD505-2E9C-101B-9397-08002B2CF9AE}" pid="6" name="Mendeley Citation Style_1">
    <vt:lpwstr>http://www.zotero.org/styles/begell-house-apa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http://csl.mendeley.com/styles/16057573/apa</vt:lpwstr>
  </property>
  <property fmtid="{D5CDD505-2E9C-101B-9397-08002B2CF9AE}" pid="14" name="Mendeley Recent Style Name 3_1">
    <vt:lpwstr>American Psychological Association 6th edition - The University of Western Australia - Ray White</vt:lpwstr>
  </property>
  <property fmtid="{D5CDD505-2E9C-101B-9397-08002B2CF9AE}" pid="15" name="Mendeley Recent Style Id 4_1">
    <vt:lpwstr>http://www.zotero.org/styles/begell-house-apa</vt:lpwstr>
  </property>
  <property fmtid="{D5CDD505-2E9C-101B-9397-08002B2CF9AE}" pid="16" name="Mendeley Recent Style Name 4_1">
    <vt:lpwstr>Begell House - APA</vt:lpwstr>
  </property>
  <property fmtid="{D5CDD505-2E9C-101B-9397-08002B2CF9AE}" pid="17" name="Mendeley Recent Style Id 5_1">
    <vt:lpwstr>http://www.zotero.org/styles/cardiff-university-harvard</vt:lpwstr>
  </property>
  <property fmtid="{D5CDD505-2E9C-101B-9397-08002B2CF9AE}" pid="18" name="Mendeley Recent Style Name 5_1">
    <vt:lpwstr>Cardiff University - Harvard</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http://www.zotero.org/styles/computer-methods-in-applied-mechanics-and-engineering</vt:lpwstr>
  </property>
  <property fmtid="{D5CDD505-2E9C-101B-9397-08002B2CF9AE}" pid="22" name="Mendeley Recent Style Name 7_1">
    <vt:lpwstr>Computer Methods in Applied Mechanics and Engineering</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http://www.zotero.org/styles/powder-technology</vt:lpwstr>
  </property>
  <property fmtid="{D5CDD505-2E9C-101B-9397-08002B2CF9AE}" pid="26" name="Mendeley Recent Style Name 9_1">
    <vt:lpwstr>Powder Technology</vt:lpwstr>
  </property>
</Properties>
</file>