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6F7DA70D" w:rsidR="00E978D0" w:rsidRPr="005103F4" w:rsidRDefault="005103F4" w:rsidP="00E978D0">
      <w:pPr>
        <w:pStyle w:val="CETTitle"/>
      </w:pPr>
      <w:r w:rsidRPr="005103F4">
        <w:t xml:space="preserve">Malic Acid Production by </w:t>
      </w:r>
      <w:r w:rsidRPr="005103F4">
        <w:rPr>
          <w:i/>
        </w:rPr>
        <w:t xml:space="preserve">Aspergillus </w:t>
      </w:r>
      <w:proofErr w:type="spellStart"/>
      <w:r w:rsidRPr="005103F4">
        <w:rPr>
          <w:i/>
        </w:rPr>
        <w:t>oryzae</w:t>
      </w:r>
      <w:proofErr w:type="spellEnd"/>
      <w:r>
        <w:t xml:space="preserve">: The effect of </w:t>
      </w:r>
      <w:r w:rsidR="006B4D8D">
        <w:t>Alkaline-</w:t>
      </w:r>
      <w:r w:rsidR="00DF30B4">
        <w:t xml:space="preserve">Earth </w:t>
      </w:r>
      <w:r>
        <w:t>Carbonate Buffer</w:t>
      </w:r>
      <w:r w:rsidR="00DF30B4">
        <w:t xml:space="preserve"> Identity</w:t>
      </w:r>
    </w:p>
    <w:p w14:paraId="0488FED2" w14:textId="7583F715" w:rsidR="00B57E6F" w:rsidRPr="00B57B36" w:rsidRDefault="00DF30B4" w:rsidP="00B57E6F">
      <w:pPr>
        <w:pStyle w:val="CETAuthors"/>
      </w:pPr>
      <w:r w:rsidRPr="005103F4">
        <w:t>Hendrik Brink*</w:t>
      </w:r>
      <w:r>
        <w:t xml:space="preserve">, </w:t>
      </w:r>
      <w:r w:rsidR="005103F4" w:rsidRPr="005103F4">
        <w:t>Monique Geyer-Johnson, Willie Nicol</w:t>
      </w:r>
    </w:p>
    <w:p w14:paraId="3D72B0B0" w14:textId="5FC35DC8" w:rsidR="00B57E6F" w:rsidRPr="00B57B36" w:rsidRDefault="005103F4" w:rsidP="00B57E6F">
      <w:pPr>
        <w:pStyle w:val="CETAddress"/>
      </w:pPr>
      <w:r w:rsidRPr="005103F4">
        <w:t>Department of Chemical Engineering, University of Pretoria, Lynnwood, South Africa</w:t>
      </w:r>
      <w:r w:rsidR="00B57E6F" w:rsidRPr="00B57B36">
        <w:t xml:space="preserve"> </w:t>
      </w:r>
    </w:p>
    <w:p w14:paraId="73F1267A" w14:textId="03E7EA2B" w:rsidR="00B57E6F" w:rsidRPr="00B57B36" w:rsidRDefault="005103F4" w:rsidP="00B57E6F">
      <w:pPr>
        <w:pStyle w:val="CETemail"/>
      </w:pPr>
      <w:r>
        <w:t>deon.brink@up.ac.za</w:t>
      </w:r>
    </w:p>
    <w:p w14:paraId="573913F3" w14:textId="7B7DBDF9" w:rsidR="005103F4" w:rsidRDefault="005A3968" w:rsidP="00600535">
      <w:pPr>
        <w:pStyle w:val="CETBodytext"/>
        <w:rPr>
          <w:lang w:val="en-GB"/>
        </w:rPr>
      </w:pPr>
      <w:r w:rsidRPr="00A30C11">
        <w:rPr>
          <w:lang w:val="en-GB"/>
        </w:rPr>
        <w:t xml:space="preserve">Malic acid is a specialty chemical that is currently mainly used in the food and beverage industry (market value </w:t>
      </w:r>
      <w:r w:rsidR="00D55087">
        <w:rPr>
          <w:lang w:val="en-GB"/>
        </w:rPr>
        <w:t xml:space="preserve">of </w:t>
      </w:r>
      <w:r w:rsidRPr="00A30C11">
        <w:rPr>
          <w:lang w:val="en-GB"/>
        </w:rPr>
        <w:t xml:space="preserve">$182 million) but has a potential market value of $3.5 billion if used to produce maleic anhydride. </w:t>
      </w:r>
      <w:r w:rsidR="005103F4" w:rsidRPr="00A30C11">
        <w:rPr>
          <w:lang w:val="en-GB"/>
        </w:rPr>
        <w:t xml:space="preserve">The results from the study indicated that the production of malic acid by </w:t>
      </w:r>
      <w:r w:rsidR="005103F4" w:rsidRPr="00A30C11">
        <w:rPr>
          <w:i/>
          <w:lang w:val="en-GB"/>
        </w:rPr>
        <w:t xml:space="preserve">A. </w:t>
      </w:r>
      <w:proofErr w:type="spellStart"/>
      <w:r w:rsidR="005103F4" w:rsidRPr="00A30C11">
        <w:rPr>
          <w:i/>
          <w:lang w:val="en-GB"/>
        </w:rPr>
        <w:t>oryzae</w:t>
      </w:r>
      <w:proofErr w:type="spellEnd"/>
      <w:r w:rsidR="005103F4" w:rsidRPr="00A30C11">
        <w:rPr>
          <w:lang w:val="en-GB"/>
        </w:rPr>
        <w:t xml:space="preserve"> requires the presence of the alkaline earth metals calcium or magnesium in significant quantities. </w:t>
      </w:r>
      <w:r w:rsidR="00A30C11">
        <w:rPr>
          <w:lang w:val="en-GB"/>
        </w:rPr>
        <w:t>It was observed that replacing an amount of CaCO</w:t>
      </w:r>
      <w:r w:rsidR="00A30C11">
        <w:rPr>
          <w:vertAlign w:val="subscript"/>
          <w:lang w:val="en-GB"/>
        </w:rPr>
        <w:t>3</w:t>
      </w:r>
      <w:r w:rsidR="00A30C11">
        <w:rPr>
          <w:lang w:val="en-GB"/>
        </w:rPr>
        <w:t xml:space="preserve"> (</w:t>
      </w:r>
      <w:r w:rsidR="007472D1">
        <w:rPr>
          <w:lang w:val="en-GB"/>
        </w:rPr>
        <w:t>240</w:t>
      </w:r>
      <w:r w:rsidR="00A30C11">
        <w:rPr>
          <w:lang w:val="en-GB"/>
        </w:rPr>
        <w:t xml:space="preserve"> g.</w:t>
      </w:r>
      <w:r w:rsidR="00790F94">
        <w:rPr>
          <w:lang w:val="en-GB"/>
        </w:rPr>
        <w:t>l</w:t>
      </w:r>
      <w:r w:rsidR="00A30C11">
        <w:rPr>
          <w:vertAlign w:val="superscript"/>
          <w:lang w:val="en-GB"/>
        </w:rPr>
        <w:t>-1</w:t>
      </w:r>
      <w:r w:rsidR="00A30C11">
        <w:rPr>
          <w:lang w:val="en-GB"/>
        </w:rPr>
        <w:t xml:space="preserve"> CaCO</w:t>
      </w:r>
      <w:r w:rsidR="00A30C11">
        <w:rPr>
          <w:vertAlign w:val="subscript"/>
          <w:lang w:val="en-GB"/>
        </w:rPr>
        <w:t>3</w:t>
      </w:r>
      <w:r w:rsidR="00A30C11">
        <w:rPr>
          <w:lang w:val="en-GB"/>
        </w:rPr>
        <w:t xml:space="preserve">), significantly </w:t>
      </w:r>
      <w:r w:rsidR="00CB158C">
        <w:rPr>
          <w:lang w:val="en-GB"/>
        </w:rPr>
        <w:t>over</w:t>
      </w:r>
      <w:r w:rsidR="00A30C11">
        <w:rPr>
          <w:lang w:val="en-GB"/>
        </w:rPr>
        <w:t xml:space="preserve"> that required for pH buffering (21 g.</w:t>
      </w:r>
      <w:r w:rsidR="00790F94">
        <w:rPr>
          <w:lang w:val="en-GB"/>
        </w:rPr>
        <w:t>l</w:t>
      </w:r>
      <w:r w:rsidR="00A30C11">
        <w:rPr>
          <w:vertAlign w:val="superscript"/>
          <w:lang w:val="en-GB"/>
        </w:rPr>
        <w:t>-1</w:t>
      </w:r>
      <w:r w:rsidR="00A30C11">
        <w:rPr>
          <w:lang w:val="en-GB"/>
        </w:rPr>
        <w:t xml:space="preserve"> CaCO</w:t>
      </w:r>
      <w:r w:rsidR="00A30C11">
        <w:rPr>
          <w:vertAlign w:val="subscript"/>
          <w:lang w:val="en-GB"/>
        </w:rPr>
        <w:t>3</w:t>
      </w:r>
      <w:r w:rsidR="00A30C11">
        <w:rPr>
          <w:lang w:val="en-GB"/>
        </w:rPr>
        <w:t xml:space="preserve">), with </w:t>
      </w:r>
      <w:r w:rsidR="00D55087">
        <w:rPr>
          <w:lang w:val="en-GB"/>
        </w:rPr>
        <w:t>an</w:t>
      </w:r>
      <w:r w:rsidR="00A30C11">
        <w:rPr>
          <w:lang w:val="en-GB"/>
        </w:rPr>
        <w:t xml:space="preserve"> equivalent amount of MgCO</w:t>
      </w:r>
      <w:r w:rsidR="00A30C11">
        <w:rPr>
          <w:vertAlign w:val="subscript"/>
          <w:lang w:val="en-GB"/>
        </w:rPr>
        <w:t>3</w:t>
      </w:r>
      <w:r w:rsidR="00A30C11">
        <w:rPr>
          <w:lang w:val="en-GB"/>
        </w:rPr>
        <w:t xml:space="preserve"> (</w:t>
      </w:r>
      <w:r w:rsidR="007472D1">
        <w:rPr>
          <w:lang w:val="en-GB"/>
        </w:rPr>
        <w:t>192</w:t>
      </w:r>
      <w:r w:rsidR="00A30C11">
        <w:rPr>
          <w:lang w:val="en-GB"/>
        </w:rPr>
        <w:t xml:space="preserve"> g.</w:t>
      </w:r>
      <w:r w:rsidR="00790F94">
        <w:rPr>
          <w:lang w:val="en-GB"/>
        </w:rPr>
        <w:t>l</w:t>
      </w:r>
      <w:r w:rsidR="00A30C11" w:rsidRPr="00A30C11">
        <w:rPr>
          <w:vertAlign w:val="superscript"/>
          <w:lang w:val="en-GB"/>
        </w:rPr>
        <w:t>-1</w:t>
      </w:r>
      <w:r w:rsidR="00A30C11">
        <w:rPr>
          <w:lang w:val="en-GB"/>
        </w:rPr>
        <w:t xml:space="preserve"> </w:t>
      </w:r>
      <w:r w:rsidR="00A30C11" w:rsidRPr="00A30C11">
        <w:rPr>
          <w:lang w:val="en-GB"/>
        </w:rPr>
        <w:t>MgCO</w:t>
      </w:r>
      <w:r w:rsidR="00A30C11" w:rsidRPr="00A30C11">
        <w:rPr>
          <w:vertAlign w:val="subscript"/>
          <w:lang w:val="en-GB"/>
        </w:rPr>
        <w:t>3</w:t>
      </w:r>
      <w:r w:rsidR="00A30C11">
        <w:rPr>
          <w:lang w:val="en-GB"/>
        </w:rPr>
        <w:t xml:space="preserve"> </w:t>
      </w:r>
      <w:r w:rsidR="00A30C11" w:rsidRPr="00A30C11">
        <w:rPr>
          <w:lang w:val="en-GB"/>
        </w:rPr>
        <w:t>based</w:t>
      </w:r>
      <w:r w:rsidR="00A30C11">
        <w:rPr>
          <w:lang w:val="en-GB"/>
        </w:rPr>
        <w:t xml:space="preserve"> on </w:t>
      </w:r>
      <w:r w:rsidR="00A30C11" w:rsidRPr="00A30C11">
        <w:rPr>
          <w:lang w:val="en-GB"/>
        </w:rPr>
        <w:t>C</w:t>
      </w:r>
      <w:r w:rsidR="00A30C11">
        <w:rPr>
          <w:lang w:val="en-GB"/>
        </w:rPr>
        <w:t>O</w:t>
      </w:r>
      <w:r w:rsidR="00A30C11" w:rsidRPr="00A30C11">
        <w:rPr>
          <w:vertAlign w:val="subscript"/>
          <w:lang w:val="en-GB"/>
        </w:rPr>
        <w:t>3</w:t>
      </w:r>
      <w:r w:rsidR="00A30C11">
        <w:rPr>
          <w:vertAlign w:val="superscript"/>
          <w:lang w:val="en-GB"/>
        </w:rPr>
        <w:t>2+</w:t>
      </w:r>
      <w:r w:rsidR="00A30C11">
        <w:rPr>
          <w:lang w:val="en-GB"/>
        </w:rPr>
        <w:t xml:space="preserve">) results in similar malic acid yields and final malic acid </w:t>
      </w:r>
      <w:proofErr w:type="spellStart"/>
      <w:r w:rsidR="00D55087">
        <w:rPr>
          <w:lang w:val="en-GB"/>
        </w:rPr>
        <w:t>titers</w:t>
      </w:r>
      <w:proofErr w:type="spellEnd"/>
      <w:r w:rsidR="00A30C11">
        <w:rPr>
          <w:lang w:val="en-GB"/>
        </w:rPr>
        <w:t>. In contrast</w:t>
      </w:r>
      <w:r w:rsidR="00D55087">
        <w:rPr>
          <w:lang w:val="en-GB"/>
        </w:rPr>
        <w:t>,</w:t>
      </w:r>
      <w:r w:rsidR="00A30C11">
        <w:rPr>
          <w:lang w:val="en-GB"/>
        </w:rPr>
        <w:t xml:space="preserve"> a marked reduction in glucose consumption and malic acid production rates were observed. </w:t>
      </w:r>
      <w:r w:rsidR="005103F4" w:rsidRPr="00A30C11">
        <w:rPr>
          <w:lang w:val="en-GB"/>
        </w:rPr>
        <w:t>Th</w:t>
      </w:r>
      <w:r w:rsidR="00A30C11">
        <w:rPr>
          <w:lang w:val="en-GB"/>
        </w:rPr>
        <w:t>ese observations</w:t>
      </w:r>
      <w:r w:rsidR="005103F4" w:rsidRPr="00A30C11">
        <w:rPr>
          <w:lang w:val="en-GB"/>
        </w:rPr>
        <w:t xml:space="preserve"> </w:t>
      </w:r>
      <w:r w:rsidR="00A30C11">
        <w:rPr>
          <w:lang w:val="en-GB"/>
        </w:rPr>
        <w:t>are</w:t>
      </w:r>
      <w:r w:rsidR="005103F4" w:rsidRPr="00A30C11">
        <w:rPr>
          <w:lang w:val="en-GB"/>
        </w:rPr>
        <w:t xml:space="preserve"> likely due to an evolutionary response to calcareous soils. These soils tend to immobilize minerals in solid precipitates resulting in nutrient depletion, while the production of malic acid solubilizes these minerals making them bioavailable.</w:t>
      </w:r>
      <w:r w:rsidR="00A30C11">
        <w:rPr>
          <w:lang w:val="en-GB"/>
        </w:rPr>
        <w:t xml:space="preserve"> The higher rates observed for the calcium vs magnesium runs were likely a result of the stimulatory effect of Ca</w:t>
      </w:r>
      <w:r w:rsidR="00A30C11">
        <w:rPr>
          <w:vertAlign w:val="superscript"/>
          <w:lang w:val="en-GB"/>
        </w:rPr>
        <w:t>2+</w:t>
      </w:r>
      <w:r w:rsidR="00A30C11">
        <w:rPr>
          <w:lang w:val="en-GB"/>
        </w:rPr>
        <w:t xml:space="preserve"> on the ATP generating pathways as well as several regulatory responses within the fungal physiology.</w:t>
      </w:r>
      <w:r w:rsidR="005103F4" w:rsidRPr="00A30C11">
        <w:rPr>
          <w:lang w:val="en-GB"/>
        </w:rPr>
        <w:t xml:space="preserve"> In addition, it was found that </w:t>
      </w:r>
      <w:r w:rsidR="005103F4" w:rsidRPr="00A30C11">
        <w:rPr>
          <w:i/>
          <w:lang w:val="en-GB"/>
        </w:rPr>
        <w:t xml:space="preserve">A. </w:t>
      </w:r>
      <w:proofErr w:type="spellStart"/>
      <w:r w:rsidR="005103F4" w:rsidRPr="00A30C11">
        <w:rPr>
          <w:i/>
          <w:lang w:val="en-GB"/>
        </w:rPr>
        <w:t>oryzae</w:t>
      </w:r>
      <w:proofErr w:type="spellEnd"/>
      <w:r w:rsidR="005103F4" w:rsidRPr="00A30C11">
        <w:rPr>
          <w:lang w:val="en-GB"/>
        </w:rPr>
        <w:t xml:space="preserve"> was capable of assimilating malic acid from the environment</w:t>
      </w:r>
      <w:r w:rsidR="00D55087">
        <w:rPr>
          <w:lang w:val="en-GB"/>
        </w:rPr>
        <w:t>, therefore,</w:t>
      </w:r>
      <w:r w:rsidR="005103F4" w:rsidRPr="00A30C11">
        <w:rPr>
          <w:lang w:val="en-GB"/>
        </w:rPr>
        <w:t xml:space="preserve"> minimizing the loss of valuable carbon due to malic acid excretion. This study provide</w:t>
      </w:r>
      <w:r w:rsidR="00A30C11">
        <w:rPr>
          <w:lang w:val="en-GB"/>
        </w:rPr>
        <w:t>s</w:t>
      </w:r>
      <w:r w:rsidR="005103F4" w:rsidRPr="00A30C11">
        <w:rPr>
          <w:lang w:val="en-GB"/>
        </w:rPr>
        <w:t xml:space="preserve"> invaluable information required for economically viable malic acid production by </w:t>
      </w:r>
      <w:r w:rsidR="005103F4" w:rsidRPr="00A30C11">
        <w:rPr>
          <w:i/>
          <w:lang w:val="en-GB"/>
        </w:rPr>
        <w:t xml:space="preserve">A. </w:t>
      </w:r>
      <w:proofErr w:type="spellStart"/>
      <w:r w:rsidR="005103F4" w:rsidRPr="00A30C11">
        <w:rPr>
          <w:i/>
          <w:lang w:val="en-GB"/>
        </w:rPr>
        <w:t>oryzae</w:t>
      </w:r>
      <w:proofErr w:type="spellEnd"/>
      <w:r w:rsidR="005103F4" w:rsidRPr="00A30C11">
        <w:rPr>
          <w:lang w:val="en-GB"/>
        </w:rPr>
        <w:t xml:space="preserve"> which could markedly reduce reliance on the petrochemical industry</w:t>
      </w:r>
      <w:bookmarkStart w:id="0" w:name="_Hlk495475023"/>
      <w:r w:rsidR="005103F4" w:rsidRPr="00A30C11">
        <w:rPr>
          <w:lang w:val="en-GB"/>
        </w:rPr>
        <w:t>.</w:t>
      </w:r>
    </w:p>
    <w:bookmarkEnd w:id="0"/>
    <w:p w14:paraId="476B2F2E" w14:textId="77777777" w:rsidR="00600535" w:rsidRPr="00B57B36" w:rsidRDefault="00600535" w:rsidP="00600535">
      <w:pPr>
        <w:pStyle w:val="CETHeading1"/>
        <w:rPr>
          <w:lang w:val="en-GB"/>
        </w:rPr>
      </w:pPr>
      <w:r w:rsidRPr="00B57B36">
        <w:rPr>
          <w:lang w:val="en-GB"/>
        </w:rPr>
        <w:t>Introduction</w:t>
      </w:r>
    </w:p>
    <w:p w14:paraId="76B8F298" w14:textId="23A4F3F7" w:rsidR="00C01191" w:rsidRPr="007472D1" w:rsidRDefault="00C01191" w:rsidP="00C01191">
      <w:pPr>
        <w:pStyle w:val="ListParagraph"/>
        <w:ind w:left="0"/>
      </w:pPr>
      <w:bookmarkStart w:id="1" w:name="_Toc77324342"/>
      <w:r w:rsidRPr="007472D1">
        <w:t xml:space="preserve">Developing a sustainable society requires a significant industrial shift away from petroleum-based products and towards renewable and bio-based technologies. This shift has been supported by renewed interest by consumers in natural, biodegradable, and environmentally friendly products </w:t>
      </w:r>
      <w:r w:rsidRPr="007472D1">
        <w:fldChar w:fldCharType="begin" w:fldLock="1"/>
      </w:r>
      <w:r w:rsidRPr="007472D1">
        <w:instrText>ADDIN CSL_CITATION {"citationItems":[{"id":"ITEM-1","itemData":{"DOI":"10.1007/s10295-014-1575-4","ISBN":"1029501415754","ISSN":"14765535","PMID":"25557737","abstract":"Various economic and environmental sustainability concerns as well as consumer preference for bio-based products from natural sources have paved the way for the development and expansion of biorefining technologies. These involve the conversion of renewable biomass feedstock to fuels and chemicals using biological systems as alternatives to petroleum-based products. Filamentous fungi possess an expansive portfolio of products including the multifunctional organic acids itaconic, fumaric, and malic acids that have wide-ranging current applications and potentially addressable markets as platform chemicals. However, current bioprocessing technologies for the production of these compounds are mostly based on submerged fermentation, which necessitates physicochemical pretreatment and hydrolysis of lignocellulose biomass to soluble fermentable sugars in liquid media. This review will focus on current research work on fungal production of itaconic, fumaric, and malic acids and perspectives on the potential application of solid-state fungal cultivation techniques for the consolidated hydrolysis and organic acid fermentation of lignocellulosic biomass.","author":[{"dropping-particle":"","family":"Mondala","given":"Andro H.","non-dropping-particle":"","parse-names":false,"suffix":""}],"container-title":"Journal of Industrial Microbiology and Biotechnology","id":"ITEM-1","issue":"4","issued":{"date-parts":[["2015"]]},"page":"487-506","title":"Direct fungal fermentation of lignocellulosic biomass into itaconic, fumaric, and malic acids: current and future prospects","type":"article-journal","volume":"42"},"uris":["http://www.mendeley.com/documents/?uuid=645afc8b-de37-4ee9-bffe-26a251e3c355"]}],"mendeley":{"formattedCitation":"(Mondala, 2015)","plainTextFormattedCitation":"(Mondala, 2015)","previouslyFormattedCitation":"(Mondala, 2015)"},"properties":{"noteIndex":0},"schema":"https://github.com/citation-style-language/schema/raw/master/csl-citation.json"}</w:instrText>
      </w:r>
      <w:r w:rsidRPr="007472D1">
        <w:fldChar w:fldCharType="separate"/>
      </w:r>
      <w:r w:rsidRPr="007472D1">
        <w:rPr>
          <w:noProof/>
        </w:rPr>
        <w:t>(Mondala, 2015)</w:t>
      </w:r>
      <w:r w:rsidRPr="007472D1">
        <w:fldChar w:fldCharType="end"/>
      </w:r>
      <w:r w:rsidR="007472D1">
        <w:t>.</w:t>
      </w:r>
      <w:r w:rsidRPr="007472D1">
        <w:t xml:space="preserve"> As part of its drive towards bio-based products, the US Department of Energy has identified 12 priority platform chemicals required for bio-based chemical production; malic acid – along with the other two four carbon diprotic organic acids succinic- and fumaric acids</w:t>
      </w:r>
      <w:r w:rsidR="00790F94">
        <w:t>-</w:t>
      </w:r>
      <w:r w:rsidRPr="007472D1">
        <w:t xml:space="preserve"> being considered among these </w:t>
      </w:r>
      <w:r w:rsidRPr="007472D1">
        <w:fldChar w:fldCharType="begin" w:fldLock="1"/>
      </w:r>
      <w:r w:rsidRPr="007472D1">
        <w:instrText>ADDIN CSL_CITATION {"citationItems":[{"id":"ITEM-1","itemData":{"author":[{"dropping-particle":"","family":"Werpy","given":"T","non-dropping-particle":"","parse-names":false,"suffix":""},{"dropping-particle":"","family":"Petersen","given":"Gene R.","non-dropping-particle":"","parse-names":false,"suffix":""}],"id":"ITEM-1","issued":{"date-parts":[["2004"]]},"publisher":"National Renewable Energy Laboratory","publisher-place":"Golden","title":"Top value added chemicals from biomass. Volume 1-results of screening for potential candidates from sugars and synthesis gas","type":"book"},"uris":["http://www.mendeley.com/documents/?uuid=6eb56896-8eed-48f5-8c96-e1996f03d236"]}],"mendeley":{"formattedCitation":"(Werpy and Petersen, 2004)","plainTextFormattedCitation":"(Werpy and Petersen, 2004)","previouslyFormattedCitation":"(Werpy and Petersen, 2004)"},"properties":{"noteIndex":0},"schema":"https://github.com/citation-style-language/schema/raw/master/csl-citation.json"}</w:instrText>
      </w:r>
      <w:r w:rsidRPr="007472D1">
        <w:fldChar w:fldCharType="separate"/>
      </w:r>
      <w:r w:rsidRPr="007472D1">
        <w:rPr>
          <w:noProof/>
        </w:rPr>
        <w:t>(Werpy and Petersen, 2004)</w:t>
      </w:r>
      <w:r w:rsidRPr="007472D1">
        <w:fldChar w:fldCharType="end"/>
      </w:r>
      <w:r w:rsidR="007472D1">
        <w:t>.</w:t>
      </w:r>
      <w:r w:rsidRPr="007472D1">
        <w:t xml:space="preserve"> The current worldwide demand for malate is reported to be 200 </w:t>
      </w:r>
      <w:proofErr w:type="spellStart"/>
      <w:r w:rsidRPr="007472D1">
        <w:t>kt</w:t>
      </w:r>
      <w:proofErr w:type="spellEnd"/>
      <w:r w:rsidRPr="007472D1">
        <w:t xml:space="preserve">/a </w:t>
      </w:r>
      <w:r w:rsidRPr="007472D1">
        <w:fldChar w:fldCharType="begin" w:fldLock="1"/>
      </w:r>
      <w:r w:rsidRPr="007472D1">
        <w:instrText>ADDIN CSL_CITATION {"citationItems":[{"id":"ITEM-1","itemData":{"DOI":"10.3109/07388551.2014.924474","ISBN":"0086532820","ISSN":"15497801","PMID":"25025277","abstract":"L-Malic acid has many uses in food, beverage, pharmaceutical, chemical and medical industries. It can be produced by one-step fermentation, enzymatic transformation of fumaric acid to l-malate and acid hydrolysis of polymalic acid. However, the process for one-step fermentation is preferred as it has many advantages over any other process. The pathways of l-malic acid biosynthesis in microorganisms are partially clear and three metabolic pathways including non-oxidative pathway, oxidative pathway and glyoxylate cycle for the production of l-malic acid from glucose have been identified. Usually, high levels of l-malate are produced under the nitrogen starvation conditions, l-malate, as a calcium salt, is secreted from microbial cells and CaCO3 can play an important role in calcium malate biosynthesis and regulation. However, it is still unclear how it is secreted into the medium. To enhance l-malate biosynthesis and secretion by microbial cells, it is very important to study the mechanisms of l-malic acid biosynthesis and secretion at enzymatic and molecular levels.","author":[{"dropping-particle":"","family":"Chi","given":"Zhe","non-dropping-particle":"","parse-names":false,"suffix":""},{"dropping-particle":"","family":"Wang","given":"Zhi Peng","non-dropping-particle":"","parse-names":false,"suffix":""},{"dropping-particle":"","family":"Wang","given":"Guang Yuan","non-dropping-particle":"","parse-names":false,"suffix":""},{"dropping-particle":"","family":"Khan","given":"Ibrar","non-dropping-particle":"","parse-names":false,"suffix":""},{"dropping-particle":"","family":"Chi","given":"Zhen Ming","non-dropping-particle":"","parse-names":false,"suffix":""}],"container-title":"Critical Reviews in Biotechnology","id":"ITEM-1","issue":"1","issued":{"date-parts":[["2016"]]},"page":"99-107","title":"Microbial biosynthesis and secretion of l-malic acid and its applications","type":"article-journal","volume":"36"},"uris":["http://www.mendeley.com/documents/?uuid=ea8cb322-cf96-4672-9a66-d4c53e52b7c9"]}],"mendeley":{"formattedCitation":"(Chi et al., 2016)","plainTextFormattedCitation":"(Chi et al., 2016)","previouslyFormattedCitation":"(Chi et al., 2016)"},"properties":{"noteIndex":0},"schema":"https://github.com/citation-style-language/schema/raw/master/csl-citation.json"}</w:instrText>
      </w:r>
      <w:r w:rsidRPr="007472D1">
        <w:fldChar w:fldCharType="separate"/>
      </w:r>
      <w:r w:rsidRPr="007472D1">
        <w:rPr>
          <w:noProof/>
        </w:rPr>
        <w:t>(Chi et al., 2016)</w:t>
      </w:r>
      <w:r w:rsidRPr="007472D1">
        <w:fldChar w:fldCharType="end"/>
      </w:r>
      <w:r w:rsidRPr="007472D1">
        <w:t xml:space="preserve"> while the current international supply of L-malic acid is estimated at 40 </w:t>
      </w:r>
      <w:proofErr w:type="spellStart"/>
      <w:r w:rsidRPr="007472D1">
        <w:t>kt</w:t>
      </w:r>
      <w:proofErr w:type="spellEnd"/>
      <w:r w:rsidRPr="007472D1">
        <w:t xml:space="preserve">/a </w:t>
      </w:r>
      <w:r w:rsidRPr="007472D1">
        <w:fldChar w:fldCharType="begin" w:fldLock="1"/>
      </w:r>
      <w:r w:rsidRPr="007472D1">
        <w:instrText>ADDIN CSL_CITATION {"citationItems":[{"id":"ITEM-1","itemData":{"DOI":"10.1007/s11274-017-2349-8","ISBN":"0123456789","ISSN":"15730972","PMID":"29214355","abstract":"As intermediates in the TCA cycle, l-malate and its derivatives have been widely applied in the food, pharmaceutical, agriculture, and bio-based material industries. In recent years, biological routes have been regarded as very promising approaches as cost-effective ways to l-malate production from low-priced raw materials. In this mini-review, we provide a comprehensive overview of current developments of l-malate production using both biocatalysis and microbial fermentation. Biocatalysis is enzymatic transformation of fumarate to l-malate, here, the source of enzymes, catalytic conditions, and enzymatic molecular modification may be concluded. For microbial fermentation, the types of microorganisms, genetic characteristics, biosynthetic pathways, metabolic engineering strategies, fermentation substrates, and optimization of cultivation conditions have been discussed and compared. Furthermore, the combination of enzyme and metabolic engineering has also been summarized. In future, we also expect that novel biological approaches using industrially relevant strains and renewable raw materials can overcome the technical challenges involved in cost-efficient l-malate production.","author":[{"dropping-particle":"","family":"Liu","given":"Jingjing","non-dropping-particle":"","parse-names":false,"suffix":""},{"dropping-particle":"","family":"Li","given":"Jianghua","non-dropping-particle":"","parse-names":false,"suffix":""},{"dropping-particle":"","family":"Shin","given":"Hyun dong","non-dropping-particle":"","parse-names":false,"suffix":""},{"dropping-particle":"","family":"Du","given":"Guocheng","non-dropping-particle":"","parse-names":false,"suffix":""},{"dropping-particle":"","family":"Chen","given":"Jian","non-dropping-particle":"","parse-names":false,"suffix":""},{"dropping-particle":"","family":"Liu","given":"Long","non-dropping-particle":"","parse-names":false,"suffix":""}],"container-title":"World Journal of Microbiology and Biotechnology","id":"ITEM-1","issue":"1","issued":{"date-parts":[["2018"]]},"page":"1-8","publisher":"Springer Netherlands","title":"Biological production of l-malate: recent advances and future prospects","type":"article-journal","volume":"34"},"uris":["http://www.mendeley.com/documents/?uuid=198d5ca5-dd93-4b7e-8803-99a0413073ab"]}],"mendeley":{"formattedCitation":"(Liu et al., 2018)","plainTextFormattedCitation":"(Liu et al., 2018)","previouslyFormattedCitation":"(Liu et al., 2018)"},"properties":{"noteIndex":0},"schema":"https://github.com/citation-style-language/schema/raw/master/csl-citation.json"}</w:instrText>
      </w:r>
      <w:r w:rsidRPr="007472D1">
        <w:fldChar w:fldCharType="separate"/>
      </w:r>
      <w:r w:rsidRPr="007472D1">
        <w:rPr>
          <w:noProof/>
        </w:rPr>
        <w:t>(Liu et al., 2018)</w:t>
      </w:r>
      <w:r w:rsidRPr="007472D1">
        <w:fldChar w:fldCharType="end"/>
      </w:r>
      <w:r w:rsidR="007472D1">
        <w:t>.</w:t>
      </w:r>
      <w:r w:rsidRPr="007472D1">
        <w:t xml:space="preserve"> Currently</w:t>
      </w:r>
      <w:r w:rsidR="00D55087">
        <w:t>,</w:t>
      </w:r>
      <w:r w:rsidRPr="007472D1">
        <w:t xml:space="preserve"> malic acid is commercially produced by the catalytic hydration of maleic or fumaric acid, both derived from maleic anhydride. Maleic anhydride is, in turn, produced from </w:t>
      </w:r>
      <w:r w:rsidR="00D55087">
        <w:t>vapor</w:t>
      </w:r>
      <w:r w:rsidRPr="007472D1">
        <w:t xml:space="preserve"> phase oxidation of hydrocarbons, most prominently butane </w:t>
      </w:r>
      <w:r w:rsidRPr="007472D1">
        <w:fldChar w:fldCharType="begin" w:fldLock="1"/>
      </w:r>
      <w:r w:rsidRPr="007472D1">
        <w:instrText>ADDIN CSL_CITATION {"citationItems":[{"id":"ITEM-1","itemData":{"DOI":"10.1007/s12010-007-9031-9","ISBN":"0273-2289","ISSN":"0273-2289","abstract":"Abstract Little information is yet available on the economic viability of the production of bio-based bulk chemicals and intermediates from white biotechnology (WB). This paper details a methodology to systematically evaluate the techno-economic prospects of present and future production routes of bio-based bulk chemicals produced with WB. Current and future technology routes are evaluated for 15 products assuming prices of fermentable sugar between 70 ie/t and 400 ie/t and crude oil prices of US $25/barrel and US $50/barrel. The results are compared to current technology routes of petrochemical equivalents. For current state-of-the-art WB processes and a crude oil price of US $25/barrel, WB-based ethanol, 1,3-propanediol, polytrimethylene terephthalate and succinic acid are economically viable. Only three WB products are economically not viable for future technology: acetic acid, ethylene and PLA. Future-technology ethylene and PLA become economically viable for a higher crude oil price (US $50/barrel). Production costs plus profits of WB products decrease by 20</w:instrText>
      </w:r>
      <w:r w:rsidRPr="007472D1">
        <w:rPr>
          <w:rFonts w:ascii="Tahoma" w:hAnsi="Tahoma" w:cs="Tahoma"/>
        </w:rPr>
        <w:instrText>�</w:instrText>
      </w:r>
      <w:r w:rsidRPr="007472D1">
        <w:instrText>_\"50% when changing from current to future technology for a crude oil price of US $25 per barrel and across all sugar prices. Technological progress in WB can thus contribute significantly to improved economic viability of WB products. A large-scale introduction of WB-based production of economically viable bulk chemicals would therefore be desirable if the environmental impacts are smaller than those of current petrochemical production routes","author":[{"dropping-particle":"","family":"Hermann","given":"B. G.","non-dropping-particle":"","parse-names":false,"suffix":""},{"dropping-particle":"","family":"Patel","given":"M","non-dropping-particle":"","parse-names":false,"suffix":""}],"container-title":"Applied Biochemistry and Biotechnology","id":"ITEM-1","issue":"3","issued":{"date-parts":[["2007","3"]]},"page":"361-388","title":"Today’s and tomorrow’s bio-based bulk chemicals from white biotechnology","type":"article-journal","volume":"136"},"uris":["http://www.mendeley.com/documents/?uuid=ddda6a1c-6f57-419e-9ea6-48627ba991b9"]}],"mendeley":{"formattedCitation":"(Hermann and Patel, 2007)","plainTextFormattedCitation":"(Hermann and Patel, 2007)","previouslyFormattedCitation":"(Hermann and Patel, 2007)"},"properties":{"noteIndex":0},"schema":"https://github.com/citation-style-language/schema/raw/master/csl-citation.json"}</w:instrText>
      </w:r>
      <w:r w:rsidRPr="007472D1">
        <w:fldChar w:fldCharType="separate"/>
      </w:r>
      <w:r w:rsidRPr="007472D1">
        <w:rPr>
          <w:noProof/>
        </w:rPr>
        <w:t>(Hermann and Patel, 2007)</w:t>
      </w:r>
      <w:r w:rsidRPr="007472D1">
        <w:fldChar w:fldCharType="end"/>
      </w:r>
      <w:r w:rsidR="007472D1">
        <w:t>.</w:t>
      </w:r>
      <w:r w:rsidRPr="007472D1">
        <w:t xml:space="preserve"> Unfortunately, this synthetic pathway produces a racemic mixture of L– and D–malic acid which is unsuitable for the food and beverage industry where malic acid is </w:t>
      </w:r>
      <w:r w:rsidR="00D55087">
        <w:t>utilized</w:t>
      </w:r>
      <w:r w:rsidRPr="007472D1">
        <w:t xml:space="preserve"> as an acidulant </w:t>
      </w:r>
      <w:r w:rsidRPr="007472D1">
        <w:fldChar w:fldCharType="begin" w:fldLock="1"/>
      </w:r>
      <w:r w:rsidRPr="007472D1">
        <w:instrText>ADDIN CSL_CITATION {"citationItems":[{"id":"ITEM-1","itemData":{"DOI":"10.1007/s00253-013-5465-x","ISSN":"14320614","PMID":"24413918","abstract":"Malic acid is a C4 dicarboxylic acid that is currently mainly used in the food and beverages industry as an acidulant. Because of the versatility of the group of C4 dicarboxylic acids, the chemical industry has a growing interest in this chemical compound. As malic acid will be considered as a bulk chemical, microbial production requires organisms that sustain high rates, yields, and titers. Aspergillus oryzae is mainly known as an industrial enzyme producer, but it was also shown that it has a very competitive natural production capacity for malic acid. Recently, an engineered A. oryzae strain, 2103a-68, was presented which overexpressed pyruvate carboxylase, malate dehydrogenase, and a malic acid transporter. In this work, we report a detailed characterization of this strain including detailed rates and yields under malic acid production conditions. Furthermore, transcript levels of the genes of interest and corresponding enzyme activities were measured. On glucose as carbon source, 2103a-68 was able to secrete malic acid at a maximum specific production rate during stationary phase of 1.87 mmol (g dry weight (DW))(-1) h(-1) and with a yield of 1.49 mol mol(-1). Intracellular fluxes were obtained using (13)C flux analysis during exponential growth, supporting the success of the metabolic engineering strategy of increasing flux through the reductive cytosolic tricarboxylic acid (rTCA) branch. Additional cultivations using xylose and a glucose/xylose mixture demonstrated that A. oryzae is able to efficiently metabolize pentoses and hexoses to produce malic acid at high titers, rates, and yields.","author":[{"dropping-particle":"","family":"Knuf","given":"Christoph","non-dropping-particle":"","parse-names":false,"suffix":""},{"dropping-particle":"","family":"Nookaew","given":"Intawat","non-dropping-particle":"","parse-names":false,"suffix":""},{"dropping-particle":"","family":"Remmers","given":"Ilse","non-dropping-particle":"","parse-names":false,"suffix":""},{"dropping-particle":"","family":"Khoomrung","given":"Sakda","non-dropping-particle":"","parse-names":false,"suffix":""},{"dropping-particle":"","family":"Brown","given":"Stephen","non-dropping-particle":"","parse-names":false,"suffix":""},{"dropping-particle":"","family":"Berry","given":"Alan","non-dropping-particle":"","parse-names":false,"suffix":""},{"dropping-particle":"","family":"Nielsen","given":"Jens","non-dropping-particle":"","parse-names":false,"suffix":""}],"container-title":"Applied Microbiology and Biotechnology","id":"ITEM-1","issue":"8","issued":{"date-parts":[["2014"]]},"page":"3517-3527","title":"Physiological characterization of the high malic acid-producing Aspergillus oryzae strain 2103a-68","type":"article-journal","volume":"98"},"uris":["http://www.mendeley.com/documents/?uuid=37936e04-ea03-4523-be52-7cebc2aa3560"]}],"mendeley":{"formattedCitation":"(Knuf et al., 2014)","plainTextFormattedCitation":"(Knuf et al., 2014)","previouslyFormattedCitation":"(Knuf et al., 2014)"},"properties":{"noteIndex":0},"schema":"https://github.com/citation-style-language/schema/raw/master/csl-citation.json"}</w:instrText>
      </w:r>
      <w:r w:rsidRPr="007472D1">
        <w:fldChar w:fldCharType="separate"/>
      </w:r>
      <w:r w:rsidRPr="007472D1">
        <w:rPr>
          <w:noProof/>
        </w:rPr>
        <w:t>(Knuf et al., 2014)</w:t>
      </w:r>
      <w:r w:rsidRPr="007472D1">
        <w:fldChar w:fldCharType="end"/>
      </w:r>
      <w:r w:rsidR="007472D1">
        <w:t>.</w:t>
      </w:r>
      <w:r w:rsidRPr="007472D1">
        <w:t xml:space="preserve"> </w:t>
      </w:r>
    </w:p>
    <w:p w14:paraId="303F9A58" w14:textId="752B134F" w:rsidR="00C01191" w:rsidRPr="007472D1" w:rsidRDefault="00C01191" w:rsidP="00C01191">
      <w:pPr>
        <w:pStyle w:val="ListParagraph"/>
        <w:ind w:left="0"/>
      </w:pPr>
      <w:r w:rsidRPr="007472D1">
        <w:t xml:space="preserve">The biological production of malic acid provides stereo selectivity since L–malic acid is a key intermediate in the tricarboxylic acid cycle (TCA) present in most microorganisms </w:t>
      </w:r>
      <w:r w:rsidRPr="007472D1">
        <w:fldChar w:fldCharType="begin" w:fldLock="1"/>
      </w:r>
      <w:r w:rsidRPr="007472D1">
        <w:instrText>ADDIN CSL_CITATION {"citationItems":[{"id":"ITEM-1","itemData":{"DOI":"10.1016/j.jbiotec.2017.05.011","ISSN":"18734863","PMID":"28506930","abstract":"Aspergillus oryzae finds wide application in the food, feed, and wine industries, and is an excellent cell factory platform for production of organic acids. In this work, we achieved the overproduction of L-malate by rewiring the reductive tricarboxylic acid (rTCA) pathway and L-malate transport pathway of A. oryzae NRRL 3488. First, overexpression of native pyruvate carboxylase and malate dehydrogenase in the rTCA pathway improved the L-malate titer from 26.1 g L−1 to 42.3 g L−1 in shake flask culture. Then, the oxaloacetate anaplerotic reaction was constructed by heterologous expression of phosphoenolpyruvate carboxykinase and phosphoenolpyruvate carboxylase from Escherichia coli, increasing the L-malate titer to 58.5 g L−1. Next, the export of L-malate from the cytoplasm to the external medium was strengthened by overexpression of a C4-dicarboxylate transporter gene from A. oryzae and an L-malate permease gene from Schizosaccharomyces pombe, improving the L-malate titer from 58.5 g L−1 to 89.5 g L−1. Lastly, guided by transcription analysis of the expression profile of key genes related to L-malate synthesis, the 6-phosphofructokinase encoded by the pfk gene was identified as a potential limiting step for L-malate synthesis. Overexpression of pfk with the strong sodM promoter increased the L-malate titer to 93.2 g L−1. The final engineered A. oryzae strain produced 165 g L−1 L-malate with a productivity of 1.38 g L−1 h−1 in 3-L fed-batch culture. Overall, we constructed an efficient L-malate producer by rewiring the rTCA pathway and L-malate transport pathway of A. oryzae NRRL 3488, and the engineering strategy adopted here may be useful for the construction of A. oryzae cell factories to produce other organic acids.","author":[{"dropping-particle":"","family":"Liu","given":"Jingjing","non-dropping-particle":"","parse-names":false,"suffix":""},{"dropping-particle":"","family":"Xie","given":"Zhipeng","non-dropping-particle":"","parse-names":false,"suffix":""},{"dropping-particle":"","family":"Shin","given":"Hyun dong","non-dropping-particle":"","parse-names":false,"suffix":""},{"dropping-particle":"","family":"Li","given":"Jianghua","non-dropping-particle":"","parse-names":false,"suffix":""},{"dropping-particle":"","family":"Du","given":"Guocheng","non-dropping-particle":"","parse-names":false,"suffix":""},{"dropping-particle":"","family":"Chen","given":"Jian","non-dropping-particle":"","parse-names":false,"suffix":""},{"dropping-particle":"","family":"Liu","given":"Long","non-dropping-particle":"","parse-names":false,"suffix":""}],"container-title":"Journal of Biotechnology","id":"ITEM-1","issue":"May","issued":{"date-parts":[["2017"]]},"page":"1-9","publisher":"Elsevier","title":"Rewiring the reductive tricarboxylic acid pathway and L-malate transport pathway of Aspergillus oryzae for overproduction of L-malate","type":"article-journal","volume":"253"},"uris":["http://www.mendeley.com/documents/?uuid=6a279af5-d871-4463-a21b-38d602031424"]}],"mendeley":{"formattedCitation":"(Liu et al., 2017)","plainTextFormattedCitation":"(Liu et al., 2017)","previouslyFormattedCitation":"(Liu et al., 2017)"},"properties":{"noteIndex":0},"schema":"https://github.com/citation-style-language/schema/raw/master/csl-citation.json"}</w:instrText>
      </w:r>
      <w:r w:rsidRPr="007472D1">
        <w:fldChar w:fldCharType="separate"/>
      </w:r>
      <w:r w:rsidRPr="007472D1">
        <w:rPr>
          <w:noProof/>
        </w:rPr>
        <w:t>(Liu et al., 2017)</w:t>
      </w:r>
      <w:r w:rsidRPr="007472D1">
        <w:fldChar w:fldCharType="end"/>
      </w:r>
      <w:r w:rsidR="007472D1">
        <w:t>.</w:t>
      </w:r>
      <w:r w:rsidRPr="007472D1">
        <w:t xml:space="preserve"> Filamentous fungi of </w:t>
      </w:r>
      <w:r w:rsidR="00D55087">
        <w:t xml:space="preserve">the </w:t>
      </w:r>
      <w:r w:rsidRPr="007472D1">
        <w:t xml:space="preserve">genus </w:t>
      </w:r>
      <w:r w:rsidRPr="007472D1">
        <w:rPr>
          <w:i/>
        </w:rPr>
        <w:t xml:space="preserve">Aspergilli </w:t>
      </w:r>
      <w:r w:rsidR="00D55087">
        <w:t>are</w:t>
      </w:r>
      <w:r w:rsidRPr="007472D1">
        <w:t xml:space="preserve"> superior producers of various bio-based chemicals including lipases, </w:t>
      </w:r>
      <w:r w:rsidRPr="007472D1">
        <w:fldChar w:fldCharType="begin" w:fldLock="1"/>
      </w:r>
      <w:r w:rsidRPr="007472D1">
        <w:instrText>ADDIN CSL_CITATION {"citationItems":[{"id":"</w:instrText>
      </w:r>
      <w:r w:rsidRPr="00973ECB">
        <w:rPr>
          <w:lang w:val="it-IT"/>
        </w:rPr>
        <w:instrText>ITEM-1","itemData":{"DOI":"10.3303/CET1124163","ISSN":"19749791","author":[{"dropping-particle":"","family":"Melo","given":"Ariana Farias","non-dropping-particle":"","parse-names":false,"suffix":""},{"dropping-particle":"","family":"Mauricio","given":"Erica Felipe","non-dropping-particle":"","parse-names":false,"suffix":""},{"dropping-particle":"","family":"Salgado","given":"Andrea Medeiros","non-dropping-particle":"","parse-names":false,"suffix":""},{"dropping-particle":"","family":"Pellegrini Pessoa","given":"Fernando Luiz","non-dropping-particle":"","parse-names":false,"suffix":""},{"dropping-particle":"","family":"Triches Damaso","given":"Mônica Caramez","non-dropping-particle":"","parse-names":false,"suffix":""},{"dropping-particle":"","family":"Couri","given":"Sonia","non-dropping-particle":"","parse-names":false,"suffix":""}],"container-title":"Chemical Engineering Transactions","id":"ITEM-1","issued":{"date-parts":[["2011"]]},"page":"973-978","title":"Assessment of catalytic properties in aqueous and media of aspergillus niger lipase immobilized on supports vitreous","type":"article-journal","volume":"24"},"uris":["http://www.mendeley.com/documents/?uuid=98a4e52b-a365-4966-b4f5-e84517e2744d"]}],"mendeley":{"formattedCitation":"(Melo et al., 2011)","plainTextFormattedCitation":"(Melo et al., 2011)","previouslyFo</w:instrText>
      </w:r>
      <w:r w:rsidRPr="00D55087">
        <w:rPr>
          <w:lang w:val="it-IT"/>
        </w:rPr>
        <w:instrText>rmattedCitation":"(Melo et al., 2011)"},"properties":{"noteIndex":0},"schema":"https://github.com/citation-style-language/schema/raw/master/csl-citation.json"}</w:instrText>
      </w:r>
      <w:r w:rsidRPr="007472D1">
        <w:fldChar w:fldCharType="separate"/>
      </w:r>
      <w:r w:rsidRPr="00D55087">
        <w:rPr>
          <w:noProof/>
          <w:lang w:val="it-IT"/>
        </w:rPr>
        <w:t>(Melo et al., 2011)</w:t>
      </w:r>
      <w:r w:rsidRPr="007472D1">
        <w:fldChar w:fldCharType="end"/>
      </w:r>
      <w:r w:rsidRPr="00D55087">
        <w:rPr>
          <w:lang w:val="it-IT"/>
        </w:rPr>
        <w:t xml:space="preserve"> xylanase, </w:t>
      </w:r>
      <w:r w:rsidRPr="007472D1">
        <w:fldChar w:fldCharType="begin" w:fldLock="1"/>
      </w:r>
      <w:r w:rsidR="002E47E5">
        <w:rPr>
          <w:lang w:val="it-IT"/>
        </w:rPr>
        <w:instrText>ADDIN CSL_CITATION {"citationItems":[{"id":"ITEM-1","itemData":{"DOI":"10.1007/s00253-002-0965-0","ISBN":"01757598 (ISSN)","ISSN":"0175-7598","PMID":"12021796","abstract":"The initial moisture content, cultivation time, inoculum size and concentration of basal medium were optimized in solid state fermentation (SSF) for the production of xylanase by an Aspergillus niger mutant using statistical experimental designs. The cultivation time and concentration of basal medium were the most important factors affecting xylanase activity. An inoculum size of 5×105 spores/g, initial moisture content of 65%, cultivation time of 5 days and 10 times concentration of basal medium containing 50 times concentration of corn steep liquor were optimum for xylanase production in SSF. Under the optimized conditions, the activity and productivity of xylanase obtained after 5 days of fermentation were 5,071 IU/g of rice straw and 14,790 IU l-1 h-1, respectively. The xylanase activity predicted by a polynomial model was 5,484 IU/g of rice straw.","author":[{"dropping-particle":"","family":"Park","given":"Y.","non-dropping-particle":"","parse-names":false,"suffix":""},{"dropping-particle":"","family":"Kang","given":"S.","non-dropping-particle":"","parse-names":false,"suffix":""},{"dropping-particle":"","family":"Lee","given":"J.","non-dropping-particle":"","parse-names":false,"suffix":""},{"dropping-particle":"","family":"Hong","given":"S.","non-dropping-particle":"","parse-names":false,"suffix":""},{"dropping-particle":"","family":"Kim","given":"S.","non-dropping-particle":"","parse-names":false,"suffix":""}],"container-title":"Applied Microbiology and Biotechnology","id":"ITEM-1","issue":"6","issued":{"date-parts":[["2002","5","1"]]},"page":"761-766","title":"Xylanase production in solid state fermentation by Aspergillus niger mutant using statistical experimental designs","type":"article-journal","volume":"58"},"uris":["http://www.mendeley.com/documents/?uuid=769671dd-f66a-432f-978e-bacf9260877f"]}],"mendeley":{"formattedCitation":"(Park et al., 2002)","plainTextFormattedCitation":"(Park et al., 2002)","previouslyFormattedCitation":"(Park et al., 2002)"},"properties":{"noteIndex":0},"schema":"https://github.com/citation-style-language/schema/raw/master/csl-citation.json"}</w:instrText>
      </w:r>
      <w:r w:rsidRPr="007472D1">
        <w:fldChar w:fldCharType="separate"/>
      </w:r>
      <w:r w:rsidR="002E47E5" w:rsidRPr="002E47E5">
        <w:rPr>
          <w:noProof/>
          <w:lang w:val="it-IT"/>
        </w:rPr>
        <w:t>(Park et al., 2002)</w:t>
      </w:r>
      <w:r w:rsidRPr="007472D1">
        <w:fldChar w:fldCharType="end"/>
      </w:r>
      <w:r w:rsidR="00D55087" w:rsidRPr="00790F94">
        <w:rPr>
          <w:lang w:val="it-IT"/>
        </w:rPr>
        <w:t>,</w:t>
      </w:r>
      <w:r w:rsidRPr="00790F94">
        <w:rPr>
          <w:lang w:val="it-IT"/>
        </w:rPr>
        <w:t xml:space="preserve"> and various organic acids; </w:t>
      </w:r>
      <w:r w:rsidRPr="00790F94">
        <w:rPr>
          <w:i/>
          <w:lang w:val="it-IT"/>
        </w:rPr>
        <w:t>Aspergillus flavus</w:t>
      </w:r>
      <w:r w:rsidRPr="00790F94">
        <w:rPr>
          <w:lang w:val="it-IT"/>
        </w:rPr>
        <w:t xml:space="preserve"> and </w:t>
      </w:r>
      <w:r w:rsidRPr="00790F94">
        <w:rPr>
          <w:i/>
          <w:lang w:val="it-IT"/>
        </w:rPr>
        <w:t>A. oryzae</w:t>
      </w:r>
      <w:r w:rsidRPr="00790F94">
        <w:rPr>
          <w:lang w:val="it-IT"/>
        </w:rPr>
        <w:t xml:space="preserve"> widely considered the best biological producers of malic acid </w:t>
      </w:r>
      <w:r w:rsidRPr="007472D1">
        <w:fldChar w:fldCharType="begin" w:fldLock="1"/>
      </w:r>
      <w:r w:rsidRPr="00790F94">
        <w:rPr>
          <w:lang w:val="it-IT"/>
        </w:rPr>
        <w:instrText xml:space="preserve">ADDIN CSL_CITATION {"citationItems":[{"id":"ITEM-1","itemData":{"DOI":"10.1007/s00253-014-5614-x","ISSN":"14320614","PMID":"24604500","abstract":"L-Malic acid and fumaric acid are C4 dicarboxylic organic acids and considered as promising chemical building blocks. They can be applied as food preservatives and acidulants in rust removal and as polymerization starter units. Molds of the genus Aspergillus are able to produce malic acid in large quantities from glucose and other carbon sources. In order to enhance the production potential of Aspergillus oryzae DSM 1863, production and consumption rates in an established bioreactor batch-process based on glucose were determined. At 35°C, up to 42 g/L malic acid was produced in a 168-h batch process with fumaric acid as a by-product. In prolonged shaking flask experiments (353 h), the suitability of the alternative carbon sources xylose and glycerol at a carbon-to-nitrogen (C/N) ratio of 200:1 and the influence of different C/N ratios in glucose cultivations were tested. When using glucose, 58.2 g/L malic acid and 4.2 g/L fumaric acid were produced. When applying xylose or glycerol, both organic acids are produced but the formation of malic acid decreased to 45.4 and 39.4 g/L, respectively. Whereas the fumaric acid concentration was not significantly altered when cultivating with xylose (4.5 </w:instrText>
      </w:r>
      <w:r w:rsidRPr="00D55087">
        <w:rPr>
          <w:lang w:val="en-US"/>
        </w:rPr>
        <w:instrText>g</w:instrText>
      </w:r>
      <w:r w:rsidRPr="007472D1">
        <w:instrText>/L), it is clearly enhanced by using glycerol (9.3 g/L). When using glucose as a carbon source, an increase or decrease of the C/N ratio did not influence malic acid production but had an enormous influence on fumaric acid production. The highest fumaric acid concentrations were determined at the highest C/N ratio (300:1, 8.44 g/L) and lowest at the lowest C/N ratio (100:1, 0.7 g/L). © 2014 Springer-Verlag.","author":[{"dropping-particle":"","family":"Ochsenreither","given":"Katrin","non-dropping-particle":"","parse-names":false,"suffix":""},{"dropping-particle":"","family":"Fischer","given":"Christian","non-dropping-particle":"","parse-names":false,"suffix":""},{"dropping-particle":"","family":"Neumann","given":"Anke","non-dropping-particle":"","parse-names":false,"suffix":""},{"dropping-particle":"","family":"Syldatk","given":"Christoph","non-dropping-particle":"","parse-names":false,"suffix":""}],"container-title":"Applied Microbiology and Biotechnology","id":"ITEM-1","issue":"12","issued":{"date-parts":[["2014"]]},"page":"5449-5460","title":"Process characterization and influence of alternative carbon sources and carbon-to-nitrogen ratio on organic acid production by Aspergillus oryzae DSM1863","type":"article-journal","volume":"98"},"uris":["http://www.mendeley.com/documents/?uuid=4b3625cd-b9b1-4b7a-8966-3d1e43e1285a"]}],"mendeley":{"formattedCitation":"(Ochsenreither et al., 2014)","plainTextFormattedCitation":"(Ochsenreither et al., 2014)","previouslyFormattedCitation":"(Ochsenreither et al., 2014)"},"properties":{"noteIndex":0},"schema":"https://github.com/citation-style-language/schema/raw/master/csl-citation.json"}</w:instrText>
      </w:r>
      <w:r w:rsidRPr="007472D1">
        <w:fldChar w:fldCharType="separate"/>
      </w:r>
      <w:r w:rsidRPr="007472D1">
        <w:rPr>
          <w:noProof/>
        </w:rPr>
        <w:t>(Ochsenreither et al., 2014)</w:t>
      </w:r>
      <w:r w:rsidRPr="007472D1">
        <w:fldChar w:fldCharType="end"/>
      </w:r>
      <w:r w:rsidR="007472D1">
        <w:t>.</w:t>
      </w:r>
      <w:r w:rsidRPr="007472D1">
        <w:t xml:space="preserve"> However, </w:t>
      </w:r>
      <w:r w:rsidRPr="007472D1">
        <w:rPr>
          <w:i/>
        </w:rPr>
        <w:t>A. flavus</w:t>
      </w:r>
      <w:r w:rsidRPr="007472D1">
        <w:t xml:space="preserve"> is known to produce hazardous amounts of carcinogenic aflatoxin, making the malic acid produced unsuitable for the food industry. In contrast, </w:t>
      </w:r>
      <w:r w:rsidRPr="007472D1">
        <w:rPr>
          <w:i/>
        </w:rPr>
        <w:t xml:space="preserve">A. </w:t>
      </w:r>
      <w:proofErr w:type="spellStart"/>
      <w:r w:rsidRPr="007472D1">
        <w:rPr>
          <w:i/>
        </w:rPr>
        <w:t>oryzae</w:t>
      </w:r>
      <w:proofErr w:type="spellEnd"/>
      <w:r w:rsidRPr="007472D1">
        <w:rPr>
          <w:i/>
        </w:rPr>
        <w:t xml:space="preserve"> </w:t>
      </w:r>
      <w:r w:rsidRPr="007472D1">
        <w:t xml:space="preserve">is a GRAS (Generally Regarded as Safe) organism that does not produce mycotoxins </w:t>
      </w:r>
      <w:r w:rsidRPr="007472D1">
        <w:lastRenderedPageBreak/>
        <w:t xml:space="preserve">and has therefore been used in the production of sake, </w:t>
      </w:r>
      <w:proofErr w:type="spellStart"/>
      <w:r w:rsidRPr="007472D1">
        <w:t>shochu</w:t>
      </w:r>
      <w:proofErr w:type="spellEnd"/>
      <w:r w:rsidRPr="007472D1">
        <w:t xml:space="preserve">, soy sauce, and miso for centuries  </w:t>
      </w:r>
      <w:r w:rsidRPr="007472D1">
        <w:fldChar w:fldCharType="begin" w:fldLock="1"/>
      </w:r>
      <w:r w:rsidRPr="007472D1">
        <w:instrText>ADDIN CSL_CITATION {"citationItems":[{"id":"ITEM-1","itemData":{"DOI":"10.1080/13693780600835716","ISSN":"13693786","abstract":"Aspergillus flavus is a plant and animal pathogen that also produces the potent carcinogen aflatoxin. Aspergillus oryzae is a closely related species that has been used for centuries in the food fermentation industry and is Generally Regarded As Safe (GRAS). Whole genome sequences for these two fungi are now complete, providing us with the opportunity to examine any genomic differences that may explain the different ecological niches of these two fungi, and perhaps to identify pathogenicity factors in A. flavus. These two fungi are very similar in genome size and number of predicted genes. The estimated genome size (36·8 Mb) and predicted number of genes (12 197) for A. flavus is similar to that of A. oryzae (36.7 Mb and 12 079, respectively). These two fungi have significantly larger genomes than Aspergillus nidulans (30.1) and Aspergillus fumigatus (29.4) The A. flavus and A. oryzae genomes are enriched in genes for secondary metabolism, but do not differ greatly from one another in the predicted number of polyketide synthases, nonribosomal peptide synthases or the number of genes coding for cytochrome P450 enzymes. A micro-scale analysis of the two fungi did show differences in DNA correspondence between the two species and in the number of transposable elements. Each species has approximately 350 unique genes. The high degree of sequence similarity between the two fungi suggests that they may be ecotypes of the same species and that A. oryzae has resulted from the domestication of A. flavus.","author":[{"dropping-particle":"","family":"Payne","given":"Gary A.","non-dropping-particle":"","parse-names":false,"suffix":""},{"dropping-particle":"","family":"Nierman","given":"W. C.","non-dropping-particle":"","parse-names":false,"suffix":""},{"dropping-particle":"","family":"Wortman","given":"J. R.","non-dropping-particle":"","parse-names":false,"suffix":""},{"dropping-particle":"","family":"Pritchard","given":"B. L.","non-dropping-particle":"","parse-names":false,"suffix":""},{"dropping-particle":"","family":"Brown","given":"D.","non-dropping-particle":"","parse-names":false,"suffix":""},{"dropping-particle":"","family":"Dean","given":"R. A.","non-dropping-particle":"","parse-names":false,"suffix":""},{"dropping-particle":"","family":"Bhatnagar","given":"D.","non-dropping-particle":"","parse-names":false,"suffix":""},{"dropping-particle":"","family":"Cleveland","given":"T. E.","non-dropping-particle":"","parse-names":false,"suffix":""},{"dropping-particle":"","family":"Machida","given":"Masayuki","non-dropping-particle":"","parse-names":false,"suffix":""},{"dropping-particle":"","family":"Yu","given":"J.","non-dropping-particle":"","parse-names":false,"suffix":""}],"container-title":"Medical Mycology","id":"ITEM-1","issue":"SUPPL. 1","issued":{"date-parts":[["2006"]]},"page":"9-11","title":"Whole genome comparison of Aspergillus flavus and A. oryzae","type":"article-journal","volume":"44"},"uris":["http://www.mendeley.com/documents/?uuid=6aecedfb-5197-4a9b-b114-c036eb341b64","http://www.mendeley.com/documents/?uuid=cd6efeab-6697-4cfa-9088-985252117948"]}],"mendeley":{"formattedCitation":"(Payne et al., 2006)","plainTextFormattedCitation":"(Payne et al., 2006)","previouslyFormattedCitation":"(Payne et al., 2006)"},"properties":{"noteIndex":0},"schema":"https://github.com/citation-style-language/schema/raw/master/csl-citation.json"}</w:instrText>
      </w:r>
      <w:r w:rsidRPr="007472D1">
        <w:fldChar w:fldCharType="separate"/>
      </w:r>
      <w:r w:rsidRPr="007472D1">
        <w:rPr>
          <w:noProof/>
        </w:rPr>
        <w:t>(Payne et al., 2006)</w:t>
      </w:r>
      <w:r w:rsidRPr="007472D1">
        <w:fldChar w:fldCharType="end"/>
      </w:r>
      <w:r w:rsidR="007472D1">
        <w:t>.</w:t>
      </w:r>
    </w:p>
    <w:p w14:paraId="1310F5D1" w14:textId="3711CBCF" w:rsidR="00C01191" w:rsidRPr="00C01191" w:rsidRDefault="00C01191" w:rsidP="00C01191">
      <w:pPr>
        <w:pStyle w:val="ListParagraph"/>
        <w:ind w:left="0"/>
        <w:rPr>
          <w:highlight w:val="yellow"/>
        </w:rPr>
      </w:pPr>
      <w:r w:rsidRPr="007472D1">
        <w:t>Currently, laboratory-scale methods</w:t>
      </w:r>
      <w:r w:rsidR="007472D1">
        <w:t xml:space="preserve"> for malic acid production are</w:t>
      </w:r>
      <w:r w:rsidRPr="007472D1">
        <w:t xml:space="preserve"> limit</w:t>
      </w:r>
      <w:r w:rsidR="007472D1">
        <w:t>ed</w:t>
      </w:r>
      <w:r w:rsidRPr="007472D1">
        <w:t xml:space="preserve"> due to the use of pellet morphology and CaCO</w:t>
      </w:r>
      <w:r w:rsidRPr="007472D1">
        <w:rPr>
          <w:vertAlign w:val="subscript"/>
        </w:rPr>
        <w:t>3</w:t>
      </w:r>
      <w:r w:rsidRPr="007472D1">
        <w:t xml:space="preserve"> as the go-to buffering agent which complicates downstream processing. </w:t>
      </w:r>
      <w:r w:rsidR="00817B20">
        <w:t xml:space="preserve">Geyer et al. </w:t>
      </w:r>
      <w:r w:rsidR="00817B20">
        <w:fldChar w:fldCharType="begin" w:fldLock="1"/>
      </w:r>
      <w:r w:rsidR="00817B20">
        <w:instrText>ADDIN CSL_CITATION {"citationItems":[{"id":"ITEM-1","itemData":{"DOI":"10.3303/CET1870301","ISBN":"9781510881198","ISSN":"22839216","abstract":"This study investigated the malic acid production capability of Aspergillus oryzae NRRL 3488 with three different CaCO3 concentrations, 20 g/L, 80 g/L, and 120 g/L, used as pH buffers and CO2 supply. A black box model was used to determine the distribution of metabolites throughout the fermentation. Comparing the malic acid production for the three different concentrations of CaCO3 after 240 h of fermentation, it was found that 300% and 400 % more malic acid was produced in the 80 g/L and 120 g/L, in comparison to the 20 g/L experiment. Glucose consumption increased from 65 % for the 20 g/L CaCO3 to 91 % for the 80 g/L CaCO3, and 100% consumption for the 120 g/L CaCO3 after 240 h. Total available nitrogen measurements indicated incomplete nitrogen consumption for all CaCO3 concentrations. Nitrogen conversions of 68 %, 78 %, and 81 % were measured for the 20 g/L, 80 g/L, and 120 g/L CaCO3. These results indicate that nitrogen limitation is not the determining factor for malic acid production. It is hypothesised that the malic acid production is facilitated by sufficient pH control as well as the availability of CO2. It is unclear whether oxygen limitation in the system is a requirement for malic acid production. Commercial malic acid production by A. oryzae NRRL 3448 would require a sufficient pH control and an abundant supply of CO2.","author":[{"dropping-particle":"","family":"Geyer","given":"Monique","non-dropping-particle":"","parse-names":false,"suffix":""},{"dropping-particle":"","family":"Onyancha","given":"Faith M.","non-dropping-particle":"","parse-names":false,"suffix":""},{"dropping-particle":"","family":"Nicol","given":"Willie","non-dropping-particle":"","parse-names":false,"suffix":""},{"dropping-particle":"","family":"Brink","given":"Hendrik G.","non-dropping-particle":"","parse-names":false,"suffix":""}],"container-title":"Chemical Engineering Transactions","id":"ITEM-1","issue":"July","issued":{"date-parts":[["2018"]]},"page":"1801-1806","title":"Malic acid production by aspergillus oryzae: The role of CaCO3","type":"article-journal","volume":"70"},"suppress-author":1,"uris":["http://www.mendeley.com/documents/?uuid=3bfc66f5-9d39-458a-831c-e12b8d7f7498"]}],"mendeley":{"formattedCitation":"(2018)","plainTextFormattedCitation":"(2018)","previouslyFormattedCitation":"(2018)"},"properties":{"noteIndex":0},"schema":"https://github.com/citation-style-language/schema/raw/master/csl-citation.json"}</w:instrText>
      </w:r>
      <w:r w:rsidR="00817B20">
        <w:fldChar w:fldCharType="separate"/>
      </w:r>
      <w:r w:rsidR="00817B20" w:rsidRPr="00BD30B4">
        <w:rPr>
          <w:noProof/>
        </w:rPr>
        <w:t>(2018)</w:t>
      </w:r>
      <w:r w:rsidR="00817B20">
        <w:fldChar w:fldCharType="end"/>
      </w:r>
      <w:r w:rsidR="00817B20">
        <w:t xml:space="preserve"> observed a maximum malic acid production rate of 0.09 g.</w:t>
      </w:r>
      <w:r w:rsidR="00252222">
        <w:t>l</w:t>
      </w:r>
      <w:r w:rsidR="00817B20">
        <w:rPr>
          <w:vertAlign w:val="superscript"/>
        </w:rPr>
        <w:t>-1</w:t>
      </w:r>
      <w:r w:rsidR="00817B20">
        <w:t>.h</w:t>
      </w:r>
      <w:r w:rsidR="00817B20">
        <w:rPr>
          <w:vertAlign w:val="superscript"/>
        </w:rPr>
        <w:t>-1</w:t>
      </w:r>
      <w:r w:rsidR="00817B20">
        <w:t xml:space="preserve"> for 20 g.</w:t>
      </w:r>
      <w:r w:rsidR="00252222">
        <w:t>l</w:t>
      </w:r>
      <w:r w:rsidR="00817B20">
        <w:rPr>
          <w:vertAlign w:val="superscript"/>
        </w:rPr>
        <w:t>-1</w:t>
      </w:r>
      <w:r w:rsidR="00817B20">
        <w:t xml:space="preserve"> CaCO</w:t>
      </w:r>
      <w:r w:rsidR="00817B20">
        <w:rPr>
          <w:vertAlign w:val="subscript"/>
        </w:rPr>
        <w:t>3</w:t>
      </w:r>
      <w:r w:rsidR="00817B20">
        <w:t xml:space="preserve"> </w:t>
      </w:r>
      <w:r w:rsidR="00E3335A">
        <w:t xml:space="preserve">was </w:t>
      </w:r>
      <w:r w:rsidR="00817B20">
        <w:t>initially dosed as compared to a maximum malic acid production rate of 0.23 g.</w:t>
      </w:r>
      <w:r w:rsidR="00252222">
        <w:t>l</w:t>
      </w:r>
      <w:r w:rsidR="00817B20">
        <w:rPr>
          <w:vertAlign w:val="superscript"/>
        </w:rPr>
        <w:t>-1</w:t>
      </w:r>
      <w:r w:rsidR="00817B20">
        <w:t>.h</w:t>
      </w:r>
      <w:r w:rsidR="00817B20">
        <w:rPr>
          <w:vertAlign w:val="superscript"/>
        </w:rPr>
        <w:t>-1</w:t>
      </w:r>
      <w:r w:rsidR="00817B20">
        <w:t xml:space="preserve"> for 100 g.</w:t>
      </w:r>
      <w:r w:rsidR="00252222">
        <w:t>l</w:t>
      </w:r>
      <w:r w:rsidR="00817B20">
        <w:rPr>
          <w:vertAlign w:val="superscript"/>
        </w:rPr>
        <w:t>-1</w:t>
      </w:r>
      <w:r w:rsidR="00817B20">
        <w:t xml:space="preserve"> CaCO</w:t>
      </w:r>
      <w:r w:rsidR="00817B20">
        <w:rPr>
          <w:vertAlign w:val="subscript"/>
        </w:rPr>
        <w:t>3</w:t>
      </w:r>
      <w:r w:rsidR="00817B20">
        <w:t xml:space="preserve">. This </w:t>
      </w:r>
      <w:r w:rsidR="00D55087">
        <w:t>compares</w:t>
      </w:r>
      <w:r w:rsidR="00817B20">
        <w:t xml:space="preserve"> well with the results obtained by </w:t>
      </w:r>
      <w:r w:rsidR="00817B20" w:rsidRPr="00BD30B4">
        <w:rPr>
          <w:noProof/>
        </w:rPr>
        <w:t>Kövilein et al.</w:t>
      </w:r>
      <w:r w:rsidR="00817B20">
        <w:t xml:space="preserve"> </w:t>
      </w:r>
      <w:r w:rsidR="00817B20">
        <w:fldChar w:fldCharType="begin" w:fldLock="1"/>
      </w:r>
      <w:r w:rsidR="00D2560F">
        <w:instrText>ADDIN CSL_CITATION {"citationItems":[{"id":"ITEM-1","itemData":{"DOI":"10.1186/s13068-021-01901-5","ISSN":"17546834","abstract":"Background: Microbial malic acid production is currently not able to compete economically with well-established chemical processes using fossil resources. The utilization of inexpensive biomass-based substrates containing acetate could decrease production costs and promote the development of microbial processes. Acetate is a by-product in lignocellulosic hydrolysates and fast pyrolysis products or can be synthesized by acetogens during syngas fermentation. For the fermentation of these substrates, a robust microorganism with a high tolerance for biomass-derived inhibitors is required. Aspergillus oryzae is a suitable candidate due to its high tolerance and broad substrate spectrum. To pave the path towards microbial malic acid production, the potential of acetate as a carbon source for A. oryzae is evaluated in this study. Results: A broad acetate concentration range was tested both for growth and malic acid production with A. oryzae. Dry biomass concentration was highest for acetic acid concentrations of 40–55 g/L reaching values of about 1.1 g/L within 48 h. Morphological changes were observed depending on the acetate concentration, yielding a pellet-like morphology with low and a filamentous structure with high substrate concentrations. For malic acid production, 45 g/L acetic acid was ideal, resulting in a product concentration of 8.44 ± 0.42 g/L after 192 h. The addition of 5–15 g/L glucose to acetate medium proved beneficial by lowering the time point of maximum productivity and increasing malic acid yield. The side product spectrum of cultures with acetate, glucose, and cultures containing both substrates was compared, showing differences especially in the amount of oxalic, succinic, and citric acid produced. Furthermore, the presence of CaCO3, a pH regulator used for malate production with glucose, was found to be crucial also for malic acid production with acetate. Conclusions: This study evaluates relevant aspects of malic acid production with A. oryzae using acetate as carbon source and demonstrates that it is a suitable substrate for biomass formation and acid synthesis. The insights provided here will be useful to further microbial malic acid production using renewable substrates.","author":[{"dropping-particle":"","family":"Kövilein","given":"Aline","non-dropping-particle":"","parse-names":false,"suffix":""},{"dropping-particle":"","family":"Umpfenbach","given":"Julia","non-dropping-particle":"","parse-names":false,"suffix":""},{"dropping-particle":"","family":"Ochsenreither","given":"Katrin","non-dropping-particle":"","parse-names":false,"suffix":""}],"container-title":"Biotechnology for Biofuels","id":"ITEM-1","issue":"1","issued":{"date-parts":[["2021"]]},"page":"1-15","publisher":"BioMed Central","title":"Acetate as substrate for l-malic acid production with Aspergillus oryzae DSM 1863","type":"article-journal","volume":"14"},"suppress-author":1,"uris":["http://www.mendeley.com/documents/?uuid=b5192b8c-b7b7-4450-9ff8-f19989df7b6f"]}],"mendeley":{"formattedCitation":"(2021)","plainTextFormattedCitation":"(2021)","previouslyFormattedCitation":"(2021)"},"properties":{"noteIndex":0},"schema":"https://github.com/citation-style-language/schema/raw/master/csl-citation.json"}</w:instrText>
      </w:r>
      <w:r w:rsidR="00817B20">
        <w:fldChar w:fldCharType="separate"/>
      </w:r>
      <w:r w:rsidR="00817B20" w:rsidRPr="00F3084A">
        <w:rPr>
          <w:noProof/>
        </w:rPr>
        <w:t>(2021)</w:t>
      </w:r>
      <w:r w:rsidR="00817B20">
        <w:fldChar w:fldCharType="end"/>
      </w:r>
      <w:r w:rsidR="00817B20">
        <w:t xml:space="preserve"> who measured a maximum malic acid production rate of 0.052 g.</w:t>
      </w:r>
      <w:r w:rsidR="00252222">
        <w:t>l</w:t>
      </w:r>
      <w:r w:rsidR="00817B20">
        <w:rPr>
          <w:vertAlign w:val="superscript"/>
        </w:rPr>
        <w:t>-1</w:t>
      </w:r>
      <w:r w:rsidR="00817B20">
        <w:t>.h</w:t>
      </w:r>
      <w:r w:rsidR="00817B20">
        <w:rPr>
          <w:vertAlign w:val="superscript"/>
        </w:rPr>
        <w:t>-1</w:t>
      </w:r>
      <w:r w:rsidR="00817B20">
        <w:t xml:space="preserve"> for 10</w:t>
      </w:r>
      <w:r w:rsidR="007472D1">
        <w:t> </w:t>
      </w:r>
      <w:r w:rsidR="00817B20">
        <w:t>g.</w:t>
      </w:r>
      <w:r w:rsidR="00252222">
        <w:t>l</w:t>
      </w:r>
      <w:r w:rsidR="00817B20">
        <w:rPr>
          <w:vertAlign w:val="superscript"/>
        </w:rPr>
        <w:t>-1</w:t>
      </w:r>
      <w:r w:rsidR="00817B20">
        <w:t xml:space="preserve"> CaCO</w:t>
      </w:r>
      <w:r w:rsidR="00817B20">
        <w:rPr>
          <w:vertAlign w:val="subscript"/>
        </w:rPr>
        <w:t xml:space="preserve">3 </w:t>
      </w:r>
      <w:r w:rsidR="00817B20">
        <w:t>and 0.121 g.</w:t>
      </w:r>
      <w:r w:rsidR="00252222">
        <w:t>l</w:t>
      </w:r>
      <w:r w:rsidR="00817B20">
        <w:rPr>
          <w:vertAlign w:val="superscript"/>
        </w:rPr>
        <w:t>-1</w:t>
      </w:r>
      <w:r w:rsidR="00817B20">
        <w:t>.h</w:t>
      </w:r>
      <w:r w:rsidR="00817B20">
        <w:rPr>
          <w:vertAlign w:val="superscript"/>
        </w:rPr>
        <w:t>-1</w:t>
      </w:r>
      <w:r w:rsidR="00817B20">
        <w:t xml:space="preserve"> for 90 g.</w:t>
      </w:r>
      <w:r w:rsidR="00252222">
        <w:t>l</w:t>
      </w:r>
      <w:r w:rsidR="00817B20">
        <w:rPr>
          <w:vertAlign w:val="superscript"/>
        </w:rPr>
        <w:t>-1</w:t>
      </w:r>
      <w:r w:rsidR="00817B20">
        <w:t xml:space="preserve"> CaCO</w:t>
      </w:r>
      <w:r w:rsidR="00817B20">
        <w:rPr>
          <w:vertAlign w:val="subscript"/>
        </w:rPr>
        <w:t>3</w:t>
      </w:r>
      <w:r w:rsidR="00817B20" w:rsidRPr="00A30C11">
        <w:t>.</w:t>
      </w:r>
      <w:r w:rsidR="00817B20">
        <w:t xml:space="preserve"> These results indicate a likely synergistic effect of excess CaCO</w:t>
      </w:r>
      <w:r w:rsidR="00817B20">
        <w:rPr>
          <w:vertAlign w:val="subscript"/>
        </w:rPr>
        <w:t>3</w:t>
      </w:r>
      <w:r w:rsidR="00817B20">
        <w:t xml:space="preserve"> on the excretion of malic acid in addition to its role as </w:t>
      </w:r>
      <w:r w:rsidR="00D55087">
        <w:t xml:space="preserve">a </w:t>
      </w:r>
      <w:r w:rsidR="00817B20">
        <w:t xml:space="preserve">pH buffer. To assess the effect of </w:t>
      </w:r>
      <w:r w:rsidR="007472D1">
        <w:t>exchanging</w:t>
      </w:r>
      <w:r w:rsidR="00817B20">
        <w:t xml:space="preserve"> Ca</w:t>
      </w:r>
      <w:r w:rsidR="007472D1">
        <w:rPr>
          <w:vertAlign w:val="superscript"/>
        </w:rPr>
        <w:t>2+</w:t>
      </w:r>
      <w:r w:rsidR="007472D1">
        <w:t xml:space="preserve"> for Mg</w:t>
      </w:r>
      <w:r w:rsidR="007472D1">
        <w:rPr>
          <w:vertAlign w:val="superscript"/>
        </w:rPr>
        <w:t>2+</w:t>
      </w:r>
      <w:r w:rsidR="007472D1">
        <w:t xml:space="preserve"> </w:t>
      </w:r>
      <w:r w:rsidR="00817B20">
        <w:t xml:space="preserve">on </w:t>
      </w:r>
      <w:r w:rsidR="007472D1" w:rsidRPr="007472D1">
        <w:rPr>
          <w:i/>
        </w:rPr>
        <w:t xml:space="preserve">A. </w:t>
      </w:r>
      <w:proofErr w:type="spellStart"/>
      <w:r w:rsidR="007472D1" w:rsidRPr="007472D1">
        <w:rPr>
          <w:i/>
        </w:rPr>
        <w:t>oryzae</w:t>
      </w:r>
      <w:proofErr w:type="spellEnd"/>
      <w:r w:rsidR="007472D1">
        <w:t xml:space="preserve"> malic acid fermentation,</w:t>
      </w:r>
      <w:r w:rsidR="00817B20">
        <w:t xml:space="preserve"> while maintaining the buffering capacity and bicarbonate source in the </w:t>
      </w:r>
      <w:r w:rsidR="00817B20" w:rsidRPr="00A30C11">
        <w:t>medium</w:t>
      </w:r>
      <w:r w:rsidR="00817B20">
        <w:t>,</w:t>
      </w:r>
      <w:r w:rsidR="00817B20" w:rsidRPr="00A30C11">
        <w:t xml:space="preserve"> two different carbonate buffers w</w:t>
      </w:r>
      <w:r w:rsidR="00817B20">
        <w:t>ere</w:t>
      </w:r>
      <w:r w:rsidR="00817B20" w:rsidRPr="00A30C11">
        <w:t xml:space="preserve"> compared by adding the same amount of CO</w:t>
      </w:r>
      <w:r w:rsidR="00817B20" w:rsidRPr="00A30C11">
        <w:rPr>
          <w:vertAlign w:val="subscript"/>
        </w:rPr>
        <w:t>3</w:t>
      </w:r>
      <w:r w:rsidR="00817B20" w:rsidRPr="00A30C11">
        <w:rPr>
          <w:vertAlign w:val="superscript"/>
        </w:rPr>
        <w:t>2-</w:t>
      </w:r>
      <w:r w:rsidR="00817B20" w:rsidRPr="00A30C11">
        <w:t xml:space="preserve"> and changing only the cation (Ca</w:t>
      </w:r>
      <w:r w:rsidR="00817B20" w:rsidRPr="00A30C11">
        <w:rPr>
          <w:vertAlign w:val="superscript"/>
        </w:rPr>
        <w:t>2+</w:t>
      </w:r>
      <w:r w:rsidR="00817B20">
        <w:t xml:space="preserve"> vs Mg</w:t>
      </w:r>
      <w:r w:rsidR="00817B20">
        <w:rPr>
          <w:vertAlign w:val="superscript"/>
        </w:rPr>
        <w:t>2+</w:t>
      </w:r>
      <w:r w:rsidR="00817B20" w:rsidRPr="00A30C11">
        <w:t>). Th</w:t>
      </w:r>
      <w:r w:rsidR="00D051E6">
        <w:t xml:space="preserve">e resulting </w:t>
      </w:r>
      <w:r w:rsidR="00D051E6" w:rsidRPr="00A30C11">
        <w:t>buffer</w:t>
      </w:r>
      <w:r w:rsidR="00817B20" w:rsidRPr="00A30C11">
        <w:t xml:space="preserve"> concentration</w:t>
      </w:r>
      <w:r w:rsidR="00D051E6">
        <w:t>s used were</w:t>
      </w:r>
      <w:r w:rsidR="00817B20" w:rsidRPr="00A30C11">
        <w:t xml:space="preserve"> </w:t>
      </w:r>
      <w:r w:rsidR="00D051E6">
        <w:t>240</w:t>
      </w:r>
      <w:r w:rsidR="00D051E6" w:rsidRPr="00A30C11">
        <w:t xml:space="preserve"> g/</w:t>
      </w:r>
      <w:r w:rsidR="00252222">
        <w:t>l</w:t>
      </w:r>
      <w:r w:rsidR="00D051E6" w:rsidRPr="00A30C11">
        <w:t xml:space="preserve"> CaCO3 </w:t>
      </w:r>
      <w:r w:rsidR="00D051E6">
        <w:t>and 192</w:t>
      </w:r>
      <w:r w:rsidR="007472D1">
        <w:t> </w:t>
      </w:r>
      <w:r w:rsidR="00817B20" w:rsidRPr="00A30C11">
        <w:t>g/</w:t>
      </w:r>
      <w:r w:rsidR="00252222">
        <w:t>l</w:t>
      </w:r>
      <w:r w:rsidR="00817B20" w:rsidRPr="00A30C11">
        <w:t xml:space="preserve"> MgCO</w:t>
      </w:r>
      <w:r w:rsidR="00817B20" w:rsidRPr="00A30C11">
        <w:rPr>
          <w:vertAlign w:val="subscript"/>
        </w:rPr>
        <w:t>3</w:t>
      </w:r>
      <w:r w:rsidR="00817B20" w:rsidRPr="00A30C11">
        <w:t xml:space="preserve"> (impurities of each taken into consideration).</w:t>
      </w:r>
    </w:p>
    <w:p w14:paraId="59E9BFF0" w14:textId="05B2750C" w:rsidR="005103F4" w:rsidRPr="005103F4" w:rsidRDefault="005103F4" w:rsidP="005103F4">
      <w:pPr>
        <w:pStyle w:val="CETHeading1"/>
        <w:tabs>
          <w:tab w:val="num" w:pos="360"/>
        </w:tabs>
        <w:rPr>
          <w:lang w:val="en-GB"/>
        </w:rPr>
      </w:pPr>
      <w:r w:rsidRPr="005103F4">
        <w:rPr>
          <w:lang w:val="en-GB"/>
        </w:rPr>
        <w:t xml:space="preserve">Materials </w:t>
      </w:r>
      <w:r>
        <w:rPr>
          <w:lang w:val="en-GB"/>
        </w:rPr>
        <w:t>and</w:t>
      </w:r>
      <w:r w:rsidRPr="005103F4">
        <w:rPr>
          <w:lang w:val="en-GB"/>
        </w:rPr>
        <w:t xml:space="preserve"> Methods</w:t>
      </w:r>
      <w:bookmarkEnd w:id="1"/>
    </w:p>
    <w:p w14:paraId="77753DB0" w14:textId="74694F7B" w:rsidR="005103F4" w:rsidRPr="005103F4" w:rsidRDefault="00D55087" w:rsidP="005103F4">
      <w:pPr>
        <w:pStyle w:val="CETheadingx"/>
      </w:pPr>
      <w:bookmarkStart w:id="2" w:name="_Toc77324343"/>
      <w:r>
        <w:t>Micro-organisms</w:t>
      </w:r>
      <w:r w:rsidR="005103F4" w:rsidRPr="005103F4">
        <w:t xml:space="preserve"> and fermentation in shake flasks</w:t>
      </w:r>
      <w:bookmarkEnd w:id="2"/>
    </w:p>
    <w:p w14:paraId="08179EFE" w14:textId="35E9E1F2" w:rsidR="00D2560F" w:rsidRPr="006365D0" w:rsidRDefault="005103F4" w:rsidP="00D2560F">
      <w:r>
        <w:rPr>
          <w:i/>
          <w:iCs/>
        </w:rPr>
        <w:t xml:space="preserve">A. </w:t>
      </w:r>
      <w:proofErr w:type="spellStart"/>
      <w:r>
        <w:rPr>
          <w:i/>
          <w:iCs/>
        </w:rPr>
        <w:t>oryzae</w:t>
      </w:r>
      <w:proofErr w:type="spellEnd"/>
      <w:r>
        <w:t xml:space="preserve"> NRRL 3488 was obtained </w:t>
      </w:r>
      <w:r w:rsidR="00706E38" w:rsidRPr="00706E38">
        <w:t>from the Agricultural Research Service Culture Collection in Illinois, USA</w:t>
      </w:r>
      <w:r w:rsidR="00706E38">
        <w:t xml:space="preserve">. </w:t>
      </w:r>
      <w:r w:rsidR="00706E38" w:rsidRPr="00706E38">
        <w:t xml:space="preserve">The stock cultures were stored at </w:t>
      </w:r>
      <w:r w:rsidR="00252222">
        <w:t>-</w:t>
      </w:r>
      <w:r w:rsidR="00706E38" w:rsidRPr="00706E38">
        <w:t xml:space="preserve">40 °C in a 50 % w/w glycerol solution. Potato dextrose agar (PDA) (Merck </w:t>
      </w:r>
      <w:proofErr w:type="spellStart"/>
      <w:r w:rsidR="00706E38" w:rsidRPr="00706E38">
        <w:t>KgaA</w:t>
      </w:r>
      <w:proofErr w:type="spellEnd"/>
      <w:r w:rsidR="00706E38" w:rsidRPr="00706E38">
        <w:t xml:space="preserve">, Darmstadt, Germany) plates were inoculated with the stock solution and incubated at 30 °C for 7 days. </w:t>
      </w:r>
      <w:r w:rsidR="00D2560F">
        <w:t>Approximately 60 mg of s</w:t>
      </w:r>
      <w:r w:rsidR="00D2560F" w:rsidRPr="006365D0">
        <w:t>pores</w:t>
      </w:r>
      <w:r w:rsidR="00D2560F">
        <w:t xml:space="preserve"> (</w:t>
      </w:r>
      <w:r w:rsidR="00D2560F">
        <w:rPr>
          <w:i/>
        </w:rPr>
        <w:t xml:space="preserve">circa </w:t>
      </w:r>
      <w:r w:rsidR="00D2560F">
        <w:t>6.7 × 10</w:t>
      </w:r>
      <w:r w:rsidR="00D2560F">
        <w:rPr>
          <w:vertAlign w:val="superscript"/>
        </w:rPr>
        <w:t>8</w:t>
      </w:r>
      <w:r w:rsidR="00D2560F">
        <w:t xml:space="preserve"> spores </w:t>
      </w:r>
      <w:r w:rsidR="00D2560F">
        <w:fldChar w:fldCharType="begin" w:fldLock="1"/>
      </w:r>
      <w:r w:rsidR="00DF30B4">
        <w:instrText>ADDIN CSL_CITATION {"citationItems":[{"id":"ITEM-1","itemData":{"DOI":"10.1128/aem.54.6.1430-1435.1988","ISSN":"0099-2240","PMID":"3288941","abstract":"Variability in the production of fungal spores and in the measurement of spore yields was investigated in four species of fungi: Colletotrichum gloeosporioides, Colletotrichum coccodes, Colletotrichum phomoides , and Acremonium strictum . When the fungi were grown on solid medium in microplates and spore yields were measured by counting the subsamples with a hemacytometer, the variability among hemacytometer squares was always the largest source of variation, accounting for 51 to 91% of the total variation. Variability among replicate cultures and results of repeat experiments were generally also significant. The effect of square-to-square variability on the precision of spore yield measurement was minimized by counting a moderate number (ca. 30) of squares per culture. Culture-to-culture variability limited the practical precision of spore production measurements to a 95% confidence interval of approximately the mean ± 25%. We provide guidelines for determining the number of replicate cultures required to attain this or other degrees of precision. Particle counter-derived spore counts and counts based on spore weights were much less variable than were hemacytometer counts, but they did not improve spore production estimates very much because of culture-to-culture variability. Results obtained by both of these methods differed from those obtained with a hemacytometer; particle counter measurements required a correction for spore pairs, while the relationship between spore weights and spore counts changed as the cultures aged.","author":[{"dropping-particle":"","family":"Smith","given":"C. S.","non-dropping-particle":"","parse-names":false,"suffix":""},{"dropping-particle":"","family":"Slade","given":"S. J.","non-dropping-particle":"","parse-names":false,"suffix":""},{"dropping-particle":"V.","family":"Nordheim","given":"E.","non-dropping-particle":"","parse-names":false,"suffix":""},{"dropping-particle":"","family":"Cascino","given":"J. J.","non-dropping-particle":"","parse-names":false,"suffix":""},{"dropping-particle":"","family":"Harris","given":"R. F.","non-dropping-particle":"","parse-names":false,"suffix":""},{"dropping-particle":"","family":"Andrews","given":"J. H.","non-dropping-particle":"","parse-names":false,"suffix":""}],"container-title":"Applied and Environmental Microbiology","id":"ITEM-1","issue":"6","issued":{"date-parts":[["1988","6"]]},"page":"1430-1435","title":"Sources of Variability in the Measurement of Fungal Spore Yields","type":"article-journal","volume":"54"},"uris":["http://www.mendeley.com/documents/?uuid=33ff93d7-9ccc-4dbc-aad3-36b5268504f2"]}],"mendeley":{"formattedCitation":"(Smith et al., 1988)","plainTextFormattedCitation":"(Smith et al., 1988)","previouslyFormattedCitation":"(Smith et al., 1988)"},"properties":{"noteIndex":0},"schema":"https://github.com/citation-style-language/schema/raw/master/csl-citation.json"}</w:instrText>
      </w:r>
      <w:r w:rsidR="00D2560F">
        <w:fldChar w:fldCharType="separate"/>
      </w:r>
      <w:r w:rsidR="00D2560F" w:rsidRPr="00D2560F">
        <w:rPr>
          <w:noProof/>
        </w:rPr>
        <w:t>(Smith et al., 1988)</w:t>
      </w:r>
      <w:r w:rsidR="00D2560F">
        <w:fldChar w:fldCharType="end"/>
      </w:r>
      <w:r w:rsidR="00D2560F">
        <w:t>)</w:t>
      </w:r>
      <w:r w:rsidR="00D2560F" w:rsidRPr="006365D0">
        <w:t xml:space="preserve"> were harvested</w:t>
      </w:r>
      <w:r w:rsidR="00D2560F">
        <w:t xml:space="preserve"> from two agar plates</w:t>
      </w:r>
      <w:r w:rsidR="00CB158C">
        <w:t xml:space="preserve"> with sterilized </w:t>
      </w:r>
      <w:r w:rsidR="00D2560F" w:rsidRPr="006365D0">
        <w:t xml:space="preserve">distilled water. The inoculum was prepared by adding the spore solution to a 10 % w/w glycerol solution </w:t>
      </w:r>
      <w:r w:rsidR="00D2560F">
        <w:t>which was</w:t>
      </w:r>
      <w:r w:rsidR="00D2560F" w:rsidRPr="006365D0">
        <w:t xml:space="preserve"> subsequently stored at </w:t>
      </w:r>
      <w:r w:rsidR="00252222">
        <w:t>-</w:t>
      </w:r>
      <w:r w:rsidR="00D2560F" w:rsidRPr="006365D0">
        <w:t>40 °C.</w:t>
      </w:r>
    </w:p>
    <w:p w14:paraId="729D8C94" w14:textId="1E8B3EF5" w:rsidR="00625D12" w:rsidRDefault="005103F4" w:rsidP="00327A84">
      <w:r>
        <w:t xml:space="preserve">Production was done using </w:t>
      </w:r>
      <w:r w:rsidR="00625D12">
        <w:t>a</w:t>
      </w:r>
      <w:r>
        <w:t xml:space="preserve"> one-step method and fermentation media </w:t>
      </w:r>
      <w:r w:rsidR="00625D12">
        <w:t xml:space="preserve">adapted from Shigeo et al </w:t>
      </w:r>
      <w:r w:rsidR="00625D12">
        <w:fldChar w:fldCharType="begin" w:fldLock="1"/>
      </w:r>
      <w:r w:rsidR="00625D12">
        <w:instrText>ADDIN CSL_CITATION {"citationItems":[{"id":"ITEM-1","itemData":{"author":[{"dropping-particle":"","family":"Shigeo","given":"Abe","non-dropping-particle":"","parse-names":false,"suffix":""},{"dropping-particle":"","family":"Furuya","given":"Akira","non-dropping-particle":"","parse-names":false,"suffix":""},{"dropping-particle":"","family":"Saito","given":"Takeshi","non-dropping-particle":"","parse-names":false,"suffix":""}],"id":"ITEM-1","issued":{"date-parts":[["1962"]]},"number":"US3063910A","page":"3-5","publisher-place":"United States","title":"Method of producing l-malic acid by fermentation","type":"patent"},"suppress-author":1,"uris":["http://www.mendeley.com/documents/?uuid=34e402a0-6fe5-413d-8b74-be5467ab07b7"]}],"mendeley":{"formattedCitation":"(1962)","plainTextFormattedCitation":"(1962)","previouslyFormattedCitation":"(1962)"},"properties":{"noteIndex":0},"schema":"https://github.com/citation-style-language/schema/raw/master/csl-citation.json"}</w:instrText>
      </w:r>
      <w:r w:rsidR="00625D12">
        <w:fldChar w:fldCharType="separate"/>
      </w:r>
      <w:r w:rsidR="00625D12" w:rsidRPr="00625D12">
        <w:rPr>
          <w:noProof/>
        </w:rPr>
        <w:t>(1962)</w:t>
      </w:r>
      <w:r w:rsidR="00625D12">
        <w:fldChar w:fldCharType="end"/>
      </w:r>
      <w:r w:rsidR="00625D12">
        <w:t xml:space="preserve"> consisting of (in g/</w:t>
      </w:r>
      <w:r w:rsidR="00252222">
        <w:t>l</w:t>
      </w:r>
      <w:r w:rsidR="00625D12">
        <w:t>): 60 glucose, 1.2 (NH</w:t>
      </w:r>
      <w:r w:rsidR="00625D12" w:rsidRPr="00D2560F">
        <w:rPr>
          <w:vertAlign w:val="subscript"/>
        </w:rPr>
        <w:t>4</w:t>
      </w:r>
      <w:r w:rsidR="00625D12">
        <w:t>)</w:t>
      </w:r>
      <w:r w:rsidR="00625D12" w:rsidRPr="00D2560F">
        <w:rPr>
          <w:vertAlign w:val="subscript"/>
        </w:rPr>
        <w:t>2</w:t>
      </w:r>
      <w:r w:rsidR="00625D12">
        <w:t>SO</w:t>
      </w:r>
      <w:r w:rsidR="00625D12" w:rsidRPr="00D2560F">
        <w:rPr>
          <w:vertAlign w:val="subscript"/>
        </w:rPr>
        <w:t>4</w:t>
      </w:r>
      <w:r w:rsidR="00625D12">
        <w:t>, 0.75 KH</w:t>
      </w:r>
      <w:r w:rsidR="00625D12" w:rsidRPr="00D2560F">
        <w:rPr>
          <w:vertAlign w:val="subscript"/>
        </w:rPr>
        <w:t>2</w:t>
      </w:r>
      <w:r w:rsidR="00625D12">
        <w:t>PO</w:t>
      </w:r>
      <w:r w:rsidR="00625D12" w:rsidRPr="00D2560F">
        <w:rPr>
          <w:vertAlign w:val="subscript"/>
        </w:rPr>
        <w:t>4</w:t>
      </w:r>
      <w:r w:rsidR="00625D12">
        <w:t>, 0.75 K</w:t>
      </w:r>
      <w:r w:rsidR="00625D12" w:rsidRPr="00D2560F">
        <w:rPr>
          <w:vertAlign w:val="subscript"/>
        </w:rPr>
        <w:t>2</w:t>
      </w:r>
      <w:r w:rsidR="00625D12">
        <w:t>HPO</w:t>
      </w:r>
      <w:r w:rsidR="00625D12" w:rsidRPr="00D2560F">
        <w:rPr>
          <w:vertAlign w:val="subscript"/>
        </w:rPr>
        <w:t>4</w:t>
      </w:r>
      <w:r w:rsidR="00625D12">
        <w:t>, 0.1 MgSO</w:t>
      </w:r>
      <w:r w:rsidR="00625D12" w:rsidRPr="00D2560F">
        <w:rPr>
          <w:vertAlign w:val="subscript"/>
        </w:rPr>
        <w:t>4</w:t>
      </w:r>
      <w:r w:rsidR="00625D12">
        <w:t>·7H</w:t>
      </w:r>
      <w:r w:rsidR="00625D12" w:rsidRPr="00D2560F">
        <w:rPr>
          <w:vertAlign w:val="subscript"/>
        </w:rPr>
        <w:t>2</w:t>
      </w:r>
      <w:r w:rsidR="00625D12">
        <w:t>O, 0.1</w:t>
      </w:r>
      <w:r w:rsidR="007472D1">
        <w:t> </w:t>
      </w:r>
      <w:r w:rsidR="00625D12">
        <w:t>CaCl</w:t>
      </w:r>
      <w:r w:rsidR="00625D12" w:rsidRPr="00D2560F">
        <w:rPr>
          <w:vertAlign w:val="subscript"/>
        </w:rPr>
        <w:t>2</w:t>
      </w:r>
      <w:r w:rsidR="00625D12">
        <w:t>·2H</w:t>
      </w:r>
      <w:r w:rsidR="00625D12" w:rsidRPr="00D2560F">
        <w:rPr>
          <w:vertAlign w:val="subscript"/>
        </w:rPr>
        <w:t>2</w:t>
      </w:r>
      <w:r w:rsidR="00625D12">
        <w:t>O, 0.005 FeSO</w:t>
      </w:r>
      <w:r w:rsidR="00625D12" w:rsidRPr="00D2560F">
        <w:rPr>
          <w:vertAlign w:val="subscript"/>
        </w:rPr>
        <w:t>4</w:t>
      </w:r>
      <w:r w:rsidR="00625D12">
        <w:t>·7H</w:t>
      </w:r>
      <w:r w:rsidR="00625D12" w:rsidRPr="00D2560F">
        <w:rPr>
          <w:vertAlign w:val="subscript"/>
        </w:rPr>
        <w:t>2</w:t>
      </w:r>
      <w:r w:rsidR="00625D12">
        <w:t>O and 0.005 NaCl</w:t>
      </w:r>
      <w:r w:rsidR="00327A84">
        <w:t>.</w:t>
      </w:r>
      <w:r w:rsidR="00D2560F">
        <w:t xml:space="preserve"> A </w:t>
      </w:r>
      <w:r w:rsidR="00D2560F" w:rsidRPr="00724879">
        <w:t>250</w:t>
      </w:r>
      <w:r w:rsidR="00D2560F">
        <w:t> </w:t>
      </w:r>
      <w:r w:rsidR="00D2560F" w:rsidRPr="00724879">
        <w:t>m</w:t>
      </w:r>
      <w:r w:rsidR="00E3335A">
        <w:t>l</w:t>
      </w:r>
      <w:r w:rsidR="00D2560F" w:rsidRPr="00724879">
        <w:t xml:space="preserve"> unbaffled Erlenmeyer flask</w:t>
      </w:r>
      <w:r w:rsidR="00D2560F">
        <w:t xml:space="preserve"> was loaded with</w:t>
      </w:r>
      <w:r w:rsidR="00327A84">
        <w:t xml:space="preserve"> </w:t>
      </w:r>
      <w:r w:rsidR="00D2560F">
        <w:t>t</w:t>
      </w:r>
      <w:r w:rsidR="00327A84">
        <w:t>he medium</w:t>
      </w:r>
      <w:r w:rsidR="00D2560F">
        <w:t>,</w:t>
      </w:r>
      <w:r w:rsidR="00CB158C">
        <w:t xml:space="preserve"> sterilized</w:t>
      </w:r>
      <w:r w:rsidR="00625D12">
        <w:t xml:space="preserve"> mixed</w:t>
      </w:r>
      <w:r w:rsidR="00327A84">
        <w:t>,</w:t>
      </w:r>
      <w:r w:rsidR="00625D12">
        <w:t xml:space="preserve"> inoculated</w:t>
      </w:r>
      <w:r w:rsidR="00327A84">
        <w:t xml:space="preserve"> with the spore glycerol solution</w:t>
      </w:r>
      <w:r w:rsidR="00252222">
        <w:t>,</w:t>
      </w:r>
      <w:r w:rsidR="00D2560F">
        <w:t xml:space="preserve"> </w:t>
      </w:r>
      <w:r w:rsidR="00327A84">
        <w:t>and stirred</w:t>
      </w:r>
      <w:r w:rsidR="00D2560F">
        <w:t xml:space="preserve"> (final spore concentration of 240 mg/</w:t>
      </w:r>
      <w:r w:rsidR="00E3335A">
        <w:t>l</w:t>
      </w:r>
      <w:r w:rsidR="00D2560F">
        <w:t xml:space="preserve"> or 2.7 × 10</w:t>
      </w:r>
      <w:r w:rsidR="00D2560F">
        <w:rPr>
          <w:vertAlign w:val="superscript"/>
        </w:rPr>
        <w:t>6</w:t>
      </w:r>
      <w:r w:rsidR="00327A84">
        <w:t xml:space="preserve"> </w:t>
      </w:r>
      <w:r w:rsidR="00D2560F">
        <w:t>m</w:t>
      </w:r>
      <w:r w:rsidR="00E3335A">
        <w:t>l</w:t>
      </w:r>
      <w:r w:rsidR="00D2560F">
        <w:rPr>
          <w:vertAlign w:val="superscript"/>
        </w:rPr>
        <w:t>-1</w:t>
      </w:r>
      <w:r w:rsidR="00D2560F">
        <w:t xml:space="preserve">) </w:t>
      </w:r>
      <w:r w:rsidR="00327A84">
        <w:t xml:space="preserve">and </w:t>
      </w:r>
      <w:r w:rsidR="00327A84" w:rsidRPr="00724879">
        <w:t>cultivated at 35</w:t>
      </w:r>
      <w:r w:rsidR="00D2560F">
        <w:t> </w:t>
      </w:r>
      <w:r w:rsidR="00327A84" w:rsidRPr="00724879">
        <w:t>°C and 150</w:t>
      </w:r>
      <w:r w:rsidR="00327A84">
        <w:t> </w:t>
      </w:r>
      <w:r w:rsidR="00327A84" w:rsidRPr="00724879">
        <w:t xml:space="preserve">rpm </w:t>
      </w:r>
      <w:r w:rsidR="00327A84">
        <w:t xml:space="preserve">for </w:t>
      </w:r>
      <m:oMath>
        <m:r>
          <w:rPr>
            <w:rFonts w:ascii="Cambria Math" w:hAnsi="Cambria Math"/>
          </w:rPr>
          <m:t>~</m:t>
        </m:r>
      </m:oMath>
      <w:r w:rsidR="00327A84">
        <w:t xml:space="preserve">24 hours </w:t>
      </w:r>
      <w:r w:rsidR="00327A84" w:rsidRPr="00724879">
        <w:t>in an incubator shaker</w:t>
      </w:r>
      <w:r w:rsidR="00327A84">
        <w:t xml:space="preserve">. </w:t>
      </w:r>
    </w:p>
    <w:p w14:paraId="67CC9188" w14:textId="2F431EFA" w:rsidR="005103F4" w:rsidRPr="004A7AB3" w:rsidRDefault="00625D12" w:rsidP="00625D12">
      <w:pPr>
        <w:pStyle w:val="CETBodytext"/>
      </w:pPr>
      <w:r>
        <w:t xml:space="preserve">There were </w:t>
      </w:r>
      <w:r w:rsidR="00327A84">
        <w:t>2</w:t>
      </w:r>
      <w:r>
        <w:t xml:space="preserve"> batches of shake flasks: o</w:t>
      </w:r>
      <w:r w:rsidR="005103F4">
        <w:t xml:space="preserve">ne set used </w:t>
      </w:r>
      <w:r w:rsidR="00D051E6">
        <w:t>240</w:t>
      </w:r>
      <w:r w:rsidR="005103F4">
        <w:t> g/</w:t>
      </w:r>
      <w:r w:rsidR="00E3335A">
        <w:t>l</w:t>
      </w:r>
      <w:r w:rsidR="005103F4">
        <w:t xml:space="preserve"> CaCO</w:t>
      </w:r>
      <w:r w:rsidR="005103F4">
        <w:rPr>
          <w:vertAlign w:val="subscript"/>
        </w:rPr>
        <w:t>3</w:t>
      </w:r>
      <w:r>
        <w:rPr>
          <w:vertAlign w:val="subscript"/>
        </w:rPr>
        <w:t>,</w:t>
      </w:r>
      <w:r w:rsidR="005103F4">
        <w:t xml:space="preserve"> and </w:t>
      </w:r>
      <w:r>
        <w:t xml:space="preserve">one set used </w:t>
      </w:r>
      <w:r w:rsidR="00D051E6">
        <w:t>192</w:t>
      </w:r>
      <w:r w:rsidR="005103F4">
        <w:t> g/</w:t>
      </w:r>
      <w:r w:rsidR="00E3335A">
        <w:t>l</w:t>
      </w:r>
      <w:r w:rsidR="005103F4">
        <w:t xml:space="preserve"> MgCO</w:t>
      </w:r>
      <w:r w:rsidR="005103F4">
        <w:rPr>
          <w:vertAlign w:val="subscript"/>
        </w:rPr>
        <w:t>3</w:t>
      </w:r>
      <w:r w:rsidR="005103F4">
        <w:t xml:space="preserve"> for pH buffering, each added at the start of the fermentation to the relevant flask. Both buffers were tested in triplicate.</w:t>
      </w:r>
      <w:r w:rsidR="00D051E6">
        <w:t xml:space="preserve"> The choice of buffer amounts was 1) to ensure a complete excess of buffer at all times in the system, and 2) to ensure that equivalent amounts of CO</w:t>
      </w:r>
      <w:r w:rsidR="00D051E6">
        <w:rPr>
          <w:vertAlign w:val="subscript"/>
        </w:rPr>
        <w:t>3</w:t>
      </w:r>
      <w:r w:rsidR="00D051E6">
        <w:rPr>
          <w:vertAlign w:val="superscript"/>
        </w:rPr>
        <w:t>2-</w:t>
      </w:r>
      <w:r w:rsidR="00CB158C">
        <w:t xml:space="preserve"> (~140 g/</w:t>
      </w:r>
      <w:r w:rsidR="00E3335A">
        <w:t>l</w:t>
      </w:r>
      <w:r w:rsidR="00CB158C">
        <w:t xml:space="preserve">) were </w:t>
      </w:r>
      <w:r w:rsidR="00D051E6">
        <w:t>loaded in both.</w:t>
      </w:r>
    </w:p>
    <w:p w14:paraId="2DF7ED58" w14:textId="77777777" w:rsidR="005103F4" w:rsidRDefault="005103F4" w:rsidP="005103F4">
      <w:pPr>
        <w:pStyle w:val="CETheadingx"/>
        <w:rPr>
          <w:lang w:val="en-ZA"/>
        </w:rPr>
      </w:pPr>
      <w:bookmarkStart w:id="3" w:name="_Toc77324344"/>
      <w:r>
        <w:rPr>
          <w:lang w:val="en-ZA"/>
        </w:rPr>
        <w:t xml:space="preserve">Sample </w:t>
      </w:r>
      <w:r w:rsidRPr="005103F4">
        <w:t>preparation</w:t>
      </w:r>
      <w:bookmarkEnd w:id="3"/>
    </w:p>
    <w:p w14:paraId="40A589E7" w14:textId="72FAD217" w:rsidR="005103F4" w:rsidRPr="005103F4" w:rsidRDefault="005103F4" w:rsidP="005103F4">
      <w:pPr>
        <w:pStyle w:val="CETBodytext"/>
      </w:pPr>
      <w:r w:rsidRPr="005103F4">
        <w:t xml:space="preserve">It was </w:t>
      </w:r>
      <w:r w:rsidR="00CB158C">
        <w:t xml:space="preserve">hypothesized </w:t>
      </w:r>
      <w:r w:rsidRPr="005103F4">
        <w:t>that there was a synergistic effect between pH control by CaCO</w:t>
      </w:r>
      <w:r w:rsidRPr="00327A84">
        <w:rPr>
          <w:vertAlign w:val="subscript"/>
        </w:rPr>
        <w:t>3</w:t>
      </w:r>
      <w:r w:rsidR="00327A84">
        <w:t>/</w:t>
      </w:r>
      <w:r w:rsidR="00327A84" w:rsidRPr="00327A84">
        <w:t>MgCO</w:t>
      </w:r>
      <w:r w:rsidR="00327A84" w:rsidRPr="00327A84">
        <w:rPr>
          <w:vertAlign w:val="subscript"/>
        </w:rPr>
        <w:t>3</w:t>
      </w:r>
      <w:r w:rsidRPr="005103F4">
        <w:t xml:space="preserve"> dissolution and the precipitation of calcium salts (calcium–malate, –citrate, –fumarate). Due to this, the concentration of acids in the fermentation broth would be lower which in turn would allow </w:t>
      </w:r>
      <w:r w:rsidRPr="00625D12">
        <w:rPr>
          <w:i/>
        </w:rPr>
        <w:t xml:space="preserve">A. </w:t>
      </w:r>
      <w:proofErr w:type="spellStart"/>
      <w:r w:rsidRPr="00625D12">
        <w:rPr>
          <w:i/>
        </w:rPr>
        <w:t>oryzae</w:t>
      </w:r>
      <w:proofErr w:type="spellEnd"/>
      <w:r w:rsidRPr="005103F4">
        <w:t xml:space="preserve"> to continue producing acid without possible adverse effects (pH, osmotic pressure, etc.). To determine how much acid, if any, had precipitated out of solution in the form of calcium</w:t>
      </w:r>
      <w:r w:rsidR="00327A84">
        <w:t>/magnesium</w:t>
      </w:r>
      <w:r w:rsidRPr="005103F4">
        <w:t xml:space="preserve"> salt</w:t>
      </w:r>
      <w:r w:rsidR="00327A84">
        <w:t>s</w:t>
      </w:r>
      <w:r w:rsidRPr="005103F4">
        <w:t>, 2 sets of HPLC</w:t>
      </w:r>
      <w:r w:rsidR="009F0F13">
        <w:t xml:space="preserve"> and ICP-OES</w:t>
      </w:r>
      <w:r w:rsidRPr="005103F4">
        <w:t xml:space="preserve"> analys</w:t>
      </w:r>
      <w:r w:rsidR="009F0F13">
        <w:t>e</w:t>
      </w:r>
      <w:r w:rsidRPr="005103F4">
        <w:t xml:space="preserve">s were run on each sample: before acidification and after </w:t>
      </w:r>
      <w:r w:rsidR="009F0F13">
        <w:t>acid t</w:t>
      </w:r>
      <w:r w:rsidRPr="005103F4">
        <w:t>reat</w:t>
      </w:r>
      <w:r w:rsidR="009F0F13">
        <w:t>ment</w:t>
      </w:r>
      <w:r w:rsidRPr="005103F4">
        <w:t xml:space="preserve">. </w:t>
      </w:r>
      <w:r w:rsidR="009F0F13">
        <w:t>For this</w:t>
      </w:r>
      <w:r w:rsidR="00790F94">
        <w:t>,</w:t>
      </w:r>
      <w:r w:rsidR="009F0F13">
        <w:t xml:space="preserve"> a</w:t>
      </w:r>
      <w:r w:rsidRPr="005103F4">
        <w:t xml:space="preserve"> fraction of the supernatant was extracted and used for metabolite</w:t>
      </w:r>
      <w:r w:rsidR="007472D1">
        <w:t xml:space="preserve"> and cation</w:t>
      </w:r>
      <w:r w:rsidRPr="005103F4">
        <w:t xml:space="preserve"> analys</w:t>
      </w:r>
      <w:r w:rsidR="007472D1">
        <w:t>e</w:t>
      </w:r>
      <w:r w:rsidRPr="005103F4">
        <w:t>s before acidification. Each sample remnant was then treated with 1 M HCl and incubated in the oven at 90 °C for 30 min (vortexed every 5 min)</w:t>
      </w:r>
      <w:r w:rsidR="00327A84">
        <w:t xml:space="preserve"> and then centrifuged</w:t>
      </w:r>
      <w:r w:rsidRPr="005103F4">
        <w:t>. The</w:t>
      </w:r>
      <w:r w:rsidR="009F0F13">
        <w:t xml:space="preserve"> subsequent</w:t>
      </w:r>
      <w:r w:rsidRPr="005103F4">
        <w:t xml:space="preserve"> supernatant</w:t>
      </w:r>
      <w:r w:rsidR="00327A84">
        <w:t xml:space="preserve"> </w:t>
      </w:r>
      <w:r w:rsidRPr="005103F4">
        <w:t>was used for metabolite</w:t>
      </w:r>
      <w:r w:rsidR="009F0F13">
        <w:t xml:space="preserve"> and ICP-OES</w:t>
      </w:r>
      <w:r w:rsidRPr="005103F4">
        <w:t xml:space="preserve"> analys</w:t>
      </w:r>
      <w:r w:rsidR="009F0F13">
        <w:t>e</w:t>
      </w:r>
      <w:r w:rsidRPr="005103F4">
        <w:t>s.</w:t>
      </w:r>
    </w:p>
    <w:p w14:paraId="29A84A9F" w14:textId="77777777" w:rsidR="005103F4" w:rsidRDefault="005103F4" w:rsidP="005103F4">
      <w:pPr>
        <w:pStyle w:val="CETheadingx"/>
      </w:pPr>
      <w:bookmarkStart w:id="4" w:name="_Toc77324345"/>
      <w:r>
        <w:t>Analytical methods</w:t>
      </w:r>
      <w:bookmarkEnd w:id="4"/>
    </w:p>
    <w:p w14:paraId="38437839" w14:textId="1B911020" w:rsidR="005103F4" w:rsidRPr="00844184" w:rsidRDefault="00625D12" w:rsidP="005103F4">
      <w:pPr>
        <w:pStyle w:val="CETBodytext"/>
      </w:pPr>
      <w:r w:rsidRPr="00625D12">
        <w:t>Samples from the flasks were collected in pre-weighed CELLSTAR® tubes (Greiner Bio-One</w:t>
      </w:r>
      <w:r w:rsidR="0000513F">
        <w:t>, Sigma Aldrich, St. Louis, MO, USA</w:t>
      </w:r>
      <w:r w:rsidRPr="00625D12">
        <w:t>). The concentrations of glucose, glycerol, ethanol</w:t>
      </w:r>
      <w:r w:rsidR="00790F94">
        <w:t>,</w:t>
      </w:r>
      <w:r w:rsidRPr="00625D12">
        <w:t xml:space="preserve"> and organic acids in the samples were determined with an Agilent 1260 Infinity HPLC (Agilent Technologies, </w:t>
      </w:r>
      <w:r w:rsidR="0000513F">
        <w:t xml:space="preserve">Santa Clara, CA, </w:t>
      </w:r>
      <w:r w:rsidRPr="00625D12">
        <w:t>USA) fitted with a refractive index detector. Samples (± 1 m</w:t>
      </w:r>
      <w:r w:rsidR="00E3335A">
        <w:t>l</w:t>
      </w:r>
      <w:r w:rsidRPr="00625D12">
        <w:t>) were centrifuged at 16 600 × g for 90 s and filtered with 0.45 µm Nylon (</w:t>
      </w:r>
      <w:proofErr w:type="spellStart"/>
      <w:r w:rsidRPr="00625D12">
        <w:t>Minis</w:t>
      </w:r>
      <w:r w:rsidR="0000513F">
        <w:t>t</w:t>
      </w:r>
      <w:r w:rsidRPr="00625D12">
        <w:t>art</w:t>
      </w:r>
      <w:proofErr w:type="spellEnd"/>
      <w:r w:rsidRPr="00625D12">
        <w:t>®</w:t>
      </w:r>
      <w:r w:rsidR="0000513F">
        <w:t>, Sigma Aldrich, St. Louis, MO, USA</w:t>
      </w:r>
      <w:r w:rsidRPr="00625D12">
        <w:t>) syringe filters into HPLC vials and loaded into the autosampler tray of the HPLC. Samples (5 µ</w:t>
      </w:r>
      <w:r w:rsidR="00E3335A">
        <w:t>l</w:t>
      </w:r>
      <w:r w:rsidRPr="00625D12">
        <w:t xml:space="preserve">) were injected </w:t>
      </w:r>
      <w:r w:rsidR="00790F94">
        <w:t>into</w:t>
      </w:r>
      <w:r w:rsidRPr="00625D12">
        <w:t xml:space="preserve"> a Micro-Guard® Cartridge (30 m × 4.6 m) that was attached to a 300 mm × 7.8 mm </w:t>
      </w:r>
      <w:proofErr w:type="spellStart"/>
      <w:r w:rsidRPr="00625D12">
        <w:t>Aminex</w:t>
      </w:r>
      <w:proofErr w:type="spellEnd"/>
      <w:r w:rsidRPr="00625D12">
        <w:t xml:space="preserve"> HPX-87H ion-exchange column (Bio-Rad Laboratories, </w:t>
      </w:r>
      <w:r w:rsidR="0000513F">
        <w:t xml:space="preserve">Hercules, CA, </w:t>
      </w:r>
      <w:r w:rsidRPr="00625D12">
        <w:t>USA) maintained at 60 °C. Organic acids and glycerol were measured with mobile phase A (0.02 M H</w:t>
      </w:r>
      <w:r w:rsidRPr="0000513F">
        <w:rPr>
          <w:vertAlign w:val="subscript"/>
        </w:rPr>
        <w:t>2</w:t>
      </w:r>
      <w:r w:rsidRPr="00625D12">
        <w:t>SO</w:t>
      </w:r>
      <w:r w:rsidRPr="0000513F">
        <w:rPr>
          <w:vertAlign w:val="subscript"/>
        </w:rPr>
        <w:t>4</w:t>
      </w:r>
      <w:r w:rsidRPr="00625D12">
        <w:t>) and glucose, lactic acid, and ethanol with mobile phase C (0.002 M H</w:t>
      </w:r>
      <w:r w:rsidRPr="0000513F">
        <w:rPr>
          <w:vertAlign w:val="subscript"/>
        </w:rPr>
        <w:t>2</w:t>
      </w:r>
      <w:r w:rsidRPr="00625D12">
        <w:t>SO</w:t>
      </w:r>
      <w:r w:rsidRPr="0000513F">
        <w:rPr>
          <w:vertAlign w:val="subscript"/>
        </w:rPr>
        <w:t>4</w:t>
      </w:r>
      <w:r w:rsidRPr="00625D12">
        <w:t>) both at a flow rate of 0.6 m</w:t>
      </w:r>
      <w:r w:rsidR="00E3335A">
        <w:t>l</w:t>
      </w:r>
      <w:r w:rsidRPr="00625D12">
        <w:t>/min.</w:t>
      </w:r>
      <w:r>
        <w:t xml:space="preserve"> E</w:t>
      </w:r>
      <w:r w:rsidR="005103F4">
        <w:t xml:space="preserve">ach sample was </w:t>
      </w:r>
      <w:r w:rsidR="00790F94">
        <w:t>analyzed</w:t>
      </w:r>
      <w:r w:rsidR="005103F4">
        <w:t xml:space="preserve"> twice: the control supernatant and </w:t>
      </w:r>
      <w:r w:rsidR="00790F94">
        <w:t xml:space="preserve">the </w:t>
      </w:r>
      <w:r w:rsidR="005103F4">
        <w:t xml:space="preserve">pre-treated supernatant. The concentration of calcium and magnesium in </w:t>
      </w:r>
      <w:r w:rsidR="00790F94">
        <w:t xml:space="preserve">the </w:t>
      </w:r>
      <w:r w:rsidR="005103F4">
        <w:t>solution was measured using inductively coupled plasma mass spectrometry (ICP-</w:t>
      </w:r>
      <w:r w:rsidR="0000513F">
        <w:t xml:space="preserve">OES, Perkin-Elmar, </w:t>
      </w:r>
      <w:r w:rsidR="0000513F" w:rsidRPr="0000513F">
        <w:t>Waltham, M</w:t>
      </w:r>
      <w:r w:rsidR="00213FB5">
        <w:t>A</w:t>
      </w:r>
      <w:r w:rsidR="0000513F" w:rsidRPr="0000513F">
        <w:t xml:space="preserve">, </w:t>
      </w:r>
      <w:r w:rsidR="00213FB5">
        <w:t>USA</w:t>
      </w:r>
      <w:r w:rsidR="005103F4">
        <w:t xml:space="preserve">) using an Argon plasma to </w:t>
      </w:r>
      <w:r w:rsidR="00790F94">
        <w:t>ionize</w:t>
      </w:r>
      <w:r w:rsidR="005103F4">
        <w:t xml:space="preserve"> the samples and measure the relevant concentrations. This was repeated for both control and pre-treated samples. </w:t>
      </w:r>
    </w:p>
    <w:p w14:paraId="0F6800F8" w14:textId="77777777" w:rsidR="005103F4" w:rsidRDefault="005103F4" w:rsidP="005103F4">
      <w:pPr>
        <w:pStyle w:val="CETheadingx"/>
      </w:pPr>
      <w:bookmarkStart w:id="5" w:name="_Ref55732151"/>
      <w:bookmarkStart w:id="6" w:name="_Toc77324346"/>
      <w:r w:rsidRPr="008F39E7">
        <w:lastRenderedPageBreak/>
        <w:t>Curve fitting</w:t>
      </w:r>
      <w:bookmarkEnd w:id="5"/>
      <w:bookmarkEnd w:id="6"/>
    </w:p>
    <w:p w14:paraId="23F9F0E7" w14:textId="7176BA77" w:rsidR="005103F4" w:rsidRDefault="005103F4" w:rsidP="005103F4">
      <w:pPr>
        <w:pStyle w:val="CETBodytext"/>
      </w:pPr>
      <w:r w:rsidRPr="008F39E7">
        <w:t xml:space="preserve">Time-dependent concentration profiles were approximated in the GraphPad Prism 7.0 (GraphPad </w:t>
      </w:r>
      <w:r w:rsidR="0000513F">
        <w:t xml:space="preserve">Prism </w:t>
      </w:r>
      <w:r w:rsidRPr="008F39E7">
        <w:t xml:space="preserve">Software, </w:t>
      </w:r>
      <w:r w:rsidR="0000513F">
        <w:t xml:space="preserve">San Diego, </w:t>
      </w:r>
      <w:r w:rsidRPr="008F39E7">
        <w:t>C</w:t>
      </w:r>
      <w:r w:rsidR="0000513F">
        <w:t>A</w:t>
      </w:r>
      <w:r w:rsidRPr="008F39E7">
        <w:t xml:space="preserve">, USA) environment using a four-parameter </w:t>
      </w:r>
      <w:r>
        <w:t xml:space="preserve">logistic </w:t>
      </w:r>
      <w:r w:rsidRPr="008F39E7">
        <w:t>function</w:t>
      </w:r>
    </w:p>
    <w:tbl>
      <w:tblPr>
        <w:tblW w:w="5000" w:type="pct"/>
        <w:tblLook w:val="04A0" w:firstRow="1" w:lastRow="0" w:firstColumn="1" w:lastColumn="0" w:noHBand="0" w:noVBand="1"/>
      </w:tblPr>
      <w:tblGrid>
        <w:gridCol w:w="7987"/>
        <w:gridCol w:w="800"/>
      </w:tblGrid>
      <w:tr w:rsidR="005103F4" w:rsidRPr="005103F4" w14:paraId="24426B5F" w14:textId="77777777" w:rsidTr="007D77D3">
        <w:trPr>
          <w:trHeight w:val="771"/>
        </w:trPr>
        <w:tc>
          <w:tcPr>
            <w:tcW w:w="7987" w:type="dxa"/>
            <w:shd w:val="clear" w:color="auto" w:fill="auto"/>
            <w:vAlign w:val="center"/>
          </w:tcPr>
          <w:p w14:paraId="5CB8B8C1" w14:textId="28C60CCD" w:rsidR="005103F4" w:rsidRPr="00152C5F" w:rsidRDefault="0006727D" w:rsidP="005103F4">
            <w:pPr>
              <w:pStyle w:val="CETEquation"/>
              <w:rPr>
                <w:noProof/>
                <w:lang w:val="it-IT" w:eastAsia="it-IT"/>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i,max</m:t>
                    </m:r>
                  </m:sub>
                </m:sSub>
                <m:r>
                  <w:rPr>
                    <w:rFonts w:ascii="Cambria Math" w:hAnsi="Cambria Math"/>
                  </w:rPr>
                  <m:t xml:space="preserve">+ </m:t>
                </m:r>
                <m:f>
                  <m:fPr>
                    <m:ctrlPr>
                      <w:rPr>
                        <w:rFonts w:ascii="Cambria Math" w:hAnsi="Cambria Math"/>
                        <w:i/>
                      </w:rPr>
                    </m:ctrlPr>
                  </m:fPr>
                  <m:num>
                    <m:r>
                      <w:rPr>
                        <w:rFonts w:ascii="Cambria Math" w:hAnsi="Cambria Math"/>
                      </w:rPr>
                      <m:t>(</m:t>
                    </m:r>
                    <w:bookmarkStart w:id="7" w:name="OLE_LINK3"/>
                    <m:sSub>
                      <m:sSubPr>
                        <m:ctrlPr>
                          <w:rPr>
                            <w:rFonts w:ascii="Cambria Math" w:hAnsi="Cambria Math"/>
                            <w:i/>
                          </w:rPr>
                        </m:ctrlPr>
                      </m:sSubPr>
                      <m:e>
                        <m:r>
                          <w:rPr>
                            <w:rFonts w:ascii="Cambria Math" w:hAnsi="Cambria Math"/>
                          </w:rPr>
                          <m:t>C</m:t>
                        </m:r>
                      </m:e>
                      <m:sub>
                        <m:r>
                          <w:rPr>
                            <w:rFonts w:ascii="Cambria Math" w:hAnsi="Cambria Math"/>
                          </w:rPr>
                          <m:t>i,min</m:t>
                        </m:r>
                      </m:sub>
                    </m:sSub>
                    <w:bookmarkEnd w:id="7"/>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i,max</m:t>
                        </m:r>
                      </m:sub>
                    </m:sSub>
                    <m:r>
                      <w:rPr>
                        <w:rFonts w:ascii="Cambria Math" w:hAnsi="Cambria Math"/>
                      </w:rPr>
                      <m:t xml:space="preserve"> )</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50</m:t>
                                    </m:r>
                                  </m:sub>
                                </m:sSub>
                              </m:den>
                            </m:f>
                          </m:e>
                        </m:d>
                      </m:e>
                      <m:sup>
                        <m:r>
                          <w:rPr>
                            <w:rFonts w:ascii="Cambria Math" w:hAnsi="Cambria Math"/>
                          </w:rPr>
                          <m:t>k</m:t>
                        </m:r>
                      </m:sup>
                    </m:sSup>
                  </m:den>
                </m:f>
              </m:oMath>
            </m:oMathPara>
          </w:p>
        </w:tc>
        <w:tc>
          <w:tcPr>
            <w:tcW w:w="800" w:type="dxa"/>
            <w:shd w:val="clear" w:color="auto" w:fill="auto"/>
            <w:vAlign w:val="center"/>
          </w:tcPr>
          <w:p w14:paraId="3594B076" w14:textId="77777777" w:rsidR="005103F4" w:rsidRPr="005103F4" w:rsidRDefault="005103F4" w:rsidP="005103F4">
            <w:pPr>
              <w:pStyle w:val="CETEquation"/>
              <w:jc w:val="right"/>
              <w:rPr>
                <w:noProof/>
                <w:lang w:val="it-IT" w:eastAsia="it-IT"/>
              </w:rPr>
            </w:pPr>
            <w:r w:rsidRPr="005103F4">
              <w:rPr>
                <w:noProof/>
                <w:lang w:val="it-IT" w:eastAsia="it-IT"/>
              </w:rPr>
              <w:t>(1)</w:t>
            </w:r>
          </w:p>
        </w:tc>
      </w:tr>
    </w:tbl>
    <w:p w14:paraId="4A10AABC" w14:textId="7022A3F5" w:rsidR="007D77D3" w:rsidRDefault="007D77D3" w:rsidP="007D77D3">
      <w:pPr>
        <w:pStyle w:val="CETBodytext"/>
        <w:rPr>
          <w:lang w:val="en-ZA"/>
        </w:rPr>
      </w:pPr>
      <w:bookmarkStart w:id="8" w:name="_Toc77324347"/>
      <w:r w:rsidRPr="00774479">
        <w:t>Consumption</w:t>
      </w:r>
      <w:r>
        <w:t>/</w:t>
      </w:r>
      <w:r w:rsidRPr="00774479">
        <w:t xml:space="preserve">production rates were determined </w:t>
      </w:r>
      <w:r>
        <w:t xml:space="preserve">by differentiating </w:t>
      </w:r>
      <w:r w:rsidRPr="00774479">
        <w:t>the fitted functions</w:t>
      </w:r>
      <w:r w:rsidR="007472D1">
        <w:t>.</w:t>
      </w:r>
    </w:p>
    <w:p w14:paraId="0258AFD5" w14:textId="5767F436" w:rsidR="005103F4" w:rsidRDefault="005103F4" w:rsidP="005103F4">
      <w:pPr>
        <w:pStyle w:val="CETHeading1"/>
        <w:tabs>
          <w:tab w:val="num" w:pos="360"/>
        </w:tabs>
        <w:rPr>
          <w:lang w:val="en-ZA"/>
        </w:rPr>
      </w:pPr>
      <w:r>
        <w:rPr>
          <w:lang w:val="en-ZA"/>
        </w:rPr>
        <w:t>Results &amp; Discussion</w:t>
      </w:r>
      <w:bookmarkEnd w:id="8"/>
    </w:p>
    <w:p w14:paraId="54B0D5E0" w14:textId="1DB99ACF" w:rsidR="002471B7" w:rsidRPr="007472D1" w:rsidRDefault="005103F4" w:rsidP="002471B7">
      <w:pPr>
        <w:pStyle w:val="CETBodytext"/>
      </w:pPr>
      <w:r>
        <w:t xml:space="preserve">The results for the malic acid concentration curves can be seen in </w:t>
      </w:r>
      <w:bookmarkStart w:id="9" w:name="OLE_LINK4"/>
      <w:r>
        <w:fldChar w:fldCharType="begin"/>
      </w:r>
      <w:r>
        <w:instrText xml:space="preserve"> REF _Ref93999228 \h </w:instrText>
      </w:r>
      <w:r>
        <w:fldChar w:fldCharType="separate"/>
      </w:r>
      <w:r>
        <w:t>Figure 1</w:t>
      </w:r>
      <w:r>
        <w:fldChar w:fldCharType="end"/>
      </w:r>
      <w:r>
        <w:t>(a)</w:t>
      </w:r>
      <w:bookmarkEnd w:id="9"/>
      <w:r>
        <w:t xml:space="preserve"> for the CaCO</w:t>
      </w:r>
      <w:r>
        <w:rPr>
          <w:vertAlign w:val="subscript"/>
        </w:rPr>
        <w:t>3</w:t>
      </w:r>
      <w:r>
        <w:t xml:space="preserve"> experiment and in </w:t>
      </w:r>
      <w:r>
        <w:fldChar w:fldCharType="begin"/>
      </w:r>
      <w:r>
        <w:instrText xml:space="preserve"> REF _Ref93999228 \h </w:instrText>
      </w:r>
      <w:r>
        <w:fldChar w:fldCharType="separate"/>
      </w:r>
      <w:r>
        <w:t>Figure 1</w:t>
      </w:r>
      <w:r>
        <w:fldChar w:fldCharType="end"/>
      </w:r>
      <w:r>
        <w:t>(b) for the MgCO</w:t>
      </w:r>
      <w:r>
        <w:rPr>
          <w:vertAlign w:val="subscript"/>
        </w:rPr>
        <w:t>3</w:t>
      </w:r>
      <w:r w:rsidR="007472D1">
        <w:t xml:space="preserve"> experiment</w:t>
      </w:r>
      <w:r>
        <w:t xml:space="preserve">. </w:t>
      </w:r>
      <w:r w:rsidR="007472D1">
        <w:t>According to the proposed hypothesis, it was anticipated</w:t>
      </w:r>
      <w:r w:rsidR="002471B7">
        <w:t xml:space="preserve"> that the measured malic acid concentration would change significantly between the </w:t>
      </w:r>
      <w:r w:rsidR="007472D1">
        <w:t xml:space="preserve">untreated </w:t>
      </w:r>
      <w:r w:rsidR="002471B7">
        <w:t xml:space="preserve">and </w:t>
      </w:r>
      <w:r w:rsidR="007472D1">
        <w:t>acid</w:t>
      </w:r>
      <w:r w:rsidR="002471B7">
        <w:t>-treated samples</w:t>
      </w:r>
      <w:r w:rsidR="007472D1">
        <w:t>. However,</w:t>
      </w:r>
      <w:r w:rsidR="002471B7">
        <w:t xml:space="preserve"> a Wilcoxon matched-pairs signed-rank test (α = 0.05) showed that there was not a statistically significant difference for the CaCO</w:t>
      </w:r>
      <w:r w:rsidR="002471B7">
        <w:rPr>
          <w:vertAlign w:val="subscript"/>
        </w:rPr>
        <w:t>3</w:t>
      </w:r>
      <w:r w:rsidR="002471B7">
        <w:t xml:space="preserve"> (Z = 0.257; p = 0.7969) </w:t>
      </w:r>
      <w:r w:rsidR="007472D1">
        <w:t>or</w:t>
      </w:r>
      <w:r w:rsidR="002471B7">
        <w:t xml:space="preserve"> MgCO</w:t>
      </w:r>
      <w:r w:rsidR="002471B7">
        <w:rPr>
          <w:vertAlign w:val="subscript"/>
        </w:rPr>
        <w:t>3</w:t>
      </w:r>
      <w:r w:rsidR="002471B7">
        <w:t xml:space="preserve"> (Z = 0.873; p = 0.383) sets. This suggested that calcium-malate and magnesium-malate were not present in as </w:t>
      </w:r>
      <w:r w:rsidR="007472D1">
        <w:t xml:space="preserve">significant </w:t>
      </w:r>
      <w:r w:rsidR="002471B7">
        <w:t>concentrations as previously predicted. This contradicted the hypothesis that the precipitation of insoluble acid salts decreased the acid concentration in the fermentation broth which would decrease the inhibition of further acid production</w:t>
      </w:r>
      <w:r w:rsidR="007472D1">
        <w:t xml:space="preserve"> and therefore the effect of the CaCO</w:t>
      </w:r>
      <w:r w:rsidR="007472D1">
        <w:rPr>
          <w:vertAlign w:val="subscript"/>
        </w:rPr>
        <w:t>3</w:t>
      </w:r>
      <w:r w:rsidR="007472D1">
        <w:t xml:space="preserve"> or MgCO</w:t>
      </w:r>
      <w:r w:rsidR="007472D1">
        <w:rPr>
          <w:vertAlign w:val="subscript"/>
        </w:rPr>
        <w:t>3</w:t>
      </w:r>
      <w:r w:rsidR="007472D1">
        <w:t xml:space="preserve"> was likely related to either the supply of CO</w:t>
      </w:r>
      <w:r w:rsidR="007472D1">
        <w:rPr>
          <w:vertAlign w:val="subscript"/>
        </w:rPr>
        <w:t>2</w:t>
      </w:r>
      <w:r w:rsidR="007472D1">
        <w:t xml:space="preserve"> for </w:t>
      </w:r>
      <w:proofErr w:type="spellStart"/>
      <w:r w:rsidR="007472D1">
        <w:t>anaplerotic</w:t>
      </w:r>
      <w:proofErr w:type="spellEnd"/>
      <w:r w:rsidR="007472D1">
        <w:t xml:space="preserve"> reactions required for malate synthesis</w:t>
      </w:r>
      <w:r w:rsidR="00DF30B4">
        <w:t xml:space="preserve"> </w:t>
      </w:r>
      <w:r w:rsidR="00DF30B4">
        <w:fldChar w:fldCharType="begin" w:fldLock="1"/>
      </w:r>
      <w:r w:rsidR="006B4D8D">
        <w:instrText>ADDIN CSL_CITATION {"citationItems":[{"id":"ITEM-1","itemData":{"DOI":"10.1186/s13068-021-01901-5","ISSN":"17546834","abstract":"Background: Microbial malic acid production is currently not able to compete economically with well-established chemical processes using fossil resources. The utilization of inexpensive biomass-based substrates containing acetate could decrease production costs and promote the development of microbial processes. Acetate is a by-product in lignocellulosic hydrolysates and fast pyrolysis products or can be synthesized by acetogens during syngas fermentation. For the fermentation of these substrates, a robust microorganism with a high tolerance for biomass-derived inhibitors is required. Aspergillus oryzae is a suitable candidate due to its high tolerance and broad substrate spectrum. To pave the path towards microbial malic acid production, the potential of acetate as a carbon source for A. oryzae is evaluated in this study. Results: A broad acetate concentration range was tested both for growth and malic acid production with A. oryzae. Dry biomass concentration was highest for acetic acid concentrations of 40–55 g/L reaching values of about 1.1 g/L within 48 h. Morphological changes were observed depending on the acetate concentration, yielding a pellet-like morphology with low and a filamentous structure with high substrate concentrations. For malic acid production, 45 g/L acetic acid was ideal, resulting in a product concentration of 8.44 ± 0.42 g/L after 192 h. The addition of 5–15 g/L glucose to acetate medium proved beneficial by lowering the time point of maximum productivity and increasing malic acid yield. The side product spectrum of cultures with acetate, glucose, and cultures containing both substrates was compared, showing differences especially in the amount of oxalic, succinic, and citric acid produced. Furthermore, the presence of CaCO3, a pH regulator used for malate production with glucose, was found to be crucial also for malic acid production with acetate. Conclusions: This study evaluates relevant aspects of malic acid production with A. oryzae using acetate as carbon source and demonstrates that it is a suitable substrate for biomass formation and acid synthesis. The insights provided here will be useful to further microbial malic acid production using renewable substrates.","author":[{"dropping-particle":"","family":"Kövilein","given":"Aline","non-dropping-particle":"","parse-names":false,"suffix":""},{"dropping-particle":"","family":"Umpfenbach","given":"Julia","non-dropping-particle":"","parse-names":false,"suffix":""},{"dropping-particle":"","family":"Ochsenreither","given":"Katrin","non-dropping-particle":"","parse-names":false,"suffix":""}],"container-title":"Biotechnology for Biofuels","id":"ITEM-1","issue":"1","issued":{"date-parts":[["2021"]]},"page":"1-15","publisher":"BioMed Central","title":"Acetate as substrate for l-malic acid production with Aspergillus oryzae DSM 1863","type":"article-journal","volume":"14"},"uris":["http://www.mendeley.com/documents/?uuid=b5192b8c-b7b7-4450-9ff8-f19989df7b6f"]}],"mendeley":{"formattedCitation":"(Kövilein et al., 2021)","plainTextFormattedCitation":"(Kövilein et al., 2021)","previouslyFormattedCitation":"(Kövilein et al., 2021)"},"properties":{"noteIndex":0},"schema":"https://github.com/citation-style-language/schema/raw/master/csl-citation.json"}</w:instrText>
      </w:r>
      <w:r w:rsidR="00DF30B4">
        <w:fldChar w:fldCharType="separate"/>
      </w:r>
      <w:r w:rsidR="00DF30B4" w:rsidRPr="00DF30B4">
        <w:rPr>
          <w:noProof/>
        </w:rPr>
        <w:t>(Kövilein et al., 2021)</w:t>
      </w:r>
      <w:r w:rsidR="00DF30B4">
        <w:fldChar w:fldCharType="end"/>
      </w:r>
      <w:r w:rsidR="007472D1">
        <w:t xml:space="preserve"> or the effect of the alkali</w:t>
      </w:r>
      <w:r w:rsidR="00DF30B4">
        <w:t xml:space="preserve">ne </w:t>
      </w:r>
      <w:r w:rsidR="007472D1">
        <w:t>earth</w:t>
      </w:r>
      <w:r w:rsidR="00DF30B4">
        <w:t xml:space="preserve"> cation identity itself.</w:t>
      </w:r>
      <w:r w:rsidR="007472D1">
        <w:t xml:space="preserve"> </w:t>
      </w:r>
    </w:p>
    <w:bookmarkStart w:id="10" w:name="_Ref93999228"/>
    <w:bookmarkStart w:id="11" w:name="_Toc77324379"/>
    <w:p w14:paraId="1D59CD9F" w14:textId="77F5929C" w:rsidR="005103F4" w:rsidRDefault="00292700" w:rsidP="005103F4">
      <w:pPr>
        <w:pStyle w:val="CETCaption"/>
      </w:pPr>
      <w:r>
        <w:object w:dxaOrig="10882" w:dyaOrig="7680" w14:anchorId="1A85C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56.7pt" o:ole="">
            <v:imagedata r:id="rId10" o:title=""/>
          </v:shape>
          <o:OLEObject Type="Embed" ProgID="Prism9.Document" ShapeID="_x0000_i1025" DrawAspect="Content" ObjectID="_1719403375" r:id="rId11"/>
        </w:object>
      </w:r>
    </w:p>
    <w:p w14:paraId="0B08050E" w14:textId="3C04A07E" w:rsidR="00832938" w:rsidRDefault="005103F4" w:rsidP="005103F4">
      <w:pPr>
        <w:pStyle w:val="CETCaption"/>
      </w:pPr>
      <w:bookmarkStart w:id="12" w:name="_Ref105677539"/>
      <w:r>
        <w:t xml:space="preserve">Figure </w:t>
      </w:r>
      <w:r>
        <w:fldChar w:fldCharType="begin"/>
      </w:r>
      <w:r>
        <w:instrText xml:space="preserve"> SEQ Figure \* ARABIC </w:instrText>
      </w:r>
      <w:r>
        <w:fldChar w:fldCharType="separate"/>
      </w:r>
      <w:r>
        <w:rPr>
          <w:noProof/>
        </w:rPr>
        <w:t>1</w:t>
      </w:r>
      <w:r>
        <w:fldChar w:fldCharType="end"/>
      </w:r>
      <w:bookmarkEnd w:id="10"/>
      <w:bookmarkEnd w:id="12"/>
      <w:r>
        <w:t xml:space="preserve">: </w:t>
      </w:r>
      <w:r w:rsidRPr="004264FC">
        <w:t>Malic acid concentration curves</w:t>
      </w:r>
      <w:r>
        <w:t xml:space="preserve"> for (a) CaCO</w:t>
      </w:r>
      <w:r>
        <w:rPr>
          <w:vertAlign w:val="subscript"/>
        </w:rPr>
        <w:t>3</w:t>
      </w:r>
      <w:r>
        <w:t xml:space="preserve"> and (b) MgCO</w:t>
      </w:r>
      <w:r>
        <w:rPr>
          <w:vertAlign w:val="subscript"/>
        </w:rPr>
        <w:t>3</w:t>
      </w:r>
      <w:r w:rsidRPr="004264FC">
        <w:t xml:space="preserve"> shake flask experiments </w:t>
      </w:r>
      <w:r>
        <w:t xml:space="preserve">showing </w:t>
      </w:r>
      <w:r w:rsidR="009F2F97">
        <w:t>untreated</w:t>
      </w:r>
      <w:r>
        <w:t xml:space="preserve"> and</w:t>
      </w:r>
      <w:r w:rsidRPr="004264FC">
        <w:t xml:space="preserve"> </w:t>
      </w:r>
      <w:r w:rsidR="009F2F97">
        <w:t>acid-</w:t>
      </w:r>
      <w:r w:rsidRPr="004264FC">
        <w:t xml:space="preserve">treated measurements. </w:t>
      </w:r>
      <w:bookmarkEnd w:id="11"/>
      <w:r w:rsidR="00832938" w:rsidRPr="00DC2C50">
        <w:t>The ICP</w:t>
      </w:r>
      <w:r w:rsidR="00832938">
        <w:t>-MS</w:t>
      </w:r>
      <w:r w:rsidR="00832938" w:rsidRPr="00DC2C50">
        <w:t xml:space="preserve"> measured concentrations of each buffer cation in the solution for (</w:t>
      </w:r>
      <w:r w:rsidR="002471B7">
        <w:t>c</w:t>
      </w:r>
      <w:r w:rsidR="00832938" w:rsidRPr="00DC2C50">
        <w:t>)</w:t>
      </w:r>
      <w:r w:rsidR="002471B7" w:rsidRPr="002471B7">
        <w:t xml:space="preserve"> </w:t>
      </w:r>
      <w:r w:rsidR="002471B7">
        <w:t>CaCO</w:t>
      </w:r>
      <w:r w:rsidR="002471B7" w:rsidRPr="00500791">
        <w:rPr>
          <w:vertAlign w:val="subscript"/>
        </w:rPr>
        <w:t>3</w:t>
      </w:r>
      <w:r w:rsidR="00832938" w:rsidRPr="00DC2C50">
        <w:t xml:space="preserve"> and (</w:t>
      </w:r>
      <w:r w:rsidR="002471B7">
        <w:t>d</w:t>
      </w:r>
      <w:r w:rsidR="00832938" w:rsidRPr="00DC2C50">
        <w:t xml:space="preserve">) </w:t>
      </w:r>
      <w:r w:rsidR="002471B7" w:rsidRPr="00DC2C50">
        <w:t>MgCO</w:t>
      </w:r>
      <w:r w:rsidR="002471B7" w:rsidRPr="00500791">
        <w:rPr>
          <w:vertAlign w:val="subscript"/>
        </w:rPr>
        <w:t>3</w:t>
      </w:r>
      <w:r w:rsidR="00832938" w:rsidRPr="00DC2C50">
        <w:t>, includ</w:t>
      </w:r>
      <w:r w:rsidR="00832938">
        <w:t>ing</w:t>
      </w:r>
      <w:r w:rsidR="00832938" w:rsidRPr="00DC2C50">
        <w:t xml:space="preserve"> </w:t>
      </w:r>
      <w:r w:rsidR="00832938">
        <w:t>the untreated (aqueous cation)</w:t>
      </w:r>
      <w:r w:rsidR="00832938" w:rsidRPr="00DC2C50">
        <w:t xml:space="preserve"> and</w:t>
      </w:r>
      <w:r w:rsidR="00832938">
        <w:t xml:space="preserve"> acid</w:t>
      </w:r>
      <w:r w:rsidR="00832938" w:rsidRPr="00DC2C50">
        <w:t>-treated</w:t>
      </w:r>
      <w:r w:rsidR="00832938">
        <w:t xml:space="preserve"> (total cation)</w:t>
      </w:r>
      <w:r w:rsidR="00832938" w:rsidRPr="00DC2C50">
        <w:t xml:space="preserve"> </w:t>
      </w:r>
      <w:r w:rsidR="00832938">
        <w:t>measurements</w:t>
      </w:r>
      <w:r w:rsidR="00FE0EC8">
        <w:t>.</w:t>
      </w:r>
      <w:r w:rsidR="00832938" w:rsidRPr="00DC2C50">
        <w:t xml:space="preserve"> </w:t>
      </w:r>
      <w:r w:rsidR="00FE0EC8">
        <w:t>E</w:t>
      </w:r>
      <w:r w:rsidR="00832938" w:rsidRPr="00DC2C50">
        <w:t xml:space="preserve">rror bars </w:t>
      </w:r>
      <w:r w:rsidR="00FE0EC8">
        <w:t xml:space="preserve">indicated </w:t>
      </w:r>
      <w:r w:rsidR="00832938" w:rsidRPr="00DC2C50">
        <w:t>the standard deviation of triplicates</w:t>
      </w:r>
      <w:r w:rsidR="002471B7">
        <w:t>.</w:t>
      </w:r>
    </w:p>
    <w:p w14:paraId="34879490" w14:textId="4766DDCF" w:rsidR="006B4D8D" w:rsidRPr="006B4D8D" w:rsidRDefault="00292700" w:rsidP="00292700">
      <w:pPr>
        <w:pStyle w:val="CETBodytext"/>
        <w:rPr>
          <w:lang w:val="en-ZA"/>
        </w:rPr>
      </w:pPr>
      <w:r>
        <w:rPr>
          <w:lang w:val="en-ZA"/>
        </w:rPr>
        <w:t xml:space="preserve">The calcium and magnesium concentrations measured with ICP-OES can be seen in </w:t>
      </w:r>
      <w:r w:rsidR="00790F94">
        <w:t>Figures</w:t>
      </w:r>
      <w:r>
        <w:t xml:space="preserve">(c) </w:t>
      </w:r>
      <w:r w:rsidR="00790F94">
        <w:t>and</w:t>
      </w:r>
      <w:r>
        <w:t xml:space="preserve"> (d)</w:t>
      </w:r>
      <w:r>
        <w:rPr>
          <w:lang w:val="en-ZA"/>
        </w:rPr>
        <w:t xml:space="preserve"> </w:t>
      </w:r>
      <w:r>
        <w:rPr>
          <w:lang w:val="en-ZA"/>
        </w:rPr>
        <w:fldChar w:fldCharType="begin"/>
      </w:r>
      <w:r>
        <w:rPr>
          <w:lang w:val="en-ZA"/>
        </w:rPr>
        <w:instrText xml:space="preserve"> REF _Ref74625906 \p \h </w:instrText>
      </w:r>
      <w:r>
        <w:rPr>
          <w:lang w:val="en-ZA"/>
        </w:rPr>
      </w:r>
      <w:r>
        <w:rPr>
          <w:lang w:val="en-ZA"/>
        </w:rPr>
        <w:fldChar w:fldCharType="separate"/>
      </w:r>
      <w:r>
        <w:rPr>
          <w:lang w:val="en-ZA"/>
        </w:rPr>
        <w:t>below</w:t>
      </w:r>
      <w:r>
        <w:rPr>
          <w:lang w:val="en-ZA"/>
        </w:rPr>
        <w:fldChar w:fldCharType="end"/>
      </w:r>
      <w:r>
        <w:rPr>
          <w:lang w:val="en-ZA"/>
        </w:rPr>
        <w:t xml:space="preserve"> for the untreated and acid-treated samples. As more of the buffer dissolved to </w:t>
      </w:r>
      <w:r w:rsidR="00790F94">
        <w:rPr>
          <w:lang w:val="en-ZA"/>
        </w:rPr>
        <w:t>neutralize</w:t>
      </w:r>
      <w:r>
        <w:rPr>
          <w:lang w:val="en-ZA"/>
        </w:rPr>
        <w:t xml:space="preserve"> the pH, the concentration of the relevant cation in the solution increased, corresponding to a continuously increasing amount of buffer dissolution as a result of either the </w:t>
      </w:r>
      <w:r w:rsidR="00790F94">
        <w:rPr>
          <w:lang w:val="en-ZA"/>
        </w:rPr>
        <w:t>neutralization</w:t>
      </w:r>
      <w:r>
        <w:rPr>
          <w:lang w:val="en-ZA"/>
        </w:rPr>
        <w:t xml:space="preserve"> of the acids produced and/or the replacement of CO</w:t>
      </w:r>
      <w:r>
        <w:rPr>
          <w:vertAlign w:val="subscript"/>
          <w:lang w:val="en-ZA"/>
        </w:rPr>
        <w:t>2</w:t>
      </w:r>
      <w:r>
        <w:rPr>
          <w:lang w:val="en-ZA"/>
        </w:rPr>
        <w:t xml:space="preserve"> (in the form of HCO</w:t>
      </w:r>
      <w:r>
        <w:rPr>
          <w:vertAlign w:val="subscript"/>
          <w:lang w:val="en-ZA"/>
        </w:rPr>
        <w:t>3</w:t>
      </w:r>
      <w:r>
        <w:rPr>
          <w:vertAlign w:val="superscript"/>
          <w:lang w:val="en-ZA"/>
        </w:rPr>
        <w:t>-</w:t>
      </w:r>
      <w:r w:rsidRPr="00292700">
        <w:rPr>
          <w:lang w:val="en-ZA"/>
        </w:rPr>
        <w:t>)</w:t>
      </w:r>
      <w:r>
        <w:rPr>
          <w:lang w:val="en-ZA"/>
        </w:rPr>
        <w:t xml:space="preserve"> consumed during the biosynthesis of malate (and minor amounts of succinate) during fermentation. </w:t>
      </w:r>
      <w:r w:rsidR="00FE09D6">
        <w:rPr>
          <w:lang w:val="en-ZA"/>
        </w:rPr>
        <w:t>The pH for both fermentations had average values of 6.9±0.5 and 8.0±0.5 for the CaCO</w:t>
      </w:r>
      <w:r w:rsidR="00FE09D6">
        <w:rPr>
          <w:vertAlign w:val="subscript"/>
          <w:lang w:val="en-ZA"/>
        </w:rPr>
        <w:t>3</w:t>
      </w:r>
      <w:r w:rsidR="00FE09D6">
        <w:rPr>
          <w:lang w:val="en-ZA"/>
        </w:rPr>
        <w:t xml:space="preserve"> and MgCO</w:t>
      </w:r>
      <w:r w:rsidR="00FE09D6">
        <w:rPr>
          <w:vertAlign w:val="subscript"/>
          <w:lang w:val="en-ZA"/>
        </w:rPr>
        <w:t>3</w:t>
      </w:r>
      <w:r w:rsidR="00FE09D6">
        <w:rPr>
          <w:lang w:val="en-ZA"/>
        </w:rPr>
        <w:t>, respectively, indicating that the predominant carbonic for was HCO</w:t>
      </w:r>
      <w:r w:rsidR="00FE09D6">
        <w:rPr>
          <w:vertAlign w:val="subscript"/>
          <w:lang w:val="en-ZA"/>
        </w:rPr>
        <w:t>3</w:t>
      </w:r>
      <w:r w:rsidR="00FE09D6">
        <w:rPr>
          <w:vertAlign w:val="superscript"/>
          <w:lang w:val="en-ZA"/>
        </w:rPr>
        <w:t>-</w:t>
      </w:r>
      <w:r w:rsidR="00FE09D6">
        <w:rPr>
          <w:lang w:val="en-ZA"/>
        </w:rPr>
        <w:t xml:space="preserve">. Therefore, the </w:t>
      </w:r>
      <w:r w:rsidR="00252222">
        <w:rPr>
          <w:lang w:val="en-ZA"/>
        </w:rPr>
        <w:t>neutralization</w:t>
      </w:r>
      <w:r w:rsidR="00FE09D6">
        <w:rPr>
          <w:lang w:val="en-ZA"/>
        </w:rPr>
        <w:t xml:space="preserve"> </w:t>
      </w:r>
      <w:r w:rsidR="00252222">
        <w:rPr>
          <w:lang w:val="en-ZA"/>
        </w:rPr>
        <w:t xml:space="preserve">of </w:t>
      </w:r>
      <w:r w:rsidR="00FE09D6">
        <w:rPr>
          <w:lang w:val="en-ZA"/>
        </w:rPr>
        <w:lastRenderedPageBreak/>
        <w:t xml:space="preserve">the produced organic acids required one carbonate ion for every proton </w:t>
      </w:r>
      <w:r w:rsidR="00790F94">
        <w:rPr>
          <w:lang w:val="en-ZA"/>
        </w:rPr>
        <w:t>neutralized</w:t>
      </w:r>
      <w:r w:rsidR="00FE09D6">
        <w:rPr>
          <w:lang w:val="en-ZA"/>
        </w:rPr>
        <w:t>. In addition, all produced acids would be fully dissociated for the pH range. From the results</w:t>
      </w:r>
      <w:r w:rsidR="00790F94">
        <w:rPr>
          <w:lang w:val="en-ZA"/>
        </w:rPr>
        <w:t>,</w:t>
      </w:r>
      <w:r w:rsidR="00FE09D6">
        <w:rPr>
          <w:lang w:val="en-ZA"/>
        </w:rPr>
        <w:t xml:space="preserve"> it was observed that 0.</w:t>
      </w:r>
      <w:r w:rsidR="006B4D8D">
        <w:rPr>
          <w:lang w:val="en-ZA"/>
        </w:rPr>
        <w:t>88</w:t>
      </w:r>
      <w:r w:rsidR="00FE09D6">
        <w:rPr>
          <w:lang w:val="en-ZA"/>
        </w:rPr>
        <w:t>±0.</w:t>
      </w:r>
      <w:r w:rsidR="006B4D8D">
        <w:rPr>
          <w:lang w:val="en-ZA"/>
        </w:rPr>
        <w:t>22</w:t>
      </w:r>
      <w:r w:rsidR="00FE09D6">
        <w:rPr>
          <w:lang w:val="en-ZA"/>
        </w:rPr>
        <w:t xml:space="preserve"> M and 1.08±0.30 M of CO</w:t>
      </w:r>
      <w:r w:rsidR="00FE09D6">
        <w:rPr>
          <w:vertAlign w:val="subscript"/>
          <w:lang w:val="en-ZA"/>
        </w:rPr>
        <w:t>3</w:t>
      </w:r>
      <w:r w:rsidR="00FE09D6">
        <w:rPr>
          <w:vertAlign w:val="superscript"/>
          <w:lang w:val="en-ZA"/>
        </w:rPr>
        <w:t>-</w:t>
      </w:r>
      <w:r w:rsidR="00FE09D6">
        <w:rPr>
          <w:lang w:val="en-ZA"/>
        </w:rPr>
        <w:t xml:space="preserve"> were liberated in the CaCO</w:t>
      </w:r>
      <w:r w:rsidR="00FE09D6">
        <w:rPr>
          <w:vertAlign w:val="subscript"/>
          <w:lang w:val="en-ZA"/>
        </w:rPr>
        <w:t>3</w:t>
      </w:r>
      <w:r w:rsidR="00FE09D6">
        <w:rPr>
          <w:lang w:val="en-ZA"/>
        </w:rPr>
        <w:t xml:space="preserve"> and MgCO</w:t>
      </w:r>
      <w:r w:rsidR="00FE09D6">
        <w:rPr>
          <w:vertAlign w:val="subscript"/>
          <w:lang w:val="en-ZA"/>
        </w:rPr>
        <w:t>3</w:t>
      </w:r>
      <w:r w:rsidR="00FE09D6">
        <w:rPr>
          <w:lang w:val="en-ZA"/>
        </w:rPr>
        <w:t xml:space="preserve"> runs, respectively. In comparison, </w:t>
      </w:r>
      <w:r w:rsidR="006B4D8D">
        <w:rPr>
          <w:lang w:val="en-ZA"/>
        </w:rPr>
        <w:t>total proton production of 0.79±15 M and 0.80±0.05 M were measured for the CaCO</w:t>
      </w:r>
      <w:r w:rsidR="006B4D8D">
        <w:rPr>
          <w:vertAlign w:val="subscript"/>
          <w:lang w:val="en-ZA"/>
        </w:rPr>
        <w:t>3</w:t>
      </w:r>
      <w:r w:rsidR="006B4D8D">
        <w:rPr>
          <w:lang w:val="en-ZA"/>
        </w:rPr>
        <w:t xml:space="preserve"> and MgCO</w:t>
      </w:r>
      <w:r w:rsidR="006B4D8D">
        <w:rPr>
          <w:vertAlign w:val="subscript"/>
          <w:lang w:val="en-ZA"/>
        </w:rPr>
        <w:t>3</w:t>
      </w:r>
      <w:r w:rsidR="006B4D8D">
        <w:rPr>
          <w:lang w:val="en-ZA"/>
        </w:rPr>
        <w:t xml:space="preserve"> runs, respectively. While </w:t>
      </w:r>
      <w:r w:rsidR="006B4D8D" w:rsidRPr="006B4D8D">
        <w:rPr>
          <w:lang w:val="en-ZA"/>
        </w:rPr>
        <w:t>CO</w:t>
      </w:r>
      <w:r w:rsidR="006B4D8D" w:rsidRPr="006B4D8D">
        <w:rPr>
          <w:vertAlign w:val="subscript"/>
          <w:lang w:val="en-ZA"/>
        </w:rPr>
        <w:t>2</w:t>
      </w:r>
      <w:r w:rsidR="006B4D8D">
        <w:rPr>
          <w:lang w:val="en-ZA"/>
        </w:rPr>
        <w:t xml:space="preserve"> demands of 0.40±0.08 M and 0.40±0.03 M for the synthesis of malate and succinate were determined. From the known equilibrium reactions for CaCO</w:t>
      </w:r>
      <w:r w:rsidR="006B4D8D">
        <w:rPr>
          <w:vertAlign w:val="subscript"/>
          <w:lang w:val="en-ZA"/>
        </w:rPr>
        <w:t>3</w:t>
      </w:r>
      <w:r w:rsidR="006B4D8D">
        <w:rPr>
          <w:lang w:val="en-ZA"/>
        </w:rPr>
        <w:t xml:space="preserve"> and MgCO</w:t>
      </w:r>
      <w:r w:rsidR="006B4D8D">
        <w:rPr>
          <w:vertAlign w:val="subscript"/>
          <w:lang w:val="en-ZA"/>
        </w:rPr>
        <w:t>3</w:t>
      </w:r>
      <w:r w:rsidR="006B4D8D">
        <w:rPr>
          <w:lang w:val="en-ZA"/>
        </w:rPr>
        <w:t xml:space="preserve"> in water</w:t>
      </w:r>
      <w:r w:rsidR="00092283">
        <w:rPr>
          <w:lang w:val="en-ZA"/>
        </w:rPr>
        <w:t xml:space="preserve"> </w:t>
      </w:r>
      <w:r w:rsidR="00092283">
        <w:rPr>
          <w:lang w:val="en-ZA"/>
        </w:rPr>
        <w:fldChar w:fldCharType="begin" w:fldLock="1"/>
      </w:r>
      <w:r w:rsidR="002E47E5">
        <w:rPr>
          <w:lang w:val="en-ZA"/>
        </w:rPr>
        <w:instrText>ADDIN CSL_CITATION {"citationItems":[{"id":"ITEM-1","itemData":{"DOI":"10.3303/CET2081179","ISBN":"9788895608792","author":[{"dropping-particle":"","family":"Aina","given":"Samuel Tomi","non-dropping-particle":"","parse-names":false,"suffix":""},{"dropping-particle":"","family":"Plessis","given":"Jacobus Barend","non-dropping-particle":"Du","parse-names":false,"suffix":""},{"dropping-particle":"","family":"Mjimba","given":"Vuyo","non-dropping-particle":"","parse-names":false,"suffix":""},{"dropping-particle":"","family":"Brink","given":"Hendrik Gideon","non-dropping-particle":"","parse-names":false,"suffix":""}],"container-title":"Chemical Engineering Trans","id":"ITEM-1","issue":"2018","issued":{"date-parts":[["2020"]]},"page":"1069-1074","title":"Effect of Membrane Removal on the Production of Calcium Oxide from Eggshells via Calcination","type":"article-journal","volume":"81"},"uris":["http://www.mendeley.com/documents/?uuid=df406ce0-e1b7-4515-aac4-74c4b4af04ed"]}],"mendeley":{"formattedCitation":"(Aina et al., 2020)","plainTextFormattedCitation":"(Aina et al., 2020)","previouslyFormattedCitation":"(Aina et al., 2020)"},"properties":{"noteIndex":0},"schema":"https://github.com/citation-style-language/schema/raw/master/csl-citation.json"}</w:instrText>
      </w:r>
      <w:r w:rsidR="00092283">
        <w:rPr>
          <w:lang w:val="en-ZA"/>
        </w:rPr>
        <w:fldChar w:fldCharType="separate"/>
      </w:r>
      <w:r w:rsidR="00092283" w:rsidRPr="00092283">
        <w:rPr>
          <w:noProof/>
          <w:lang w:val="en-ZA"/>
        </w:rPr>
        <w:t>(Aina et al., 2020)</w:t>
      </w:r>
      <w:r w:rsidR="00092283">
        <w:rPr>
          <w:lang w:val="en-ZA"/>
        </w:rPr>
        <w:fldChar w:fldCharType="end"/>
      </w:r>
      <w:r w:rsidR="006B4D8D">
        <w:rPr>
          <w:lang w:val="en-ZA"/>
        </w:rPr>
        <w:t xml:space="preserve">, the </w:t>
      </w:r>
      <w:r w:rsidR="00252222">
        <w:rPr>
          <w:lang w:val="en-ZA"/>
        </w:rPr>
        <w:t>neutralization</w:t>
      </w:r>
      <w:r w:rsidR="006B4D8D">
        <w:rPr>
          <w:lang w:val="en-ZA"/>
        </w:rPr>
        <w:t xml:space="preserve"> of proton results in an equivalent molar formation </w:t>
      </w:r>
      <w:r w:rsidR="00252222">
        <w:rPr>
          <w:lang w:val="en-ZA"/>
        </w:rPr>
        <w:t xml:space="preserve">of </w:t>
      </w:r>
      <w:r w:rsidR="006B4D8D">
        <w:rPr>
          <w:lang w:val="en-ZA"/>
        </w:rPr>
        <w:t>HCO</w:t>
      </w:r>
      <w:r w:rsidR="006B4D8D">
        <w:rPr>
          <w:vertAlign w:val="subscript"/>
          <w:lang w:val="en-ZA"/>
        </w:rPr>
        <w:t>3</w:t>
      </w:r>
      <w:r w:rsidR="006B4D8D">
        <w:rPr>
          <w:vertAlign w:val="superscript"/>
          <w:lang w:val="en-ZA"/>
        </w:rPr>
        <w:t>-</w:t>
      </w:r>
      <w:r w:rsidR="006B4D8D">
        <w:rPr>
          <w:lang w:val="en-ZA"/>
        </w:rPr>
        <w:t xml:space="preserve"> from CO</w:t>
      </w:r>
      <w:r w:rsidR="006B4D8D">
        <w:rPr>
          <w:vertAlign w:val="subscript"/>
          <w:lang w:val="en-ZA"/>
        </w:rPr>
        <w:t>3</w:t>
      </w:r>
      <w:r w:rsidR="006B4D8D">
        <w:rPr>
          <w:vertAlign w:val="superscript"/>
          <w:lang w:val="en-ZA"/>
        </w:rPr>
        <w:t>2-</w:t>
      </w:r>
      <w:r w:rsidR="006B4D8D">
        <w:rPr>
          <w:lang w:val="en-ZA"/>
        </w:rPr>
        <w:t xml:space="preserve"> resulting in the dissolution of CaCO</w:t>
      </w:r>
      <w:r w:rsidR="006B4D8D">
        <w:rPr>
          <w:vertAlign w:val="subscript"/>
          <w:lang w:val="en-ZA"/>
        </w:rPr>
        <w:t>3</w:t>
      </w:r>
      <w:r w:rsidR="006B4D8D">
        <w:rPr>
          <w:lang w:val="en-ZA"/>
        </w:rPr>
        <w:t>/MgCO</w:t>
      </w:r>
      <w:r w:rsidR="006B4D8D">
        <w:rPr>
          <w:vertAlign w:val="subscript"/>
          <w:lang w:val="en-ZA"/>
        </w:rPr>
        <w:t>3</w:t>
      </w:r>
      <w:r w:rsidR="006B4D8D">
        <w:rPr>
          <w:lang w:val="en-ZA"/>
        </w:rPr>
        <w:t>. In addition, the assimilation of CO</w:t>
      </w:r>
      <w:r w:rsidR="006B4D8D">
        <w:rPr>
          <w:vertAlign w:val="subscript"/>
          <w:lang w:val="en-ZA"/>
        </w:rPr>
        <w:t>2</w:t>
      </w:r>
      <w:r w:rsidR="006B4D8D">
        <w:rPr>
          <w:lang w:val="en-ZA"/>
        </w:rPr>
        <w:t xml:space="preserve"> (as </w:t>
      </w:r>
      <w:r w:rsidR="006B4D8D" w:rsidRPr="006B4D8D">
        <w:rPr>
          <w:lang w:val="en-ZA"/>
        </w:rPr>
        <w:t>HCO</w:t>
      </w:r>
      <w:r w:rsidR="006B4D8D" w:rsidRPr="006B4D8D">
        <w:rPr>
          <w:vertAlign w:val="subscript"/>
          <w:lang w:val="en-ZA"/>
        </w:rPr>
        <w:t>3</w:t>
      </w:r>
      <w:r w:rsidR="006B4D8D">
        <w:rPr>
          <w:vertAlign w:val="superscript"/>
          <w:lang w:val="en-ZA"/>
        </w:rPr>
        <w:t>-</w:t>
      </w:r>
      <w:r w:rsidR="006B4D8D">
        <w:rPr>
          <w:lang w:val="en-ZA"/>
        </w:rPr>
        <w:t xml:space="preserve">) </w:t>
      </w:r>
      <w:r w:rsidR="006B4D8D" w:rsidRPr="006B4D8D">
        <w:rPr>
          <w:lang w:val="en-ZA"/>
        </w:rPr>
        <w:t>by</w:t>
      </w:r>
      <w:r w:rsidR="006B4D8D">
        <w:rPr>
          <w:lang w:val="en-ZA"/>
        </w:rPr>
        <w:t xml:space="preserve"> the fungi </w:t>
      </w:r>
      <w:r w:rsidR="00252222">
        <w:rPr>
          <w:lang w:val="en-ZA"/>
        </w:rPr>
        <w:t>results</w:t>
      </w:r>
      <w:r w:rsidR="006B4D8D">
        <w:rPr>
          <w:lang w:val="en-ZA"/>
        </w:rPr>
        <w:t xml:space="preserve"> in an equivalent decrease in HCO</w:t>
      </w:r>
      <w:r w:rsidR="006B4D8D">
        <w:rPr>
          <w:vertAlign w:val="subscript"/>
          <w:lang w:val="en-ZA"/>
        </w:rPr>
        <w:t>3</w:t>
      </w:r>
      <w:r w:rsidR="006B4D8D">
        <w:rPr>
          <w:vertAlign w:val="superscript"/>
          <w:lang w:val="en-ZA"/>
        </w:rPr>
        <w:t>-</w:t>
      </w:r>
      <w:r w:rsidR="006B4D8D">
        <w:rPr>
          <w:lang w:val="en-ZA"/>
        </w:rPr>
        <w:t xml:space="preserve"> in solution which </w:t>
      </w:r>
      <w:r w:rsidR="00252222">
        <w:rPr>
          <w:lang w:val="en-ZA"/>
        </w:rPr>
        <w:t>results</w:t>
      </w:r>
      <w:r w:rsidR="006B4D8D">
        <w:rPr>
          <w:lang w:val="en-ZA"/>
        </w:rPr>
        <w:t xml:space="preserve"> in the conversion of CO</w:t>
      </w:r>
      <w:r w:rsidR="006B4D8D">
        <w:rPr>
          <w:vertAlign w:val="subscript"/>
          <w:lang w:val="en-ZA"/>
        </w:rPr>
        <w:t>3</w:t>
      </w:r>
      <w:r w:rsidR="006B4D8D">
        <w:rPr>
          <w:vertAlign w:val="superscript"/>
          <w:lang w:val="en-ZA"/>
        </w:rPr>
        <w:t>2-</w:t>
      </w:r>
      <w:r w:rsidR="006B4D8D">
        <w:rPr>
          <w:lang w:val="en-ZA"/>
        </w:rPr>
        <w:t xml:space="preserve"> to HCO</w:t>
      </w:r>
      <w:r w:rsidR="006B4D8D">
        <w:rPr>
          <w:vertAlign w:val="subscript"/>
          <w:lang w:val="en-ZA"/>
        </w:rPr>
        <w:t>3</w:t>
      </w:r>
      <w:r w:rsidR="006B4D8D">
        <w:rPr>
          <w:vertAlign w:val="superscript"/>
          <w:lang w:val="en-ZA"/>
        </w:rPr>
        <w:t>-</w:t>
      </w:r>
      <w:r w:rsidR="006B4D8D">
        <w:rPr>
          <w:lang w:val="en-ZA"/>
        </w:rPr>
        <w:t xml:space="preserve"> with </w:t>
      </w:r>
      <w:r w:rsidR="00252222">
        <w:rPr>
          <w:lang w:val="en-ZA"/>
        </w:rPr>
        <w:t xml:space="preserve">the </w:t>
      </w:r>
      <w:r w:rsidR="006B4D8D">
        <w:rPr>
          <w:lang w:val="en-ZA"/>
        </w:rPr>
        <w:t>concomitant dissolution of CaCO</w:t>
      </w:r>
      <w:r w:rsidR="006B4D8D">
        <w:rPr>
          <w:vertAlign w:val="subscript"/>
          <w:lang w:val="en-ZA"/>
        </w:rPr>
        <w:t>3</w:t>
      </w:r>
      <w:r w:rsidR="006B4D8D">
        <w:rPr>
          <w:lang w:val="en-ZA"/>
        </w:rPr>
        <w:t>/MgCO</w:t>
      </w:r>
      <w:r w:rsidR="006B4D8D">
        <w:rPr>
          <w:vertAlign w:val="subscript"/>
          <w:lang w:val="en-ZA"/>
        </w:rPr>
        <w:t>3</w:t>
      </w:r>
      <w:r w:rsidR="006B4D8D">
        <w:rPr>
          <w:lang w:val="en-ZA"/>
        </w:rPr>
        <w:t xml:space="preserve"> to satisfy the prevailing equilibrium conditions.</w:t>
      </w:r>
    </w:p>
    <w:p w14:paraId="4315D705" w14:textId="66343880" w:rsidR="00292700" w:rsidRPr="006B4D8D" w:rsidRDefault="006B4D8D" w:rsidP="00292700">
      <w:pPr>
        <w:pStyle w:val="CETBodytext"/>
        <w:rPr>
          <w:lang w:val="en-ZA"/>
        </w:rPr>
      </w:pPr>
      <w:r w:rsidRPr="006B4D8D">
        <w:rPr>
          <w:lang w:val="en-ZA"/>
        </w:rPr>
        <w:t>Th</w:t>
      </w:r>
      <w:r>
        <w:rPr>
          <w:lang w:val="en-ZA"/>
        </w:rPr>
        <w:t>erefore, it can be seen that nearly all the CO</w:t>
      </w:r>
      <w:r>
        <w:rPr>
          <w:vertAlign w:val="subscript"/>
          <w:lang w:val="en-ZA"/>
        </w:rPr>
        <w:t>2</w:t>
      </w:r>
      <w:r>
        <w:rPr>
          <w:lang w:val="en-ZA"/>
        </w:rPr>
        <w:t xml:space="preserve"> for </w:t>
      </w:r>
      <w:proofErr w:type="spellStart"/>
      <w:r>
        <w:rPr>
          <w:lang w:val="en-ZA"/>
        </w:rPr>
        <w:t>anaplerotic</w:t>
      </w:r>
      <w:proofErr w:type="spellEnd"/>
      <w:r>
        <w:rPr>
          <w:lang w:val="en-ZA"/>
        </w:rPr>
        <w:t xml:space="preserve"> reactions </w:t>
      </w:r>
      <w:r w:rsidR="00252222">
        <w:rPr>
          <w:lang w:val="en-ZA"/>
        </w:rPr>
        <w:t>was</w:t>
      </w:r>
      <w:r>
        <w:rPr>
          <w:lang w:val="en-ZA"/>
        </w:rPr>
        <w:t xml:space="preserve"> obtained from MgCO</w:t>
      </w:r>
      <w:r>
        <w:rPr>
          <w:vertAlign w:val="subscript"/>
          <w:lang w:val="en-ZA"/>
        </w:rPr>
        <w:t>3</w:t>
      </w:r>
      <w:r>
        <w:rPr>
          <w:lang w:val="en-ZA"/>
        </w:rPr>
        <w:t>, while a very small fraction of CO</w:t>
      </w:r>
      <w:r>
        <w:rPr>
          <w:vertAlign w:val="subscript"/>
          <w:lang w:val="en-ZA"/>
        </w:rPr>
        <w:t>2</w:t>
      </w:r>
      <w:r>
        <w:rPr>
          <w:lang w:val="en-ZA"/>
        </w:rPr>
        <w:t xml:space="preserve"> for these reactions came from CaCO</w:t>
      </w:r>
      <w:r>
        <w:rPr>
          <w:vertAlign w:val="subscript"/>
          <w:lang w:val="en-ZA"/>
        </w:rPr>
        <w:t>3</w:t>
      </w:r>
      <w:r>
        <w:rPr>
          <w:lang w:val="en-ZA"/>
        </w:rPr>
        <w:t>. This implies that the main source of CO</w:t>
      </w:r>
      <w:r>
        <w:rPr>
          <w:vertAlign w:val="subscript"/>
          <w:lang w:val="en-ZA"/>
        </w:rPr>
        <w:t>2</w:t>
      </w:r>
      <w:r>
        <w:rPr>
          <w:lang w:val="en-ZA"/>
        </w:rPr>
        <w:t xml:space="preserve"> for malate synthesis in the CaCO</w:t>
      </w:r>
      <w:r>
        <w:rPr>
          <w:vertAlign w:val="subscript"/>
          <w:lang w:val="en-ZA"/>
        </w:rPr>
        <w:t>3</w:t>
      </w:r>
      <w:r>
        <w:rPr>
          <w:lang w:val="en-ZA"/>
        </w:rPr>
        <w:t xml:space="preserve"> was respiration, while in the MgCO</w:t>
      </w:r>
      <w:r>
        <w:rPr>
          <w:vertAlign w:val="subscript"/>
          <w:lang w:val="en-ZA"/>
        </w:rPr>
        <w:t>3</w:t>
      </w:r>
      <w:r>
        <w:rPr>
          <w:lang w:val="en-ZA"/>
        </w:rPr>
        <w:t xml:space="preserve"> system this was satisfied by the buffer. </w:t>
      </w:r>
    </w:p>
    <w:p w14:paraId="661EF96E" w14:textId="0D68F3A0" w:rsidR="00292700" w:rsidRDefault="00292700" w:rsidP="00092283">
      <w:pPr>
        <w:pStyle w:val="CETBodytext"/>
        <w:rPr>
          <w:lang w:val="en-ZA"/>
        </w:rPr>
      </w:pPr>
      <w:r>
        <w:rPr>
          <w:lang w:val="en-ZA"/>
        </w:rPr>
        <w:t>Th</w:t>
      </w:r>
      <w:r w:rsidR="006B4D8D">
        <w:rPr>
          <w:lang w:val="en-ZA"/>
        </w:rPr>
        <w:t>e</w:t>
      </w:r>
      <w:r>
        <w:rPr>
          <w:lang w:val="en-ZA"/>
        </w:rPr>
        <w:t xml:space="preserve"> results further demonstrate that a nearly constant concentration of calcium (as Ca</w:t>
      </w:r>
      <w:r>
        <w:rPr>
          <w:vertAlign w:val="superscript"/>
          <w:lang w:val="en-ZA"/>
        </w:rPr>
        <w:t>2+</w:t>
      </w:r>
      <w:r>
        <w:rPr>
          <w:lang w:val="en-ZA"/>
        </w:rPr>
        <w:t xml:space="preserve"> and CaCO</w:t>
      </w:r>
      <w:r>
        <w:rPr>
          <w:vertAlign w:val="subscript"/>
          <w:lang w:val="en-ZA"/>
        </w:rPr>
        <w:t>3</w:t>
      </w:r>
      <w:r>
        <w:rPr>
          <w:lang w:val="en-ZA"/>
        </w:rPr>
        <w:t>) and magnesium (as Mg</w:t>
      </w:r>
      <w:r>
        <w:rPr>
          <w:vertAlign w:val="superscript"/>
          <w:lang w:val="en-ZA"/>
        </w:rPr>
        <w:t>2+</w:t>
      </w:r>
      <w:r>
        <w:rPr>
          <w:lang w:val="en-ZA"/>
        </w:rPr>
        <w:t xml:space="preserve"> and MgCO</w:t>
      </w:r>
      <w:r>
        <w:rPr>
          <w:vertAlign w:val="subscript"/>
          <w:lang w:val="en-ZA"/>
        </w:rPr>
        <w:t>3</w:t>
      </w:r>
      <w:r>
        <w:rPr>
          <w:lang w:val="en-ZA"/>
        </w:rPr>
        <w:t>) were continuously present in the system, corresponding to an average of 96.2±20.1 g/</w:t>
      </w:r>
      <w:r w:rsidR="00E3335A">
        <w:rPr>
          <w:lang w:val="en-ZA"/>
        </w:rPr>
        <w:t>l</w:t>
      </w:r>
      <w:r>
        <w:rPr>
          <w:lang w:val="en-ZA"/>
        </w:rPr>
        <w:t xml:space="preserve"> and 55.4±13.2 g/</w:t>
      </w:r>
      <w:r w:rsidR="00E3335A">
        <w:rPr>
          <w:lang w:val="en-ZA"/>
        </w:rPr>
        <w:t>l</w:t>
      </w:r>
      <w:r>
        <w:rPr>
          <w:lang w:val="en-ZA"/>
        </w:rPr>
        <w:t xml:space="preserve"> for Ca</w:t>
      </w:r>
      <w:r>
        <w:rPr>
          <w:vertAlign w:val="superscript"/>
          <w:lang w:val="en-ZA"/>
        </w:rPr>
        <w:t>2+</w:t>
      </w:r>
      <w:r>
        <w:rPr>
          <w:lang w:val="en-ZA"/>
        </w:rPr>
        <w:t xml:space="preserve"> and Mg</w:t>
      </w:r>
      <w:r>
        <w:rPr>
          <w:vertAlign w:val="superscript"/>
          <w:lang w:val="en-ZA"/>
        </w:rPr>
        <w:t>2+</w:t>
      </w:r>
      <w:r>
        <w:rPr>
          <w:lang w:val="en-ZA"/>
        </w:rPr>
        <w:t>, respectively. These values correspond well</w:t>
      </w:r>
      <w:r w:rsidR="006B4D8D">
        <w:rPr>
          <w:lang w:val="en-ZA"/>
        </w:rPr>
        <w:t xml:space="preserve"> with the originally loaded amounts of these ions.</w:t>
      </w:r>
    </w:p>
    <w:p w14:paraId="1F4A8168" w14:textId="361C1874" w:rsidR="006B4D8D" w:rsidRDefault="009241F7" w:rsidP="006B4D8D">
      <w:pPr>
        <w:pStyle w:val="CETBodytext"/>
      </w:pPr>
      <w:r>
        <w:rPr>
          <w:lang w:val="en-ZA"/>
        </w:rPr>
        <w:t xml:space="preserve">The fitted malic acid concentration curves with their corresponding malic acid production rates can be seen in </w:t>
      </w:r>
      <w:r w:rsidR="00252222">
        <w:rPr>
          <w:lang w:val="en-ZA"/>
        </w:rPr>
        <w:t>Figures</w:t>
      </w:r>
      <w:r>
        <w:rPr>
          <w:lang w:val="en-ZA"/>
        </w:rPr>
        <w:t xml:space="preserve">(a) and </w:t>
      </w:r>
      <w:r>
        <w:rPr>
          <w:lang w:val="en-ZA"/>
        </w:rPr>
        <w:fldChar w:fldCharType="begin"/>
      </w:r>
      <w:r>
        <w:rPr>
          <w:lang w:val="en-ZA"/>
        </w:rPr>
        <w:instrText xml:space="preserve"> REF _Ref93999280 \h </w:instrText>
      </w:r>
      <w:r>
        <w:rPr>
          <w:lang w:val="en-ZA"/>
        </w:rPr>
      </w:r>
      <w:r>
        <w:rPr>
          <w:lang w:val="en-ZA"/>
        </w:rPr>
        <w:fldChar w:fldCharType="separate"/>
      </w:r>
      <w:r>
        <w:t xml:space="preserve">Figure </w:t>
      </w:r>
      <w:r>
        <w:rPr>
          <w:noProof/>
        </w:rPr>
        <w:t>2</w:t>
      </w:r>
      <w:r>
        <w:rPr>
          <w:lang w:val="en-ZA"/>
        </w:rPr>
        <w:fldChar w:fldCharType="end"/>
      </w:r>
      <w:r>
        <w:rPr>
          <w:lang w:val="en-ZA"/>
        </w:rPr>
        <w:t xml:space="preserve">(b). The glucose concentrations for control samples can be seen in </w:t>
      </w:r>
      <w:r>
        <w:rPr>
          <w:lang w:val="en-ZA"/>
        </w:rPr>
        <w:fldChar w:fldCharType="begin"/>
      </w:r>
      <w:r>
        <w:rPr>
          <w:lang w:val="en-ZA"/>
        </w:rPr>
        <w:instrText xml:space="preserve"> REF _Ref93999280 \h </w:instrText>
      </w:r>
      <w:r>
        <w:rPr>
          <w:lang w:val="en-ZA"/>
        </w:rPr>
      </w:r>
      <w:r>
        <w:rPr>
          <w:lang w:val="en-ZA"/>
        </w:rPr>
        <w:fldChar w:fldCharType="separate"/>
      </w:r>
      <w:r>
        <w:t xml:space="preserve">Figure </w:t>
      </w:r>
      <w:r>
        <w:rPr>
          <w:noProof/>
        </w:rPr>
        <w:t>2</w:t>
      </w:r>
      <w:r>
        <w:rPr>
          <w:lang w:val="en-ZA"/>
        </w:rPr>
        <w:fldChar w:fldCharType="end"/>
      </w:r>
      <w:r>
        <w:rPr>
          <w:lang w:val="en-ZA"/>
        </w:rPr>
        <w:t xml:space="preserve">(c) with the consumption rate curves in </w:t>
      </w:r>
      <w:r>
        <w:rPr>
          <w:lang w:val="en-ZA"/>
        </w:rPr>
        <w:fldChar w:fldCharType="begin"/>
      </w:r>
      <w:r>
        <w:rPr>
          <w:lang w:val="en-ZA"/>
        </w:rPr>
        <w:instrText xml:space="preserve"> REF _Ref93999280 \h </w:instrText>
      </w:r>
      <w:r>
        <w:rPr>
          <w:lang w:val="en-ZA"/>
        </w:rPr>
      </w:r>
      <w:r>
        <w:rPr>
          <w:lang w:val="en-ZA"/>
        </w:rPr>
        <w:fldChar w:fldCharType="separate"/>
      </w:r>
      <w:r>
        <w:t xml:space="preserve">Figure </w:t>
      </w:r>
      <w:r>
        <w:rPr>
          <w:noProof/>
        </w:rPr>
        <w:t>2</w:t>
      </w:r>
      <w:r>
        <w:rPr>
          <w:lang w:val="en-ZA"/>
        </w:rPr>
        <w:fldChar w:fldCharType="end"/>
      </w:r>
      <w:r>
        <w:rPr>
          <w:lang w:val="en-ZA"/>
        </w:rPr>
        <w:t xml:space="preserve">(d). The fitted parameters were summarised in </w:t>
      </w:r>
      <w:r>
        <w:rPr>
          <w:lang w:val="en-ZA"/>
        </w:rPr>
        <w:fldChar w:fldCharType="begin"/>
      </w:r>
      <w:r>
        <w:rPr>
          <w:lang w:val="en-ZA"/>
        </w:rPr>
        <w:instrText xml:space="preserve"> REF _Ref94014218 \h </w:instrText>
      </w:r>
      <w:r>
        <w:rPr>
          <w:lang w:val="en-ZA"/>
        </w:rPr>
      </w:r>
      <w:r>
        <w:rPr>
          <w:lang w:val="en-ZA"/>
        </w:rPr>
        <w:fldChar w:fldCharType="separate"/>
      </w:r>
      <w:r>
        <w:t xml:space="preserve">Table </w:t>
      </w:r>
      <w:r>
        <w:rPr>
          <w:noProof/>
        </w:rPr>
        <w:t>1</w:t>
      </w:r>
      <w:r>
        <w:rPr>
          <w:lang w:val="en-ZA"/>
        </w:rPr>
        <w:fldChar w:fldCharType="end"/>
      </w:r>
      <w:r>
        <w:rPr>
          <w:lang w:val="en-ZA"/>
        </w:rPr>
        <w:t>. The CaCO</w:t>
      </w:r>
      <w:r>
        <w:rPr>
          <w:vertAlign w:val="subscript"/>
          <w:lang w:val="en-ZA"/>
        </w:rPr>
        <w:t>3</w:t>
      </w:r>
      <w:r>
        <w:rPr>
          <w:lang w:val="en-ZA"/>
        </w:rPr>
        <w:t xml:space="preserve"> set had</w:t>
      </w:r>
      <w:r w:rsidR="006B4D8D">
        <w:rPr>
          <w:lang w:val="en-ZA"/>
        </w:rPr>
        <w:t xml:space="preserve"> significantly</w:t>
      </w:r>
      <w:r>
        <w:rPr>
          <w:lang w:val="en-ZA"/>
        </w:rPr>
        <w:t xml:space="preserve"> higher rates of glucose consumption and malic acid production compared to the MgCO</w:t>
      </w:r>
      <w:r>
        <w:rPr>
          <w:vertAlign w:val="subscript"/>
          <w:lang w:val="en-ZA"/>
        </w:rPr>
        <w:t>3</w:t>
      </w:r>
      <w:r>
        <w:rPr>
          <w:lang w:val="en-ZA"/>
        </w:rPr>
        <w:t xml:space="preserve"> set. Despite this, the measured malic acid concentrations were similar between the MgCO</w:t>
      </w:r>
      <w:r>
        <w:rPr>
          <w:vertAlign w:val="subscript"/>
          <w:lang w:val="en-ZA"/>
        </w:rPr>
        <w:t>3</w:t>
      </w:r>
      <w:r>
        <w:rPr>
          <w:lang w:val="en-ZA"/>
        </w:rPr>
        <w:t xml:space="preserve"> and CaCO</w:t>
      </w:r>
      <w:r>
        <w:rPr>
          <w:vertAlign w:val="subscript"/>
          <w:lang w:val="en-ZA"/>
        </w:rPr>
        <w:t>3</w:t>
      </w:r>
      <w:r>
        <w:rPr>
          <w:lang w:val="en-ZA"/>
        </w:rPr>
        <w:t xml:space="preserve"> experiments and the distributions in the group did not differ significantly (Mann-Whitney U = 32.5; n</w:t>
      </w:r>
      <w:r>
        <w:rPr>
          <w:vertAlign w:val="subscript"/>
          <w:lang w:val="en-ZA"/>
        </w:rPr>
        <w:t>1</w:t>
      </w:r>
      <w:r>
        <w:rPr>
          <w:lang w:val="en-ZA"/>
        </w:rPr>
        <w:t xml:space="preserve"> = 9; n</w:t>
      </w:r>
      <w:r>
        <w:rPr>
          <w:vertAlign w:val="subscript"/>
          <w:lang w:val="en-ZA"/>
        </w:rPr>
        <w:t>2</w:t>
      </w:r>
      <w:r>
        <w:rPr>
          <w:lang w:val="en-ZA"/>
        </w:rPr>
        <w:t xml:space="preserve"> = 8; p = 0.765 two-tailed). </w:t>
      </w:r>
      <w:r w:rsidR="006B4D8D">
        <w:rPr>
          <w:lang w:val="en-ZA"/>
        </w:rPr>
        <w:t>This indicated that the identity of the corresponding metal cation (Ca</w:t>
      </w:r>
      <w:r w:rsidR="006B4D8D">
        <w:rPr>
          <w:vertAlign w:val="superscript"/>
          <w:lang w:val="en-ZA"/>
        </w:rPr>
        <w:t>2+</w:t>
      </w:r>
      <w:r w:rsidR="006B4D8D">
        <w:rPr>
          <w:lang w:val="en-ZA"/>
        </w:rPr>
        <w:t xml:space="preserve"> or Mg</w:t>
      </w:r>
      <w:r w:rsidR="006B4D8D">
        <w:rPr>
          <w:vertAlign w:val="superscript"/>
          <w:lang w:val="en-ZA"/>
        </w:rPr>
        <w:t>2+</w:t>
      </w:r>
      <w:r w:rsidR="006B4D8D">
        <w:rPr>
          <w:lang w:val="en-ZA"/>
        </w:rPr>
        <w:t>) influenced the production/consumption rates. The glucose was completely consumed for the CaCO</w:t>
      </w:r>
      <w:r w:rsidR="006B4D8D">
        <w:rPr>
          <w:vertAlign w:val="subscript"/>
          <w:lang w:val="en-ZA"/>
        </w:rPr>
        <w:t>3</w:t>
      </w:r>
      <w:r w:rsidR="006B4D8D">
        <w:rPr>
          <w:lang w:val="en-ZA"/>
        </w:rPr>
        <w:t xml:space="preserve"> set after 250 hours with a decrease in malic acid seen after the same time.</w:t>
      </w:r>
    </w:p>
    <w:p w14:paraId="3773E71F" w14:textId="39A4B13B" w:rsidR="009F2F97" w:rsidRDefault="006B4D8D" w:rsidP="009F2F97">
      <w:pPr>
        <w:pStyle w:val="CETCaption"/>
      </w:pPr>
      <w:r>
        <w:object w:dxaOrig="10253" w:dyaOrig="7449" w14:anchorId="1CAD95DC">
          <v:shape id="_x0000_i1026" type="#_x0000_t75" style="width:442pt;height:299.9pt" o:ole="">
            <v:imagedata r:id="rId12" o:title="" croptop="2308f" cropbottom="2010f"/>
          </v:shape>
          <o:OLEObject Type="Embed" ProgID="Prism9.Document" ShapeID="_x0000_i1026" DrawAspect="Content" ObjectID="_1719403376" r:id="rId13"/>
        </w:object>
      </w:r>
    </w:p>
    <w:p w14:paraId="3D491947" w14:textId="6EE2DC26" w:rsidR="00832938" w:rsidRDefault="009F2F97" w:rsidP="00832938">
      <w:pPr>
        <w:pStyle w:val="CETCaption"/>
      </w:pPr>
      <w:bookmarkStart w:id="13" w:name="_Ref93999798"/>
      <w:bookmarkStart w:id="14" w:name="_Ref74625906"/>
      <w:bookmarkStart w:id="15" w:name="_Toc77324381"/>
      <w:r>
        <w:t xml:space="preserve">Figure </w:t>
      </w:r>
      <w:r>
        <w:fldChar w:fldCharType="begin"/>
      </w:r>
      <w:r>
        <w:instrText xml:space="preserve"> SEQ Figure \* ARABIC </w:instrText>
      </w:r>
      <w:r>
        <w:fldChar w:fldCharType="separate"/>
      </w:r>
      <w:r>
        <w:rPr>
          <w:noProof/>
        </w:rPr>
        <w:t>2</w:t>
      </w:r>
      <w:r>
        <w:fldChar w:fldCharType="end"/>
      </w:r>
      <w:bookmarkEnd w:id="13"/>
      <w:r>
        <w:t xml:space="preserve">: </w:t>
      </w:r>
      <w:bookmarkEnd w:id="14"/>
      <w:bookmarkEnd w:id="15"/>
      <w:r w:rsidR="00832938">
        <w:t>Malic acid (c) concentration curves and (d) production rate curves, glucose (e) concentration curves</w:t>
      </w:r>
      <w:r w:rsidR="00252222">
        <w:t>,</w:t>
      </w:r>
      <w:r w:rsidR="00832938">
        <w:t xml:space="preserve"> and (f) consumption rate curves for the MgCO</w:t>
      </w:r>
      <w:r w:rsidR="00832938">
        <w:rPr>
          <w:vertAlign w:val="subscript"/>
        </w:rPr>
        <w:t>3</w:t>
      </w:r>
      <w:r w:rsidR="00832938">
        <w:t xml:space="preserve"> and CaCO</w:t>
      </w:r>
      <w:r w:rsidR="00832938" w:rsidRPr="00500791">
        <w:rPr>
          <w:vertAlign w:val="subscript"/>
        </w:rPr>
        <w:t>3</w:t>
      </w:r>
      <w:r w:rsidR="00832938">
        <w:t xml:space="preserve"> control shake flask experiments. </w:t>
      </w:r>
      <w:r w:rsidR="00832938" w:rsidRPr="00DC77E6">
        <w:t>Curves were fi</w:t>
      </w:r>
      <w:r w:rsidR="00832938">
        <w:t>tted using the logistic model (Equation 1) with the standard deviation of triplicates shown by the error bars.</w:t>
      </w:r>
    </w:p>
    <w:p w14:paraId="743D4129" w14:textId="63CD7F20" w:rsidR="006B4D8D" w:rsidRPr="00B57B36" w:rsidRDefault="006B4D8D" w:rsidP="006B4D8D">
      <w:pPr>
        <w:pStyle w:val="CETTabletitle"/>
      </w:pPr>
      <w:bookmarkStart w:id="16" w:name="_Ref94014218"/>
      <w:r>
        <w:lastRenderedPageBreak/>
        <w:t xml:space="preserve">Table </w:t>
      </w:r>
      <w:r>
        <w:fldChar w:fldCharType="begin"/>
      </w:r>
      <w:r>
        <w:instrText xml:space="preserve"> SEQ Table \* ARABIC </w:instrText>
      </w:r>
      <w:r>
        <w:fldChar w:fldCharType="separate"/>
      </w:r>
      <w:r>
        <w:rPr>
          <w:noProof/>
        </w:rPr>
        <w:t>1</w:t>
      </w:r>
      <w:r>
        <w:fldChar w:fldCharType="end"/>
      </w:r>
      <w:bookmarkEnd w:id="16"/>
      <w:r w:rsidRPr="00B57B36">
        <w:t xml:space="preserve">: </w:t>
      </w:r>
      <w:r w:rsidRPr="00327A84">
        <w:t>Curve fitting</w:t>
      </w:r>
      <w:r>
        <w:t xml:space="preserve"> parameters for</w:t>
      </w:r>
      <w:r w:rsidRPr="00327A84">
        <w:t xml:space="preserve"> </w:t>
      </w:r>
      <w:r>
        <w:t xml:space="preserve">the </w:t>
      </w:r>
      <w:r w:rsidRPr="00327A84">
        <w:t>concentration profiles</w:t>
      </w:r>
      <w:r>
        <w:t xml:space="preserve"> in </w:t>
      </w:r>
      <w:r w:rsidR="00252222">
        <w:t xml:space="preserve">Figures </w:t>
      </w:r>
      <w:r>
        <w:t>(a) and (c)</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6B4D8D" w:rsidRPr="00B57B36" w14:paraId="532E0501" w14:textId="77777777" w:rsidTr="00F02ECD">
        <w:tc>
          <w:tcPr>
            <w:tcW w:w="1134" w:type="dxa"/>
            <w:tcBorders>
              <w:top w:val="single" w:sz="12" w:space="0" w:color="008000"/>
              <w:bottom w:val="nil"/>
            </w:tcBorders>
            <w:shd w:val="clear" w:color="auto" w:fill="FFFFFF"/>
          </w:tcPr>
          <w:p w14:paraId="6CF9C936" w14:textId="77777777" w:rsidR="006B4D8D" w:rsidRPr="00B57B36" w:rsidRDefault="006B4D8D" w:rsidP="00F02ECD">
            <w:pPr>
              <w:pStyle w:val="CETBodytext"/>
              <w:rPr>
                <w:lang w:val="en-GB"/>
              </w:rPr>
            </w:pPr>
            <w:r>
              <w:rPr>
                <w:lang w:val="en-ZA"/>
              </w:rPr>
              <w:t>Dataset</w:t>
            </w:r>
            <w:r w:rsidRPr="00B57B36">
              <w:rPr>
                <w:lang w:val="en-GB"/>
              </w:rPr>
              <w:t xml:space="preserve"> </w:t>
            </w:r>
          </w:p>
        </w:tc>
        <w:tc>
          <w:tcPr>
            <w:tcW w:w="2268" w:type="dxa"/>
            <w:gridSpan w:val="2"/>
            <w:tcBorders>
              <w:top w:val="single" w:sz="12" w:space="0" w:color="008000"/>
              <w:bottom w:val="single" w:sz="6" w:space="0" w:color="008000"/>
            </w:tcBorders>
            <w:shd w:val="clear" w:color="auto" w:fill="FFFFFF"/>
          </w:tcPr>
          <w:p w14:paraId="45A91E9E" w14:textId="520DF4D9" w:rsidR="006B4D8D" w:rsidRPr="00B57B36" w:rsidRDefault="00C85ED9" w:rsidP="00E3335A">
            <w:pPr>
              <w:pStyle w:val="CETBodytext"/>
              <w:rPr>
                <w:lang w:val="en-GB"/>
              </w:rPr>
            </w:pPr>
            <w:r>
              <w:rPr>
                <w:lang w:val="en-ZA"/>
              </w:rPr>
              <w:t>240</w:t>
            </w:r>
            <w:r w:rsidR="006B4D8D">
              <w:rPr>
                <w:lang w:val="en-ZA"/>
              </w:rPr>
              <w:t> g/</w:t>
            </w:r>
            <w:r w:rsidR="00E3335A">
              <w:rPr>
                <w:lang w:val="en-ZA"/>
              </w:rPr>
              <w:t>l</w:t>
            </w:r>
            <w:r w:rsidR="006B4D8D">
              <w:rPr>
                <w:lang w:val="en-ZA"/>
              </w:rPr>
              <w:t xml:space="preserve"> CaCO3</w:t>
            </w:r>
          </w:p>
        </w:tc>
        <w:tc>
          <w:tcPr>
            <w:tcW w:w="2268" w:type="dxa"/>
            <w:gridSpan w:val="2"/>
            <w:tcBorders>
              <w:top w:val="single" w:sz="12" w:space="0" w:color="008000"/>
              <w:bottom w:val="single" w:sz="6" w:space="0" w:color="008000"/>
            </w:tcBorders>
            <w:shd w:val="clear" w:color="auto" w:fill="FFFFFF"/>
          </w:tcPr>
          <w:p w14:paraId="040872F0" w14:textId="0C1FC8C6" w:rsidR="006B4D8D" w:rsidRPr="00B57B36" w:rsidRDefault="00C85ED9" w:rsidP="00E3335A">
            <w:pPr>
              <w:pStyle w:val="CETBodytext"/>
              <w:ind w:right="-1"/>
              <w:rPr>
                <w:rFonts w:cs="Arial"/>
                <w:szCs w:val="18"/>
                <w:lang w:val="en-GB"/>
              </w:rPr>
            </w:pPr>
            <w:r>
              <w:rPr>
                <w:lang w:val="en-ZA"/>
              </w:rPr>
              <w:t>192</w:t>
            </w:r>
            <w:r w:rsidR="006B4D8D">
              <w:rPr>
                <w:lang w:val="en-ZA"/>
              </w:rPr>
              <w:t> g/</w:t>
            </w:r>
            <w:r w:rsidR="00E3335A">
              <w:rPr>
                <w:lang w:val="en-ZA"/>
              </w:rPr>
              <w:t>l</w:t>
            </w:r>
            <w:r w:rsidR="006B4D8D">
              <w:rPr>
                <w:lang w:val="en-ZA"/>
              </w:rPr>
              <w:t xml:space="preserve"> MgCO</w:t>
            </w:r>
            <w:r w:rsidR="006B4D8D">
              <w:rPr>
                <w:vertAlign w:val="subscript"/>
                <w:lang w:val="en-ZA"/>
              </w:rPr>
              <w:t>3</w:t>
            </w:r>
          </w:p>
        </w:tc>
      </w:tr>
      <w:tr w:rsidR="006B4D8D" w:rsidRPr="00B57B36" w14:paraId="747E4C90" w14:textId="77777777" w:rsidTr="00F02ECD">
        <w:tc>
          <w:tcPr>
            <w:tcW w:w="1134" w:type="dxa"/>
            <w:tcBorders>
              <w:top w:val="nil"/>
              <w:bottom w:val="single" w:sz="6" w:space="0" w:color="008000"/>
            </w:tcBorders>
            <w:shd w:val="clear" w:color="auto" w:fill="FFFFFF"/>
          </w:tcPr>
          <w:p w14:paraId="2782CA76" w14:textId="77777777" w:rsidR="006B4D8D" w:rsidRDefault="006B4D8D" w:rsidP="00F02ECD">
            <w:pPr>
              <w:pStyle w:val="CETBodytext"/>
              <w:rPr>
                <w:lang w:val="en-ZA"/>
              </w:rPr>
            </w:pPr>
          </w:p>
        </w:tc>
        <w:tc>
          <w:tcPr>
            <w:tcW w:w="1134" w:type="dxa"/>
            <w:tcBorders>
              <w:top w:val="single" w:sz="12" w:space="0" w:color="008000"/>
              <w:bottom w:val="single" w:sz="6" w:space="0" w:color="008000"/>
            </w:tcBorders>
            <w:shd w:val="clear" w:color="auto" w:fill="FFFFFF"/>
            <w:vAlign w:val="center"/>
          </w:tcPr>
          <w:p w14:paraId="5F9DD533" w14:textId="77777777" w:rsidR="006B4D8D" w:rsidRPr="007D77D3" w:rsidRDefault="006B4D8D" w:rsidP="00F02ECD">
            <w:pPr>
              <w:pStyle w:val="CETBodytext"/>
              <w:rPr>
                <w:lang w:val="en-ZA"/>
              </w:rPr>
            </w:pPr>
            <w:r>
              <w:rPr>
                <w:lang w:val="en-ZA"/>
              </w:rPr>
              <w:t>Glucose</w:t>
            </w:r>
          </w:p>
        </w:tc>
        <w:tc>
          <w:tcPr>
            <w:tcW w:w="1134" w:type="dxa"/>
            <w:tcBorders>
              <w:top w:val="single" w:sz="12" w:space="0" w:color="008000"/>
              <w:bottom w:val="single" w:sz="6" w:space="0" w:color="008000"/>
            </w:tcBorders>
            <w:shd w:val="clear" w:color="auto" w:fill="FFFFFF"/>
            <w:vAlign w:val="center"/>
          </w:tcPr>
          <w:p w14:paraId="4508F88B" w14:textId="77777777" w:rsidR="006B4D8D" w:rsidRPr="007D77D3" w:rsidRDefault="006B4D8D" w:rsidP="00F02ECD">
            <w:pPr>
              <w:pStyle w:val="CETBodytext"/>
              <w:rPr>
                <w:lang w:val="en-ZA"/>
              </w:rPr>
            </w:pPr>
            <w:r>
              <w:rPr>
                <w:lang w:val="en-ZA"/>
              </w:rPr>
              <w:t>Malic acid</w:t>
            </w:r>
          </w:p>
        </w:tc>
        <w:tc>
          <w:tcPr>
            <w:tcW w:w="1134" w:type="dxa"/>
            <w:tcBorders>
              <w:top w:val="single" w:sz="12" w:space="0" w:color="008000"/>
              <w:bottom w:val="single" w:sz="6" w:space="0" w:color="008000"/>
            </w:tcBorders>
            <w:shd w:val="clear" w:color="auto" w:fill="FFFFFF"/>
            <w:vAlign w:val="center"/>
          </w:tcPr>
          <w:p w14:paraId="0433BF5F" w14:textId="77777777" w:rsidR="006B4D8D" w:rsidRPr="007D77D3" w:rsidRDefault="006B4D8D" w:rsidP="00F02ECD">
            <w:pPr>
              <w:pStyle w:val="CETBodytext"/>
              <w:ind w:right="-1"/>
              <w:rPr>
                <w:lang w:val="en-ZA"/>
              </w:rPr>
            </w:pPr>
            <w:r>
              <w:rPr>
                <w:lang w:val="en-ZA"/>
              </w:rPr>
              <w:t>Glucose</w:t>
            </w:r>
          </w:p>
        </w:tc>
        <w:tc>
          <w:tcPr>
            <w:tcW w:w="1134" w:type="dxa"/>
            <w:tcBorders>
              <w:top w:val="single" w:sz="12" w:space="0" w:color="008000"/>
              <w:bottom w:val="single" w:sz="6" w:space="0" w:color="008000"/>
            </w:tcBorders>
            <w:shd w:val="clear" w:color="auto" w:fill="FFFFFF"/>
            <w:vAlign w:val="center"/>
          </w:tcPr>
          <w:p w14:paraId="50414EF1" w14:textId="77777777" w:rsidR="006B4D8D" w:rsidRPr="007D77D3" w:rsidRDefault="006B4D8D" w:rsidP="00F02ECD">
            <w:pPr>
              <w:pStyle w:val="CETBodytext"/>
              <w:ind w:right="-1"/>
              <w:rPr>
                <w:lang w:val="en-ZA"/>
              </w:rPr>
            </w:pPr>
            <w:r>
              <w:rPr>
                <w:lang w:val="en-ZA"/>
              </w:rPr>
              <w:t>Malic acid</w:t>
            </w:r>
          </w:p>
        </w:tc>
      </w:tr>
      <w:tr w:rsidR="006B4D8D" w:rsidRPr="00B57B36" w14:paraId="4E73A8DE" w14:textId="77777777" w:rsidTr="00F02ECD">
        <w:tc>
          <w:tcPr>
            <w:tcW w:w="1134" w:type="dxa"/>
            <w:shd w:val="clear" w:color="auto" w:fill="FFFFFF"/>
            <w:vAlign w:val="center"/>
          </w:tcPr>
          <w:p w14:paraId="2C4C286D" w14:textId="5A9D9FD6" w:rsidR="006B4D8D" w:rsidRPr="00B57B36" w:rsidRDefault="0006727D" w:rsidP="00E3335A">
            <w:pPr>
              <w:pStyle w:val="CETBodytext"/>
              <w:jc w:val="left"/>
              <w:rPr>
                <w:lang w:val="en-GB"/>
              </w:rPr>
            </w:pPr>
            <m:oMath>
              <m:sSub>
                <m:sSubPr>
                  <m:ctrlPr>
                    <w:rPr>
                      <w:rFonts w:ascii="Cambria Math" w:hAnsi="Cambria Math"/>
                      <w:i/>
                    </w:rPr>
                  </m:ctrlPr>
                </m:sSubPr>
                <m:e>
                  <m:r>
                    <w:rPr>
                      <w:rFonts w:ascii="Cambria Math" w:hAnsi="Cambria Math"/>
                    </w:rPr>
                    <m:t>C</m:t>
                  </m:r>
                </m:e>
                <m:sub>
                  <m:r>
                    <w:rPr>
                      <w:rFonts w:ascii="Cambria Math" w:hAnsi="Cambria Math"/>
                    </w:rPr>
                    <m:t>i,min</m:t>
                  </m:r>
                </m:sub>
              </m:sSub>
              <m:r>
                <w:rPr>
                  <w:rFonts w:ascii="Cambria Math" w:hAnsi="Cambria Math"/>
                </w:rPr>
                <m:t xml:space="preserve"> </m:t>
              </m:r>
            </m:oMath>
            <w:r w:rsidR="006B4D8D">
              <w:rPr>
                <w:rFonts w:eastAsiaTheme="minorEastAsia"/>
              </w:rPr>
              <w:t>(g/</w:t>
            </w:r>
            <w:r w:rsidR="00E3335A">
              <w:rPr>
                <w:rFonts w:eastAsiaTheme="minorEastAsia"/>
              </w:rPr>
              <w:t>l</w:t>
            </w:r>
            <w:r w:rsidR="006B4D8D">
              <w:rPr>
                <w:rFonts w:eastAsiaTheme="minorEastAsia"/>
              </w:rPr>
              <w:t>)</w:t>
            </w:r>
          </w:p>
        </w:tc>
        <w:tc>
          <w:tcPr>
            <w:tcW w:w="1134" w:type="dxa"/>
            <w:shd w:val="clear" w:color="auto" w:fill="FFFFFF"/>
            <w:vAlign w:val="center"/>
          </w:tcPr>
          <w:p w14:paraId="00B797AC" w14:textId="77777777" w:rsidR="006B4D8D" w:rsidRPr="00B57B36" w:rsidRDefault="006B4D8D" w:rsidP="00F02ECD">
            <w:pPr>
              <w:pStyle w:val="CETBodytext"/>
              <w:rPr>
                <w:lang w:val="en-GB"/>
              </w:rPr>
            </w:pPr>
            <w:r>
              <w:rPr>
                <w:lang w:val="en-ZA"/>
              </w:rPr>
              <w:t>0</w:t>
            </w:r>
          </w:p>
        </w:tc>
        <w:tc>
          <w:tcPr>
            <w:tcW w:w="1134" w:type="dxa"/>
            <w:shd w:val="clear" w:color="auto" w:fill="FFFFFF"/>
            <w:vAlign w:val="center"/>
          </w:tcPr>
          <w:p w14:paraId="1E424C32" w14:textId="77777777" w:rsidR="006B4D8D" w:rsidRPr="00B57B36" w:rsidRDefault="006B4D8D" w:rsidP="00F02ECD">
            <w:pPr>
              <w:pStyle w:val="CETBodytext"/>
              <w:rPr>
                <w:lang w:val="en-GB"/>
              </w:rPr>
            </w:pPr>
            <w:r>
              <w:rPr>
                <w:lang w:val="en-ZA"/>
              </w:rPr>
              <w:t>0</w:t>
            </w:r>
          </w:p>
        </w:tc>
        <w:tc>
          <w:tcPr>
            <w:tcW w:w="1134" w:type="dxa"/>
            <w:shd w:val="clear" w:color="auto" w:fill="FFFFFF"/>
            <w:vAlign w:val="center"/>
          </w:tcPr>
          <w:p w14:paraId="7071E22B" w14:textId="77777777" w:rsidR="006B4D8D" w:rsidRPr="00B57B36" w:rsidRDefault="006B4D8D" w:rsidP="00F02ECD">
            <w:pPr>
              <w:pStyle w:val="CETBodytext"/>
              <w:ind w:right="-1"/>
              <w:rPr>
                <w:rFonts w:cs="Arial"/>
                <w:szCs w:val="18"/>
                <w:lang w:val="en-GB"/>
              </w:rPr>
            </w:pPr>
            <w:r>
              <w:rPr>
                <w:lang w:val="en-ZA"/>
              </w:rPr>
              <w:t>0</w:t>
            </w:r>
          </w:p>
        </w:tc>
        <w:tc>
          <w:tcPr>
            <w:tcW w:w="1134" w:type="dxa"/>
            <w:shd w:val="clear" w:color="auto" w:fill="FFFFFF"/>
            <w:vAlign w:val="center"/>
          </w:tcPr>
          <w:p w14:paraId="5BFE8651" w14:textId="77777777" w:rsidR="006B4D8D" w:rsidRPr="00B57B36" w:rsidRDefault="006B4D8D" w:rsidP="00F02ECD">
            <w:pPr>
              <w:pStyle w:val="CETBodytext"/>
              <w:ind w:right="-1"/>
              <w:rPr>
                <w:rFonts w:cs="Arial"/>
                <w:szCs w:val="18"/>
                <w:lang w:val="en-GB"/>
              </w:rPr>
            </w:pPr>
            <w:r>
              <w:rPr>
                <w:lang w:val="en-ZA"/>
              </w:rPr>
              <w:t>0</w:t>
            </w:r>
          </w:p>
        </w:tc>
      </w:tr>
      <w:tr w:rsidR="006B4D8D" w:rsidRPr="00B57B36" w14:paraId="1801FCF2" w14:textId="77777777" w:rsidTr="00F02ECD">
        <w:tc>
          <w:tcPr>
            <w:tcW w:w="1134" w:type="dxa"/>
            <w:shd w:val="clear" w:color="auto" w:fill="FFFFFF"/>
            <w:vAlign w:val="center"/>
          </w:tcPr>
          <w:p w14:paraId="46222583" w14:textId="4C7DE4A7" w:rsidR="006B4D8D" w:rsidRPr="00B57B36" w:rsidRDefault="0006727D" w:rsidP="00E3335A">
            <w:pPr>
              <w:pStyle w:val="CETBodytext"/>
              <w:jc w:val="left"/>
              <w:rPr>
                <w:lang w:val="en-GB"/>
              </w:rPr>
            </w:pPr>
            <m:oMath>
              <m:sSub>
                <m:sSubPr>
                  <m:ctrlPr>
                    <w:rPr>
                      <w:rFonts w:ascii="Cambria Math" w:hAnsi="Cambria Math"/>
                      <w:i/>
                    </w:rPr>
                  </m:ctrlPr>
                </m:sSubPr>
                <m:e>
                  <m:r>
                    <w:rPr>
                      <w:rFonts w:ascii="Cambria Math" w:hAnsi="Cambria Math"/>
                    </w:rPr>
                    <m:t>C</m:t>
                  </m:r>
                </m:e>
                <m:sub>
                  <m:r>
                    <w:rPr>
                      <w:rFonts w:ascii="Cambria Math" w:hAnsi="Cambria Math"/>
                    </w:rPr>
                    <m:t>i,max</m:t>
                  </m:r>
                </m:sub>
              </m:sSub>
            </m:oMath>
            <w:r w:rsidR="006B4D8D">
              <w:rPr>
                <w:rFonts w:eastAsiaTheme="minorEastAsia"/>
              </w:rPr>
              <w:t xml:space="preserve"> (g/</w:t>
            </w:r>
            <w:r w:rsidR="00E3335A">
              <w:rPr>
                <w:rFonts w:eastAsiaTheme="minorEastAsia"/>
              </w:rPr>
              <w:t>l</w:t>
            </w:r>
            <w:r w:rsidR="006B4D8D">
              <w:rPr>
                <w:rFonts w:eastAsiaTheme="minorEastAsia"/>
              </w:rPr>
              <w:t>)</w:t>
            </w:r>
          </w:p>
        </w:tc>
        <w:tc>
          <w:tcPr>
            <w:tcW w:w="1134" w:type="dxa"/>
            <w:shd w:val="clear" w:color="auto" w:fill="FFFFFF"/>
            <w:vAlign w:val="center"/>
          </w:tcPr>
          <w:p w14:paraId="2705FCC4" w14:textId="77777777" w:rsidR="006B4D8D" w:rsidRPr="00B57B36" w:rsidRDefault="006B4D8D" w:rsidP="00F02ECD">
            <w:pPr>
              <w:pStyle w:val="CETBodytext"/>
              <w:rPr>
                <w:lang w:val="en-GB"/>
              </w:rPr>
            </w:pPr>
            <w:r>
              <w:rPr>
                <w:lang w:val="en-ZA"/>
              </w:rPr>
              <w:t>95.3</w:t>
            </w:r>
          </w:p>
        </w:tc>
        <w:tc>
          <w:tcPr>
            <w:tcW w:w="1134" w:type="dxa"/>
            <w:shd w:val="clear" w:color="auto" w:fill="FFFFFF"/>
            <w:vAlign w:val="center"/>
          </w:tcPr>
          <w:p w14:paraId="2BBEAD71" w14:textId="77777777" w:rsidR="006B4D8D" w:rsidRPr="00B57B36" w:rsidRDefault="006B4D8D" w:rsidP="00F02ECD">
            <w:pPr>
              <w:pStyle w:val="CETBodytext"/>
              <w:rPr>
                <w:lang w:val="en-GB"/>
              </w:rPr>
            </w:pPr>
            <w:r>
              <w:rPr>
                <w:lang w:val="en-ZA"/>
              </w:rPr>
              <w:t>43.3</w:t>
            </w:r>
          </w:p>
        </w:tc>
        <w:tc>
          <w:tcPr>
            <w:tcW w:w="1134" w:type="dxa"/>
            <w:shd w:val="clear" w:color="auto" w:fill="FFFFFF"/>
            <w:vAlign w:val="center"/>
          </w:tcPr>
          <w:p w14:paraId="4D109168" w14:textId="77777777" w:rsidR="006B4D8D" w:rsidRPr="00B57B36" w:rsidRDefault="006B4D8D" w:rsidP="00F02ECD">
            <w:pPr>
              <w:pStyle w:val="CETBodytext"/>
              <w:ind w:right="-1"/>
              <w:rPr>
                <w:rFonts w:cs="Arial"/>
                <w:szCs w:val="18"/>
                <w:lang w:val="en-GB"/>
              </w:rPr>
            </w:pPr>
            <w:r>
              <w:rPr>
                <w:lang w:val="en-ZA"/>
              </w:rPr>
              <w:t>105</w:t>
            </w:r>
          </w:p>
        </w:tc>
        <w:tc>
          <w:tcPr>
            <w:tcW w:w="1134" w:type="dxa"/>
            <w:shd w:val="clear" w:color="auto" w:fill="FFFFFF"/>
            <w:vAlign w:val="center"/>
          </w:tcPr>
          <w:p w14:paraId="0FA715F4" w14:textId="77777777" w:rsidR="006B4D8D" w:rsidRPr="00B57B36" w:rsidRDefault="006B4D8D" w:rsidP="00F02ECD">
            <w:pPr>
              <w:pStyle w:val="CETBodytext"/>
              <w:ind w:right="-1"/>
              <w:rPr>
                <w:rFonts w:cs="Arial"/>
                <w:szCs w:val="18"/>
                <w:lang w:val="en-GB"/>
              </w:rPr>
            </w:pPr>
            <w:r>
              <w:rPr>
                <w:lang w:val="en-ZA"/>
              </w:rPr>
              <w:t>68.9</w:t>
            </w:r>
          </w:p>
        </w:tc>
      </w:tr>
      <w:tr w:rsidR="006B4D8D" w:rsidRPr="00B57B36" w14:paraId="6287794A" w14:textId="77777777" w:rsidTr="00F02ECD">
        <w:tc>
          <w:tcPr>
            <w:tcW w:w="1134" w:type="dxa"/>
            <w:shd w:val="clear" w:color="auto" w:fill="FFFFFF"/>
            <w:vAlign w:val="center"/>
          </w:tcPr>
          <w:p w14:paraId="1F519872" w14:textId="77777777" w:rsidR="006B4D8D" w:rsidRPr="007D77D3" w:rsidRDefault="006B4D8D" w:rsidP="00F02ECD">
            <w:pPr>
              <w:pStyle w:val="CETBodytext"/>
              <w:jc w:val="left"/>
              <w:rPr>
                <w:lang w:val="en-GB"/>
              </w:rPr>
            </w:pPr>
            <m:oMathPara>
              <m:oMathParaPr>
                <m:jc m:val="left"/>
              </m:oMathParaPr>
              <m:oMath>
                <m:r>
                  <w:rPr>
                    <w:rFonts w:ascii="Cambria Math" w:hAnsi="Cambria Math"/>
                  </w:rPr>
                  <m:t>k</m:t>
                </m:r>
              </m:oMath>
            </m:oMathPara>
          </w:p>
        </w:tc>
        <w:tc>
          <w:tcPr>
            <w:tcW w:w="1134" w:type="dxa"/>
            <w:shd w:val="clear" w:color="auto" w:fill="FFFFFF"/>
            <w:vAlign w:val="center"/>
          </w:tcPr>
          <w:p w14:paraId="185220AA" w14:textId="77777777" w:rsidR="006B4D8D" w:rsidRPr="00B57B36" w:rsidRDefault="006B4D8D" w:rsidP="00F02ECD">
            <w:pPr>
              <w:pStyle w:val="CETBodytext"/>
              <w:rPr>
                <w:lang w:val="en-GB"/>
              </w:rPr>
            </w:pPr>
            <w:r>
              <w:rPr>
                <w:lang w:val="en-ZA"/>
              </w:rPr>
              <w:t>-3.12</w:t>
            </w:r>
          </w:p>
        </w:tc>
        <w:tc>
          <w:tcPr>
            <w:tcW w:w="1134" w:type="dxa"/>
            <w:shd w:val="clear" w:color="auto" w:fill="FFFFFF"/>
            <w:vAlign w:val="center"/>
          </w:tcPr>
          <w:p w14:paraId="21BBC5AB" w14:textId="77777777" w:rsidR="006B4D8D" w:rsidRPr="00B57B36" w:rsidRDefault="006B4D8D" w:rsidP="00F02ECD">
            <w:pPr>
              <w:pStyle w:val="CETBodytext"/>
              <w:rPr>
                <w:lang w:val="en-GB"/>
              </w:rPr>
            </w:pPr>
            <w:r>
              <w:rPr>
                <w:lang w:val="en-ZA"/>
              </w:rPr>
              <w:t>3.44</w:t>
            </w:r>
          </w:p>
        </w:tc>
        <w:tc>
          <w:tcPr>
            <w:tcW w:w="1134" w:type="dxa"/>
            <w:shd w:val="clear" w:color="auto" w:fill="FFFFFF"/>
            <w:vAlign w:val="center"/>
          </w:tcPr>
          <w:p w14:paraId="3B9AF588" w14:textId="77777777" w:rsidR="006B4D8D" w:rsidRPr="00B57B36" w:rsidRDefault="006B4D8D" w:rsidP="00F02ECD">
            <w:pPr>
              <w:pStyle w:val="CETBodytext"/>
              <w:ind w:right="-1"/>
              <w:rPr>
                <w:rFonts w:cs="Arial"/>
                <w:szCs w:val="18"/>
                <w:lang w:val="en-GB"/>
              </w:rPr>
            </w:pPr>
            <w:r>
              <w:rPr>
                <w:lang w:val="en-ZA"/>
              </w:rPr>
              <w:t>-2.07</w:t>
            </w:r>
          </w:p>
        </w:tc>
        <w:tc>
          <w:tcPr>
            <w:tcW w:w="1134" w:type="dxa"/>
            <w:shd w:val="clear" w:color="auto" w:fill="FFFFFF"/>
            <w:vAlign w:val="center"/>
          </w:tcPr>
          <w:p w14:paraId="42CA3607" w14:textId="77777777" w:rsidR="006B4D8D" w:rsidRPr="00B57B36" w:rsidRDefault="006B4D8D" w:rsidP="00F02ECD">
            <w:pPr>
              <w:pStyle w:val="CETBodytext"/>
              <w:ind w:right="-1"/>
              <w:rPr>
                <w:rFonts w:cs="Arial"/>
                <w:szCs w:val="18"/>
                <w:lang w:val="en-GB"/>
              </w:rPr>
            </w:pPr>
            <w:r>
              <w:rPr>
                <w:lang w:val="en-ZA"/>
              </w:rPr>
              <w:t>1.75</w:t>
            </w:r>
          </w:p>
        </w:tc>
      </w:tr>
      <w:tr w:rsidR="006B4D8D" w:rsidRPr="00B57B36" w14:paraId="5C003B21" w14:textId="77777777" w:rsidTr="00F02ECD">
        <w:tc>
          <w:tcPr>
            <w:tcW w:w="1134" w:type="dxa"/>
            <w:shd w:val="clear" w:color="auto" w:fill="FFFFFF"/>
            <w:vAlign w:val="center"/>
          </w:tcPr>
          <w:p w14:paraId="0245086B" w14:textId="77777777" w:rsidR="006B4D8D" w:rsidRPr="00B57B36" w:rsidRDefault="006B4D8D" w:rsidP="00F02ECD">
            <w:pPr>
              <w:pStyle w:val="CETBodytext"/>
              <w:jc w:val="left"/>
              <w:rPr>
                <w:lang w:val="en-GB"/>
              </w:rPr>
            </w:pPr>
            <m:oMath>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50</m:t>
                  </m:r>
                </m:sub>
              </m:sSub>
            </m:oMath>
            <w:r>
              <w:rPr>
                <w:rFonts w:eastAsiaTheme="minorEastAsia"/>
              </w:rPr>
              <w:t xml:space="preserve"> (h)</w:t>
            </w:r>
          </w:p>
        </w:tc>
        <w:tc>
          <w:tcPr>
            <w:tcW w:w="1134" w:type="dxa"/>
            <w:shd w:val="clear" w:color="auto" w:fill="FFFFFF"/>
            <w:vAlign w:val="center"/>
          </w:tcPr>
          <w:p w14:paraId="2D60A001" w14:textId="77777777" w:rsidR="006B4D8D" w:rsidRPr="00B57B36" w:rsidRDefault="006B4D8D" w:rsidP="00F02ECD">
            <w:pPr>
              <w:pStyle w:val="CETBodytext"/>
              <w:rPr>
                <w:lang w:val="en-GB"/>
              </w:rPr>
            </w:pPr>
            <w:r>
              <w:rPr>
                <w:lang w:val="en-ZA"/>
              </w:rPr>
              <w:t>142</w:t>
            </w:r>
          </w:p>
        </w:tc>
        <w:tc>
          <w:tcPr>
            <w:tcW w:w="1134" w:type="dxa"/>
            <w:shd w:val="clear" w:color="auto" w:fill="FFFFFF"/>
            <w:vAlign w:val="center"/>
          </w:tcPr>
          <w:p w14:paraId="6EE70381" w14:textId="77777777" w:rsidR="006B4D8D" w:rsidRPr="00B57B36" w:rsidRDefault="006B4D8D" w:rsidP="00F02ECD">
            <w:pPr>
              <w:pStyle w:val="CETBodytext"/>
              <w:rPr>
                <w:lang w:val="en-GB"/>
              </w:rPr>
            </w:pPr>
            <w:r>
              <w:rPr>
                <w:lang w:val="en-ZA"/>
              </w:rPr>
              <w:t>108</w:t>
            </w:r>
          </w:p>
        </w:tc>
        <w:tc>
          <w:tcPr>
            <w:tcW w:w="1134" w:type="dxa"/>
            <w:shd w:val="clear" w:color="auto" w:fill="FFFFFF"/>
            <w:vAlign w:val="center"/>
          </w:tcPr>
          <w:p w14:paraId="2F7E6519" w14:textId="77777777" w:rsidR="006B4D8D" w:rsidRPr="00B57B36" w:rsidRDefault="006B4D8D" w:rsidP="00F02ECD">
            <w:pPr>
              <w:pStyle w:val="CETBodytext"/>
              <w:ind w:right="-1"/>
              <w:rPr>
                <w:rFonts w:cs="Arial"/>
                <w:szCs w:val="18"/>
                <w:lang w:val="en-GB"/>
              </w:rPr>
            </w:pPr>
            <w:r>
              <w:rPr>
                <w:lang w:val="en-ZA"/>
              </w:rPr>
              <w:t>299</w:t>
            </w:r>
          </w:p>
        </w:tc>
        <w:tc>
          <w:tcPr>
            <w:tcW w:w="1134" w:type="dxa"/>
            <w:shd w:val="clear" w:color="auto" w:fill="FFFFFF"/>
            <w:vAlign w:val="center"/>
          </w:tcPr>
          <w:p w14:paraId="1EF94607" w14:textId="77777777" w:rsidR="006B4D8D" w:rsidRPr="00B57B36" w:rsidRDefault="006B4D8D" w:rsidP="00F02ECD">
            <w:pPr>
              <w:pStyle w:val="CETBodytext"/>
              <w:ind w:right="-1"/>
              <w:rPr>
                <w:rFonts w:cs="Arial"/>
                <w:szCs w:val="18"/>
                <w:lang w:val="en-GB"/>
              </w:rPr>
            </w:pPr>
            <w:r>
              <w:rPr>
                <w:lang w:val="en-ZA"/>
              </w:rPr>
              <w:t>311</w:t>
            </w:r>
          </w:p>
        </w:tc>
      </w:tr>
      <w:tr w:rsidR="006B4D8D" w:rsidRPr="00B57B36" w14:paraId="5503F1C3" w14:textId="77777777" w:rsidTr="00F02ECD">
        <w:tc>
          <w:tcPr>
            <w:tcW w:w="1134" w:type="dxa"/>
            <w:shd w:val="clear" w:color="auto" w:fill="FFFFFF"/>
            <w:vAlign w:val="center"/>
          </w:tcPr>
          <w:p w14:paraId="0FE950DC" w14:textId="77777777" w:rsidR="006B4D8D" w:rsidRPr="007D77D3" w:rsidRDefault="0006727D" w:rsidP="00F02ECD">
            <w:pPr>
              <w:pStyle w:val="CETBodytext"/>
              <w:ind w:right="-1"/>
              <w:jc w:val="left"/>
              <w:rPr>
                <w:rFonts w:cs="Arial"/>
                <w:szCs w:val="18"/>
                <w:lang w:val="en-GB"/>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1134" w:type="dxa"/>
            <w:shd w:val="clear" w:color="auto" w:fill="FFFFFF"/>
            <w:vAlign w:val="center"/>
          </w:tcPr>
          <w:p w14:paraId="04CFC2AB" w14:textId="77777777" w:rsidR="006B4D8D" w:rsidRPr="00B57B36" w:rsidRDefault="006B4D8D" w:rsidP="00F02ECD">
            <w:pPr>
              <w:pStyle w:val="CETBodytext"/>
              <w:ind w:right="-1"/>
              <w:rPr>
                <w:rFonts w:cs="Arial"/>
                <w:szCs w:val="18"/>
                <w:lang w:val="en-GB"/>
              </w:rPr>
            </w:pPr>
            <w:r>
              <w:rPr>
                <w:lang w:val="en-ZA"/>
              </w:rPr>
              <w:t>0.956</w:t>
            </w:r>
          </w:p>
        </w:tc>
        <w:tc>
          <w:tcPr>
            <w:tcW w:w="1134" w:type="dxa"/>
            <w:shd w:val="clear" w:color="auto" w:fill="FFFFFF"/>
            <w:vAlign w:val="center"/>
          </w:tcPr>
          <w:p w14:paraId="316BDD2F" w14:textId="77777777" w:rsidR="006B4D8D" w:rsidRPr="00B57B36" w:rsidRDefault="006B4D8D" w:rsidP="00F02ECD">
            <w:pPr>
              <w:pStyle w:val="CETBodytext"/>
              <w:ind w:right="-1"/>
              <w:rPr>
                <w:rFonts w:cs="Arial"/>
                <w:szCs w:val="18"/>
                <w:lang w:val="en-GB"/>
              </w:rPr>
            </w:pPr>
            <w:r>
              <w:rPr>
                <w:lang w:val="en-ZA"/>
              </w:rPr>
              <w:t>0.876</w:t>
            </w:r>
          </w:p>
        </w:tc>
        <w:tc>
          <w:tcPr>
            <w:tcW w:w="1134" w:type="dxa"/>
            <w:shd w:val="clear" w:color="auto" w:fill="FFFFFF"/>
            <w:vAlign w:val="center"/>
          </w:tcPr>
          <w:p w14:paraId="12111D5B" w14:textId="77777777" w:rsidR="006B4D8D" w:rsidRPr="00B57B36" w:rsidRDefault="006B4D8D" w:rsidP="00F02ECD">
            <w:pPr>
              <w:pStyle w:val="CETBodytext"/>
              <w:ind w:right="-1"/>
              <w:rPr>
                <w:rFonts w:cs="Arial"/>
                <w:szCs w:val="18"/>
                <w:lang w:val="en-GB"/>
              </w:rPr>
            </w:pPr>
            <w:r>
              <w:rPr>
                <w:lang w:val="en-ZA"/>
              </w:rPr>
              <w:t>0.952</w:t>
            </w:r>
          </w:p>
        </w:tc>
        <w:tc>
          <w:tcPr>
            <w:tcW w:w="1134" w:type="dxa"/>
            <w:shd w:val="clear" w:color="auto" w:fill="FFFFFF"/>
            <w:vAlign w:val="center"/>
          </w:tcPr>
          <w:p w14:paraId="359FF843" w14:textId="77777777" w:rsidR="006B4D8D" w:rsidRPr="00B57B36" w:rsidRDefault="006B4D8D" w:rsidP="00F02ECD">
            <w:pPr>
              <w:pStyle w:val="CETBodytext"/>
              <w:ind w:right="-1"/>
              <w:rPr>
                <w:rFonts w:cs="Arial"/>
                <w:szCs w:val="18"/>
                <w:lang w:val="en-GB"/>
              </w:rPr>
            </w:pPr>
            <w:r>
              <w:rPr>
                <w:lang w:val="en-ZA"/>
              </w:rPr>
              <w:t>0.958</w:t>
            </w:r>
          </w:p>
        </w:tc>
      </w:tr>
    </w:tbl>
    <w:p w14:paraId="62E487DE" w14:textId="77777777" w:rsidR="006B4D8D" w:rsidRDefault="006B4D8D" w:rsidP="00A30C11">
      <w:pPr>
        <w:pStyle w:val="CETBodytext"/>
        <w:rPr>
          <w:lang w:val="en-ZA"/>
        </w:rPr>
      </w:pPr>
    </w:p>
    <w:p w14:paraId="245698B6" w14:textId="73D74EED" w:rsidR="006B4D8D" w:rsidRPr="006B4D8D" w:rsidRDefault="006B4D8D" w:rsidP="00A30C11">
      <w:pPr>
        <w:pStyle w:val="CETBodytext"/>
      </w:pPr>
      <w:r>
        <w:t xml:space="preserve">The results presented in </w:t>
      </w:r>
      <w:r w:rsidR="00252222">
        <w:t>Figures</w:t>
      </w:r>
      <w:r>
        <w:t xml:space="preserve"> 1 and 2 indicate that the effects of alkaline-earth buffer identity </w:t>
      </w:r>
      <w:r w:rsidR="00252222">
        <w:t>are</w:t>
      </w:r>
      <w:r>
        <w:t xml:space="preserve"> extremely complicated. The results demonstrated that the hypothesis of immobilization of malate as Ca-malate or Mg-malate was not a significant factor in the system as negligible amounts of these complexes were detected. However, from the ionic dissolution measurements, it appeared that the type of buffer affected the source of the CO</w:t>
      </w:r>
      <w:r>
        <w:rPr>
          <w:vertAlign w:val="subscript"/>
        </w:rPr>
        <w:t>2</w:t>
      </w:r>
      <w:r>
        <w:t xml:space="preserve"> required for malate biosynthesis. This links strongly to the significantly increased rate of glucose consumption, with concomitant increased respiration rate, when comparing the CaCO</w:t>
      </w:r>
      <w:r>
        <w:rPr>
          <w:vertAlign w:val="subscript"/>
        </w:rPr>
        <w:t>3</w:t>
      </w:r>
      <w:r>
        <w:t xml:space="preserve"> and MgCO</w:t>
      </w:r>
      <w:r>
        <w:rPr>
          <w:vertAlign w:val="subscript"/>
        </w:rPr>
        <w:t>3</w:t>
      </w:r>
      <w:r>
        <w:t xml:space="preserve"> runs. </w:t>
      </w:r>
    </w:p>
    <w:p w14:paraId="53C9463E" w14:textId="442E0F99" w:rsidR="00152C5F" w:rsidRDefault="00A30C11" w:rsidP="00A30C11">
      <w:pPr>
        <w:pStyle w:val="CETBodytext"/>
      </w:pPr>
      <w:r>
        <w:t>The Ca</w:t>
      </w:r>
      <w:r>
        <w:rPr>
          <w:vertAlign w:val="superscript"/>
        </w:rPr>
        <w:t>2+</w:t>
      </w:r>
      <w:r>
        <w:t xml:space="preserve"> ion has been </w:t>
      </w:r>
      <w:r w:rsidR="00252222">
        <w:t>labeled</w:t>
      </w:r>
      <w:r>
        <w:t xml:space="preserve"> the second messenger omnipresent in all fungi </w:t>
      </w:r>
      <w:r>
        <w:fldChar w:fldCharType="begin" w:fldLock="1"/>
      </w:r>
      <w:r>
        <w:instrText>ADDIN CSL_CITATION {"citationItems":[{"id":"ITEM-1","itemData":{"DOI":"10.4161/psb.3.4.5093","ISSN":"15592324","abstract":"Calcium ion is considered a ubiquitous second messenger in all eukaryotic cells. Analysis of intracellular Ca2+ concentration dynamics has demonstrated its signalling role in plant cells in response to a wide array of environmental cues. The implication of Ca2+ in the early steps of the arbuscular mycorrhizal symbiosis has been frequently claimed, mainly by analogy with what firmly demonstrated in the rhizobium-legume symbiosis. We recently documented transient Ca2+ changes in plant cells challenged with diffusible molecules released by arbuscular mycorrhizal fungi. Ca2+ measurements by the recombinant aequorin method provided new insights into the molecular communications between plants and these beneficial fungi. ©2008 Landes Bioscience.","author":[{"dropping-particle":"","family":"Navazio","given":"Lorella","non-dropping-particle":"","parse-names":false,"suffix":""},{"dropping-particle":"","family":"Mariani","given":"Paola","non-dropping-particle":"","parse-names":false,"suffix":""}],"container-title":"Plant Signaling and Behavior","id":"ITEM-1","issue":"4","issued":{"date-parts":[["2008"]]},"page":"229-230","title":"Calcium opens the dialogue between plants and arbuscular mycorrhizal fungi","type":"article-journal","volume":"3"},"uris":["http://www.mendeley.com/documents/?uuid=1888a3d8-7eef-416b-bffc-25dcf227fc52"]}],"mendeley":{"formattedCitation":"(Navazio and Mariani, 2008)","plainTextFormattedCitation":"(Navazio and Mariani, 2008)","previouslyFormattedCitation":"(Navazio and Mariani, 2008)"},"properties":{"noteIndex":0},"schema":"https://github.com/citation-style-language/schema/raw/master/csl-citation.json"}</w:instrText>
      </w:r>
      <w:r>
        <w:fldChar w:fldCharType="separate"/>
      </w:r>
      <w:r w:rsidRPr="00213FB5">
        <w:rPr>
          <w:noProof/>
        </w:rPr>
        <w:t>(Navazio and Mariani, 2008)</w:t>
      </w:r>
      <w:r>
        <w:fldChar w:fldCharType="end"/>
      </w:r>
      <w:r>
        <w:t>. This increased Ca</w:t>
      </w:r>
      <w:r>
        <w:rPr>
          <w:vertAlign w:val="superscript"/>
        </w:rPr>
        <w:t>2+</w:t>
      </w:r>
      <w:r>
        <w:t xml:space="preserve"> concentration within the external medium results in a coordinated range of intracellular signals to regulate the Ca</w:t>
      </w:r>
      <w:r>
        <w:rPr>
          <w:vertAlign w:val="superscript"/>
        </w:rPr>
        <w:t>2+</w:t>
      </w:r>
      <w:r>
        <w:t xml:space="preserve"> concentration </w:t>
      </w:r>
      <w:r>
        <w:fldChar w:fldCharType="begin" w:fldLock="1"/>
      </w:r>
      <w:r>
        <w:instrText>ADDIN CSL_CITATION {"citationItems":[{"id":"ITEM-1","itemData":{"DOI":"10.1080/21501203.2020.1785962","ISSN":"21501211","abstract":"Calcium (Ca2+) is a universal signalling molecule of life. The Ca2+ signalling is an evolutionarily conserved process from prokaryotes to eukaryotes. Ca2+ at high concentration is deleterious to the cell; therefore, cell maintains a low resting level of intracellular free Ca2+ concentration ([Ca2+]c). The resting [Ca2+]c is tightly regulated, and a transient increase of the [Ca2+]c initiates a signalling cascade in the cell. Ca2+ signalling plays an essential role in various processes, including growth, development, reproduction, tolerance to stress conditions, and virulence in fungi. In this review, we describe the evolutionary aspects of Ca2+ signalling and cell functions of major Ca2+ signalling proteins in different fungi.","author":[{"dropping-particle":"","family":"Roy","given":"Avishek","non-dropping-particle":"","parse-names":false,"suffix":""},{"dropping-particle":"","family":"Kumar","given":"Ajeet","non-dropping-particle":"","parse-names":false,"suffix":""},{"dropping-particle":"","family":"Baruah","given":"Darshana","non-dropping-particle":"","parse-names":false,"suffix":""},{"dropping-particle":"","family":"Tamuli","given":"Ranjan","non-dropping-particle":"","parse-names":false,"suffix":""}],"container-title":"Mycology","id":"ITEM-1","issue":"1","issued":{"date-parts":[["2021"]]},"page":"1-15","publisher":"Taylor &amp; Francis","title":"Calcium signaling is involved in diverse cellular processes in fungi","type":"article-journal","volume":"12"},"uris":["http://www.mendeley.com/documents/?uuid=9ff3143f-84ba-4fe6-9da8-712531b14162"]}],"mendeley":{"formattedCitation":"(Roy et al., 2021)","plainTextFormattedCitation":"(Roy et al., 2021)","previouslyFormattedCitation":"(Roy et al., 2021)"},"properties":{"noteIndex":0},"schema":"https://github.com/citation-style-language/schema/raw/master/csl-citation.json"}</w:instrText>
      </w:r>
      <w:r>
        <w:fldChar w:fldCharType="separate"/>
      </w:r>
      <w:r w:rsidRPr="008C21F1">
        <w:rPr>
          <w:noProof/>
        </w:rPr>
        <w:t>(Roy et al., 2021)</w:t>
      </w:r>
      <w:r>
        <w:fldChar w:fldCharType="end"/>
      </w:r>
      <w:r w:rsidR="00152C5F">
        <w:t xml:space="preserve">, </w:t>
      </w:r>
      <w:r>
        <w:t>includ</w:t>
      </w:r>
      <w:r w:rsidR="00152C5F">
        <w:t>ing</w:t>
      </w:r>
      <w:r>
        <w:t xml:space="preserve"> stimulating the oxidative metabolism within the mitochondria to regulate ATP synthesis </w:t>
      </w:r>
      <w:r>
        <w:fldChar w:fldCharType="begin" w:fldLock="1"/>
      </w:r>
      <w:r>
        <w:instrText>ADDIN CSL_CITATION {"citationItems":[{"id":"ITEM-1","itemData":{"DOI":"10.1016/j.ceca.2012.03.003","ISSN":"15321991","PMID":"22502861","abstract":"Stimulation of mitochondrial oxidative metabolism by Ca2+ is now generally recognised as important for the control of cellular ATP homeostasis. Here, we review the mechanisms through which Ca2+ regulates mitochondrial ATP synthesis. We focus on cardiac myocytes and pancreatic β-cells, where tight control of this process is likely to play an important role in the response to rapid changes in workload and to nutrient stimulation, respectively. We also describe a novel approach for imaging the Ca2+-dependent regulation of ATP levels dynamically in single cells. © 2012 Elsevier Ltd.","author":[{"dropping-particle":"","family":"Tarasov","given":"Andrei I.","non-dropping-particle":"","parse-names":false,"suffix":""},{"dropping-particle":"","family":"Griffiths","given":"Elinor J.","non-dropping-particle":"","parse-names":false,"suffix":""},{"dropping-particle":"","family":"Rutter","given":"Guy A.","non-dropping-particle":"","parse-names":false,"suffix":""}],"container-title":"Cell Calcium","id":"ITEM-1","issue":"1","issued":{"date-parts":[["2012"]]},"page":"28-35","publisher":"Elsevier Ltd","title":"Regulation of ATP production by mitochondrial Ca2+","type":"article-journal","volume":"52"},"uris":["http://www.mendeley.com/documents/?uuid=13a29385-0ba0-4bc6-b5fc-2e36b867b425"]}],"mendeley":{"formattedCitation":"(Tarasov et al., 2012)","plainTextFormattedCitation":"(Tarasov et al., 2012)","previouslyFormattedCitation":"(Tarasov et al., 2012)"},"properties":{"noteIndex":0},"schema":"https://github.com/citation-style-language/schema/raw/master/csl-citation.json"}</w:instrText>
      </w:r>
      <w:r>
        <w:fldChar w:fldCharType="separate"/>
      </w:r>
      <w:r w:rsidRPr="008C21F1">
        <w:rPr>
          <w:noProof/>
        </w:rPr>
        <w:t>(Tarasov et al., 2012)</w:t>
      </w:r>
      <w:r>
        <w:fldChar w:fldCharType="end"/>
      </w:r>
      <w:r>
        <w:t>. This Ca</w:t>
      </w:r>
      <w:r>
        <w:rPr>
          <w:vertAlign w:val="superscript"/>
        </w:rPr>
        <w:t>2+</w:t>
      </w:r>
      <w:r>
        <w:t xml:space="preserve"> homeostasis and </w:t>
      </w:r>
      <w:r w:rsidR="00252222">
        <w:t>signaling</w:t>
      </w:r>
      <w:r>
        <w:t xml:space="preserve"> have physiological implications for the growth, virulence, and stress responses in fungi </w:t>
      </w:r>
      <w:r>
        <w:fldChar w:fldCharType="begin" w:fldLock="1"/>
      </w:r>
      <w:r>
        <w:instrText>ADDIN CSL_CITATION {"citationItems":[{"id":"ITEM-1","itemData":{"DOI":"10.3389/fmicb.2019.03100","ISSN":"1664302X","abstract":"The key players of calcium (Ca2+) homeostasis and Ca2+ signal generation, which are Ca2+ channels, Ca2+/H+ antiporters, and Ca2+-ATPases, are present in all fungi. Their coordinated action maintains a low Ca2+ baseline, allows a fast increase in free Ca2+ concentration upon a stimulus, and terminates this Ca2+ elevation by an exponential decrease – hence forming a Ca2+ signal. In this respect, the Ca2+ signaling machinery is conserved in different fungi. However, does the similarity of the genetic inventory that shapes the Ca2+ peak imply that if “you’ve seen one, you’ve seen them all” in terms of physiological relevance? Individual studies have focused mostly on a single species, and mechanisms elucidated in few model organisms are usually extrapolated to other species. This mini-review focuses on the physiological relevance of the machinery that maintains Ca2+ homeostasis for growth, virulence, and stress responses. It reveals common and divergent functions of homologous proteins in different fungal species. In conclusion, for the physiological role of these Ca2+ transport proteins, “seen one,” in many cases, does not mean: “seen them all.”","author":[{"dropping-particle":"","family":"Lange","given":"Mario","non-dropping-particle":"","parse-names":false,"suffix":""},{"dropping-particle":"","family":"Peiter","given":"Edgar","non-dropping-particle":"","parse-names":false,"suffix":""}],"container-title":"Frontiers in Microbiology","id":"ITEM-1","issue":"January","issued":{"date-parts":[["2020"]]},"title":"Calcium Transport Proteins in Fungi: The Phylogenetic Diversity of Their Relevance for Growth, Virulence, and Stress Resistance","type":"article-journal","volume":"10"},"uris":["http://www.mendeley.com/documents/?uuid=37ca9628-d5ba-476c-a508-2abde440f8ba"]}],"mendeley":{"formattedCitation":"(Lange and Peiter, 2020)","plainTextFormattedCitation":"(Lange and Peiter, 2020)","previouslyFormattedCitation":"(Lange and Peiter, 2020)"},"properties":{"noteIndex":0},"schema":"https://github.com/citation-style-language/schema/raw/master/csl-citation.json"}</w:instrText>
      </w:r>
      <w:r>
        <w:fldChar w:fldCharType="separate"/>
      </w:r>
      <w:r w:rsidRPr="008C21F1">
        <w:rPr>
          <w:noProof/>
        </w:rPr>
        <w:t>(Lange and Peiter, 2020)</w:t>
      </w:r>
      <w:r>
        <w:fldChar w:fldCharType="end"/>
      </w:r>
      <w:r>
        <w:t>.</w:t>
      </w:r>
      <w:r w:rsidR="006B4D8D">
        <w:t xml:space="preserve"> These effects contributed to a significantly promoted </w:t>
      </w:r>
      <w:r w:rsidR="00252222">
        <w:t>rate</w:t>
      </w:r>
      <w:r w:rsidR="006B4D8D">
        <w:t xml:space="preserve"> of glucose transfer into the fungal biomass in Ca</w:t>
      </w:r>
      <w:r w:rsidR="006B4D8D">
        <w:rPr>
          <w:vertAlign w:val="superscript"/>
        </w:rPr>
        <w:t>2+</w:t>
      </w:r>
      <w:r w:rsidR="006B4D8D">
        <w:t xml:space="preserve"> stimulates fungi, while this same observation was not made for Mg</w:t>
      </w:r>
      <w:r w:rsidR="006B4D8D">
        <w:rPr>
          <w:vertAlign w:val="superscript"/>
        </w:rPr>
        <w:t>2+</w:t>
      </w:r>
      <w:r w:rsidR="006B4D8D">
        <w:t xml:space="preserve"> </w:t>
      </w:r>
      <w:r w:rsidR="006B4D8D">
        <w:fldChar w:fldCharType="begin" w:fldLock="1"/>
      </w:r>
      <w:r w:rsidR="002E47E5">
        <w:instrText>ADDIN CSL_CITATION {"citationItems":[{"id":"ITEM-1","itemData":{"DOI":"10.1111/j.1365-3040.1984.tb01437.x","ISSN":"0140-7791","abstract":"Abstract. Recently much experimental evidence has accumulated concerning intracellular calcium and its fundamental role as a regulator in eukaryotic cells. The literature relating to Ca2+ in fungi is large and diverse and this paper draws together the available information and discusses the particular functions of the ion in this group of organisms. Uptake mechanisms in fungi are considered with special reference to the effect of Ca2+ on permeability and the systems responsible for transport of ions, sugars and amino acids. Discussion of the subcellular locations and distribution of Ca2+ is accompanied by a critique of methodology used in determination of subcellular sites of Ca2+ in fungi. The role of Ca2+ in morphogenesis in fungi is considered with particular reference to selected groups. Copyright © 1984, Wiley Blackwell. All rights reserved","author":[{"dropping-particle":"","family":"Pitt","given":"D.","non-dropping-particle":"","parse-names":false,"suffix":""},{"dropping-particle":"","family":"Ugalde","given":"U. O.","non-dropping-particle":"","parse-names":false,"suffix":""}],"container-title":"Plant, Cell and Environment","id":"ITEM-1","issue":"6","issued":{"date-parts":[["1984","8"]]},"page":"467-475","title":"Calcium in fungi","type":"article-journal","volume":"7"},"uris":["http://www.mendeley.com/documents/?uuid=fd4a02ca-19dc-4ccf-8e3f-dbbd3720a7ab"]}],"mendeley":{"formattedCitation":"(Pitt and Ugalde, 1984)","plainTextFormattedCitation":"(Pitt and Ugalde, 1984)","previouslyFormattedCitation":"(Pitt and Ugalde, 1984)"},"properties":{"noteIndex":0},"schema":"https://github.com/citation-style-language/schema/raw/master/csl-citation.json"}</w:instrText>
      </w:r>
      <w:r w:rsidR="006B4D8D">
        <w:fldChar w:fldCharType="separate"/>
      </w:r>
      <w:r w:rsidR="002E47E5" w:rsidRPr="002E47E5">
        <w:rPr>
          <w:noProof/>
        </w:rPr>
        <w:t>(Pitt and Ugalde, 1984)</w:t>
      </w:r>
      <w:r w:rsidR="006B4D8D">
        <w:fldChar w:fldCharType="end"/>
      </w:r>
      <w:r w:rsidR="006B4D8D">
        <w:t>.</w:t>
      </w:r>
    </w:p>
    <w:p w14:paraId="0C70F6EE" w14:textId="102A02EE" w:rsidR="00A30C11" w:rsidRDefault="00A30C11" w:rsidP="00A30C11">
      <w:pPr>
        <w:pStyle w:val="CETBodytext"/>
        <w:rPr>
          <w:lang w:val="en-ZA"/>
        </w:rPr>
      </w:pPr>
      <w:r>
        <w:t>Applying th</w:t>
      </w:r>
      <w:r w:rsidR="00152C5F">
        <w:t>e observed results in</w:t>
      </w:r>
      <w:r w:rsidR="009F2F97">
        <w:t xml:space="preserve"> </w:t>
      </w:r>
      <w:r w:rsidR="009F2F97">
        <w:fldChar w:fldCharType="begin"/>
      </w:r>
      <w:r w:rsidR="009F2F97">
        <w:instrText xml:space="preserve"> REF _Ref105677539 \h </w:instrText>
      </w:r>
      <w:r w:rsidR="009F2F97">
        <w:fldChar w:fldCharType="separate"/>
      </w:r>
      <w:r w:rsidR="009F2F97">
        <w:t xml:space="preserve">Figure </w:t>
      </w:r>
      <w:r w:rsidR="009F2F97">
        <w:rPr>
          <w:noProof/>
        </w:rPr>
        <w:t>1</w:t>
      </w:r>
      <w:r w:rsidR="009F2F97">
        <w:fldChar w:fldCharType="end"/>
      </w:r>
      <w:r w:rsidR="00152C5F">
        <w:t xml:space="preserve"> and </w:t>
      </w:r>
      <w:r w:rsidR="00152C5F">
        <w:fldChar w:fldCharType="begin"/>
      </w:r>
      <w:r w:rsidR="00152C5F">
        <w:instrText xml:space="preserve"> REF _Ref93999798 \h </w:instrText>
      </w:r>
      <w:r w:rsidR="00152C5F">
        <w:fldChar w:fldCharType="separate"/>
      </w:r>
      <w:r w:rsidR="009F2F97">
        <w:t xml:space="preserve">Figure </w:t>
      </w:r>
      <w:r w:rsidR="009F2F97">
        <w:rPr>
          <w:noProof/>
        </w:rPr>
        <w:t>2</w:t>
      </w:r>
      <w:r w:rsidR="00152C5F">
        <w:fldChar w:fldCharType="end"/>
      </w:r>
      <w:r>
        <w:t xml:space="preserve"> to </w:t>
      </w:r>
      <w:r w:rsidRPr="008C21F1">
        <w:rPr>
          <w:i/>
          <w:iCs/>
        </w:rPr>
        <w:t xml:space="preserve">A. </w:t>
      </w:r>
      <w:proofErr w:type="spellStart"/>
      <w:r w:rsidRPr="008C21F1">
        <w:rPr>
          <w:i/>
          <w:iCs/>
        </w:rPr>
        <w:t>oryzae</w:t>
      </w:r>
      <w:proofErr w:type="spellEnd"/>
      <w:r>
        <w:t>, the symbiotic relationship between CaCO</w:t>
      </w:r>
      <w:r>
        <w:rPr>
          <w:vertAlign w:val="subscript"/>
        </w:rPr>
        <w:t>3</w:t>
      </w:r>
      <w:r>
        <w:t xml:space="preserve"> and malic acid could be explained using a calcareous environment as a reference point. </w:t>
      </w:r>
      <w:r>
        <w:rPr>
          <w:i/>
          <w:iCs/>
          <w:lang w:val="en-ZA"/>
        </w:rPr>
        <w:t xml:space="preserve">A. </w:t>
      </w:r>
      <w:proofErr w:type="spellStart"/>
      <w:r>
        <w:rPr>
          <w:i/>
          <w:iCs/>
          <w:lang w:val="en-ZA"/>
        </w:rPr>
        <w:t>oryzae</w:t>
      </w:r>
      <w:proofErr w:type="spellEnd"/>
      <w:r>
        <w:rPr>
          <w:lang w:val="en-ZA"/>
        </w:rPr>
        <w:t xml:space="preserve"> is part of a genus that is distinct from other microbes: they can </w:t>
      </w:r>
      <w:r w:rsidR="00252222">
        <w:rPr>
          <w:lang w:val="en-ZA"/>
        </w:rPr>
        <w:t>utilize</w:t>
      </w:r>
      <w:r>
        <w:rPr>
          <w:lang w:val="en-ZA"/>
        </w:rPr>
        <w:t xml:space="preserve"> both a secondary and primary metabolism </w:t>
      </w:r>
      <w:r>
        <w:rPr>
          <w:lang w:val="en-ZA"/>
        </w:rPr>
        <w:fldChar w:fldCharType="begin" w:fldLock="1"/>
      </w:r>
      <w:r w:rsidR="002E47E5">
        <w:rPr>
          <w:lang w:val="en-ZA"/>
        </w:rPr>
        <w:instrText>ADDIN CSL_CITATION {"citationItems":[{"id":"ITEM-1","itemData":{"DOI":"10.1073/pnas.93.25.14873","ISSN":"0027-8424","PMID":"8962148","abstract":"Aspergillus nidulans contains two functionally distinct fatty acid synthases (FASs): one required for primary fatty acid metabolism (FAS) and the other required for secondary metabolism (sFAS). FAS mutants require long-chain fatty acids for growth, whereas sFAS mutants grow normally but cannot synthesize sterigmatocystin (ST), a carcinogenic secondary metabolite structurally and biosynthetically related to aflatoxin. sFAS mutants regain the ability to synthesize ST when provided with hexanoic acid, supporting the model that the ST polyketide synthase uses this short-chain fatty acid as a starter unit. The characterization of both the polyketide synthase and FAS may provide novel means for modifying secondary metabolites.","author":[{"dropping-particle":"","family":"Brown","given":"D. W.","non-dropping-particle":"","parse-names":false,"suffix":""},{"dropping-particle":"","family":"Adams","given":"T. H.","non-dropping-particle":"","parse-names":false,"suffix":""},{"dropping-particle":"","family":"Keller","given":"N. P.","non-dropping-particle":"","parse-names":false,"suffix":""}],"container-title":"Proceedings of the National Academy of Sciences","id":"ITEM-1","issue":"25","issued":{"date-parts":[["1996","12","10"]]},"page":"14873-14877","title":"Aspergillus has distinct fatty acid synthases for primary and secondary metabolism","type":"article-journal","volume":"93"},"uris":["http://www.mendeley.com/documents/?uuid=2d58cdea-a36d-48f4-8d0c-5d239faeacf8"]}],"mendeley":{"formattedCitation":"(Brown et al., 1996)","plainTextFormattedCitation":"(Brown et al., 1996)","previouslyFormattedCitation":"(Brown et al., 1996)"},"properties":{"noteIndex":0},"schema":"https://github.com/citation-style-language/schema/raw/master/csl-citation.json"}</w:instrText>
      </w:r>
      <w:r>
        <w:rPr>
          <w:lang w:val="en-ZA"/>
        </w:rPr>
        <w:fldChar w:fldCharType="separate"/>
      </w:r>
      <w:r w:rsidRPr="008C21F1">
        <w:rPr>
          <w:noProof/>
          <w:lang w:val="en-ZA"/>
        </w:rPr>
        <w:t>(Brown et al., 1996)</w:t>
      </w:r>
      <w:r>
        <w:rPr>
          <w:lang w:val="en-ZA"/>
        </w:rPr>
        <w:fldChar w:fldCharType="end"/>
      </w:r>
      <w:r>
        <w:rPr>
          <w:lang w:val="en-ZA"/>
        </w:rPr>
        <w:t xml:space="preserve">. In the primary metabolism, acidic compounds are secreted for nutrient acquisition from the soil </w:t>
      </w:r>
      <w:r>
        <w:rPr>
          <w:lang w:val="en-ZA"/>
        </w:rPr>
        <w:fldChar w:fldCharType="begin" w:fldLock="1"/>
      </w:r>
      <w:r>
        <w:rPr>
          <w:lang w:val="en-ZA"/>
        </w:rPr>
        <w:instrText>ADDIN CSL_CITATION {"citationItems":[{"id":"ITEM-1","itemData":{"DOI":"10.1080/00380768.2018.1537093","ISSN":"17470765","abstract":"The beneficial effects of organic acids (OAs) excretion from plant roots were first proposed as being associated with the mechanism of superior phosphorus utilization by the cluster roots of white lupin (Lupinus albus L.), and these effects are now widely accepted as pleiotropic effects associated with stress tolerance of plants. Excreted OAs detoxify rhizotoxic aluminum, recruit beneficial bacterium for induced systemic resistance, and modify root architecture to enhance phosphorus starvation. OA excretion is probably optimized in the carbon economy and is coordinately regulated with other traits that additively confer each stress factor. Here we present an overview of the molecular physiology of OA excretion from roots, how plants activate OA excretion, and how this excretion can be managed as a specific response.","author":[{"dropping-particle":"","family":"Wu","given":"Liujie","non-dropping-particle":"","parse-names":false,"suffix":""},{"dropping-particle":"","family":"Kobayashi","given":"Yuriko","non-dropping-particle":"","parse-names":false,"suffix":""},{"dropping-particle":"","family":"Wasaki","given":"Jun","non-dropping-particle":"","parse-names":false,"suffix":""},{"dropping-particle":"","family":"Koyama","given":"Hiroyuki","non-dropping-particle":"","parse-names":false,"suffix":""}],"container-title":"Soil Science and Plant Nutrition","id":"ITEM-1","issue":"6","issued":{"date-parts":[["2018"]]},"page":"697-704","publisher":"Taylor &amp; Francis","title":"Organic acid excretion from roots: a plant mechanism for enhancing phosphorus acquisition, enhancing aluminum tolerance, and recruiting beneficial rhizobacteria","type":"article-journal","volume":"64"},"uris":["http://www.mendeley.com/documents/?uuid=2155f4b6-ec91-4bcc-967e-e5b3b6550a4f"]}],"mendeley":{"formattedCitation":"(Wu et al., 2018)","plainTextFormattedCitation":"(Wu et al., 2018)","previouslyFormattedCitation":"(Wu et al., 2018)"},"properties":{"noteIndex":0},"schema":"https://github.com/citation-style-language/schema/raw/master/csl-citation.json"}</w:instrText>
      </w:r>
      <w:r>
        <w:rPr>
          <w:lang w:val="en-ZA"/>
        </w:rPr>
        <w:fldChar w:fldCharType="separate"/>
      </w:r>
      <w:r w:rsidRPr="008C21F1">
        <w:rPr>
          <w:noProof/>
          <w:lang w:val="en-ZA"/>
        </w:rPr>
        <w:t>(Wu et al., 2018)</w:t>
      </w:r>
      <w:r>
        <w:rPr>
          <w:lang w:val="en-ZA"/>
        </w:rPr>
        <w:fldChar w:fldCharType="end"/>
      </w:r>
      <w:r>
        <w:rPr>
          <w:lang w:val="en-ZA"/>
        </w:rPr>
        <w:t>. Specifically, for the extraction of phosphorous where Ca</w:t>
      </w:r>
      <w:r>
        <w:rPr>
          <w:vertAlign w:val="superscript"/>
          <w:lang w:val="en-ZA"/>
        </w:rPr>
        <w:t>2+</w:t>
      </w:r>
      <w:r>
        <w:rPr>
          <w:lang w:val="en-ZA"/>
        </w:rPr>
        <w:t xml:space="preserve"> sequesters phosphorus, malate improved the efficiency of phosphorus extraction from the soil </w:t>
      </w:r>
      <w:r>
        <w:rPr>
          <w:lang w:val="en-ZA"/>
        </w:rPr>
        <w:fldChar w:fldCharType="begin" w:fldLock="1"/>
      </w:r>
      <w:r w:rsidR="00C01191">
        <w:rPr>
          <w:lang w:val="en-ZA"/>
        </w:rPr>
        <w:instrText>ADDIN CSL_CITATION {"citationItems":[{"id":"ITEM-1","itemData":{"DOI":"10.1016/j.soilbio.2005.03.009","ISSN":"00380717","abstract":"Calcareous soils are frequently characterized by the low bioavailability of plant nutrients. Consequently, many vascular plant species are unable to successfully colonize calcareous sites and the floristic composition of calcareous and acid silicate soils has been shown to differ markedly. The root exudation of oxalate and citrate has been suggested to play a pivotal role in same nutrient acquisition mechanisms operating in calcareous soils. The aim of this study was therefore to investigate the nutrient extraction efficiency of three individual organic acids commonly identified in root exudates, i.e. citric, malic and oxalic acid. Our results clearly demonstrate the context dependent nature of nutrient release by organic acids. The degree of P extraction was highly dependent on which organic acid was added, their concentration and pH, and their contact time with the soil. P is generally more efficiently extracted by organic acids at a high pH and follows the series oxalate&gt;citrate&gt;malate. The opposite relationship between pH and extraction efficiency was apparent for most other cations examined (e.g. Zn, Fe), which are more efficiently extracted by organic acids at low pH. A serious constraint to the ecological importance of organic acid exudation in response to P deficiency is, however, their very low P mobilization efficiency. For every mol of soil P mobilized, 1000 mol of organic acid has to be added. It can, however, be speculated that in a calcareous soil with extremely low P concentrations it is still beneficial to the plants to exude organic acids in spite of the seemingly high costs in terms of carbon. © 2005 Elsevier Ltd. All rights reserved.","author":[{"dropping-particle":"","family":"Ström","given":"Lena","non-dropping-particle":"","parse-names":false,"suffix":""},{"dropping-particle":"","family":"Owen","given":"Andrew G.","non-dropping-particle":"","parse-names":false,"suffix":""},{"dropping-particle":"","family":"Godbold","given":"Douglas L.","non-dropping-particle":"","parse-names":false,"suffix":""},{"dropping-particle":"","family":"Jones","given":"David L.","non-dropping-particle":"","parse-names":false,"suffix":""}],"container-title":"Soil Biology and Biochemistry","id":"ITEM-1","issue":"11","issued":{"date-parts":[["2005","11"]]},"page":"2046-2054","title":"Organic acid behaviour in a calcareous soil implications for rhizosphere nutrient cycling","type":"article-journal","volume":"37"},"uris":["http://www.mendeley.com/documents/?uuid=ce328dcc-1538-485f-91ab-00016f6edab4"]}],"mendeley":{"formattedCitation":"(Ström et al., 2005)","plainTextFormattedCitation":"(Ström et al., 2005)","previouslyFormattedCitation":"(Ström et al., 2005)"},"properties":{"noteIndex":0},"schema":"https://github.com/citation-style-language/schema/raw/master/csl-citation.json"}</w:instrText>
      </w:r>
      <w:r>
        <w:rPr>
          <w:lang w:val="en-ZA"/>
        </w:rPr>
        <w:fldChar w:fldCharType="separate"/>
      </w:r>
      <w:r w:rsidRPr="008C21F1">
        <w:rPr>
          <w:noProof/>
          <w:lang w:val="en-ZA"/>
        </w:rPr>
        <w:t>(Ström et al., 2005)</w:t>
      </w:r>
      <w:r>
        <w:rPr>
          <w:lang w:val="en-ZA"/>
        </w:rPr>
        <w:fldChar w:fldCharType="end"/>
      </w:r>
      <w:r>
        <w:rPr>
          <w:lang w:val="en-ZA"/>
        </w:rPr>
        <w:t xml:space="preserve">. The secondary metabolism can </w:t>
      </w:r>
      <w:r w:rsidR="00252222">
        <w:rPr>
          <w:lang w:val="en-ZA"/>
        </w:rPr>
        <w:t>utilize</w:t>
      </w:r>
      <w:r>
        <w:rPr>
          <w:lang w:val="en-ZA"/>
        </w:rPr>
        <w:t xml:space="preserve"> the acidic compounds from the primary metabolism. This allows </w:t>
      </w:r>
      <w:r>
        <w:rPr>
          <w:i/>
          <w:iCs/>
          <w:lang w:val="en-ZA"/>
        </w:rPr>
        <w:t xml:space="preserve">A. </w:t>
      </w:r>
      <w:proofErr w:type="spellStart"/>
      <w:r>
        <w:rPr>
          <w:i/>
          <w:iCs/>
          <w:lang w:val="en-ZA"/>
        </w:rPr>
        <w:t>oryzae</w:t>
      </w:r>
      <w:proofErr w:type="spellEnd"/>
      <w:r>
        <w:rPr>
          <w:lang w:val="en-ZA"/>
        </w:rPr>
        <w:t xml:space="preserve"> to produce secondary metabolites that it can </w:t>
      </w:r>
      <w:r w:rsidR="00252222">
        <w:rPr>
          <w:lang w:val="en-ZA"/>
        </w:rPr>
        <w:t>utilize</w:t>
      </w:r>
      <w:r>
        <w:rPr>
          <w:lang w:val="en-ZA"/>
        </w:rPr>
        <w:t xml:space="preserve"> to adapt to its current environment and inhibit the primary metabolic pathways </w:t>
      </w:r>
      <w:r>
        <w:rPr>
          <w:lang w:val="en-ZA"/>
        </w:rPr>
        <w:fldChar w:fldCharType="begin" w:fldLock="1"/>
      </w:r>
      <w:r w:rsidR="002E47E5">
        <w:rPr>
          <w:lang w:val="en-ZA"/>
        </w:rPr>
        <w:instrText>ADDIN CSL_CITATION {"citationItems":[{"id":"ITEM-1","itemData":{"DOI":"10.1073/pnas.93.25.14873","ISSN":"0027-8424","PMID":"8962148","abstract":"Aspergillus nidulans contains two functionally distinct fatty acid synthases (FASs): one required for primary fatty acid metabolism (FAS) and the other required for secondary metabolism (sFAS). FAS mutants require long-chain fatty acids for growth, whereas sFAS mutants grow normally but cannot synthesize sterigmatocystin (ST), a carcinogenic secondary metabolite structurally and biosynthetically related to aflatoxin. sFAS mutants regain the ability to synthesize ST when provided with hexanoic acid, supporting the model that the ST polyketide synthase uses this short-chain fatty acid as a starter unit. The characterization of both the polyketide synthase and FAS may provide novel means for modifying secondary metabolites.","author":[{"dropping-particle":"","family":"Brown","given":"D. W.","non-dropping-particle":"","parse-names":false,"suffix":""},{"dropping-particle":"","family":"Adams","given":"T. H.","non-dropping-particle":"","parse-names":false,"suffix":""},{"dropping-particle":"","family":"Keller","given":"N. P.","non-dropping-particle":"","parse-names":false,"suffix":""}],"container-title":"Proceedings of the National Academy of Sciences","id":"ITEM-1","issue":"25","issued":{"date-parts":[["1996","12","10"]]},"page":"14873-14877","title":"Aspergillus has distinct fatty acid synthases for primary and secondary metabolism","type":"article-journal","volume":"93"},"uris":["http://www.mendeley.com/documents/?uuid=2d58cdea-a36d-48f4-8d0c-5d239faeacf8"]}],"mendeley":{"formattedCitation":"(Brown et al., 1996)","plainTextFormattedCitation":"(Brown et al., 1996)","previouslyFormattedCitation":"(Brown et al., 1996)"},"properties":{"noteIndex":0},"schema":"https://github.com/citation-style-language/schema/raw/master/csl-citation.json"}</w:instrText>
      </w:r>
      <w:r>
        <w:rPr>
          <w:lang w:val="en-ZA"/>
        </w:rPr>
        <w:fldChar w:fldCharType="separate"/>
      </w:r>
      <w:r w:rsidRPr="008C21F1">
        <w:rPr>
          <w:noProof/>
          <w:lang w:val="en-ZA"/>
        </w:rPr>
        <w:t>(Brown et al., 1996)</w:t>
      </w:r>
      <w:r>
        <w:rPr>
          <w:lang w:val="en-ZA"/>
        </w:rPr>
        <w:fldChar w:fldCharType="end"/>
      </w:r>
      <w:r>
        <w:rPr>
          <w:lang w:val="en-ZA"/>
        </w:rPr>
        <w:t xml:space="preserve">. </w:t>
      </w:r>
    </w:p>
    <w:p w14:paraId="64BDAD79" w14:textId="52DBCE1B" w:rsidR="00A30C11" w:rsidRPr="003A7512" w:rsidRDefault="00A30C11" w:rsidP="00A30C11">
      <w:pPr>
        <w:pStyle w:val="CETBodytext"/>
        <w:rPr>
          <w:lang w:val="en-ZA"/>
        </w:rPr>
      </w:pPr>
      <w:r>
        <w:rPr>
          <w:lang w:val="en-ZA"/>
        </w:rPr>
        <w:t>MgCO</w:t>
      </w:r>
      <w:r>
        <w:rPr>
          <w:vertAlign w:val="subscript"/>
          <w:lang w:val="en-ZA"/>
        </w:rPr>
        <w:t>3</w:t>
      </w:r>
      <w:r>
        <w:rPr>
          <w:lang w:val="en-ZA"/>
        </w:rPr>
        <w:t xml:space="preserve"> would act similarly when considering a dolomitic soil environment where phosphate would be sequestered by the Mg</w:t>
      </w:r>
      <w:r>
        <w:rPr>
          <w:vertAlign w:val="superscript"/>
          <w:lang w:val="en-ZA"/>
        </w:rPr>
        <w:t>2+</w:t>
      </w:r>
      <w:r>
        <w:rPr>
          <w:lang w:val="en-ZA"/>
        </w:rPr>
        <w:t xml:space="preserve"> and require a release for phosphorus uptake by the fungi. </w:t>
      </w:r>
      <w:r w:rsidR="006B4D8D">
        <w:rPr>
          <w:lang w:val="en-ZA"/>
        </w:rPr>
        <w:t>However, the reduced stimulation of the fungal physiology as compared to the CaCO</w:t>
      </w:r>
      <w:r w:rsidR="006B4D8D">
        <w:rPr>
          <w:vertAlign w:val="subscript"/>
          <w:lang w:val="en-ZA"/>
        </w:rPr>
        <w:t>3</w:t>
      </w:r>
      <w:r w:rsidR="006B4D8D">
        <w:rPr>
          <w:lang w:val="en-ZA"/>
        </w:rPr>
        <w:t xml:space="preserve"> system resulted in a less pronounced effect of Mg</w:t>
      </w:r>
      <w:r w:rsidR="006B4D8D">
        <w:rPr>
          <w:vertAlign w:val="superscript"/>
          <w:lang w:val="en-ZA"/>
        </w:rPr>
        <w:t>2+</w:t>
      </w:r>
      <w:r w:rsidR="006B4D8D">
        <w:rPr>
          <w:lang w:val="en-ZA"/>
        </w:rPr>
        <w:t xml:space="preserve"> on the system.</w:t>
      </w:r>
      <w:r>
        <w:rPr>
          <w:lang w:val="en-ZA"/>
        </w:rPr>
        <w:t xml:space="preserve"> This could be tested in the </w:t>
      </w:r>
      <w:r w:rsidR="00252222">
        <w:rPr>
          <w:lang w:val="en-ZA"/>
        </w:rPr>
        <w:t>immobilized</w:t>
      </w:r>
      <w:r>
        <w:rPr>
          <w:lang w:val="en-ZA"/>
        </w:rPr>
        <w:t xml:space="preserve"> bio-reactor using NaOH/Na</w:t>
      </w:r>
      <w:r>
        <w:rPr>
          <w:vertAlign w:val="subscript"/>
          <w:lang w:val="en-ZA"/>
        </w:rPr>
        <w:t>2</w:t>
      </w:r>
      <w:r>
        <w:rPr>
          <w:lang w:val="en-ZA"/>
        </w:rPr>
        <w:t>CO</w:t>
      </w:r>
      <w:r>
        <w:rPr>
          <w:vertAlign w:val="subscript"/>
          <w:lang w:val="en-ZA"/>
        </w:rPr>
        <w:t>3</w:t>
      </w:r>
      <w:r>
        <w:rPr>
          <w:lang w:val="en-ZA"/>
        </w:rPr>
        <w:t xml:space="preserve"> to control the pH and spiking with CaCl</w:t>
      </w:r>
      <w:r>
        <w:rPr>
          <w:vertAlign w:val="subscript"/>
          <w:lang w:val="en-ZA"/>
        </w:rPr>
        <w:t>2</w:t>
      </w:r>
      <w:r w:rsidR="00152C5F">
        <w:t xml:space="preserve"> </w:t>
      </w:r>
      <w:r w:rsidR="00152C5F" w:rsidRPr="00152C5F">
        <w:t>or</w:t>
      </w:r>
      <w:r w:rsidR="00152C5F">
        <w:rPr>
          <w:lang w:val="en-ZA"/>
        </w:rPr>
        <w:t xml:space="preserve"> MgCl</w:t>
      </w:r>
      <w:r w:rsidR="00152C5F">
        <w:rPr>
          <w:vertAlign w:val="subscript"/>
          <w:lang w:val="en-ZA"/>
        </w:rPr>
        <w:t>2</w:t>
      </w:r>
      <w:r>
        <w:rPr>
          <w:lang w:val="en-ZA"/>
        </w:rPr>
        <w:t>.</w:t>
      </w:r>
    </w:p>
    <w:p w14:paraId="5AF8B30C" w14:textId="77777777" w:rsidR="005103F4" w:rsidRDefault="005103F4" w:rsidP="005103F4">
      <w:pPr>
        <w:pStyle w:val="CETHeading1"/>
        <w:tabs>
          <w:tab w:val="num" w:pos="360"/>
        </w:tabs>
        <w:rPr>
          <w:lang w:val="en-ZA"/>
        </w:rPr>
      </w:pPr>
      <w:bookmarkStart w:id="17" w:name="_Toc77324348"/>
      <w:r>
        <w:rPr>
          <w:lang w:val="en-ZA"/>
        </w:rPr>
        <w:t>Conclusions</w:t>
      </w:r>
      <w:bookmarkEnd w:id="17"/>
    </w:p>
    <w:p w14:paraId="5E0C2A26" w14:textId="7A544E1B" w:rsidR="00625D12" w:rsidRPr="0047228E" w:rsidRDefault="00C85ED9" w:rsidP="005103F4">
      <w:pPr>
        <w:pStyle w:val="CETBodytext"/>
      </w:pPr>
      <w:r>
        <w:t>The study presents an investigation of the effect of alkaline earth buffer (</w:t>
      </w:r>
      <w:r>
        <w:t>Ca</w:t>
      </w:r>
      <w:r w:rsidRPr="00C85ED9">
        <w:t>CO</w:t>
      </w:r>
      <w:r w:rsidRPr="00C85ED9">
        <w:rPr>
          <w:vertAlign w:val="subscript"/>
        </w:rPr>
        <w:t>3</w:t>
      </w:r>
      <w:r>
        <w:t xml:space="preserve"> and Mg</w:t>
      </w:r>
      <w:r w:rsidRPr="00C85ED9">
        <w:t>CO</w:t>
      </w:r>
      <w:r w:rsidRPr="00C85ED9">
        <w:rPr>
          <w:vertAlign w:val="subscript"/>
        </w:rPr>
        <w:t>3</w:t>
      </w:r>
      <w:r>
        <w:t xml:space="preserve">) on the production of malic acid by </w:t>
      </w:r>
      <w:r>
        <w:rPr>
          <w:i/>
        </w:rPr>
        <w:t xml:space="preserve">A. </w:t>
      </w:r>
      <w:proofErr w:type="spellStart"/>
      <w:r w:rsidRPr="00C85ED9">
        <w:rPr>
          <w:i/>
        </w:rPr>
        <w:t>oryzae</w:t>
      </w:r>
      <w:proofErr w:type="spellEnd"/>
      <w:r w:rsidRPr="00C85ED9">
        <w:rPr>
          <w:i/>
        </w:rPr>
        <w:t xml:space="preserve"> </w:t>
      </w:r>
      <w:r>
        <w:t xml:space="preserve">in a batch bioreaction system. </w:t>
      </w:r>
      <w:r w:rsidR="005103F4" w:rsidRPr="00C85ED9">
        <w:t>Based</w:t>
      </w:r>
      <w:r w:rsidR="005103F4">
        <w:t xml:space="preserve"> on the results, </w:t>
      </w:r>
      <w:r w:rsidR="00252222">
        <w:t>alkaline-earth</w:t>
      </w:r>
      <w:r w:rsidR="005103F4">
        <w:t xml:space="preserve"> metals </w:t>
      </w:r>
      <w:r w:rsidR="00252222">
        <w:t>play</w:t>
      </w:r>
      <w:r w:rsidR="005103F4">
        <w:t xml:space="preserve"> a key role in the production rate of malic acid with </w:t>
      </w:r>
      <w:r w:rsidR="005103F4">
        <w:rPr>
          <w:i/>
          <w:iCs/>
        </w:rPr>
        <w:t xml:space="preserve">A. </w:t>
      </w:r>
      <w:proofErr w:type="spellStart"/>
      <w:r w:rsidR="005103F4">
        <w:rPr>
          <w:i/>
          <w:iCs/>
        </w:rPr>
        <w:t>oryzae</w:t>
      </w:r>
      <w:proofErr w:type="spellEnd"/>
      <w:r w:rsidR="005103F4">
        <w:t xml:space="preserve"> NRRL 3488. The glucose consumption and </w:t>
      </w:r>
      <w:r w:rsidR="00252222">
        <w:t>utilization</w:t>
      </w:r>
      <w:r w:rsidR="005103F4">
        <w:t xml:space="preserve"> were higher when CaCO</w:t>
      </w:r>
      <w:r w:rsidR="005103F4">
        <w:rPr>
          <w:vertAlign w:val="subscript"/>
        </w:rPr>
        <w:t>3</w:t>
      </w:r>
      <w:r w:rsidR="005103F4">
        <w:t xml:space="preserve"> was used as a buffer compared to MgCO</w:t>
      </w:r>
      <w:r w:rsidR="005103F4">
        <w:rPr>
          <w:vertAlign w:val="subscript"/>
        </w:rPr>
        <w:t>3</w:t>
      </w:r>
      <w:r w:rsidR="005103F4">
        <w:t>, however, similar amounts of malic acid were produced.</w:t>
      </w:r>
      <w:r>
        <w:t xml:space="preserve"> T</w:t>
      </w:r>
      <w:r>
        <w:t xml:space="preserve">his study provides invaluable insights into this potentially lucrative yet relatively simple avenue for the improvement of malic acid production by </w:t>
      </w:r>
      <w:r w:rsidRPr="0047228E">
        <w:rPr>
          <w:i/>
        </w:rPr>
        <w:t xml:space="preserve">A. </w:t>
      </w:r>
      <w:proofErr w:type="spellStart"/>
      <w:r w:rsidRPr="0047228E">
        <w:rPr>
          <w:i/>
        </w:rPr>
        <w:t>oryzae</w:t>
      </w:r>
      <w:proofErr w:type="spellEnd"/>
      <w:r>
        <w:t>.</w:t>
      </w:r>
      <w:r>
        <w:t xml:space="preserve"> However, it is clear that the production of malic acid by </w:t>
      </w:r>
      <w:r w:rsidRPr="00C85ED9">
        <w:rPr>
          <w:i/>
        </w:rPr>
        <w:t xml:space="preserve">A. </w:t>
      </w:r>
      <w:proofErr w:type="spellStart"/>
      <w:r w:rsidRPr="00C85ED9">
        <w:rPr>
          <w:i/>
        </w:rPr>
        <w:t>oryzae</w:t>
      </w:r>
      <w:proofErr w:type="spellEnd"/>
      <w:r>
        <w:t xml:space="preserve"> is a complex, multi-faceted problem requiring understanding of the physiological interactions of the biocatalyst with its environment. The current study is limited to a batch reaction system at laboratory scale and therefore larger scale study is an imperative before</w:t>
      </w:r>
      <w:bookmarkStart w:id="18" w:name="_GoBack"/>
      <w:bookmarkEnd w:id="18"/>
      <w:r>
        <w:t xml:space="preserve"> real-world application can be </w:t>
      </w:r>
      <w:proofErr w:type="spellStart"/>
      <w:r>
        <w:t>realised</w:t>
      </w:r>
      <w:proofErr w:type="spellEnd"/>
      <w:r>
        <w:t xml:space="preserve">. </w:t>
      </w:r>
    </w:p>
    <w:p w14:paraId="07A6D20F" w14:textId="0ECF229E" w:rsidR="00280FAF" w:rsidRPr="00280FAF" w:rsidRDefault="00280FAF" w:rsidP="00280FAF">
      <w:pPr>
        <w:pStyle w:val="CETHeadingxx"/>
        <w:rPr>
          <w:lang w:val="en-GB"/>
        </w:rPr>
        <w:sectPr w:rsidR="00280FAF" w:rsidRPr="00280FAF" w:rsidSect="00B57E6F">
          <w:type w:val="continuous"/>
          <w:pgSz w:w="11906" w:h="16838" w:code="9"/>
          <w:pgMar w:top="1701" w:right="1418" w:bottom="1701" w:left="1701" w:header="1701" w:footer="0" w:gutter="0"/>
          <w:cols w:space="708"/>
          <w:formProt w:val="0"/>
          <w:titlePg/>
          <w:docGrid w:linePitch="360"/>
        </w:sectPr>
      </w:pPr>
      <w:r>
        <w:t>Nomenclature</w:t>
      </w:r>
    </w:p>
    <w:p w14:paraId="40112536" w14:textId="59D85713" w:rsidR="00152C5F" w:rsidRDefault="00625D12" w:rsidP="00152C5F">
      <w:pPr>
        <w:pStyle w:val="CETBodytext"/>
        <w:jc w:val="left"/>
        <w:rPr>
          <w:rFonts w:eastAsia="SimSun"/>
          <w:vertAlign w:val="subscript"/>
        </w:rPr>
      </w:pPr>
      <w:r w:rsidRPr="00625D12">
        <w:rPr>
          <w:rFonts w:eastAsia="SimSun"/>
          <w:i/>
        </w:rPr>
        <w:t>C</w:t>
      </w:r>
      <w:r w:rsidR="00152C5F">
        <w:rPr>
          <w:rFonts w:eastAsia="SimSun"/>
          <w:i/>
          <w:vertAlign w:val="subscript"/>
        </w:rPr>
        <w:t>i</w:t>
      </w:r>
      <w:r w:rsidRPr="00625D12">
        <w:rPr>
          <w:rFonts w:eastAsia="SimSun"/>
          <w:i/>
        </w:rPr>
        <w:t>(</w:t>
      </w:r>
      <w:r w:rsidR="00A30C11">
        <w:rPr>
          <w:rFonts w:eastAsia="SimSun"/>
          <w:i/>
        </w:rPr>
        <w:t>t</w:t>
      </w:r>
      <w:r w:rsidRPr="00625D12">
        <w:rPr>
          <w:rFonts w:eastAsia="SimSun"/>
          <w:i/>
        </w:rPr>
        <w:t>)</w:t>
      </w:r>
      <w:r w:rsidR="00280FAF" w:rsidRPr="00280FAF">
        <w:rPr>
          <w:rFonts w:eastAsia="SimSun"/>
        </w:rPr>
        <w:t xml:space="preserve"> – </w:t>
      </w:r>
      <w:r w:rsidR="00252222">
        <w:rPr>
          <w:rFonts w:eastAsia="SimSun"/>
        </w:rPr>
        <w:t>time-dependent</w:t>
      </w:r>
      <w:r>
        <w:rPr>
          <w:rFonts w:eastAsia="SimSun"/>
        </w:rPr>
        <w:t xml:space="preserve"> </w:t>
      </w:r>
      <w:r w:rsidR="00152C5F" w:rsidRPr="00774479">
        <w:t xml:space="preserve">concentration of </w:t>
      </w:r>
      <w:r w:rsidR="00152C5F">
        <w:t xml:space="preserve">component </w:t>
      </w:r>
      <w:r w:rsidR="00252222">
        <w:rPr>
          <w:i/>
        </w:rPr>
        <w:t>I</w:t>
      </w:r>
      <w:r w:rsidR="00152C5F">
        <w:t xml:space="preserve">, </w:t>
      </w:r>
      <w:r w:rsidR="00152C5F">
        <w:rPr>
          <w:rFonts w:eastAsia="SimSun"/>
        </w:rPr>
        <w:t>g/</w:t>
      </w:r>
      <w:r w:rsidR="00431B6C">
        <w:rPr>
          <w:rFonts w:eastAsia="SimSun"/>
        </w:rPr>
        <w:t>l</w:t>
      </w:r>
    </w:p>
    <w:p w14:paraId="340ADC4D" w14:textId="3D205FB2" w:rsidR="00625D12" w:rsidRDefault="00625D12" w:rsidP="00280FAF">
      <w:pPr>
        <w:pStyle w:val="CETBodytext"/>
        <w:jc w:val="left"/>
        <w:rPr>
          <w:rFonts w:eastAsia="SimSun"/>
          <w:vertAlign w:val="subscript"/>
        </w:rPr>
      </w:pPr>
      <w:r w:rsidRPr="00625D12">
        <w:rPr>
          <w:rFonts w:eastAsia="SimSun"/>
          <w:i/>
        </w:rPr>
        <w:t>C</w:t>
      </w:r>
      <w:r w:rsidR="00152C5F" w:rsidRPr="00152C5F">
        <w:rPr>
          <w:rFonts w:eastAsia="SimSun"/>
          <w:i/>
          <w:vertAlign w:val="subscript"/>
        </w:rPr>
        <w:t>i</w:t>
      </w:r>
      <w:r w:rsidR="00152C5F">
        <w:rPr>
          <w:rFonts w:eastAsia="SimSun"/>
          <w:i/>
        </w:rPr>
        <w:t>,</w:t>
      </w:r>
      <w:r w:rsidR="00252222">
        <w:rPr>
          <w:rFonts w:eastAsia="SimSun"/>
          <w:i/>
        </w:rPr>
        <w:t xml:space="preserve"> </w:t>
      </w:r>
      <w:r w:rsidRPr="00625D12">
        <w:rPr>
          <w:rFonts w:eastAsia="SimSun"/>
          <w:i/>
          <w:vertAlign w:val="subscript"/>
        </w:rPr>
        <w:t>min</w:t>
      </w:r>
      <w:r>
        <w:rPr>
          <w:rFonts w:eastAsia="SimSun"/>
          <w:vertAlign w:val="subscript"/>
        </w:rPr>
        <w:t xml:space="preserve"> </w:t>
      </w:r>
      <w:r w:rsidR="00986600">
        <w:rPr>
          <w:rFonts w:eastAsia="SimSun"/>
          <w:vertAlign w:val="subscript"/>
        </w:rPr>
        <w:t>-</w:t>
      </w:r>
      <w:r w:rsidRPr="00280FAF">
        <w:rPr>
          <w:rFonts w:eastAsia="SimSun"/>
        </w:rPr>
        <w:t>–</w:t>
      </w:r>
      <w:r>
        <w:rPr>
          <w:rFonts w:eastAsia="SimSun"/>
          <w:vertAlign w:val="subscript"/>
        </w:rPr>
        <w:t xml:space="preserve"> </w:t>
      </w:r>
      <w:r w:rsidRPr="00774479">
        <w:t xml:space="preserve">minimum concentration of </w:t>
      </w:r>
      <w:r w:rsidR="00152C5F">
        <w:t xml:space="preserve">component </w:t>
      </w:r>
      <w:r w:rsidR="00252222">
        <w:rPr>
          <w:i/>
        </w:rPr>
        <w:t>I</w:t>
      </w:r>
      <w:r>
        <w:t xml:space="preserve">, </w:t>
      </w:r>
      <w:r>
        <w:rPr>
          <w:rFonts w:eastAsia="SimSun"/>
        </w:rPr>
        <w:t>g/</w:t>
      </w:r>
      <w:r w:rsidR="00973ECB">
        <w:rPr>
          <w:rFonts w:eastAsia="SimSun"/>
        </w:rPr>
        <w:t>l</w:t>
      </w:r>
    </w:p>
    <w:p w14:paraId="7D705560" w14:textId="2D2D4798" w:rsidR="00152C5F" w:rsidRDefault="00625D12" w:rsidP="00152C5F">
      <w:pPr>
        <w:pStyle w:val="CETBodytext"/>
        <w:jc w:val="left"/>
        <w:rPr>
          <w:rFonts w:eastAsia="SimSun"/>
          <w:vertAlign w:val="subscript"/>
        </w:rPr>
      </w:pPr>
      <w:r w:rsidRPr="00625D12">
        <w:rPr>
          <w:rFonts w:eastAsia="SimSun"/>
          <w:i/>
        </w:rPr>
        <w:t>C</w:t>
      </w:r>
      <w:r w:rsidR="00152C5F" w:rsidRPr="00152C5F">
        <w:rPr>
          <w:rFonts w:eastAsia="SimSun"/>
          <w:i/>
          <w:vertAlign w:val="subscript"/>
        </w:rPr>
        <w:t>i,</w:t>
      </w:r>
      <w:r w:rsidR="00252222">
        <w:rPr>
          <w:rFonts w:eastAsia="SimSun"/>
          <w:i/>
          <w:vertAlign w:val="subscript"/>
        </w:rPr>
        <w:t xml:space="preserve"> </w:t>
      </w:r>
      <w:r w:rsidRPr="00625D12">
        <w:rPr>
          <w:rFonts w:eastAsia="SimSun"/>
          <w:i/>
          <w:vertAlign w:val="subscript"/>
        </w:rPr>
        <w:t>max</w:t>
      </w:r>
      <w:r>
        <w:rPr>
          <w:rFonts w:eastAsia="SimSun"/>
        </w:rPr>
        <w:t xml:space="preserve"> </w:t>
      </w:r>
      <w:r w:rsidRPr="00280FAF">
        <w:rPr>
          <w:rFonts w:eastAsia="SimSun"/>
        </w:rPr>
        <w:t>–</w:t>
      </w:r>
      <w:r>
        <w:rPr>
          <w:rFonts w:eastAsia="SimSun"/>
        </w:rPr>
        <w:t xml:space="preserve"> </w:t>
      </w:r>
      <w:r w:rsidRPr="00774479">
        <w:t xml:space="preserve">maximum </w:t>
      </w:r>
      <w:r w:rsidR="00152C5F" w:rsidRPr="00774479">
        <w:t xml:space="preserve">concentration of </w:t>
      </w:r>
      <w:r w:rsidR="00152C5F">
        <w:t xml:space="preserve">component </w:t>
      </w:r>
      <w:r w:rsidR="00252222">
        <w:rPr>
          <w:i/>
        </w:rPr>
        <w:t>I</w:t>
      </w:r>
      <w:r w:rsidR="00152C5F">
        <w:t>,</w:t>
      </w:r>
      <w:r w:rsidR="00986600">
        <w:t xml:space="preserve"> </w:t>
      </w:r>
      <w:r w:rsidR="00152C5F">
        <w:rPr>
          <w:rFonts w:eastAsia="SimSun"/>
        </w:rPr>
        <w:t>g/</w:t>
      </w:r>
      <w:r w:rsidR="00986600">
        <w:rPr>
          <w:rFonts w:eastAsia="SimSun"/>
        </w:rPr>
        <w:t>l</w:t>
      </w:r>
    </w:p>
    <w:p w14:paraId="1390A3BD" w14:textId="75B4CDBF" w:rsidR="00625D12" w:rsidRPr="00625D12" w:rsidRDefault="00625D12" w:rsidP="00280FAF">
      <w:pPr>
        <w:pStyle w:val="CETBodytext"/>
        <w:jc w:val="left"/>
        <w:rPr>
          <w:rFonts w:eastAsia="SimSun"/>
        </w:rPr>
      </w:pPr>
      <w:r w:rsidRPr="00625D12">
        <w:rPr>
          <w:rFonts w:eastAsia="SimSun"/>
          <w:i/>
        </w:rPr>
        <w:t>k</w:t>
      </w:r>
      <w:r>
        <w:rPr>
          <w:rFonts w:eastAsia="SimSun"/>
        </w:rPr>
        <w:t xml:space="preserve"> </w:t>
      </w:r>
      <w:r w:rsidRPr="00280FAF">
        <w:rPr>
          <w:rFonts w:eastAsia="SimSun"/>
        </w:rPr>
        <w:t>–</w:t>
      </w:r>
      <w:r>
        <w:rPr>
          <w:rFonts w:eastAsia="SimSun"/>
        </w:rPr>
        <w:t xml:space="preserve"> parameter describing </w:t>
      </w:r>
      <w:r w:rsidR="00252222">
        <w:rPr>
          <w:rFonts w:eastAsia="SimSun"/>
        </w:rPr>
        <w:t xml:space="preserve">the </w:t>
      </w:r>
      <w:r>
        <w:rPr>
          <w:rFonts w:eastAsia="SimSun"/>
        </w:rPr>
        <w:t xml:space="preserve">shape of </w:t>
      </w:r>
      <w:r w:rsidR="00252222">
        <w:rPr>
          <w:rFonts w:eastAsia="SimSun"/>
        </w:rPr>
        <w:t xml:space="preserve">the </w:t>
      </w:r>
      <w:r>
        <w:rPr>
          <w:rFonts w:eastAsia="SimSun"/>
        </w:rPr>
        <w:t>model curve</w:t>
      </w:r>
    </w:p>
    <w:p w14:paraId="38BFE636" w14:textId="2CEA6E0A" w:rsidR="00280FAF" w:rsidRPr="00E377D0" w:rsidRDefault="00625D12" w:rsidP="00280FAF">
      <w:pPr>
        <w:pStyle w:val="CETBodytext"/>
        <w:jc w:val="left"/>
        <w:rPr>
          <w:rFonts w:eastAsia="SimSun"/>
        </w:rPr>
        <w:sectPr w:rsidR="00280FAF" w:rsidRPr="00E377D0" w:rsidSect="00200ECB">
          <w:type w:val="continuous"/>
          <w:pgSz w:w="11906" w:h="16838" w:code="9"/>
          <w:pgMar w:top="1701" w:right="1418" w:bottom="1701" w:left="1701" w:header="1701" w:footer="0" w:gutter="0"/>
          <w:cols w:num="2" w:space="708"/>
          <w:formProt w:val="0"/>
          <w:titlePg/>
          <w:docGrid w:linePitch="360"/>
        </w:sectPr>
      </w:pPr>
      <w:r w:rsidRPr="00625D12">
        <w:rPr>
          <w:rFonts w:eastAsia="SimSun"/>
          <w:i/>
        </w:rPr>
        <w:t>t</w:t>
      </w:r>
      <w:r w:rsidRPr="00625D12">
        <w:rPr>
          <w:rFonts w:eastAsia="SimSun"/>
          <w:i/>
          <w:vertAlign w:val="subscript"/>
        </w:rPr>
        <w:t>50</w:t>
      </w:r>
      <w:r w:rsidR="00280FAF" w:rsidRPr="00625D12">
        <w:rPr>
          <w:rFonts w:eastAsia="SimSun"/>
          <w:i/>
        </w:rPr>
        <w:t xml:space="preserve"> </w:t>
      </w:r>
      <w:r w:rsidR="00280FAF" w:rsidRPr="00280FAF">
        <w:rPr>
          <w:rFonts w:eastAsia="SimSun"/>
        </w:rPr>
        <w:t xml:space="preserve">– </w:t>
      </w:r>
      <w:r w:rsidRPr="00625D12">
        <w:rPr>
          <w:rFonts w:eastAsia="SimSun"/>
        </w:rPr>
        <w:t>processing time required to reach the mid-point of the concentration curv</w:t>
      </w:r>
      <w:r>
        <w:rPr>
          <w:rFonts w:eastAsia="SimSun"/>
        </w:rPr>
        <w:t>e, h</w:t>
      </w:r>
    </w:p>
    <w:p w14:paraId="7D197F9F" w14:textId="77777777" w:rsidR="00625D12" w:rsidRPr="00B57B36" w:rsidRDefault="00625D12" w:rsidP="00C85ED9">
      <w:pPr>
        <w:pStyle w:val="CETReference"/>
        <w:keepNext/>
      </w:pPr>
      <w:r w:rsidRPr="00B57B36">
        <w:lastRenderedPageBreak/>
        <w:t>References</w:t>
      </w:r>
    </w:p>
    <w:p w14:paraId="71E34523" w14:textId="748C2165" w:rsidR="009067A2" w:rsidRPr="009067A2" w:rsidRDefault="00625D12" w:rsidP="009067A2">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9067A2" w:rsidRPr="009067A2">
        <w:rPr>
          <w:rFonts w:cs="Arial"/>
          <w:noProof/>
          <w:szCs w:val="24"/>
        </w:rPr>
        <w:t>Aina S.T., Du Plessis J.B., Mjimba V., Brink H.G., 2020, Effect of Membrane Removal on the Production of Calcium Oxide from Eggshells via Calcination. Chem. Eng. Trans, 81, 1069–1074.</w:t>
      </w:r>
    </w:p>
    <w:p w14:paraId="36E03851"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Brown D.W., Adams T.H., Keller N.P., 1996, Aspergillus has distinct fatty acid synthases for primary and secondary metabolism. Proc. Natl. Acad. Sci., 93, 14873–14877.</w:t>
      </w:r>
    </w:p>
    <w:p w14:paraId="52DD44C8"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Chi Z., Wang Z.P., Wang G.Y., Khan I., Chi Z.M., 2016, Microbial biosynthesis and secretion of l-malic acid and its applications. Crit. Rev. Biotechnol., 36, 99–107.</w:t>
      </w:r>
    </w:p>
    <w:p w14:paraId="0DA47FD4"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Geyer M., Onyancha F.M., Nicol W., Brink H.G., 2018, Malic acid production by aspergillus oryzae: The role of CaCO3. Chem. Eng. Trans., 70, 1801–1806.</w:t>
      </w:r>
    </w:p>
    <w:p w14:paraId="7AC8B351"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Hermann B.G., Patel M., 2007, Today’s and tomorrow’s bio-based bulk chemicals from white biotechnology. Appl. Biochem. Biotechnol., 136, 361–388.</w:t>
      </w:r>
    </w:p>
    <w:p w14:paraId="00941953"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Knuf C., Nookaew I., Remmers I., Khoomrung S., Brown S., Berry A., Nielsen J., 2014, Physiological characterization of the high malic acid-producing Aspergillus oryzae strain 2103a-68. Appl. Microbiol. Biotechnol., 98, 3517–3527.</w:t>
      </w:r>
    </w:p>
    <w:p w14:paraId="4C9C3209"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Kövilein A., Umpfenbach J., Ochsenreither K., 2021, Acetate as substrate for l-malic acid production with Aspergillus oryzae DSM 1863. Biotechnol. Biofuels, 14, 1–15.</w:t>
      </w:r>
    </w:p>
    <w:p w14:paraId="1F38558B"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Lange M., Peiter E., 2020, Calcium Transport Proteins in Fungi: The Phylogenetic Diversity of Their Relevance for Growth, Virulence, and Stress Resistance. Front. Microbiol., 10.</w:t>
      </w:r>
    </w:p>
    <w:p w14:paraId="4F36855E"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Liu J., Xie Z., Shin H. dong, Li J., Du G., Chen J., Liu L., 2017, Rewiring the reductive tricarboxylic acid pathway and L-malate transport pathway of Aspergillus oryzae for overproduction of L-malate. J. Biotechnol., 253, 1–9.</w:t>
      </w:r>
    </w:p>
    <w:p w14:paraId="79A7591C"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Liu J., Li J., Shin H. dong, Du G., Chen J., Liu L., 2018, Biological production of l-malate: recent advances and future prospects. World J. Microbiol. Biotechnol., 34, 1–8.</w:t>
      </w:r>
    </w:p>
    <w:p w14:paraId="241291F1"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Melo A.F., Mauricio E.F., Salgado A.M., Pellegrini Pessoa F.L., Triches Damaso M.C., Couri S., 2011, Assessment of catalytic properties in aqueous and media of aspergillus niger lipase immobilized on supports vitreous. Chem. Eng. Trans., 24, 973–978.</w:t>
      </w:r>
    </w:p>
    <w:p w14:paraId="77758D4F"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Mondala A.H., 2015, Direct fungal fermentation of lignocellulosic biomass into itaconic, fumaric, and malic acids: current and future prospects. J. Ind. Microbiol. Biotechnol., 42, 487–506.</w:t>
      </w:r>
    </w:p>
    <w:p w14:paraId="73BB09D4"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Navazio L., Mariani P., 2008, Calcium opens the dialogue between plants and arbuscular mycorrhizal fungi. Plant Signal. Behav., 3, 229–230.</w:t>
      </w:r>
    </w:p>
    <w:p w14:paraId="69750D36"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Ochsenreither K., Fischer C., Neumann A., Syldatk C., 2014, Process characterization and influence of alternative carbon sources and carbon-to-nitrogen ratio on organic acid production by Aspergillus oryzae DSM1863. Appl. Microbiol. Biotechnol., 98, 5449–5460.</w:t>
      </w:r>
    </w:p>
    <w:p w14:paraId="4A88D2EB"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Park Y., Kang S., Lee J., Hong S., Kim S., 2002, Xylanase production in solid state fermentation by Aspergillus niger mutant using statistical experimental designs. Appl. Microbiol. Biotechnol., 58, 761–766.</w:t>
      </w:r>
    </w:p>
    <w:p w14:paraId="7E105656"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Payne G.A., Nierman W.C., Wortman J.R., Pritchard B.L., Brown D., Dean R.A., Bhatnagar D., Cleveland T.E., Machida M., Yu J., 2006, Whole genome comparison of Aspergillus flavus and A. oryzae. Med. Mycol., 44, 9–11.</w:t>
      </w:r>
    </w:p>
    <w:p w14:paraId="53CD20B2"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Pitt D., Ugalde U.O., 1984, Calcium in fungi. Plant, Cell Environ., 7, 467–475.</w:t>
      </w:r>
    </w:p>
    <w:p w14:paraId="7F6C2573"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Roy A., Kumar A., Baruah D., Tamuli R., 2021, Calcium signaling is involved in diverse cellular processes in fungi. Mycology, 12, 1–15.</w:t>
      </w:r>
    </w:p>
    <w:p w14:paraId="72E5B658"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Shigeo A., Furuya A., Saito T., 1962, Method of producing l-malic acid by fermentation. United States.</w:t>
      </w:r>
    </w:p>
    <w:p w14:paraId="71913AB0"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Smith C.S., Slade S.J., Nordheim E. V., Cascino J.J., Harris R.F., Andrews J.H., 1988, Sources of Variability in the Measurement of Fungal Spore Yields. Appl. Environ. Microbiol., 54, 1430–1435.</w:t>
      </w:r>
    </w:p>
    <w:p w14:paraId="6B85615B"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Ström L., Owen A.G., Godbold D.L., Jones D.L., 2005, Organic acid behaviour in a calcareous soil implications for rhizosphere nutrient cycling. Soil Biol. Biochem., 37, 2046–2054.</w:t>
      </w:r>
    </w:p>
    <w:p w14:paraId="76F4BDCA"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Tarasov A.I., Griffiths E.J., Rutter G.A., 2012, Regulation of ATP production by mitochondrial Ca2+. Cell Calcium, 52, 28–35.</w:t>
      </w:r>
    </w:p>
    <w:p w14:paraId="2621F794" w14:textId="77777777" w:rsidR="009067A2" w:rsidRPr="009067A2" w:rsidRDefault="009067A2" w:rsidP="009067A2">
      <w:pPr>
        <w:widowControl w:val="0"/>
        <w:autoSpaceDE w:val="0"/>
        <w:autoSpaceDN w:val="0"/>
        <w:adjustRightInd w:val="0"/>
        <w:spacing w:line="240" w:lineRule="auto"/>
        <w:ind w:left="480" w:hanging="480"/>
        <w:rPr>
          <w:rFonts w:cs="Arial"/>
          <w:noProof/>
          <w:szCs w:val="24"/>
        </w:rPr>
      </w:pPr>
      <w:r w:rsidRPr="009067A2">
        <w:rPr>
          <w:rFonts w:cs="Arial"/>
          <w:noProof/>
          <w:szCs w:val="24"/>
        </w:rPr>
        <w:t>Werpy T., Petersen G.R., 2004, Top value added chemicals from biomass. Volume 1-results of screening for potential candidates from sugars and synthesis gas. National Renewable Energy Laboratory, Golden.</w:t>
      </w:r>
    </w:p>
    <w:p w14:paraId="0023B2B9" w14:textId="77777777" w:rsidR="009067A2" w:rsidRPr="009067A2" w:rsidRDefault="009067A2" w:rsidP="009067A2">
      <w:pPr>
        <w:widowControl w:val="0"/>
        <w:autoSpaceDE w:val="0"/>
        <w:autoSpaceDN w:val="0"/>
        <w:adjustRightInd w:val="0"/>
        <w:spacing w:line="240" w:lineRule="auto"/>
        <w:ind w:left="480" w:hanging="480"/>
        <w:rPr>
          <w:rFonts w:cs="Arial"/>
          <w:noProof/>
        </w:rPr>
      </w:pPr>
      <w:r w:rsidRPr="009067A2">
        <w:rPr>
          <w:rFonts w:cs="Arial"/>
          <w:noProof/>
          <w:szCs w:val="24"/>
        </w:rPr>
        <w:t>Wu L., Kobayashi Y., Wasaki J., Koyama H., 2018, Organic acid excretion from roots: a plant mechanism for enhancing phosphorus acquisition, enhancing aluminum tolerance, and recruiting beneficial rhizobacteria. Soil Sci. Plant Nutr., 64, 697–704.</w:t>
      </w:r>
    </w:p>
    <w:p w14:paraId="03CEA04C" w14:textId="415F2500" w:rsidR="00C52C3C" w:rsidRDefault="00625D12" w:rsidP="00E65B91">
      <w:pPr>
        <w:pStyle w:val="CETReferencetext"/>
      </w:pPr>
      <w:r>
        <w:fldChar w:fldCharType="end"/>
      </w: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0F87C" w14:textId="77777777" w:rsidR="0006727D" w:rsidRDefault="0006727D" w:rsidP="004F5E36">
      <w:r>
        <w:separator/>
      </w:r>
    </w:p>
  </w:endnote>
  <w:endnote w:type="continuationSeparator" w:id="0">
    <w:p w14:paraId="1258D502" w14:textId="77777777" w:rsidR="0006727D" w:rsidRDefault="0006727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F1C6D" w14:textId="77777777" w:rsidR="0006727D" w:rsidRDefault="0006727D" w:rsidP="004F5E36">
      <w:r>
        <w:separator/>
      </w:r>
    </w:p>
  </w:footnote>
  <w:footnote w:type="continuationSeparator" w:id="0">
    <w:p w14:paraId="2B10FA5C" w14:textId="77777777" w:rsidR="0006727D" w:rsidRDefault="0006727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27C0"/>
    <w:rsid w:val="0000513F"/>
    <w:rsid w:val="000052FB"/>
    <w:rsid w:val="000117CB"/>
    <w:rsid w:val="0003148D"/>
    <w:rsid w:val="00031EEC"/>
    <w:rsid w:val="00040157"/>
    <w:rsid w:val="00051566"/>
    <w:rsid w:val="00052574"/>
    <w:rsid w:val="00062A9A"/>
    <w:rsid w:val="00065058"/>
    <w:rsid w:val="0006727D"/>
    <w:rsid w:val="000722D0"/>
    <w:rsid w:val="00086C39"/>
    <w:rsid w:val="00092283"/>
    <w:rsid w:val="000A03B2"/>
    <w:rsid w:val="000D0268"/>
    <w:rsid w:val="000D34BE"/>
    <w:rsid w:val="000E102F"/>
    <w:rsid w:val="000E36F1"/>
    <w:rsid w:val="000E3A73"/>
    <w:rsid w:val="000E414A"/>
    <w:rsid w:val="000F093C"/>
    <w:rsid w:val="000F787B"/>
    <w:rsid w:val="00117317"/>
    <w:rsid w:val="0012091F"/>
    <w:rsid w:val="00126BC2"/>
    <w:rsid w:val="001308B6"/>
    <w:rsid w:val="0013121F"/>
    <w:rsid w:val="00131FE6"/>
    <w:rsid w:val="0013263F"/>
    <w:rsid w:val="001331DF"/>
    <w:rsid w:val="00134DE4"/>
    <w:rsid w:val="0014034D"/>
    <w:rsid w:val="00144D16"/>
    <w:rsid w:val="00150E59"/>
    <w:rsid w:val="00152C5F"/>
    <w:rsid w:val="00152DE3"/>
    <w:rsid w:val="00164CF9"/>
    <w:rsid w:val="001667A6"/>
    <w:rsid w:val="00184AD6"/>
    <w:rsid w:val="00197C49"/>
    <w:rsid w:val="001A4AF7"/>
    <w:rsid w:val="001B0349"/>
    <w:rsid w:val="001B1E93"/>
    <w:rsid w:val="001B65C1"/>
    <w:rsid w:val="001C684B"/>
    <w:rsid w:val="001D0CFB"/>
    <w:rsid w:val="001D21AF"/>
    <w:rsid w:val="001D53FC"/>
    <w:rsid w:val="001D714F"/>
    <w:rsid w:val="001F42A5"/>
    <w:rsid w:val="001F7B9D"/>
    <w:rsid w:val="00201C93"/>
    <w:rsid w:val="00213FB5"/>
    <w:rsid w:val="002224B4"/>
    <w:rsid w:val="002447EF"/>
    <w:rsid w:val="002471B7"/>
    <w:rsid w:val="00251550"/>
    <w:rsid w:val="00252222"/>
    <w:rsid w:val="002619CB"/>
    <w:rsid w:val="00263B05"/>
    <w:rsid w:val="0027221A"/>
    <w:rsid w:val="00275B61"/>
    <w:rsid w:val="00280FAF"/>
    <w:rsid w:val="00282656"/>
    <w:rsid w:val="00292700"/>
    <w:rsid w:val="00296B83"/>
    <w:rsid w:val="002B4015"/>
    <w:rsid w:val="002B78CE"/>
    <w:rsid w:val="002C2FB6"/>
    <w:rsid w:val="002E47E5"/>
    <w:rsid w:val="002E5FA7"/>
    <w:rsid w:val="002F3309"/>
    <w:rsid w:val="003008CE"/>
    <w:rsid w:val="003009B7"/>
    <w:rsid w:val="00300E56"/>
    <w:rsid w:val="00303035"/>
    <w:rsid w:val="0030469C"/>
    <w:rsid w:val="00321CA6"/>
    <w:rsid w:val="00323763"/>
    <w:rsid w:val="00327A84"/>
    <w:rsid w:val="00334C09"/>
    <w:rsid w:val="003723D4"/>
    <w:rsid w:val="00381905"/>
    <w:rsid w:val="00384CC8"/>
    <w:rsid w:val="003871FD"/>
    <w:rsid w:val="00387DC1"/>
    <w:rsid w:val="003A1E30"/>
    <w:rsid w:val="003A2829"/>
    <w:rsid w:val="003A7D1C"/>
    <w:rsid w:val="003B1F27"/>
    <w:rsid w:val="003B304B"/>
    <w:rsid w:val="003B3146"/>
    <w:rsid w:val="003C1AF7"/>
    <w:rsid w:val="003F015E"/>
    <w:rsid w:val="00400414"/>
    <w:rsid w:val="0041446B"/>
    <w:rsid w:val="00431B6C"/>
    <w:rsid w:val="0044071E"/>
    <w:rsid w:val="0044329C"/>
    <w:rsid w:val="00453E24"/>
    <w:rsid w:val="00457456"/>
    <w:rsid w:val="004577FE"/>
    <w:rsid w:val="00457B9C"/>
    <w:rsid w:val="0046164A"/>
    <w:rsid w:val="004628D2"/>
    <w:rsid w:val="00462DCD"/>
    <w:rsid w:val="004648AD"/>
    <w:rsid w:val="004703A9"/>
    <w:rsid w:val="0047228E"/>
    <w:rsid w:val="004760DE"/>
    <w:rsid w:val="004763D7"/>
    <w:rsid w:val="004A004E"/>
    <w:rsid w:val="004A24CF"/>
    <w:rsid w:val="004C3D1D"/>
    <w:rsid w:val="004C7913"/>
    <w:rsid w:val="004E4DD6"/>
    <w:rsid w:val="004F5E36"/>
    <w:rsid w:val="00507B47"/>
    <w:rsid w:val="00507BEF"/>
    <w:rsid w:val="00507CC9"/>
    <w:rsid w:val="005103F4"/>
    <w:rsid w:val="005119A5"/>
    <w:rsid w:val="00522BDF"/>
    <w:rsid w:val="005278B7"/>
    <w:rsid w:val="00532016"/>
    <w:rsid w:val="005346C8"/>
    <w:rsid w:val="00543E7D"/>
    <w:rsid w:val="00547A68"/>
    <w:rsid w:val="005531C9"/>
    <w:rsid w:val="00570C43"/>
    <w:rsid w:val="00592ECF"/>
    <w:rsid w:val="005A0548"/>
    <w:rsid w:val="005A3968"/>
    <w:rsid w:val="005B2110"/>
    <w:rsid w:val="005B61E6"/>
    <w:rsid w:val="005C77E1"/>
    <w:rsid w:val="005D668A"/>
    <w:rsid w:val="005D6A2F"/>
    <w:rsid w:val="005E1A82"/>
    <w:rsid w:val="005E794C"/>
    <w:rsid w:val="005F0A28"/>
    <w:rsid w:val="005F0E5E"/>
    <w:rsid w:val="00600535"/>
    <w:rsid w:val="00604911"/>
    <w:rsid w:val="00610CD6"/>
    <w:rsid w:val="00612ADA"/>
    <w:rsid w:val="00620DEE"/>
    <w:rsid w:val="00621F92"/>
    <w:rsid w:val="0062280A"/>
    <w:rsid w:val="00625639"/>
    <w:rsid w:val="00625D12"/>
    <w:rsid w:val="00631B33"/>
    <w:rsid w:val="0064184D"/>
    <w:rsid w:val="006422CC"/>
    <w:rsid w:val="00660E3E"/>
    <w:rsid w:val="00662E74"/>
    <w:rsid w:val="00680C23"/>
    <w:rsid w:val="00693766"/>
    <w:rsid w:val="006A3281"/>
    <w:rsid w:val="006B4888"/>
    <w:rsid w:val="006B4D8D"/>
    <w:rsid w:val="006B7DAA"/>
    <w:rsid w:val="006C2E45"/>
    <w:rsid w:val="006C359C"/>
    <w:rsid w:val="006C5579"/>
    <w:rsid w:val="006D6E8B"/>
    <w:rsid w:val="006E737D"/>
    <w:rsid w:val="00702DB8"/>
    <w:rsid w:val="00706E38"/>
    <w:rsid w:val="00713973"/>
    <w:rsid w:val="00720A24"/>
    <w:rsid w:val="00732386"/>
    <w:rsid w:val="0073514D"/>
    <w:rsid w:val="007366B0"/>
    <w:rsid w:val="007447F3"/>
    <w:rsid w:val="007472D1"/>
    <w:rsid w:val="007509F1"/>
    <w:rsid w:val="0075499F"/>
    <w:rsid w:val="007661C8"/>
    <w:rsid w:val="0077098D"/>
    <w:rsid w:val="00790F94"/>
    <w:rsid w:val="007931FA"/>
    <w:rsid w:val="007A4861"/>
    <w:rsid w:val="007A7BBA"/>
    <w:rsid w:val="007B0C50"/>
    <w:rsid w:val="007B48F9"/>
    <w:rsid w:val="007C1A43"/>
    <w:rsid w:val="007D77D3"/>
    <w:rsid w:val="0080013E"/>
    <w:rsid w:val="00813288"/>
    <w:rsid w:val="008168FC"/>
    <w:rsid w:val="00817B20"/>
    <w:rsid w:val="00830996"/>
    <w:rsid w:val="00832938"/>
    <w:rsid w:val="008345F1"/>
    <w:rsid w:val="00865B07"/>
    <w:rsid w:val="008667EA"/>
    <w:rsid w:val="008700D1"/>
    <w:rsid w:val="0087637F"/>
    <w:rsid w:val="00892AD5"/>
    <w:rsid w:val="008946D1"/>
    <w:rsid w:val="008A1512"/>
    <w:rsid w:val="008C21F1"/>
    <w:rsid w:val="008D32B9"/>
    <w:rsid w:val="008D433B"/>
    <w:rsid w:val="008E566E"/>
    <w:rsid w:val="008F7B97"/>
    <w:rsid w:val="0090161A"/>
    <w:rsid w:val="00901EB6"/>
    <w:rsid w:val="00904C62"/>
    <w:rsid w:val="009067A2"/>
    <w:rsid w:val="00922BA8"/>
    <w:rsid w:val="009241F7"/>
    <w:rsid w:val="00924BF8"/>
    <w:rsid w:val="00924DAC"/>
    <w:rsid w:val="00927058"/>
    <w:rsid w:val="00942750"/>
    <w:rsid w:val="009450CE"/>
    <w:rsid w:val="00945AB6"/>
    <w:rsid w:val="00947179"/>
    <w:rsid w:val="0095164B"/>
    <w:rsid w:val="00954090"/>
    <w:rsid w:val="009573E7"/>
    <w:rsid w:val="00963E05"/>
    <w:rsid w:val="00964A45"/>
    <w:rsid w:val="00967843"/>
    <w:rsid w:val="00967D54"/>
    <w:rsid w:val="00971028"/>
    <w:rsid w:val="00973ECB"/>
    <w:rsid w:val="00986600"/>
    <w:rsid w:val="00993B84"/>
    <w:rsid w:val="00996483"/>
    <w:rsid w:val="00996F5A"/>
    <w:rsid w:val="009B041A"/>
    <w:rsid w:val="009C37C3"/>
    <w:rsid w:val="009C7C86"/>
    <w:rsid w:val="009D2FF7"/>
    <w:rsid w:val="009E7884"/>
    <w:rsid w:val="009E788A"/>
    <w:rsid w:val="009F0E08"/>
    <w:rsid w:val="009F0F13"/>
    <w:rsid w:val="009F2F97"/>
    <w:rsid w:val="00A165B6"/>
    <w:rsid w:val="00A1763D"/>
    <w:rsid w:val="00A17CEC"/>
    <w:rsid w:val="00A27EF0"/>
    <w:rsid w:val="00A30C11"/>
    <w:rsid w:val="00A42361"/>
    <w:rsid w:val="00A50B20"/>
    <w:rsid w:val="00A51390"/>
    <w:rsid w:val="00A60D13"/>
    <w:rsid w:val="00A72745"/>
    <w:rsid w:val="00A76EFC"/>
    <w:rsid w:val="00A91010"/>
    <w:rsid w:val="00A97F29"/>
    <w:rsid w:val="00AA702E"/>
    <w:rsid w:val="00AB0964"/>
    <w:rsid w:val="00AB5011"/>
    <w:rsid w:val="00AC7368"/>
    <w:rsid w:val="00AD16B9"/>
    <w:rsid w:val="00AE377D"/>
    <w:rsid w:val="00AE7058"/>
    <w:rsid w:val="00AF0EBA"/>
    <w:rsid w:val="00AF6775"/>
    <w:rsid w:val="00AF7129"/>
    <w:rsid w:val="00B02C8A"/>
    <w:rsid w:val="00B17FBD"/>
    <w:rsid w:val="00B315A6"/>
    <w:rsid w:val="00B31813"/>
    <w:rsid w:val="00B33365"/>
    <w:rsid w:val="00B57B36"/>
    <w:rsid w:val="00B57E6F"/>
    <w:rsid w:val="00B8686D"/>
    <w:rsid w:val="00B93F69"/>
    <w:rsid w:val="00BB1DDC"/>
    <w:rsid w:val="00BC30C9"/>
    <w:rsid w:val="00BD077D"/>
    <w:rsid w:val="00BD30B4"/>
    <w:rsid w:val="00BE3E58"/>
    <w:rsid w:val="00C01191"/>
    <w:rsid w:val="00C01616"/>
    <w:rsid w:val="00C0162B"/>
    <w:rsid w:val="00C068ED"/>
    <w:rsid w:val="00C22E0C"/>
    <w:rsid w:val="00C271BD"/>
    <w:rsid w:val="00C345B1"/>
    <w:rsid w:val="00C40142"/>
    <w:rsid w:val="00C52C3C"/>
    <w:rsid w:val="00C57182"/>
    <w:rsid w:val="00C57863"/>
    <w:rsid w:val="00C655FD"/>
    <w:rsid w:val="00C75407"/>
    <w:rsid w:val="00C85ED9"/>
    <w:rsid w:val="00C870A8"/>
    <w:rsid w:val="00C94434"/>
    <w:rsid w:val="00CA0D75"/>
    <w:rsid w:val="00CA1C95"/>
    <w:rsid w:val="00CA5A9C"/>
    <w:rsid w:val="00CB158C"/>
    <w:rsid w:val="00CC4C20"/>
    <w:rsid w:val="00CD1DFA"/>
    <w:rsid w:val="00CD3517"/>
    <w:rsid w:val="00CD5FE2"/>
    <w:rsid w:val="00CE7C68"/>
    <w:rsid w:val="00D02B4C"/>
    <w:rsid w:val="00D040C4"/>
    <w:rsid w:val="00D051E6"/>
    <w:rsid w:val="00D2560F"/>
    <w:rsid w:val="00D44C4E"/>
    <w:rsid w:val="00D46B7E"/>
    <w:rsid w:val="00D55087"/>
    <w:rsid w:val="00D57C84"/>
    <w:rsid w:val="00D6057D"/>
    <w:rsid w:val="00D71640"/>
    <w:rsid w:val="00D836C5"/>
    <w:rsid w:val="00D84576"/>
    <w:rsid w:val="00DA1399"/>
    <w:rsid w:val="00DA24C6"/>
    <w:rsid w:val="00DA4D7B"/>
    <w:rsid w:val="00DE264A"/>
    <w:rsid w:val="00DF30B4"/>
    <w:rsid w:val="00DF5072"/>
    <w:rsid w:val="00E02D18"/>
    <w:rsid w:val="00E041E7"/>
    <w:rsid w:val="00E23CA1"/>
    <w:rsid w:val="00E3335A"/>
    <w:rsid w:val="00E409A8"/>
    <w:rsid w:val="00E50C12"/>
    <w:rsid w:val="00E61DB8"/>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3084A"/>
    <w:rsid w:val="00F30C64"/>
    <w:rsid w:val="00F32BA2"/>
    <w:rsid w:val="00F32CDB"/>
    <w:rsid w:val="00F50277"/>
    <w:rsid w:val="00F565FE"/>
    <w:rsid w:val="00F63A70"/>
    <w:rsid w:val="00F7534E"/>
    <w:rsid w:val="00FA1802"/>
    <w:rsid w:val="00FA21D0"/>
    <w:rsid w:val="00FA5F5F"/>
    <w:rsid w:val="00FB730C"/>
    <w:rsid w:val="00FC2695"/>
    <w:rsid w:val="00FC3E03"/>
    <w:rsid w:val="00FC3FC1"/>
    <w:rsid w:val="00FE09D6"/>
    <w:rsid w:val="00FE0EC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96652-D041-4AB4-AD05-C2992736F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12724</Words>
  <Characters>72528</Characters>
  <Application>Microsoft Office Word</Application>
  <DocSecurity>0</DocSecurity>
  <Lines>604</Lines>
  <Paragraphs>170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85082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HG Brink</cp:lastModifiedBy>
  <cp:revision>3</cp:revision>
  <cp:lastPrinted>2015-05-12T18:31:00Z</cp:lastPrinted>
  <dcterms:created xsi:type="dcterms:W3CDTF">2022-06-29T07:15:00Z</dcterms:created>
  <dcterms:modified xsi:type="dcterms:W3CDTF">2022-07-15T13:16:00Z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http://www.zotero.org/styles/catalysts</vt:lpwstr>
  </property>
  <property fmtid="{D5CDD505-2E9C-101B-9397-08002B2CF9AE}" pid="13" name="Mendeley Recent Style Name 4_1">
    <vt:lpwstr>Catalysts</vt:lpwstr>
  </property>
  <property fmtid="{D5CDD505-2E9C-101B-9397-08002B2CF9AE}" pid="14" name="Mendeley Recent Style Id 5_1">
    <vt:lpwstr>http://www.zotero.org/styles/chemical-engineering-transactions</vt:lpwstr>
  </property>
  <property fmtid="{D5CDD505-2E9C-101B-9397-08002B2CF9AE}" pid="15" name="Mendeley Recent Style Name 5_1">
    <vt:lpwstr>Chemical Engineering Transactions</vt:lpwstr>
  </property>
  <property fmtid="{D5CDD505-2E9C-101B-9397-08002B2CF9AE}" pid="16" name="Mendeley Recent Style Id 6_1">
    <vt:lpwstr>http://www.zotero.org/styles/chicago-author-date</vt:lpwstr>
  </property>
  <property fmtid="{D5CDD505-2E9C-101B-9397-08002B2CF9AE}" pid="17" name="Mendeley Recent Style Name 6_1">
    <vt:lpwstr>Chicago Manual of Style 17th edition (author-date)</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http://www.zotero.org/styles/vancouver-superscript</vt:lpwstr>
  </property>
  <property fmtid="{D5CDD505-2E9C-101B-9397-08002B2CF9AE}" pid="21" name="Mendeley Recent Style Name 8_1">
    <vt:lpwstr>Vancouver (superscript)</vt:lpwstr>
  </property>
  <property fmtid="{D5CDD505-2E9C-101B-9397-08002B2CF9AE}" pid="22" name="Mendeley Recent Style Id 9_1">
    <vt:lpwstr>http://www.zotero.org/styles/vancouver-superscript</vt:lpwstr>
  </property>
  <property fmtid="{D5CDD505-2E9C-101B-9397-08002B2CF9AE}" pid="23" name="Mendeley Recent Style Name 9_1">
    <vt:lpwstr>Vancouver (superscript)</vt:lpwstr>
  </property>
  <property fmtid="{D5CDD505-2E9C-101B-9397-08002B2CF9AE}" pid="24" name="Mendeley Document_1">
    <vt:lpwstr>True</vt:lpwstr>
  </property>
  <property fmtid="{D5CDD505-2E9C-101B-9397-08002B2CF9AE}" pid="25" name="Mendeley Unique User Id_1">
    <vt:lpwstr>887cfe52-1d9c-30f5-869f-5d20415062e9</vt:lpwstr>
  </property>
  <property fmtid="{D5CDD505-2E9C-101B-9397-08002B2CF9AE}" pid="26" name="Mendeley Citation Style_1">
    <vt:lpwstr>http://www.zotero.org/styles/chemical-engineering-transactions</vt:lpwstr>
  </property>
</Properties>
</file>