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n-U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ABE30D6"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4C3D84">
              <w:rPr>
                <w:rFonts w:cs="Arial"/>
                <w:b/>
                <w:bCs/>
                <w:i/>
                <w:iCs/>
                <w:color w:val="000066"/>
                <w:sz w:val="22"/>
                <w:szCs w:val="22"/>
                <w:lang w:eastAsia="it-IT"/>
              </w:rPr>
              <w:t>6</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n-U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2E218E1D"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4C3D84" w:rsidRPr="007E5E02">
              <w:rPr>
                <w:sz w:val="14"/>
                <w:szCs w:val="14"/>
                <w:lang w:val="it-IT"/>
              </w:rPr>
              <w:t>David Bogle, Flavio Manenti, Piero Salatino</w:t>
            </w:r>
          </w:p>
          <w:p w14:paraId="1B0F1814" w14:textId="17CEC68E"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w:t>
            </w:r>
            <w:r w:rsidR="008D4A16">
              <w:rPr>
                <w:rFonts w:ascii="Tahoma" w:hAnsi="Tahoma" w:cs="Tahoma"/>
                <w:sz w:val="14"/>
                <w:szCs w:val="14"/>
              </w:rPr>
              <w:t>5</w:t>
            </w:r>
            <w:r w:rsidR="00D46B7E">
              <w:rPr>
                <w:rFonts w:ascii="Tahoma" w:hAnsi="Tahoma" w:cs="Tahoma"/>
                <w:sz w:val="14"/>
                <w:szCs w:val="14"/>
              </w:rPr>
              <w:t>-</w:t>
            </w:r>
            <w:r w:rsidR="008D4A16">
              <w:rPr>
                <w:rFonts w:ascii="Tahoma" w:hAnsi="Tahoma" w:cs="Tahoma"/>
                <w:sz w:val="14"/>
                <w:szCs w:val="14"/>
              </w:rPr>
              <w:t>2</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1C2880B3" w:rsidR="00E978D0" w:rsidRPr="00B57B36" w:rsidRDefault="007E5E02" w:rsidP="00E978D0">
      <w:pPr>
        <w:pStyle w:val="CETTitle"/>
      </w:pPr>
      <w:r w:rsidRPr="007E5E02">
        <w:t>G</w:t>
      </w:r>
      <w:r>
        <w:t>eneration</w:t>
      </w:r>
      <w:r w:rsidRPr="007E5E02">
        <w:t>-A</w:t>
      </w:r>
      <w:r>
        <w:t>ware</w:t>
      </w:r>
      <w:r w:rsidRPr="007E5E02">
        <w:t xml:space="preserve"> E</w:t>
      </w:r>
      <w:r>
        <w:t xml:space="preserve">lectrified </w:t>
      </w:r>
      <w:r w:rsidRPr="007E5E02">
        <w:t>P</w:t>
      </w:r>
      <w:r>
        <w:t>roduction</w:t>
      </w:r>
      <w:r w:rsidRPr="007E5E02">
        <w:t xml:space="preserve">: </w:t>
      </w:r>
      <w:r w:rsidR="002F273C">
        <w:t>A</w:t>
      </w:r>
      <w:r>
        <w:t>pplication</w:t>
      </w:r>
      <w:r w:rsidRPr="007E5E02">
        <w:t xml:space="preserve"> </w:t>
      </w:r>
      <w:r>
        <w:t>to</w:t>
      </w:r>
      <w:r w:rsidRPr="007E5E02">
        <w:t xml:space="preserve"> </w:t>
      </w:r>
      <w:r>
        <w:t>a</w:t>
      </w:r>
      <w:r w:rsidRPr="007E5E02">
        <w:t xml:space="preserve"> </w:t>
      </w:r>
      <w:r w:rsidR="002F273C">
        <w:t>B</w:t>
      </w:r>
      <w:r>
        <w:t>atch</w:t>
      </w:r>
      <w:r w:rsidRPr="007E5E02">
        <w:t xml:space="preserve"> </w:t>
      </w:r>
      <w:r w:rsidR="002F273C">
        <w:t>E</w:t>
      </w:r>
      <w:r>
        <w:t>vaporator</w:t>
      </w:r>
      <w:r w:rsidRPr="007E5E02">
        <w:t xml:space="preserve"> </w:t>
      </w:r>
      <w:r>
        <w:t>for the</w:t>
      </w:r>
      <w:r w:rsidRPr="007E5E02">
        <w:t xml:space="preserve"> </w:t>
      </w:r>
      <w:r w:rsidR="002F273C">
        <w:t>S</w:t>
      </w:r>
      <w:r>
        <w:t>ynthesis of TiO</w:t>
      </w:r>
      <w:r w:rsidRPr="007E5E02">
        <w:rPr>
          <w:vertAlign w:val="subscript"/>
        </w:rPr>
        <w:t>2</w:t>
      </w:r>
      <w:r>
        <w:t xml:space="preserve"> </w:t>
      </w:r>
      <w:r w:rsidR="002F273C">
        <w:t>N</w:t>
      </w:r>
      <w:r>
        <w:t>anoparticles</w:t>
      </w:r>
    </w:p>
    <w:p w14:paraId="0488FED2" w14:textId="294BE995" w:rsidR="00B57E6F" w:rsidRPr="00C6334A" w:rsidRDefault="007E5E02" w:rsidP="00B57E6F">
      <w:pPr>
        <w:pStyle w:val="CETAuthors"/>
        <w:rPr>
          <w:lang w:val="de-DE"/>
        </w:rPr>
      </w:pPr>
      <w:r w:rsidRPr="00C6334A">
        <w:rPr>
          <w:lang w:val="de-DE"/>
        </w:rPr>
        <w:t>Filippo Tamagnini*</w:t>
      </w:r>
      <w:r w:rsidR="00B57E6F" w:rsidRPr="00C6334A">
        <w:rPr>
          <w:lang w:val="de-DE"/>
        </w:rPr>
        <w:t xml:space="preserve">, </w:t>
      </w:r>
      <w:r w:rsidRPr="00C6334A">
        <w:rPr>
          <w:lang w:val="de-DE"/>
        </w:rPr>
        <w:t>Sebastian Engell</w:t>
      </w:r>
    </w:p>
    <w:p w14:paraId="3D72B0B0" w14:textId="1F1B5B51" w:rsidR="00B57E6F" w:rsidRPr="007E5E02" w:rsidRDefault="007E5E02" w:rsidP="007E5E02">
      <w:pPr>
        <w:pStyle w:val="CETAddress"/>
        <w:rPr>
          <w:lang w:val="de-DE"/>
        </w:rPr>
      </w:pPr>
      <w:r w:rsidRPr="007E5E02">
        <w:rPr>
          <w:lang w:val="de-DE"/>
        </w:rPr>
        <w:t>Technische Universität Dortmund, Emil-Figge Straße</w:t>
      </w:r>
      <w:r>
        <w:rPr>
          <w:lang w:val="de-DE"/>
        </w:rPr>
        <w:t xml:space="preserve"> 70, Dortmund</w:t>
      </w:r>
      <w:r w:rsidR="00B57E6F" w:rsidRPr="007E5E02">
        <w:rPr>
          <w:lang w:val="de-DE"/>
        </w:rPr>
        <w:t xml:space="preserve"> </w:t>
      </w:r>
    </w:p>
    <w:p w14:paraId="73F1267A" w14:textId="259A25CB" w:rsidR="00B57E6F" w:rsidRPr="007E5E02" w:rsidRDefault="007E5E02" w:rsidP="00B57E6F">
      <w:pPr>
        <w:pStyle w:val="CETemail"/>
        <w:rPr>
          <w:lang w:val="en-US"/>
        </w:rPr>
      </w:pPr>
      <w:r w:rsidRPr="00CE3467">
        <w:rPr>
          <w:lang w:val="en-US"/>
        </w:rPr>
        <w:t>filippo.tamagnini@tu-dortmund.de</w:t>
      </w:r>
    </w:p>
    <w:p w14:paraId="27DFA0DB" w14:textId="0ACADE00" w:rsidR="00C82F7B" w:rsidRDefault="00C82F7B" w:rsidP="00C82F7B">
      <w:pPr>
        <w:pStyle w:val="CETBodytext"/>
        <w:rPr>
          <w:lang w:val="en-GB"/>
        </w:rPr>
      </w:pPr>
      <w:r>
        <w:rPr>
          <w:lang w:val="en-GB"/>
        </w:rPr>
        <w:t>This contribution addresses the problem of optimizing the operation of a batch process where energy is supplied electrically</w:t>
      </w:r>
      <w:r w:rsidR="0021466F">
        <w:rPr>
          <w:lang w:val="en-GB"/>
        </w:rPr>
        <w:t xml:space="preserve"> from mixed traditional</w:t>
      </w:r>
      <w:r w:rsidR="005A48AF">
        <w:rPr>
          <w:lang w:val="en-GB"/>
        </w:rPr>
        <w:t xml:space="preserve"> and </w:t>
      </w:r>
      <w:r w:rsidR="0021466F">
        <w:rPr>
          <w:lang w:val="en-GB"/>
        </w:rPr>
        <w:t>renewable sources</w:t>
      </w:r>
      <w:r>
        <w:rPr>
          <w:lang w:val="en-GB"/>
        </w:rPr>
        <w:t>. The case study considered here is that of an evaporator for the synthesis of titanium dioxide nanoparticles</w:t>
      </w:r>
      <w:r w:rsidRPr="007E5E02">
        <w:rPr>
          <w:lang w:val="en-GB"/>
        </w:rPr>
        <w:t xml:space="preserve">, where an energy-demanding distillation step is optimized </w:t>
      </w:r>
      <w:r w:rsidR="00B61007">
        <w:rPr>
          <w:lang w:val="en-GB"/>
        </w:rPr>
        <w:t xml:space="preserve">and scheduled </w:t>
      </w:r>
      <w:r w:rsidRPr="007E5E02">
        <w:rPr>
          <w:lang w:val="en-GB"/>
        </w:rPr>
        <w:t>taking into account the forecasted a</w:t>
      </w:r>
      <w:r>
        <w:rPr>
          <w:lang w:val="en-GB"/>
        </w:rPr>
        <w:t>vailability of energy</w:t>
      </w:r>
      <w:r w:rsidR="00275C9A">
        <w:rPr>
          <w:lang w:val="en-GB"/>
        </w:rPr>
        <w:t xml:space="preserve"> from </w:t>
      </w:r>
      <w:r w:rsidR="005A48AF">
        <w:rPr>
          <w:lang w:val="en-GB"/>
        </w:rPr>
        <w:t>r</w:t>
      </w:r>
      <w:r w:rsidR="00275C9A">
        <w:rPr>
          <w:lang w:val="en-GB"/>
        </w:rPr>
        <w:t>enewable</w:t>
      </w:r>
      <w:r w:rsidR="005A48AF">
        <w:rPr>
          <w:lang w:val="en-GB"/>
        </w:rPr>
        <w:t>s</w:t>
      </w:r>
      <w:r>
        <w:rPr>
          <w:lang w:val="en-GB"/>
        </w:rPr>
        <w:t xml:space="preserve">. The goal is to </w:t>
      </w:r>
      <w:r w:rsidR="009018D9">
        <w:rPr>
          <w:lang w:val="en-GB"/>
        </w:rPr>
        <w:t>optimize</w:t>
      </w:r>
      <w:r>
        <w:rPr>
          <w:lang w:val="en-GB"/>
        </w:rPr>
        <w:t xml:space="preserve"> the utilization of</w:t>
      </w:r>
      <w:r w:rsidR="005A48AF">
        <w:rPr>
          <w:lang w:val="en-GB"/>
        </w:rPr>
        <w:t xml:space="preserve"> the</w:t>
      </w:r>
      <w:r>
        <w:rPr>
          <w:lang w:val="en-GB"/>
        </w:rPr>
        <w:t xml:space="preserve"> energy from</w:t>
      </w:r>
      <w:r w:rsidR="005A48AF">
        <w:rPr>
          <w:lang w:val="en-GB"/>
        </w:rPr>
        <w:t xml:space="preserve"> the</w:t>
      </w:r>
      <w:r>
        <w:rPr>
          <w:lang w:val="en-GB"/>
        </w:rPr>
        <w:t xml:space="preserve"> </w:t>
      </w:r>
      <w:r w:rsidR="00275C9A">
        <w:rPr>
          <w:lang w:val="en-GB"/>
        </w:rPr>
        <w:t>renewable</w:t>
      </w:r>
      <w:r>
        <w:rPr>
          <w:lang w:val="en-GB"/>
        </w:rPr>
        <w:t xml:space="preserve"> sources, without violating process and product constraints. </w:t>
      </w:r>
      <w:r w:rsidR="0047361F">
        <w:rPr>
          <w:lang w:val="en-GB"/>
        </w:rPr>
        <w:t>A</w:t>
      </w:r>
      <w:r w:rsidR="002209D8">
        <w:rPr>
          <w:lang w:val="en-GB"/>
        </w:rPr>
        <w:t xml:space="preserve"> </w:t>
      </w:r>
      <w:r w:rsidR="00C6334A" w:rsidRPr="007E5E02">
        <w:rPr>
          <w:lang w:val="en-GB"/>
        </w:rPr>
        <w:t xml:space="preserve">method </w:t>
      </w:r>
      <w:r w:rsidR="0047361F">
        <w:rPr>
          <w:lang w:val="en-GB"/>
        </w:rPr>
        <w:t xml:space="preserve">is outlined </w:t>
      </w:r>
      <w:r w:rsidR="00C6334A" w:rsidRPr="007E5E02">
        <w:rPr>
          <w:lang w:val="en-GB"/>
        </w:rPr>
        <w:t>to assess whether predictive demand-sid</w:t>
      </w:r>
      <w:r w:rsidR="0047361F">
        <w:rPr>
          <w:lang w:val="en-GB"/>
        </w:rPr>
        <w:t>e management is a viable option</w:t>
      </w:r>
      <w:r w:rsidR="00C6334A" w:rsidRPr="007E5E02">
        <w:rPr>
          <w:lang w:val="en-GB"/>
        </w:rPr>
        <w:t xml:space="preserve"> and how to integrate it into </w:t>
      </w:r>
      <w:r w:rsidR="005A48AF">
        <w:rPr>
          <w:lang w:val="en-GB"/>
        </w:rPr>
        <w:t xml:space="preserve">the operation of </w:t>
      </w:r>
      <w:r w:rsidR="0047361F">
        <w:rPr>
          <w:lang w:val="en-GB"/>
        </w:rPr>
        <w:t>a batch process</w:t>
      </w:r>
      <w:r w:rsidR="00C6334A" w:rsidRPr="007E5E02">
        <w:rPr>
          <w:lang w:val="en-GB"/>
        </w:rPr>
        <w:t xml:space="preserve"> based </w:t>
      </w:r>
      <w:r>
        <w:rPr>
          <w:lang w:val="en-GB"/>
        </w:rPr>
        <w:t xml:space="preserve">on the process characteristics. </w:t>
      </w:r>
      <w:r w:rsidR="0063176E">
        <w:rPr>
          <w:lang w:val="en-GB"/>
        </w:rPr>
        <w:tab/>
      </w:r>
    </w:p>
    <w:p w14:paraId="4F3C1744" w14:textId="1D9CEA92" w:rsidR="007E5E02" w:rsidRDefault="007E5E02" w:rsidP="00C82F7B">
      <w:pPr>
        <w:pStyle w:val="CETHeading1"/>
      </w:pPr>
      <w:r>
        <w:t>Introduction</w:t>
      </w:r>
    </w:p>
    <w:p w14:paraId="36227974" w14:textId="3BFB839A" w:rsidR="00380D45" w:rsidRPr="00E574C9" w:rsidRDefault="00380D45" w:rsidP="00B24741">
      <w:pPr>
        <w:pStyle w:val="CETBodytext"/>
        <w:rPr>
          <w:lang w:val="en-GB"/>
        </w:rPr>
      </w:pPr>
      <w:r>
        <w:rPr>
          <w:lang w:val="en-GB"/>
        </w:rPr>
        <w:t xml:space="preserve">One of the measures that are necessary </w:t>
      </w:r>
      <w:r w:rsidR="00975418">
        <w:rPr>
          <w:lang w:val="en-GB"/>
        </w:rPr>
        <w:t>to mitigate</w:t>
      </w:r>
      <w:r>
        <w:rPr>
          <w:lang w:val="en-GB"/>
        </w:rPr>
        <w:t xml:space="preserve"> climate change </w:t>
      </w:r>
      <w:r w:rsidR="00B97AFB">
        <w:rPr>
          <w:lang w:val="en-GB"/>
        </w:rPr>
        <w:t xml:space="preserve">is to </w:t>
      </w:r>
      <w:r>
        <w:rPr>
          <w:lang w:val="en-GB"/>
        </w:rPr>
        <w:t xml:space="preserve">decrease the carbon intensity of the industrial and energy sectors. This requires, among other things, to </w:t>
      </w:r>
      <w:r w:rsidR="00B97AFB">
        <w:rPr>
          <w:lang w:val="en-GB"/>
        </w:rPr>
        <w:t>increase the amount of energy supplied from renewable sources, while at the same time cut</w:t>
      </w:r>
      <w:r w:rsidR="004063BF">
        <w:rPr>
          <w:lang w:val="en-GB"/>
        </w:rPr>
        <w:t>ting</w:t>
      </w:r>
      <w:r w:rsidR="00B97AFB">
        <w:rPr>
          <w:lang w:val="en-GB"/>
        </w:rPr>
        <w:t xml:space="preserve"> down </w:t>
      </w:r>
      <w:r>
        <w:rPr>
          <w:lang w:val="en-GB"/>
        </w:rPr>
        <w:t xml:space="preserve">on </w:t>
      </w:r>
      <w:r w:rsidR="00B97AFB">
        <w:rPr>
          <w:lang w:val="en-GB"/>
        </w:rPr>
        <w:t>the u</w:t>
      </w:r>
      <w:r>
        <w:rPr>
          <w:lang w:val="en-GB"/>
        </w:rPr>
        <w:t>se of fossil fuels</w:t>
      </w:r>
      <w:r w:rsidR="004A593C">
        <w:rPr>
          <w:lang w:val="en-GB"/>
        </w:rPr>
        <w:t xml:space="preserve"> (IPCC, 2014)</w:t>
      </w:r>
      <w:r>
        <w:rPr>
          <w:lang w:val="en-GB"/>
        </w:rPr>
        <w:t xml:space="preserve">. The electrification of the chemical </w:t>
      </w:r>
      <w:r w:rsidR="003A423B">
        <w:rPr>
          <w:lang w:val="en-GB"/>
        </w:rPr>
        <w:t xml:space="preserve">and process </w:t>
      </w:r>
      <w:r>
        <w:rPr>
          <w:lang w:val="en-GB"/>
        </w:rPr>
        <w:t xml:space="preserve">industry can have a substantial impact, due to the energy-intensive nature of </w:t>
      </w:r>
      <w:r w:rsidR="005A48AF">
        <w:rPr>
          <w:lang w:val="en-GB"/>
        </w:rPr>
        <w:t>many</w:t>
      </w:r>
      <w:r w:rsidR="003A423B">
        <w:rPr>
          <w:lang w:val="en-GB"/>
        </w:rPr>
        <w:t xml:space="preserve"> unit operations</w:t>
      </w:r>
      <w:r>
        <w:rPr>
          <w:lang w:val="en-GB"/>
        </w:rPr>
        <w:t>. While on one hand, a</w:t>
      </w:r>
      <w:r w:rsidRPr="007E5E02">
        <w:rPr>
          <w:lang w:val="en-GB"/>
        </w:rPr>
        <w:t xml:space="preserve"> large </w:t>
      </w:r>
      <w:r>
        <w:rPr>
          <w:lang w:val="en-GB"/>
        </w:rPr>
        <w:t>portion</w:t>
      </w:r>
      <w:r w:rsidRPr="007E5E02">
        <w:rPr>
          <w:lang w:val="en-GB"/>
        </w:rPr>
        <w:t xml:space="preserve"> of the energy use</w:t>
      </w:r>
      <w:r>
        <w:rPr>
          <w:lang w:val="en-GB"/>
        </w:rPr>
        <w:t>d</w:t>
      </w:r>
      <w:r w:rsidRPr="007E5E02">
        <w:rPr>
          <w:lang w:val="en-GB"/>
        </w:rPr>
        <w:t xml:space="preserve"> in </w:t>
      </w:r>
      <w:r w:rsidR="003A423B">
        <w:rPr>
          <w:lang w:val="en-GB"/>
        </w:rPr>
        <w:t xml:space="preserve">these sectors </w:t>
      </w:r>
      <w:r>
        <w:rPr>
          <w:lang w:val="en-GB"/>
        </w:rPr>
        <w:t>is in the form of heat, on the other the number of technologies for the electrification of traditional processes is increasing. Furthermore,</w:t>
      </w:r>
      <w:r w:rsidRPr="007E5E02">
        <w:rPr>
          <w:lang w:val="en-GB"/>
        </w:rPr>
        <w:t xml:space="preserve"> electrical heating is </w:t>
      </w:r>
      <w:r>
        <w:rPr>
          <w:lang w:val="en-GB"/>
        </w:rPr>
        <w:t xml:space="preserve">already </w:t>
      </w:r>
      <w:r w:rsidRPr="007E5E02">
        <w:rPr>
          <w:lang w:val="en-GB"/>
        </w:rPr>
        <w:t xml:space="preserve">a </w:t>
      </w:r>
      <w:r>
        <w:rPr>
          <w:lang w:val="en-GB"/>
        </w:rPr>
        <w:t>valid</w:t>
      </w:r>
      <w:r w:rsidRPr="007E5E02">
        <w:rPr>
          <w:lang w:val="en-GB"/>
        </w:rPr>
        <w:t xml:space="preserve"> technological solution for many medium and small productions due to the technical and operational </w:t>
      </w:r>
      <w:r w:rsidRPr="00E574C9">
        <w:rPr>
          <w:lang w:val="en-GB"/>
        </w:rPr>
        <w:t>simplicity of the equipment, and when electricity is supplied by renewable sources, its carbon intensity significantly decreases (Madeddu et al., 2020).</w:t>
      </w:r>
    </w:p>
    <w:p w14:paraId="23BF3974" w14:textId="205E8B0D" w:rsidR="00AF0D6F" w:rsidRPr="00E574C9" w:rsidRDefault="00B97AFB" w:rsidP="00AF0D6F">
      <w:pPr>
        <w:pStyle w:val="CETBodytext"/>
        <w:rPr>
          <w:lang w:val="en-GB"/>
        </w:rPr>
      </w:pPr>
      <w:r w:rsidRPr="00E574C9">
        <w:rPr>
          <w:lang w:val="en-GB"/>
        </w:rPr>
        <w:t>R</w:t>
      </w:r>
      <w:r w:rsidR="00DC5246" w:rsidRPr="00E574C9">
        <w:rPr>
          <w:lang w:val="en-GB"/>
        </w:rPr>
        <w:t>enewable energy sources like solar and wind</w:t>
      </w:r>
      <w:r w:rsidR="00036AF6" w:rsidRPr="00E574C9">
        <w:rPr>
          <w:lang w:val="en-GB"/>
        </w:rPr>
        <w:t xml:space="preserve"> are</w:t>
      </w:r>
      <w:r w:rsidRPr="00E574C9">
        <w:rPr>
          <w:lang w:val="en-GB"/>
        </w:rPr>
        <w:t xml:space="preserve"> among the best candidates to power </w:t>
      </w:r>
      <w:r w:rsidR="00380D45" w:rsidRPr="00E574C9">
        <w:rPr>
          <w:lang w:val="en-GB"/>
        </w:rPr>
        <w:t>the energy</w:t>
      </w:r>
      <w:r w:rsidRPr="00E574C9">
        <w:rPr>
          <w:lang w:val="en-GB"/>
        </w:rPr>
        <w:t xml:space="preserve"> transition, although they are characterized by intermittency and non-dispatchability. In other words, their</w:t>
      </w:r>
      <w:r w:rsidR="00036AF6" w:rsidRPr="00E574C9">
        <w:rPr>
          <w:lang w:val="en-GB"/>
        </w:rPr>
        <w:t xml:space="preserve"> output changes more or less predictably during the day and </w:t>
      </w:r>
      <w:r w:rsidR="00B24741" w:rsidRPr="00E574C9">
        <w:rPr>
          <w:lang w:val="en-GB"/>
        </w:rPr>
        <w:t>across</w:t>
      </w:r>
      <w:r w:rsidRPr="00E574C9">
        <w:rPr>
          <w:lang w:val="en-GB"/>
        </w:rPr>
        <w:t xml:space="preserve"> seasons without being able to control it. These characteristics </w:t>
      </w:r>
      <w:r w:rsidR="0011307A" w:rsidRPr="00E574C9">
        <w:rPr>
          <w:lang w:val="en-GB"/>
        </w:rPr>
        <w:t>can be problematic</w:t>
      </w:r>
      <w:r w:rsidRPr="00E574C9">
        <w:rPr>
          <w:lang w:val="en-GB"/>
        </w:rPr>
        <w:t xml:space="preserve"> when integrating </w:t>
      </w:r>
      <w:r w:rsidR="00380D45" w:rsidRPr="00E574C9">
        <w:rPr>
          <w:lang w:val="en-GB"/>
        </w:rPr>
        <w:t>them</w:t>
      </w:r>
      <w:r w:rsidRPr="00E574C9">
        <w:rPr>
          <w:lang w:val="en-GB"/>
        </w:rPr>
        <w:t xml:space="preserve"> in the energy mix</w:t>
      </w:r>
      <w:r w:rsidR="0011307A" w:rsidRPr="00E574C9">
        <w:rPr>
          <w:lang w:val="en-GB"/>
        </w:rPr>
        <w:t xml:space="preserve">, as </w:t>
      </w:r>
      <w:r w:rsidRPr="00E574C9">
        <w:rPr>
          <w:lang w:val="en-GB"/>
        </w:rPr>
        <w:t>they</w:t>
      </w:r>
      <w:r w:rsidR="0011307A" w:rsidRPr="00E574C9">
        <w:rPr>
          <w:lang w:val="en-GB"/>
        </w:rPr>
        <w:t xml:space="preserve"> </w:t>
      </w:r>
      <w:r w:rsidR="00BF4E18">
        <w:rPr>
          <w:lang w:val="en-GB"/>
        </w:rPr>
        <w:t xml:space="preserve">require the </w:t>
      </w:r>
      <w:r w:rsidR="00B43189">
        <w:rPr>
          <w:lang w:val="en-GB"/>
        </w:rPr>
        <w:t>end users</w:t>
      </w:r>
      <w:r w:rsidR="00BF4E18">
        <w:rPr>
          <w:lang w:val="en-GB"/>
        </w:rPr>
        <w:t xml:space="preserve"> to make up for the lack of flexibility from the supply side.</w:t>
      </w:r>
      <w:r w:rsidR="00FE4017" w:rsidRPr="00E574C9">
        <w:rPr>
          <w:lang w:val="en-GB"/>
        </w:rPr>
        <w:t xml:space="preserve"> This </w:t>
      </w:r>
      <w:r w:rsidR="00380D45" w:rsidRPr="00E574C9">
        <w:rPr>
          <w:lang w:val="en-GB"/>
        </w:rPr>
        <w:t>can</w:t>
      </w:r>
      <w:r w:rsidR="004063BF" w:rsidRPr="00E574C9">
        <w:rPr>
          <w:lang w:val="en-GB"/>
        </w:rPr>
        <w:t xml:space="preserve"> </w:t>
      </w:r>
      <w:r w:rsidR="00380D45" w:rsidRPr="00E574C9">
        <w:rPr>
          <w:lang w:val="en-GB"/>
        </w:rPr>
        <w:t>d</w:t>
      </w:r>
      <w:r w:rsidR="004063BF" w:rsidRPr="00E574C9">
        <w:rPr>
          <w:lang w:val="en-GB"/>
        </w:rPr>
        <w:t>eter</w:t>
      </w:r>
      <w:r w:rsidR="00FE4017" w:rsidRPr="00E574C9">
        <w:rPr>
          <w:lang w:val="en-GB"/>
        </w:rPr>
        <w:t xml:space="preserve"> investments in r</w:t>
      </w:r>
      <w:r w:rsidR="00E419FA" w:rsidRPr="00E574C9">
        <w:rPr>
          <w:lang w:val="en-GB"/>
        </w:rPr>
        <w:t>enew</w:t>
      </w:r>
      <w:r w:rsidR="004C0818" w:rsidRPr="00E574C9">
        <w:rPr>
          <w:lang w:val="en-GB"/>
        </w:rPr>
        <w:t>able energy generation</w:t>
      </w:r>
      <w:r w:rsidR="008D238A" w:rsidRPr="00E574C9">
        <w:rPr>
          <w:lang w:val="en-GB"/>
        </w:rPr>
        <w:t xml:space="preserve">, due to the risk </w:t>
      </w:r>
      <w:r w:rsidR="00DD7738" w:rsidRPr="00E574C9">
        <w:rPr>
          <w:lang w:val="en-GB"/>
        </w:rPr>
        <w:t>of</w:t>
      </w:r>
      <w:r w:rsidR="008D238A" w:rsidRPr="00E574C9">
        <w:rPr>
          <w:lang w:val="en-GB"/>
        </w:rPr>
        <w:t xml:space="preserve"> not be</w:t>
      </w:r>
      <w:r w:rsidR="00DD7738" w:rsidRPr="00E574C9">
        <w:rPr>
          <w:lang w:val="en-GB"/>
        </w:rPr>
        <w:t>ing</w:t>
      </w:r>
      <w:r w:rsidR="004063BF" w:rsidRPr="00E574C9">
        <w:rPr>
          <w:lang w:val="en-GB"/>
        </w:rPr>
        <w:t xml:space="preserve"> able to exploit the</w:t>
      </w:r>
      <w:r w:rsidR="008D238A" w:rsidRPr="00E574C9">
        <w:rPr>
          <w:lang w:val="en-GB"/>
        </w:rPr>
        <w:t xml:space="preserve"> </w:t>
      </w:r>
      <w:r w:rsidR="004063BF" w:rsidRPr="00E574C9">
        <w:rPr>
          <w:lang w:val="en-GB"/>
        </w:rPr>
        <w:t xml:space="preserve">installed </w:t>
      </w:r>
      <w:r w:rsidR="008D238A" w:rsidRPr="00E574C9">
        <w:rPr>
          <w:lang w:val="en-GB"/>
        </w:rPr>
        <w:t>capacity at its maximum potential</w:t>
      </w:r>
      <w:r w:rsidR="004063BF" w:rsidRPr="00E574C9">
        <w:rPr>
          <w:lang w:val="en-GB"/>
        </w:rPr>
        <w:t xml:space="preserve"> (Egli, 2016)</w:t>
      </w:r>
      <w:r w:rsidR="004C0818" w:rsidRPr="00E574C9">
        <w:rPr>
          <w:lang w:val="en-GB"/>
        </w:rPr>
        <w:t>. The</w:t>
      </w:r>
      <w:r w:rsidR="00B24741" w:rsidRPr="00E574C9">
        <w:rPr>
          <w:lang w:val="en-GB"/>
        </w:rPr>
        <w:t xml:space="preserve"> </w:t>
      </w:r>
      <w:r w:rsidR="004063BF" w:rsidRPr="00E574C9">
        <w:rPr>
          <w:lang w:val="en-GB"/>
        </w:rPr>
        <w:t>process</w:t>
      </w:r>
      <w:r w:rsidR="004C0818" w:rsidRPr="00E574C9">
        <w:rPr>
          <w:lang w:val="en-GB"/>
        </w:rPr>
        <w:t xml:space="preserve"> industry</w:t>
      </w:r>
      <w:r w:rsidR="00BF4E18">
        <w:rPr>
          <w:lang w:val="en-GB"/>
        </w:rPr>
        <w:t xml:space="preserve">, however, </w:t>
      </w:r>
      <w:r w:rsidR="00BF4E18" w:rsidRPr="00E574C9">
        <w:rPr>
          <w:lang w:val="en-GB"/>
        </w:rPr>
        <w:t>can</w:t>
      </w:r>
      <w:r w:rsidR="00BF4E18">
        <w:rPr>
          <w:lang w:val="en-GB"/>
        </w:rPr>
        <w:t xml:space="preserve"> </w:t>
      </w:r>
      <w:r w:rsidR="003A423B" w:rsidRPr="00E574C9">
        <w:rPr>
          <w:lang w:val="en-GB"/>
        </w:rPr>
        <w:t>provid</w:t>
      </w:r>
      <w:r w:rsidR="00B34004">
        <w:rPr>
          <w:lang w:val="en-GB"/>
        </w:rPr>
        <w:t>e</w:t>
      </w:r>
      <w:r w:rsidR="003A423B" w:rsidRPr="00E574C9">
        <w:rPr>
          <w:lang w:val="en-GB"/>
        </w:rPr>
        <w:t xml:space="preserve"> the necessary flexibility to </w:t>
      </w:r>
      <w:r w:rsidR="002B2F08">
        <w:rPr>
          <w:lang w:val="en-GB"/>
        </w:rPr>
        <w:t xml:space="preserve">ensure a functional integration </w:t>
      </w:r>
      <w:r w:rsidR="005A48AF">
        <w:rPr>
          <w:lang w:val="en-GB"/>
        </w:rPr>
        <w:t xml:space="preserve">of </w:t>
      </w:r>
      <w:r w:rsidR="006E1B82">
        <w:rPr>
          <w:lang w:val="en-GB"/>
        </w:rPr>
        <w:t>non-dispatchable</w:t>
      </w:r>
      <w:r w:rsidR="002552F5">
        <w:rPr>
          <w:lang w:val="en-GB"/>
        </w:rPr>
        <w:t xml:space="preserve"> energy sources</w:t>
      </w:r>
      <w:r w:rsidR="006E1B82">
        <w:rPr>
          <w:lang w:val="en-GB"/>
        </w:rPr>
        <w:t>.</w:t>
      </w:r>
      <w:r w:rsidR="002552F5">
        <w:rPr>
          <w:lang w:val="en-GB"/>
        </w:rPr>
        <w:t xml:space="preserve"> </w:t>
      </w:r>
      <w:r w:rsidR="006E1B82">
        <w:rPr>
          <w:lang w:val="en-GB"/>
        </w:rPr>
        <w:t>B</w:t>
      </w:r>
      <w:r w:rsidR="002552F5">
        <w:rPr>
          <w:lang w:val="en-GB"/>
        </w:rPr>
        <w:t xml:space="preserve">atch processes </w:t>
      </w:r>
      <w:r w:rsidR="00E562D9" w:rsidRPr="00E574C9">
        <w:rPr>
          <w:lang w:val="en-GB"/>
        </w:rPr>
        <w:t xml:space="preserve">can be </w:t>
      </w:r>
      <w:r w:rsidR="002552F5">
        <w:rPr>
          <w:lang w:val="en-GB"/>
        </w:rPr>
        <w:t>very</w:t>
      </w:r>
      <w:r w:rsidR="00E562D9" w:rsidRPr="00E574C9">
        <w:rPr>
          <w:lang w:val="en-GB"/>
        </w:rPr>
        <w:t xml:space="preserve"> </w:t>
      </w:r>
      <w:r w:rsidR="00841F99">
        <w:rPr>
          <w:lang w:val="en-GB"/>
        </w:rPr>
        <w:t>useful</w:t>
      </w:r>
      <w:r w:rsidR="00E562D9" w:rsidRPr="00E574C9">
        <w:rPr>
          <w:lang w:val="en-GB"/>
        </w:rPr>
        <w:t xml:space="preserve"> in </w:t>
      </w:r>
      <w:r w:rsidR="003F79EB">
        <w:rPr>
          <w:lang w:val="en-GB"/>
        </w:rPr>
        <w:t xml:space="preserve">this regard, as their energy consumption </w:t>
      </w:r>
      <w:r w:rsidR="00841F99">
        <w:rPr>
          <w:lang w:val="en-GB"/>
        </w:rPr>
        <w:t>envelope</w:t>
      </w:r>
      <w:r w:rsidR="006E1B82">
        <w:rPr>
          <w:lang w:val="en-GB"/>
        </w:rPr>
        <w:t xml:space="preserve"> is peaked in its nature and can be modified in different ways to match </w:t>
      </w:r>
      <w:r w:rsidR="005A48AF">
        <w:rPr>
          <w:lang w:val="en-GB"/>
        </w:rPr>
        <w:t xml:space="preserve">the </w:t>
      </w:r>
      <w:r w:rsidR="006E1B82">
        <w:rPr>
          <w:lang w:val="en-GB"/>
        </w:rPr>
        <w:t>times of</w:t>
      </w:r>
      <w:r w:rsidR="005A48AF">
        <w:rPr>
          <w:lang w:val="en-GB"/>
        </w:rPr>
        <w:t xml:space="preserve"> the availability of</w:t>
      </w:r>
      <w:r w:rsidR="006E1B82">
        <w:rPr>
          <w:lang w:val="en-GB"/>
        </w:rPr>
        <w:t xml:space="preserve"> renewable energy availability</w:t>
      </w:r>
      <w:r w:rsidR="00E562D9" w:rsidRPr="00E574C9">
        <w:rPr>
          <w:lang w:val="en-GB"/>
        </w:rPr>
        <w:t>.</w:t>
      </w:r>
      <w:r w:rsidR="00707881" w:rsidRPr="00E574C9">
        <w:rPr>
          <w:lang w:val="en-GB"/>
        </w:rPr>
        <w:t xml:space="preserve"> </w:t>
      </w:r>
      <w:r w:rsidR="008A3776" w:rsidRPr="00E574C9">
        <w:rPr>
          <w:lang w:val="en-GB"/>
        </w:rPr>
        <w:t xml:space="preserve">The goal of this contribution is to </w:t>
      </w:r>
      <w:r w:rsidR="003F79EB">
        <w:rPr>
          <w:lang w:val="en-GB"/>
        </w:rPr>
        <w:t>showcase</w:t>
      </w:r>
      <w:r w:rsidR="008A3776" w:rsidRPr="00E574C9">
        <w:rPr>
          <w:lang w:val="en-GB"/>
        </w:rPr>
        <w:t xml:space="preserve"> how this flexibility can be </w:t>
      </w:r>
      <w:r w:rsidR="007173A6" w:rsidRPr="00E574C9">
        <w:rPr>
          <w:lang w:val="en-GB"/>
        </w:rPr>
        <w:t xml:space="preserve">exploited to </w:t>
      </w:r>
      <w:r w:rsidR="00A01D3B" w:rsidRPr="00E574C9">
        <w:rPr>
          <w:lang w:val="en-GB"/>
        </w:rPr>
        <w:t>make better use of available renewable sources</w:t>
      </w:r>
      <w:r w:rsidR="00455951">
        <w:rPr>
          <w:lang w:val="en-GB"/>
        </w:rPr>
        <w:t xml:space="preserve"> and to summarize the requirements for this to be possible</w:t>
      </w:r>
      <w:r w:rsidR="00A01D3B" w:rsidRPr="00E574C9">
        <w:rPr>
          <w:lang w:val="en-GB"/>
        </w:rPr>
        <w:t>.</w:t>
      </w:r>
      <w:r w:rsidR="007173A6" w:rsidRPr="00E574C9">
        <w:rPr>
          <w:lang w:val="en-GB"/>
        </w:rPr>
        <w:t xml:space="preserve"> </w:t>
      </w:r>
    </w:p>
    <w:p w14:paraId="6C0CD07F" w14:textId="46913E82" w:rsidR="003208B3" w:rsidRPr="00E574C9" w:rsidRDefault="00743BE0" w:rsidP="00F8582B">
      <w:pPr>
        <w:pStyle w:val="CETHeading1"/>
      </w:pPr>
      <w:r>
        <w:t>Description of the process</w:t>
      </w:r>
    </w:p>
    <w:p w14:paraId="366FCAC7" w14:textId="703FD097" w:rsidR="00513F58" w:rsidRDefault="00F14BFB" w:rsidP="00F14BFB">
      <w:pPr>
        <w:pStyle w:val="CETBodytext"/>
        <w:rPr>
          <w:noProof/>
        </w:rPr>
      </w:pPr>
      <w:r w:rsidRPr="00E574C9">
        <w:t xml:space="preserve">The </w:t>
      </w:r>
      <w:r w:rsidR="009979DE" w:rsidRPr="00E574C9">
        <w:t xml:space="preserve">process </w:t>
      </w:r>
      <w:r w:rsidR="00A24FA5" w:rsidRPr="00E574C9">
        <w:t>used</w:t>
      </w:r>
      <w:r w:rsidR="009979DE" w:rsidRPr="00E574C9">
        <w:t xml:space="preserve"> as </w:t>
      </w:r>
      <w:r w:rsidRPr="00E574C9">
        <w:t xml:space="preserve">case study </w:t>
      </w:r>
      <w:r w:rsidR="009979DE" w:rsidRPr="00E574C9">
        <w:t>is the synthesis of titanium dioxide nanoparticles</w:t>
      </w:r>
      <w:r w:rsidRPr="00E574C9">
        <w:t xml:space="preserve">. </w:t>
      </w:r>
      <w:r w:rsidR="009979DE" w:rsidRPr="00E574C9">
        <w:t xml:space="preserve">In this process, a suspension of nanoparticles </w:t>
      </w:r>
      <w:r w:rsidR="003F79EB">
        <w:t>is driven</w:t>
      </w:r>
      <w:r w:rsidR="009979DE" w:rsidRPr="00E574C9">
        <w:t xml:space="preserve"> towards an equilibrium particle size distribution, which depends on the composition </w:t>
      </w:r>
      <w:r w:rsidR="0042667B" w:rsidRPr="00E574C9">
        <w:t>of the suspension and its temperature</w:t>
      </w:r>
      <w:r w:rsidR="0098783A" w:rsidRPr="00E574C9">
        <w:t xml:space="preserve"> (Vorkapic and Matsoukas, 2005)</w:t>
      </w:r>
      <w:r w:rsidR="009979DE" w:rsidRPr="00E574C9">
        <w:t xml:space="preserve">. </w:t>
      </w:r>
      <w:r w:rsidR="003F79EB">
        <w:t>The process occurs over a time windo</w:t>
      </w:r>
      <w:r w:rsidR="0051756A">
        <w:t xml:space="preserve">w of six hours, and it essentially involves the distillation of a byproduct of </w:t>
      </w:r>
      <w:r w:rsidR="005A48AF">
        <w:t xml:space="preserve">the </w:t>
      </w:r>
      <w:r w:rsidR="0051756A">
        <w:t>reaction.</w:t>
      </w:r>
      <w:r w:rsidR="003F79EB">
        <w:t xml:space="preserve"> </w:t>
      </w:r>
      <w:r w:rsidRPr="00E574C9">
        <w:t xml:space="preserve">The plant </w:t>
      </w:r>
      <w:r w:rsidR="0029358B" w:rsidRPr="00E574C9">
        <w:t xml:space="preserve">consists of </w:t>
      </w:r>
      <w:r w:rsidRPr="00E574C9">
        <w:t>a</w:t>
      </w:r>
      <w:r w:rsidR="00845E2E" w:rsidRPr="00E574C9">
        <w:t>n electrically heated</w:t>
      </w:r>
      <w:r w:rsidRPr="00E574C9">
        <w:t xml:space="preserve"> reaction vessel</w:t>
      </w:r>
      <w:r w:rsidR="0029358B" w:rsidRPr="00E574C9">
        <w:t xml:space="preserve"> that is</w:t>
      </w:r>
      <w:r w:rsidR="00845E2E" w:rsidRPr="00E574C9">
        <w:t xml:space="preserve"> coupled to </w:t>
      </w:r>
      <w:r w:rsidR="009979DE" w:rsidRPr="00E574C9">
        <w:t>an overhead vapor condenser</w:t>
      </w:r>
      <w:r w:rsidRPr="00E574C9">
        <w:t xml:space="preserve">. </w:t>
      </w:r>
      <w:r w:rsidR="00392EF8" w:rsidRPr="00E574C9">
        <w:t xml:space="preserve">The vessel </w:t>
      </w:r>
      <w:r w:rsidR="0098783A" w:rsidRPr="00E574C9">
        <w:t xml:space="preserve">is initially loaded with a mixture of water and titanium </w:t>
      </w:r>
      <w:r w:rsidR="0072339B">
        <w:t>isopropoxide</w:t>
      </w:r>
      <w:r w:rsidR="00B004FF">
        <w:t xml:space="preserve"> (precursor). The precursor </w:t>
      </w:r>
      <w:r w:rsidR="00C52B31">
        <w:t>is hydrolyzed by</w:t>
      </w:r>
      <w:r w:rsidR="00B004FF">
        <w:t xml:space="preserve"> water</w:t>
      </w:r>
      <w:r w:rsidR="003A4456">
        <w:t xml:space="preserve"> and </w:t>
      </w:r>
      <w:r w:rsidR="00953CBC">
        <w:rPr>
          <w:noProof/>
        </w:rPr>
        <w:t xml:space="preserve"> </w:t>
      </w:r>
      <w:r w:rsidR="00953CBC">
        <w:t xml:space="preserve"> </w:t>
      </w:r>
      <w:r w:rsidR="003A4456">
        <w:lastRenderedPageBreak/>
        <w:t xml:space="preserve">generates a pool of titanium dioxide </w:t>
      </w:r>
      <w:r w:rsidR="009161DA">
        <w:t xml:space="preserve">primary </w:t>
      </w:r>
      <w:r w:rsidR="003A4456">
        <w:t>particles</w:t>
      </w:r>
      <w:r w:rsidR="00B004FF">
        <w:t xml:space="preserve"> and an alcoholic byproduct </w:t>
      </w:r>
      <w:r w:rsidR="005A48AF">
        <w:t xml:space="preserve">that is </w:t>
      </w:r>
      <w:r w:rsidR="00B004FF">
        <w:t>miscible in water</w:t>
      </w:r>
      <w:r w:rsidR="003A4456">
        <w:t xml:space="preserve">. </w:t>
      </w:r>
      <w:r w:rsidR="00C52B31">
        <w:t xml:space="preserve">A </w:t>
      </w:r>
      <w:r w:rsidR="00D9140A">
        <w:t>distribution of aggregates of different particle sizes</w:t>
      </w:r>
      <w:r w:rsidR="00C52B31">
        <w:t xml:space="preserve"> </w:t>
      </w:r>
      <w:r w:rsidR="00DF2A2D">
        <w:t xml:space="preserve">is </w:t>
      </w:r>
      <w:r w:rsidR="008C435D">
        <w:t>produced</w:t>
      </w:r>
      <w:r w:rsidR="00C52B31">
        <w:t xml:space="preserve"> as a result of agglomeration and deagglomeration processes</w:t>
      </w:r>
      <w:r w:rsidR="0098783A" w:rsidRPr="00E574C9">
        <w:t xml:space="preserve">. </w:t>
      </w:r>
      <w:r w:rsidR="00B004FF">
        <w:t xml:space="preserve">The byproduct of reaction </w:t>
      </w:r>
      <w:r w:rsidR="009161DA">
        <w:t>promotes the</w:t>
      </w:r>
      <w:r w:rsidR="00A10EEC">
        <w:t xml:space="preserve"> </w:t>
      </w:r>
      <w:r w:rsidR="00C52B31">
        <w:t>agglomeration</w:t>
      </w:r>
      <w:r w:rsidR="009161DA">
        <w:t xml:space="preserve"> process</w:t>
      </w:r>
      <w:r w:rsidR="00B76C07">
        <w:t xml:space="preserve"> and </w:t>
      </w:r>
      <w:r w:rsidR="00D9140A">
        <w:t xml:space="preserve">as a result, </w:t>
      </w:r>
      <w:r w:rsidR="005A48AF">
        <w:t xml:space="preserve">the forming of </w:t>
      </w:r>
      <w:r w:rsidR="00B76C07">
        <w:t xml:space="preserve">larger </w:t>
      </w:r>
      <w:r w:rsidR="00B004FF">
        <w:t>aggregates</w:t>
      </w:r>
      <w:r>
        <w:t xml:space="preserve">. In order to </w:t>
      </w:r>
      <w:r w:rsidR="006E4459">
        <w:rPr>
          <w:noProof/>
        </w:rPr>
        <mc:AlternateContent>
          <mc:Choice Requires="wps">
            <w:drawing>
              <wp:anchor distT="0" distB="0" distL="114300" distR="114300" simplePos="0" relativeHeight="251664384" behindDoc="0" locked="0" layoutInCell="1" allowOverlap="1" wp14:anchorId="2BFAD0B7" wp14:editId="2CCD3C2B">
                <wp:simplePos x="0" y="0"/>
                <wp:positionH relativeFrom="column">
                  <wp:posOffset>-2540</wp:posOffset>
                </wp:positionH>
                <wp:positionV relativeFrom="paragraph">
                  <wp:posOffset>570865</wp:posOffset>
                </wp:positionV>
                <wp:extent cx="2679065" cy="2790825"/>
                <wp:effectExtent l="0" t="0" r="6985" b="9525"/>
                <wp:wrapSquare wrapText="bothSides"/>
                <wp:docPr id="904" name="Text Box 904"/>
                <wp:cNvGraphicFramePr/>
                <a:graphic xmlns:a="http://schemas.openxmlformats.org/drawingml/2006/main">
                  <a:graphicData uri="http://schemas.microsoft.com/office/word/2010/wordprocessingShape">
                    <wps:wsp>
                      <wps:cNvSpPr txBox="1"/>
                      <wps:spPr>
                        <a:xfrm>
                          <a:off x="0" y="0"/>
                          <a:ext cx="2679065" cy="2790825"/>
                        </a:xfrm>
                        <a:prstGeom prst="rect">
                          <a:avLst/>
                        </a:prstGeom>
                        <a:solidFill>
                          <a:prstClr val="white"/>
                        </a:solidFill>
                        <a:ln>
                          <a:noFill/>
                        </a:ln>
                      </wps:spPr>
                      <wps:txbx>
                        <w:txbxContent>
                          <w:p w14:paraId="1D4E5DBD" w14:textId="032ED842" w:rsidR="00287481" w:rsidRDefault="00287481" w:rsidP="00953CBC">
                            <w:pPr>
                              <w:pStyle w:val="CETCaption"/>
                              <w:rPr>
                                <w:lang w:val="en-US"/>
                              </w:rPr>
                            </w:pPr>
                            <w:r>
                              <w:rPr>
                                <w:noProof/>
                                <w:lang w:val="en-US"/>
                              </w:rPr>
                              <w:drawing>
                                <wp:inline distT="0" distB="0" distL="0" distR="0" wp14:anchorId="372B1838" wp14:editId="380466BF">
                                  <wp:extent cx="2630862" cy="1813151"/>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903" name="Picture 903"/>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4155" cy="1815420"/>
                                          </a:xfrm>
                                          <a:prstGeom prst="rect">
                                            <a:avLst/>
                                          </a:prstGeom>
                                          <a:noFill/>
                                        </pic:spPr>
                                      </pic:pic>
                                    </a:graphicData>
                                  </a:graphic>
                                </wp:inline>
                              </w:drawing>
                            </w:r>
                          </w:p>
                          <w:p w14:paraId="15A0FAB2" w14:textId="34E74176" w:rsidR="00287481" w:rsidRPr="00C33C35" w:rsidRDefault="00287481" w:rsidP="00953CBC">
                            <w:pPr>
                              <w:pStyle w:val="CETCaption"/>
                              <w:rPr>
                                <w:lang w:val="en-US"/>
                              </w:rPr>
                            </w:pPr>
                            <w:r w:rsidRPr="00C33C35">
                              <w:rPr>
                                <w:lang w:val="en-US"/>
                              </w:rPr>
                              <w:t>Figure 1: process diagram</w:t>
                            </w:r>
                            <w:r>
                              <w:rPr>
                                <w:lang w:val="en-US"/>
                              </w:rPr>
                              <w:t xml:space="preserve"> for the case study. The dashed lines represent electrical connections with the power sources. The arrows denote the direction of  flow of energy.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FAD0B7" id="_x0000_t202" coordsize="21600,21600" o:spt="202" path="m,l,21600r21600,l21600,xe">
                <v:stroke joinstyle="miter"/>
                <v:path gradientshapeok="t" o:connecttype="rect"/>
              </v:shapetype>
              <v:shape id="Text Box 904" o:spid="_x0000_s1026" type="#_x0000_t202" style="position:absolute;left:0;text-align:left;margin-left:-.2pt;margin-top:44.95pt;width:210.95pt;height:21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" stroked="f">
                <v:textbox inset="0,0,0,0">
                  <w:txbxContent>
                    <w:p w14:paraId="1D4E5DBD" w14:textId="032ED842" w:rsidR="00287481" w:rsidRDefault="00287481" w:rsidP="00953CBC">
                      <w:pPr>
                        <w:pStyle w:val="CETCaption"/>
                        <w:rPr>
                          <w:lang w:val="en-US"/>
                        </w:rPr>
                      </w:pPr>
                      <w:r>
                        <w:rPr>
                          <w:noProof/>
                          <w:lang w:val="en-US"/>
                        </w:rPr>
                        <w:drawing>
                          <wp:inline distT="0" distB="0" distL="0" distR="0" wp14:anchorId="372B1838" wp14:editId="380466BF">
                            <wp:extent cx="2630862" cy="1813151"/>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903" name="Picture 903"/>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4155" cy="1815420"/>
                                    </a:xfrm>
                                    <a:prstGeom prst="rect">
                                      <a:avLst/>
                                    </a:prstGeom>
                                    <a:noFill/>
                                  </pic:spPr>
                                </pic:pic>
                              </a:graphicData>
                            </a:graphic>
                          </wp:inline>
                        </w:drawing>
                      </w:r>
                    </w:p>
                    <w:p w14:paraId="15A0FAB2" w14:textId="34E74176" w:rsidR="00287481" w:rsidRPr="00C33C35" w:rsidRDefault="00287481" w:rsidP="00953CBC">
                      <w:pPr>
                        <w:pStyle w:val="CETCaption"/>
                        <w:rPr>
                          <w:lang w:val="en-US"/>
                        </w:rPr>
                      </w:pPr>
                      <w:r w:rsidRPr="00C33C35">
                        <w:rPr>
                          <w:lang w:val="en-US"/>
                        </w:rPr>
                        <w:t>Figure 1: process diagram</w:t>
                      </w:r>
                      <w:r>
                        <w:rPr>
                          <w:lang w:val="en-US"/>
                        </w:rPr>
                        <w:t xml:space="preserve"> for the case study. The dashed lines represent electrical connections with the power sources. The arrows denote the direction of  flow of energy. </w:t>
                      </w:r>
                    </w:p>
                  </w:txbxContent>
                </v:textbox>
                <w10:wrap type="square"/>
              </v:shape>
            </w:pict>
          </mc:Fallback>
        </mc:AlternateContent>
      </w:r>
      <w:r>
        <w:t>obtain</w:t>
      </w:r>
      <w:r w:rsidR="00D9140A">
        <w:t xml:space="preserve"> a particle population with smaller sizes</w:t>
      </w:r>
      <w:r>
        <w:t xml:space="preserve">, </w:t>
      </w:r>
      <w:r w:rsidR="009979DE">
        <w:t>the</w:t>
      </w:r>
      <w:r>
        <w:t xml:space="preserve"> alcohol </w:t>
      </w:r>
      <w:r w:rsidR="0098783A">
        <w:t>needs</w:t>
      </w:r>
      <w:r w:rsidR="00DB0D66">
        <w:t xml:space="preserve"> to</w:t>
      </w:r>
      <w:r>
        <w:t xml:space="preserve"> </w:t>
      </w:r>
      <w:r w:rsidR="0029358B">
        <w:t xml:space="preserve">be </w:t>
      </w:r>
      <w:r w:rsidR="00B004FF">
        <w:t>evaporated</w:t>
      </w:r>
      <w:r w:rsidR="0029358B">
        <w:t xml:space="preserve"> under vacuum. </w:t>
      </w:r>
      <w:r w:rsidR="00C52B31">
        <w:t>T</w:t>
      </w:r>
      <w:r w:rsidR="003A4456">
        <w:t>he heating power</w:t>
      </w:r>
      <w:r w:rsidR="00F830C9">
        <w:t> </w:t>
      </w:r>
      <m:oMath>
        <m:acc>
          <m:accPr>
            <m:chr m:val="̇"/>
            <m:ctrlPr>
              <w:rPr>
                <w:rFonts w:ascii="Cambria Math" w:hAnsi="Cambria Math"/>
                <w:i/>
              </w:rPr>
            </m:ctrlPr>
          </m:accPr>
          <m:e>
            <m:r>
              <w:rPr>
                <w:rFonts w:ascii="Cambria Math" w:hAnsi="Cambria Math"/>
              </w:rPr>
              <m:t>Q</m:t>
            </m:r>
          </m:e>
        </m:acc>
        <m:r>
          <w:rPr>
            <w:rFonts w:ascii="Cambria Math" w:hAnsi="Cambria Math"/>
          </w:rPr>
          <m:t>(t)</m:t>
        </m:r>
      </m:oMath>
      <w:r w:rsidR="003A4456">
        <w:t xml:space="preserve"> and </w:t>
      </w:r>
      <w:r w:rsidR="0029358B">
        <w:t xml:space="preserve">the </w:t>
      </w:r>
      <w:r w:rsidR="00D76D27">
        <w:t>evaporator</w:t>
      </w:r>
      <w:r w:rsidR="0029358B">
        <w:t xml:space="preserve"> pressure</w:t>
      </w:r>
      <w:r w:rsidR="00A10EEC">
        <w:t xml:space="preserve"> </w:t>
      </w:r>
      <m:oMath>
        <m:r>
          <w:rPr>
            <w:rFonts w:ascii="Cambria Math" w:hAnsi="Cambria Math"/>
          </w:rPr>
          <m:t>P(t)</m:t>
        </m:r>
      </m:oMath>
      <w:r w:rsidR="00F830C9">
        <w:t xml:space="preserve"> </w:t>
      </w:r>
      <w:r w:rsidR="00C52B31">
        <w:t>are manipulated to control the process</w:t>
      </w:r>
      <w:r w:rsidR="00A10EEC">
        <w:t xml:space="preserve">. </w:t>
      </w:r>
      <w:r w:rsidR="001A2E6F">
        <w:t>A</w:t>
      </w:r>
      <w:r w:rsidR="00513F58">
        <w:t xml:space="preserve"> mathematical model </w:t>
      </w:r>
      <w:r w:rsidR="009D2E4C">
        <w:t xml:space="preserve">of the process </w:t>
      </w:r>
      <w:r w:rsidR="001A2E6F">
        <w:t xml:space="preserve">consisting </w:t>
      </w:r>
      <w:r w:rsidR="00513F58">
        <w:t>of</w:t>
      </w:r>
      <w:r w:rsidR="001A2E6F">
        <w:t xml:space="preserve"> </w:t>
      </w:r>
      <w:r w:rsidR="00F830C9">
        <w:t xml:space="preserve">mass and energy balances, </w:t>
      </w:r>
      <w:r w:rsidR="001A2E6F">
        <w:t xml:space="preserve">the </w:t>
      </w:r>
      <w:r w:rsidR="00F830C9">
        <w:t>vapor-liquid equilibrium equations and the moment balance equations of the particle size distribution</w:t>
      </w:r>
      <w:r w:rsidR="001A2E6F">
        <w:t xml:space="preserve"> was </w:t>
      </w:r>
      <w:r w:rsidR="0061727E">
        <w:t xml:space="preserve">developed and </w:t>
      </w:r>
      <w:r w:rsidR="001A2E6F">
        <w:t xml:space="preserve">presented </w:t>
      </w:r>
      <w:r w:rsidR="004D58C2">
        <w:t>in previous work</w:t>
      </w:r>
      <w:r w:rsidR="00B004FF">
        <w:t>.</w:t>
      </w:r>
      <w:r w:rsidR="00F830C9">
        <w:t xml:space="preserve"> The state of the system is </w:t>
      </w:r>
      <w:r w:rsidR="00FC5511">
        <w:t xml:space="preserve">given by the </w:t>
      </w:r>
      <w:r w:rsidR="00F830C9">
        <w:t>the moles of water and alcohol</w:t>
      </w:r>
      <w:r w:rsidR="00FC5511">
        <w:t xml:space="preserve"> in the liquid phase</w:t>
      </w:r>
      <w:r w:rsidR="00F830C9">
        <w:t>, the temperature</w:t>
      </w:r>
      <w:r w:rsidR="006A7F65">
        <w:t xml:space="preserve"> of the liquid</w:t>
      </w:r>
      <w:r w:rsidR="00985509">
        <w:t>,</w:t>
      </w:r>
      <w:r w:rsidR="00F830C9">
        <w:t xml:space="preserve"> the moments of the particle size distribution</w:t>
      </w:r>
      <w:r w:rsidR="00B004FF">
        <w:t xml:space="preserve"> and the fraction of </w:t>
      </w:r>
      <w:r w:rsidR="00D76D27">
        <w:t xml:space="preserve">alcohol </w:t>
      </w:r>
      <w:r w:rsidR="00953CBC">
        <w:rPr>
          <w:noProof/>
        </w:rPr>
        <w:t xml:space="preserve"> </w:t>
      </w:r>
      <w:r w:rsidR="00D76D27">
        <w:t>bound</w:t>
      </w:r>
      <w:r w:rsidR="00B004FF">
        <w:t xml:space="preserve"> to the surface of the aggregates</w:t>
      </w:r>
      <w:r w:rsidR="005A48AF">
        <w:t>. The model is c</w:t>
      </w:r>
      <w:r w:rsidR="00FC5511">
        <w:t>omp</w:t>
      </w:r>
      <w:r w:rsidR="005A48AF">
        <w:t xml:space="preserve">actly represented by using the state vector </w:t>
      </w:r>
      <m:oMath>
        <m:r>
          <m:rPr>
            <m:sty m:val="bi"/>
          </m:rPr>
          <w:rPr>
            <w:rFonts w:ascii="Cambria Math" w:hAnsi="Cambria Math"/>
          </w:rPr>
          <m:t>x</m:t>
        </m:r>
        <m:r>
          <w:rPr>
            <w:rFonts w:ascii="Cambria Math" w:hAnsi="Cambria Math"/>
          </w:rPr>
          <m:t>=</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W</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A</m:t>
                    </m:r>
                  </m:sub>
                </m:sSub>
                <m:r>
                  <w:rPr>
                    <w:rFonts w:ascii="Cambria Math" w:hAnsi="Cambria Math"/>
                  </w:rPr>
                  <m:t>,T,</m:t>
                </m:r>
                <m:sSub>
                  <m:sSubPr>
                    <m:ctrlPr>
                      <w:rPr>
                        <w:rFonts w:ascii="Cambria Math" w:hAnsi="Cambria Math"/>
                        <w:i/>
                      </w:rPr>
                    </m:ctrlPr>
                  </m:sSubPr>
                  <m:e>
                    <m:r>
                      <w:rPr>
                        <w:rFonts w:ascii="Cambria Math" w:hAnsi="Cambria Math"/>
                      </w:rPr>
                      <m:t>μ</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N-1</m:t>
                    </m:r>
                  </m:sub>
                </m:sSub>
                <m:r>
                  <w:rPr>
                    <w:rFonts w:ascii="Cambria Math" w:hAnsi="Cambria Math"/>
                  </w:rPr>
                  <m:t>,s</m:t>
                </m:r>
              </m:e>
            </m:d>
          </m:e>
          <m:sup>
            <m:r>
              <m:rPr>
                <m:sty m:val="p"/>
              </m:rPr>
              <w:rPr>
                <w:rFonts w:ascii="Cambria Math" w:hAnsi="Cambria Math"/>
              </w:rPr>
              <m:t>T</m:t>
            </m:r>
          </m:sup>
        </m:sSup>
      </m:oMath>
      <w:r w:rsidR="004A355F">
        <w:t xml:space="preserve">. From the moments, it is possible to compute an average particle size </w:t>
      </w:r>
      <m:oMath>
        <m:r>
          <w:rPr>
            <w:rFonts w:ascii="Cambria Math" w:hAnsi="Cambria Math"/>
          </w:rPr>
          <m:t>Z=Z(</m:t>
        </m:r>
        <m:sSub>
          <m:sSubPr>
            <m:ctrlPr>
              <w:rPr>
                <w:rFonts w:ascii="Cambria Math" w:hAnsi="Cambria Math"/>
                <w:i/>
              </w:rPr>
            </m:ctrlPr>
          </m:sSubPr>
          <m:e>
            <m:r>
              <w:rPr>
                <w:rFonts w:ascii="Cambria Math" w:hAnsi="Cambria Math"/>
              </w:rPr>
              <m:t>μ</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N-1</m:t>
            </m:r>
          </m:sub>
        </m:sSub>
        <m:r>
          <w:rPr>
            <w:rFonts w:ascii="Cambria Math" w:hAnsi="Cambria Math"/>
          </w:rPr>
          <m:t>)</m:t>
        </m:r>
      </m:oMath>
      <w:r w:rsidR="00B33BBE">
        <w:t xml:space="preserve"> which is used to c</w:t>
      </w:r>
      <w:r w:rsidR="00FC5511">
        <w:t>haracterize the product quality</w:t>
      </w:r>
      <w:r w:rsidR="00F830C9">
        <w:t xml:space="preserve">. </w:t>
      </w:r>
      <w:r w:rsidR="004A355F">
        <w:t xml:space="preserve">The </w:t>
      </w:r>
      <w:r w:rsidR="005A48AF">
        <w:t>vector</w:t>
      </w:r>
      <w:r w:rsidR="004A355F">
        <w:t xml:space="preserve"> </w:t>
      </w:r>
      <m:oMath>
        <m:r>
          <m:rPr>
            <m:sty m:val="bi"/>
          </m:rPr>
          <w:rPr>
            <w:rFonts w:ascii="Cambria Math" w:hAnsi="Cambria Math"/>
          </w:rPr>
          <m:t>u</m:t>
        </m:r>
        <m:r>
          <w:rPr>
            <w:rFonts w:ascii="Cambria Math" w:hAnsi="Cambria Math"/>
          </w:rPr>
          <m:t>=</m:t>
        </m:r>
        <m:sSup>
          <m:sSupPr>
            <m:ctrlPr>
              <w:rPr>
                <w:rFonts w:ascii="Cambria Math" w:hAnsi="Cambria Math"/>
                <w:i/>
              </w:rPr>
            </m:ctrlPr>
          </m:sSupPr>
          <m:e>
            <m:d>
              <m:dPr>
                <m:ctrlPr>
                  <w:rPr>
                    <w:rFonts w:ascii="Cambria Math" w:hAnsi="Cambria Math"/>
                    <w:i/>
                  </w:rPr>
                </m:ctrlPr>
              </m:dPr>
              <m:e>
                <m:acc>
                  <m:accPr>
                    <m:chr m:val="̇"/>
                    <m:ctrlPr>
                      <w:rPr>
                        <w:rFonts w:ascii="Cambria Math" w:hAnsi="Cambria Math"/>
                        <w:i/>
                      </w:rPr>
                    </m:ctrlPr>
                  </m:accPr>
                  <m:e>
                    <m:r>
                      <w:rPr>
                        <w:rFonts w:ascii="Cambria Math" w:hAnsi="Cambria Math"/>
                      </w:rPr>
                      <m:t>Q</m:t>
                    </m:r>
                  </m:e>
                </m:acc>
                <m:r>
                  <w:rPr>
                    <w:rFonts w:ascii="Cambria Math" w:hAnsi="Cambria Math"/>
                  </w:rPr>
                  <m:t>,P</m:t>
                </m:r>
              </m:e>
            </m:d>
          </m:e>
          <m:sup>
            <m:r>
              <m:rPr>
                <m:sty m:val="p"/>
              </m:rPr>
              <w:rPr>
                <w:rFonts w:ascii="Cambria Math" w:hAnsi="Cambria Math"/>
              </w:rPr>
              <m:t>T</m:t>
            </m:r>
          </m:sup>
        </m:sSup>
      </m:oMath>
      <w:r w:rsidR="004A355F">
        <w:t xml:space="preserve"> is referred to as</w:t>
      </w:r>
      <w:r w:rsidR="005A48AF">
        <w:t xml:space="preserve"> the</w:t>
      </w:r>
      <w:r w:rsidR="004A355F">
        <w:t xml:space="preserve"> input vector. </w:t>
      </w:r>
      <w:r w:rsidR="00F830C9">
        <w:t xml:space="preserve">The evolution of the system is described by a set of differential equations </w:t>
      </w:r>
      <m:oMath>
        <m:acc>
          <m:accPr>
            <m:chr m:val="̇"/>
            <m:ctrlPr>
              <w:rPr>
                <w:rFonts w:ascii="Cambria Math" w:hAnsi="Cambria Math"/>
                <w:b/>
                <w:i/>
              </w:rPr>
            </m:ctrlPr>
          </m:accPr>
          <m:e>
            <m:r>
              <m:rPr>
                <m:sty m:val="bi"/>
              </m:rPr>
              <w:rPr>
                <w:rFonts w:ascii="Cambria Math" w:hAnsi="Cambria Math"/>
              </w:rPr>
              <m:t>x</m:t>
            </m:r>
          </m:e>
        </m:acc>
        <m:r>
          <w:rPr>
            <w:rFonts w:ascii="Cambria Math" w:hAnsi="Cambria Math"/>
          </w:rPr>
          <m:t>=</m:t>
        </m:r>
        <m:r>
          <m:rPr>
            <m:sty m:val="bi"/>
          </m:rPr>
          <w:rPr>
            <w:rFonts w:ascii="Cambria Math" w:hAnsi="Cambria Math"/>
          </w:rPr>
          <m:t>f</m:t>
        </m:r>
        <m:d>
          <m:dPr>
            <m:ctrlPr>
              <w:rPr>
                <w:rFonts w:ascii="Cambria Math" w:hAnsi="Cambria Math"/>
                <w:i/>
              </w:rPr>
            </m:ctrlPr>
          </m:dPr>
          <m:e>
            <m:r>
              <m:rPr>
                <m:sty m:val="bi"/>
              </m:rPr>
              <w:rPr>
                <w:rFonts w:ascii="Cambria Math" w:hAnsi="Cambria Math"/>
              </w:rPr>
              <m:t>x</m:t>
            </m:r>
            <m:r>
              <w:rPr>
                <w:rFonts w:ascii="Cambria Math" w:hAnsi="Cambria Math"/>
              </w:rPr>
              <m:t>,</m:t>
            </m:r>
            <m:r>
              <m:rPr>
                <m:sty m:val="bi"/>
              </m:rPr>
              <w:rPr>
                <w:rFonts w:ascii="Cambria Math" w:hAnsi="Cambria Math"/>
              </w:rPr>
              <m:t>u</m:t>
            </m:r>
          </m:e>
        </m:d>
      </m:oMath>
      <w:r w:rsidR="00F830C9">
        <w:t xml:space="preserve">. </w:t>
      </w:r>
      <w:r w:rsidR="004A355F">
        <w:t>The instantaneous</w:t>
      </w:r>
      <w:r w:rsidR="005A48AF">
        <w:t xml:space="preserve"> electrical</w:t>
      </w:r>
      <w:r w:rsidR="004A355F">
        <w:t xml:space="preserve"> power consumption of the process outlet </w:t>
      </w:r>
      <m:oMath>
        <m:acc>
          <m:accPr>
            <m:chr m:val="̇"/>
            <m:ctrlPr>
              <w:rPr>
                <w:rFonts w:ascii="Cambria Math" w:hAnsi="Cambria Math"/>
                <w:i/>
              </w:rPr>
            </m:ctrlPr>
          </m:accPr>
          <m:e>
            <m:r>
              <w:rPr>
                <w:rFonts w:ascii="Cambria Math" w:hAnsi="Cambria Math"/>
              </w:rPr>
              <m:t>E</m:t>
            </m:r>
          </m:e>
        </m:acc>
        <m:r>
          <w:rPr>
            <w:rFonts w:ascii="Cambria Math" w:hAnsi="Cambria Math"/>
          </w:rPr>
          <m:t>=</m:t>
        </m:r>
        <m:acc>
          <m:accPr>
            <m:chr m:val="̇"/>
            <m:ctrlPr>
              <w:rPr>
                <w:rFonts w:ascii="Cambria Math" w:hAnsi="Cambria Math"/>
                <w:i/>
              </w:rPr>
            </m:ctrlPr>
          </m:accPr>
          <m:e>
            <m:r>
              <w:rPr>
                <w:rFonts w:ascii="Cambria Math" w:hAnsi="Cambria Math"/>
              </w:rPr>
              <m:t>E</m:t>
            </m:r>
          </m:e>
        </m:acc>
        <m:r>
          <w:rPr>
            <w:rFonts w:ascii="Cambria Math" w:hAnsi="Cambria Math"/>
          </w:rPr>
          <m:t>(</m:t>
        </m:r>
        <m:r>
          <m:rPr>
            <m:sty m:val="bi"/>
          </m:rPr>
          <w:rPr>
            <w:rFonts w:ascii="Cambria Math" w:hAnsi="Cambria Math"/>
          </w:rPr>
          <m:t>x</m:t>
        </m:r>
        <m:r>
          <w:rPr>
            <w:rFonts w:ascii="Cambria Math" w:hAnsi="Cambria Math"/>
          </w:rPr>
          <m:t>,</m:t>
        </m:r>
        <m:r>
          <m:rPr>
            <m:sty m:val="bi"/>
          </m:rPr>
          <w:rPr>
            <w:rFonts w:ascii="Cambria Math" w:hAnsi="Cambria Math"/>
          </w:rPr>
          <m:t>u</m:t>
        </m:r>
        <m:r>
          <w:rPr>
            <w:rFonts w:ascii="Cambria Math" w:hAnsi="Cambria Math"/>
          </w:rPr>
          <m:t>)</m:t>
        </m:r>
      </m:oMath>
      <w:r w:rsidR="004A355F">
        <w:t xml:space="preserve"> is the sum of the heat input to the evaporator and the </w:t>
      </w:r>
      <w:r w:rsidR="005A48AF">
        <w:t xml:space="preserve">electrical </w:t>
      </w:r>
      <w:r w:rsidR="004A355F">
        <w:t xml:space="preserve">power necessary to condense the vapor at the process conditions. The condenser operates with a coefficient of performance </w:t>
      </w:r>
      <m:oMath>
        <m:r>
          <m:rPr>
            <m:sty m:val="p"/>
          </m:rPr>
          <w:rPr>
            <w:rFonts w:ascii="Cambria Math" w:hAnsi="Cambria Math"/>
          </w:rPr>
          <m:t>COP</m:t>
        </m:r>
      </m:oMath>
      <w:r w:rsidR="004A355F">
        <w:t>, that is the ratio of the heat removed by the condenser to the supplied electrical energy.</w:t>
      </w:r>
      <w:r w:rsidR="00C52B31" w:rsidRPr="00C52B31">
        <w:rPr>
          <w:noProof/>
        </w:rPr>
        <w:t xml:space="preserve"> </w:t>
      </w:r>
      <w:r w:rsidR="00C33C35">
        <w:rPr>
          <w:noProof/>
        </w:rPr>
        <w:t>A schematic diagram of the process is shown in Figure 1, where the electrical connections are also shown.</w:t>
      </w:r>
      <w:r w:rsidR="00743BE0">
        <w:rPr>
          <w:noProof/>
        </w:rPr>
        <w:t xml:space="preserve"> </w:t>
      </w:r>
    </w:p>
    <w:p w14:paraId="18943074" w14:textId="381040C9" w:rsidR="00743BE0" w:rsidRDefault="00743BE0" w:rsidP="00F14BFB">
      <w:pPr>
        <w:pStyle w:val="CETBodytext"/>
      </w:pPr>
      <w:r>
        <w:rPr>
          <w:noProof/>
        </w:rPr>
        <w:t xml:space="preserve">The </w:t>
      </w:r>
      <w:r w:rsidR="00A35C87">
        <w:rPr>
          <w:noProof/>
        </w:rPr>
        <w:t>power</w:t>
      </w:r>
      <w:r>
        <w:rPr>
          <w:noProof/>
        </w:rPr>
        <w:t xml:space="preserve"> generation is split among a renewable generator</w:t>
      </w:r>
      <w:r w:rsidR="00A35C87">
        <w:rPr>
          <w:noProof/>
        </w:rPr>
        <w:t xml:space="preserve"> </w:t>
      </w:r>
      <m:oMath>
        <m:acc>
          <m:accPr>
            <m:chr m:val="̇"/>
            <m:ctrlPr>
              <w:rPr>
                <w:rFonts w:ascii="Cambria Math" w:hAnsi="Cambria Math"/>
                <w:i/>
                <w:noProof/>
              </w:rPr>
            </m:ctrlPr>
          </m:accPr>
          <m:e>
            <m:r>
              <w:rPr>
                <w:rFonts w:ascii="Cambria Math" w:hAnsi="Cambria Math"/>
                <w:noProof/>
              </w:rPr>
              <m:t>R</m:t>
            </m:r>
          </m:e>
        </m:acc>
      </m:oMath>
      <w:r>
        <w:rPr>
          <w:noProof/>
        </w:rPr>
        <w:t xml:space="preserve"> (non dispatchable and with finite capacity) and the grid</w:t>
      </w:r>
      <w:r w:rsidR="00A35C87">
        <w:rPr>
          <w:noProof/>
        </w:rPr>
        <w:t xml:space="preserve"> </w:t>
      </w:r>
      <m:oMath>
        <m:acc>
          <m:accPr>
            <m:chr m:val="̇"/>
            <m:ctrlPr>
              <w:rPr>
                <w:rFonts w:ascii="Cambria Math" w:hAnsi="Cambria Math"/>
                <w:i/>
                <w:noProof/>
              </w:rPr>
            </m:ctrlPr>
          </m:accPr>
          <m:e>
            <m:r>
              <w:rPr>
                <w:rFonts w:ascii="Cambria Math" w:hAnsi="Cambria Math"/>
                <w:noProof/>
              </w:rPr>
              <m:t>G</m:t>
            </m:r>
          </m:e>
        </m:acc>
      </m:oMath>
      <w:r w:rsidR="00A35C87">
        <w:rPr>
          <w:noProof/>
        </w:rPr>
        <w:t xml:space="preserve"> (flexible</w:t>
      </w:r>
      <w:r w:rsidR="005A48AF">
        <w:rPr>
          <w:noProof/>
        </w:rPr>
        <w:t>). The e</w:t>
      </w:r>
      <w:r>
        <w:rPr>
          <w:noProof/>
        </w:rPr>
        <w:t xml:space="preserve">nergy consumption is split among the process and one additional sink </w:t>
      </w:r>
      <m:oMath>
        <m:acc>
          <m:accPr>
            <m:chr m:val="̇"/>
            <m:ctrlPr>
              <w:rPr>
                <w:rFonts w:ascii="Cambria Math" w:hAnsi="Cambria Math"/>
                <w:i/>
                <w:noProof/>
              </w:rPr>
            </m:ctrlPr>
          </m:accPr>
          <m:e>
            <m:r>
              <w:rPr>
                <w:rFonts w:ascii="Cambria Math" w:hAnsi="Cambria Math"/>
                <w:noProof/>
              </w:rPr>
              <m:t>S</m:t>
            </m:r>
          </m:e>
        </m:acc>
      </m:oMath>
      <w:r w:rsidR="00FC5511">
        <w:rPr>
          <w:noProof/>
        </w:rPr>
        <w:t xml:space="preserve">, that reflects the ability to </w:t>
      </w:r>
      <w:r w:rsidR="005A48AF">
        <w:rPr>
          <w:noProof/>
        </w:rPr>
        <w:t>make use of</w:t>
      </w:r>
      <w:r w:rsidR="00FC5511">
        <w:rPr>
          <w:noProof/>
        </w:rPr>
        <w:t xml:space="preserve"> the residual </w:t>
      </w:r>
      <w:r w:rsidR="005A48AF">
        <w:rPr>
          <w:noProof/>
        </w:rPr>
        <w:t>generation from renewables</w:t>
      </w:r>
      <w:r>
        <w:rPr>
          <w:noProof/>
        </w:rPr>
        <w:t xml:space="preserve">. Any </w:t>
      </w:r>
      <w:r w:rsidR="00F3597F">
        <w:rPr>
          <w:noProof/>
        </w:rPr>
        <w:t xml:space="preserve">excess </w:t>
      </w:r>
      <w:r>
        <w:rPr>
          <w:noProof/>
        </w:rPr>
        <w:t xml:space="preserve">power generation </w:t>
      </w:r>
      <w:r w:rsidR="00F3597F">
        <w:rPr>
          <w:noProof/>
        </w:rPr>
        <w:t>(</w:t>
      </w:r>
      <m:oMath>
        <m:acc>
          <m:accPr>
            <m:chr m:val="̇"/>
            <m:ctrlPr>
              <w:rPr>
                <w:rFonts w:ascii="Cambria Math" w:hAnsi="Cambria Math"/>
                <w:i/>
                <w:noProof/>
              </w:rPr>
            </m:ctrlPr>
          </m:accPr>
          <m:e>
            <m:r>
              <w:rPr>
                <w:rFonts w:ascii="Cambria Math" w:hAnsi="Cambria Math"/>
                <w:noProof/>
              </w:rPr>
              <m:t>W</m:t>
            </m:r>
          </m:e>
        </m:acc>
        <m:r>
          <w:rPr>
            <w:rFonts w:ascii="Cambria Math" w:hAnsi="Cambria Math"/>
            <w:noProof/>
          </w:rPr>
          <m:t>)</m:t>
        </m:r>
      </m:oMath>
      <w:r>
        <w:rPr>
          <w:noProof/>
        </w:rPr>
        <w:t xml:space="preserve"> is wasted.</w:t>
      </w:r>
      <w:r w:rsidR="00843674" w:rsidRPr="00843674">
        <w:rPr>
          <w:noProof/>
        </w:rPr>
        <w:t xml:space="preserve"> </w:t>
      </w:r>
    </w:p>
    <w:p w14:paraId="1BF39AE7" w14:textId="20A53AE6" w:rsidR="00937B59" w:rsidRDefault="00937B59" w:rsidP="00A24FA5">
      <w:pPr>
        <w:pStyle w:val="CETHeading1"/>
      </w:pPr>
      <w:r>
        <w:t>Economic optimization of the process</w:t>
      </w:r>
    </w:p>
    <w:p w14:paraId="2B046CC8" w14:textId="428859E7" w:rsidR="00D12392" w:rsidRDefault="003128E7" w:rsidP="004B6B8C">
      <w:pPr>
        <w:pStyle w:val="CETBodytext"/>
      </w:pPr>
      <w:r>
        <w:t xml:space="preserve">The goal </w:t>
      </w:r>
      <w:r w:rsidR="007B0128">
        <w:t xml:space="preserve">of the optimization </w:t>
      </w:r>
      <w:r>
        <w:t xml:space="preserve">is to </w:t>
      </w:r>
      <w:r w:rsidR="00D4198C">
        <w:t>schedule and</w:t>
      </w:r>
      <w:r w:rsidR="006678EE">
        <w:t xml:space="preserve"> to</w:t>
      </w:r>
      <w:r w:rsidR="00D4198C">
        <w:t xml:space="preserve"> control the process such that an economic </w:t>
      </w:r>
      <w:r w:rsidR="00953CBC">
        <w:t>cost function</w:t>
      </w:r>
      <w:r w:rsidR="00D4198C">
        <w:t xml:space="preserve"> </w:t>
      </w:r>
      <m:oMath>
        <m:r>
          <w:rPr>
            <w:rFonts w:ascii="Cambria Math" w:hAnsi="Cambria Math"/>
          </w:rPr>
          <m:t>J</m:t>
        </m:r>
      </m:oMath>
      <w:r w:rsidR="00D4198C">
        <w:t xml:space="preserve"> is </w:t>
      </w:r>
      <w:r w:rsidR="00DF2A2D">
        <w:t>minimiz</w:t>
      </w:r>
      <w:r w:rsidR="00953CBC">
        <w:t>ed</w:t>
      </w:r>
      <w:r w:rsidR="00D4198C">
        <w:t xml:space="preserve">, </w:t>
      </w:r>
      <w:r w:rsidR="00F91F8D">
        <w:t xml:space="preserve">and constraints </w:t>
      </w:r>
      <w:r w:rsidR="006678EE">
        <w:t>are satisfied</w:t>
      </w:r>
      <w:r w:rsidR="004D58C2">
        <w:t xml:space="preserve">. The process </w:t>
      </w:r>
      <w:r w:rsidR="00F77E78">
        <w:t xml:space="preserve">is controlled </w:t>
      </w:r>
      <w:r w:rsidR="00953CBC">
        <w:t>by modifying the</w:t>
      </w:r>
      <w:r w:rsidR="00F91F8D">
        <w:t xml:space="preserve"> input variables over time within specified hard bounds</w:t>
      </w:r>
      <w:r w:rsidR="009548AB">
        <w:t xml:space="preserve"> (trajectory optimization)</w:t>
      </w:r>
      <w:r w:rsidR="00F91F8D">
        <w:t xml:space="preserve"> and by </w:t>
      </w:r>
      <w:r w:rsidR="006678EE">
        <w:t>manipulating</w:t>
      </w:r>
      <w:r w:rsidR="00DF2A2D">
        <w:t xml:space="preserve"> the starting time</w:t>
      </w:r>
      <w:r w:rsidR="009548AB">
        <w:t xml:space="preserve"> of the</w:t>
      </w:r>
      <w:r w:rsidR="006678EE">
        <w:t xml:space="preserve"> batch</w:t>
      </w:r>
      <w:r w:rsidR="009548AB">
        <w:t xml:space="preserve"> (</w:t>
      </w:r>
      <w:r w:rsidR="006678EE">
        <w:t xml:space="preserve">process </w:t>
      </w:r>
      <w:r w:rsidR="009548AB">
        <w:t>scheduling)</w:t>
      </w:r>
      <w:r w:rsidR="00F91F8D">
        <w:t xml:space="preserve">. </w:t>
      </w:r>
    </w:p>
    <w:tbl>
      <w:tblPr>
        <w:tblW w:w="4987" w:type="pct"/>
        <w:tblLayout w:type="fixed"/>
        <w:tblLook w:val="04A0" w:firstRow="1" w:lastRow="0" w:firstColumn="1" w:lastColumn="0" w:noHBand="0" w:noVBand="1"/>
      </w:tblPr>
      <w:tblGrid>
        <w:gridCol w:w="810"/>
        <w:gridCol w:w="2430"/>
        <w:gridCol w:w="2997"/>
        <w:gridCol w:w="1701"/>
        <w:gridCol w:w="826"/>
      </w:tblGrid>
      <w:tr w:rsidR="002E2D12" w:rsidRPr="00B57B36" w14:paraId="510D3D53" w14:textId="77777777" w:rsidTr="0043045F">
        <w:trPr>
          <w:trHeight w:val="486"/>
        </w:trPr>
        <w:tc>
          <w:tcPr>
            <w:tcW w:w="810" w:type="dxa"/>
            <w:vAlign w:val="center"/>
          </w:tcPr>
          <w:p w14:paraId="6B993114" w14:textId="49AED90B" w:rsidR="002E2D12" w:rsidRDefault="00287481" w:rsidP="00D4198C">
            <w:pPr>
              <w:pStyle w:val="CETEquation"/>
              <w:rPr>
                <w:rFonts w:ascii="AdvP6960" w:hAnsi="AdvP6960" w:cs="AdvP6960"/>
              </w:rPr>
            </w:pPr>
            <m:oMathPara>
              <m:oMath>
                <m:limLow>
                  <m:limLowPr>
                    <m:ctrlPr>
                      <w:rPr>
                        <w:rFonts w:ascii="Cambria Math" w:hAnsi="Cambria Math"/>
                      </w:rPr>
                    </m:ctrlPr>
                  </m:limLowPr>
                  <m:e>
                    <m:r>
                      <m:rPr>
                        <m:sty m:val="p"/>
                      </m:rPr>
                      <w:rPr>
                        <w:rFonts w:ascii="Cambria Math" w:hAnsi="Cambria Math"/>
                      </w:rPr>
                      <m:t>min</m:t>
                    </m:r>
                  </m:e>
                  <m:lim>
                    <m:r>
                      <m:rPr>
                        <m:sty m:val="bi"/>
                      </m:rPr>
                      <w:rPr>
                        <w:rFonts w:ascii="Cambria Math" w:hAnsi="Cambria Math"/>
                      </w:rPr>
                      <m:t>u</m:t>
                    </m:r>
                    <m:d>
                      <m:dPr>
                        <m:ctrlPr>
                          <w:rPr>
                            <w:rFonts w:ascii="Cambria Math" w:hAnsi="Cambria Math"/>
                            <w:i/>
                          </w:rPr>
                        </m:ctrlPr>
                      </m:dPr>
                      <m:e>
                        <m:r>
                          <w:rPr>
                            <w:rFonts w:ascii="Cambria Math" w:hAnsi="Cambria Math"/>
                          </w:rPr>
                          <m:t>t</m:t>
                        </m:r>
                      </m:e>
                    </m:d>
                    <m:r>
                      <w:rPr>
                        <w:rFonts w:ascii="Cambria Math" w:hAnsi="Cambria Math"/>
                      </w:rPr>
                      <m:t>,</m:t>
                    </m:r>
                    <m:r>
                      <m:rPr>
                        <m:sty m:val="bi"/>
                      </m:rPr>
                      <w:rPr>
                        <w:rFonts w:ascii="Cambria Math" w:hAnsi="Cambria Math"/>
                      </w:rPr>
                      <m:t>x</m:t>
                    </m:r>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lim>
                </m:limLow>
              </m:oMath>
            </m:oMathPara>
          </w:p>
        </w:tc>
        <w:tc>
          <w:tcPr>
            <w:tcW w:w="2430" w:type="dxa"/>
            <w:shd w:val="clear" w:color="auto" w:fill="auto"/>
            <w:vAlign w:val="center"/>
          </w:tcPr>
          <w:p w14:paraId="63CDF086" w14:textId="4B51EFAD" w:rsidR="002E2D12" w:rsidRPr="002E2D12" w:rsidRDefault="00152658" w:rsidP="00D4198C">
            <w:pPr>
              <w:pStyle w:val="CETEquation"/>
              <w:jc w:val="right"/>
              <w:rPr>
                <w:rFonts w:ascii="Cambria Math" w:hAnsi="Cambria Math"/>
                <w:oMath/>
              </w:rPr>
            </w:pPr>
            <m:oMathPara>
              <m:oMathParaPr>
                <m:jc m:val="right"/>
              </m:oMathParaPr>
              <m:oMath>
                <m:r>
                  <w:rPr>
                    <w:rFonts w:ascii="Cambria Math" w:hAnsi="Cambria Math"/>
                  </w:rPr>
                  <m:t>J=</m:t>
                </m:r>
                <m:nary>
                  <m:naryPr>
                    <m:ctrlPr>
                      <w:rPr>
                        <w:rFonts w:ascii="Cambria Math" w:hAnsi="Cambria Math"/>
                        <w:i/>
                      </w:rPr>
                    </m:ctrlPr>
                  </m:naryPr>
                  <m:sub>
                    <m:sSub>
                      <m:sSubPr>
                        <m:ctrlPr>
                          <w:rPr>
                            <w:rFonts w:ascii="Cambria Math" w:hAnsi="Cambria Math"/>
                            <w:i/>
                          </w:rPr>
                        </m:ctrlPr>
                      </m:sSubPr>
                      <m:e>
                        <m:r>
                          <w:rPr>
                            <w:rFonts w:ascii="Cambria Math" w:hAnsi="Cambria Math"/>
                          </w:rPr>
                          <m:t>t</m:t>
                        </m:r>
                      </m:e>
                      <m:sub>
                        <m:r>
                          <w:rPr>
                            <w:rFonts w:ascii="Cambria Math" w:hAnsi="Cambria Math"/>
                          </w:rPr>
                          <m:t>0</m:t>
                        </m:r>
                      </m:sub>
                    </m:sSub>
                  </m:sub>
                  <m:sup>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r>
                      <m:rPr>
                        <m:sty m:val="p"/>
                      </m:rPr>
                      <w:rPr>
                        <w:rFonts w:ascii="Cambria Math" w:hAnsi="Cambria Math"/>
                      </w:rPr>
                      <m:t>Δt</m:t>
                    </m:r>
                  </m:sup>
                  <m:e>
                    <m:r>
                      <w:rPr>
                        <w:rFonts w:ascii="Cambria Math" w:hAnsi="Cambria Math"/>
                      </w:rPr>
                      <m:t>ϕ(</m:t>
                    </m:r>
                    <m:r>
                      <m:rPr>
                        <m:sty m:val="bi"/>
                      </m:rPr>
                      <w:rPr>
                        <w:rFonts w:ascii="Cambria Math" w:hAnsi="Cambria Math"/>
                      </w:rPr>
                      <m:t>x</m:t>
                    </m:r>
                    <m:r>
                      <w:rPr>
                        <w:rFonts w:ascii="Cambria Math" w:hAnsi="Cambria Math"/>
                      </w:rPr>
                      <m:t>(t),</m:t>
                    </m:r>
                    <m:r>
                      <m:rPr>
                        <m:sty m:val="bi"/>
                      </m:rPr>
                      <w:rPr>
                        <w:rFonts w:ascii="Cambria Math" w:hAnsi="Cambria Math"/>
                      </w:rPr>
                      <m:t>u</m:t>
                    </m:r>
                    <m:r>
                      <w:rPr>
                        <w:rFonts w:ascii="Cambria Math" w:hAnsi="Cambria Math"/>
                      </w:rPr>
                      <m:t>(t),t)</m:t>
                    </m:r>
                    <m:r>
                      <m:rPr>
                        <m:sty m:val="p"/>
                      </m:rPr>
                      <w:rPr>
                        <w:rFonts w:ascii="Cambria Math" w:hAnsi="Cambria Math"/>
                      </w:rPr>
                      <m:t>d</m:t>
                    </m:r>
                    <m:r>
                      <w:rPr>
                        <w:rFonts w:ascii="Cambria Math" w:hAnsi="Cambria Math"/>
                      </w:rPr>
                      <m:t>t</m:t>
                    </m:r>
                  </m:e>
                </m:nary>
              </m:oMath>
            </m:oMathPara>
          </w:p>
        </w:tc>
        <w:tc>
          <w:tcPr>
            <w:tcW w:w="2997" w:type="dxa"/>
            <w:vAlign w:val="center"/>
          </w:tcPr>
          <w:p w14:paraId="7D5F98F6" w14:textId="2AB6C747" w:rsidR="002E2D12" w:rsidRDefault="002E2D12" w:rsidP="002E2D12">
            <w:pPr>
              <w:pStyle w:val="CETEquation"/>
              <w:ind w:left="8496" w:hanging="8496"/>
            </w:pPr>
            <w:r>
              <w:t>subject to:</w:t>
            </w:r>
          </w:p>
        </w:tc>
        <w:tc>
          <w:tcPr>
            <w:tcW w:w="1701" w:type="dxa"/>
            <w:vAlign w:val="center"/>
          </w:tcPr>
          <w:p w14:paraId="3762A409" w14:textId="0929FC0A" w:rsidR="002E2D12" w:rsidRPr="00B57B36" w:rsidRDefault="002E2D12" w:rsidP="002E2D12">
            <w:pPr>
              <w:pStyle w:val="CETEquation"/>
              <w:ind w:left="8496" w:hanging="8496"/>
            </w:pPr>
          </w:p>
        </w:tc>
        <w:tc>
          <w:tcPr>
            <w:tcW w:w="826" w:type="dxa"/>
            <w:shd w:val="clear" w:color="auto" w:fill="auto"/>
            <w:vAlign w:val="center"/>
          </w:tcPr>
          <w:p w14:paraId="6E912389" w14:textId="10F823B2" w:rsidR="002E2D12" w:rsidRPr="00B57B36" w:rsidRDefault="002E2D12" w:rsidP="00E27613">
            <w:pPr>
              <w:pStyle w:val="CETEquation"/>
              <w:ind w:left="8496" w:hanging="8496"/>
              <w:jc w:val="right"/>
            </w:pPr>
            <w:r w:rsidRPr="00B57B36">
              <w:t>(</w:t>
            </w:r>
            <w:r w:rsidR="00E27613">
              <w:t>1-a</w:t>
            </w:r>
            <w:r w:rsidRPr="00B57B36">
              <w:t>)</w:t>
            </w:r>
          </w:p>
        </w:tc>
      </w:tr>
      <w:tr w:rsidR="002E2D12" w:rsidRPr="00B57B36" w14:paraId="18CC902F" w14:textId="77777777" w:rsidTr="0043045F">
        <w:trPr>
          <w:trHeight w:val="505"/>
        </w:trPr>
        <w:tc>
          <w:tcPr>
            <w:tcW w:w="810" w:type="dxa"/>
            <w:vAlign w:val="center"/>
          </w:tcPr>
          <w:p w14:paraId="722EB57F" w14:textId="77777777" w:rsidR="002E2D12" w:rsidRDefault="002E2D12" w:rsidP="002E2D12">
            <w:pPr>
              <w:pStyle w:val="CETEquation"/>
              <w:rPr>
                <w:b/>
              </w:rPr>
            </w:pPr>
          </w:p>
        </w:tc>
        <w:tc>
          <w:tcPr>
            <w:tcW w:w="2430" w:type="dxa"/>
            <w:shd w:val="clear" w:color="auto" w:fill="auto"/>
            <w:vAlign w:val="center"/>
          </w:tcPr>
          <w:p w14:paraId="5C69AB04" w14:textId="537E3EB1" w:rsidR="002E2D12" w:rsidRPr="002E2D12" w:rsidRDefault="00287481" w:rsidP="002E2D12">
            <w:pPr>
              <w:pStyle w:val="CETEquation"/>
              <w:jc w:val="right"/>
            </w:pPr>
            <m:oMathPara>
              <m:oMathParaPr>
                <m:jc m:val="right"/>
              </m:oMathParaPr>
              <m:oMath>
                <m:f>
                  <m:fPr>
                    <m:ctrlPr>
                      <w:rPr>
                        <w:rFonts w:ascii="Cambria Math" w:hAnsi="Cambria Math"/>
                        <w:b/>
                        <w:i/>
                      </w:rPr>
                    </m:ctrlPr>
                  </m:fPr>
                  <m:num>
                    <m:r>
                      <m:rPr>
                        <m:sty m:val="p"/>
                      </m:rPr>
                      <w:rPr>
                        <w:rFonts w:ascii="Cambria Math" w:hAnsi="Cambria Math"/>
                      </w:rPr>
                      <m:t>d</m:t>
                    </m:r>
                    <m:r>
                      <m:rPr>
                        <m:sty m:val="bi"/>
                      </m:rPr>
                      <w:rPr>
                        <w:rFonts w:ascii="Cambria Math" w:hAnsi="Cambria Math"/>
                      </w:rPr>
                      <m:t>x</m:t>
                    </m:r>
                  </m:num>
                  <m:den>
                    <m:r>
                      <m:rPr>
                        <m:sty m:val="p"/>
                      </m:rPr>
                      <w:rPr>
                        <w:rFonts w:ascii="Cambria Math" w:hAnsi="Cambria Math"/>
                      </w:rPr>
                      <m:t>d</m:t>
                    </m:r>
                    <m:r>
                      <w:rPr>
                        <w:rFonts w:ascii="Cambria Math" w:hAnsi="Cambria Math"/>
                      </w:rPr>
                      <m:t>t</m:t>
                    </m:r>
                  </m:den>
                </m:f>
              </m:oMath>
            </m:oMathPara>
          </w:p>
        </w:tc>
        <w:tc>
          <w:tcPr>
            <w:tcW w:w="2997" w:type="dxa"/>
            <w:vAlign w:val="center"/>
          </w:tcPr>
          <w:p w14:paraId="4C298CD2" w14:textId="57E92769" w:rsidR="002E2D12" w:rsidRPr="002E2D12" w:rsidRDefault="002E2D12" w:rsidP="002E2D12">
            <w:pPr>
              <w:pStyle w:val="CETEquation"/>
              <w:ind w:left="8496" w:hanging="8496"/>
            </w:pPr>
            <m:oMathPara>
              <m:oMathParaPr>
                <m:jc m:val="left"/>
              </m:oMathParaPr>
              <m:oMath>
                <m:r>
                  <m:rPr>
                    <m:sty m:val="bi"/>
                  </m:rPr>
                  <w:rPr>
                    <w:rFonts w:ascii="Cambria Math" w:hAnsi="Cambria Math"/>
                  </w:rPr>
                  <m:t>=f</m:t>
                </m:r>
                <m:d>
                  <m:dPr>
                    <m:ctrlPr>
                      <w:rPr>
                        <w:rFonts w:ascii="Cambria Math" w:hAnsi="Cambria Math"/>
                        <w:i/>
                      </w:rPr>
                    </m:ctrlPr>
                  </m:dPr>
                  <m:e>
                    <m:r>
                      <m:rPr>
                        <m:sty m:val="bi"/>
                      </m:rPr>
                      <w:rPr>
                        <w:rFonts w:ascii="Cambria Math" w:hAnsi="Cambria Math"/>
                      </w:rPr>
                      <m:t>x</m:t>
                    </m:r>
                    <m:r>
                      <w:rPr>
                        <w:rFonts w:ascii="Cambria Math" w:hAnsi="Cambria Math"/>
                      </w:rPr>
                      <m:t>,</m:t>
                    </m:r>
                    <m:r>
                      <m:rPr>
                        <m:sty m:val="bi"/>
                      </m:rPr>
                      <w:rPr>
                        <w:rFonts w:ascii="Cambria Math" w:hAnsi="Cambria Math"/>
                      </w:rPr>
                      <m:t>u</m:t>
                    </m:r>
                  </m:e>
                </m:d>
              </m:oMath>
            </m:oMathPara>
          </w:p>
        </w:tc>
        <w:tc>
          <w:tcPr>
            <w:tcW w:w="1701" w:type="dxa"/>
            <w:vAlign w:val="center"/>
          </w:tcPr>
          <w:p w14:paraId="34F95E5D" w14:textId="7A4F4A9C" w:rsidR="002E2D12" w:rsidRPr="00B57B36" w:rsidRDefault="002E2D12" w:rsidP="00152658">
            <w:pPr>
              <w:pStyle w:val="CETEquation"/>
              <w:ind w:left="8496" w:hanging="8496"/>
            </w:pPr>
            <w:r>
              <w:t xml:space="preserve">for all </w:t>
            </w:r>
            <m:oMath>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f</m:t>
                  </m:r>
                </m:sub>
              </m:sSub>
            </m:oMath>
          </w:p>
        </w:tc>
        <w:tc>
          <w:tcPr>
            <w:tcW w:w="826" w:type="dxa"/>
            <w:shd w:val="clear" w:color="auto" w:fill="auto"/>
            <w:vAlign w:val="center"/>
          </w:tcPr>
          <w:p w14:paraId="5CD2A9E5" w14:textId="4915DB90" w:rsidR="002E2D12" w:rsidRPr="00B57B36" w:rsidRDefault="00E27613" w:rsidP="00E27613">
            <w:pPr>
              <w:pStyle w:val="CETEquation"/>
              <w:ind w:left="8496" w:hanging="8496"/>
              <w:jc w:val="right"/>
            </w:pPr>
            <w:r w:rsidRPr="00B57B36">
              <w:t>(</w:t>
            </w:r>
            <w:r>
              <w:t>1-b</w:t>
            </w:r>
            <w:r w:rsidRPr="00B57B36">
              <w:t>)</w:t>
            </w:r>
          </w:p>
        </w:tc>
      </w:tr>
      <w:tr w:rsidR="00D4198C" w:rsidRPr="00B57B36" w14:paraId="685ADBF4" w14:textId="77777777" w:rsidTr="0043045F">
        <w:trPr>
          <w:trHeight w:val="505"/>
        </w:trPr>
        <w:tc>
          <w:tcPr>
            <w:tcW w:w="810" w:type="dxa"/>
            <w:vAlign w:val="center"/>
          </w:tcPr>
          <w:p w14:paraId="2781AB11" w14:textId="77777777" w:rsidR="00D4198C" w:rsidRDefault="00D4198C" w:rsidP="00D4198C">
            <w:pPr>
              <w:pStyle w:val="CETEquation"/>
              <w:rPr>
                <w:b/>
              </w:rPr>
            </w:pPr>
          </w:p>
        </w:tc>
        <w:tc>
          <w:tcPr>
            <w:tcW w:w="2430" w:type="dxa"/>
            <w:shd w:val="clear" w:color="auto" w:fill="auto"/>
            <w:vAlign w:val="center"/>
          </w:tcPr>
          <w:p w14:paraId="348C7D4C" w14:textId="382A2EF3" w:rsidR="00D4198C" w:rsidRPr="00D4198C" w:rsidRDefault="00D4198C" w:rsidP="00D4198C">
            <w:pPr>
              <w:pStyle w:val="CETEquation"/>
              <w:jc w:val="right"/>
              <w:rPr>
                <w:b/>
              </w:rPr>
            </w:pPr>
            <m:oMathPara>
              <m:oMathParaPr>
                <m:jc m:val="right"/>
              </m:oMathParaPr>
              <m:oMath>
                <m:r>
                  <m:rPr>
                    <m:sty m:val="bi"/>
                  </m:rPr>
                  <w:rPr>
                    <w:rFonts w:ascii="Cambria Math" w:hAnsi="Cambria Math"/>
                  </w:rPr>
                  <m:t>x</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e>
                </m:d>
              </m:oMath>
            </m:oMathPara>
          </w:p>
        </w:tc>
        <w:tc>
          <w:tcPr>
            <w:tcW w:w="2997" w:type="dxa"/>
            <w:vAlign w:val="center"/>
          </w:tcPr>
          <w:p w14:paraId="0CAFA973" w14:textId="4557FF10" w:rsidR="00D4198C" w:rsidRPr="00D4198C" w:rsidRDefault="00D4198C" w:rsidP="00D4198C">
            <w:pPr>
              <w:pStyle w:val="CETEquation"/>
              <w:ind w:left="8496" w:hanging="8496"/>
              <w:rPr>
                <w:b/>
              </w:rPr>
            </w:pPr>
            <m:oMathPara>
              <m:oMathParaPr>
                <m:jc m:val="left"/>
              </m:oMathParaPr>
              <m:oMath>
                <m:r>
                  <w:rPr>
                    <w:rFonts w:ascii="Cambria Math" w:hAnsi="Cambria Math"/>
                  </w:rPr>
                  <m:t>=</m:t>
                </m:r>
                <m:sSub>
                  <m:sSubPr>
                    <m:ctrlPr>
                      <w:rPr>
                        <w:rFonts w:ascii="Cambria Math" w:hAnsi="Cambria Math"/>
                        <w:i/>
                      </w:rPr>
                    </m:ctrlPr>
                  </m:sSubPr>
                  <m:e>
                    <m:r>
                      <m:rPr>
                        <m:sty m:val="bi"/>
                      </m:rPr>
                      <w:rPr>
                        <w:rFonts w:ascii="Cambria Math" w:hAnsi="Cambria Math"/>
                      </w:rPr>
                      <m:t>x</m:t>
                    </m:r>
                  </m:e>
                  <m:sub>
                    <m:r>
                      <w:rPr>
                        <w:rFonts w:ascii="Cambria Math" w:hAnsi="Cambria Math"/>
                      </w:rPr>
                      <m:t>0</m:t>
                    </m:r>
                  </m:sub>
                </m:sSub>
              </m:oMath>
            </m:oMathPara>
          </w:p>
        </w:tc>
        <w:tc>
          <w:tcPr>
            <w:tcW w:w="1701" w:type="dxa"/>
            <w:vAlign w:val="center"/>
          </w:tcPr>
          <w:p w14:paraId="4A045647" w14:textId="77777777" w:rsidR="00D4198C" w:rsidRDefault="00D4198C" w:rsidP="00D4198C">
            <w:pPr>
              <w:pStyle w:val="CETEquation"/>
              <w:ind w:left="8496" w:hanging="8496"/>
            </w:pPr>
          </w:p>
        </w:tc>
        <w:tc>
          <w:tcPr>
            <w:tcW w:w="826" w:type="dxa"/>
            <w:shd w:val="clear" w:color="auto" w:fill="auto"/>
            <w:vAlign w:val="center"/>
          </w:tcPr>
          <w:p w14:paraId="236EAFCC" w14:textId="699DEB04" w:rsidR="00D4198C" w:rsidRPr="00B57B36" w:rsidRDefault="00E27613" w:rsidP="00E27613">
            <w:pPr>
              <w:pStyle w:val="CETEquation"/>
              <w:ind w:left="8496" w:hanging="8496"/>
              <w:jc w:val="right"/>
            </w:pPr>
            <w:r w:rsidRPr="00B57B36">
              <w:t>(</w:t>
            </w:r>
            <w:r>
              <w:t>1-c</w:t>
            </w:r>
            <w:r w:rsidRPr="00B57B36">
              <w:t>)</w:t>
            </w:r>
          </w:p>
        </w:tc>
      </w:tr>
      <w:tr w:rsidR="00F91F8D" w:rsidRPr="00B57B36" w14:paraId="6D048071" w14:textId="77777777" w:rsidTr="0043045F">
        <w:trPr>
          <w:trHeight w:val="505"/>
        </w:trPr>
        <w:tc>
          <w:tcPr>
            <w:tcW w:w="810" w:type="dxa"/>
            <w:vAlign w:val="center"/>
          </w:tcPr>
          <w:p w14:paraId="7C6631A2" w14:textId="77777777" w:rsidR="00F91F8D" w:rsidRDefault="00F91F8D" w:rsidP="00F91F8D">
            <w:pPr>
              <w:pStyle w:val="CETEquation"/>
              <w:rPr>
                <w:b/>
              </w:rPr>
            </w:pPr>
          </w:p>
        </w:tc>
        <w:tc>
          <w:tcPr>
            <w:tcW w:w="2430" w:type="dxa"/>
            <w:shd w:val="clear" w:color="auto" w:fill="auto"/>
            <w:vAlign w:val="center"/>
          </w:tcPr>
          <w:p w14:paraId="778B06F0" w14:textId="6DD8553C" w:rsidR="00F91F8D" w:rsidRPr="00F91F8D" w:rsidRDefault="00287481" w:rsidP="00F91F8D">
            <w:pPr>
              <w:pStyle w:val="CETEquation"/>
              <w:jc w:val="right"/>
              <w:rPr>
                <w:b/>
              </w:rPr>
            </w:pPr>
            <m:oMathPara>
              <m:oMathParaPr>
                <m:jc m:val="right"/>
              </m:oMathParaPr>
              <m:oMath>
                <m:sSub>
                  <m:sSubPr>
                    <m:ctrlPr>
                      <w:rPr>
                        <w:rFonts w:ascii="Cambria Math" w:hAnsi="Cambria Math"/>
                        <w:b/>
                        <w:i/>
                      </w:rPr>
                    </m:ctrlPr>
                  </m:sSubPr>
                  <m:e>
                    <m:r>
                      <m:rPr>
                        <m:sty m:val="bi"/>
                      </m:rPr>
                      <w:rPr>
                        <w:rFonts w:ascii="Cambria Math" w:hAnsi="Cambria Math"/>
                      </w:rPr>
                      <m:t>u</m:t>
                    </m:r>
                  </m:e>
                  <m:sub>
                    <m:r>
                      <m:rPr>
                        <m:nor/>
                      </m:rPr>
                      <w:rPr>
                        <w:rFonts w:ascii="Cambria Math" w:hAnsi="Cambria Math"/>
                        <w:lang w:val="en-US"/>
                      </w:rPr>
                      <m:t>min</m:t>
                    </m:r>
                  </m:sub>
                </m:sSub>
              </m:oMath>
            </m:oMathPara>
          </w:p>
        </w:tc>
        <w:tc>
          <w:tcPr>
            <w:tcW w:w="2997" w:type="dxa"/>
            <w:vAlign w:val="center"/>
          </w:tcPr>
          <w:p w14:paraId="2B962564" w14:textId="1F4ADC4E" w:rsidR="00F91F8D" w:rsidRPr="00F91F8D" w:rsidRDefault="00F91F8D" w:rsidP="00F91F8D">
            <w:pPr>
              <w:pStyle w:val="CETEquation"/>
              <w:ind w:left="8496" w:hanging="8496"/>
            </w:pPr>
            <m:oMathPara>
              <m:oMathParaPr>
                <m:jc m:val="left"/>
              </m:oMathParaPr>
              <m:oMath>
                <m:r>
                  <m:rPr>
                    <m:sty m:val="bi"/>
                  </m:rPr>
                  <w:rPr>
                    <w:rFonts w:ascii="Cambria Math" w:hAnsi="Cambria Math"/>
                    <w:lang w:val="en-US"/>
                  </w:rPr>
                  <m:t>≤</m:t>
                </m:r>
                <m:r>
                  <m:rPr>
                    <m:sty m:val="bi"/>
                  </m:rPr>
                  <w:rPr>
                    <w:rFonts w:ascii="Cambria Math" w:hAnsi="Cambria Math"/>
                  </w:rPr>
                  <m:t>u</m:t>
                </m:r>
                <m:d>
                  <m:dPr>
                    <m:ctrlPr>
                      <w:rPr>
                        <w:rFonts w:ascii="Cambria Math" w:hAnsi="Cambria Math"/>
                        <w:i/>
                      </w:rPr>
                    </m:ctrlPr>
                  </m:dPr>
                  <m:e>
                    <m:r>
                      <w:rPr>
                        <w:rFonts w:ascii="Cambria Math" w:hAnsi="Cambria Math"/>
                      </w:rPr>
                      <m:t>t</m:t>
                    </m:r>
                  </m:e>
                </m:d>
                <m:r>
                  <w:rPr>
                    <w:rFonts w:ascii="Cambria Math" w:hAnsi="Cambria Math"/>
                    <w:lang w:val="en-US"/>
                  </w:rPr>
                  <m:t>≤</m:t>
                </m:r>
                <m:sSub>
                  <m:sSubPr>
                    <m:ctrlPr>
                      <w:rPr>
                        <w:rFonts w:ascii="Cambria Math" w:hAnsi="Cambria Math"/>
                        <w:b/>
                        <w:i/>
                      </w:rPr>
                    </m:ctrlPr>
                  </m:sSubPr>
                  <m:e>
                    <m:r>
                      <m:rPr>
                        <m:sty m:val="bi"/>
                      </m:rPr>
                      <w:rPr>
                        <w:rFonts w:ascii="Cambria Math" w:hAnsi="Cambria Math"/>
                      </w:rPr>
                      <m:t>u</m:t>
                    </m:r>
                  </m:e>
                  <m:sub>
                    <m:r>
                      <m:rPr>
                        <m:nor/>
                      </m:rPr>
                      <w:rPr>
                        <w:rFonts w:ascii="Cambria Math" w:hAnsi="Cambria Math"/>
                        <w:lang w:val="en-US"/>
                      </w:rPr>
                      <m:t>max</m:t>
                    </m:r>
                  </m:sub>
                </m:sSub>
              </m:oMath>
            </m:oMathPara>
          </w:p>
        </w:tc>
        <w:tc>
          <w:tcPr>
            <w:tcW w:w="1701" w:type="dxa"/>
            <w:vAlign w:val="center"/>
          </w:tcPr>
          <w:p w14:paraId="3A253F13" w14:textId="15F25968" w:rsidR="00F91F8D" w:rsidRDefault="00F91F8D" w:rsidP="00F91F8D">
            <w:pPr>
              <w:pStyle w:val="CETEquation"/>
              <w:ind w:left="8496" w:hanging="8496"/>
            </w:pPr>
            <w:r>
              <w:t xml:space="preserve">for all </w:t>
            </w:r>
            <m:oMath>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f</m:t>
                  </m:r>
                </m:sub>
              </m:sSub>
            </m:oMath>
          </w:p>
        </w:tc>
        <w:tc>
          <w:tcPr>
            <w:tcW w:w="826" w:type="dxa"/>
            <w:shd w:val="clear" w:color="auto" w:fill="auto"/>
            <w:vAlign w:val="center"/>
          </w:tcPr>
          <w:p w14:paraId="41F19C43" w14:textId="6D2BC571" w:rsidR="00F91F8D" w:rsidRPr="00B57B36" w:rsidRDefault="00E27613" w:rsidP="00E27613">
            <w:pPr>
              <w:pStyle w:val="CETEquation"/>
              <w:ind w:left="8496" w:hanging="8496"/>
              <w:jc w:val="right"/>
            </w:pPr>
            <w:r w:rsidRPr="00B57B36">
              <w:t>(</w:t>
            </w:r>
            <w:r>
              <w:t>1-d</w:t>
            </w:r>
            <w:r w:rsidRPr="00B57B36">
              <w:t>)</w:t>
            </w:r>
          </w:p>
        </w:tc>
      </w:tr>
      <w:tr w:rsidR="003D2010" w:rsidRPr="00B57B36" w14:paraId="08240BE4" w14:textId="77777777" w:rsidTr="0043045F">
        <w:trPr>
          <w:trHeight w:val="505"/>
        </w:trPr>
        <w:tc>
          <w:tcPr>
            <w:tcW w:w="810" w:type="dxa"/>
            <w:vAlign w:val="center"/>
          </w:tcPr>
          <w:p w14:paraId="3680EBCC" w14:textId="77777777" w:rsidR="003D2010" w:rsidRDefault="003D2010" w:rsidP="00F91F8D">
            <w:pPr>
              <w:pStyle w:val="CETEquation"/>
              <w:rPr>
                <w:b/>
              </w:rPr>
            </w:pPr>
          </w:p>
        </w:tc>
        <w:tc>
          <w:tcPr>
            <w:tcW w:w="2430" w:type="dxa"/>
            <w:shd w:val="clear" w:color="auto" w:fill="auto"/>
            <w:vAlign w:val="center"/>
          </w:tcPr>
          <w:p w14:paraId="0AE2B154" w14:textId="5B7DD010" w:rsidR="003D2010" w:rsidRPr="003D2010" w:rsidRDefault="00287481" w:rsidP="003D2010">
            <w:pPr>
              <w:pStyle w:val="CETEquation"/>
              <w:jc w:val="right"/>
            </w:pPr>
            <m:oMathPara>
              <m:oMathParaPr>
                <m:jc m:val="right"/>
              </m:oMathParaPr>
              <m:oMath>
                <m:sSub>
                  <m:sSubPr>
                    <m:ctrlPr>
                      <w:rPr>
                        <w:rFonts w:ascii="Cambria Math" w:hAnsi="Cambria Math"/>
                        <w:i/>
                      </w:rPr>
                    </m:ctrlPr>
                  </m:sSubPr>
                  <m:e>
                    <m:r>
                      <w:rPr>
                        <w:rFonts w:ascii="Cambria Math" w:hAnsi="Cambria Math"/>
                      </w:rPr>
                      <m:t>t</m:t>
                    </m:r>
                  </m:e>
                  <m:sub>
                    <m:r>
                      <w:rPr>
                        <w:rFonts w:ascii="Cambria Math" w:hAnsi="Cambria Math"/>
                      </w:rPr>
                      <m:t>0,</m:t>
                    </m:r>
                    <m:r>
                      <m:rPr>
                        <m:nor/>
                      </m:rPr>
                      <w:rPr>
                        <w:rFonts w:ascii="Cambria Math" w:hAnsi="Cambria Math"/>
                      </w:rPr>
                      <m:t>min</m:t>
                    </m:r>
                  </m:sub>
                </m:sSub>
              </m:oMath>
            </m:oMathPara>
          </w:p>
        </w:tc>
        <w:tc>
          <w:tcPr>
            <w:tcW w:w="2997" w:type="dxa"/>
            <w:vAlign w:val="center"/>
          </w:tcPr>
          <w:p w14:paraId="35B98A2E" w14:textId="2F4484E9" w:rsidR="003D2010" w:rsidRPr="003D2010" w:rsidRDefault="003D2010" w:rsidP="003D2010">
            <w:pPr>
              <w:pStyle w:val="CETEquation"/>
              <w:ind w:left="8496" w:hanging="8496"/>
              <w:rPr>
                <w:b/>
                <w:lang w:val="en-US"/>
              </w:rPr>
            </w:pPr>
            <m:oMathPara>
              <m:oMathParaPr>
                <m:jc m:val="left"/>
              </m:oMathParaPr>
              <m:oMath>
                <m:r>
                  <m:rPr>
                    <m:sty m:val="bi"/>
                  </m:rPr>
                  <w:rPr>
                    <w:rFonts w:ascii="Cambria Math" w:hAnsi="Cambria Math"/>
                    <w:lang w:val="en-US"/>
                  </w:rPr>
                  <m: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r>
                      <m:rPr>
                        <m:nor/>
                      </m:rPr>
                      <w:rPr>
                        <w:rFonts w:ascii="Cambria Math" w:hAnsi="Cambria Math"/>
                        <w:lang w:val="en-US"/>
                      </w:rPr>
                      <m:t>max</m:t>
                    </m:r>
                  </m:sub>
                </m:sSub>
              </m:oMath>
            </m:oMathPara>
          </w:p>
        </w:tc>
        <w:tc>
          <w:tcPr>
            <w:tcW w:w="1701" w:type="dxa"/>
            <w:vAlign w:val="center"/>
          </w:tcPr>
          <w:p w14:paraId="29F6D610" w14:textId="77777777" w:rsidR="003D2010" w:rsidRDefault="003D2010" w:rsidP="00F91F8D">
            <w:pPr>
              <w:pStyle w:val="CETEquation"/>
              <w:ind w:left="8496" w:hanging="8496"/>
            </w:pPr>
          </w:p>
        </w:tc>
        <w:tc>
          <w:tcPr>
            <w:tcW w:w="826" w:type="dxa"/>
            <w:shd w:val="clear" w:color="auto" w:fill="auto"/>
            <w:vAlign w:val="center"/>
          </w:tcPr>
          <w:p w14:paraId="7D7EE4FF" w14:textId="165037D7" w:rsidR="003D2010" w:rsidRPr="00B57B36" w:rsidRDefault="00E27613" w:rsidP="00E27613">
            <w:pPr>
              <w:pStyle w:val="CETEquation"/>
              <w:ind w:left="8496" w:hanging="8496"/>
              <w:jc w:val="right"/>
            </w:pPr>
            <w:r w:rsidRPr="00B57B36">
              <w:t>(</w:t>
            </w:r>
            <w:r>
              <w:t>1-e</w:t>
            </w:r>
            <w:r w:rsidRPr="00B57B36">
              <w:t>)</w:t>
            </w:r>
          </w:p>
        </w:tc>
      </w:tr>
      <w:tr w:rsidR="00F91F8D" w:rsidRPr="00B57B36" w14:paraId="14E05441" w14:textId="77777777" w:rsidTr="0043045F">
        <w:trPr>
          <w:trHeight w:val="428"/>
        </w:trPr>
        <w:tc>
          <w:tcPr>
            <w:tcW w:w="810" w:type="dxa"/>
            <w:vAlign w:val="center"/>
          </w:tcPr>
          <w:p w14:paraId="6006D0B8" w14:textId="77777777" w:rsidR="00F91F8D" w:rsidRDefault="00F91F8D" w:rsidP="00F91F8D">
            <w:pPr>
              <w:pStyle w:val="CETEquation"/>
              <w:rPr>
                <w:rFonts w:cs="Arial"/>
                <w:b/>
              </w:rPr>
            </w:pPr>
          </w:p>
        </w:tc>
        <w:tc>
          <w:tcPr>
            <w:tcW w:w="2430" w:type="dxa"/>
            <w:shd w:val="clear" w:color="auto" w:fill="auto"/>
            <w:vAlign w:val="center"/>
          </w:tcPr>
          <w:p w14:paraId="35AAE07E" w14:textId="025E308B" w:rsidR="00F91F8D" w:rsidRPr="002E2D12" w:rsidRDefault="00F91F8D" w:rsidP="00F91F8D">
            <w:pPr>
              <w:pStyle w:val="CETEquation"/>
              <w:jc w:val="right"/>
              <w:rPr>
                <w:b/>
              </w:rPr>
            </w:pPr>
            <m:oMathPara>
              <m:oMathParaPr>
                <m:jc m:val="right"/>
              </m:oMathParaPr>
              <m:oMath>
                <m:r>
                  <m:rPr>
                    <m:sty m:val="bi"/>
                  </m:rPr>
                  <w:rPr>
                    <w:rFonts w:ascii="Cambria Math" w:hAnsi="Cambria Math"/>
                  </w:rPr>
                  <m:t>0</m:t>
                </m:r>
              </m:oMath>
            </m:oMathPara>
          </w:p>
        </w:tc>
        <w:tc>
          <w:tcPr>
            <w:tcW w:w="2997" w:type="dxa"/>
            <w:vAlign w:val="center"/>
          </w:tcPr>
          <w:p w14:paraId="7BCE1419" w14:textId="743A043F" w:rsidR="00F91F8D" w:rsidRPr="002E2D12" w:rsidRDefault="00F91F8D" w:rsidP="00F91F8D">
            <w:pPr>
              <w:pStyle w:val="CETEquation"/>
              <w:ind w:left="8496" w:hanging="8496"/>
            </w:pPr>
            <m:oMathPara>
              <m:oMathParaPr>
                <m:jc m:val="left"/>
              </m:oMathParaPr>
              <m:oMath>
                <m:r>
                  <w:rPr>
                    <w:rFonts w:ascii="Cambria Math" w:hAnsi="Cambria Math"/>
                  </w:rPr>
                  <m:t>≤</m:t>
                </m:r>
                <m:r>
                  <m:rPr>
                    <m:sty m:val="bi"/>
                  </m:rPr>
                  <w:rPr>
                    <w:rFonts w:ascii="Cambria Math" w:hAnsi="Cambria Math"/>
                  </w:rPr>
                  <m:t>C</m:t>
                </m:r>
                <m:d>
                  <m:dPr>
                    <m:ctrlPr>
                      <w:rPr>
                        <w:rFonts w:ascii="Cambria Math" w:hAnsi="Cambria Math"/>
                        <w:b/>
                        <w:i/>
                      </w:rPr>
                    </m:ctrlPr>
                  </m:dPr>
                  <m:e>
                    <m:r>
                      <m:rPr>
                        <m:sty m:val="bi"/>
                      </m:rPr>
                      <w:rPr>
                        <w:rFonts w:ascii="Cambria Math" w:hAnsi="Cambria Math"/>
                      </w:rPr>
                      <m:t>x</m:t>
                    </m:r>
                    <m:d>
                      <m:dPr>
                        <m:ctrlPr>
                          <w:rPr>
                            <w:rFonts w:ascii="Cambria Math" w:hAnsi="Cambria Math"/>
                            <w:i/>
                          </w:rPr>
                        </m:ctrlPr>
                      </m:dPr>
                      <m:e>
                        <m:r>
                          <w:rPr>
                            <w:rFonts w:ascii="Cambria Math" w:hAnsi="Cambria Math"/>
                          </w:rPr>
                          <m:t>t</m:t>
                        </m:r>
                      </m:e>
                    </m:d>
                    <m:r>
                      <m:rPr>
                        <m:sty m:val="bi"/>
                      </m:rPr>
                      <w:rPr>
                        <w:rFonts w:ascii="Cambria Math" w:hAnsi="Cambria Math"/>
                      </w:rPr>
                      <m:t>,u</m:t>
                    </m:r>
                    <m:d>
                      <m:dPr>
                        <m:ctrlPr>
                          <w:rPr>
                            <w:rFonts w:ascii="Cambria Math" w:hAnsi="Cambria Math"/>
                            <w:i/>
                          </w:rPr>
                        </m:ctrlPr>
                      </m:dPr>
                      <m:e>
                        <m:r>
                          <w:rPr>
                            <w:rFonts w:ascii="Cambria Math" w:hAnsi="Cambria Math"/>
                          </w:rPr>
                          <m:t>t</m:t>
                        </m:r>
                      </m:e>
                    </m:d>
                  </m:e>
                </m:d>
              </m:oMath>
            </m:oMathPara>
          </w:p>
        </w:tc>
        <w:tc>
          <w:tcPr>
            <w:tcW w:w="1701" w:type="dxa"/>
            <w:vAlign w:val="center"/>
          </w:tcPr>
          <w:p w14:paraId="413466D1" w14:textId="54C7C5BD" w:rsidR="00F91F8D" w:rsidRPr="00B57B36" w:rsidRDefault="00F91F8D" w:rsidP="00F91F8D">
            <w:pPr>
              <w:pStyle w:val="CETEquation"/>
              <w:ind w:left="8496" w:hanging="8496"/>
            </w:pPr>
            <w:r>
              <w:t xml:space="preserve">for all </w:t>
            </w:r>
            <m:oMath>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f</m:t>
                  </m:r>
                </m:sub>
              </m:sSub>
            </m:oMath>
          </w:p>
        </w:tc>
        <w:tc>
          <w:tcPr>
            <w:tcW w:w="826" w:type="dxa"/>
            <w:shd w:val="clear" w:color="auto" w:fill="auto"/>
            <w:vAlign w:val="center"/>
          </w:tcPr>
          <w:p w14:paraId="77731457" w14:textId="6A7B9320" w:rsidR="00F91F8D" w:rsidRPr="00B57B36" w:rsidRDefault="00E27613" w:rsidP="00E27613">
            <w:pPr>
              <w:pStyle w:val="CETEquation"/>
              <w:ind w:left="8496" w:hanging="8496"/>
              <w:jc w:val="right"/>
            </w:pPr>
            <w:r w:rsidRPr="00B57B36">
              <w:t>(</w:t>
            </w:r>
            <w:r>
              <w:t>1-f</w:t>
            </w:r>
            <w:r w:rsidRPr="00B57B36">
              <w:t>)</w:t>
            </w:r>
          </w:p>
        </w:tc>
      </w:tr>
      <w:tr w:rsidR="00F91F8D" w:rsidRPr="005A28C6" w14:paraId="3F844F06" w14:textId="77777777" w:rsidTr="0043045F">
        <w:trPr>
          <w:trHeight w:val="439"/>
        </w:trPr>
        <w:tc>
          <w:tcPr>
            <w:tcW w:w="810" w:type="dxa"/>
            <w:vAlign w:val="center"/>
          </w:tcPr>
          <w:p w14:paraId="2723979C" w14:textId="77777777" w:rsidR="00F91F8D" w:rsidRPr="006A2A99" w:rsidRDefault="00F91F8D" w:rsidP="00F91F8D">
            <w:pPr>
              <w:pStyle w:val="CETEquation"/>
              <w:rPr>
                <w:rFonts w:ascii="Tahoma" w:hAnsi="Tahoma" w:cs="Tahoma"/>
              </w:rPr>
            </w:pPr>
          </w:p>
        </w:tc>
        <w:tc>
          <w:tcPr>
            <w:tcW w:w="2430" w:type="dxa"/>
            <w:shd w:val="clear" w:color="auto" w:fill="auto"/>
            <w:vAlign w:val="center"/>
          </w:tcPr>
          <w:p w14:paraId="00B0A275" w14:textId="70362D1C" w:rsidR="00F91F8D" w:rsidRPr="00152658" w:rsidRDefault="00F91F8D" w:rsidP="00F91F8D">
            <w:pPr>
              <w:pStyle w:val="CETEquation"/>
              <w:jc w:val="right"/>
              <w:rPr>
                <w:b/>
              </w:rPr>
            </w:pPr>
            <m:oMathPara>
              <m:oMathParaPr>
                <m:jc m:val="right"/>
              </m:oMathParaPr>
              <m:oMath>
                <m:r>
                  <m:rPr>
                    <m:sty m:val="bi"/>
                  </m:rPr>
                  <w:rPr>
                    <w:rFonts w:ascii="Cambria Math" w:hAnsi="Cambria Math"/>
                  </w:rPr>
                  <m:t>0</m:t>
                </m:r>
              </m:oMath>
            </m:oMathPara>
          </w:p>
        </w:tc>
        <w:tc>
          <w:tcPr>
            <w:tcW w:w="2997" w:type="dxa"/>
            <w:vAlign w:val="center"/>
          </w:tcPr>
          <w:p w14:paraId="26554B15" w14:textId="33037744" w:rsidR="00F91F8D" w:rsidRPr="002E2D12" w:rsidRDefault="00F91F8D" w:rsidP="00F91F8D">
            <w:pPr>
              <w:pStyle w:val="CETEquation"/>
              <w:ind w:left="8496" w:hanging="8496"/>
              <w:rPr>
                <w:lang w:val="en-US"/>
              </w:rPr>
            </w:pPr>
            <m:oMathPara>
              <m:oMathParaPr>
                <m:jc m:val="left"/>
              </m:oMathParaPr>
              <m:oMath>
                <m:r>
                  <w:rPr>
                    <w:rFonts w:ascii="Cambria Math" w:hAnsi="Cambria Math"/>
                  </w:rPr>
                  <m:t>≤</m:t>
                </m:r>
                <m:sSub>
                  <m:sSubPr>
                    <m:ctrlPr>
                      <w:rPr>
                        <w:rFonts w:ascii="Cambria Math" w:hAnsi="Cambria Math"/>
                        <w:i/>
                      </w:rPr>
                    </m:ctrlPr>
                  </m:sSubPr>
                  <m:e>
                    <m:r>
                      <m:rPr>
                        <m:sty m:val="bi"/>
                      </m:rPr>
                      <w:rPr>
                        <w:rFonts w:ascii="Cambria Math" w:hAnsi="Cambria Math"/>
                      </w:rPr>
                      <m:t>C</m:t>
                    </m:r>
                  </m:e>
                  <m:sub>
                    <m:r>
                      <w:rPr>
                        <w:rFonts w:ascii="Cambria Math" w:hAnsi="Cambria Math"/>
                      </w:rPr>
                      <m:t>f</m:t>
                    </m:r>
                  </m:sub>
                </m:sSub>
                <m:d>
                  <m:dPr>
                    <m:ctrlPr>
                      <w:rPr>
                        <w:rFonts w:ascii="Cambria Math" w:hAnsi="Cambria Math"/>
                        <w:i/>
                      </w:rPr>
                    </m:ctrlPr>
                  </m:dPr>
                  <m:e>
                    <m:r>
                      <m:rPr>
                        <m:sty m:val="bi"/>
                      </m:rPr>
                      <w:rPr>
                        <w:rFonts w:ascii="Cambria Math" w:hAnsi="Cambria Math"/>
                      </w:rPr>
                      <m:t>x</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r>
                          <m:rPr>
                            <m:sty m:val="p"/>
                          </m:rPr>
                          <w:rPr>
                            <w:rFonts w:ascii="Cambria Math" w:hAnsi="Cambria Math"/>
                          </w:rPr>
                          <m:t>Δ</m:t>
                        </m:r>
                        <m:r>
                          <w:rPr>
                            <w:rFonts w:ascii="Cambria Math" w:hAnsi="Cambria Math"/>
                          </w:rPr>
                          <m:t>t</m:t>
                        </m:r>
                      </m:e>
                    </m:d>
                    <m:r>
                      <w:rPr>
                        <w:rFonts w:ascii="Cambria Math" w:hAnsi="Cambria Math"/>
                      </w:rPr>
                      <m:t>,</m:t>
                    </m:r>
                    <m:r>
                      <m:rPr>
                        <m:sty m:val="bi"/>
                      </m:rPr>
                      <w:rPr>
                        <w:rFonts w:ascii="Cambria Math" w:hAnsi="Cambria Math"/>
                      </w:rPr>
                      <m:t>u</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r>
                          <m:rPr>
                            <m:sty m:val="p"/>
                          </m:rPr>
                          <w:rPr>
                            <w:rFonts w:ascii="Cambria Math" w:hAnsi="Cambria Math"/>
                          </w:rPr>
                          <m:t>Δ</m:t>
                        </m:r>
                        <m:r>
                          <w:rPr>
                            <w:rFonts w:ascii="Cambria Math" w:hAnsi="Cambria Math"/>
                          </w:rPr>
                          <m:t>t</m:t>
                        </m:r>
                      </m:e>
                    </m:d>
                  </m:e>
                </m:d>
              </m:oMath>
            </m:oMathPara>
          </w:p>
        </w:tc>
        <w:tc>
          <w:tcPr>
            <w:tcW w:w="1701" w:type="dxa"/>
            <w:vAlign w:val="center"/>
          </w:tcPr>
          <w:p w14:paraId="03259321" w14:textId="150CC7AF" w:rsidR="00F91F8D" w:rsidRPr="005A28C6" w:rsidRDefault="00F91F8D" w:rsidP="00F91F8D">
            <w:pPr>
              <w:pStyle w:val="CETEquation"/>
              <w:ind w:left="8496" w:hanging="8496"/>
              <w:rPr>
                <w:lang w:val="en-US"/>
              </w:rPr>
            </w:pPr>
          </w:p>
        </w:tc>
        <w:tc>
          <w:tcPr>
            <w:tcW w:w="826" w:type="dxa"/>
            <w:shd w:val="clear" w:color="auto" w:fill="auto"/>
            <w:vAlign w:val="center"/>
          </w:tcPr>
          <w:p w14:paraId="135503ED" w14:textId="6689D01E" w:rsidR="00F91F8D" w:rsidRPr="005A28C6" w:rsidRDefault="00E27613" w:rsidP="00E27613">
            <w:pPr>
              <w:pStyle w:val="CETEquation"/>
              <w:ind w:left="8496" w:hanging="8496"/>
              <w:jc w:val="right"/>
              <w:rPr>
                <w:lang w:val="en-US"/>
              </w:rPr>
            </w:pPr>
            <w:r w:rsidRPr="00B57B36">
              <w:t>(</w:t>
            </w:r>
            <w:r>
              <w:t>1-g</w:t>
            </w:r>
            <w:r w:rsidRPr="00B57B36">
              <w:t>)</w:t>
            </w:r>
          </w:p>
        </w:tc>
      </w:tr>
    </w:tbl>
    <w:p w14:paraId="7CA53397" w14:textId="644EBAFB" w:rsidR="00A7374C" w:rsidRDefault="00A35C87" w:rsidP="00A7374C">
      <w:pPr>
        <w:pStyle w:val="CETBodytext"/>
      </w:pPr>
      <w:r>
        <w:t xml:space="preserve">In the case of the nanoparticle synthesis, a terminal constraint </w:t>
      </w:r>
      <w:r w:rsidR="006678EE">
        <w:t>(</w:t>
      </w:r>
      <m:oMath>
        <m:sSub>
          <m:sSubPr>
            <m:ctrlPr>
              <w:rPr>
                <w:rFonts w:ascii="Cambria Math" w:hAnsi="Cambria Math"/>
                <w:i/>
              </w:rPr>
            </m:ctrlPr>
          </m:sSubPr>
          <m:e>
            <m:r>
              <m:rPr>
                <m:sty m:val="bi"/>
              </m:rPr>
              <w:rPr>
                <w:rFonts w:ascii="Cambria Math" w:hAnsi="Cambria Math"/>
              </w:rPr>
              <m:t>C</m:t>
            </m:r>
          </m:e>
          <m:sub>
            <m:r>
              <w:rPr>
                <w:rFonts w:ascii="Cambria Math" w:hAnsi="Cambria Math"/>
              </w:rPr>
              <m:t>f</m:t>
            </m:r>
          </m:sub>
        </m:sSub>
        <m:r>
          <w:rPr>
            <w:rFonts w:ascii="Cambria Math" w:hAnsi="Cambria Math"/>
          </w:rPr>
          <m:t xml:space="preserve">) </m:t>
        </m:r>
      </m:oMath>
      <w:r>
        <w:t xml:space="preserve">is used to enforce the quality of the product at the end of the process. </w:t>
      </w:r>
      <w:r w:rsidR="00FD4C4E">
        <w:t xml:space="preserve">One </w:t>
      </w:r>
      <w:r w:rsidR="006F61A8">
        <w:t>suitable</w:t>
      </w:r>
      <w:r w:rsidR="00FD4C4E">
        <w:t xml:space="preserve"> choice </w:t>
      </w:r>
      <w:r w:rsidR="00D12392">
        <w:t xml:space="preserve">as economic indicator </w:t>
      </w:r>
      <w:r w:rsidR="006F61A8">
        <w:t>is</w:t>
      </w:r>
      <w:r w:rsidR="00275C9A">
        <w:t xml:space="preserve"> </w:t>
      </w:r>
      <w:r w:rsidR="00FD4C4E">
        <w:t>the</w:t>
      </w:r>
      <w:r w:rsidR="00050425">
        <w:t xml:space="preserve"> total</w:t>
      </w:r>
      <w:r w:rsidR="004674B5">
        <w:t xml:space="preserve"> </w:t>
      </w:r>
      <w:r w:rsidR="00061F73">
        <w:t>co</w:t>
      </w:r>
      <w:r w:rsidR="00FD4C4E">
        <w:t xml:space="preserve">st of energy </w:t>
      </w:r>
      <w:r w:rsidR="00050425">
        <w:t>of</w:t>
      </w:r>
      <w:r w:rsidR="00FD4C4E">
        <w:t xml:space="preserve"> the </w:t>
      </w:r>
      <w:r w:rsidR="00890498">
        <w:t>process</w:t>
      </w:r>
      <w:r w:rsidR="00152658">
        <w:t>, and is obtained by setting</w:t>
      </w:r>
      <w:r w:rsidR="002E2D12">
        <w:t xml:space="preserve"> </w:t>
      </w:r>
      <m:oMath>
        <m:r>
          <w:rPr>
            <w:rFonts w:ascii="Cambria Math" w:hAnsi="Cambria Math"/>
          </w:rPr>
          <m:t>ϕ(</m:t>
        </m:r>
        <m:r>
          <m:rPr>
            <m:sty m:val="bi"/>
          </m:rPr>
          <w:rPr>
            <w:rFonts w:ascii="Cambria Math" w:hAnsi="Cambria Math"/>
          </w:rPr>
          <m:t>x</m:t>
        </m:r>
        <m:r>
          <w:rPr>
            <w:rFonts w:ascii="Cambria Math" w:hAnsi="Cambria Math"/>
          </w:rPr>
          <m:t>,</m:t>
        </m:r>
        <m:r>
          <m:rPr>
            <m:sty m:val="bi"/>
          </m:rPr>
          <w:rPr>
            <w:rFonts w:ascii="Cambria Math" w:hAnsi="Cambria Math"/>
          </w:rPr>
          <m:t>u</m:t>
        </m:r>
        <m:r>
          <w:rPr>
            <w:rFonts w:ascii="Cambria Math" w:hAnsi="Cambria Math"/>
          </w:rPr>
          <m:t>,t)=</m:t>
        </m:r>
        <m:r>
          <m:rPr>
            <m:sty m:val="p"/>
          </m:rPr>
          <w:rPr>
            <w:rFonts w:ascii="Cambria Math" w:hAnsi="Cambria Math"/>
          </w:rPr>
          <m:t>EP</m:t>
        </m:r>
        <m:d>
          <m:dPr>
            <m:ctrlPr>
              <w:rPr>
                <w:rFonts w:ascii="Cambria Math" w:hAnsi="Cambria Math"/>
                <w:i/>
              </w:rPr>
            </m:ctrlPr>
          </m:dPr>
          <m:e>
            <m:r>
              <w:rPr>
                <w:rFonts w:ascii="Cambria Math" w:hAnsi="Cambria Math"/>
              </w:rPr>
              <m:t>t</m:t>
            </m:r>
          </m:e>
        </m:d>
        <m:r>
          <w:rPr>
            <w:rFonts w:ascii="Cambria Math" w:hAnsi="Cambria Math"/>
          </w:rPr>
          <m:t>⋅</m:t>
        </m:r>
        <m:acc>
          <m:accPr>
            <m:chr m:val="̇"/>
            <m:ctrlPr>
              <w:rPr>
                <w:rFonts w:ascii="Cambria Math" w:hAnsi="Cambria Math"/>
                <w:i/>
              </w:rPr>
            </m:ctrlPr>
          </m:accPr>
          <m:e>
            <m:r>
              <w:rPr>
                <w:rFonts w:ascii="Cambria Math" w:hAnsi="Cambria Math"/>
              </w:rPr>
              <m:t>E</m:t>
            </m:r>
          </m:e>
        </m:acc>
        <m:r>
          <w:rPr>
            <w:rFonts w:ascii="Cambria Math" w:hAnsi="Cambria Math"/>
          </w:rPr>
          <m:t>(</m:t>
        </m:r>
        <m:r>
          <m:rPr>
            <m:sty m:val="bi"/>
          </m:rPr>
          <w:rPr>
            <w:rFonts w:ascii="Cambria Math" w:hAnsi="Cambria Math"/>
          </w:rPr>
          <m:t>x</m:t>
        </m:r>
        <m:r>
          <w:rPr>
            <w:rFonts w:ascii="Cambria Math" w:hAnsi="Cambria Math"/>
          </w:rPr>
          <m:t>(t),</m:t>
        </m:r>
        <m:r>
          <m:rPr>
            <m:sty m:val="bi"/>
          </m:rPr>
          <w:rPr>
            <w:rFonts w:ascii="Cambria Math" w:hAnsi="Cambria Math"/>
          </w:rPr>
          <m:t>u</m:t>
        </m:r>
        <m:r>
          <w:rPr>
            <w:rFonts w:ascii="Cambria Math" w:hAnsi="Cambria Math"/>
          </w:rPr>
          <m:t>(t))</m:t>
        </m:r>
      </m:oMath>
      <w:r w:rsidR="00152658">
        <w:t xml:space="preserve">, where </w:t>
      </w:r>
      <m:oMath>
        <m:r>
          <m:rPr>
            <m:sty m:val="p"/>
          </m:rPr>
          <w:rPr>
            <w:rFonts w:ascii="Cambria Math" w:hAnsi="Cambria Math"/>
          </w:rPr>
          <m:t>EP</m:t>
        </m:r>
        <m:r>
          <w:rPr>
            <w:rFonts w:ascii="Cambria Math" w:hAnsi="Cambria Math"/>
          </w:rPr>
          <m:t>(t)</m:t>
        </m:r>
      </m:oMath>
      <w:r w:rsidR="00152658">
        <w:t xml:space="preserve"> is the energy price at time </w:t>
      </w:r>
      <m:oMath>
        <m:r>
          <w:rPr>
            <w:rFonts w:ascii="Cambria Math" w:hAnsi="Cambria Math"/>
          </w:rPr>
          <m:t>t</m:t>
        </m:r>
      </m:oMath>
      <w:r w:rsidR="00152658">
        <w:t xml:space="preserve"> and </w:t>
      </w:r>
      <m:oMath>
        <m:acc>
          <m:accPr>
            <m:chr m:val="̇"/>
            <m:ctrlPr>
              <w:rPr>
                <w:rFonts w:ascii="Cambria Math" w:hAnsi="Cambria Math"/>
                <w:i/>
              </w:rPr>
            </m:ctrlPr>
          </m:accPr>
          <m:e>
            <m:r>
              <w:rPr>
                <w:rFonts w:ascii="Cambria Math" w:hAnsi="Cambria Math"/>
              </w:rPr>
              <m:t>E</m:t>
            </m:r>
          </m:e>
        </m:acc>
        <m:r>
          <w:rPr>
            <w:rFonts w:ascii="Cambria Math" w:hAnsi="Cambria Math"/>
          </w:rPr>
          <m:t>(</m:t>
        </m:r>
        <m:r>
          <m:rPr>
            <m:sty m:val="bi"/>
          </m:rPr>
          <w:rPr>
            <w:rFonts w:ascii="Cambria Math" w:hAnsi="Cambria Math"/>
          </w:rPr>
          <m:t>x</m:t>
        </m:r>
        <m:r>
          <w:rPr>
            <w:rFonts w:ascii="Cambria Math" w:hAnsi="Cambria Math"/>
          </w:rPr>
          <m:t>,</m:t>
        </m:r>
        <m:r>
          <m:rPr>
            <m:sty m:val="bi"/>
          </m:rPr>
          <w:rPr>
            <w:rFonts w:ascii="Cambria Math" w:hAnsi="Cambria Math"/>
          </w:rPr>
          <m:t>u</m:t>
        </m:r>
        <m:r>
          <w:rPr>
            <w:rFonts w:ascii="Cambria Math" w:hAnsi="Cambria Math"/>
          </w:rPr>
          <m:t>)</m:t>
        </m:r>
      </m:oMath>
      <w:r w:rsidR="00152658">
        <w:t xml:space="preserve"> </w:t>
      </w:r>
      <w:r w:rsidR="00152658">
        <w:lastRenderedPageBreak/>
        <w:t xml:space="preserve">the electrical power consumption </w:t>
      </w:r>
      <w:r w:rsidR="00697CD8">
        <w:t>of the process</w:t>
      </w:r>
      <w:r w:rsidR="00890498">
        <w:t>. If energy is available at a constant price, then the optimal control policy is the one that minimizes the total energy consumption</w:t>
      </w:r>
      <w:r w:rsidR="008411DD">
        <w:t>, and the starting time is irrelevant</w:t>
      </w:r>
      <w:r w:rsidR="00890498">
        <w:t xml:space="preserve">. </w:t>
      </w:r>
      <w:r w:rsidR="003B1511">
        <w:t>I</w:t>
      </w:r>
      <w:r w:rsidR="00743A3A">
        <w:t>n practice</w:t>
      </w:r>
      <w:r w:rsidR="00890498">
        <w:t xml:space="preserve"> </w:t>
      </w:r>
      <w:r w:rsidR="0064028F">
        <w:t xml:space="preserve">however, </w:t>
      </w:r>
      <w:r w:rsidR="00890498">
        <w:t>energy can be available at</w:t>
      </w:r>
      <w:r w:rsidR="003B1511">
        <w:t xml:space="preserve"> a</w:t>
      </w:r>
      <w:r w:rsidR="009B6C76">
        <w:t xml:space="preserve"> </w:t>
      </w:r>
      <w:r w:rsidR="00B22E45">
        <w:t xml:space="preserve">variable price </w:t>
      </w:r>
      <w:r w:rsidR="00FC1CC5">
        <w:t>for several reasons</w:t>
      </w:r>
      <w:r w:rsidR="00A24FA5">
        <w:t>, for example</w:t>
      </w:r>
      <w:r w:rsidR="00B22E45">
        <w:t xml:space="preserve"> if the plant operator participates </w:t>
      </w:r>
      <w:r w:rsidR="006678EE">
        <w:t>in</w:t>
      </w:r>
      <w:r w:rsidR="00B22E45">
        <w:t xml:space="preserve"> demand-side management programs </w:t>
      </w:r>
      <w:r w:rsidR="00FC5511">
        <w:t xml:space="preserve">(Palensky and Dietrich, 2011) </w:t>
      </w:r>
      <w:r w:rsidR="00B22E45">
        <w:t xml:space="preserve">or if </w:t>
      </w:r>
      <w:r w:rsidR="00E6455A">
        <w:t>it can source its energy from</w:t>
      </w:r>
      <w:r w:rsidR="00B22E45">
        <w:t xml:space="preserve"> </w:t>
      </w:r>
      <w:r w:rsidR="0064028F">
        <w:t>an in-house available generator</w:t>
      </w:r>
      <w:r w:rsidR="00B22E45">
        <w:t>.</w:t>
      </w:r>
      <w:r w:rsidR="003B1511">
        <w:t xml:space="preserve"> </w:t>
      </w:r>
      <w:r w:rsidR="0098783A">
        <w:t xml:space="preserve">In </w:t>
      </w:r>
      <w:r w:rsidR="0098783A" w:rsidRPr="00FC5511">
        <w:t>Tamagnini and Engell (2022),</w:t>
      </w:r>
      <w:r w:rsidR="0098783A">
        <w:t xml:space="preserve"> one scenario was </w:t>
      </w:r>
      <w:r w:rsidR="0064028F">
        <w:t>considered</w:t>
      </w:r>
      <w:r w:rsidR="008411DD">
        <w:t xml:space="preserve"> where</w:t>
      </w:r>
      <w:r w:rsidR="0098783A">
        <w:t xml:space="preserve"> </w:t>
      </w:r>
      <w:r w:rsidR="008411DD">
        <w:t>the starting time of the process was fixed and</w:t>
      </w:r>
      <w:r w:rsidR="0098783A">
        <w:t xml:space="preserve"> electrical power from </w:t>
      </w:r>
      <w:r w:rsidR="0064028F">
        <w:t>a renewable source</w:t>
      </w:r>
      <w:r w:rsidR="0098783A">
        <w:t xml:space="preserve"> was available at a </w:t>
      </w:r>
      <w:r w:rsidR="00F95C8E">
        <w:t>discounted</w:t>
      </w:r>
      <w:r w:rsidR="0098783A">
        <w:t xml:space="preserve"> price inside a </w:t>
      </w:r>
      <w:r w:rsidR="00E62B5C">
        <w:t>predicted</w:t>
      </w:r>
      <w:r w:rsidR="0098783A">
        <w:t xml:space="preserve"> time window, with </w:t>
      </w:r>
      <w:r w:rsidR="0064028F">
        <w:t>unlimited capacity and no restrictions on</w:t>
      </w:r>
      <w:r w:rsidR="00C3788C">
        <w:t xml:space="preserve"> its</w:t>
      </w:r>
      <w:r w:rsidR="0064028F">
        <w:t xml:space="preserve"> use</w:t>
      </w:r>
      <w:r w:rsidR="008411DD">
        <w:t xml:space="preserve">. </w:t>
      </w:r>
      <w:r w:rsidR="00697CD8">
        <w:t>In this work</w:t>
      </w:r>
      <w:r w:rsidR="00287481">
        <w:t>,</w:t>
      </w:r>
      <w:r w:rsidR="00697CD8">
        <w:t xml:space="preserve"> </w:t>
      </w:r>
      <w:r w:rsidR="00953CBC">
        <w:t xml:space="preserve">the </w:t>
      </w:r>
      <w:r w:rsidR="008411DD">
        <w:t>case where the renewable generator is subjec</w:t>
      </w:r>
      <w:r w:rsidR="005F3CEF">
        <w:t xml:space="preserve">t to capacity constraints </w:t>
      </w:r>
      <w:r w:rsidR="0047361F">
        <w:t>is investigated</w:t>
      </w:r>
      <w:r w:rsidR="00287481">
        <w:t>,</w:t>
      </w:r>
      <w:r w:rsidR="0047361F">
        <w:t xml:space="preserve"> </w:t>
      </w:r>
      <w:r w:rsidR="00DF2A2D">
        <w:t>explicitly taking into account the possibility to recover the leftover capacity</w:t>
      </w:r>
      <w:r w:rsidR="005F3CEF">
        <w:t>.</w:t>
      </w:r>
      <w:r w:rsidR="001C41AC">
        <w:t xml:space="preserve"> Let  </w:t>
      </w:r>
      <m:oMath>
        <m:acc>
          <m:accPr>
            <m:chr m:val="̇"/>
            <m:ctrlPr>
              <w:rPr>
                <w:rFonts w:ascii="Cambria Math" w:hAnsi="Cambria Math"/>
                <w:i/>
              </w:rPr>
            </m:ctrlPr>
          </m:accPr>
          <m:e>
            <m:r>
              <w:rPr>
                <w:rFonts w:ascii="Cambria Math" w:hAnsi="Cambria Math"/>
              </w:rPr>
              <m:t>R</m:t>
            </m:r>
          </m:e>
        </m:acc>
        <m:r>
          <w:rPr>
            <w:rFonts w:ascii="Cambria Math" w:hAnsi="Cambria Math"/>
          </w:rPr>
          <m:t>(t)</m:t>
        </m:r>
      </m:oMath>
      <w:r w:rsidR="001C41AC">
        <w:t xml:space="preserve"> </w:t>
      </w:r>
      <w:r w:rsidR="001D0D2B">
        <w:t xml:space="preserve">be </w:t>
      </w:r>
      <w:r w:rsidR="001C41AC">
        <w:t xml:space="preserve">the renewable power capacity at time </w:t>
      </w:r>
      <m:oMath>
        <m:r>
          <w:rPr>
            <w:rFonts w:ascii="Cambria Math" w:hAnsi="Cambria Math"/>
          </w:rPr>
          <m:t>t</m:t>
        </m:r>
      </m:oMath>
      <w:r w:rsidR="001C41AC">
        <w:t xml:space="preserve">. </w:t>
      </w:r>
      <w:r w:rsidR="0047361F">
        <w:t>It is</w:t>
      </w:r>
      <w:r w:rsidR="00F95C8E" w:rsidRPr="00AC3813">
        <w:t xml:space="preserve"> assume</w:t>
      </w:r>
      <w:r w:rsidR="0047361F">
        <w:t>d</w:t>
      </w:r>
      <w:r w:rsidR="00F95C8E" w:rsidRPr="00AC3813">
        <w:t xml:space="preserve"> that </w:t>
      </w:r>
      <w:r w:rsidR="00C3788C">
        <w:t xml:space="preserve">the </w:t>
      </w:r>
      <w:r w:rsidR="00F95C8E" w:rsidRPr="00AC3813">
        <w:t xml:space="preserve">power </w:t>
      </w:r>
      <w:r w:rsidR="00C3788C">
        <w:t>from the renewable source can be</w:t>
      </w:r>
      <w:r w:rsidR="00F95C8E" w:rsidRPr="00AC3813">
        <w:t xml:space="preserve"> absorbed </w:t>
      </w:r>
      <w:r w:rsidR="00F95C8E">
        <w:t xml:space="preserve">at </w:t>
      </w:r>
      <w:r w:rsidR="00C3788C">
        <w:t>zero</w:t>
      </w:r>
      <w:r w:rsidR="00F95C8E">
        <w:t xml:space="preserve"> price </w:t>
      </w:r>
      <w:r w:rsidR="00F95C8E" w:rsidRPr="00AC3813">
        <w:t xml:space="preserve">from the </w:t>
      </w:r>
      <w:r w:rsidR="00F95C8E">
        <w:t>renewable</w:t>
      </w:r>
      <w:r w:rsidR="00F95C8E" w:rsidRPr="00AC3813">
        <w:t xml:space="preserve"> source until depletion, while the electrical grid</w:t>
      </w:r>
      <w:r w:rsidR="00F95C8E">
        <w:t xml:space="preserve"> </w:t>
      </w:r>
      <w:r w:rsidR="00F95C8E" w:rsidRPr="00AC3813">
        <w:t>supplies the remainder at a constant price</w:t>
      </w:r>
      <w:r w:rsidR="00F95C8E">
        <w:t xml:space="preserve"> </w:t>
      </w:r>
      <m:oMath>
        <m:r>
          <m:rPr>
            <m:sty m:val="p"/>
          </m:rPr>
          <w:rPr>
            <w:rFonts w:ascii="Cambria Math" w:hAnsi="Cambria Math"/>
          </w:rPr>
          <m:t>EP</m:t>
        </m:r>
      </m:oMath>
      <w:r w:rsidR="00F95C8E" w:rsidRPr="00AC3813">
        <w:t xml:space="preserve">. </w:t>
      </w:r>
      <w:r w:rsidR="003D7E3C">
        <w:t xml:space="preserve">Once the process </w:t>
      </w:r>
      <w:r w:rsidR="00697CD8">
        <w:t>trajector</w:t>
      </w:r>
      <w:r w:rsidR="00697CD8" w:rsidRPr="00697CD8">
        <w:t xml:space="preserve">y </w:t>
      </w:r>
      <w:r w:rsidR="003D7E3C">
        <w:t>has been established, t</w:t>
      </w:r>
      <w:r w:rsidR="001C41AC">
        <w:t xml:space="preserve">he </w:t>
      </w:r>
      <w:r w:rsidR="00A7374C">
        <w:t xml:space="preserve">power consumption from the grid </w:t>
      </w:r>
      <m:oMath>
        <m:acc>
          <m:accPr>
            <m:chr m:val="̇"/>
            <m:ctrlPr>
              <w:rPr>
                <w:rFonts w:ascii="Cambria Math" w:hAnsi="Cambria Math"/>
                <w:i/>
              </w:rPr>
            </m:ctrlPr>
          </m:accPr>
          <m:e>
            <m:r>
              <w:rPr>
                <w:rFonts w:ascii="Cambria Math" w:hAnsi="Cambria Math"/>
              </w:rPr>
              <m:t>G</m:t>
            </m:r>
          </m:e>
        </m:acc>
        <m:r>
          <w:rPr>
            <w:rFonts w:ascii="Cambria Math" w:hAnsi="Cambria Math"/>
          </w:rPr>
          <m:t>(t)</m:t>
        </m:r>
      </m:oMath>
      <w:r w:rsidR="00A7374C">
        <w:t xml:space="preserve"> is given by </w:t>
      </w:r>
      <w:r w:rsidR="00A7374C" w:rsidRPr="00AC3813">
        <w:t>the following relationship:</w:t>
      </w:r>
    </w:p>
    <w:tbl>
      <w:tblPr>
        <w:tblW w:w="5000" w:type="pct"/>
        <w:tblLook w:val="04A0" w:firstRow="1" w:lastRow="0" w:firstColumn="1" w:lastColumn="0" w:noHBand="0" w:noVBand="1"/>
      </w:tblPr>
      <w:tblGrid>
        <w:gridCol w:w="7981"/>
        <w:gridCol w:w="806"/>
      </w:tblGrid>
      <w:tr w:rsidR="00A7374C" w:rsidRPr="00B57B36" w14:paraId="1DAC42B4" w14:textId="77777777" w:rsidTr="00050425">
        <w:tc>
          <w:tcPr>
            <w:tcW w:w="7981" w:type="dxa"/>
            <w:shd w:val="clear" w:color="auto" w:fill="auto"/>
            <w:vAlign w:val="center"/>
          </w:tcPr>
          <w:p w14:paraId="68B9182C" w14:textId="18D0F375" w:rsidR="00A7374C" w:rsidRPr="00050425" w:rsidRDefault="00287481" w:rsidP="00F95C8E">
            <w:pPr>
              <w:pStyle w:val="CETEquation"/>
              <w:rPr>
                <w:rFonts w:ascii="Cambria Math" w:hAnsi="Cambria Math"/>
                <w:lang w:val="it-IT"/>
                <w:oMath/>
              </w:rPr>
            </w:pPr>
            <m:oMathPara>
              <m:oMathParaPr>
                <m:jc m:val="left"/>
              </m:oMathParaPr>
              <m:oMath>
                <m:acc>
                  <m:accPr>
                    <m:chr m:val="̇"/>
                    <m:ctrlPr>
                      <w:rPr>
                        <w:rFonts w:ascii="Cambria Math" w:hAnsi="Cambria Math"/>
                        <w:i/>
                      </w:rPr>
                    </m:ctrlPr>
                  </m:accPr>
                  <m:e>
                    <m:r>
                      <w:rPr>
                        <w:rFonts w:ascii="Cambria Math" w:hAnsi="Cambria Math"/>
                      </w:rPr>
                      <m:t>G</m:t>
                    </m:r>
                  </m:e>
                </m:acc>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acc>
                          <m:accPr>
                            <m:chr m:val="̇"/>
                            <m:ctrlPr>
                              <w:rPr>
                                <w:rFonts w:ascii="Cambria Math" w:hAnsi="Cambria Math"/>
                                <w:i/>
                              </w:rPr>
                            </m:ctrlPr>
                          </m:accPr>
                          <m:e>
                            <m:r>
                              <w:rPr>
                                <w:rFonts w:ascii="Cambria Math" w:hAnsi="Cambria Math"/>
                              </w:rPr>
                              <m:t>E</m:t>
                            </m:r>
                          </m:e>
                        </m:acc>
                        <m:r>
                          <w:rPr>
                            <w:rFonts w:ascii="Cambria Math" w:hAnsi="Cambria Math"/>
                          </w:rPr>
                          <m:t>-</m:t>
                        </m:r>
                        <m:acc>
                          <m:accPr>
                            <m:chr m:val="̇"/>
                            <m:ctrlPr>
                              <w:rPr>
                                <w:rFonts w:ascii="Cambria Math" w:hAnsi="Cambria Math"/>
                                <w:i/>
                              </w:rPr>
                            </m:ctrlPr>
                          </m:accPr>
                          <m:e>
                            <m:r>
                              <w:rPr>
                                <w:rFonts w:ascii="Cambria Math" w:hAnsi="Cambria Math"/>
                              </w:rPr>
                              <m:t>R</m:t>
                            </m:r>
                          </m:e>
                        </m:acc>
                        <m:r>
                          <w:rPr>
                            <w:rFonts w:ascii="Cambria Math" w:hAnsi="Cambria Math"/>
                          </w:rPr>
                          <m:t xml:space="preserve">,  </m:t>
                        </m:r>
                        <m:acc>
                          <m:accPr>
                            <m:chr m:val="̇"/>
                            <m:ctrlPr>
                              <w:rPr>
                                <w:rFonts w:ascii="Cambria Math" w:hAnsi="Cambria Math"/>
                                <w:i/>
                              </w:rPr>
                            </m:ctrlPr>
                          </m:accPr>
                          <m:e>
                            <m:r>
                              <w:rPr>
                                <w:rFonts w:ascii="Cambria Math" w:hAnsi="Cambria Math"/>
                              </w:rPr>
                              <m:t>R</m:t>
                            </m:r>
                          </m:e>
                        </m:acc>
                        <m:r>
                          <w:rPr>
                            <w:rFonts w:ascii="Cambria Math" w:hAnsi="Cambria Math"/>
                          </w:rPr>
                          <m:t>≤</m:t>
                        </m:r>
                        <m:acc>
                          <m:accPr>
                            <m:chr m:val="̇"/>
                            <m:ctrlPr>
                              <w:rPr>
                                <w:rFonts w:ascii="Cambria Math" w:hAnsi="Cambria Math"/>
                                <w:i/>
                              </w:rPr>
                            </m:ctrlPr>
                          </m:accPr>
                          <m:e>
                            <m:r>
                              <w:rPr>
                                <w:rFonts w:ascii="Cambria Math" w:hAnsi="Cambria Math"/>
                              </w:rPr>
                              <m:t>E</m:t>
                            </m:r>
                          </m:e>
                        </m:acc>
                      </m:e>
                      <m:e>
                        <m:r>
                          <w:rPr>
                            <w:rFonts w:ascii="Cambria Math" w:hAnsi="Cambria Math"/>
                          </w:rPr>
                          <m:t>0,</m:t>
                        </m:r>
                        <m:r>
                          <m:rPr>
                            <m:sty m:val="p"/>
                          </m:rPr>
                          <w:rPr>
                            <w:rFonts w:ascii="Cambria Math" w:hAnsi="Cambria Math"/>
                          </w:rPr>
                          <m:t xml:space="preserve">  otherwise</m:t>
                        </m:r>
                      </m:e>
                    </m:eqArr>
                  </m:e>
                </m:d>
              </m:oMath>
            </m:oMathPara>
          </w:p>
        </w:tc>
        <w:tc>
          <w:tcPr>
            <w:tcW w:w="806" w:type="dxa"/>
            <w:shd w:val="clear" w:color="auto" w:fill="auto"/>
            <w:vAlign w:val="center"/>
          </w:tcPr>
          <w:p w14:paraId="1FE1349E" w14:textId="0BDD16DA" w:rsidR="00A7374C" w:rsidRPr="00B57B36" w:rsidRDefault="00A7374C" w:rsidP="00E27613">
            <w:pPr>
              <w:pStyle w:val="CETEquation"/>
              <w:ind w:left="8496" w:hanging="8496"/>
              <w:jc w:val="right"/>
            </w:pPr>
            <w:r w:rsidRPr="00B57B36">
              <w:t>(</w:t>
            </w:r>
            <w:r w:rsidR="00E27613">
              <w:t>2</w:t>
            </w:r>
            <w:r w:rsidRPr="00B57B36">
              <w:t>)</w:t>
            </w:r>
          </w:p>
        </w:tc>
      </w:tr>
    </w:tbl>
    <w:p w14:paraId="3F8B8BCD" w14:textId="3E2420B8" w:rsidR="00173F60" w:rsidRDefault="0003307C" w:rsidP="004B6B8C">
      <w:pPr>
        <w:pStyle w:val="CETBodytext"/>
      </w:pPr>
      <w:r>
        <w:t xml:space="preserve">The difference </w:t>
      </w:r>
      <m:oMath>
        <m:acc>
          <m:accPr>
            <m:chr m:val="̇"/>
            <m:ctrlPr>
              <w:rPr>
                <w:rFonts w:ascii="Cambria Math" w:hAnsi="Cambria Math"/>
                <w:i/>
              </w:rPr>
            </m:ctrlPr>
          </m:accPr>
          <m:e>
            <m:r>
              <w:rPr>
                <w:rFonts w:ascii="Cambria Math" w:hAnsi="Cambria Math"/>
              </w:rPr>
              <m:t>R</m:t>
            </m:r>
          </m:e>
        </m:acc>
        <m:r>
          <w:rPr>
            <w:rFonts w:ascii="Cambria Math" w:hAnsi="Cambria Math"/>
          </w:rPr>
          <m:t>-(</m:t>
        </m:r>
        <m:acc>
          <m:accPr>
            <m:chr m:val="̇"/>
            <m:ctrlPr>
              <w:rPr>
                <w:rFonts w:ascii="Cambria Math" w:hAnsi="Cambria Math"/>
                <w:i/>
              </w:rPr>
            </m:ctrlPr>
          </m:accPr>
          <m:e>
            <m:r>
              <w:rPr>
                <w:rFonts w:ascii="Cambria Math" w:hAnsi="Cambria Math"/>
              </w:rPr>
              <m:t>E</m:t>
            </m:r>
          </m:e>
        </m:acc>
        <m:r>
          <w:rPr>
            <w:rFonts w:ascii="Cambria Math" w:hAnsi="Cambria Math"/>
          </w:rPr>
          <m:t>-</m:t>
        </m:r>
        <m:acc>
          <m:accPr>
            <m:chr m:val="̇"/>
            <m:ctrlPr>
              <w:rPr>
                <w:rFonts w:ascii="Cambria Math" w:hAnsi="Cambria Math"/>
                <w:i/>
              </w:rPr>
            </m:ctrlPr>
          </m:accPr>
          <m:e>
            <m:r>
              <w:rPr>
                <w:rFonts w:ascii="Cambria Math" w:hAnsi="Cambria Math"/>
              </w:rPr>
              <m:t>G</m:t>
            </m:r>
          </m:e>
        </m:acc>
        <m:r>
          <w:rPr>
            <w:rFonts w:ascii="Cambria Math" w:hAnsi="Cambria Math"/>
          </w:rPr>
          <m:t>)</m:t>
        </m:r>
      </m:oMath>
      <w:r>
        <w:t xml:space="preserve"> </w:t>
      </w:r>
      <w:r w:rsidR="00122A86">
        <w:t xml:space="preserve">is </w:t>
      </w:r>
      <w:r>
        <w:t>the residual renewable capacity afte</w:t>
      </w:r>
      <w:r w:rsidR="00AB5623">
        <w:t xml:space="preserve">r the allocation of the process. </w:t>
      </w:r>
      <w:r w:rsidR="00DF2A2D">
        <w:t>T</w:t>
      </w:r>
      <w:r w:rsidR="00FF57C6">
        <w:t xml:space="preserve">his </w:t>
      </w:r>
      <w:r w:rsidR="00540A65">
        <w:t>capacity</w:t>
      </w:r>
      <w:r w:rsidR="00FF57C6">
        <w:t xml:space="preserve"> </w:t>
      </w:r>
      <w:r w:rsidR="00DF2A2D">
        <w:t xml:space="preserve">can </w:t>
      </w:r>
      <w:r w:rsidR="00173F60">
        <w:t>be used to generate an additional revenue</w:t>
      </w:r>
      <w:r w:rsidR="00835FFE">
        <w:t xml:space="preserve"> (for example by reselling it to the grid or </w:t>
      </w:r>
      <w:r w:rsidR="00540A65">
        <w:t>to power other processes in the plant</w:t>
      </w:r>
      <w:r w:rsidR="00835FFE">
        <w:t xml:space="preserve">) </w:t>
      </w:r>
      <w:r w:rsidR="00173F60">
        <w:t>or savings</w:t>
      </w:r>
      <w:r w:rsidR="00C3788C">
        <w:t xml:space="preserve"> (e.g.</w:t>
      </w:r>
      <w:r w:rsidR="00540A65">
        <w:t xml:space="preserve"> by storing the excess energy in a battery)</w:t>
      </w:r>
      <w:r w:rsidR="00173F60">
        <w:t xml:space="preserve">. </w:t>
      </w:r>
      <w:r w:rsidR="0047361F">
        <w:t>T</w:t>
      </w:r>
      <w:r w:rsidR="00173F60">
        <w:t>his</w:t>
      </w:r>
      <w:r w:rsidR="00540A65">
        <w:t xml:space="preserve"> opportunity</w:t>
      </w:r>
      <w:r w:rsidR="00122A86">
        <w:t xml:space="preserve"> </w:t>
      </w:r>
      <w:r w:rsidR="0047361F">
        <w:t xml:space="preserve">is modeled </w:t>
      </w:r>
      <w:r w:rsidR="00122A86">
        <w:t>by</w:t>
      </w:r>
      <w:r w:rsidR="00173F60">
        <w:t xml:space="preserve"> </w:t>
      </w:r>
      <w:r w:rsidR="00122A86">
        <w:t>means of a simple</w:t>
      </w:r>
      <w:r w:rsidR="00540A65">
        <w:t xml:space="preserve"> </w:t>
      </w:r>
      <w:r w:rsidR="0047361F">
        <w:t>rule</w:t>
      </w:r>
      <w:r w:rsidR="00122A86">
        <w:t xml:space="preserve">. Let </w:t>
      </w:r>
      <m:oMath>
        <m:acc>
          <m:accPr>
            <m:chr m:val="̇"/>
            <m:ctrlPr>
              <w:rPr>
                <w:rFonts w:ascii="Cambria Math" w:hAnsi="Cambria Math"/>
                <w:i/>
              </w:rPr>
            </m:ctrlPr>
          </m:accPr>
          <m:e>
            <m:r>
              <w:rPr>
                <w:rFonts w:ascii="Cambria Math" w:hAnsi="Cambria Math"/>
              </w:rPr>
              <m:t>L</m:t>
            </m:r>
          </m:e>
        </m:acc>
      </m:oMath>
      <w:r w:rsidR="0055179E">
        <w:t xml:space="preserve"> </w:t>
      </w:r>
      <w:r w:rsidR="001D0D2B">
        <w:t xml:space="preserve">be </w:t>
      </w:r>
      <w:r w:rsidR="00122A86">
        <w:t xml:space="preserve">the </w:t>
      </w:r>
      <w:r w:rsidR="00173F60">
        <w:t xml:space="preserve">maximum </w:t>
      </w:r>
      <w:r w:rsidR="00122A86">
        <w:t xml:space="preserve">level of </w:t>
      </w:r>
      <w:r w:rsidR="00173F60">
        <w:t>residual capacity</w:t>
      </w:r>
      <w:r w:rsidR="00122A86">
        <w:t xml:space="preserve"> </w:t>
      </w:r>
      <w:r w:rsidR="00173F60">
        <w:t xml:space="preserve">that can be </w:t>
      </w:r>
      <w:r w:rsidR="00C3788C">
        <w:t>utilized</w:t>
      </w:r>
      <w:r w:rsidR="008E3260">
        <w:t>.</w:t>
      </w:r>
      <w:r w:rsidR="00B57EE7">
        <w:t xml:space="preserve"> </w:t>
      </w:r>
      <w:r w:rsidR="008E3260">
        <w:t>T</w:t>
      </w:r>
      <w:r w:rsidR="00B57EE7">
        <w:t xml:space="preserve">he recovered capacity </w:t>
      </w:r>
      <m:oMath>
        <m:acc>
          <m:accPr>
            <m:chr m:val="̇"/>
            <m:ctrlPr>
              <w:rPr>
                <w:rFonts w:ascii="Cambria Math" w:hAnsi="Cambria Math"/>
                <w:i/>
              </w:rPr>
            </m:ctrlPr>
          </m:accPr>
          <m:e>
            <m:r>
              <w:rPr>
                <w:rFonts w:ascii="Cambria Math" w:hAnsi="Cambria Math"/>
              </w:rPr>
              <m:t>S</m:t>
            </m:r>
          </m:e>
        </m:acc>
      </m:oMath>
      <w:r w:rsidR="00B57EE7">
        <w:t xml:space="preserve"> is </w:t>
      </w:r>
      <w:r w:rsidR="008E3260">
        <w:t>calculated</w:t>
      </w:r>
      <w:r w:rsidR="00B57EE7">
        <w:t xml:space="preserve"> as follows (the residual capacity is consumed to the maximum possible </w:t>
      </w:r>
      <w:r w:rsidR="001D7145">
        <w:t>extent</w:t>
      </w:r>
      <w:r w:rsidR="00B57EE7">
        <w:t>):</w:t>
      </w:r>
    </w:p>
    <w:tbl>
      <w:tblPr>
        <w:tblW w:w="5000" w:type="pct"/>
        <w:tblLook w:val="04A0" w:firstRow="1" w:lastRow="0" w:firstColumn="1" w:lastColumn="0" w:noHBand="0" w:noVBand="1"/>
      </w:tblPr>
      <w:tblGrid>
        <w:gridCol w:w="7981"/>
        <w:gridCol w:w="806"/>
      </w:tblGrid>
      <w:tr w:rsidR="00173F60" w:rsidRPr="00B57B36" w14:paraId="128767DD" w14:textId="77777777" w:rsidTr="00122A86">
        <w:tc>
          <w:tcPr>
            <w:tcW w:w="7981" w:type="dxa"/>
            <w:shd w:val="clear" w:color="auto" w:fill="auto"/>
            <w:vAlign w:val="center"/>
          </w:tcPr>
          <w:p w14:paraId="2A39CD84" w14:textId="2B10E45F" w:rsidR="00173F60" w:rsidRPr="00050425" w:rsidRDefault="00287481" w:rsidP="00B57EE7">
            <w:pPr>
              <w:pStyle w:val="CETEquation"/>
              <w:rPr>
                <w:rFonts w:ascii="Cambria Math" w:hAnsi="Cambria Math"/>
                <w:lang w:val="it-IT"/>
                <w:oMath/>
              </w:rPr>
            </w:pPr>
            <m:oMathPara>
              <m:oMathParaPr>
                <m:jc m:val="left"/>
              </m:oMathParaPr>
              <m:oMath>
                <m:acc>
                  <m:accPr>
                    <m:chr m:val="̇"/>
                    <m:ctrlPr>
                      <w:rPr>
                        <w:rFonts w:ascii="Cambria Math" w:hAnsi="Cambria Math"/>
                        <w:i/>
                      </w:rPr>
                    </m:ctrlPr>
                  </m:accPr>
                  <m:e>
                    <m:r>
                      <w:rPr>
                        <w:rFonts w:ascii="Cambria Math" w:hAnsi="Cambria Math"/>
                      </w:rPr>
                      <m:t>S</m:t>
                    </m:r>
                  </m:e>
                </m:acc>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acc>
                          <m:accPr>
                            <m:chr m:val="̇"/>
                            <m:ctrlPr>
                              <w:rPr>
                                <w:rFonts w:ascii="Cambria Math" w:hAnsi="Cambria Math"/>
                                <w:i/>
                              </w:rPr>
                            </m:ctrlPr>
                          </m:accPr>
                          <m:e>
                            <m:r>
                              <w:rPr>
                                <w:rFonts w:ascii="Cambria Math" w:hAnsi="Cambria Math"/>
                              </w:rPr>
                              <m:t>R</m:t>
                            </m:r>
                          </m:e>
                        </m:acc>
                        <m:r>
                          <w:rPr>
                            <w:rFonts w:ascii="Cambria Math" w:hAnsi="Cambria Math"/>
                          </w:rPr>
                          <m:t>-(</m:t>
                        </m:r>
                        <m:acc>
                          <m:accPr>
                            <m:chr m:val="̇"/>
                            <m:ctrlPr>
                              <w:rPr>
                                <w:rFonts w:ascii="Cambria Math" w:hAnsi="Cambria Math"/>
                                <w:i/>
                              </w:rPr>
                            </m:ctrlPr>
                          </m:accPr>
                          <m:e>
                            <m:r>
                              <w:rPr>
                                <w:rFonts w:ascii="Cambria Math" w:hAnsi="Cambria Math"/>
                              </w:rPr>
                              <m:t>E</m:t>
                            </m:r>
                          </m:e>
                        </m:acc>
                        <m:r>
                          <w:rPr>
                            <w:rFonts w:ascii="Cambria Math" w:hAnsi="Cambria Math"/>
                          </w:rPr>
                          <m:t>-</m:t>
                        </m:r>
                        <m:acc>
                          <m:accPr>
                            <m:chr m:val="̇"/>
                            <m:ctrlPr>
                              <w:rPr>
                                <w:rFonts w:ascii="Cambria Math" w:hAnsi="Cambria Math"/>
                                <w:i/>
                              </w:rPr>
                            </m:ctrlPr>
                          </m:accPr>
                          <m:e>
                            <m:r>
                              <w:rPr>
                                <w:rFonts w:ascii="Cambria Math" w:hAnsi="Cambria Math"/>
                              </w:rPr>
                              <m:t>G</m:t>
                            </m:r>
                          </m:e>
                        </m:acc>
                        <m:r>
                          <w:rPr>
                            <w:rFonts w:ascii="Cambria Math" w:hAnsi="Cambria Math"/>
                          </w:rPr>
                          <m:t xml:space="preserve">),  </m:t>
                        </m:r>
                        <m:acc>
                          <m:accPr>
                            <m:chr m:val="̇"/>
                            <m:ctrlPr>
                              <w:rPr>
                                <w:rFonts w:ascii="Cambria Math" w:hAnsi="Cambria Math"/>
                                <w:i/>
                              </w:rPr>
                            </m:ctrlPr>
                          </m:accPr>
                          <m:e>
                            <m:acc>
                              <m:accPr>
                                <m:chr m:val="̇"/>
                                <m:ctrlPr>
                                  <w:rPr>
                                    <w:rFonts w:ascii="Cambria Math" w:hAnsi="Cambria Math"/>
                                    <w:i/>
                                  </w:rPr>
                                </m:ctrlPr>
                              </m:accPr>
                              <m:e>
                                <m:r>
                                  <w:rPr>
                                    <w:rFonts w:ascii="Cambria Math" w:hAnsi="Cambria Math"/>
                                  </w:rPr>
                                  <m:t>R</m:t>
                                </m:r>
                              </m:e>
                            </m:acc>
                            <m:r>
                              <w:rPr>
                                <w:rFonts w:ascii="Cambria Math" w:hAnsi="Cambria Math"/>
                              </w:rPr>
                              <m:t>-(</m:t>
                            </m:r>
                            <m:acc>
                              <m:accPr>
                                <m:chr m:val="̇"/>
                                <m:ctrlPr>
                                  <w:rPr>
                                    <w:rFonts w:ascii="Cambria Math" w:hAnsi="Cambria Math"/>
                                    <w:i/>
                                  </w:rPr>
                                </m:ctrlPr>
                              </m:accPr>
                              <m:e>
                                <m:r>
                                  <w:rPr>
                                    <w:rFonts w:ascii="Cambria Math" w:hAnsi="Cambria Math"/>
                                  </w:rPr>
                                  <m:t>E</m:t>
                                </m:r>
                              </m:e>
                            </m:acc>
                            <m:r>
                              <w:rPr>
                                <w:rFonts w:ascii="Cambria Math" w:hAnsi="Cambria Math"/>
                              </w:rPr>
                              <m:t>-</m:t>
                            </m:r>
                            <m:acc>
                              <m:accPr>
                                <m:chr m:val="̇"/>
                                <m:ctrlPr>
                                  <w:rPr>
                                    <w:rFonts w:ascii="Cambria Math" w:hAnsi="Cambria Math"/>
                                    <w:i/>
                                  </w:rPr>
                                </m:ctrlPr>
                              </m:accPr>
                              <m:e>
                                <m:r>
                                  <w:rPr>
                                    <w:rFonts w:ascii="Cambria Math" w:hAnsi="Cambria Math"/>
                                  </w:rPr>
                                  <m:t>G</m:t>
                                </m:r>
                              </m:e>
                            </m:acc>
                            <m:r>
                              <w:rPr>
                                <w:rFonts w:ascii="Cambria Math" w:hAnsi="Cambria Math"/>
                              </w:rPr>
                              <m:t>)</m:t>
                            </m:r>
                          </m:e>
                        </m:acc>
                        <m:r>
                          <w:rPr>
                            <w:rFonts w:ascii="Cambria Math" w:hAnsi="Cambria Math"/>
                          </w:rPr>
                          <m:t>≤</m:t>
                        </m:r>
                        <m:acc>
                          <m:accPr>
                            <m:chr m:val="̇"/>
                            <m:ctrlPr>
                              <w:rPr>
                                <w:rFonts w:ascii="Cambria Math" w:hAnsi="Cambria Math"/>
                                <w:i/>
                              </w:rPr>
                            </m:ctrlPr>
                          </m:accPr>
                          <m:e>
                            <m:r>
                              <w:rPr>
                                <w:rFonts w:ascii="Cambria Math" w:hAnsi="Cambria Math"/>
                              </w:rPr>
                              <m:t>L</m:t>
                            </m:r>
                          </m:e>
                        </m:acc>
                      </m:e>
                      <m:e>
                        <m:acc>
                          <m:accPr>
                            <m:chr m:val="̇"/>
                            <m:ctrlPr>
                              <w:rPr>
                                <w:rFonts w:ascii="Cambria Math" w:hAnsi="Cambria Math"/>
                                <w:i/>
                              </w:rPr>
                            </m:ctrlPr>
                          </m:accPr>
                          <m:e>
                            <m:r>
                              <w:rPr>
                                <w:rFonts w:ascii="Cambria Math" w:hAnsi="Cambria Math"/>
                              </w:rPr>
                              <m:t>L</m:t>
                            </m:r>
                          </m:e>
                        </m:acc>
                        <m:r>
                          <w:rPr>
                            <w:rFonts w:ascii="Cambria Math" w:hAnsi="Cambria Math"/>
                          </w:rPr>
                          <m:t xml:space="preserve">,  </m:t>
                        </m:r>
                        <m:r>
                          <m:rPr>
                            <m:sty m:val="p"/>
                          </m:rPr>
                          <w:rPr>
                            <w:rFonts w:ascii="Cambria Math" w:hAnsi="Cambria Math"/>
                          </w:rPr>
                          <m:t>otherwise</m:t>
                        </m:r>
                      </m:e>
                    </m:eqArr>
                  </m:e>
                </m:d>
              </m:oMath>
            </m:oMathPara>
          </w:p>
        </w:tc>
        <w:tc>
          <w:tcPr>
            <w:tcW w:w="806" w:type="dxa"/>
            <w:shd w:val="clear" w:color="auto" w:fill="auto"/>
            <w:vAlign w:val="center"/>
          </w:tcPr>
          <w:p w14:paraId="068E0CA2" w14:textId="2975AF27" w:rsidR="00173F60" w:rsidRPr="00B57B36" w:rsidRDefault="00173F60" w:rsidP="00E27613">
            <w:pPr>
              <w:pStyle w:val="CETEquation"/>
              <w:ind w:left="8496" w:hanging="8496"/>
              <w:jc w:val="right"/>
            </w:pPr>
            <w:r w:rsidRPr="00B57B36">
              <w:t>(</w:t>
            </w:r>
            <w:r w:rsidR="00E27613">
              <w:t>3</w:t>
            </w:r>
            <w:r w:rsidRPr="00B57B36">
              <w:t>)</w:t>
            </w:r>
          </w:p>
        </w:tc>
      </w:tr>
    </w:tbl>
    <w:p w14:paraId="72569140" w14:textId="668E8A5B" w:rsidR="001D7145" w:rsidRDefault="001D7145" w:rsidP="004B6B8C">
      <w:pPr>
        <w:pStyle w:val="CETBodytext"/>
      </w:pPr>
      <w:r>
        <w:t xml:space="preserve">The difference </w:t>
      </w:r>
      <m:oMath>
        <m:acc>
          <m:accPr>
            <m:chr m:val="̇"/>
            <m:ctrlPr>
              <w:rPr>
                <w:rFonts w:ascii="Cambria Math" w:hAnsi="Cambria Math"/>
                <w:i/>
                <w:lang w:val="it-IT"/>
              </w:rPr>
            </m:ctrlPr>
          </m:accPr>
          <m:e>
            <m:r>
              <w:rPr>
                <w:rFonts w:ascii="Cambria Math" w:hAnsi="Cambria Math"/>
              </w:rPr>
              <m:t>W</m:t>
            </m:r>
            <m:ctrlPr>
              <w:rPr>
                <w:rFonts w:ascii="Cambria Math" w:hAnsi="Cambria Math"/>
                <w:i/>
              </w:rPr>
            </m:ctrlPr>
          </m:e>
        </m:acc>
        <m:r>
          <w:rPr>
            <w:rFonts w:ascii="Cambria Math" w:hAnsi="Cambria Math"/>
          </w:rPr>
          <m:t>=</m:t>
        </m:r>
        <m:acc>
          <m:accPr>
            <m:chr m:val="̇"/>
            <m:ctrlPr>
              <w:rPr>
                <w:rFonts w:ascii="Cambria Math" w:hAnsi="Cambria Math"/>
                <w:i/>
              </w:rPr>
            </m:ctrlPr>
          </m:accPr>
          <m:e>
            <m:r>
              <w:rPr>
                <w:rFonts w:ascii="Cambria Math" w:hAnsi="Cambria Math"/>
              </w:rPr>
              <m:t>R</m:t>
            </m:r>
          </m:e>
        </m:acc>
        <m:r>
          <w:rPr>
            <w:rFonts w:ascii="Cambria Math" w:hAnsi="Cambria Math"/>
          </w:rPr>
          <m:t>-</m:t>
        </m:r>
        <m:d>
          <m:dPr>
            <m:ctrlPr>
              <w:rPr>
                <w:rFonts w:ascii="Cambria Math" w:hAnsi="Cambria Math"/>
                <w:i/>
              </w:rPr>
            </m:ctrlPr>
          </m:dPr>
          <m:e>
            <m:acc>
              <m:accPr>
                <m:chr m:val="̇"/>
                <m:ctrlPr>
                  <w:rPr>
                    <w:rFonts w:ascii="Cambria Math" w:hAnsi="Cambria Math"/>
                    <w:i/>
                  </w:rPr>
                </m:ctrlPr>
              </m:accPr>
              <m:e>
                <m:r>
                  <w:rPr>
                    <w:rFonts w:ascii="Cambria Math" w:hAnsi="Cambria Math"/>
                  </w:rPr>
                  <m:t>E</m:t>
                </m:r>
              </m:e>
            </m:acc>
            <m:r>
              <w:rPr>
                <w:rFonts w:ascii="Cambria Math" w:hAnsi="Cambria Math"/>
              </w:rPr>
              <m:t>-</m:t>
            </m:r>
            <m:acc>
              <m:accPr>
                <m:chr m:val="̇"/>
                <m:ctrlPr>
                  <w:rPr>
                    <w:rFonts w:ascii="Cambria Math" w:hAnsi="Cambria Math"/>
                    <w:i/>
                  </w:rPr>
                </m:ctrlPr>
              </m:accPr>
              <m:e>
                <m:r>
                  <w:rPr>
                    <w:rFonts w:ascii="Cambria Math" w:hAnsi="Cambria Math"/>
                  </w:rPr>
                  <m:t>G</m:t>
                </m:r>
              </m:e>
            </m:acc>
          </m:e>
        </m:d>
        <m:r>
          <w:rPr>
            <w:rFonts w:ascii="Cambria Math" w:hAnsi="Cambria Math"/>
          </w:rPr>
          <m:t>-</m:t>
        </m:r>
        <m:acc>
          <m:accPr>
            <m:chr m:val="̇"/>
            <m:ctrlPr>
              <w:rPr>
                <w:rFonts w:ascii="Cambria Math" w:hAnsi="Cambria Math"/>
                <w:i/>
              </w:rPr>
            </m:ctrlPr>
          </m:accPr>
          <m:e>
            <m:r>
              <w:rPr>
                <w:rFonts w:ascii="Cambria Math" w:hAnsi="Cambria Math"/>
              </w:rPr>
              <m:t>S</m:t>
            </m:r>
          </m:e>
        </m:acc>
      </m:oMath>
      <w:r>
        <w:t xml:space="preserve"> is the wasted renewable capacity.</w:t>
      </w:r>
    </w:p>
    <w:p w14:paraId="09D4EA46" w14:textId="568A9BCB" w:rsidR="00175B49" w:rsidRDefault="009D402D" w:rsidP="004B6B8C">
      <w:pPr>
        <w:pStyle w:val="CETBodytext"/>
      </w:pPr>
      <w:r>
        <w:t xml:space="preserve">The economic </w:t>
      </w:r>
      <w:r w:rsidR="00C3788C">
        <w:t>performance indicator</w:t>
      </w:r>
      <w:r>
        <w:t xml:space="preserve"> to minimize </w:t>
      </w:r>
      <w:r w:rsidR="00B57EE7">
        <w:t>is</w:t>
      </w:r>
      <w:r>
        <w:t xml:space="preserve"> </w:t>
      </w:r>
      <w:r w:rsidR="00B57EE7">
        <w:t>t</w:t>
      </w:r>
      <w:r>
        <w:t xml:space="preserve">he total </w:t>
      </w:r>
      <w:r w:rsidR="00B423AA">
        <w:t>cost</w:t>
      </w:r>
      <w:r>
        <w:t xml:space="preserve"> </w:t>
      </w:r>
      <w:r w:rsidR="00C3788C">
        <w:t xml:space="preserve">of the </w:t>
      </w:r>
      <w:r w:rsidR="00B423AA">
        <w:t>energy</w:t>
      </w:r>
      <w:r>
        <w:t xml:space="preserve"> </w:t>
      </w:r>
      <w:r w:rsidR="00B423AA">
        <w:t xml:space="preserve">supplied </w:t>
      </w:r>
      <w:r>
        <w:t>by the grid</w:t>
      </w:r>
      <w:r w:rsidR="0055179E">
        <w:t xml:space="preserve"> for the first process minus the </w:t>
      </w:r>
      <w:r w:rsidR="00B57EE7">
        <w:t xml:space="preserve">earnings made by recovering </w:t>
      </w:r>
      <w:r w:rsidR="0055179E">
        <w:t>the residual capacity</w:t>
      </w:r>
      <w:r>
        <w:t>:</w:t>
      </w:r>
    </w:p>
    <w:tbl>
      <w:tblPr>
        <w:tblW w:w="5000" w:type="pct"/>
        <w:tblLook w:val="04A0" w:firstRow="1" w:lastRow="0" w:firstColumn="1" w:lastColumn="0" w:noHBand="0" w:noVBand="1"/>
      </w:tblPr>
      <w:tblGrid>
        <w:gridCol w:w="7981"/>
        <w:gridCol w:w="806"/>
      </w:tblGrid>
      <w:tr w:rsidR="00175B49" w:rsidRPr="00B57B36" w14:paraId="6729D31C" w14:textId="77777777" w:rsidTr="00050425">
        <w:tc>
          <w:tcPr>
            <w:tcW w:w="7981" w:type="dxa"/>
            <w:shd w:val="clear" w:color="auto" w:fill="auto"/>
            <w:vAlign w:val="center"/>
          </w:tcPr>
          <w:p w14:paraId="104120C2" w14:textId="064DCAD4" w:rsidR="00175B49" w:rsidRPr="0003307C" w:rsidRDefault="00E27613" w:rsidP="00171EA0">
            <w:pPr>
              <w:pStyle w:val="CETEquation"/>
              <w:rPr>
                <w:rFonts w:ascii="Cambria Math" w:hAnsi="Cambria Math"/>
                <w:lang w:val="en-US"/>
                <w:oMath/>
              </w:rPr>
            </w:pPr>
            <m:oMathPara>
              <m:oMathParaPr>
                <m:jc m:val="left"/>
              </m:oMathParaPr>
              <m:oMath>
                <m:r>
                  <w:rPr>
                    <w:rFonts w:ascii="Cambria Math" w:hAnsi="Cambria Math"/>
                  </w:rPr>
                  <m:t>J</m:t>
                </m:r>
                <m:r>
                  <w:rPr>
                    <w:rFonts w:ascii="Cambria Math" w:hAnsi="Cambria Math"/>
                    <w:lang w:val="en-US"/>
                  </w:rPr>
                  <m:t>=</m:t>
                </m:r>
                <m:r>
                  <m:rPr>
                    <m:sty m:val="p"/>
                  </m:rPr>
                  <w:rPr>
                    <w:rFonts w:ascii="Cambria Math" w:hAnsi="Cambria Math"/>
                  </w:rPr>
                  <m:t>EP</m:t>
                </m:r>
                <m:nary>
                  <m:naryPr>
                    <m:ctrlPr>
                      <w:rPr>
                        <w:rFonts w:ascii="Cambria Math" w:hAnsi="Cambria Math"/>
                        <w:i/>
                      </w:rPr>
                    </m:ctrlPr>
                  </m:naryPr>
                  <m:sub>
                    <m:sSub>
                      <m:sSubPr>
                        <m:ctrlPr>
                          <w:rPr>
                            <w:rFonts w:ascii="Cambria Math" w:hAnsi="Cambria Math"/>
                            <w:i/>
                          </w:rPr>
                        </m:ctrlPr>
                      </m:sSubPr>
                      <m:e>
                        <m:r>
                          <w:rPr>
                            <w:rFonts w:ascii="Cambria Math" w:hAnsi="Cambria Math"/>
                          </w:rPr>
                          <m:t>t</m:t>
                        </m:r>
                      </m:e>
                      <m:sub>
                        <m:r>
                          <w:rPr>
                            <w:rFonts w:ascii="Cambria Math" w:hAnsi="Cambria Math"/>
                            <w:lang w:val="en-US"/>
                          </w:rPr>
                          <m:t>0</m:t>
                        </m:r>
                      </m:sub>
                    </m:sSub>
                  </m:sub>
                  <m:sup>
                    <m:sSub>
                      <m:sSubPr>
                        <m:ctrlPr>
                          <w:rPr>
                            <w:rFonts w:ascii="Cambria Math" w:hAnsi="Cambria Math"/>
                            <w:i/>
                          </w:rPr>
                        </m:ctrlPr>
                      </m:sSubPr>
                      <m:e>
                        <m:r>
                          <w:rPr>
                            <w:rFonts w:ascii="Cambria Math" w:hAnsi="Cambria Math"/>
                          </w:rPr>
                          <m:t>t</m:t>
                        </m:r>
                      </m:e>
                      <m:sub>
                        <m:r>
                          <w:rPr>
                            <w:rFonts w:ascii="Cambria Math" w:hAnsi="Cambria Math"/>
                            <w:lang w:val="en-US"/>
                          </w:rPr>
                          <m:t>0</m:t>
                        </m:r>
                      </m:sub>
                    </m:sSub>
                    <m:r>
                      <w:rPr>
                        <w:rFonts w:ascii="Cambria Math" w:hAnsi="Cambria Math"/>
                        <w:lang w:val="en-US"/>
                      </w:rPr>
                      <m:t>+</m:t>
                    </m:r>
                    <m:r>
                      <m:rPr>
                        <m:sty m:val="p"/>
                      </m:rPr>
                      <w:rPr>
                        <w:rFonts w:ascii="Cambria Math" w:hAnsi="Cambria Math"/>
                      </w:rPr>
                      <m:t>Δ</m:t>
                    </m:r>
                    <m:r>
                      <m:rPr>
                        <m:sty m:val="p"/>
                      </m:rPr>
                      <w:rPr>
                        <w:rFonts w:ascii="Cambria Math" w:hAnsi="Cambria Math"/>
                        <w:lang w:val="en-US"/>
                      </w:rPr>
                      <m:t>t</m:t>
                    </m:r>
                  </m:sup>
                  <m:e>
                    <m:acc>
                      <m:accPr>
                        <m:chr m:val="̇"/>
                        <m:ctrlPr>
                          <w:rPr>
                            <w:rFonts w:ascii="Cambria Math" w:hAnsi="Cambria Math"/>
                            <w:i/>
                            <w:lang w:val="en-US"/>
                          </w:rPr>
                        </m:ctrlPr>
                      </m:accPr>
                      <m:e>
                        <m:r>
                          <w:rPr>
                            <w:rFonts w:ascii="Cambria Math" w:hAnsi="Cambria Math"/>
                            <w:lang w:val="en-US"/>
                          </w:rPr>
                          <m:t>G</m:t>
                        </m:r>
                      </m:e>
                    </m:acc>
                    <m:d>
                      <m:dPr>
                        <m:ctrlPr>
                          <w:rPr>
                            <w:rFonts w:ascii="Cambria Math" w:hAnsi="Cambria Math"/>
                            <w:lang w:val="en-US"/>
                          </w:rPr>
                        </m:ctrlPr>
                      </m:dPr>
                      <m:e>
                        <m:r>
                          <m:rPr>
                            <m:sty m:val="bi"/>
                          </m:rPr>
                          <w:rPr>
                            <w:rFonts w:ascii="Cambria Math" w:hAnsi="Cambria Math"/>
                          </w:rPr>
                          <m:t>x</m:t>
                        </m:r>
                        <m:d>
                          <m:dPr>
                            <m:ctrlPr>
                              <w:rPr>
                                <w:rFonts w:ascii="Cambria Math" w:hAnsi="Cambria Math"/>
                                <w:i/>
                                <w:lang w:val="en-US"/>
                              </w:rPr>
                            </m:ctrlPr>
                          </m:dPr>
                          <m:e>
                            <m:r>
                              <w:rPr>
                                <w:rFonts w:ascii="Cambria Math" w:hAnsi="Cambria Math"/>
                              </w:rPr>
                              <m:t>t</m:t>
                            </m:r>
                          </m:e>
                        </m:d>
                        <m:r>
                          <w:rPr>
                            <w:rFonts w:ascii="Cambria Math" w:hAnsi="Cambria Math"/>
                            <w:lang w:val="en-US"/>
                          </w:rPr>
                          <m:t>,</m:t>
                        </m:r>
                        <m:r>
                          <m:rPr>
                            <m:sty m:val="bi"/>
                          </m:rPr>
                          <w:rPr>
                            <w:rFonts w:ascii="Cambria Math" w:hAnsi="Cambria Math"/>
                          </w:rPr>
                          <m:t>u</m:t>
                        </m:r>
                        <m:d>
                          <m:dPr>
                            <m:ctrlPr>
                              <w:rPr>
                                <w:rFonts w:ascii="Cambria Math" w:hAnsi="Cambria Math"/>
                                <w:i/>
                                <w:lang w:val="en-US"/>
                              </w:rPr>
                            </m:ctrlPr>
                          </m:dPr>
                          <m:e>
                            <m:r>
                              <w:rPr>
                                <w:rFonts w:ascii="Cambria Math" w:hAnsi="Cambria Math"/>
                              </w:rPr>
                              <m:t>t</m:t>
                            </m:r>
                          </m:e>
                        </m:d>
                        <m:r>
                          <w:rPr>
                            <w:rFonts w:ascii="Cambria Math" w:hAnsi="Cambria Math"/>
                            <w:lang w:val="en-US"/>
                          </w:rPr>
                          <m:t>,</m:t>
                        </m:r>
                        <m:r>
                          <w:rPr>
                            <w:rFonts w:ascii="Cambria Math" w:hAnsi="Cambria Math"/>
                          </w:rPr>
                          <m:t>t</m:t>
                        </m:r>
                      </m:e>
                    </m:d>
                    <m:r>
                      <m:rPr>
                        <m:sty m:val="p"/>
                      </m:rPr>
                      <w:rPr>
                        <w:rFonts w:ascii="Cambria Math" w:hAnsi="Cambria Math"/>
                        <w:lang w:val="en-US"/>
                      </w:rPr>
                      <m:t>d</m:t>
                    </m:r>
                    <m:r>
                      <w:rPr>
                        <w:rFonts w:ascii="Cambria Math" w:hAnsi="Cambria Math"/>
                      </w:rPr>
                      <m:t>t</m:t>
                    </m:r>
                  </m:e>
                </m:nary>
                <m:r>
                  <m:rPr>
                    <m:sty m:val="p"/>
                  </m:rPr>
                  <w:rPr>
                    <w:rFonts w:ascii="Cambria Math" w:hAnsi="Cambria Math"/>
                    <w:lang w:val="en-US"/>
                  </w:rPr>
                  <m:t>-RP</m:t>
                </m:r>
                <m:nary>
                  <m:naryPr>
                    <m:ctrlPr>
                      <w:rPr>
                        <w:rFonts w:ascii="Cambria Math" w:hAnsi="Cambria Math"/>
                        <w:i/>
                      </w:rPr>
                    </m:ctrlPr>
                  </m:naryPr>
                  <m:sub>
                    <m:sSub>
                      <m:sSubPr>
                        <m:ctrlPr>
                          <w:rPr>
                            <w:rFonts w:ascii="Cambria Math" w:hAnsi="Cambria Math"/>
                            <w:i/>
                          </w:rPr>
                        </m:ctrlPr>
                      </m:sSubPr>
                      <m:e>
                        <m:r>
                          <w:rPr>
                            <w:rFonts w:ascii="Cambria Math" w:hAnsi="Cambria Math"/>
                          </w:rPr>
                          <m:t>t</m:t>
                        </m:r>
                      </m:e>
                      <m:sub>
                        <m:r>
                          <w:rPr>
                            <w:rFonts w:ascii="Cambria Math" w:hAnsi="Cambria Math"/>
                            <w:lang w:val="en-US"/>
                          </w:rPr>
                          <m:t>0</m:t>
                        </m:r>
                      </m:sub>
                    </m:sSub>
                  </m:sub>
                  <m:sup>
                    <m:sSub>
                      <m:sSubPr>
                        <m:ctrlPr>
                          <w:rPr>
                            <w:rFonts w:ascii="Cambria Math" w:hAnsi="Cambria Math"/>
                            <w:i/>
                          </w:rPr>
                        </m:ctrlPr>
                      </m:sSubPr>
                      <m:e>
                        <m:r>
                          <w:rPr>
                            <w:rFonts w:ascii="Cambria Math" w:hAnsi="Cambria Math"/>
                          </w:rPr>
                          <m:t>t</m:t>
                        </m:r>
                      </m:e>
                      <m:sub>
                        <m:r>
                          <w:rPr>
                            <w:rFonts w:ascii="Cambria Math" w:hAnsi="Cambria Math"/>
                            <w:lang w:val="en-US"/>
                          </w:rPr>
                          <m:t>0</m:t>
                        </m:r>
                      </m:sub>
                    </m:sSub>
                    <m:r>
                      <w:rPr>
                        <w:rFonts w:ascii="Cambria Math" w:hAnsi="Cambria Math"/>
                        <w:lang w:val="en-US"/>
                      </w:rPr>
                      <m:t>+</m:t>
                    </m:r>
                    <m:r>
                      <m:rPr>
                        <m:sty m:val="p"/>
                      </m:rPr>
                      <w:rPr>
                        <w:rFonts w:ascii="Cambria Math" w:hAnsi="Cambria Math"/>
                      </w:rPr>
                      <m:t>Δ</m:t>
                    </m:r>
                    <m:r>
                      <m:rPr>
                        <m:sty m:val="p"/>
                      </m:rPr>
                      <w:rPr>
                        <w:rFonts w:ascii="Cambria Math" w:hAnsi="Cambria Math"/>
                        <w:lang w:val="en-US"/>
                      </w:rPr>
                      <m:t>t</m:t>
                    </m:r>
                  </m:sup>
                  <m:e>
                    <m:acc>
                      <m:accPr>
                        <m:chr m:val="̇"/>
                        <m:ctrlPr>
                          <w:rPr>
                            <w:rFonts w:ascii="Cambria Math" w:hAnsi="Cambria Math"/>
                            <w:i/>
                            <w:lang w:val="en-US"/>
                          </w:rPr>
                        </m:ctrlPr>
                      </m:accPr>
                      <m:e>
                        <m:r>
                          <w:rPr>
                            <w:rFonts w:ascii="Cambria Math" w:hAnsi="Cambria Math"/>
                            <w:lang w:val="en-US"/>
                          </w:rPr>
                          <m:t>S</m:t>
                        </m:r>
                      </m:e>
                    </m:acc>
                    <m:d>
                      <m:dPr>
                        <m:ctrlPr>
                          <w:rPr>
                            <w:rFonts w:ascii="Cambria Math" w:hAnsi="Cambria Math"/>
                            <w:lang w:val="en-US"/>
                          </w:rPr>
                        </m:ctrlPr>
                      </m:dPr>
                      <m:e>
                        <m:r>
                          <m:rPr>
                            <m:sty m:val="bi"/>
                          </m:rPr>
                          <w:rPr>
                            <w:rFonts w:ascii="Cambria Math" w:hAnsi="Cambria Math"/>
                          </w:rPr>
                          <m:t>x</m:t>
                        </m:r>
                        <m:r>
                          <w:rPr>
                            <w:rFonts w:ascii="Cambria Math" w:hAnsi="Cambria Math"/>
                            <w:lang w:val="en-US"/>
                          </w:rPr>
                          <m:t>(</m:t>
                        </m:r>
                        <m:r>
                          <w:rPr>
                            <w:rFonts w:ascii="Cambria Math" w:hAnsi="Cambria Math"/>
                          </w:rPr>
                          <m:t>t</m:t>
                        </m:r>
                        <m:r>
                          <w:rPr>
                            <w:rFonts w:ascii="Cambria Math" w:hAnsi="Cambria Math"/>
                            <w:lang w:val="en-US"/>
                          </w:rPr>
                          <m:t>),</m:t>
                        </m:r>
                        <m:r>
                          <m:rPr>
                            <m:sty m:val="bi"/>
                          </m:rPr>
                          <w:rPr>
                            <w:rFonts w:ascii="Cambria Math" w:hAnsi="Cambria Math"/>
                          </w:rPr>
                          <m:t>u</m:t>
                        </m:r>
                        <m:r>
                          <w:rPr>
                            <w:rFonts w:ascii="Cambria Math" w:hAnsi="Cambria Math"/>
                            <w:lang w:val="en-US"/>
                          </w:rPr>
                          <m:t>(</m:t>
                        </m:r>
                        <m:r>
                          <w:rPr>
                            <w:rFonts w:ascii="Cambria Math" w:hAnsi="Cambria Math"/>
                          </w:rPr>
                          <m:t>t</m:t>
                        </m:r>
                        <m:r>
                          <w:rPr>
                            <w:rFonts w:ascii="Cambria Math" w:hAnsi="Cambria Math"/>
                            <w:lang w:val="en-US"/>
                          </w:rPr>
                          <m:t>),</m:t>
                        </m:r>
                        <m:r>
                          <w:rPr>
                            <w:rFonts w:ascii="Cambria Math" w:hAnsi="Cambria Math"/>
                          </w:rPr>
                          <m:t>t</m:t>
                        </m:r>
                      </m:e>
                    </m:d>
                    <m:r>
                      <m:rPr>
                        <m:sty m:val="p"/>
                      </m:rPr>
                      <w:rPr>
                        <w:rFonts w:ascii="Cambria Math" w:hAnsi="Cambria Math"/>
                        <w:lang w:val="en-US"/>
                      </w:rPr>
                      <m:t>d</m:t>
                    </m:r>
                    <m:r>
                      <w:rPr>
                        <w:rFonts w:ascii="Cambria Math" w:hAnsi="Cambria Math"/>
                      </w:rPr>
                      <m:t>t</m:t>
                    </m:r>
                  </m:e>
                </m:nary>
                <m:r>
                  <m:rPr>
                    <m:sty m:val="p"/>
                  </m:rPr>
                  <w:rPr>
                    <w:rFonts w:ascii="Cambria Math" w:hAnsi="Cambria Math"/>
                    <w:lang w:val="en-US"/>
                  </w:rPr>
                  <m:t>⋅</m:t>
                </m:r>
              </m:oMath>
            </m:oMathPara>
          </w:p>
        </w:tc>
        <w:tc>
          <w:tcPr>
            <w:tcW w:w="806" w:type="dxa"/>
            <w:shd w:val="clear" w:color="auto" w:fill="auto"/>
            <w:vAlign w:val="center"/>
          </w:tcPr>
          <w:p w14:paraId="2D92789C" w14:textId="449207FD" w:rsidR="00175B49" w:rsidRPr="00B57B36" w:rsidRDefault="00175B49" w:rsidP="00E27613">
            <w:pPr>
              <w:pStyle w:val="CETEquation"/>
              <w:ind w:left="8496" w:hanging="8496"/>
              <w:jc w:val="right"/>
            </w:pPr>
            <w:r w:rsidRPr="00B57B36">
              <w:t>(</w:t>
            </w:r>
            <w:r w:rsidR="00E27613">
              <w:t>4</w:t>
            </w:r>
            <w:r w:rsidRPr="00B57B36">
              <w:t>)</w:t>
            </w:r>
          </w:p>
        </w:tc>
      </w:tr>
    </w:tbl>
    <w:p w14:paraId="529B4D51" w14:textId="3C92ECEA" w:rsidR="00C3788C" w:rsidRDefault="00C3788C" w:rsidP="004B6B8C">
      <w:pPr>
        <w:pStyle w:val="CETBodytext"/>
      </w:pPr>
      <w:r>
        <w:t xml:space="preserve">Where </w:t>
      </w:r>
      <m:oMath>
        <m:r>
          <m:rPr>
            <m:sty m:val="p"/>
          </m:rPr>
          <w:rPr>
            <w:rFonts w:ascii="Cambria Math" w:hAnsi="Cambria Math"/>
          </w:rPr>
          <m:t>RP</m:t>
        </m:r>
      </m:oMath>
      <w:r>
        <w:t xml:space="preserve"> is the value of the recovered energy from renewable sources</w:t>
      </w:r>
      <w:r w:rsidR="002B1345">
        <w:t xml:space="preserve"> (recovery price,</w:t>
      </w:r>
      <w:r w:rsidR="001E1D38">
        <w:t xml:space="preserve"> that similarly to the electricity price is</w:t>
      </w:r>
      <w:r w:rsidR="002B1345">
        <w:t xml:space="preserve"> constant throughout the process time window)</w:t>
      </w:r>
      <w:r>
        <w:t>.</w:t>
      </w:r>
    </w:p>
    <w:p w14:paraId="1C8E82FF" w14:textId="57B617CE" w:rsidR="00050425" w:rsidRDefault="00953CBC" w:rsidP="004B6B8C">
      <w:pPr>
        <w:pStyle w:val="CETBodytext"/>
      </w:pPr>
      <w:r>
        <w:t xml:space="preserve">A model for the </w:t>
      </w:r>
      <w:r w:rsidR="00B57EE7">
        <w:t>renewable capacity</w:t>
      </w:r>
      <w:r>
        <w:t xml:space="preserve"> as a function of time</w:t>
      </w:r>
      <w:r w:rsidR="00B57EE7">
        <w:t xml:space="preserve"> is </w:t>
      </w:r>
      <w:r w:rsidR="001D0D2B">
        <w:t>assumed</w:t>
      </w:r>
      <w:r w:rsidR="002418DF">
        <w:t xml:space="preserve"> as coming from a solar panel installation</w:t>
      </w:r>
      <w:r>
        <w:t xml:space="preserve"> as </w:t>
      </w:r>
      <w:r w:rsidR="001D0D2B">
        <w:t xml:space="preserve">the </w:t>
      </w:r>
      <w:r>
        <w:t>renewable generator</w:t>
      </w:r>
      <w:r w:rsidR="002418DF">
        <w:t>, and is modelled using the following expression</w:t>
      </w:r>
      <w:r w:rsidR="00050425">
        <w:t>:</w:t>
      </w:r>
    </w:p>
    <w:tbl>
      <w:tblPr>
        <w:tblW w:w="5000" w:type="pct"/>
        <w:tblLook w:val="04A0" w:firstRow="1" w:lastRow="0" w:firstColumn="1" w:lastColumn="0" w:noHBand="0" w:noVBand="1"/>
      </w:tblPr>
      <w:tblGrid>
        <w:gridCol w:w="7981"/>
        <w:gridCol w:w="806"/>
      </w:tblGrid>
      <w:tr w:rsidR="00050425" w:rsidRPr="00B57B36" w14:paraId="5D5469A7" w14:textId="77777777" w:rsidTr="00050425">
        <w:tc>
          <w:tcPr>
            <w:tcW w:w="7981" w:type="dxa"/>
            <w:shd w:val="clear" w:color="auto" w:fill="auto"/>
            <w:vAlign w:val="center"/>
          </w:tcPr>
          <w:p w14:paraId="2464419A" w14:textId="0DD96712" w:rsidR="00050425" w:rsidRPr="00175B49" w:rsidRDefault="00287481" w:rsidP="00114BA7">
            <w:pPr>
              <w:pStyle w:val="CETEquation"/>
              <w:rPr>
                <w:rFonts w:ascii="Cambria Math" w:hAnsi="Cambria Math"/>
                <w:lang w:val="en-US"/>
                <w:oMath/>
              </w:rPr>
            </w:pPr>
            <m:oMathPara>
              <m:oMathParaPr>
                <m:jc m:val="left"/>
              </m:oMathParaPr>
              <m:oMath>
                <m:acc>
                  <m:accPr>
                    <m:chr m:val="̇"/>
                    <m:ctrlPr>
                      <w:rPr>
                        <w:rFonts w:ascii="Cambria Math" w:hAnsi="Cambria Math"/>
                        <w:i/>
                      </w:rPr>
                    </m:ctrlPr>
                  </m:accPr>
                  <m:e>
                    <m:r>
                      <w:rPr>
                        <w:rFonts w:ascii="Cambria Math" w:hAnsi="Cambria Math"/>
                      </w:rPr>
                      <m:t>R</m:t>
                    </m:r>
                  </m:e>
                </m:acc>
                <m:r>
                  <w:rPr>
                    <w:rFonts w:ascii="Cambria Math" w:hAnsi="Cambria Math"/>
                    <w:lang w:val="en-US"/>
                  </w:rPr>
                  <m:t>(t)=</m:t>
                </m:r>
                <m:f>
                  <m:fPr>
                    <m:ctrlPr>
                      <w:rPr>
                        <w:rFonts w:ascii="Cambria Math" w:hAnsi="Cambria Math"/>
                        <w:i/>
                        <w:lang w:val="en-US"/>
                      </w:rPr>
                    </m:ctrlPr>
                  </m:fPr>
                  <m:num>
                    <m:r>
                      <w:rPr>
                        <w:rFonts w:ascii="Cambria Math" w:hAnsi="Cambria Math"/>
                        <w:lang w:val="en-US"/>
                      </w:rPr>
                      <m:t>A</m:t>
                    </m:r>
                  </m:num>
                  <m:den>
                    <m:r>
                      <w:rPr>
                        <w:rFonts w:ascii="Cambria Math" w:hAnsi="Cambria Math"/>
                        <w:lang w:val="en-US"/>
                      </w:rPr>
                      <m:t>1-b</m:t>
                    </m:r>
                  </m:den>
                </m:f>
                <m:func>
                  <m:funcPr>
                    <m:ctrlPr>
                      <w:rPr>
                        <w:rFonts w:ascii="Cambria Math" w:hAnsi="Cambria Math"/>
                        <w:i/>
                        <w:lang w:val="en-US"/>
                      </w:rPr>
                    </m:ctrlPr>
                  </m:funcPr>
                  <m:fName>
                    <m:r>
                      <m:rPr>
                        <m:sty m:val="p"/>
                      </m:rPr>
                      <w:rPr>
                        <w:rFonts w:ascii="Cambria Math" w:hAnsi="Cambria Math"/>
                        <w:lang w:val="en-US"/>
                      </w:rPr>
                      <m:t>max</m:t>
                    </m:r>
                  </m:fName>
                  <m:e>
                    <m:d>
                      <m:dPr>
                        <m:ctrlPr>
                          <w:rPr>
                            <w:rFonts w:ascii="Cambria Math" w:hAnsi="Cambria Math"/>
                            <w:i/>
                            <w:lang w:val="en-US"/>
                          </w:rPr>
                        </m:ctrlPr>
                      </m:dPr>
                      <m:e>
                        <m:r>
                          <w:rPr>
                            <w:rFonts w:ascii="Cambria Math" w:hAnsi="Cambria Math"/>
                            <w:lang w:val="en-US"/>
                          </w:rPr>
                          <m:t>0,</m:t>
                        </m:r>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2π</m:t>
                                </m:r>
                                <m:f>
                                  <m:fPr>
                                    <m:ctrlPr>
                                      <w:rPr>
                                        <w:rFonts w:ascii="Cambria Math" w:hAnsi="Cambria Math"/>
                                        <w:i/>
                                        <w:lang w:val="en-US"/>
                                      </w:rPr>
                                    </m:ctrlPr>
                                  </m:fPr>
                                  <m:num>
                                    <m:r>
                                      <w:rPr>
                                        <w:rFonts w:ascii="Cambria Math" w:hAnsi="Cambria Math"/>
                                        <w:lang w:val="en-US"/>
                                      </w:rPr>
                                      <m:t>t-12</m:t>
                                    </m:r>
                                  </m:num>
                                  <m:den>
                                    <m:r>
                                      <w:rPr>
                                        <w:rFonts w:ascii="Cambria Math" w:hAnsi="Cambria Math"/>
                                        <w:lang w:val="en-US"/>
                                      </w:rPr>
                                      <m:t>24</m:t>
                                    </m:r>
                                  </m:den>
                                </m:f>
                              </m:e>
                            </m:d>
                          </m:e>
                        </m:func>
                        <m:r>
                          <w:rPr>
                            <w:rFonts w:ascii="Cambria Math" w:hAnsi="Cambria Math"/>
                            <w:lang w:val="en-US"/>
                          </w:rPr>
                          <m:t>-b</m:t>
                        </m:r>
                      </m:e>
                    </m:d>
                  </m:e>
                </m:func>
              </m:oMath>
            </m:oMathPara>
          </w:p>
        </w:tc>
        <w:tc>
          <w:tcPr>
            <w:tcW w:w="806" w:type="dxa"/>
            <w:shd w:val="clear" w:color="auto" w:fill="auto"/>
            <w:vAlign w:val="center"/>
          </w:tcPr>
          <w:p w14:paraId="35356AF1" w14:textId="54153F26" w:rsidR="00050425" w:rsidRPr="00B57B36" w:rsidRDefault="00050425" w:rsidP="00E27613">
            <w:pPr>
              <w:pStyle w:val="CETEquation"/>
              <w:ind w:left="8496" w:hanging="8496"/>
              <w:jc w:val="right"/>
            </w:pPr>
            <w:r w:rsidRPr="00B57B36">
              <w:t>(</w:t>
            </w:r>
            <w:r w:rsidR="00E27613">
              <w:t>5</w:t>
            </w:r>
            <w:r w:rsidRPr="00B57B36">
              <w:t>)</w:t>
            </w:r>
          </w:p>
        </w:tc>
      </w:tr>
    </w:tbl>
    <w:p w14:paraId="2872194F" w14:textId="75470B8D" w:rsidR="00C3788C" w:rsidRDefault="00C3788C" w:rsidP="004B6B8C">
      <w:pPr>
        <w:pStyle w:val="CETBodytext"/>
      </w:pPr>
      <w:r>
        <w:t xml:space="preserve">The term </w:t>
      </w:r>
      <m:oMath>
        <m:r>
          <w:rPr>
            <w:rFonts w:ascii="Cambria Math" w:hAnsi="Cambria Math"/>
          </w:rPr>
          <m:t>A</m:t>
        </m:r>
      </m:oMath>
      <w:r>
        <w:t xml:space="preserve"> is the </w:t>
      </w:r>
      <w:r w:rsidR="00AC30CE">
        <w:t xml:space="preserve">apex </w:t>
      </w:r>
      <w:r>
        <w:t xml:space="preserve">power generation at </w:t>
      </w:r>
      <m:oMath>
        <m:r>
          <w:rPr>
            <w:rFonts w:ascii="Cambria Math" w:hAnsi="Cambria Math"/>
          </w:rPr>
          <m:t>t=12</m:t>
        </m:r>
      </m:oMath>
      <w:r>
        <w:t xml:space="preserve">. The term </w:t>
      </w:r>
      <m:oMath>
        <m:r>
          <w:rPr>
            <w:rFonts w:ascii="Cambria Math" w:hAnsi="Cambria Math"/>
          </w:rPr>
          <m:t>b</m:t>
        </m:r>
      </m:oMath>
      <w:r>
        <w:t xml:space="preserve"> is an offset parameter that increases or decreases</w:t>
      </w:r>
      <w:r w:rsidR="00AC30CE">
        <w:t xml:space="preserve"> the hours of renewable generation. These </w:t>
      </w:r>
      <w:r w:rsidR="00130EAF">
        <w:t>are</w:t>
      </w:r>
      <w:r w:rsidR="00AC30CE">
        <w:t xml:space="preserve"> related to </w:t>
      </w:r>
      <m:oMath>
        <m:r>
          <w:rPr>
            <w:rFonts w:ascii="Cambria Math" w:hAnsi="Cambria Math"/>
          </w:rPr>
          <m:t>b</m:t>
        </m:r>
      </m:oMath>
      <w:r w:rsidR="00AC30CE">
        <w:t xml:space="preserve"> as: </w:t>
      </w:r>
      <m:oMath>
        <m:sSub>
          <m:sSubPr>
            <m:ctrlPr>
              <w:rPr>
                <w:rFonts w:ascii="Cambria Math" w:hAnsi="Cambria Math"/>
                <w:i/>
              </w:rPr>
            </m:ctrlPr>
          </m:sSubPr>
          <m:e>
            <m:r>
              <w:rPr>
                <w:rFonts w:ascii="Cambria Math" w:hAnsi="Cambria Math"/>
              </w:rPr>
              <m:t>t</m:t>
            </m:r>
          </m:e>
          <m:sub>
            <m:acc>
              <m:accPr>
                <m:chr m:val="̇"/>
                <m:ctrlPr>
                  <w:rPr>
                    <w:rFonts w:ascii="Cambria Math" w:hAnsi="Cambria Math"/>
                    <w:i/>
                  </w:rPr>
                </m:ctrlPr>
              </m:accPr>
              <m:e>
                <m:r>
                  <w:rPr>
                    <w:rFonts w:ascii="Cambria Math" w:hAnsi="Cambria Math"/>
                  </w:rPr>
                  <m:t>R</m:t>
                </m:r>
              </m:e>
            </m:acc>
          </m:sub>
        </m:sSub>
        <m:r>
          <w:rPr>
            <w:rFonts w:ascii="Cambria Math" w:hAnsi="Cambria Math"/>
          </w:rPr>
          <m:t>=</m:t>
        </m:r>
        <m:f>
          <m:fPr>
            <m:ctrlPr>
              <w:rPr>
                <w:rFonts w:ascii="Cambria Math" w:hAnsi="Cambria Math"/>
                <w:i/>
              </w:rPr>
            </m:ctrlPr>
          </m:fPr>
          <m:num>
            <m:r>
              <w:rPr>
                <w:rFonts w:ascii="Cambria Math" w:hAnsi="Cambria Math"/>
              </w:rPr>
              <m:t>24</m:t>
            </m:r>
          </m:num>
          <m:den>
            <m:r>
              <w:rPr>
                <w:rFonts w:ascii="Cambria Math" w:hAnsi="Cambria Math"/>
              </w:rPr>
              <m:t>π</m:t>
            </m:r>
          </m:den>
        </m:f>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cos</m:t>
                </m:r>
                <m:ctrlPr>
                  <w:rPr>
                    <w:rFonts w:ascii="Cambria Math" w:hAnsi="Cambria Math"/>
                  </w:rPr>
                </m:ctrlPr>
              </m:e>
              <m:sup>
                <m:r>
                  <w:rPr>
                    <w:rFonts w:ascii="Cambria Math" w:hAnsi="Cambria Math"/>
                  </w:rPr>
                  <m:t>-1</m:t>
                </m:r>
                <m:ctrlPr>
                  <w:rPr>
                    <w:rFonts w:ascii="Cambria Math" w:hAnsi="Cambria Math"/>
                  </w:rPr>
                </m:ctrlPr>
              </m:sup>
            </m:sSup>
          </m:fName>
          <m:e>
            <m:r>
              <w:rPr>
                <w:rFonts w:ascii="Cambria Math" w:hAnsi="Cambria Math"/>
              </w:rPr>
              <m:t>b</m:t>
            </m:r>
          </m:e>
        </m:func>
      </m:oMath>
      <w:r w:rsidR="00AC30CE">
        <w:t>.</w:t>
      </w:r>
    </w:p>
    <w:p w14:paraId="5FAE25B7" w14:textId="7D1DD3C9" w:rsidR="00EF5AA4" w:rsidRDefault="0047361F" w:rsidP="004B6B8C">
      <w:pPr>
        <w:pStyle w:val="CETBodytext"/>
      </w:pPr>
      <w:r>
        <w:t>T</w:t>
      </w:r>
      <w:r w:rsidR="00D21E28">
        <w:t xml:space="preserve">wo </w:t>
      </w:r>
      <w:r w:rsidR="00AE26D0">
        <w:t>solution approaches</w:t>
      </w:r>
      <w:r>
        <w:t xml:space="preserve"> are now considered</w:t>
      </w:r>
      <w:r w:rsidR="00D21E28">
        <w:t>: one where the trajectory</w:t>
      </w:r>
      <w:r w:rsidR="007E45D4">
        <w:t xml:space="preserve"> of the process is fixed</w:t>
      </w:r>
      <w:r w:rsidR="00D21E28">
        <w:t xml:space="preserve"> and one wh</w:t>
      </w:r>
      <w:r w:rsidR="005C17D2">
        <w:t>ere the</w:t>
      </w:r>
      <w:r w:rsidR="00AE26D0">
        <w:t xml:space="preserve"> full optimization problem</w:t>
      </w:r>
      <w:r w:rsidR="005C17D2">
        <w:t xml:space="preserve"> </w:t>
      </w:r>
      <w:r w:rsidR="00AE26D0">
        <w:t xml:space="preserve">(including the </w:t>
      </w:r>
      <w:r w:rsidR="005C17D2">
        <w:t>trajectory</w:t>
      </w:r>
      <w:r w:rsidR="00AE26D0">
        <w:t xml:space="preserve"> of the process) is solved</w:t>
      </w:r>
      <w:r w:rsidR="005C17D2">
        <w:t>.</w:t>
      </w:r>
    </w:p>
    <w:p w14:paraId="714B4DD8" w14:textId="5CE0F15E" w:rsidR="00175B49" w:rsidRPr="00175B49" w:rsidRDefault="00175B49" w:rsidP="00175B49">
      <w:pPr>
        <w:pStyle w:val="CETheadingx"/>
      </w:pPr>
      <w:r>
        <w:t>Optimal scheduling of the process – fixed trajectory</w:t>
      </w:r>
    </w:p>
    <w:p w14:paraId="3CA685DF" w14:textId="2FC6F78F" w:rsidR="00D21E28" w:rsidRDefault="00B43189" w:rsidP="00111C3A">
      <w:pPr>
        <w:pStyle w:val="CETBodytext"/>
      </w:pPr>
      <w:r>
        <w:t xml:space="preserve">In this </w:t>
      </w:r>
      <w:r w:rsidR="00AE26D0">
        <w:t>approach</w:t>
      </w:r>
      <w:r w:rsidR="00DB00E4">
        <w:t>,</w:t>
      </w:r>
      <w:r>
        <w:t xml:space="preserve"> </w:t>
      </w:r>
      <w:r w:rsidR="0047361F">
        <w:t>only</w:t>
      </w:r>
      <w:r w:rsidR="00111C3A">
        <w:t xml:space="preserve"> the </w:t>
      </w:r>
      <w:r w:rsidR="009D402D">
        <w:t xml:space="preserve">starting time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DB00E4">
        <w:t xml:space="preserve"> of the process</w:t>
      </w:r>
      <w:r w:rsidR="0047361F">
        <w:t xml:space="preserve"> is scheduled,</w:t>
      </w:r>
      <w:r w:rsidR="00DB00E4">
        <w:t xml:space="preserve"> </w:t>
      </w:r>
      <w:r w:rsidR="009D402D">
        <w:t xml:space="preserve">a </w:t>
      </w:r>
      <w:r w:rsidR="001D0D2B">
        <w:t>precomputed</w:t>
      </w:r>
      <w:r w:rsidR="009D402D">
        <w:t xml:space="preserve"> </w:t>
      </w:r>
      <w:r w:rsidR="007E45D4">
        <w:t>input</w:t>
      </w:r>
      <w:r w:rsidR="001D0D2B">
        <w:t xml:space="preserve"> trajectory</w:t>
      </w:r>
      <w:r w:rsidR="00E27613">
        <w:t xml:space="preserve"> </w:t>
      </w:r>
      <m:oMath>
        <m:r>
          <m:rPr>
            <m:sty m:val="bi"/>
          </m:rPr>
          <w:rPr>
            <w:rFonts w:ascii="Cambria Math" w:hAnsi="Cambria Math"/>
          </w:rPr>
          <m:t>u</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b/>
                <w:i/>
              </w:rPr>
            </m:ctrlPr>
          </m:sSupPr>
          <m:e>
            <m:r>
              <m:rPr>
                <m:sty m:val="bi"/>
              </m:rPr>
              <w:rPr>
                <w:rFonts w:ascii="Cambria Math" w:hAnsi="Cambria Math"/>
              </w:rPr>
              <m:t>u</m:t>
            </m:r>
          </m:e>
          <m:sup>
            <m:r>
              <m:rPr>
                <m:sty m:val="bi"/>
              </m:rPr>
              <w:rPr>
                <w:rFonts w:ascii="Cambria Math" w:hAnsi="Cambria Math"/>
              </w:rPr>
              <m:t>*</m:t>
            </m:r>
          </m:sup>
        </m:sSup>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oMath>
      <w:r w:rsidR="007E45D4">
        <w:t xml:space="preserve"> </w:t>
      </w:r>
      <w:r w:rsidR="0047361F">
        <w:t xml:space="preserve">is applied </w:t>
      </w:r>
      <w:r w:rsidR="007E45D4">
        <w:t>to the process</w:t>
      </w:r>
      <w:r w:rsidR="009D402D">
        <w:t xml:space="preserve">. The </w:t>
      </w:r>
      <w:r w:rsidR="007E45D4">
        <w:t>input</w:t>
      </w:r>
      <w:r w:rsidR="009D402D">
        <w:t xml:space="preserve"> is </w:t>
      </w:r>
      <w:r w:rsidR="001D0D2B">
        <w:t xml:space="preserve">assumed to be </w:t>
      </w:r>
      <w:r w:rsidR="009D402D">
        <w:t xml:space="preserve">the </w:t>
      </w:r>
      <w:r w:rsidR="00E27613">
        <w:t>one that minimizes the overall energy consumption</w:t>
      </w:r>
      <w:r w:rsidR="001D0D2B">
        <w:t xml:space="preserve"> of a batch</w:t>
      </w:r>
      <w:r w:rsidR="00E27613">
        <w:t xml:space="preserve"> under the constraints</w:t>
      </w:r>
      <w:r w:rsidR="001D0D2B">
        <w:t xml:space="preserve"> stated above</w:t>
      </w:r>
      <w:r w:rsidR="00E27613">
        <w:t>. The resulting</w:t>
      </w:r>
      <w:r w:rsidR="009D402D">
        <w:t xml:space="preserve"> </w:t>
      </w:r>
      <w:r w:rsidR="00E27613">
        <w:t>trajectory of the process, and hence the power</w:t>
      </w:r>
      <w:r w:rsidR="009D402D">
        <w:t xml:space="preserve"> consumption profile </w:t>
      </w:r>
      <m:oMath>
        <m:acc>
          <m:accPr>
            <m:chr m:val="̇"/>
            <m:ctrlPr>
              <w:rPr>
                <w:rFonts w:ascii="Cambria Math" w:hAnsi="Cambria Math"/>
                <w:i/>
              </w:rPr>
            </m:ctrlPr>
          </m:accPr>
          <m:e>
            <m:r>
              <w:rPr>
                <w:rFonts w:ascii="Cambria Math" w:hAnsi="Cambria Math"/>
              </w:rPr>
              <m:t>E</m:t>
            </m:r>
          </m:e>
        </m:acc>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acc>
              <m:accPr>
                <m:chr m:val="̇"/>
                <m:ctrlPr>
                  <w:rPr>
                    <w:rFonts w:ascii="Cambria Math" w:hAnsi="Cambria Math"/>
                    <w:i/>
                  </w:rPr>
                </m:ctrlPr>
              </m:accPr>
              <m:e>
                <m:r>
                  <w:rPr>
                    <w:rFonts w:ascii="Cambria Math" w:hAnsi="Cambria Math"/>
                  </w:rPr>
                  <m:t>E</m:t>
                </m:r>
              </m:e>
            </m:acc>
          </m:e>
          <m:sup>
            <m:r>
              <w:rPr>
                <w:rFonts w:ascii="Cambria Math" w:hAnsi="Cambria Math"/>
              </w:rPr>
              <m:t>*</m:t>
            </m:r>
          </m:sup>
        </m:sSup>
        <m:d>
          <m:dPr>
            <m:ctrlPr>
              <w:rPr>
                <w:rFonts w:ascii="Cambria Math" w:hAnsi="Cambria Math"/>
                <w:i/>
              </w:rPr>
            </m:ctrlPr>
          </m:dPr>
          <m:e>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e>
        </m:d>
      </m:oMath>
      <w:r w:rsidR="00E27613">
        <w:t xml:space="preserve"> can be used to compute the cost function (4) as a function of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E27613">
        <w:t xml:space="preserve"> only</w:t>
      </w:r>
      <w:r w:rsidR="00BD37BF">
        <w:t>.</w:t>
      </w:r>
      <w:r w:rsidR="005C17D2">
        <w:t xml:space="preserve"> The</w:t>
      </w:r>
      <w:r w:rsidR="00E27613">
        <w:t xml:space="preserve"> resulting</w:t>
      </w:r>
      <w:r w:rsidR="005C17D2">
        <w:t xml:space="preserve"> </w:t>
      </w:r>
      <w:r w:rsidR="00E27613">
        <w:t xml:space="preserve">optimization </w:t>
      </w:r>
      <w:r w:rsidR="005C17D2">
        <w:t>problem</w:t>
      </w:r>
      <w:r w:rsidR="00AC30CE">
        <w:t xml:space="preserve"> is nonlinear and there are </w:t>
      </w:r>
      <w:r w:rsidR="007261AD">
        <w:t xml:space="preserve">multiple and equivalent solutions under </w:t>
      </w:r>
      <w:r w:rsidR="001D0D2B">
        <w:t>certain</w:t>
      </w:r>
      <w:r w:rsidR="007261AD">
        <w:t xml:space="preserve"> circumstances</w:t>
      </w:r>
      <w:r w:rsidR="00D01E1B">
        <w:t xml:space="preserve">. Furthermore, the cost function may be nonconvex, depending on the exact shape of the capacity profile or the power consumption profile. </w:t>
      </w:r>
      <w:r w:rsidR="00B1388E">
        <w:t xml:space="preserve">Given the simplicity of the problem, rather than using a gradient based search, it is </w:t>
      </w:r>
      <w:r w:rsidR="007261AD">
        <w:t xml:space="preserve">possible to solve the problem by </w:t>
      </w:r>
      <w:r w:rsidR="00B1388E">
        <w:t>discretiz</w:t>
      </w:r>
      <w:r w:rsidR="007261AD">
        <w:t>ing</w:t>
      </w:r>
      <w:r w:rsidR="00B1388E">
        <w:t xml:space="preserve"> the solution space, </w:t>
      </w:r>
      <w:r w:rsidR="007261AD">
        <w:t>evaluat</w:t>
      </w:r>
      <w:r w:rsidR="001D0D2B">
        <w:t>ing</w:t>
      </w:r>
      <w:r w:rsidR="00B1388E">
        <w:t xml:space="preserve"> the cost function for all the values of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B1388E">
        <w:t xml:space="preserve">, </w:t>
      </w:r>
      <w:r w:rsidR="007261AD">
        <w:t>and select</w:t>
      </w:r>
      <w:r w:rsidR="001D0D2B">
        <w:t>ing</w:t>
      </w:r>
      <w:r w:rsidR="007261AD">
        <w:t xml:space="preserve"> the solution based on the cost and some additional criteria</w:t>
      </w:r>
      <w:r w:rsidR="00E861C9">
        <w:t>, for example</w:t>
      </w:r>
      <w:r w:rsidR="001D0D2B">
        <w:t xml:space="preserve"> choosing</w:t>
      </w:r>
      <w:r w:rsidR="00E861C9">
        <w:t xml:space="preserve"> the minimum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E861C9">
        <w:t xml:space="preserve"> that results in the minimum cost.</w:t>
      </w:r>
    </w:p>
    <w:p w14:paraId="01E18B37" w14:textId="6C543280" w:rsidR="001C41AC" w:rsidRDefault="00D21E28" w:rsidP="00111C3A">
      <w:pPr>
        <w:pStyle w:val="CETheadingx"/>
      </w:pPr>
      <w:r>
        <w:t>Optimal scheduling of the process – flexible trajectory</w:t>
      </w:r>
    </w:p>
    <w:p w14:paraId="07A0C429" w14:textId="57815E1F" w:rsidR="002D60D6" w:rsidRDefault="00AE26D0" w:rsidP="00B1388E">
      <w:pPr>
        <w:pStyle w:val="CETBodytext"/>
      </w:pPr>
      <w:r>
        <w:t>In</w:t>
      </w:r>
      <w:r w:rsidR="00D01E1B">
        <w:t xml:space="preserve"> this </w:t>
      </w:r>
      <w:r>
        <w:t>approach</w:t>
      </w:r>
      <w:r w:rsidR="00D01E1B">
        <w:t xml:space="preserve">, both the starting time of the process,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D01E1B">
        <w:t xml:space="preserve"> and the input</w:t>
      </w:r>
      <m:oMath>
        <m:r>
          <m:rPr>
            <m:sty m:val="bi"/>
          </m:rPr>
          <w:rPr>
            <w:rFonts w:ascii="Cambria Math" w:hAnsi="Cambria Math"/>
          </w:rPr>
          <m:t xml:space="preserve"> u</m:t>
        </m:r>
        <m:d>
          <m:dPr>
            <m:ctrlPr>
              <w:rPr>
                <w:rFonts w:ascii="Cambria Math" w:hAnsi="Cambria Math"/>
                <w:i/>
              </w:rPr>
            </m:ctrlPr>
          </m:dPr>
          <m:e>
            <m:r>
              <w:rPr>
                <w:rFonts w:ascii="Cambria Math" w:hAnsi="Cambria Math"/>
              </w:rPr>
              <m:t>t</m:t>
            </m:r>
          </m:e>
        </m:d>
      </m:oMath>
      <w:r w:rsidR="00D01E1B">
        <w:t xml:space="preserve"> are optimized. </w:t>
      </w:r>
      <w:r w:rsidR="00B004EC">
        <w:t xml:space="preserve">The variables are discretized in time on finite elements and collocation points. </w:t>
      </w:r>
      <w:r w:rsidR="00E97EBC">
        <w:t>For this work, t</w:t>
      </w:r>
      <w:r w:rsidR="00B004EC">
        <w:t xml:space="preserve">he input was parameterized </w:t>
      </w:r>
      <w:r w:rsidR="001D0D2B">
        <w:t>by</w:t>
      </w:r>
      <w:r w:rsidR="00B004EC">
        <w:t xml:space="preserve"> a piecewise linear continuous function. </w:t>
      </w:r>
      <w:r w:rsidR="00B1388E">
        <w:t xml:space="preserve">The resulting trajectory is the solution of the differential equation (1-b). </w:t>
      </w:r>
      <w:r w:rsidR="00C81680">
        <w:lastRenderedPageBreak/>
        <w:t xml:space="preserve">The problem was implemented in Python using </w:t>
      </w:r>
      <w:r w:rsidR="00B004EC">
        <w:t>the</w:t>
      </w:r>
      <w:r w:rsidR="00C81680">
        <w:t xml:space="preserve"> automatic differentiation toolbox “CasADi”</w:t>
      </w:r>
      <w:r w:rsidR="00B004EC">
        <w:t xml:space="preserve"> (Andersson et al, 2019)</w:t>
      </w:r>
      <w:r w:rsidR="007261AD">
        <w:t xml:space="preserve">, using </w:t>
      </w:r>
      <w:r w:rsidR="00DF2A2D">
        <w:t>IPOPT</w:t>
      </w:r>
      <w:r w:rsidR="007261AD">
        <w:t xml:space="preserve"> as optimizer</w:t>
      </w:r>
      <w:r w:rsidR="00B004EC">
        <w:t xml:space="preserve"> (Wächter and Biegler, 2006)</w:t>
      </w:r>
      <w:r w:rsidR="00B1388E">
        <w:t>. In order to</w:t>
      </w:r>
      <w:r w:rsidR="00AC30CE">
        <w:t xml:space="preserve"> be able to consider</w:t>
      </w:r>
      <w:r w:rsidR="00B1388E">
        <w:t xml:space="preserve"> the variable starting time, the limits of integration in the cost function were replaced with </w:t>
      </w:r>
      <m:oMath>
        <m:r>
          <w:rPr>
            <w:rFonts w:ascii="Cambria Math" w:hAnsi="Cambria Math"/>
          </w:rPr>
          <m:t>0</m:t>
        </m:r>
      </m:oMath>
      <w:r w:rsidR="00B1388E">
        <w:t xml:space="preserve"> and </w:t>
      </w:r>
      <m:oMath>
        <m:r>
          <m:rPr>
            <m:sty m:val="p"/>
          </m:rPr>
          <w:rPr>
            <w:rFonts w:ascii="Cambria Math" w:hAnsi="Cambria Math"/>
          </w:rPr>
          <m:t>Δ</m:t>
        </m:r>
        <m:r>
          <w:rPr>
            <w:rFonts w:ascii="Cambria Math" w:hAnsi="Cambria Math"/>
          </w:rPr>
          <m:t>t</m:t>
        </m:r>
      </m:oMath>
      <w:r w:rsidR="00B1388E">
        <w:t xml:space="preserve">, and the time variable was substituted with </w:t>
      </w:r>
      <m:oMath>
        <m:r>
          <w:rPr>
            <w:rFonts w:ascii="Cambria Math" w:hAnsi="Cambria Math"/>
          </w:rPr>
          <m:t>t=</m:t>
        </m:r>
        <m:sSup>
          <m:sSupPr>
            <m:ctrlPr>
              <w:rPr>
                <w:rFonts w:ascii="Cambria Math" w:hAnsi="Cambria Math"/>
                <w:i/>
              </w:rPr>
            </m:ctrlPr>
          </m:sSupPr>
          <m:e>
            <m:r>
              <w:rPr>
                <w:rFonts w:ascii="Cambria Math" w:hAnsi="Cambria Math"/>
              </w:rPr>
              <m:t>t</m:t>
            </m:r>
          </m:e>
          <m:sup>
            <m: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oMath>
      <w:r>
        <w:t>. It should be mentioned that the problem is still nonconvex and can still admit multiple (equivalent) solutions</w:t>
      </w:r>
      <w:r w:rsidR="009B2D81">
        <w:t xml:space="preserve">. Additional criteria can be </w:t>
      </w:r>
      <w:r w:rsidR="00E277C1">
        <w:t>specified</w:t>
      </w:r>
      <w:r w:rsidR="009B2D81">
        <w:t xml:space="preserve"> in the cost funct</w:t>
      </w:r>
      <w:r w:rsidR="00E277C1">
        <w:t>ion as small additive penalties, such as a cost dependent on the starting time to privilege earlier starting times.</w:t>
      </w:r>
    </w:p>
    <w:p w14:paraId="4931BACF" w14:textId="0F765094" w:rsidR="002D60D6" w:rsidRDefault="002D60D6" w:rsidP="00B1388E">
      <w:pPr>
        <w:pStyle w:val="CETBodytext"/>
      </w:pPr>
      <w:r>
        <w:t>As a concluding remark to this section, the strengths and weaknesses of the two approaches</w:t>
      </w:r>
      <w:r w:rsidR="0047361F">
        <w:t xml:space="preserve"> are highlighted</w:t>
      </w:r>
      <w:r>
        <w:t xml:space="preserve">. From a purely practical standpoint, the former is more easily applicable. The trajectory to be applied needs not to be obtained by optimization, but may be established by practice. This makes it possible to </w:t>
      </w:r>
      <w:r w:rsidR="00710081">
        <w:t>use</w:t>
      </w:r>
      <w:r>
        <w:t xml:space="preserve"> </w:t>
      </w:r>
      <w:r w:rsidR="00E277C1">
        <w:t>it</w:t>
      </w:r>
      <w:r>
        <w:t xml:space="preserve"> even when very limited knowledge about the process is available (in fact, the power</w:t>
      </w:r>
      <w:r w:rsidR="00E277C1">
        <w:t xml:space="preserve"> consumption</w:t>
      </w:r>
      <w:r>
        <w:t xml:space="preserve"> profile is the only piece of information necessary</w:t>
      </w:r>
      <w:r w:rsidR="00545F4A">
        <w:t xml:space="preserve"> for it to be </w:t>
      </w:r>
      <w:r w:rsidR="00CA0675">
        <w:t>used</w:t>
      </w:r>
      <w:r>
        <w:t>). On the other ha</w:t>
      </w:r>
      <w:r w:rsidR="00545F4A">
        <w:t xml:space="preserve">nd, if the </w:t>
      </w:r>
      <w:r w:rsidR="00CA0675">
        <w:t xml:space="preserve">profile of the </w:t>
      </w:r>
      <w:r w:rsidR="00545F4A">
        <w:t>g</w:t>
      </w:r>
      <w:r w:rsidR="00CA0675">
        <w:t xml:space="preserve">eneration capacity is significantly different </w:t>
      </w:r>
      <w:r w:rsidR="00545F4A">
        <w:t>from the one of the power</w:t>
      </w:r>
      <w:r w:rsidR="002F57E0">
        <w:t xml:space="preserve"> consumption, </w:t>
      </w:r>
      <w:r w:rsidR="008A76E6">
        <w:t xml:space="preserve">the second approach </w:t>
      </w:r>
      <w:r w:rsidR="000464BC">
        <w:t>is</w:t>
      </w:r>
      <w:r w:rsidR="008A76E6">
        <w:t xml:space="preserve"> able to </w:t>
      </w:r>
      <w:r w:rsidR="002F57E0">
        <w:t>use the available capacity</w:t>
      </w:r>
      <w:r w:rsidR="008A76E6">
        <w:t xml:space="preserve"> more effectively</w:t>
      </w:r>
      <w:r w:rsidR="00CA0675">
        <w:t>, as shown in the power profiles in</w:t>
      </w:r>
      <w:r w:rsidR="008A076B">
        <w:t xml:space="preserve"> Figure 2</w:t>
      </w:r>
      <w:r w:rsidR="008A76E6">
        <w:t>.</w:t>
      </w:r>
      <w:r w:rsidR="00710081">
        <w:t xml:space="preserve"> </w:t>
      </w:r>
    </w:p>
    <w:p w14:paraId="524F28C5" w14:textId="1C93B6E6" w:rsidR="00AE26D0" w:rsidRDefault="00AE26D0" w:rsidP="00AE26D0">
      <w:pPr>
        <w:pStyle w:val="CETHeading1"/>
      </w:pPr>
      <w:r>
        <w:t>Results and discussion</w:t>
      </w:r>
    </w:p>
    <w:p w14:paraId="3BDE7FDD" w14:textId="119710DC" w:rsidR="00B5474F" w:rsidRDefault="00B96D4C" w:rsidP="00B5474F">
      <w:pPr>
        <w:pStyle w:val="CETBodytext"/>
      </w:pPr>
      <w:r>
        <w:t xml:space="preserve">The optimization was carried out for several combinations of the parameters </w:t>
      </w:r>
      <m:oMath>
        <m:r>
          <w:rPr>
            <w:rFonts w:ascii="Cambria Math" w:hAnsi="Cambria Math"/>
          </w:rPr>
          <m:t>A&gt;0</m:t>
        </m:r>
      </m:oMath>
      <w:r w:rsidR="00B5474F">
        <w:t xml:space="preserve">, </w:t>
      </w:r>
      <m:oMath>
        <m:r>
          <w:rPr>
            <w:rFonts w:ascii="Cambria Math" w:hAnsi="Cambria Math"/>
          </w:rPr>
          <m:t>b≥0</m:t>
        </m:r>
      </m:oMath>
      <w:r w:rsidR="00B5474F">
        <w:t xml:space="preserve">, </w:t>
      </w:r>
      <m:oMath>
        <m:acc>
          <m:accPr>
            <m:chr m:val="̇"/>
            <m:ctrlPr>
              <w:rPr>
                <w:rFonts w:ascii="Cambria Math" w:hAnsi="Cambria Math"/>
                <w:i/>
              </w:rPr>
            </m:ctrlPr>
          </m:accPr>
          <m:e>
            <m:r>
              <w:rPr>
                <w:rFonts w:ascii="Cambria Math" w:hAnsi="Cambria Math"/>
              </w:rPr>
              <m:t>L</m:t>
            </m:r>
          </m:e>
        </m:acc>
        <m:r>
          <w:rPr>
            <w:rFonts w:ascii="Cambria Math" w:hAnsi="Cambria Math"/>
          </w:rPr>
          <m:t>≥0</m:t>
        </m:r>
      </m:oMath>
      <w:r w:rsidR="00B5474F">
        <w:t xml:space="preserve"> and </w:t>
      </w:r>
      <m:oMath>
        <m:r>
          <m:rPr>
            <m:sty m:val="p"/>
          </m:rPr>
          <w:rPr>
            <w:rFonts w:ascii="Cambria Math" w:hAnsi="Cambria Math"/>
          </w:rPr>
          <m:t>RP</m:t>
        </m:r>
        <m:r>
          <w:rPr>
            <w:rFonts w:ascii="Cambria Math" w:hAnsi="Cambria Math"/>
          </w:rPr>
          <m:t>/</m:t>
        </m:r>
        <m:r>
          <m:rPr>
            <m:sty m:val="p"/>
          </m:rPr>
          <w:rPr>
            <w:rFonts w:ascii="Cambria Math" w:hAnsi="Cambria Math"/>
          </w:rPr>
          <m:t>EP≤1</m:t>
        </m:r>
      </m:oMath>
      <w:r w:rsidR="008078D9">
        <w:t xml:space="preserve">. </w:t>
      </w:r>
      <w:r w:rsidR="00E63AA1">
        <w:t xml:space="preserve">The maximum possible power consumption of the process is </w:t>
      </w:r>
      <m:oMath>
        <m:r>
          <w:rPr>
            <w:rFonts w:ascii="Cambria Math" w:hAnsi="Cambria Math"/>
          </w:rPr>
          <m:t xml:space="preserve">13.3 </m:t>
        </m:r>
        <m:r>
          <m:rPr>
            <m:sty m:val="p"/>
          </m:rPr>
          <w:rPr>
            <w:rFonts w:ascii="Cambria Math" w:hAnsi="Cambria Math"/>
          </w:rPr>
          <m:t>kW</m:t>
        </m:r>
      </m:oMath>
      <w:r w:rsidR="00E63AA1">
        <w:t xml:space="preserve"> </w:t>
      </w:r>
      <w:r w:rsidR="00744DD5">
        <w:t>(</w:t>
      </w:r>
      <w:r w:rsidR="00AC30CE">
        <w:t>not</w:t>
      </w:r>
      <w:r w:rsidR="00E63AA1">
        <w:t xml:space="preserve"> encountered in practice</w:t>
      </w:r>
      <w:r w:rsidR="00744DD5">
        <w:t>)</w:t>
      </w:r>
      <w:r w:rsidR="00E63AA1">
        <w:t xml:space="preserve"> when both the condenser and the evaporator operate at full power. </w:t>
      </w:r>
      <w:r w:rsidR="008078D9">
        <w:t>T</w:t>
      </w:r>
      <w:r>
        <w:t xml:space="preserve">he energy-optimal trajectory was used in the fixed trajectory approach. </w:t>
      </w:r>
      <w:r w:rsidR="00B5474F">
        <w:t>To summarize the solutions resulting from the two approac</w:t>
      </w:r>
      <w:r w:rsidR="00ED24CD">
        <w:t xml:space="preserve">hes, the grid energy percentage, </w:t>
      </w:r>
      <w:r w:rsidR="00B5474F">
        <w:t>renewable energy percentage</w:t>
      </w:r>
      <w:r w:rsidR="00ED24CD">
        <w:t xml:space="preserve"> and </w:t>
      </w:r>
      <w:r w:rsidR="00C90F2B">
        <w:t>process</w:t>
      </w:r>
      <w:r w:rsidR="00ED24CD">
        <w:t xml:space="preserve"> cost percentage</w:t>
      </w:r>
      <w:r w:rsidR="00CD7570">
        <w:t xml:space="preserve"> </w:t>
      </w:r>
      <w:r w:rsidR="00B5474F">
        <w:t>relative to the total energy use of the energy-optimal solution</w:t>
      </w:r>
      <w:r w:rsidR="00CD7570">
        <w:t xml:space="preserve"> are defined</w:t>
      </w:r>
      <w:r w:rsidR="00B5474F">
        <w:t>:</w:t>
      </w:r>
    </w:p>
    <w:tbl>
      <w:tblPr>
        <w:tblW w:w="5000" w:type="pct"/>
        <w:tblLook w:val="04A0" w:firstRow="1" w:lastRow="0" w:firstColumn="1" w:lastColumn="0" w:noHBand="0" w:noVBand="1"/>
      </w:tblPr>
      <w:tblGrid>
        <w:gridCol w:w="7981"/>
        <w:gridCol w:w="806"/>
      </w:tblGrid>
      <w:tr w:rsidR="00B5474F" w:rsidRPr="00B57B36" w14:paraId="1C8A4A7F" w14:textId="77777777" w:rsidTr="009548AB">
        <w:tc>
          <w:tcPr>
            <w:tcW w:w="7981" w:type="dxa"/>
            <w:shd w:val="clear" w:color="auto" w:fill="auto"/>
            <w:vAlign w:val="center"/>
          </w:tcPr>
          <w:p w14:paraId="61DC0F22" w14:textId="66FB2696" w:rsidR="00B5474F" w:rsidRPr="001B1CBA" w:rsidRDefault="00B5474F" w:rsidP="009D6762">
            <w:pPr>
              <w:pStyle w:val="CETEquation"/>
              <w:rPr>
                <w:rFonts w:ascii="Cambria Math" w:hAnsi="Cambria Math"/>
                <w:lang w:val="en-US"/>
                <w:oMath/>
              </w:rPr>
            </w:pPr>
            <m:oMathPara>
              <m:oMathParaPr>
                <m:jc m:val="left"/>
              </m:oMathParaPr>
              <m:oMath>
                <m:r>
                  <m:rPr>
                    <m:sty m:val="p"/>
                  </m:rPr>
                  <w:rPr>
                    <w:rFonts w:ascii="Cambria Math" w:hAnsi="Cambria Math"/>
                    <w:lang w:val="en-US"/>
                  </w:rPr>
                  <m:t xml:space="preserve">Grid energy </m:t>
                </m:r>
                <m:sSub>
                  <m:sSubPr>
                    <m:ctrlPr>
                      <w:rPr>
                        <w:rFonts w:ascii="Cambria Math" w:hAnsi="Cambria Math"/>
                      </w:rPr>
                    </m:ctrlPr>
                  </m:sSubPr>
                  <m:e>
                    <m:r>
                      <m:rPr>
                        <m:sty m:val="p"/>
                      </m:rPr>
                      <w:rPr>
                        <w:rFonts w:ascii="Cambria Math" w:hAnsi="Cambria Math"/>
                        <w:lang w:val="en-US"/>
                      </w:rPr>
                      <m:t>%</m:t>
                    </m:r>
                  </m:e>
                  <m:sub>
                    <m:r>
                      <w:rPr>
                        <w:rFonts w:ascii="Cambria Math" w:hAnsi="Cambria Math"/>
                      </w:rPr>
                      <m:t>E</m:t>
                    </m:r>
                    <m:r>
                      <w:rPr>
                        <w:rFonts w:ascii="Cambria Math" w:hAnsi="Cambria Math"/>
                        <w:lang w:val="en-US"/>
                      </w:rPr>
                      <m:t>.</m:t>
                    </m:r>
                    <m:r>
                      <w:rPr>
                        <w:rFonts w:ascii="Cambria Math" w:hAnsi="Cambria Math"/>
                      </w:rPr>
                      <m:t>O</m:t>
                    </m:r>
                    <m:r>
                      <w:rPr>
                        <w:rFonts w:ascii="Cambria Math" w:hAnsi="Cambria Math"/>
                        <w:lang w:val="en-US"/>
                      </w:rPr>
                      <m:t>.</m:t>
                    </m:r>
                  </m:sub>
                </m:sSub>
                <m:r>
                  <w:rPr>
                    <w:rFonts w:ascii="Cambria Math" w:hAnsi="Cambria Math"/>
                    <w:lang w:val="en-US"/>
                  </w:rPr>
                  <m:t>=100⋅</m:t>
                </m:r>
                <m:f>
                  <m:fPr>
                    <m:ctrlPr>
                      <w:rPr>
                        <w:rFonts w:ascii="Cambria Math" w:hAnsi="Cambria Math"/>
                        <w:i/>
                      </w:rPr>
                    </m:ctrlPr>
                  </m:fPr>
                  <m:num>
                    <m:r>
                      <w:rPr>
                        <w:rFonts w:ascii="Cambria Math" w:hAnsi="Cambria Math"/>
                        <w:lang w:val="en-US"/>
                      </w:rPr>
                      <m:t>∫</m:t>
                    </m:r>
                    <m:acc>
                      <m:accPr>
                        <m:chr m:val="̇"/>
                        <m:ctrlPr>
                          <w:rPr>
                            <w:rFonts w:ascii="Cambria Math" w:hAnsi="Cambria Math"/>
                            <w:i/>
                            <w:lang w:val="en-US"/>
                          </w:rPr>
                        </m:ctrlPr>
                      </m:accPr>
                      <m:e>
                        <m:r>
                          <w:rPr>
                            <w:rFonts w:ascii="Cambria Math" w:hAnsi="Cambria Math"/>
                            <w:lang w:val="en-US"/>
                          </w:rPr>
                          <m:t>G</m:t>
                        </m:r>
                      </m:e>
                    </m:acc>
                    <m:d>
                      <m:dPr>
                        <m:ctrlPr>
                          <w:rPr>
                            <w:rFonts w:ascii="Cambria Math" w:hAnsi="Cambria Math"/>
                            <w:i/>
                            <w:lang w:val="en-US"/>
                          </w:rPr>
                        </m:ctrlPr>
                      </m:dPr>
                      <m:e>
                        <m:r>
                          <w:rPr>
                            <w:rFonts w:ascii="Cambria Math" w:hAnsi="Cambria Math"/>
                            <w:lang w:val="en-US"/>
                          </w:rPr>
                          <m:t>t</m:t>
                        </m:r>
                      </m:e>
                    </m:d>
                    <m:r>
                      <m:rPr>
                        <m:sty m:val="p"/>
                      </m:rPr>
                      <w:rPr>
                        <w:rFonts w:ascii="Cambria Math" w:hAnsi="Cambria Math"/>
                        <w:lang w:val="en-US"/>
                      </w:rPr>
                      <m:t>d</m:t>
                    </m:r>
                    <m:r>
                      <w:rPr>
                        <w:rFonts w:ascii="Cambria Math" w:hAnsi="Cambria Math"/>
                        <w:lang w:val="en-US"/>
                      </w:rPr>
                      <m:t xml:space="preserve">t </m:t>
                    </m:r>
                    <m:r>
                      <m:rPr>
                        <m:nor/>
                      </m:rPr>
                      <w:rPr>
                        <w:rFonts w:ascii="Cambria Math" w:hAnsi="Cambria Math"/>
                        <w:lang w:val="en-US"/>
                      </w:rPr>
                      <m:t>[Current solution]</m:t>
                    </m:r>
                  </m:num>
                  <m:den>
                    <m:r>
                      <w:rPr>
                        <w:rFonts w:ascii="Cambria Math" w:hAnsi="Cambria Math"/>
                        <w:lang w:val="en-US"/>
                      </w:rPr>
                      <m:t>∫</m:t>
                    </m:r>
                    <m:acc>
                      <m:accPr>
                        <m:chr m:val="̇"/>
                        <m:ctrlPr>
                          <w:rPr>
                            <w:rFonts w:ascii="Cambria Math" w:hAnsi="Cambria Math"/>
                            <w:i/>
                            <w:lang w:val="en-US"/>
                          </w:rPr>
                        </m:ctrlPr>
                      </m:accPr>
                      <m:e>
                        <m:r>
                          <w:rPr>
                            <w:rFonts w:ascii="Cambria Math" w:hAnsi="Cambria Math"/>
                            <w:lang w:val="en-US"/>
                          </w:rPr>
                          <m:t>E</m:t>
                        </m:r>
                      </m:e>
                    </m:acc>
                    <m:d>
                      <m:dPr>
                        <m:ctrlPr>
                          <w:rPr>
                            <w:rFonts w:ascii="Cambria Math" w:hAnsi="Cambria Math"/>
                            <w:i/>
                            <w:lang w:val="en-US"/>
                          </w:rPr>
                        </m:ctrlPr>
                      </m:dPr>
                      <m:e>
                        <m:r>
                          <w:rPr>
                            <w:rFonts w:ascii="Cambria Math" w:hAnsi="Cambria Math"/>
                            <w:lang w:val="en-US"/>
                          </w:rPr>
                          <m:t>t</m:t>
                        </m:r>
                      </m:e>
                    </m:d>
                    <m:r>
                      <m:rPr>
                        <m:sty m:val="p"/>
                      </m:rPr>
                      <w:rPr>
                        <w:rFonts w:ascii="Cambria Math" w:hAnsi="Cambria Math"/>
                        <w:lang w:val="en-US"/>
                      </w:rPr>
                      <m:t>d</m:t>
                    </m:r>
                    <m:r>
                      <w:rPr>
                        <w:rFonts w:ascii="Cambria Math" w:hAnsi="Cambria Math"/>
                        <w:lang w:val="en-US"/>
                      </w:rPr>
                      <m:t xml:space="preserve">t </m:t>
                    </m:r>
                    <m:r>
                      <m:rPr>
                        <m:nor/>
                      </m:rPr>
                      <w:rPr>
                        <w:rFonts w:ascii="Cambria Math" w:hAnsi="Cambria Math"/>
                        <w:lang w:val="en-US"/>
                      </w:rPr>
                      <m:t>[Energy optimal]</m:t>
                    </m:r>
                  </m:den>
                </m:f>
                <m:r>
                  <w:rPr>
                    <w:rFonts w:ascii="Cambria Math" w:hAnsi="Cambria Math"/>
                    <w:lang w:val="en-US"/>
                  </w:rPr>
                  <m:t xml:space="preserve"> </m:t>
                </m:r>
              </m:oMath>
            </m:oMathPara>
          </w:p>
        </w:tc>
        <w:tc>
          <w:tcPr>
            <w:tcW w:w="806" w:type="dxa"/>
            <w:shd w:val="clear" w:color="auto" w:fill="auto"/>
            <w:vAlign w:val="center"/>
          </w:tcPr>
          <w:p w14:paraId="523D80FD" w14:textId="77777777" w:rsidR="00B5474F" w:rsidRPr="00B57B36" w:rsidRDefault="00B5474F" w:rsidP="009548AB">
            <w:pPr>
              <w:pStyle w:val="CETEquation"/>
              <w:ind w:left="8496" w:hanging="8496"/>
              <w:jc w:val="right"/>
            </w:pPr>
            <w:r w:rsidRPr="00B57B36">
              <w:t>(</w:t>
            </w:r>
            <w:r>
              <w:t>6</w:t>
            </w:r>
            <w:r w:rsidRPr="00B57B36">
              <w:t>)</w:t>
            </w:r>
          </w:p>
        </w:tc>
      </w:tr>
      <w:tr w:rsidR="00B5474F" w:rsidRPr="00B57B36" w14:paraId="69E2C099" w14:textId="77777777" w:rsidTr="009548AB">
        <w:tc>
          <w:tcPr>
            <w:tcW w:w="7981" w:type="dxa"/>
            <w:shd w:val="clear" w:color="auto" w:fill="auto"/>
            <w:vAlign w:val="center"/>
          </w:tcPr>
          <w:p w14:paraId="0058A2C9" w14:textId="409C3425" w:rsidR="00B5474F" w:rsidRPr="0043045F" w:rsidRDefault="00B5474F" w:rsidP="009D6762">
            <w:pPr>
              <w:pStyle w:val="CETEquation"/>
              <w:rPr>
                <w:rFonts w:ascii="Cambria Math" w:hAnsi="Cambria Math"/>
                <w:oMath/>
              </w:rPr>
            </w:pPr>
            <m:oMathPara>
              <m:oMathParaPr>
                <m:jc m:val="left"/>
              </m:oMathParaPr>
              <m:oMath>
                <m:r>
                  <m:rPr>
                    <m:sty m:val="p"/>
                  </m:rPr>
                  <w:rPr>
                    <w:rFonts w:ascii="Cambria Math" w:hAnsi="Cambria Math"/>
                    <w:lang w:val="en-US"/>
                  </w:rPr>
                  <m:t xml:space="preserve">Renewable energy </m:t>
                </m:r>
                <m:sSub>
                  <m:sSubPr>
                    <m:ctrlPr>
                      <w:rPr>
                        <w:rFonts w:ascii="Cambria Math" w:hAnsi="Cambria Math"/>
                      </w:rPr>
                    </m:ctrlPr>
                  </m:sSubPr>
                  <m:e>
                    <m:r>
                      <m:rPr>
                        <m:sty m:val="p"/>
                      </m:rPr>
                      <w:rPr>
                        <w:rFonts w:ascii="Cambria Math" w:hAnsi="Cambria Math"/>
                        <w:lang w:val="en-US"/>
                      </w:rPr>
                      <m:t>%</m:t>
                    </m:r>
                  </m:e>
                  <m:sub>
                    <m:r>
                      <w:rPr>
                        <w:rFonts w:ascii="Cambria Math" w:hAnsi="Cambria Math"/>
                      </w:rPr>
                      <m:t>E</m:t>
                    </m:r>
                    <m:r>
                      <w:rPr>
                        <w:rFonts w:ascii="Cambria Math" w:hAnsi="Cambria Math"/>
                        <w:lang w:val="en-US"/>
                      </w:rPr>
                      <m:t>.</m:t>
                    </m:r>
                    <m:r>
                      <w:rPr>
                        <w:rFonts w:ascii="Cambria Math" w:hAnsi="Cambria Math"/>
                      </w:rPr>
                      <m:t>O</m:t>
                    </m:r>
                    <m:r>
                      <w:rPr>
                        <w:rFonts w:ascii="Cambria Math" w:hAnsi="Cambria Math"/>
                        <w:lang w:val="en-US"/>
                      </w:rPr>
                      <m:t>.</m:t>
                    </m:r>
                  </m:sub>
                </m:sSub>
                <m:r>
                  <w:rPr>
                    <w:rFonts w:ascii="Cambria Math" w:hAnsi="Cambria Math"/>
                    <w:lang w:val="en-US"/>
                  </w:rPr>
                  <m:t>=100⋅</m:t>
                </m:r>
                <m:f>
                  <m:fPr>
                    <m:ctrlPr>
                      <w:rPr>
                        <w:rFonts w:ascii="Cambria Math" w:hAnsi="Cambria Math"/>
                        <w:i/>
                      </w:rPr>
                    </m:ctrlPr>
                  </m:fPr>
                  <m:num>
                    <m:r>
                      <w:rPr>
                        <w:rFonts w:ascii="Cambria Math" w:hAnsi="Cambria Math"/>
                        <w:lang w:val="en-US"/>
                      </w:rPr>
                      <m:t>∫</m:t>
                    </m:r>
                    <m:acc>
                      <m:accPr>
                        <m:chr m:val="̇"/>
                        <m:ctrlPr>
                          <w:rPr>
                            <w:rFonts w:ascii="Cambria Math" w:hAnsi="Cambria Math"/>
                            <w:i/>
                            <w:lang w:val="en-US"/>
                          </w:rPr>
                        </m:ctrlPr>
                      </m:accPr>
                      <m:e>
                        <m:r>
                          <w:rPr>
                            <w:rFonts w:ascii="Cambria Math" w:hAnsi="Cambria Math"/>
                            <w:lang w:val="en-US"/>
                          </w:rPr>
                          <m:t>R</m:t>
                        </m:r>
                      </m:e>
                    </m:acc>
                    <m:d>
                      <m:dPr>
                        <m:ctrlPr>
                          <w:rPr>
                            <w:rFonts w:ascii="Cambria Math" w:hAnsi="Cambria Math"/>
                            <w:i/>
                            <w:lang w:val="en-US"/>
                          </w:rPr>
                        </m:ctrlPr>
                      </m:dPr>
                      <m:e>
                        <m:r>
                          <w:rPr>
                            <w:rFonts w:ascii="Cambria Math" w:hAnsi="Cambria Math"/>
                            <w:lang w:val="en-US"/>
                          </w:rPr>
                          <m:t>t</m:t>
                        </m:r>
                      </m:e>
                    </m:d>
                    <m:r>
                      <m:rPr>
                        <m:sty m:val="p"/>
                      </m:rPr>
                      <w:rPr>
                        <w:rFonts w:ascii="Cambria Math" w:hAnsi="Cambria Math"/>
                        <w:lang w:val="en-US"/>
                      </w:rPr>
                      <m:t>d</m:t>
                    </m:r>
                    <m:r>
                      <w:rPr>
                        <w:rFonts w:ascii="Cambria Math" w:hAnsi="Cambria Math"/>
                        <w:lang w:val="en-US"/>
                      </w:rPr>
                      <m:t xml:space="preserve">t </m:t>
                    </m:r>
                    <m:r>
                      <m:rPr>
                        <m:nor/>
                      </m:rPr>
                      <w:rPr>
                        <w:rFonts w:ascii="Cambria Math" w:hAnsi="Cambria Math"/>
                        <w:lang w:val="en-US"/>
                      </w:rPr>
                      <m:t>[Current solution]</m:t>
                    </m:r>
                  </m:num>
                  <m:den>
                    <m:r>
                      <w:rPr>
                        <w:rFonts w:ascii="Cambria Math" w:hAnsi="Cambria Math"/>
                        <w:lang w:val="en-US"/>
                      </w:rPr>
                      <m:t>∫</m:t>
                    </m:r>
                    <m:acc>
                      <m:accPr>
                        <m:chr m:val="̇"/>
                        <m:ctrlPr>
                          <w:rPr>
                            <w:rFonts w:ascii="Cambria Math" w:hAnsi="Cambria Math"/>
                            <w:i/>
                            <w:lang w:val="en-US"/>
                          </w:rPr>
                        </m:ctrlPr>
                      </m:accPr>
                      <m:e>
                        <m:r>
                          <w:rPr>
                            <w:rFonts w:ascii="Cambria Math" w:hAnsi="Cambria Math"/>
                            <w:lang w:val="en-US"/>
                          </w:rPr>
                          <m:t>E</m:t>
                        </m:r>
                      </m:e>
                    </m:acc>
                    <m:d>
                      <m:dPr>
                        <m:ctrlPr>
                          <w:rPr>
                            <w:rFonts w:ascii="Cambria Math" w:hAnsi="Cambria Math"/>
                            <w:i/>
                            <w:lang w:val="en-US"/>
                          </w:rPr>
                        </m:ctrlPr>
                      </m:dPr>
                      <m:e>
                        <m:r>
                          <w:rPr>
                            <w:rFonts w:ascii="Cambria Math" w:hAnsi="Cambria Math"/>
                            <w:lang w:val="en-US"/>
                          </w:rPr>
                          <m:t>t</m:t>
                        </m:r>
                      </m:e>
                    </m:d>
                    <m:r>
                      <m:rPr>
                        <m:sty m:val="p"/>
                      </m:rPr>
                      <w:rPr>
                        <w:rFonts w:ascii="Cambria Math" w:hAnsi="Cambria Math"/>
                        <w:lang w:val="en-US"/>
                      </w:rPr>
                      <m:t>d</m:t>
                    </m:r>
                    <m:r>
                      <w:rPr>
                        <w:rFonts w:ascii="Cambria Math" w:hAnsi="Cambria Math"/>
                        <w:lang w:val="en-US"/>
                      </w:rPr>
                      <m:t xml:space="preserve">t </m:t>
                    </m:r>
                    <m:r>
                      <m:rPr>
                        <m:nor/>
                      </m:rPr>
                      <w:rPr>
                        <w:rFonts w:ascii="Cambria Math" w:hAnsi="Cambria Math"/>
                        <w:lang w:val="en-US"/>
                      </w:rPr>
                      <m:t>[Energy optimal]</m:t>
                    </m:r>
                  </m:den>
                </m:f>
                <m:r>
                  <w:rPr>
                    <w:rFonts w:ascii="Cambria Math" w:hAnsi="Cambria Math"/>
                    <w:lang w:val="en-US"/>
                  </w:rPr>
                  <m:t xml:space="preserve"> </m:t>
                </m:r>
              </m:oMath>
            </m:oMathPara>
          </w:p>
        </w:tc>
        <w:tc>
          <w:tcPr>
            <w:tcW w:w="806" w:type="dxa"/>
            <w:shd w:val="clear" w:color="auto" w:fill="auto"/>
            <w:vAlign w:val="center"/>
          </w:tcPr>
          <w:p w14:paraId="6369B8C8" w14:textId="77777777" w:rsidR="00B5474F" w:rsidRPr="00B57B36" w:rsidRDefault="00B5474F" w:rsidP="009548AB">
            <w:pPr>
              <w:pStyle w:val="CETEquation"/>
              <w:ind w:left="8496" w:hanging="8496"/>
              <w:jc w:val="right"/>
            </w:pPr>
            <w:r w:rsidRPr="00B57B36">
              <w:t>(</w:t>
            </w:r>
            <w:r>
              <w:t>7</w:t>
            </w:r>
            <w:r w:rsidRPr="00B57B36">
              <w:t>)</w:t>
            </w:r>
          </w:p>
        </w:tc>
      </w:tr>
      <w:tr w:rsidR="00ED24CD" w:rsidRPr="00B57B36" w14:paraId="32DD3D91" w14:textId="77777777" w:rsidTr="009548AB">
        <w:tc>
          <w:tcPr>
            <w:tcW w:w="7981" w:type="dxa"/>
            <w:shd w:val="clear" w:color="auto" w:fill="auto"/>
            <w:vAlign w:val="center"/>
          </w:tcPr>
          <w:p w14:paraId="0423AA2B" w14:textId="223C8E89" w:rsidR="00ED24CD" w:rsidRPr="00ED24CD" w:rsidRDefault="00C90F2B" w:rsidP="00ED24CD">
            <w:pPr>
              <w:pStyle w:val="CETEquation"/>
              <w:rPr>
                <w:lang w:val="en-US"/>
              </w:rPr>
            </w:pPr>
            <m:oMathPara>
              <m:oMathParaPr>
                <m:jc m:val="left"/>
              </m:oMathParaPr>
              <m:oMath>
                <m:r>
                  <m:rPr>
                    <m:sty m:val="p"/>
                  </m:rPr>
                  <w:rPr>
                    <w:rFonts w:ascii="Cambria Math" w:hAnsi="Cambria Math"/>
                    <w:lang w:val="en-US"/>
                  </w:rPr>
                  <m:t xml:space="preserve">Process cost </m:t>
                </m:r>
                <m:sSub>
                  <m:sSubPr>
                    <m:ctrlPr>
                      <w:rPr>
                        <w:rFonts w:ascii="Cambria Math" w:hAnsi="Cambria Math"/>
                      </w:rPr>
                    </m:ctrlPr>
                  </m:sSubPr>
                  <m:e>
                    <m:r>
                      <m:rPr>
                        <m:sty m:val="p"/>
                      </m:rPr>
                      <w:rPr>
                        <w:rFonts w:ascii="Cambria Math" w:hAnsi="Cambria Math"/>
                        <w:lang w:val="en-US"/>
                      </w:rPr>
                      <m:t>%</m:t>
                    </m:r>
                  </m:e>
                  <m:sub>
                    <m:r>
                      <w:rPr>
                        <w:rFonts w:ascii="Cambria Math" w:hAnsi="Cambria Math"/>
                      </w:rPr>
                      <m:t>E</m:t>
                    </m:r>
                    <m:r>
                      <w:rPr>
                        <w:rFonts w:ascii="Cambria Math" w:hAnsi="Cambria Math"/>
                        <w:lang w:val="en-US"/>
                      </w:rPr>
                      <m:t>.</m:t>
                    </m:r>
                    <m:r>
                      <w:rPr>
                        <w:rFonts w:ascii="Cambria Math" w:hAnsi="Cambria Math"/>
                      </w:rPr>
                      <m:t>O</m:t>
                    </m:r>
                    <m:r>
                      <w:rPr>
                        <w:rFonts w:ascii="Cambria Math" w:hAnsi="Cambria Math"/>
                        <w:lang w:val="en-US"/>
                      </w:rPr>
                      <m:t>.</m:t>
                    </m:r>
                  </m:sub>
                </m:sSub>
                <m:r>
                  <w:rPr>
                    <w:rFonts w:ascii="Cambria Math" w:hAnsi="Cambria Math"/>
                    <w:lang w:val="en-US"/>
                  </w:rPr>
                  <m:t>=100⋅</m:t>
                </m:r>
                <m:f>
                  <m:fPr>
                    <m:ctrlPr>
                      <w:rPr>
                        <w:rFonts w:ascii="Cambria Math" w:hAnsi="Cambria Math"/>
                        <w:i/>
                      </w:rPr>
                    </m:ctrlPr>
                  </m:fPr>
                  <m:num>
                    <m:r>
                      <w:rPr>
                        <w:rFonts w:ascii="Cambria Math" w:hAnsi="Cambria Math"/>
                        <w:lang w:val="en-US"/>
                      </w:rPr>
                      <m:t xml:space="preserve">J </m:t>
                    </m:r>
                    <m:r>
                      <m:rPr>
                        <m:nor/>
                      </m:rPr>
                      <w:rPr>
                        <w:rFonts w:ascii="Cambria Math" w:hAnsi="Cambria Math"/>
                        <w:lang w:val="en-US"/>
                      </w:rPr>
                      <m:t>[Current solution]</m:t>
                    </m:r>
                  </m:num>
                  <m:den>
                    <m:r>
                      <m:rPr>
                        <m:nor/>
                      </m:rPr>
                      <w:rPr>
                        <w:rFonts w:ascii="Cambria Math" w:hAnsi="Cambria Math"/>
                        <w:lang w:val="en-US"/>
                      </w:rPr>
                      <m:t>EP</m:t>
                    </m:r>
                    <m:r>
                      <w:rPr>
                        <w:rFonts w:ascii="Cambria Math" w:hAnsi="Cambria Math"/>
                        <w:lang w:val="en-US"/>
                      </w:rPr>
                      <m:t>⋅∫</m:t>
                    </m:r>
                    <m:acc>
                      <m:accPr>
                        <m:chr m:val="̇"/>
                        <m:ctrlPr>
                          <w:rPr>
                            <w:rFonts w:ascii="Cambria Math" w:hAnsi="Cambria Math"/>
                            <w:i/>
                            <w:lang w:val="en-US"/>
                          </w:rPr>
                        </m:ctrlPr>
                      </m:accPr>
                      <m:e>
                        <m:r>
                          <w:rPr>
                            <w:rFonts w:ascii="Cambria Math" w:hAnsi="Cambria Math"/>
                            <w:lang w:val="en-US"/>
                          </w:rPr>
                          <m:t>E</m:t>
                        </m:r>
                      </m:e>
                    </m:acc>
                    <m:d>
                      <m:dPr>
                        <m:ctrlPr>
                          <w:rPr>
                            <w:rFonts w:ascii="Cambria Math" w:hAnsi="Cambria Math"/>
                            <w:i/>
                            <w:lang w:val="en-US"/>
                          </w:rPr>
                        </m:ctrlPr>
                      </m:dPr>
                      <m:e>
                        <m:r>
                          <w:rPr>
                            <w:rFonts w:ascii="Cambria Math" w:hAnsi="Cambria Math"/>
                            <w:lang w:val="en-US"/>
                          </w:rPr>
                          <m:t>t</m:t>
                        </m:r>
                      </m:e>
                    </m:d>
                    <m:r>
                      <m:rPr>
                        <m:sty m:val="p"/>
                      </m:rPr>
                      <w:rPr>
                        <w:rFonts w:ascii="Cambria Math" w:hAnsi="Cambria Math"/>
                        <w:lang w:val="en-US"/>
                      </w:rPr>
                      <m:t>d</m:t>
                    </m:r>
                    <m:r>
                      <w:rPr>
                        <w:rFonts w:ascii="Cambria Math" w:hAnsi="Cambria Math"/>
                        <w:lang w:val="en-US"/>
                      </w:rPr>
                      <m:t xml:space="preserve">t </m:t>
                    </m:r>
                    <m:r>
                      <m:rPr>
                        <m:nor/>
                      </m:rPr>
                      <w:rPr>
                        <w:rFonts w:ascii="Cambria Math" w:hAnsi="Cambria Math"/>
                        <w:lang w:val="en-US"/>
                      </w:rPr>
                      <m:t>[Energy optimal]</m:t>
                    </m:r>
                  </m:den>
                </m:f>
              </m:oMath>
            </m:oMathPara>
          </w:p>
        </w:tc>
        <w:tc>
          <w:tcPr>
            <w:tcW w:w="806" w:type="dxa"/>
            <w:shd w:val="clear" w:color="auto" w:fill="auto"/>
            <w:vAlign w:val="center"/>
          </w:tcPr>
          <w:p w14:paraId="6743E60C" w14:textId="11487D5D" w:rsidR="00ED24CD" w:rsidRPr="00B57B36" w:rsidRDefault="008D24B3" w:rsidP="009548AB">
            <w:pPr>
              <w:pStyle w:val="CETEquation"/>
              <w:ind w:left="8496" w:hanging="8496"/>
              <w:jc w:val="right"/>
            </w:pPr>
            <w:r>
              <w:t>(9)</w:t>
            </w:r>
          </w:p>
        </w:tc>
      </w:tr>
    </w:tbl>
    <w:p w14:paraId="5AA0DCB7" w14:textId="49447506" w:rsidR="00017C02" w:rsidRDefault="00CD7570" w:rsidP="008A076B">
      <w:pPr>
        <w:pStyle w:val="CETBodytext"/>
        <w:rPr>
          <w:noProof/>
        </w:rPr>
      </w:pPr>
      <w:r>
        <w:t xml:space="preserve">The sum of the grid and renewable energy </w:t>
      </w:r>
      <w:r w:rsidR="00AC30CE">
        <w:t xml:space="preserve">provision </w:t>
      </w:r>
      <w:r>
        <w:t xml:space="preserve">percentages can be larger or equal than 100 and denotes the total energy consumption of the </w:t>
      </w:r>
      <w:r w:rsidR="009D6762">
        <w:t>solution</w:t>
      </w:r>
      <w:r>
        <w:t xml:space="preserve"> </w:t>
      </w:r>
      <w:r w:rsidR="00AC30CE">
        <w:t>relative to</w:t>
      </w:r>
      <w:r>
        <w:t xml:space="preserve"> the energy optimal solution.</w:t>
      </w:r>
      <w:r w:rsidR="00E43AAD" w:rsidRPr="00E43AAD">
        <w:rPr>
          <w:noProof/>
        </w:rPr>
        <w:t xml:space="preserve"> </w:t>
      </w:r>
      <w:r w:rsidR="00ED24CD">
        <w:rPr>
          <w:noProof/>
        </w:rPr>
        <w:t xml:space="preserve">The </w:t>
      </w:r>
      <w:r w:rsidR="00C90F2B">
        <w:rPr>
          <w:noProof/>
        </w:rPr>
        <w:t>process</w:t>
      </w:r>
      <w:r w:rsidR="00ED24CD">
        <w:rPr>
          <w:noProof/>
        </w:rPr>
        <w:t xml:space="preserve"> cost is expressed relative to the energy optimal solution and to the grid energy price.</w:t>
      </w:r>
      <w:r w:rsidR="00F3597F">
        <w:rPr>
          <w:noProof/>
        </w:rPr>
        <w:t xml:space="preserve"> </w:t>
      </w:r>
      <w:r w:rsidR="00017C02">
        <w:rPr>
          <w:noProof/>
        </w:rPr>
        <w:t xml:space="preserve">Based on the ability of the renewable source to sustain the energy-optimal solution </w:t>
      </w:r>
      <w:r w:rsidR="00E97EBC">
        <w:rPr>
          <w:noProof/>
        </w:rPr>
        <w:t>in its entirety</w:t>
      </w:r>
      <w:r w:rsidR="00017C02">
        <w:rPr>
          <w:noProof/>
        </w:rPr>
        <w:t xml:space="preserve"> and the ability to recover the residual generation capacity, four cases are identified.</w:t>
      </w:r>
    </w:p>
    <w:p w14:paraId="630B9744" w14:textId="34D475EC" w:rsidR="00017C02" w:rsidRDefault="001E1D38" w:rsidP="00017C02">
      <w:pPr>
        <w:pStyle w:val="CETheadingx"/>
        <w:rPr>
          <w:noProof/>
        </w:rPr>
      </w:pPr>
      <w:r>
        <w:rPr>
          <w:noProof/>
        </w:rPr>
        <w:t>The r</w:t>
      </w:r>
      <w:r w:rsidR="00017C02">
        <w:rPr>
          <w:noProof/>
        </w:rPr>
        <w:t xml:space="preserve">enewable </w:t>
      </w:r>
      <w:r w:rsidR="00CA4589">
        <w:rPr>
          <w:noProof/>
        </w:rPr>
        <w:t>source</w:t>
      </w:r>
      <w:r w:rsidR="00017C02">
        <w:rPr>
          <w:noProof/>
        </w:rPr>
        <w:t xml:space="preserve"> </w:t>
      </w:r>
      <w:r>
        <w:rPr>
          <w:noProof/>
        </w:rPr>
        <w:t xml:space="preserve">is </w:t>
      </w:r>
      <w:r w:rsidR="00017C02">
        <w:rPr>
          <w:noProof/>
        </w:rPr>
        <w:t xml:space="preserve">sufficient to sustain the </w:t>
      </w:r>
      <w:r w:rsidR="00F57F39">
        <w:rPr>
          <w:noProof/>
        </w:rPr>
        <w:t>energy-optimal trajectory</w:t>
      </w:r>
      <w:r>
        <w:rPr>
          <w:noProof/>
        </w:rPr>
        <w:t xml:space="preserve"> entirely and it is possible</w:t>
      </w:r>
      <w:r w:rsidR="00F57F39">
        <w:rPr>
          <w:noProof/>
        </w:rPr>
        <w:t xml:space="preserve"> to recover </w:t>
      </w:r>
      <w:r w:rsidR="00CA4589">
        <w:rPr>
          <w:noProof/>
        </w:rPr>
        <w:t>the residual capacity</w:t>
      </w:r>
      <w:r w:rsidR="00F57F39">
        <w:rPr>
          <w:noProof/>
        </w:rPr>
        <w:t xml:space="preserve"> entirely</w:t>
      </w:r>
    </w:p>
    <w:p w14:paraId="182C48CE" w14:textId="29B46343" w:rsidR="00017C02" w:rsidRDefault="00017C02" w:rsidP="00017C02">
      <w:pPr>
        <w:pStyle w:val="CETBodytext"/>
      </w:pPr>
      <w:r>
        <w:t xml:space="preserve">As long as </w:t>
      </w:r>
      <m:oMath>
        <m:r>
          <m:rPr>
            <m:sty m:val="p"/>
          </m:rPr>
          <w:rPr>
            <w:rFonts w:ascii="Cambria Math" w:hAnsi="Cambria Math"/>
          </w:rPr>
          <m:t>RP</m:t>
        </m:r>
        <m:r>
          <w:rPr>
            <w:rFonts w:ascii="Cambria Math" w:hAnsi="Cambria Math"/>
          </w:rPr>
          <m:t>≤</m:t>
        </m:r>
        <m:r>
          <m:rPr>
            <m:sty m:val="p"/>
          </m:rPr>
          <w:rPr>
            <w:rFonts w:ascii="Cambria Math" w:hAnsi="Cambria Math"/>
          </w:rPr>
          <m:t>EP</m:t>
        </m:r>
      </m:oMath>
      <w:r>
        <w:t xml:space="preserve">, the flexible trajectory approach solution coincides with the energy-optimal </w:t>
      </w:r>
      <w:r w:rsidR="00F57F39">
        <w:t xml:space="preserve">one, because any variation in the power profile leads to an increased power consumption and therefore a reduction in </w:t>
      </w:r>
      <w:r w:rsidR="00287481">
        <w:t xml:space="preserve">the </w:t>
      </w:r>
      <w:r w:rsidR="00F57F39">
        <w:t>recoverable power</w:t>
      </w:r>
      <w:r w:rsidR="00CA4589">
        <w:t xml:space="preserve">. Multiple starting times are possible as long as the energy consumption profile of the process </w:t>
      </w:r>
      <w:r w:rsidR="00E97EBC">
        <w:t>remains</w:t>
      </w:r>
      <w:r w:rsidR="00CA4589">
        <w:t xml:space="preserve"> below the renewable generation curve.</w:t>
      </w:r>
      <w:r w:rsidR="00491AF3">
        <w:t xml:space="preserve"> </w:t>
      </w:r>
    </w:p>
    <w:p w14:paraId="3E163367" w14:textId="3D84315D" w:rsidR="00F57F39" w:rsidRDefault="001E1D38" w:rsidP="00F57F39">
      <w:pPr>
        <w:pStyle w:val="CETheadingx"/>
        <w:rPr>
          <w:noProof/>
        </w:rPr>
      </w:pPr>
      <w:r>
        <w:rPr>
          <w:noProof/>
        </w:rPr>
        <w:t>The r</w:t>
      </w:r>
      <w:r w:rsidR="00F57F39">
        <w:rPr>
          <w:noProof/>
        </w:rPr>
        <w:t xml:space="preserve">enewable source </w:t>
      </w:r>
      <w:r>
        <w:rPr>
          <w:noProof/>
        </w:rPr>
        <w:t xml:space="preserve">is </w:t>
      </w:r>
      <w:r w:rsidR="00F57F39">
        <w:rPr>
          <w:noProof/>
        </w:rPr>
        <w:t xml:space="preserve">sufficient to sustain the energy-optimal trajectory </w:t>
      </w:r>
      <w:r>
        <w:rPr>
          <w:noProof/>
        </w:rPr>
        <w:t xml:space="preserve">entirely </w:t>
      </w:r>
      <w:r w:rsidR="00F57F39">
        <w:rPr>
          <w:noProof/>
        </w:rPr>
        <w:t xml:space="preserve">and </w:t>
      </w:r>
      <w:r>
        <w:rPr>
          <w:noProof/>
        </w:rPr>
        <w:t>it is not possible</w:t>
      </w:r>
      <w:r w:rsidR="00F57F39">
        <w:rPr>
          <w:noProof/>
        </w:rPr>
        <w:t xml:space="preserve"> to recover the residual capacity entirely</w:t>
      </w:r>
    </w:p>
    <w:p w14:paraId="609936A4" w14:textId="0A9F3A7F" w:rsidR="00F3597F" w:rsidRDefault="00F57F39" w:rsidP="00F3597F">
      <w:pPr>
        <w:pStyle w:val="CETBodytext"/>
      </w:pPr>
      <w:r>
        <w:t>In this scenario, the renewable generation is sufficient to sustain the process entirely, and</w:t>
      </w:r>
      <w:r w:rsidR="001F1DBA">
        <w:t xml:space="preserve"> the residual capacity is </w:t>
      </w:r>
      <w:r>
        <w:t xml:space="preserve">more than can be recovered. Slight advantages could </w:t>
      </w:r>
      <w:r w:rsidR="001F1DBA">
        <w:t xml:space="preserve">still </w:t>
      </w:r>
      <w:r>
        <w:t>be achieved, in theory, if the recovered capacity could be increased</w:t>
      </w:r>
      <w:r w:rsidR="001F1DBA">
        <w:t xml:space="preserve">: </w:t>
      </w:r>
      <w:r>
        <w:t>that is, if the</w:t>
      </w:r>
      <w:r w:rsidR="001F1DBA">
        <w:t>re are points in time where the</w:t>
      </w:r>
      <w:r>
        <w:t xml:space="preserve"> residual capacity after the process is</w:t>
      </w:r>
      <w:r w:rsidR="001F1DBA">
        <w:t xml:space="preserve"> less than the recovery capacity (</w:t>
      </w:r>
      <m:oMath>
        <m:r>
          <w:rPr>
            <w:rFonts w:ascii="Cambria Math" w:hAnsi="Cambria Math"/>
          </w:rPr>
          <m:t>0&lt;</m:t>
        </m:r>
        <m:acc>
          <m:accPr>
            <m:chr m:val="̇"/>
            <m:ctrlPr>
              <w:rPr>
                <w:rFonts w:ascii="Cambria Math" w:hAnsi="Cambria Math"/>
                <w:i/>
              </w:rPr>
            </m:ctrlPr>
          </m:accPr>
          <m:e>
            <m:r>
              <w:rPr>
                <w:rFonts w:ascii="Cambria Math" w:hAnsi="Cambria Math"/>
              </w:rPr>
              <m:t>S</m:t>
            </m:r>
          </m:e>
        </m:acc>
        <m:d>
          <m:dPr>
            <m:ctrlPr>
              <w:rPr>
                <w:rFonts w:ascii="Cambria Math" w:hAnsi="Cambria Math"/>
                <w:i/>
              </w:rPr>
            </m:ctrlPr>
          </m:dPr>
          <m:e>
            <m:r>
              <w:rPr>
                <w:rFonts w:ascii="Cambria Math" w:hAnsi="Cambria Math"/>
              </w:rPr>
              <m:t>τ</m:t>
            </m:r>
          </m:e>
        </m:d>
        <m:r>
          <w:rPr>
            <w:rFonts w:ascii="Cambria Math" w:hAnsi="Cambria Math"/>
          </w:rPr>
          <m:t>&lt;</m:t>
        </m:r>
        <m:acc>
          <m:accPr>
            <m:chr m:val="̇"/>
            <m:ctrlPr>
              <w:rPr>
                <w:rFonts w:ascii="Cambria Math" w:hAnsi="Cambria Math"/>
                <w:i/>
              </w:rPr>
            </m:ctrlPr>
          </m:accPr>
          <m:e>
            <m:r>
              <w:rPr>
                <w:rFonts w:ascii="Cambria Math" w:hAnsi="Cambria Math"/>
              </w:rPr>
              <m:t>L</m:t>
            </m:r>
          </m:e>
        </m:acc>
      </m:oMath>
      <w:r w:rsidR="001F1DBA">
        <w:t xml:space="preserve">, for some </w:t>
      </w:r>
      <m:oMath>
        <m:r>
          <w:rPr>
            <w:rFonts w:ascii="Cambria Math" w:hAnsi="Cambria Math"/>
          </w:rPr>
          <m:t>τ</m:t>
        </m:r>
      </m:oMath>
      <w:r w:rsidR="001F1DBA">
        <w:t xml:space="preserve"> in the process time window). In such cases,</w:t>
      </w:r>
      <w:r>
        <w:t xml:space="preserve"> the profit of the process could be increased by means of the flexible trajectory approach. In practice, however, the improvement was found to be marginal</w:t>
      </w:r>
      <w:r w:rsidR="00491AF3">
        <w:t xml:space="preserve"> in all</w:t>
      </w:r>
      <w:r w:rsidR="00F90A4E">
        <w:t xml:space="preserve"> the</w:t>
      </w:r>
      <w:r w:rsidR="00491AF3">
        <w:t xml:space="preserve"> considered</w:t>
      </w:r>
      <w:r w:rsidR="00F90A4E">
        <w:t xml:space="preserve"> cases</w:t>
      </w:r>
      <w:r w:rsidR="00491AF3">
        <w:t xml:space="preserve"> (</w:t>
      </w:r>
      <m:oMath>
        <m:d>
          <m:dPr>
            <m:begChr m:val="|"/>
            <m:endChr m:val="|"/>
            <m:ctrlPr>
              <w:rPr>
                <w:rFonts w:ascii="Cambria Math" w:hAnsi="Cambria Math"/>
                <w:i/>
              </w:rPr>
            </m:ctrlPr>
          </m:dPr>
          <m:e>
            <m:r>
              <m:rPr>
                <m:sty m:val="p"/>
              </m:rPr>
              <w:rPr>
                <w:rFonts w:ascii="Cambria Math" w:hAnsi="Cambria Math"/>
              </w:rPr>
              <m:t xml:space="preserve">ΔEnergy cost </m:t>
            </m:r>
            <m:sSub>
              <m:sSubPr>
                <m:ctrlPr>
                  <w:rPr>
                    <w:rFonts w:ascii="Cambria Math" w:hAnsi="Cambria Math"/>
                  </w:rPr>
                </m:ctrlPr>
              </m:sSubPr>
              <m:e>
                <m:r>
                  <m:rPr>
                    <m:sty m:val="p"/>
                  </m:rPr>
                  <w:rPr>
                    <w:rFonts w:ascii="Cambria Math" w:hAnsi="Cambria Math"/>
                  </w:rPr>
                  <m:t>%</m:t>
                </m:r>
              </m:e>
              <m:sub>
                <m:r>
                  <w:rPr>
                    <w:rFonts w:ascii="Cambria Math" w:hAnsi="Cambria Math"/>
                  </w:rPr>
                  <m:t>E.O.</m:t>
                </m:r>
              </m:sub>
            </m:sSub>
          </m:e>
        </m:d>
        <m:r>
          <w:rPr>
            <w:rFonts w:ascii="Cambria Math" w:hAnsi="Cambria Math"/>
          </w:rPr>
          <m:t>&lt;1%</m:t>
        </m:r>
      </m:oMath>
      <w:r w:rsidR="00491AF3">
        <w:t>)</w:t>
      </w:r>
      <w:r>
        <w:t>.</w:t>
      </w:r>
    </w:p>
    <w:p w14:paraId="77076366" w14:textId="563C4112" w:rsidR="00CA4589" w:rsidRDefault="001E1D38" w:rsidP="00F3597F">
      <w:pPr>
        <w:pStyle w:val="CETheadingx"/>
      </w:pPr>
      <w:r>
        <w:t>The r</w:t>
      </w:r>
      <w:r w:rsidR="00CA4589">
        <w:t>enewable source</w:t>
      </w:r>
      <w:r>
        <w:t xml:space="preserve"> is</w:t>
      </w:r>
      <w:r w:rsidR="00CA4589">
        <w:t xml:space="preserve"> insufficient to sustain the</w:t>
      </w:r>
      <w:r w:rsidR="00F57F39">
        <w:t xml:space="preserve"> energy-optimal trajectory </w:t>
      </w:r>
      <w:r>
        <w:rPr>
          <w:noProof/>
        </w:rPr>
        <w:t xml:space="preserve">entirely </w:t>
      </w:r>
      <w:r w:rsidR="00F57F39">
        <w:t xml:space="preserve">and </w:t>
      </w:r>
      <w:r>
        <w:t>it is possible</w:t>
      </w:r>
      <w:r w:rsidR="00F57F39">
        <w:t xml:space="preserve"> to recover </w:t>
      </w:r>
      <w:r w:rsidR="00CA4589">
        <w:t xml:space="preserve">the residual </w:t>
      </w:r>
      <w:r w:rsidR="00CA4589">
        <w:rPr>
          <w:noProof/>
        </w:rPr>
        <w:t>capacity</w:t>
      </w:r>
      <w:r w:rsidR="00F57F39">
        <w:rPr>
          <w:noProof/>
        </w:rPr>
        <w:t xml:space="preserve"> entirely</w:t>
      </w:r>
    </w:p>
    <w:p w14:paraId="2D458600" w14:textId="77777777" w:rsidR="007D685A" w:rsidRDefault="004C4965" w:rsidP="00E22D31">
      <w:pPr>
        <w:pStyle w:val="CETBodytext"/>
      </w:pPr>
      <w:r>
        <w:t>If the energy-optimal</w:t>
      </w:r>
      <w:r w:rsidR="00594E9A">
        <w:t xml:space="preserve"> power</w:t>
      </w:r>
      <w:r>
        <w:t xml:space="preserve"> trajectory cannot be </w:t>
      </w:r>
      <w:r w:rsidR="00594E9A">
        <w:t>supplied</w:t>
      </w:r>
      <w:r>
        <w:t xml:space="preserve"> by the renewable source</w:t>
      </w:r>
      <w:r w:rsidR="00594E9A">
        <w:t xml:space="preserve"> entirely</w:t>
      </w:r>
      <w:r>
        <w:t xml:space="preserve">, </w:t>
      </w:r>
      <w:r w:rsidR="00CA4589">
        <w:t xml:space="preserve">it may be more profitable to operate the process </w:t>
      </w:r>
      <w:r w:rsidR="00C53803">
        <w:t xml:space="preserve">less </w:t>
      </w:r>
      <w:r w:rsidR="00CA4589">
        <w:t>efficiently (with a higher energy consumption</w:t>
      </w:r>
      <w:r w:rsidR="00E97EBC">
        <w:t xml:space="preserve"> than the energy-optimal</w:t>
      </w:r>
      <w:r w:rsidR="00C90F2B">
        <w:t xml:space="preserve"> and at the expense of a reduced recovered capacity</w:t>
      </w:r>
      <w:r w:rsidR="00CA4589">
        <w:t>), such that the consum</w:t>
      </w:r>
      <w:r w:rsidR="00F3597F">
        <w:t>ption of grid power is reduced.</w:t>
      </w:r>
      <w:r w:rsidR="00F90A4E">
        <w:t xml:space="preserve"> </w:t>
      </w:r>
    </w:p>
    <w:p w14:paraId="09EDA641" w14:textId="356527E8" w:rsidR="00E22D31" w:rsidRDefault="007D685A" w:rsidP="00E22D31">
      <w:pPr>
        <w:pStyle w:val="CETBodytext"/>
      </w:pPr>
      <w:r>
        <w:rPr>
          <w:noProof/>
        </w:rPr>
        <w:lastRenderedPageBreak/>
        <mc:AlternateContent>
          <mc:Choice Requires="wps">
            <w:drawing>
              <wp:anchor distT="0" distB="0" distL="114300" distR="114300" simplePos="0" relativeHeight="251686912" behindDoc="0" locked="0" layoutInCell="1" allowOverlap="1" wp14:anchorId="0313553B" wp14:editId="6804BA50">
                <wp:simplePos x="0" y="0"/>
                <wp:positionH relativeFrom="margin">
                  <wp:posOffset>-2540</wp:posOffset>
                </wp:positionH>
                <wp:positionV relativeFrom="margin">
                  <wp:posOffset>139065</wp:posOffset>
                </wp:positionV>
                <wp:extent cx="2194560" cy="3718560"/>
                <wp:effectExtent l="0" t="0" r="0" b="0"/>
                <wp:wrapSquare wrapText="largest"/>
                <wp:docPr id="16" name="Text Box 16"/>
                <wp:cNvGraphicFramePr/>
                <a:graphic xmlns:a="http://schemas.openxmlformats.org/drawingml/2006/main">
                  <a:graphicData uri="http://schemas.microsoft.com/office/word/2010/wordprocessingShape">
                    <wps:wsp>
                      <wps:cNvSpPr txBox="1"/>
                      <wps:spPr>
                        <a:xfrm>
                          <a:off x="0" y="0"/>
                          <a:ext cx="2194560" cy="3718560"/>
                        </a:xfrm>
                        <a:prstGeom prst="rect">
                          <a:avLst/>
                        </a:prstGeom>
                        <a:solidFill>
                          <a:schemeClr val="lt1"/>
                        </a:solidFill>
                        <a:ln w="6350">
                          <a:noFill/>
                        </a:ln>
                      </wps:spPr>
                      <wps:txbx>
                        <w:txbxContent>
                          <w:p w14:paraId="5E46F164" w14:textId="5597BD8F" w:rsidR="00287481" w:rsidRPr="007341A7" w:rsidRDefault="00287481" w:rsidP="001E1D38">
                            <w:pPr>
                              <w:rPr>
                                <w:noProof/>
                              </w:rPr>
                            </w:pPr>
                            <w:r>
                              <w:rPr>
                                <w:noProof/>
                                <w:lang w:val="en-US"/>
                              </w:rPr>
                              <w:drawing>
                                <wp:inline distT="0" distB="0" distL="0" distR="0" wp14:anchorId="4BA82DE1" wp14:editId="0DF4DE25">
                                  <wp:extent cx="2041200" cy="2721600"/>
                                  <wp:effectExtent l="0" t="0" r="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1026" descr="C:\Users\smfitama\Documents\GitHub\wuppi4\visualization\E2DT\solar_with_recovery_new\E2DT_Figure2.png"/>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41200" cy="2721600"/>
                                          </a:xfrm>
                                          <a:prstGeom prst="rect">
                                            <a:avLst/>
                                          </a:prstGeom>
                                          <a:noFill/>
                                          <a:ln>
                                            <a:noFill/>
                                          </a:ln>
                                        </pic:spPr>
                                      </pic:pic>
                                    </a:graphicData>
                                  </a:graphic>
                                </wp:inline>
                              </w:drawing>
                            </w:r>
                            <w:r>
                              <w:rPr>
                                <w:rStyle w:val="CETCaptionCarattere"/>
                              </w:rPr>
                              <w:t>Figure 2: C</w:t>
                            </w:r>
                            <w:r w:rsidRPr="00843674">
                              <w:rPr>
                                <w:rStyle w:val="CETCaptionCarattere"/>
                              </w:rPr>
                              <w:t>omparison of the power profile resulting from the fixed trajectory approach and the one resulting from the flexible trajectory approach</w:t>
                            </w:r>
                            <w:r>
                              <w:rPr>
                                <w:rStyle w:val="CETCaptionCarattere"/>
                              </w:rPr>
                              <w:t xml:space="preserve"> for the scenario described in 4.4</w:t>
                            </w:r>
                            <w:r w:rsidRPr="00843674">
                              <w:rPr>
                                <w:rStyle w:val="CETCaptionCarattere"/>
                              </w:rPr>
                              <w:t xml:space="preserve">, with </w:t>
                            </w:r>
                            <m:oMath>
                              <m:r>
                                <m:rPr>
                                  <m:sty m:val="p"/>
                                </m:rPr>
                                <w:rPr>
                                  <w:rStyle w:val="CETCaptionCarattere"/>
                                  <w:rFonts w:ascii="Cambria Math" w:hAnsi="Cambria Math"/>
                                </w:rPr>
                                <m:t>A=5, b=0.0,</m:t>
                              </m:r>
                              <m:acc>
                                <m:accPr>
                                  <m:chr m:val="̇"/>
                                  <m:ctrlPr>
                                    <w:rPr>
                                      <w:rStyle w:val="CETCaptionCarattere"/>
                                      <w:rFonts w:ascii="Cambria Math" w:hAnsi="Cambria Math"/>
                                      <w:i w:val="0"/>
                                    </w:rPr>
                                  </m:ctrlPr>
                                </m:accPr>
                                <m:e>
                                  <m:r>
                                    <m:rPr>
                                      <m:sty m:val="p"/>
                                    </m:rPr>
                                    <w:rPr>
                                      <w:rStyle w:val="CETCaptionCarattere"/>
                                      <w:rFonts w:ascii="Cambria Math" w:hAnsi="Cambria Math"/>
                                    </w:rPr>
                                    <m:t>L</m:t>
                                  </m:r>
                                </m:e>
                              </m:acc>
                              <m:r>
                                <m:rPr>
                                  <m:sty m:val="p"/>
                                </m:rPr>
                                <w:rPr>
                                  <w:rStyle w:val="CETCaptionCarattere"/>
                                  <w:rFonts w:ascii="Cambria Math" w:hAnsi="Cambria Math"/>
                                </w:rPr>
                                <m:t>=1</m:t>
                              </m:r>
                            </m:oMath>
                            <w:r w:rsidRPr="00843674">
                              <w:rPr>
                                <w:rStyle w:val="CETCaptionCarattere"/>
                              </w:rPr>
                              <w:t xml:space="preserve"> and </w:t>
                            </w:r>
                            <m:oMath>
                              <m:r>
                                <m:rPr>
                                  <m:sty m:val="p"/>
                                </m:rPr>
                                <w:rPr>
                                  <w:rStyle w:val="CETCaptionCarattere"/>
                                  <w:rFonts w:ascii="Cambria Math" w:hAnsi="Cambria Math"/>
                                </w:rPr>
                                <m:t>RP/EP=0.3</m:t>
                              </m:r>
                            </m:oMath>
                            <w:r w:rsidRPr="00843674">
                              <w:rPr>
                                <w:rStyle w:val="CETCaptionCarattere"/>
                              </w:rPr>
                              <w:t>.</w:t>
                            </w:r>
                          </w:p>
                          <w:p w14:paraId="62A76A5C" w14:textId="77777777" w:rsidR="00287481" w:rsidRPr="00843674" w:rsidRDefault="00287481" w:rsidP="001E1D38">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3553B" id="Text Box 16" o:spid="_x0000_s1027" type="#_x0000_t202" style="position:absolute;left:0;text-align:left;margin-left:-.2pt;margin-top:10.95pt;width:172.8pt;height:292.8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" fillcolor="white [3201]" stroked="f" strokeweight=".5pt">
                <v:textbox>
                  <w:txbxContent>
                    <w:p w14:paraId="5E46F164" w14:textId="5597BD8F" w:rsidR="00287481" w:rsidRPr="007341A7" w:rsidRDefault="00287481" w:rsidP="001E1D38">
                      <w:pPr>
                        <w:rPr>
                          <w:noProof/>
                        </w:rPr>
                      </w:pPr>
                      <w:r>
                        <w:rPr>
                          <w:noProof/>
                          <w:lang w:val="en-US"/>
                        </w:rPr>
                        <w:drawing>
                          <wp:inline distT="0" distB="0" distL="0" distR="0" wp14:anchorId="4BA82DE1" wp14:editId="0DF4DE25">
                            <wp:extent cx="2041200" cy="2721600"/>
                            <wp:effectExtent l="0" t="0" r="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1026" descr="C:\Users\smfitama\Documents\GitHub\wuppi4\visualization\E2DT\solar_with_recovery_new\E2DT_Figure2.png"/>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41200" cy="2721600"/>
                                    </a:xfrm>
                                    <a:prstGeom prst="rect">
                                      <a:avLst/>
                                    </a:prstGeom>
                                    <a:noFill/>
                                    <a:ln>
                                      <a:noFill/>
                                    </a:ln>
                                  </pic:spPr>
                                </pic:pic>
                              </a:graphicData>
                            </a:graphic>
                          </wp:inline>
                        </w:drawing>
                      </w:r>
                      <w:r>
                        <w:rPr>
                          <w:rStyle w:val="CETCaptionCarattere"/>
                        </w:rPr>
                        <w:t>Figure 2: C</w:t>
                      </w:r>
                      <w:r w:rsidRPr="00843674">
                        <w:rPr>
                          <w:rStyle w:val="CETCaptionCarattere"/>
                        </w:rPr>
                        <w:t>omparison of the power profile resulting from the fixed trajectory approach and the one resulting from the flexible trajectory approach</w:t>
                      </w:r>
                      <w:r>
                        <w:rPr>
                          <w:rStyle w:val="CETCaptionCarattere"/>
                        </w:rPr>
                        <w:t xml:space="preserve"> for the scenario described in 4.4</w:t>
                      </w:r>
                      <w:r w:rsidRPr="00843674">
                        <w:rPr>
                          <w:rStyle w:val="CETCaptionCarattere"/>
                        </w:rPr>
                        <w:t xml:space="preserve">, with </w:t>
                      </w:r>
                      <m:oMath>
                        <m:r>
                          <m:rPr>
                            <m:sty m:val="p"/>
                          </m:rPr>
                          <w:rPr>
                            <w:rStyle w:val="CETCaptionCarattere"/>
                            <w:rFonts w:ascii="Cambria Math" w:hAnsi="Cambria Math"/>
                          </w:rPr>
                          <m:t>A=5, b=0.0,</m:t>
                        </m:r>
                        <m:acc>
                          <m:accPr>
                            <m:chr m:val="̇"/>
                            <m:ctrlPr>
                              <w:rPr>
                                <w:rStyle w:val="CETCaptionCarattere"/>
                                <w:rFonts w:ascii="Cambria Math" w:hAnsi="Cambria Math"/>
                                <w:i w:val="0"/>
                              </w:rPr>
                            </m:ctrlPr>
                          </m:accPr>
                          <m:e>
                            <m:r>
                              <m:rPr>
                                <m:sty m:val="p"/>
                              </m:rPr>
                              <w:rPr>
                                <w:rStyle w:val="CETCaptionCarattere"/>
                                <w:rFonts w:ascii="Cambria Math" w:hAnsi="Cambria Math"/>
                              </w:rPr>
                              <m:t>L</m:t>
                            </m:r>
                          </m:e>
                        </m:acc>
                        <m:r>
                          <m:rPr>
                            <m:sty m:val="p"/>
                          </m:rPr>
                          <w:rPr>
                            <w:rStyle w:val="CETCaptionCarattere"/>
                            <w:rFonts w:ascii="Cambria Math" w:hAnsi="Cambria Math"/>
                          </w:rPr>
                          <m:t>=1</m:t>
                        </m:r>
                      </m:oMath>
                      <w:r w:rsidRPr="00843674">
                        <w:rPr>
                          <w:rStyle w:val="CETCaptionCarattere"/>
                        </w:rPr>
                        <w:t xml:space="preserve"> and </w:t>
                      </w:r>
                      <m:oMath>
                        <m:r>
                          <m:rPr>
                            <m:sty m:val="p"/>
                          </m:rPr>
                          <w:rPr>
                            <w:rStyle w:val="CETCaptionCarattere"/>
                            <w:rFonts w:ascii="Cambria Math" w:hAnsi="Cambria Math"/>
                          </w:rPr>
                          <m:t>RP/EP=0.3</m:t>
                        </m:r>
                      </m:oMath>
                      <w:r w:rsidRPr="00843674">
                        <w:rPr>
                          <w:rStyle w:val="CETCaptionCarattere"/>
                        </w:rPr>
                        <w:t>.</w:t>
                      </w:r>
                    </w:p>
                    <w:p w14:paraId="62A76A5C" w14:textId="77777777" w:rsidR="00287481" w:rsidRPr="00843674" w:rsidRDefault="00287481" w:rsidP="001E1D38">
                      <w:pPr>
                        <w:rPr>
                          <w:lang w:val="en-US"/>
                        </w:rPr>
                      </w:pPr>
                    </w:p>
                  </w:txbxContent>
                </v:textbox>
                <w10:wrap type="square" side="largest" anchorx="margin" anchory="margin"/>
              </v:shape>
            </w:pict>
          </mc:Fallback>
        </mc:AlternateContent>
      </w:r>
      <w:r w:rsidR="00C53803">
        <w:t xml:space="preserve">The extent of the tradeoff is determined by the ratio </w:t>
      </w:r>
      <m:oMath>
        <m:r>
          <m:rPr>
            <m:sty m:val="p"/>
          </m:rPr>
          <w:rPr>
            <w:rFonts w:ascii="Cambria Math" w:hAnsi="Cambria Math"/>
          </w:rPr>
          <m:t>RP/EP</m:t>
        </m:r>
      </m:oMath>
      <w:r w:rsidR="00C53803">
        <w:t xml:space="preserve">. In practice, however, only for very low values of </w:t>
      </w:r>
      <m:oMath>
        <m:r>
          <m:rPr>
            <m:sty m:val="p"/>
          </m:rPr>
          <w:rPr>
            <w:rFonts w:ascii="Cambria Math" w:hAnsi="Cambria Math"/>
          </w:rPr>
          <m:t>RP/EP</m:t>
        </m:r>
      </m:oMath>
      <w:r w:rsidR="00502026">
        <w:t xml:space="preserve"> </w:t>
      </w:r>
      <w:r w:rsidR="00C53803">
        <w:t xml:space="preserve">the flexible trajectory solution was found to improve the profit, as summarized in Table 1, for </w:t>
      </w:r>
      <m:oMath>
        <m:r>
          <w:rPr>
            <w:rFonts w:ascii="Cambria Math" w:hAnsi="Cambria Math"/>
          </w:rPr>
          <m:t>A=5, b=0.4</m:t>
        </m:r>
      </m:oMath>
      <w:r w:rsidR="00C53803">
        <w:t xml:space="preserve"> and </w:t>
      </w:r>
      <m:oMath>
        <m:acc>
          <m:accPr>
            <m:chr m:val="̇"/>
            <m:ctrlPr>
              <w:rPr>
                <w:rFonts w:ascii="Cambria Math" w:hAnsi="Cambria Math"/>
                <w:i/>
              </w:rPr>
            </m:ctrlPr>
          </m:accPr>
          <m:e>
            <m:r>
              <w:rPr>
                <w:rFonts w:ascii="Cambria Math" w:hAnsi="Cambria Math"/>
              </w:rPr>
              <m:t>L</m:t>
            </m:r>
          </m:e>
        </m:acc>
        <m:r>
          <w:rPr>
            <w:rFonts w:ascii="Cambria Math" w:hAnsi="Cambria Math"/>
          </w:rPr>
          <m:t>=5</m:t>
        </m:r>
      </m:oMath>
      <w:r w:rsidR="00C53803">
        <w:t>.</w:t>
      </w:r>
    </w:p>
    <w:p w14:paraId="3AC447E9" w14:textId="79350272" w:rsidR="00FF32FA" w:rsidRDefault="00FF32FA" w:rsidP="00FF32FA">
      <w:pPr>
        <w:pStyle w:val="CETTabletitle"/>
      </w:pPr>
      <w:r>
        <w:t xml:space="preserve">Table 1: Comparison of the optimal </w:t>
      </w:r>
      <w:r w:rsidR="00C90F2B">
        <w:t>process</w:t>
      </w:r>
      <w:r>
        <w:t xml:space="preserve"> cost percentage for the fixed and the flexible trajectory approaches for different values of the </w:t>
      </w:r>
      <w:r w:rsidR="00C90F2B">
        <w:t>recovery price for the scenario described in 4.3.</w:t>
      </w:r>
    </w:p>
    <w:tbl>
      <w:tblPr>
        <w:tblW w:w="0" w:type="auto"/>
        <w:tblLayout w:type="fixed"/>
        <w:tblLook w:val="04A0" w:firstRow="1" w:lastRow="0" w:firstColumn="1" w:lastColumn="0" w:noHBand="0" w:noVBand="1"/>
      </w:tblPr>
      <w:tblGrid>
        <w:gridCol w:w="810"/>
        <w:gridCol w:w="1800"/>
        <w:gridCol w:w="1800"/>
        <w:gridCol w:w="718"/>
      </w:tblGrid>
      <w:tr w:rsidR="007E0967" w:rsidRPr="007E0967" w14:paraId="28678F8B" w14:textId="77777777" w:rsidTr="00104EE0">
        <w:trPr>
          <w:trHeight w:val="20"/>
        </w:trPr>
        <w:tc>
          <w:tcPr>
            <w:tcW w:w="810" w:type="dxa"/>
            <w:tcBorders>
              <w:top w:val="single" w:sz="12" w:space="0" w:color="008000"/>
              <w:left w:val="nil"/>
              <w:bottom w:val="single" w:sz="6" w:space="0" w:color="008000"/>
              <w:right w:val="nil"/>
            </w:tcBorders>
            <w:shd w:val="clear" w:color="auto" w:fill="auto"/>
            <w:noWrap/>
            <w:vAlign w:val="bottom"/>
            <w:hideMark/>
          </w:tcPr>
          <w:p w14:paraId="77FDA0AF" w14:textId="2EEE0942" w:rsidR="007E0967" w:rsidRPr="00FF32FA" w:rsidRDefault="00FF32FA" w:rsidP="00FF32FA">
            <w:pPr>
              <w:pStyle w:val="CETBodytext"/>
              <w:jc w:val="left"/>
            </w:pPr>
            <m:oMathPara>
              <m:oMathParaPr>
                <m:jc m:val="left"/>
              </m:oMathParaPr>
              <m:oMath>
                <m:r>
                  <m:rPr>
                    <m:sty m:val="p"/>
                  </m:rPr>
                  <w:rPr>
                    <w:rFonts w:ascii="Cambria Math" w:hAnsi="Cambria Math"/>
                  </w:rPr>
                  <m:t>RP/EP</m:t>
                </m:r>
              </m:oMath>
            </m:oMathPara>
          </w:p>
        </w:tc>
        <w:tc>
          <w:tcPr>
            <w:tcW w:w="1800" w:type="dxa"/>
            <w:tcBorders>
              <w:top w:val="single" w:sz="12" w:space="0" w:color="008000"/>
              <w:left w:val="nil"/>
              <w:bottom w:val="single" w:sz="6" w:space="0" w:color="008000"/>
              <w:right w:val="nil"/>
            </w:tcBorders>
            <w:shd w:val="clear" w:color="auto" w:fill="auto"/>
            <w:noWrap/>
            <w:vAlign w:val="bottom"/>
            <w:hideMark/>
          </w:tcPr>
          <w:p w14:paraId="580A538F" w14:textId="32BCF40D" w:rsidR="007E0967" w:rsidRPr="00FF32FA" w:rsidRDefault="00C90F2B" w:rsidP="00FF32FA">
            <w:pPr>
              <w:pStyle w:val="CETBodytext"/>
              <w:jc w:val="left"/>
            </w:pPr>
            <m:oMath>
              <m:r>
                <m:rPr>
                  <m:sty m:val="p"/>
                </m:rPr>
                <w:rPr>
                  <w:rFonts w:ascii="Cambria Math" w:hAnsi="Cambria Math"/>
                </w:rPr>
                <m:t xml:space="preserve">Process cost </m:t>
              </m:r>
              <m:sSub>
                <m:sSubPr>
                  <m:ctrlPr>
                    <w:rPr>
                      <w:rFonts w:ascii="Cambria Math" w:hAnsi="Cambria Math"/>
                    </w:rPr>
                  </m:ctrlPr>
                </m:sSubPr>
                <m:e>
                  <m:r>
                    <m:rPr>
                      <m:sty m:val="p"/>
                    </m:rPr>
                    <w:rPr>
                      <w:rFonts w:ascii="Cambria Math" w:hAnsi="Cambria Math"/>
                    </w:rPr>
                    <m:t>%</m:t>
                  </m:r>
                </m:e>
                <m:sub>
                  <m:r>
                    <w:rPr>
                      <w:rFonts w:ascii="Cambria Math" w:hAnsi="Cambria Math"/>
                    </w:rPr>
                    <m:t>E.O.</m:t>
                  </m:r>
                </m:sub>
              </m:sSub>
            </m:oMath>
            <w:r w:rsidR="00FF32FA" w:rsidRPr="00FF32FA">
              <w:t xml:space="preserve"> (fixed trajectory)</w:t>
            </w:r>
          </w:p>
        </w:tc>
        <w:tc>
          <w:tcPr>
            <w:tcW w:w="1800" w:type="dxa"/>
            <w:tcBorders>
              <w:top w:val="single" w:sz="12" w:space="0" w:color="008000"/>
              <w:left w:val="nil"/>
              <w:bottom w:val="single" w:sz="6" w:space="0" w:color="008000"/>
              <w:right w:val="nil"/>
            </w:tcBorders>
            <w:shd w:val="clear" w:color="auto" w:fill="auto"/>
            <w:noWrap/>
            <w:vAlign w:val="bottom"/>
            <w:hideMark/>
          </w:tcPr>
          <w:p w14:paraId="1F34717D" w14:textId="20C990CE" w:rsidR="007E0967" w:rsidRPr="00FF32FA" w:rsidRDefault="00C90F2B" w:rsidP="00FF32FA">
            <w:pPr>
              <w:pStyle w:val="CETBodytext"/>
              <w:jc w:val="left"/>
            </w:pPr>
            <m:oMath>
              <m:r>
                <m:rPr>
                  <m:sty m:val="p"/>
                </m:rPr>
                <w:rPr>
                  <w:rFonts w:ascii="Cambria Math" w:hAnsi="Cambria Math"/>
                </w:rPr>
                <m:t xml:space="preserve">Process cost </m:t>
              </m:r>
              <m:sSub>
                <m:sSubPr>
                  <m:ctrlPr>
                    <w:rPr>
                      <w:rFonts w:ascii="Cambria Math" w:hAnsi="Cambria Math"/>
                    </w:rPr>
                  </m:ctrlPr>
                </m:sSubPr>
                <m:e>
                  <m:r>
                    <m:rPr>
                      <m:sty m:val="p"/>
                    </m:rPr>
                    <w:rPr>
                      <w:rFonts w:ascii="Cambria Math" w:hAnsi="Cambria Math"/>
                    </w:rPr>
                    <m:t>%</m:t>
                  </m:r>
                </m:e>
                <m:sub>
                  <m:r>
                    <w:rPr>
                      <w:rFonts w:ascii="Cambria Math" w:hAnsi="Cambria Math"/>
                    </w:rPr>
                    <m:t>E.O.</m:t>
                  </m:r>
                </m:sub>
              </m:sSub>
            </m:oMath>
            <w:r w:rsidR="00597569">
              <w:t xml:space="preserve"> (flexible trajectory</w:t>
            </w:r>
            <w:r w:rsidR="00FF32FA" w:rsidRPr="00FF32FA">
              <w:t>)</w:t>
            </w:r>
          </w:p>
        </w:tc>
        <w:tc>
          <w:tcPr>
            <w:tcW w:w="718" w:type="dxa"/>
            <w:tcBorders>
              <w:top w:val="single" w:sz="12" w:space="0" w:color="008000"/>
              <w:left w:val="nil"/>
              <w:bottom w:val="single" w:sz="6" w:space="0" w:color="008000"/>
              <w:right w:val="nil"/>
            </w:tcBorders>
            <w:shd w:val="clear" w:color="auto" w:fill="auto"/>
            <w:noWrap/>
            <w:vAlign w:val="bottom"/>
            <w:hideMark/>
          </w:tcPr>
          <w:p w14:paraId="39F28866" w14:textId="7C5149E0" w:rsidR="007E0967" w:rsidRPr="00FF32FA" w:rsidRDefault="00FF32FA" w:rsidP="00FF32FA">
            <w:pPr>
              <w:pStyle w:val="CETBodytext"/>
              <w:jc w:val="left"/>
            </w:pPr>
            <w:r w:rsidRPr="00FF32FA">
              <w:t>Diff.</w:t>
            </w:r>
          </w:p>
        </w:tc>
      </w:tr>
      <w:tr w:rsidR="007E0967" w:rsidRPr="007E0967" w14:paraId="64A1EB35" w14:textId="77777777" w:rsidTr="00104EE0">
        <w:trPr>
          <w:trHeight w:val="20"/>
        </w:trPr>
        <w:tc>
          <w:tcPr>
            <w:tcW w:w="810" w:type="dxa"/>
            <w:tcBorders>
              <w:top w:val="single" w:sz="6" w:space="0" w:color="008000"/>
              <w:left w:val="nil"/>
              <w:bottom w:val="nil"/>
              <w:right w:val="nil"/>
            </w:tcBorders>
            <w:shd w:val="clear" w:color="auto" w:fill="auto"/>
            <w:noWrap/>
            <w:vAlign w:val="bottom"/>
            <w:hideMark/>
          </w:tcPr>
          <w:p w14:paraId="27FA7CD9" w14:textId="38499C62" w:rsidR="007E0967" w:rsidRPr="007E0967" w:rsidRDefault="00FF32FA" w:rsidP="00FF32FA">
            <w:pPr>
              <w:pStyle w:val="CETBodytext"/>
              <w:jc w:val="left"/>
            </w:pPr>
            <w:r>
              <w:t>0.0</w:t>
            </w:r>
          </w:p>
        </w:tc>
        <w:tc>
          <w:tcPr>
            <w:tcW w:w="1800" w:type="dxa"/>
            <w:tcBorders>
              <w:top w:val="single" w:sz="6" w:space="0" w:color="008000"/>
              <w:left w:val="nil"/>
              <w:bottom w:val="nil"/>
              <w:right w:val="nil"/>
            </w:tcBorders>
            <w:shd w:val="clear" w:color="auto" w:fill="auto"/>
            <w:noWrap/>
            <w:vAlign w:val="bottom"/>
            <w:hideMark/>
          </w:tcPr>
          <w:p w14:paraId="4F9450E5" w14:textId="1DD71EAB" w:rsidR="007E0967" w:rsidRPr="007E0967" w:rsidRDefault="00FF32FA" w:rsidP="00FF32FA">
            <w:pPr>
              <w:pStyle w:val="CETBodytext"/>
              <w:jc w:val="left"/>
            </w:pPr>
            <w:r>
              <w:t>40.4</w:t>
            </w:r>
          </w:p>
        </w:tc>
        <w:tc>
          <w:tcPr>
            <w:tcW w:w="1800" w:type="dxa"/>
            <w:tcBorders>
              <w:top w:val="single" w:sz="6" w:space="0" w:color="008000"/>
              <w:left w:val="nil"/>
              <w:bottom w:val="nil"/>
              <w:right w:val="nil"/>
            </w:tcBorders>
            <w:shd w:val="clear" w:color="auto" w:fill="auto"/>
            <w:noWrap/>
            <w:vAlign w:val="bottom"/>
            <w:hideMark/>
          </w:tcPr>
          <w:p w14:paraId="07F046A6" w14:textId="10FF72A2" w:rsidR="007E0967" w:rsidRPr="007E0967" w:rsidRDefault="00FF32FA" w:rsidP="00FF32FA">
            <w:pPr>
              <w:pStyle w:val="CETBodytext"/>
              <w:jc w:val="left"/>
            </w:pPr>
            <w:r>
              <w:t>32.2</w:t>
            </w:r>
          </w:p>
        </w:tc>
        <w:tc>
          <w:tcPr>
            <w:tcW w:w="718" w:type="dxa"/>
            <w:tcBorders>
              <w:top w:val="single" w:sz="6" w:space="0" w:color="008000"/>
              <w:left w:val="nil"/>
              <w:bottom w:val="nil"/>
              <w:right w:val="nil"/>
            </w:tcBorders>
            <w:shd w:val="clear" w:color="auto" w:fill="auto"/>
            <w:noWrap/>
            <w:vAlign w:val="bottom"/>
            <w:hideMark/>
          </w:tcPr>
          <w:p w14:paraId="27D2FF89" w14:textId="73F9C9B1" w:rsidR="007E0967" w:rsidRPr="007E0967" w:rsidRDefault="00FF32FA" w:rsidP="00FF32FA">
            <w:pPr>
              <w:pStyle w:val="CETBodytext"/>
              <w:jc w:val="left"/>
            </w:pPr>
            <w:r>
              <w:t>-8.2</w:t>
            </w:r>
          </w:p>
        </w:tc>
      </w:tr>
      <w:tr w:rsidR="007E0967" w:rsidRPr="007E0967" w14:paraId="615D1003" w14:textId="77777777" w:rsidTr="00FF32FA">
        <w:trPr>
          <w:trHeight w:val="20"/>
        </w:trPr>
        <w:tc>
          <w:tcPr>
            <w:tcW w:w="810" w:type="dxa"/>
            <w:tcBorders>
              <w:top w:val="nil"/>
              <w:left w:val="nil"/>
              <w:bottom w:val="nil"/>
              <w:right w:val="nil"/>
            </w:tcBorders>
            <w:shd w:val="clear" w:color="auto" w:fill="auto"/>
            <w:noWrap/>
            <w:vAlign w:val="bottom"/>
            <w:hideMark/>
          </w:tcPr>
          <w:p w14:paraId="32C93230" w14:textId="79661678" w:rsidR="007E0967" w:rsidRPr="007E0967" w:rsidRDefault="00FF32FA" w:rsidP="00FF32FA">
            <w:pPr>
              <w:pStyle w:val="CETBodytext"/>
              <w:jc w:val="left"/>
            </w:pPr>
            <w:r>
              <w:t>0.3</w:t>
            </w:r>
          </w:p>
        </w:tc>
        <w:tc>
          <w:tcPr>
            <w:tcW w:w="1800" w:type="dxa"/>
            <w:tcBorders>
              <w:top w:val="nil"/>
              <w:left w:val="nil"/>
              <w:bottom w:val="nil"/>
              <w:right w:val="nil"/>
            </w:tcBorders>
            <w:shd w:val="clear" w:color="auto" w:fill="auto"/>
            <w:noWrap/>
            <w:vAlign w:val="bottom"/>
            <w:hideMark/>
          </w:tcPr>
          <w:p w14:paraId="6B971E6C" w14:textId="4DCF81D1" w:rsidR="007E0967" w:rsidRPr="007E0967" w:rsidRDefault="00FF32FA" w:rsidP="00FF32FA">
            <w:pPr>
              <w:pStyle w:val="CETBodytext"/>
              <w:jc w:val="left"/>
            </w:pPr>
            <w:r>
              <w:t>27.4</w:t>
            </w:r>
          </w:p>
        </w:tc>
        <w:tc>
          <w:tcPr>
            <w:tcW w:w="1800" w:type="dxa"/>
            <w:tcBorders>
              <w:top w:val="nil"/>
              <w:left w:val="nil"/>
              <w:bottom w:val="nil"/>
              <w:right w:val="nil"/>
            </w:tcBorders>
            <w:shd w:val="clear" w:color="auto" w:fill="auto"/>
            <w:noWrap/>
            <w:vAlign w:val="bottom"/>
            <w:hideMark/>
          </w:tcPr>
          <w:p w14:paraId="1F76FDE9" w14:textId="7D3D4DFC" w:rsidR="007E0967" w:rsidRPr="007E0967" w:rsidRDefault="00FF32FA" w:rsidP="00FF32FA">
            <w:pPr>
              <w:pStyle w:val="CETBodytext"/>
              <w:jc w:val="left"/>
            </w:pPr>
            <w:r>
              <w:t>25.0</w:t>
            </w:r>
          </w:p>
        </w:tc>
        <w:tc>
          <w:tcPr>
            <w:tcW w:w="718" w:type="dxa"/>
            <w:tcBorders>
              <w:top w:val="nil"/>
              <w:left w:val="nil"/>
              <w:bottom w:val="nil"/>
              <w:right w:val="nil"/>
            </w:tcBorders>
            <w:shd w:val="clear" w:color="auto" w:fill="auto"/>
            <w:noWrap/>
            <w:vAlign w:val="bottom"/>
            <w:hideMark/>
          </w:tcPr>
          <w:p w14:paraId="32F7A40B" w14:textId="43BE9E3D" w:rsidR="007E0967" w:rsidRPr="007E0967" w:rsidRDefault="00FF32FA" w:rsidP="00FF32FA">
            <w:pPr>
              <w:pStyle w:val="CETBodytext"/>
              <w:jc w:val="left"/>
            </w:pPr>
            <w:r>
              <w:t>-2.4</w:t>
            </w:r>
          </w:p>
        </w:tc>
      </w:tr>
      <w:tr w:rsidR="007E0967" w:rsidRPr="007E0967" w14:paraId="402D3CE6" w14:textId="77777777" w:rsidTr="00FF32FA">
        <w:trPr>
          <w:trHeight w:val="20"/>
        </w:trPr>
        <w:tc>
          <w:tcPr>
            <w:tcW w:w="810" w:type="dxa"/>
            <w:tcBorders>
              <w:top w:val="nil"/>
              <w:left w:val="nil"/>
              <w:bottom w:val="nil"/>
              <w:right w:val="nil"/>
            </w:tcBorders>
            <w:shd w:val="clear" w:color="auto" w:fill="auto"/>
            <w:noWrap/>
            <w:vAlign w:val="bottom"/>
            <w:hideMark/>
          </w:tcPr>
          <w:p w14:paraId="4A3C3102" w14:textId="2608B065" w:rsidR="007E0967" w:rsidRPr="007E0967" w:rsidRDefault="00FF32FA" w:rsidP="00FF32FA">
            <w:pPr>
              <w:pStyle w:val="CETBodytext"/>
              <w:jc w:val="left"/>
            </w:pPr>
            <w:r>
              <w:t>0.5</w:t>
            </w:r>
          </w:p>
        </w:tc>
        <w:tc>
          <w:tcPr>
            <w:tcW w:w="1800" w:type="dxa"/>
            <w:tcBorders>
              <w:top w:val="nil"/>
              <w:left w:val="nil"/>
              <w:bottom w:val="nil"/>
              <w:right w:val="nil"/>
            </w:tcBorders>
            <w:shd w:val="clear" w:color="auto" w:fill="auto"/>
            <w:noWrap/>
            <w:vAlign w:val="bottom"/>
            <w:hideMark/>
          </w:tcPr>
          <w:p w14:paraId="0231057A" w14:textId="124B12AC" w:rsidR="007E0967" w:rsidRPr="007E0967" w:rsidRDefault="00FF32FA" w:rsidP="00FF32FA">
            <w:pPr>
              <w:pStyle w:val="CETBodytext"/>
              <w:jc w:val="left"/>
            </w:pPr>
            <w:r>
              <w:t>18.8</w:t>
            </w:r>
          </w:p>
        </w:tc>
        <w:tc>
          <w:tcPr>
            <w:tcW w:w="1800" w:type="dxa"/>
            <w:tcBorders>
              <w:top w:val="nil"/>
              <w:left w:val="nil"/>
              <w:bottom w:val="nil"/>
              <w:right w:val="nil"/>
            </w:tcBorders>
            <w:shd w:val="clear" w:color="auto" w:fill="auto"/>
            <w:noWrap/>
            <w:vAlign w:val="bottom"/>
            <w:hideMark/>
          </w:tcPr>
          <w:p w14:paraId="2DABD471" w14:textId="19B40CCD" w:rsidR="007E0967" w:rsidRPr="007E0967" w:rsidRDefault="00FF32FA" w:rsidP="00FF32FA">
            <w:pPr>
              <w:pStyle w:val="CETBodytext"/>
              <w:jc w:val="left"/>
            </w:pPr>
            <w:r>
              <w:t>18.7</w:t>
            </w:r>
          </w:p>
        </w:tc>
        <w:tc>
          <w:tcPr>
            <w:tcW w:w="718" w:type="dxa"/>
            <w:tcBorders>
              <w:top w:val="nil"/>
              <w:left w:val="nil"/>
              <w:bottom w:val="nil"/>
              <w:right w:val="nil"/>
            </w:tcBorders>
            <w:shd w:val="clear" w:color="auto" w:fill="auto"/>
            <w:noWrap/>
            <w:vAlign w:val="bottom"/>
            <w:hideMark/>
          </w:tcPr>
          <w:p w14:paraId="3401B298" w14:textId="0036E665" w:rsidR="007E0967" w:rsidRPr="007E0967" w:rsidRDefault="00FF32FA" w:rsidP="00FF32FA">
            <w:pPr>
              <w:pStyle w:val="CETBodytext"/>
              <w:jc w:val="left"/>
            </w:pPr>
            <w:r>
              <w:t>-0.1</w:t>
            </w:r>
          </w:p>
        </w:tc>
      </w:tr>
      <w:tr w:rsidR="007E0967" w:rsidRPr="007E0967" w14:paraId="6A1C1092" w14:textId="77777777" w:rsidTr="00FF32FA">
        <w:trPr>
          <w:trHeight w:val="20"/>
        </w:trPr>
        <w:tc>
          <w:tcPr>
            <w:tcW w:w="810" w:type="dxa"/>
            <w:tcBorders>
              <w:top w:val="nil"/>
              <w:left w:val="nil"/>
              <w:right w:val="nil"/>
            </w:tcBorders>
            <w:shd w:val="clear" w:color="auto" w:fill="auto"/>
            <w:noWrap/>
            <w:vAlign w:val="bottom"/>
            <w:hideMark/>
          </w:tcPr>
          <w:p w14:paraId="22860891" w14:textId="30DAE193" w:rsidR="007E0967" w:rsidRPr="007E0967" w:rsidRDefault="00FF32FA" w:rsidP="00FF32FA">
            <w:pPr>
              <w:pStyle w:val="CETBodytext"/>
              <w:jc w:val="left"/>
            </w:pPr>
            <w:r>
              <w:t>0.7</w:t>
            </w:r>
          </w:p>
        </w:tc>
        <w:tc>
          <w:tcPr>
            <w:tcW w:w="1800" w:type="dxa"/>
            <w:tcBorders>
              <w:top w:val="nil"/>
              <w:left w:val="nil"/>
              <w:right w:val="nil"/>
            </w:tcBorders>
            <w:shd w:val="clear" w:color="auto" w:fill="auto"/>
            <w:noWrap/>
            <w:vAlign w:val="bottom"/>
            <w:hideMark/>
          </w:tcPr>
          <w:p w14:paraId="0B036152" w14:textId="64659129" w:rsidR="007E0967" w:rsidRPr="007E0967" w:rsidRDefault="00FF32FA" w:rsidP="00FF32FA">
            <w:pPr>
              <w:pStyle w:val="CETBodytext"/>
              <w:jc w:val="left"/>
            </w:pPr>
            <w:r>
              <w:t>10.1</w:t>
            </w:r>
          </w:p>
        </w:tc>
        <w:tc>
          <w:tcPr>
            <w:tcW w:w="1800" w:type="dxa"/>
            <w:tcBorders>
              <w:top w:val="nil"/>
              <w:left w:val="nil"/>
              <w:right w:val="nil"/>
            </w:tcBorders>
            <w:shd w:val="clear" w:color="auto" w:fill="auto"/>
            <w:noWrap/>
            <w:vAlign w:val="bottom"/>
            <w:hideMark/>
          </w:tcPr>
          <w:p w14:paraId="1BB93493" w14:textId="37DD5346" w:rsidR="007E0967" w:rsidRPr="007E0967" w:rsidRDefault="00FF32FA" w:rsidP="00FF32FA">
            <w:pPr>
              <w:pStyle w:val="CETBodytext"/>
              <w:jc w:val="left"/>
            </w:pPr>
            <w:r>
              <w:t>10.1</w:t>
            </w:r>
          </w:p>
        </w:tc>
        <w:tc>
          <w:tcPr>
            <w:tcW w:w="718" w:type="dxa"/>
            <w:tcBorders>
              <w:top w:val="nil"/>
              <w:left w:val="nil"/>
              <w:right w:val="nil"/>
            </w:tcBorders>
            <w:shd w:val="clear" w:color="auto" w:fill="auto"/>
            <w:noWrap/>
            <w:vAlign w:val="bottom"/>
            <w:hideMark/>
          </w:tcPr>
          <w:p w14:paraId="2B229E35" w14:textId="59B8277B" w:rsidR="007E0967" w:rsidRPr="007E0967" w:rsidRDefault="00FF32FA" w:rsidP="00FF32FA">
            <w:pPr>
              <w:pStyle w:val="CETBodytext"/>
              <w:jc w:val="left"/>
            </w:pPr>
            <w:r>
              <w:t>0.0</w:t>
            </w:r>
          </w:p>
        </w:tc>
      </w:tr>
      <w:tr w:rsidR="007E0967" w:rsidRPr="007E0967" w14:paraId="06759AE8" w14:textId="77777777" w:rsidTr="00104EE0">
        <w:trPr>
          <w:trHeight w:val="20"/>
        </w:trPr>
        <w:tc>
          <w:tcPr>
            <w:tcW w:w="810" w:type="dxa"/>
            <w:tcBorders>
              <w:top w:val="nil"/>
              <w:left w:val="nil"/>
              <w:bottom w:val="single" w:sz="12" w:space="0" w:color="008000"/>
              <w:right w:val="nil"/>
            </w:tcBorders>
            <w:shd w:val="clear" w:color="auto" w:fill="auto"/>
            <w:noWrap/>
            <w:vAlign w:val="bottom"/>
            <w:hideMark/>
          </w:tcPr>
          <w:p w14:paraId="51B4AF84" w14:textId="73624D42" w:rsidR="007E0967" w:rsidRPr="007E0967" w:rsidRDefault="00FF32FA" w:rsidP="00FF32FA">
            <w:pPr>
              <w:pStyle w:val="CETBodytext"/>
              <w:jc w:val="left"/>
            </w:pPr>
            <w:r>
              <w:t>1.0</w:t>
            </w:r>
          </w:p>
        </w:tc>
        <w:tc>
          <w:tcPr>
            <w:tcW w:w="1800" w:type="dxa"/>
            <w:tcBorders>
              <w:top w:val="nil"/>
              <w:left w:val="nil"/>
              <w:bottom w:val="single" w:sz="12" w:space="0" w:color="008000"/>
              <w:right w:val="nil"/>
            </w:tcBorders>
            <w:shd w:val="clear" w:color="auto" w:fill="auto"/>
            <w:noWrap/>
            <w:vAlign w:val="bottom"/>
            <w:hideMark/>
          </w:tcPr>
          <w:p w14:paraId="1BBE4C2C" w14:textId="42DC8DF8" w:rsidR="007E0967" w:rsidRPr="007E0967" w:rsidRDefault="00FF32FA" w:rsidP="00FF32FA">
            <w:pPr>
              <w:pStyle w:val="CETBodytext"/>
              <w:jc w:val="left"/>
            </w:pPr>
            <w:r>
              <w:t>-2.9</w:t>
            </w:r>
          </w:p>
        </w:tc>
        <w:tc>
          <w:tcPr>
            <w:tcW w:w="1800" w:type="dxa"/>
            <w:tcBorders>
              <w:top w:val="nil"/>
              <w:left w:val="nil"/>
              <w:bottom w:val="single" w:sz="12" w:space="0" w:color="008000"/>
              <w:right w:val="nil"/>
            </w:tcBorders>
            <w:shd w:val="clear" w:color="auto" w:fill="auto"/>
            <w:noWrap/>
            <w:vAlign w:val="bottom"/>
            <w:hideMark/>
          </w:tcPr>
          <w:p w14:paraId="6E7CF911" w14:textId="6C59CDCA" w:rsidR="007E0967" w:rsidRPr="007E0967" w:rsidRDefault="00FF32FA" w:rsidP="00FF32FA">
            <w:pPr>
              <w:pStyle w:val="CETBodytext"/>
              <w:jc w:val="left"/>
            </w:pPr>
            <w:r>
              <w:t>-2.9</w:t>
            </w:r>
          </w:p>
        </w:tc>
        <w:tc>
          <w:tcPr>
            <w:tcW w:w="718" w:type="dxa"/>
            <w:tcBorders>
              <w:top w:val="nil"/>
              <w:left w:val="nil"/>
              <w:bottom w:val="single" w:sz="12" w:space="0" w:color="008000"/>
              <w:right w:val="nil"/>
            </w:tcBorders>
            <w:shd w:val="clear" w:color="auto" w:fill="auto"/>
            <w:noWrap/>
            <w:vAlign w:val="bottom"/>
            <w:hideMark/>
          </w:tcPr>
          <w:p w14:paraId="4B6BED26" w14:textId="0114B28C" w:rsidR="007E0967" w:rsidRPr="007E0967" w:rsidRDefault="00FF32FA" w:rsidP="00FF32FA">
            <w:pPr>
              <w:pStyle w:val="CETBodytext"/>
              <w:jc w:val="left"/>
            </w:pPr>
            <w:r>
              <w:t>0.0</w:t>
            </w:r>
          </w:p>
        </w:tc>
      </w:tr>
    </w:tbl>
    <w:p w14:paraId="37DF3BBF" w14:textId="3F4A7752" w:rsidR="00E22D31" w:rsidRDefault="007D685A" w:rsidP="00E22D31">
      <w:pPr>
        <w:pStyle w:val="CETTabletitle"/>
      </w:pPr>
      <w:r>
        <w:rPr>
          <w:noProof/>
          <w:lang w:val="en-US"/>
        </w:rPr>
        <mc:AlternateContent>
          <mc:Choice Requires="wps">
            <w:drawing>
              <wp:anchor distT="0" distB="0" distL="114300" distR="114300" simplePos="0" relativeHeight="251688960" behindDoc="0" locked="0" layoutInCell="1" allowOverlap="0" wp14:anchorId="46D885A0" wp14:editId="227C7DF8">
                <wp:simplePos x="0" y="0"/>
                <wp:positionH relativeFrom="margin">
                  <wp:posOffset>-2540</wp:posOffset>
                </wp:positionH>
                <wp:positionV relativeFrom="margin">
                  <wp:posOffset>3996216</wp:posOffset>
                </wp:positionV>
                <wp:extent cx="5577840" cy="2267585"/>
                <wp:effectExtent l="0" t="0" r="1905" b="0"/>
                <wp:wrapSquare wrapText="bothSides"/>
                <wp:docPr id="1021" name="Text Box 1021"/>
                <wp:cNvGraphicFramePr/>
                <a:graphic xmlns:a="http://schemas.openxmlformats.org/drawingml/2006/main">
                  <a:graphicData uri="http://schemas.microsoft.com/office/word/2010/wordprocessingShape">
                    <wps:wsp>
                      <wps:cNvSpPr txBox="1"/>
                      <wps:spPr>
                        <a:xfrm>
                          <a:off x="0" y="0"/>
                          <a:ext cx="5577840" cy="2267585"/>
                        </a:xfrm>
                        <a:prstGeom prst="rect">
                          <a:avLst/>
                        </a:prstGeom>
                        <a:solidFill>
                          <a:prstClr val="white"/>
                        </a:solidFill>
                        <a:ln>
                          <a:noFill/>
                        </a:ln>
                      </wps:spPr>
                      <wps:txbx>
                        <w:txbxContent>
                          <w:p w14:paraId="4A52B83A" w14:textId="77777777" w:rsidR="00287481" w:rsidRDefault="00287481" w:rsidP="007D685A">
                            <w:pPr>
                              <w:pStyle w:val="CETCaption"/>
                              <w:rPr>
                                <w:noProof/>
                                <w:lang w:val="en-US"/>
                              </w:rPr>
                            </w:pPr>
                            <w:r>
                              <w:rPr>
                                <w:noProof/>
                                <w:lang w:val="en-US"/>
                              </w:rPr>
                              <w:drawing>
                                <wp:inline distT="0" distB="0" distL="0" distR="0" wp14:anchorId="5BB63A61" wp14:editId="78EA9332">
                                  <wp:extent cx="5449823" cy="136245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ummary_comparison.png"/>
                                          <pic:cNvPicPr/>
                                        </pic:nvPicPr>
                                        <pic:blipFill>
                                          <a:blip r:embed="rId12">
                                            <a:extLst>
                                              <a:ext uri="{28A0092B-C50C-407E-A947-70E740481C1C}">
                                                <a14:useLocalDpi xmlns:a14="http://schemas.microsoft.com/office/drawing/2010/main" val="0"/>
                                              </a:ext>
                                            </a:extLst>
                                          </a:blip>
                                          <a:stretch>
                                            <a:fillRect/>
                                          </a:stretch>
                                        </pic:blipFill>
                                        <pic:spPr>
                                          <a:xfrm>
                                            <a:off x="0" y="0"/>
                                            <a:ext cx="5449823" cy="1362455"/>
                                          </a:xfrm>
                                          <a:prstGeom prst="rect">
                                            <a:avLst/>
                                          </a:prstGeom>
                                        </pic:spPr>
                                      </pic:pic>
                                    </a:graphicData>
                                  </a:graphic>
                                </wp:inline>
                              </w:drawing>
                            </w:r>
                            <w:r>
                              <w:rPr>
                                <w:noProof/>
                                <w:lang w:val="en-US"/>
                              </w:rPr>
                              <w:t xml:space="preserve">Figure 3: Comparison of the grid and renewable energy provision percentages for the fixed and flexible approaches, for different values of the recovery price to energy price ratio for the scenario described in section 4.4. All the points are calculated with </w:t>
                            </w:r>
                            <m:oMath>
                              <m:r>
                                <w:rPr>
                                  <w:rFonts w:ascii="Cambria Math" w:hAnsi="Cambria Math"/>
                                  <w:noProof/>
                                  <w:lang w:val="en-US"/>
                                </w:rPr>
                                <m:t>A=5</m:t>
                              </m:r>
                            </m:oMath>
                            <w:r>
                              <w:rPr>
                                <w:noProof/>
                                <w:lang w:val="en-US"/>
                              </w:rPr>
                              <w:t xml:space="preserve">, </w:t>
                            </w:r>
                            <m:oMath>
                              <m:r>
                                <w:rPr>
                                  <w:rFonts w:ascii="Cambria Math" w:hAnsi="Cambria Math"/>
                                  <w:noProof/>
                                  <w:lang w:val="en-US"/>
                                </w:rPr>
                                <m:t>b=0</m:t>
                              </m:r>
                            </m:oMath>
                            <w:r>
                              <w:rPr>
                                <w:noProof/>
                                <w:lang w:val="en-US"/>
                              </w:rPr>
                              <w:t xml:space="preserve"> and </w:t>
                            </w:r>
                            <m:oMath>
                              <m:acc>
                                <m:accPr>
                                  <m:chr m:val="̇"/>
                                  <m:ctrlPr>
                                    <w:rPr>
                                      <w:rFonts w:ascii="Cambria Math" w:hAnsi="Cambria Math"/>
                                      <w:noProof/>
                                      <w:lang w:val="en-US"/>
                                    </w:rPr>
                                  </m:ctrlPr>
                                </m:accPr>
                                <m:e>
                                  <m:r>
                                    <w:rPr>
                                      <w:rFonts w:ascii="Cambria Math" w:hAnsi="Cambria Math"/>
                                      <w:noProof/>
                                      <w:lang w:val="en-US"/>
                                    </w:rPr>
                                    <m:t>L</m:t>
                                  </m:r>
                                </m:e>
                              </m:acc>
                              <m:r>
                                <w:rPr>
                                  <w:rFonts w:ascii="Cambria Math" w:hAnsi="Cambria Math"/>
                                  <w:noProof/>
                                  <w:lang w:val="en-US"/>
                                </w:rPr>
                                <m:t>=1</m:t>
                              </m:r>
                            </m:oMath>
                            <w:r>
                              <w:rPr>
                                <w:noProof/>
                                <w:lang w:val="en-US"/>
                              </w:rPr>
                              <w:t>. The diagonal lines denote points with the same total energy consumption. The solid black line corresponds to a total energy consumption equal to the one of the energy-optimal solution. The cost for each solution is given in Table 2.</w:t>
                            </w:r>
                          </w:p>
                          <w:p w14:paraId="62727318" w14:textId="77777777" w:rsidR="00287481" w:rsidRPr="004C6E9C" w:rsidRDefault="00287481" w:rsidP="007D685A">
                            <w:pPr>
                              <w:pStyle w:val="CETCaption"/>
                              <w:rPr>
                                <w:noProof/>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 w14:anchorId="46D885A0" id="Text Box 1021" o:spid="_x0000_s1028" type="#_x0000_t202" style="position:absolute;margin-left:-.2pt;margin-top:314.65pt;width:439.2pt;height:178.55pt;z-index:251688960;visibility:visible;mso-wrap-style:square;mso-width-percent:1000;mso-height-percent:0;mso-wrap-distance-left:9pt;mso-wrap-distance-top:0;mso-wrap-distance-right:9pt;mso-wrap-distance-bottom:0;mso-position-horizontal:absolute;mso-position-horizontal-relative:margin;mso-position-vertical:absolute;mso-position-vertical-relative:margin;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" o:allowoverlap="f" stroked="f">
                <v:textbox inset="0,0,0,0">
                  <w:txbxContent>
                    <w:p w14:paraId="4A52B83A" w14:textId="77777777" w:rsidR="00287481" w:rsidRDefault="00287481" w:rsidP="007D685A">
                      <w:pPr>
                        <w:pStyle w:val="CETCaption"/>
                        <w:rPr>
                          <w:noProof/>
                          <w:lang w:val="en-US"/>
                        </w:rPr>
                      </w:pPr>
                      <w:r>
                        <w:rPr>
                          <w:noProof/>
                          <w:lang w:val="en-US"/>
                        </w:rPr>
                        <w:drawing>
                          <wp:inline distT="0" distB="0" distL="0" distR="0" wp14:anchorId="5BB63A61" wp14:editId="78EA9332">
                            <wp:extent cx="5449823" cy="136245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ummary_comparison.png"/>
                                    <pic:cNvPicPr/>
                                  </pic:nvPicPr>
                                  <pic:blipFill>
                                    <a:blip r:embed="rId12">
                                      <a:extLst>
                                        <a:ext uri="{28A0092B-C50C-407E-A947-70E740481C1C}">
                                          <a14:useLocalDpi xmlns:a14="http://schemas.microsoft.com/office/drawing/2010/main" val="0"/>
                                        </a:ext>
                                      </a:extLst>
                                    </a:blip>
                                    <a:stretch>
                                      <a:fillRect/>
                                    </a:stretch>
                                  </pic:blipFill>
                                  <pic:spPr>
                                    <a:xfrm>
                                      <a:off x="0" y="0"/>
                                      <a:ext cx="5449823" cy="1362455"/>
                                    </a:xfrm>
                                    <a:prstGeom prst="rect">
                                      <a:avLst/>
                                    </a:prstGeom>
                                  </pic:spPr>
                                </pic:pic>
                              </a:graphicData>
                            </a:graphic>
                          </wp:inline>
                        </w:drawing>
                      </w:r>
                      <w:r>
                        <w:rPr>
                          <w:noProof/>
                          <w:lang w:val="en-US"/>
                        </w:rPr>
                        <w:t xml:space="preserve">Figure 3: Comparison of the grid and renewable energy provision percentages for the fixed and flexible approaches, for different values of the recovery price to energy price ratio for the scenario described in section 4.4. All the points are calculated with </w:t>
                      </w:r>
                      <m:oMath>
                        <m:r>
                          <w:rPr>
                            <w:rFonts w:ascii="Cambria Math" w:hAnsi="Cambria Math"/>
                            <w:noProof/>
                            <w:lang w:val="en-US"/>
                          </w:rPr>
                          <m:t>A=5</m:t>
                        </m:r>
                      </m:oMath>
                      <w:r>
                        <w:rPr>
                          <w:noProof/>
                          <w:lang w:val="en-US"/>
                        </w:rPr>
                        <w:t xml:space="preserve">, </w:t>
                      </w:r>
                      <m:oMath>
                        <m:r>
                          <w:rPr>
                            <w:rFonts w:ascii="Cambria Math" w:hAnsi="Cambria Math"/>
                            <w:noProof/>
                            <w:lang w:val="en-US"/>
                          </w:rPr>
                          <m:t>b=0</m:t>
                        </m:r>
                      </m:oMath>
                      <w:r>
                        <w:rPr>
                          <w:noProof/>
                          <w:lang w:val="en-US"/>
                        </w:rPr>
                        <w:t xml:space="preserve"> and </w:t>
                      </w:r>
                      <m:oMath>
                        <m:acc>
                          <m:accPr>
                            <m:chr m:val="̇"/>
                            <m:ctrlPr>
                              <w:rPr>
                                <w:rFonts w:ascii="Cambria Math" w:hAnsi="Cambria Math"/>
                                <w:noProof/>
                                <w:lang w:val="en-US"/>
                              </w:rPr>
                            </m:ctrlPr>
                          </m:accPr>
                          <m:e>
                            <m:r>
                              <w:rPr>
                                <w:rFonts w:ascii="Cambria Math" w:hAnsi="Cambria Math"/>
                                <w:noProof/>
                                <w:lang w:val="en-US"/>
                              </w:rPr>
                              <m:t>L</m:t>
                            </m:r>
                          </m:e>
                        </m:acc>
                        <m:r>
                          <w:rPr>
                            <w:rFonts w:ascii="Cambria Math" w:hAnsi="Cambria Math"/>
                            <w:noProof/>
                            <w:lang w:val="en-US"/>
                          </w:rPr>
                          <m:t>=1</m:t>
                        </m:r>
                      </m:oMath>
                      <w:r>
                        <w:rPr>
                          <w:noProof/>
                          <w:lang w:val="en-US"/>
                        </w:rPr>
                        <w:t>. The diagonal lines denote points with the same total energy consumption. The solid black line corresponds to a total energy consumption equal to the one of the energy-optimal solution. The cost for each solution is given in Table 2.</w:t>
                      </w:r>
                    </w:p>
                    <w:p w14:paraId="62727318" w14:textId="77777777" w:rsidR="00287481" w:rsidRPr="004C6E9C" w:rsidRDefault="00287481" w:rsidP="007D685A">
                      <w:pPr>
                        <w:pStyle w:val="CETCaption"/>
                        <w:rPr>
                          <w:noProof/>
                          <w:lang w:val="en-US"/>
                        </w:rPr>
                      </w:pPr>
                    </w:p>
                  </w:txbxContent>
                </v:textbox>
                <w10:wrap type="square" anchorx="margin" anchory="margin"/>
              </v:shape>
            </w:pict>
          </mc:Fallback>
        </mc:AlternateContent>
      </w:r>
      <w:r w:rsidR="00E22D31">
        <w:t>Table 2: Comparison of the optimal process cost percentage for the fixed and the flexible trajectory approaches for different values of the recovery price for the scenario described in 4.4.</w:t>
      </w:r>
    </w:p>
    <w:tbl>
      <w:tblPr>
        <w:tblW w:w="0" w:type="auto"/>
        <w:tblLayout w:type="fixed"/>
        <w:tblLook w:val="04A0" w:firstRow="1" w:lastRow="0" w:firstColumn="1" w:lastColumn="0" w:noHBand="0" w:noVBand="1"/>
      </w:tblPr>
      <w:tblGrid>
        <w:gridCol w:w="810"/>
        <w:gridCol w:w="1800"/>
        <w:gridCol w:w="1800"/>
        <w:gridCol w:w="718"/>
      </w:tblGrid>
      <w:tr w:rsidR="00E22D31" w:rsidRPr="007E0967" w14:paraId="161612AE" w14:textId="77777777" w:rsidTr="00104EE0">
        <w:trPr>
          <w:trHeight w:val="20"/>
        </w:trPr>
        <w:tc>
          <w:tcPr>
            <w:tcW w:w="810" w:type="dxa"/>
            <w:tcBorders>
              <w:top w:val="single" w:sz="12" w:space="0" w:color="008000"/>
              <w:left w:val="nil"/>
              <w:bottom w:val="single" w:sz="6" w:space="0" w:color="008000"/>
              <w:right w:val="nil"/>
            </w:tcBorders>
            <w:shd w:val="clear" w:color="auto" w:fill="auto"/>
            <w:noWrap/>
            <w:vAlign w:val="bottom"/>
            <w:hideMark/>
          </w:tcPr>
          <w:p w14:paraId="0A03DA25" w14:textId="77777777" w:rsidR="00E22D31" w:rsidRPr="00FF32FA" w:rsidRDefault="00E22D31" w:rsidP="001D0D2B">
            <w:pPr>
              <w:pStyle w:val="CETBodytext"/>
              <w:jc w:val="left"/>
            </w:pPr>
            <m:oMathPara>
              <m:oMathParaPr>
                <m:jc m:val="left"/>
              </m:oMathParaPr>
              <m:oMath>
                <m:r>
                  <m:rPr>
                    <m:sty m:val="p"/>
                  </m:rPr>
                  <w:rPr>
                    <w:rFonts w:ascii="Cambria Math" w:hAnsi="Cambria Math"/>
                  </w:rPr>
                  <m:t>RP/EP</m:t>
                </m:r>
              </m:oMath>
            </m:oMathPara>
          </w:p>
        </w:tc>
        <w:tc>
          <w:tcPr>
            <w:tcW w:w="1800" w:type="dxa"/>
            <w:tcBorders>
              <w:top w:val="single" w:sz="12" w:space="0" w:color="008000"/>
              <w:left w:val="nil"/>
              <w:bottom w:val="single" w:sz="6" w:space="0" w:color="008000"/>
              <w:right w:val="nil"/>
            </w:tcBorders>
            <w:shd w:val="clear" w:color="auto" w:fill="auto"/>
            <w:noWrap/>
            <w:vAlign w:val="bottom"/>
            <w:hideMark/>
          </w:tcPr>
          <w:p w14:paraId="50D4630E" w14:textId="77777777" w:rsidR="00E22D31" w:rsidRPr="00FF32FA" w:rsidRDefault="00E22D31" w:rsidP="001D0D2B">
            <w:pPr>
              <w:pStyle w:val="CETBodytext"/>
              <w:jc w:val="left"/>
            </w:pPr>
            <m:oMath>
              <m:r>
                <m:rPr>
                  <m:sty m:val="p"/>
                </m:rPr>
                <w:rPr>
                  <w:rFonts w:ascii="Cambria Math" w:hAnsi="Cambria Math"/>
                </w:rPr>
                <m:t xml:space="preserve">Process cost </m:t>
              </m:r>
              <m:sSub>
                <m:sSubPr>
                  <m:ctrlPr>
                    <w:rPr>
                      <w:rFonts w:ascii="Cambria Math" w:hAnsi="Cambria Math"/>
                    </w:rPr>
                  </m:ctrlPr>
                </m:sSubPr>
                <m:e>
                  <m:r>
                    <m:rPr>
                      <m:sty m:val="p"/>
                    </m:rPr>
                    <w:rPr>
                      <w:rFonts w:ascii="Cambria Math" w:hAnsi="Cambria Math"/>
                    </w:rPr>
                    <m:t>%</m:t>
                  </m:r>
                </m:e>
                <m:sub>
                  <m:r>
                    <w:rPr>
                      <w:rFonts w:ascii="Cambria Math" w:hAnsi="Cambria Math"/>
                    </w:rPr>
                    <m:t>E.O.</m:t>
                  </m:r>
                </m:sub>
              </m:sSub>
            </m:oMath>
            <w:r w:rsidRPr="00FF32FA">
              <w:t xml:space="preserve"> (fixed trajectory)</w:t>
            </w:r>
          </w:p>
        </w:tc>
        <w:tc>
          <w:tcPr>
            <w:tcW w:w="1800" w:type="dxa"/>
            <w:tcBorders>
              <w:top w:val="single" w:sz="12" w:space="0" w:color="008000"/>
              <w:left w:val="nil"/>
              <w:bottom w:val="single" w:sz="6" w:space="0" w:color="008000"/>
              <w:right w:val="nil"/>
            </w:tcBorders>
            <w:shd w:val="clear" w:color="auto" w:fill="auto"/>
            <w:noWrap/>
            <w:vAlign w:val="bottom"/>
            <w:hideMark/>
          </w:tcPr>
          <w:p w14:paraId="7EE8F0F7" w14:textId="4EF7CE10" w:rsidR="00E22D31" w:rsidRPr="00FF32FA" w:rsidRDefault="00E22D31" w:rsidP="00597569">
            <w:pPr>
              <w:pStyle w:val="CETBodytext"/>
              <w:jc w:val="left"/>
            </w:pPr>
            <m:oMath>
              <m:r>
                <m:rPr>
                  <m:sty m:val="p"/>
                </m:rPr>
                <w:rPr>
                  <w:rFonts w:ascii="Cambria Math" w:hAnsi="Cambria Math"/>
                </w:rPr>
                <m:t xml:space="preserve">Process cost </m:t>
              </m:r>
              <m:sSub>
                <m:sSubPr>
                  <m:ctrlPr>
                    <w:rPr>
                      <w:rFonts w:ascii="Cambria Math" w:hAnsi="Cambria Math"/>
                    </w:rPr>
                  </m:ctrlPr>
                </m:sSubPr>
                <m:e>
                  <m:r>
                    <m:rPr>
                      <m:sty m:val="p"/>
                    </m:rPr>
                    <w:rPr>
                      <w:rFonts w:ascii="Cambria Math" w:hAnsi="Cambria Math"/>
                    </w:rPr>
                    <m:t>%</m:t>
                  </m:r>
                </m:e>
                <m:sub>
                  <m:r>
                    <w:rPr>
                      <w:rFonts w:ascii="Cambria Math" w:hAnsi="Cambria Math"/>
                    </w:rPr>
                    <m:t>E.O.</m:t>
                  </m:r>
                </m:sub>
              </m:sSub>
            </m:oMath>
            <w:r w:rsidRPr="00FF32FA">
              <w:t xml:space="preserve"> (flexible traj</w:t>
            </w:r>
            <w:r w:rsidR="00597569">
              <w:t>ectory</w:t>
            </w:r>
            <w:r w:rsidRPr="00FF32FA">
              <w:t>)</w:t>
            </w:r>
          </w:p>
        </w:tc>
        <w:tc>
          <w:tcPr>
            <w:tcW w:w="718" w:type="dxa"/>
            <w:tcBorders>
              <w:top w:val="single" w:sz="12" w:space="0" w:color="008000"/>
              <w:left w:val="nil"/>
              <w:bottom w:val="single" w:sz="6" w:space="0" w:color="008000"/>
              <w:right w:val="nil"/>
            </w:tcBorders>
            <w:shd w:val="clear" w:color="auto" w:fill="auto"/>
            <w:noWrap/>
            <w:vAlign w:val="bottom"/>
            <w:hideMark/>
          </w:tcPr>
          <w:p w14:paraId="49712E9D" w14:textId="77777777" w:rsidR="00E22D31" w:rsidRPr="00FF32FA" w:rsidRDefault="00E22D31" w:rsidP="001D0D2B">
            <w:pPr>
              <w:pStyle w:val="CETBodytext"/>
              <w:jc w:val="left"/>
            </w:pPr>
            <w:r w:rsidRPr="00FF32FA">
              <w:t>Diff.</w:t>
            </w:r>
          </w:p>
        </w:tc>
      </w:tr>
      <w:tr w:rsidR="00E22D31" w:rsidRPr="007E0967" w14:paraId="1E7CFF9F" w14:textId="77777777" w:rsidTr="00104EE0">
        <w:trPr>
          <w:trHeight w:val="20"/>
        </w:trPr>
        <w:tc>
          <w:tcPr>
            <w:tcW w:w="810" w:type="dxa"/>
            <w:tcBorders>
              <w:top w:val="single" w:sz="6" w:space="0" w:color="008000"/>
              <w:left w:val="nil"/>
              <w:bottom w:val="nil"/>
              <w:right w:val="nil"/>
            </w:tcBorders>
            <w:shd w:val="clear" w:color="auto" w:fill="auto"/>
            <w:noWrap/>
            <w:vAlign w:val="bottom"/>
            <w:hideMark/>
          </w:tcPr>
          <w:p w14:paraId="67D76849" w14:textId="77777777" w:rsidR="00E22D31" w:rsidRPr="007E0967" w:rsidRDefault="00E22D31" w:rsidP="001D0D2B">
            <w:pPr>
              <w:pStyle w:val="CETBodytext"/>
              <w:jc w:val="left"/>
            </w:pPr>
            <w:r>
              <w:t>0.0</w:t>
            </w:r>
          </w:p>
        </w:tc>
        <w:tc>
          <w:tcPr>
            <w:tcW w:w="1800" w:type="dxa"/>
            <w:tcBorders>
              <w:top w:val="single" w:sz="6" w:space="0" w:color="008000"/>
              <w:left w:val="nil"/>
              <w:bottom w:val="nil"/>
              <w:right w:val="nil"/>
            </w:tcBorders>
            <w:shd w:val="clear" w:color="auto" w:fill="auto"/>
            <w:noWrap/>
            <w:hideMark/>
          </w:tcPr>
          <w:p w14:paraId="4DC8B8DF" w14:textId="77777777" w:rsidR="00E22D31" w:rsidRPr="007E0967" w:rsidRDefault="00E22D31" w:rsidP="001D0D2B">
            <w:pPr>
              <w:pStyle w:val="CETBodytext"/>
              <w:jc w:val="left"/>
            </w:pPr>
            <w:r w:rsidRPr="00833A21">
              <w:t>39.3%</w:t>
            </w:r>
          </w:p>
        </w:tc>
        <w:tc>
          <w:tcPr>
            <w:tcW w:w="1800" w:type="dxa"/>
            <w:tcBorders>
              <w:top w:val="single" w:sz="6" w:space="0" w:color="008000"/>
              <w:left w:val="nil"/>
              <w:bottom w:val="nil"/>
              <w:right w:val="nil"/>
            </w:tcBorders>
            <w:shd w:val="clear" w:color="auto" w:fill="auto"/>
            <w:noWrap/>
            <w:hideMark/>
          </w:tcPr>
          <w:p w14:paraId="2869229F" w14:textId="77777777" w:rsidR="00E22D31" w:rsidRPr="007E0967" w:rsidRDefault="00E22D31" w:rsidP="001D0D2B">
            <w:pPr>
              <w:pStyle w:val="CETBodytext"/>
              <w:jc w:val="left"/>
            </w:pPr>
            <w:r w:rsidRPr="00833A21">
              <w:t>29.5%</w:t>
            </w:r>
          </w:p>
        </w:tc>
        <w:tc>
          <w:tcPr>
            <w:tcW w:w="718" w:type="dxa"/>
            <w:tcBorders>
              <w:top w:val="single" w:sz="6" w:space="0" w:color="008000"/>
              <w:left w:val="nil"/>
              <w:bottom w:val="nil"/>
              <w:right w:val="nil"/>
            </w:tcBorders>
            <w:shd w:val="clear" w:color="auto" w:fill="auto"/>
            <w:noWrap/>
            <w:hideMark/>
          </w:tcPr>
          <w:p w14:paraId="6461FEE8" w14:textId="77777777" w:rsidR="00E22D31" w:rsidRPr="007E0967" w:rsidRDefault="00E22D31" w:rsidP="001D0D2B">
            <w:pPr>
              <w:pStyle w:val="CETBodytext"/>
              <w:jc w:val="left"/>
            </w:pPr>
            <w:r w:rsidRPr="00833A21">
              <w:t>-9.8%</w:t>
            </w:r>
          </w:p>
        </w:tc>
      </w:tr>
      <w:tr w:rsidR="00E22D31" w:rsidRPr="007E0967" w14:paraId="052DD45F" w14:textId="77777777" w:rsidTr="001D0D2B">
        <w:trPr>
          <w:trHeight w:val="20"/>
        </w:trPr>
        <w:tc>
          <w:tcPr>
            <w:tcW w:w="810" w:type="dxa"/>
            <w:tcBorders>
              <w:top w:val="nil"/>
              <w:left w:val="nil"/>
              <w:bottom w:val="nil"/>
              <w:right w:val="nil"/>
            </w:tcBorders>
            <w:shd w:val="clear" w:color="auto" w:fill="auto"/>
            <w:noWrap/>
            <w:vAlign w:val="bottom"/>
            <w:hideMark/>
          </w:tcPr>
          <w:p w14:paraId="3C673B79" w14:textId="77777777" w:rsidR="00E22D31" w:rsidRPr="007E0967" w:rsidRDefault="00E22D31" w:rsidP="001D0D2B">
            <w:pPr>
              <w:pStyle w:val="CETBodytext"/>
              <w:jc w:val="left"/>
            </w:pPr>
            <w:r>
              <w:t>0.3</w:t>
            </w:r>
          </w:p>
        </w:tc>
        <w:tc>
          <w:tcPr>
            <w:tcW w:w="1800" w:type="dxa"/>
            <w:tcBorders>
              <w:top w:val="nil"/>
              <w:left w:val="nil"/>
              <w:bottom w:val="nil"/>
              <w:right w:val="nil"/>
            </w:tcBorders>
            <w:shd w:val="clear" w:color="auto" w:fill="auto"/>
            <w:noWrap/>
            <w:hideMark/>
          </w:tcPr>
          <w:p w14:paraId="5F615A16" w14:textId="77777777" w:rsidR="00E22D31" w:rsidRPr="007E0967" w:rsidRDefault="00E22D31" w:rsidP="001D0D2B">
            <w:pPr>
              <w:pStyle w:val="CETBodytext"/>
              <w:jc w:val="left"/>
            </w:pPr>
            <w:r w:rsidRPr="00833A21">
              <w:t>32.4%</w:t>
            </w:r>
          </w:p>
        </w:tc>
        <w:tc>
          <w:tcPr>
            <w:tcW w:w="1800" w:type="dxa"/>
            <w:tcBorders>
              <w:top w:val="nil"/>
              <w:left w:val="nil"/>
              <w:bottom w:val="nil"/>
              <w:right w:val="nil"/>
            </w:tcBorders>
            <w:shd w:val="clear" w:color="auto" w:fill="auto"/>
            <w:noWrap/>
            <w:hideMark/>
          </w:tcPr>
          <w:p w14:paraId="34C9E29F" w14:textId="77777777" w:rsidR="00E22D31" w:rsidRPr="007E0967" w:rsidRDefault="00E22D31" w:rsidP="001D0D2B">
            <w:pPr>
              <w:pStyle w:val="CETBodytext"/>
              <w:jc w:val="left"/>
            </w:pPr>
            <w:r w:rsidRPr="00833A21">
              <w:t>24.6%</w:t>
            </w:r>
          </w:p>
        </w:tc>
        <w:tc>
          <w:tcPr>
            <w:tcW w:w="718" w:type="dxa"/>
            <w:tcBorders>
              <w:top w:val="nil"/>
              <w:left w:val="nil"/>
              <w:bottom w:val="nil"/>
              <w:right w:val="nil"/>
            </w:tcBorders>
            <w:shd w:val="clear" w:color="auto" w:fill="auto"/>
            <w:noWrap/>
            <w:hideMark/>
          </w:tcPr>
          <w:p w14:paraId="4007C56E" w14:textId="77777777" w:rsidR="00E22D31" w:rsidRPr="007E0967" w:rsidRDefault="00E22D31" w:rsidP="001D0D2B">
            <w:pPr>
              <w:pStyle w:val="CETBodytext"/>
              <w:jc w:val="left"/>
            </w:pPr>
            <w:r w:rsidRPr="00833A21">
              <w:t>-7.8%</w:t>
            </w:r>
          </w:p>
        </w:tc>
      </w:tr>
      <w:tr w:rsidR="00E22D31" w:rsidRPr="007E0967" w14:paraId="386AE1E2" w14:textId="77777777" w:rsidTr="001D0D2B">
        <w:trPr>
          <w:trHeight w:val="20"/>
        </w:trPr>
        <w:tc>
          <w:tcPr>
            <w:tcW w:w="810" w:type="dxa"/>
            <w:tcBorders>
              <w:top w:val="nil"/>
              <w:left w:val="nil"/>
              <w:bottom w:val="nil"/>
              <w:right w:val="nil"/>
            </w:tcBorders>
            <w:shd w:val="clear" w:color="auto" w:fill="auto"/>
            <w:noWrap/>
            <w:vAlign w:val="bottom"/>
            <w:hideMark/>
          </w:tcPr>
          <w:p w14:paraId="4A38F7F5" w14:textId="77777777" w:rsidR="00E22D31" w:rsidRPr="007E0967" w:rsidRDefault="00E22D31" w:rsidP="001D0D2B">
            <w:pPr>
              <w:pStyle w:val="CETBodytext"/>
              <w:jc w:val="left"/>
            </w:pPr>
            <w:r>
              <w:t>0.5</w:t>
            </w:r>
          </w:p>
        </w:tc>
        <w:tc>
          <w:tcPr>
            <w:tcW w:w="1800" w:type="dxa"/>
            <w:tcBorders>
              <w:top w:val="nil"/>
              <w:left w:val="nil"/>
              <w:bottom w:val="nil"/>
              <w:right w:val="nil"/>
            </w:tcBorders>
            <w:shd w:val="clear" w:color="auto" w:fill="auto"/>
            <w:noWrap/>
            <w:hideMark/>
          </w:tcPr>
          <w:p w14:paraId="068D5BBB" w14:textId="77777777" w:rsidR="00E22D31" w:rsidRPr="007E0967" w:rsidRDefault="00E22D31" w:rsidP="001D0D2B">
            <w:pPr>
              <w:pStyle w:val="CETBodytext"/>
              <w:jc w:val="left"/>
            </w:pPr>
            <w:r w:rsidRPr="00833A21">
              <w:t>27.8%</w:t>
            </w:r>
          </w:p>
        </w:tc>
        <w:tc>
          <w:tcPr>
            <w:tcW w:w="1800" w:type="dxa"/>
            <w:tcBorders>
              <w:top w:val="nil"/>
              <w:left w:val="nil"/>
              <w:bottom w:val="nil"/>
              <w:right w:val="nil"/>
            </w:tcBorders>
            <w:shd w:val="clear" w:color="auto" w:fill="auto"/>
            <w:noWrap/>
            <w:hideMark/>
          </w:tcPr>
          <w:p w14:paraId="7804D3B8" w14:textId="77777777" w:rsidR="00E22D31" w:rsidRPr="007E0967" w:rsidRDefault="00E22D31" w:rsidP="001D0D2B">
            <w:pPr>
              <w:pStyle w:val="CETBodytext"/>
              <w:jc w:val="left"/>
            </w:pPr>
            <w:r w:rsidRPr="00833A21">
              <w:t>22.5%</w:t>
            </w:r>
          </w:p>
        </w:tc>
        <w:tc>
          <w:tcPr>
            <w:tcW w:w="718" w:type="dxa"/>
            <w:tcBorders>
              <w:top w:val="nil"/>
              <w:left w:val="nil"/>
              <w:bottom w:val="nil"/>
              <w:right w:val="nil"/>
            </w:tcBorders>
            <w:shd w:val="clear" w:color="auto" w:fill="auto"/>
            <w:noWrap/>
            <w:hideMark/>
          </w:tcPr>
          <w:p w14:paraId="6C3B4249" w14:textId="77777777" w:rsidR="00E22D31" w:rsidRPr="007E0967" w:rsidRDefault="00E22D31" w:rsidP="001D0D2B">
            <w:pPr>
              <w:pStyle w:val="CETBodytext"/>
              <w:jc w:val="left"/>
            </w:pPr>
            <w:r w:rsidRPr="00833A21">
              <w:t>-5.3%</w:t>
            </w:r>
          </w:p>
        </w:tc>
      </w:tr>
      <w:tr w:rsidR="00E22D31" w:rsidRPr="007E0967" w14:paraId="46F5FE8E" w14:textId="77777777" w:rsidTr="001D0D2B">
        <w:trPr>
          <w:trHeight w:val="20"/>
        </w:trPr>
        <w:tc>
          <w:tcPr>
            <w:tcW w:w="810" w:type="dxa"/>
            <w:tcBorders>
              <w:top w:val="nil"/>
              <w:left w:val="nil"/>
              <w:right w:val="nil"/>
            </w:tcBorders>
            <w:shd w:val="clear" w:color="auto" w:fill="auto"/>
            <w:noWrap/>
            <w:vAlign w:val="bottom"/>
            <w:hideMark/>
          </w:tcPr>
          <w:p w14:paraId="77685C36" w14:textId="77777777" w:rsidR="00E22D31" w:rsidRPr="007E0967" w:rsidRDefault="00E22D31" w:rsidP="001D0D2B">
            <w:pPr>
              <w:pStyle w:val="CETBodytext"/>
              <w:jc w:val="left"/>
            </w:pPr>
            <w:r>
              <w:t>0.7</w:t>
            </w:r>
          </w:p>
        </w:tc>
        <w:tc>
          <w:tcPr>
            <w:tcW w:w="1800" w:type="dxa"/>
            <w:tcBorders>
              <w:top w:val="nil"/>
              <w:left w:val="nil"/>
              <w:right w:val="nil"/>
            </w:tcBorders>
            <w:shd w:val="clear" w:color="auto" w:fill="auto"/>
            <w:noWrap/>
            <w:hideMark/>
          </w:tcPr>
          <w:p w14:paraId="79A67DE6" w14:textId="77777777" w:rsidR="00E22D31" w:rsidRPr="007E0967" w:rsidRDefault="00E22D31" w:rsidP="001D0D2B">
            <w:pPr>
              <w:pStyle w:val="CETBodytext"/>
              <w:jc w:val="left"/>
            </w:pPr>
            <w:r w:rsidRPr="00833A21">
              <w:t>23.2%</w:t>
            </w:r>
          </w:p>
        </w:tc>
        <w:tc>
          <w:tcPr>
            <w:tcW w:w="1800" w:type="dxa"/>
            <w:tcBorders>
              <w:top w:val="nil"/>
              <w:left w:val="nil"/>
              <w:right w:val="nil"/>
            </w:tcBorders>
            <w:shd w:val="clear" w:color="auto" w:fill="auto"/>
            <w:noWrap/>
            <w:hideMark/>
          </w:tcPr>
          <w:p w14:paraId="0338CB2F" w14:textId="77777777" w:rsidR="00E22D31" w:rsidRPr="007E0967" w:rsidRDefault="00E22D31" w:rsidP="001D0D2B">
            <w:pPr>
              <w:pStyle w:val="CETBodytext"/>
              <w:jc w:val="left"/>
            </w:pPr>
            <w:r w:rsidRPr="00833A21">
              <w:t>17.7%</w:t>
            </w:r>
          </w:p>
        </w:tc>
        <w:tc>
          <w:tcPr>
            <w:tcW w:w="718" w:type="dxa"/>
            <w:tcBorders>
              <w:top w:val="nil"/>
              <w:left w:val="nil"/>
              <w:right w:val="nil"/>
            </w:tcBorders>
            <w:shd w:val="clear" w:color="auto" w:fill="auto"/>
            <w:noWrap/>
            <w:hideMark/>
          </w:tcPr>
          <w:p w14:paraId="34D76978" w14:textId="77777777" w:rsidR="00E22D31" w:rsidRPr="007E0967" w:rsidRDefault="00E22D31" w:rsidP="001D0D2B">
            <w:pPr>
              <w:pStyle w:val="CETBodytext"/>
              <w:jc w:val="left"/>
            </w:pPr>
            <w:r w:rsidRPr="00833A21">
              <w:t>-5.5%</w:t>
            </w:r>
          </w:p>
        </w:tc>
      </w:tr>
      <w:tr w:rsidR="00E22D31" w:rsidRPr="007E0967" w14:paraId="1A4AF7FB" w14:textId="77777777" w:rsidTr="00104EE0">
        <w:trPr>
          <w:trHeight w:val="20"/>
        </w:trPr>
        <w:tc>
          <w:tcPr>
            <w:tcW w:w="810" w:type="dxa"/>
            <w:tcBorders>
              <w:top w:val="nil"/>
              <w:left w:val="nil"/>
              <w:bottom w:val="single" w:sz="12" w:space="0" w:color="008000"/>
              <w:right w:val="nil"/>
            </w:tcBorders>
            <w:shd w:val="clear" w:color="auto" w:fill="auto"/>
            <w:noWrap/>
            <w:vAlign w:val="bottom"/>
            <w:hideMark/>
          </w:tcPr>
          <w:p w14:paraId="663375E2" w14:textId="77777777" w:rsidR="00E22D31" w:rsidRPr="007E0967" w:rsidRDefault="00E22D31" w:rsidP="001D0D2B">
            <w:pPr>
              <w:pStyle w:val="CETBodytext"/>
              <w:jc w:val="left"/>
            </w:pPr>
            <w:r>
              <w:t>1.0</w:t>
            </w:r>
          </w:p>
        </w:tc>
        <w:tc>
          <w:tcPr>
            <w:tcW w:w="1800" w:type="dxa"/>
            <w:tcBorders>
              <w:top w:val="nil"/>
              <w:left w:val="nil"/>
              <w:bottom w:val="single" w:sz="12" w:space="0" w:color="008000"/>
              <w:right w:val="nil"/>
            </w:tcBorders>
            <w:shd w:val="clear" w:color="auto" w:fill="auto"/>
            <w:noWrap/>
            <w:hideMark/>
          </w:tcPr>
          <w:p w14:paraId="5F3E594F" w14:textId="77777777" w:rsidR="00E22D31" w:rsidRPr="007E0967" w:rsidRDefault="00E22D31" w:rsidP="001D0D2B">
            <w:pPr>
              <w:pStyle w:val="CETBodytext"/>
              <w:jc w:val="left"/>
            </w:pPr>
            <w:r w:rsidRPr="00833A21">
              <w:t>16.2%</w:t>
            </w:r>
          </w:p>
        </w:tc>
        <w:tc>
          <w:tcPr>
            <w:tcW w:w="1800" w:type="dxa"/>
            <w:tcBorders>
              <w:top w:val="nil"/>
              <w:left w:val="nil"/>
              <w:bottom w:val="single" w:sz="12" w:space="0" w:color="008000"/>
              <w:right w:val="nil"/>
            </w:tcBorders>
            <w:shd w:val="clear" w:color="auto" w:fill="auto"/>
            <w:noWrap/>
            <w:hideMark/>
          </w:tcPr>
          <w:p w14:paraId="75F50F5A" w14:textId="77777777" w:rsidR="00E22D31" w:rsidRPr="007E0967" w:rsidRDefault="00E22D31" w:rsidP="001D0D2B">
            <w:pPr>
              <w:pStyle w:val="CETBodytext"/>
              <w:jc w:val="left"/>
            </w:pPr>
            <w:r w:rsidRPr="00833A21">
              <w:t>11.0%</w:t>
            </w:r>
          </w:p>
        </w:tc>
        <w:tc>
          <w:tcPr>
            <w:tcW w:w="718" w:type="dxa"/>
            <w:tcBorders>
              <w:top w:val="nil"/>
              <w:left w:val="nil"/>
              <w:bottom w:val="single" w:sz="12" w:space="0" w:color="008000"/>
              <w:right w:val="nil"/>
            </w:tcBorders>
            <w:shd w:val="clear" w:color="auto" w:fill="auto"/>
            <w:noWrap/>
            <w:hideMark/>
          </w:tcPr>
          <w:p w14:paraId="555ADFDD" w14:textId="77777777" w:rsidR="00E22D31" w:rsidRPr="007E0967" w:rsidRDefault="00E22D31" w:rsidP="001D0D2B">
            <w:pPr>
              <w:pStyle w:val="CETBodytext"/>
              <w:jc w:val="left"/>
            </w:pPr>
            <w:r w:rsidRPr="00833A21">
              <w:t>-5.2%</w:t>
            </w:r>
          </w:p>
        </w:tc>
      </w:tr>
    </w:tbl>
    <w:p w14:paraId="68707462" w14:textId="570A401D" w:rsidR="00B43B25" w:rsidRDefault="001E1D38" w:rsidP="00B43B25">
      <w:pPr>
        <w:pStyle w:val="CETheadingx"/>
        <w:rPr>
          <w:noProof/>
        </w:rPr>
      </w:pPr>
      <w:r>
        <w:t>The r</w:t>
      </w:r>
      <w:r w:rsidR="00B43B25">
        <w:t xml:space="preserve">enewable source </w:t>
      </w:r>
      <w:r>
        <w:t xml:space="preserve">is </w:t>
      </w:r>
      <w:r w:rsidR="00B43B25">
        <w:t xml:space="preserve">insufficient to sustain the energy-optimal trajectory and </w:t>
      </w:r>
      <w:r>
        <w:t>it is not possible</w:t>
      </w:r>
      <w:r w:rsidR="00B43B25">
        <w:t xml:space="preserve"> to recover the residual </w:t>
      </w:r>
      <w:r w:rsidR="00B43B25">
        <w:rPr>
          <w:noProof/>
        </w:rPr>
        <w:t>capacity entirely</w:t>
      </w:r>
      <w:r w:rsidRPr="001E1D38">
        <w:rPr>
          <w:noProof/>
        </w:rPr>
        <w:t xml:space="preserve"> </w:t>
      </w:r>
    </w:p>
    <w:p w14:paraId="5B420177" w14:textId="08BFF989" w:rsidR="00A63837" w:rsidRDefault="00C90F2B" w:rsidP="0000671D">
      <w:pPr>
        <w:pStyle w:val="CETBodytext"/>
      </w:pPr>
      <w:r>
        <w:t>In this case, the flexible trajectory approach can actually lead to a measurable improvement of the cost upon the fixed trajectory approach</w:t>
      </w:r>
      <w:r w:rsidR="00E22D31">
        <w:t xml:space="preserve">, even when the residual power can be recovered with </w:t>
      </w:r>
      <m:oMath>
        <m:r>
          <m:rPr>
            <m:sty m:val="p"/>
          </m:rPr>
          <w:rPr>
            <w:rFonts w:ascii="Cambria Math" w:hAnsi="Cambria Math"/>
          </w:rPr>
          <m:t>RP</m:t>
        </m:r>
        <m:r>
          <w:rPr>
            <w:rFonts w:ascii="Cambria Math" w:hAnsi="Cambria Math"/>
          </w:rPr>
          <m:t>/</m:t>
        </m:r>
        <m:r>
          <m:rPr>
            <m:sty m:val="p"/>
          </m:rPr>
          <w:rPr>
            <w:rFonts w:ascii="Cambria Math" w:hAnsi="Cambria Math"/>
          </w:rPr>
          <m:t>EP</m:t>
        </m:r>
        <m:r>
          <w:rPr>
            <w:rFonts w:ascii="Cambria Math" w:hAnsi="Cambria Math"/>
          </w:rPr>
          <m:t>∼1</m:t>
        </m:r>
      </m:oMath>
      <w:r w:rsidR="00E22D31">
        <w:t>, as shown in T</w:t>
      </w:r>
      <w:r>
        <w:t xml:space="preserve">able 2 for </w:t>
      </w:r>
      <m:oMath>
        <m:r>
          <w:rPr>
            <w:rFonts w:ascii="Cambria Math" w:hAnsi="Cambria Math"/>
          </w:rPr>
          <m:t>A=5, b=0.0</m:t>
        </m:r>
      </m:oMath>
      <w:r>
        <w:t xml:space="preserve"> and </w:t>
      </w:r>
      <m:oMath>
        <m:acc>
          <m:accPr>
            <m:chr m:val="̇"/>
            <m:ctrlPr>
              <w:rPr>
                <w:rFonts w:ascii="Cambria Math" w:hAnsi="Cambria Math"/>
                <w:i/>
              </w:rPr>
            </m:ctrlPr>
          </m:accPr>
          <m:e>
            <m:r>
              <w:rPr>
                <w:rFonts w:ascii="Cambria Math" w:hAnsi="Cambria Math"/>
              </w:rPr>
              <m:t>L</m:t>
            </m:r>
          </m:e>
        </m:acc>
        <m:r>
          <w:rPr>
            <w:rFonts w:ascii="Cambria Math" w:hAnsi="Cambria Math"/>
          </w:rPr>
          <m:t>=1</m:t>
        </m:r>
      </m:oMath>
      <w:r w:rsidR="00E22D31">
        <w:t xml:space="preserve">. </w:t>
      </w:r>
      <w:r w:rsidR="004B480F">
        <w:t>As expected</w:t>
      </w:r>
      <w:r w:rsidR="008078D9">
        <w:t xml:space="preserve">, </w:t>
      </w:r>
      <w:r w:rsidR="004B480F">
        <w:t>the solutions of the flexible trajectory optimization us</w:t>
      </w:r>
      <w:r w:rsidR="002C5B86">
        <w:t>e more energy overall</w:t>
      </w:r>
      <w:r w:rsidR="004B480F">
        <w:t xml:space="preserve"> than the </w:t>
      </w:r>
      <w:r w:rsidR="005B1A7B">
        <w:t>fixed trajectory</w:t>
      </w:r>
      <w:r w:rsidR="004B480F">
        <w:t xml:space="preserve"> </w:t>
      </w:r>
      <w:r w:rsidR="005B1A7B">
        <w:t>one</w:t>
      </w:r>
      <w:r w:rsidR="00C00B2A">
        <w:t>s</w:t>
      </w:r>
      <w:r w:rsidR="007D685A">
        <w:t xml:space="preserve">. </w:t>
      </w:r>
      <w:r w:rsidR="00CD7570">
        <w:t xml:space="preserve">This is </w:t>
      </w:r>
      <w:r w:rsidR="00E22D31">
        <w:t>visible</w:t>
      </w:r>
      <w:r w:rsidR="00CD7570">
        <w:t xml:space="preserve"> in the second plot of Fi</w:t>
      </w:r>
      <w:r w:rsidR="00E63AA1">
        <w:t xml:space="preserve">gure 3, where the </w:t>
      </w:r>
      <w:r w:rsidR="00E22D31">
        <w:t>two approaches are compared in terms of relative energy use</w:t>
      </w:r>
      <w:r w:rsidR="00E63AA1">
        <w:t>.</w:t>
      </w:r>
      <w:r w:rsidR="00ED0763">
        <w:t xml:space="preserve"> </w:t>
      </w:r>
      <w:r w:rsidR="00E22D31">
        <w:t xml:space="preserve">The recovery price determines how much the flexible </w:t>
      </w:r>
      <w:r w:rsidR="001E1D38">
        <w:t xml:space="preserve"> </w:t>
      </w:r>
      <w:r w:rsidR="00E22D31">
        <w:t xml:space="preserve">trajectory solution departs from the fixed trajectory one. </w:t>
      </w:r>
      <w:r w:rsidR="00E52912">
        <w:t>The increased energy consumption</w:t>
      </w:r>
      <w:r w:rsidR="0037290C">
        <w:t xml:space="preserve">, however </w:t>
      </w:r>
      <w:r w:rsidR="00E52912">
        <w:t xml:space="preserve">comes </w:t>
      </w:r>
      <w:r w:rsidR="007D685A">
        <w:t xml:space="preserve"> </w:t>
      </w:r>
      <w:r w:rsidR="00E52912">
        <w:t xml:space="preserve">with a reduction of </w:t>
      </w:r>
      <w:r w:rsidR="0037290C">
        <w:t xml:space="preserve">the </w:t>
      </w:r>
      <w:r w:rsidR="00E22D31">
        <w:t xml:space="preserve">power consumed from the grid </w:t>
      </w:r>
      <w:r w:rsidR="00DD18EC">
        <w:t xml:space="preserve">and </w:t>
      </w:r>
      <w:r w:rsidR="002C5B86">
        <w:t xml:space="preserve">an </w:t>
      </w:r>
      <w:r w:rsidR="00DD18EC">
        <w:t>increased</w:t>
      </w:r>
      <w:r w:rsidR="00E22D31">
        <w:t xml:space="preserve"> r</w:t>
      </w:r>
      <w:r w:rsidR="00DD18EC">
        <w:t xml:space="preserve">enewable </w:t>
      </w:r>
      <w:r w:rsidR="00E22D31">
        <w:t>power use</w:t>
      </w:r>
      <w:r w:rsidR="00E52912">
        <w:t>. Furthermore, the wasted renewable capacity is reduced</w:t>
      </w:r>
      <w:r w:rsidR="00E22D31">
        <w:t>,</w:t>
      </w:r>
      <w:r w:rsidR="00DD18EC">
        <w:t xml:space="preserve"> compared to the fixed</w:t>
      </w:r>
      <w:r w:rsidR="00336435">
        <w:t xml:space="preserve"> </w:t>
      </w:r>
      <w:r w:rsidR="007341A7">
        <w:t>t</w:t>
      </w:r>
      <w:r w:rsidR="00DD18EC">
        <w:t>rajectory approach</w:t>
      </w:r>
      <w:r w:rsidR="00E52912">
        <w:t xml:space="preserve">, as </w:t>
      </w:r>
      <w:r w:rsidR="00E22D31">
        <w:t>visible</w:t>
      </w:r>
      <w:r w:rsidR="00E52912">
        <w:t xml:space="preserve"> in F</w:t>
      </w:r>
      <w:r w:rsidR="00DD18EC">
        <w:t>igure 2</w:t>
      </w:r>
      <w:r w:rsidR="00E52912">
        <w:t xml:space="preserve">. </w:t>
      </w:r>
    </w:p>
    <w:p w14:paraId="2999846A" w14:textId="5A11F366" w:rsidR="004063BF" w:rsidRDefault="002E2610" w:rsidP="00A070E5">
      <w:pPr>
        <w:pStyle w:val="CETHeading1"/>
      </w:pPr>
      <w:r>
        <w:t>Conclusions</w:t>
      </w:r>
      <w:r w:rsidR="003A6188">
        <w:t xml:space="preserve"> and further work</w:t>
      </w:r>
    </w:p>
    <w:p w14:paraId="64671D9A" w14:textId="5249CD21" w:rsidR="001F5BE8" w:rsidRDefault="00D552E7" w:rsidP="00D552E7">
      <w:pPr>
        <w:pStyle w:val="CETBodytext"/>
      </w:pPr>
      <w:r>
        <w:t xml:space="preserve">In this work </w:t>
      </w:r>
      <w:r w:rsidR="0047361F">
        <w:t>it was</w:t>
      </w:r>
      <w:r>
        <w:t xml:space="preserve"> outlined how process scheduling and trajectory optimization can be used</w:t>
      </w:r>
      <w:r w:rsidR="006830D2">
        <w:t xml:space="preserve"> in combination</w:t>
      </w:r>
      <w:r>
        <w:t xml:space="preserve"> to adapt the operation of a process to the availability of renewable power, and </w:t>
      </w:r>
      <w:r w:rsidR="006830D2">
        <w:t>some examples of</w:t>
      </w:r>
      <w:r>
        <w:t xml:space="preserve"> the feat</w:t>
      </w:r>
      <w:r w:rsidR="006830D2">
        <w:t xml:space="preserve">ures that </w:t>
      </w:r>
      <w:r w:rsidR="006830D2">
        <w:lastRenderedPageBreak/>
        <w:t>the solutions possess</w:t>
      </w:r>
      <w:r w:rsidR="0047361F">
        <w:t xml:space="preserve"> were provided</w:t>
      </w:r>
      <w:r w:rsidR="006830D2">
        <w:t>. The main takeaways are that, when the</w:t>
      </w:r>
      <w:r w:rsidR="00B004EC">
        <w:t xml:space="preserve"> renewable capacity is limited, further</w:t>
      </w:r>
      <w:r w:rsidR="006830D2">
        <w:t xml:space="preserve"> reductions in the consumption of</w:t>
      </w:r>
      <w:r w:rsidR="001F5BE8">
        <w:t xml:space="preserve"> grid</w:t>
      </w:r>
      <w:r w:rsidR="006830D2">
        <w:t xml:space="preserve"> </w:t>
      </w:r>
      <w:r w:rsidR="001F5BE8">
        <w:t>power</w:t>
      </w:r>
      <w:r w:rsidR="006830D2">
        <w:t xml:space="preserve"> can be obtained by </w:t>
      </w:r>
      <w:r w:rsidR="00DF0894">
        <w:t>adapting</w:t>
      </w:r>
      <w:r w:rsidR="006830D2">
        <w:t xml:space="preserve"> the trajectory of the process</w:t>
      </w:r>
      <w:r w:rsidR="001F5BE8">
        <w:t xml:space="preserve"> accordingly, and</w:t>
      </w:r>
      <w:r w:rsidR="006830D2">
        <w:t xml:space="preserve"> </w:t>
      </w:r>
      <w:r w:rsidR="001F5BE8">
        <w:t>t</w:t>
      </w:r>
      <w:r w:rsidR="006830D2">
        <w:t xml:space="preserve">his is </w:t>
      </w:r>
      <w:r w:rsidR="005F250E">
        <w:t xml:space="preserve">especially true </w:t>
      </w:r>
      <w:r w:rsidR="006830D2">
        <w:t xml:space="preserve">when </w:t>
      </w:r>
      <w:r w:rsidR="00E22D31">
        <w:t>there is a limited abili</w:t>
      </w:r>
      <w:r w:rsidR="006830D2">
        <w:t xml:space="preserve">ty to recover the residual </w:t>
      </w:r>
      <w:r w:rsidR="00743BE0">
        <w:t xml:space="preserve">capacity. </w:t>
      </w:r>
    </w:p>
    <w:p w14:paraId="25485BDB" w14:textId="77777777" w:rsidR="007D685A" w:rsidRDefault="00743BE0" w:rsidP="00D552E7">
      <w:pPr>
        <w:pStyle w:val="CETBodytext"/>
      </w:pPr>
      <w:r>
        <w:t xml:space="preserve">In the situation where there is an excess of renewable generation or when </w:t>
      </w:r>
      <w:r w:rsidR="00A35C87">
        <w:t xml:space="preserve">the plant is flexible enough to consume power at its maximum potential, </w:t>
      </w:r>
      <w:r w:rsidR="00DF0894">
        <w:t>scheduling the process operated with the energy-optimal trajectory</w:t>
      </w:r>
      <w:r w:rsidR="00A35C87">
        <w:t xml:space="preserve"> is alread</w:t>
      </w:r>
      <w:r w:rsidR="006E1AE3">
        <w:t>y sufficient in reduc</w:t>
      </w:r>
      <w:r w:rsidR="001F5BE8">
        <w:t>ing the reliance on grid power and can be used by the plant operator to easily integrate the renewable generation.</w:t>
      </w:r>
      <w:r w:rsidR="007D685A">
        <w:t xml:space="preserve"> </w:t>
      </w:r>
    </w:p>
    <w:p w14:paraId="1863D504" w14:textId="1CF95BED" w:rsidR="006E1AE3" w:rsidRDefault="006E1AE3" w:rsidP="00D552E7">
      <w:pPr>
        <w:pStyle w:val="CETBodytext"/>
      </w:pPr>
      <w:r>
        <w:t xml:space="preserve">Both approaches can be thought of as predictive demand-side management practices. The schedule or trajectory can be computed in advance based on seasonal values of the renewable capacity, </w:t>
      </w:r>
      <w:r w:rsidR="001F5BE8">
        <w:t>although</w:t>
      </w:r>
      <w:r>
        <w:t xml:space="preserve"> if a forecast is available for the generation capacity, it is also possible to optimize the trajec</w:t>
      </w:r>
      <w:r w:rsidR="003A6188">
        <w:t>tory on a day-by-day basis.</w:t>
      </w:r>
      <w:r w:rsidR="00F90A4E" w:rsidRPr="00F90A4E">
        <w:rPr>
          <w:noProof/>
        </w:rPr>
        <w:t xml:space="preserve"> </w:t>
      </w:r>
    </w:p>
    <w:p w14:paraId="0E60EDFC" w14:textId="1354C8A5" w:rsidR="00785A9B" w:rsidRDefault="003A6188" w:rsidP="001C4ACF">
      <w:pPr>
        <w:pStyle w:val="CETBodytext"/>
      </w:pPr>
      <w:r>
        <w:t>O</w:t>
      </w:r>
      <w:r w:rsidR="006E1AE3">
        <w:t>ther demonstrations of predictive demand side management exist in the literature</w:t>
      </w:r>
      <w:r>
        <w:t>, such as Kelley et al., 2020</w:t>
      </w:r>
      <w:r w:rsidR="006E1AE3">
        <w:t xml:space="preserve">, however they use the market price of energy as driver for the optimization. While </w:t>
      </w:r>
      <w:r w:rsidR="00006B22">
        <w:t>from an economic standpoint</w:t>
      </w:r>
      <w:r w:rsidR="00F90A4E">
        <w:t xml:space="preserve"> </w:t>
      </w:r>
      <w:r w:rsidR="006E1AE3">
        <w:t xml:space="preserve">this is </w:t>
      </w:r>
      <w:r w:rsidR="00F90A4E">
        <w:t>the best approach</w:t>
      </w:r>
      <w:r w:rsidR="006E1AE3">
        <w:t xml:space="preserve">, in practice </w:t>
      </w:r>
      <w:r w:rsidR="00F90A4E">
        <w:t>it</w:t>
      </w:r>
      <w:r w:rsidR="006E1AE3">
        <w:t xml:space="preserve"> would only be relevant for enterprises that can </w:t>
      </w:r>
      <w:r w:rsidR="001F5BE8">
        <w:t xml:space="preserve">directly </w:t>
      </w:r>
      <w:r w:rsidR="006E1AE3">
        <w:t>participate in the electricity market</w:t>
      </w:r>
      <w:r w:rsidR="001F5BE8">
        <w:t>, thu</w:t>
      </w:r>
      <w:r w:rsidR="00B004EC">
        <w:t xml:space="preserve">s limiting </w:t>
      </w:r>
      <w:r w:rsidR="00F90A4E">
        <w:t>its applicability</w:t>
      </w:r>
      <w:r w:rsidR="006E1AE3">
        <w:t>. Explicitly taking the rene</w:t>
      </w:r>
      <w:r w:rsidR="001F5BE8">
        <w:t xml:space="preserve">wable generation into account, on the other hand, </w:t>
      </w:r>
      <w:r w:rsidR="00F90A4E">
        <w:t>makes</w:t>
      </w:r>
      <w:r w:rsidR="001F5BE8">
        <w:t xml:space="preserve"> the practice accessible for small and medium enterprises as well</w:t>
      </w:r>
      <w:r>
        <w:t xml:space="preserve"> and </w:t>
      </w:r>
      <w:r w:rsidR="00F90A4E">
        <w:t>can lead to</w:t>
      </w:r>
      <w:r>
        <w:t xml:space="preserve"> a greater impact on the </w:t>
      </w:r>
      <w:r w:rsidR="00F90A4E">
        <w:t>overall energy consumption patterns</w:t>
      </w:r>
      <w:r>
        <w:t>.</w:t>
      </w:r>
      <w:r w:rsidR="00BA3DF2">
        <w:t xml:space="preserve"> </w:t>
      </w:r>
      <w:r w:rsidR="00006B22">
        <w:t>Nonetheless, the methods presented here can be extended with minor effort to situations where different energy tariffs are available at different times of the day.</w:t>
      </w:r>
    </w:p>
    <w:p w14:paraId="5901D0A1" w14:textId="48C04453" w:rsidR="00843674" w:rsidRDefault="003A6188" w:rsidP="001C4ACF">
      <w:pPr>
        <w:pStyle w:val="CETBodytext"/>
      </w:pPr>
      <w:r>
        <w:t>As a concluding remark,</w:t>
      </w:r>
      <w:r w:rsidR="00B004EC">
        <w:t xml:space="preserve"> </w:t>
      </w:r>
      <w:r w:rsidR="0047361F">
        <w:t xml:space="preserve">it is to be pointed </w:t>
      </w:r>
      <w:r w:rsidR="00B004EC">
        <w:t>out that</w:t>
      </w:r>
      <w:r>
        <w:t xml:space="preserve"> the problem solved in this work is a “toy problem” in comparison to </w:t>
      </w:r>
      <w:r w:rsidR="00B004EC">
        <w:t>real-world scheduling problems</w:t>
      </w:r>
      <w:r>
        <w:t xml:space="preserve">, where a number of processes have to be allocated under stringent sequencing and production constraints. In other words, the scenario </w:t>
      </w:r>
      <w:r w:rsidR="00F90A4E">
        <w:t>considered here benefits from a</w:t>
      </w:r>
      <w:r>
        <w:t xml:space="preserve"> </w:t>
      </w:r>
      <w:r w:rsidR="00F90A4E">
        <w:t>high</w:t>
      </w:r>
      <w:r>
        <w:t xml:space="preserve"> flexibility with respect to timing. It can be </w:t>
      </w:r>
      <w:r w:rsidR="00F90A4E">
        <w:t>assumed</w:t>
      </w:r>
      <w:r w:rsidR="00CD4F82">
        <w:t xml:space="preserve">, that when this flexibility is reduced and the process is locked into place time-wise, then the trajectory optimization </w:t>
      </w:r>
      <w:r w:rsidR="00F90A4E">
        <w:t>will</w:t>
      </w:r>
      <w:r w:rsidR="00CD4F82">
        <w:t xml:space="preserve"> play a more important role in making the best use of the available </w:t>
      </w:r>
      <w:r w:rsidR="00F90A4E">
        <w:t xml:space="preserve">renewable generation </w:t>
      </w:r>
      <w:r w:rsidR="00CD4F82">
        <w:t xml:space="preserve">capacity. </w:t>
      </w:r>
    </w:p>
    <w:p w14:paraId="75CA6EF7" w14:textId="77777777" w:rsidR="00F3597F" w:rsidRDefault="00F3597F" w:rsidP="00F3597F">
      <w:pPr>
        <w:pStyle w:val="CETHeadingxx"/>
        <w:rPr>
          <w:rFonts w:ascii="Cambria Math" w:eastAsia="SimSun" w:hAnsi="Cambria Math"/>
          <w:oMath/>
        </w:rPr>
        <w:sectPr w:rsidR="00F3597F" w:rsidSect="0077098D">
          <w:type w:val="continuous"/>
          <w:pgSz w:w="11906" w:h="16838" w:code="9"/>
          <w:pgMar w:top="1701" w:right="1418" w:bottom="1701" w:left="1701" w:header="1701" w:footer="0" w:gutter="0"/>
          <w:cols w:space="708"/>
          <w:formProt w:val="0"/>
          <w:titlePg/>
          <w:docGrid w:linePitch="360"/>
        </w:sectPr>
      </w:pPr>
      <w:r>
        <w:t>Nomenclature</w:t>
      </w:r>
    </w:p>
    <w:p w14:paraId="720FEAF2" w14:textId="77777777" w:rsidR="00F3597F" w:rsidRDefault="00F3597F" w:rsidP="00F3597F">
      <w:pPr>
        <w:pStyle w:val="CETBodytext"/>
        <w:jc w:val="left"/>
        <w:rPr>
          <w:rFonts w:eastAsia="SimSun"/>
        </w:rPr>
      </w:pPr>
      <m:oMath>
        <m:r>
          <w:rPr>
            <w:rFonts w:ascii="Cambria Math" w:eastAsia="SimSun" w:hAnsi="Cambria Math"/>
          </w:rPr>
          <m:t>A</m:t>
        </m:r>
      </m:oMath>
      <w:r w:rsidRPr="00280FAF">
        <w:rPr>
          <w:rFonts w:eastAsia="SimSun"/>
        </w:rPr>
        <w:t xml:space="preserve"> – </w:t>
      </w:r>
      <w:r>
        <w:rPr>
          <w:rFonts w:eastAsia="SimSun"/>
        </w:rPr>
        <w:t xml:space="preserve">Renewable power generation at solar apex, </w:t>
      </w:r>
      <m:oMath>
        <m:r>
          <m:rPr>
            <m:sty m:val="p"/>
          </m:rPr>
          <w:rPr>
            <w:rFonts w:ascii="Cambria Math" w:eastAsia="SimSun" w:hAnsi="Cambria Math"/>
          </w:rPr>
          <m:t>kW</m:t>
        </m:r>
      </m:oMath>
      <w:r>
        <w:rPr>
          <w:rFonts w:eastAsia="SimSun"/>
        </w:rPr>
        <w:t xml:space="preserve"> </w:t>
      </w:r>
    </w:p>
    <w:p w14:paraId="67B5316F" w14:textId="77777777" w:rsidR="00F3597F" w:rsidRDefault="00F3597F" w:rsidP="00F3597F">
      <w:pPr>
        <w:pStyle w:val="CETBodytext"/>
        <w:ind w:right="-551"/>
        <w:jc w:val="left"/>
        <w:rPr>
          <w:rFonts w:eastAsia="SimSun"/>
        </w:rPr>
      </w:pPr>
      <m:oMath>
        <m:r>
          <w:rPr>
            <w:rFonts w:ascii="Cambria Math" w:eastAsia="SimSun" w:hAnsi="Cambria Math"/>
          </w:rPr>
          <m:t>b</m:t>
        </m:r>
      </m:oMath>
      <w:r w:rsidRPr="00280FAF">
        <w:rPr>
          <w:rFonts w:eastAsia="SimSun"/>
        </w:rPr>
        <w:t xml:space="preserve"> –</w:t>
      </w:r>
      <w:r>
        <w:rPr>
          <w:rFonts w:eastAsia="SimSun"/>
        </w:rPr>
        <w:t xml:space="preserve"> Renewable power generation offset, -</w:t>
      </w:r>
      <w:r w:rsidRPr="00280FAF">
        <w:rPr>
          <w:rFonts w:eastAsia="SimSun"/>
        </w:rPr>
        <w:t xml:space="preserve"> </w:t>
      </w:r>
    </w:p>
    <w:p w14:paraId="2D366257" w14:textId="77777777" w:rsidR="00F3597F" w:rsidRDefault="00287481" w:rsidP="00F3597F">
      <w:pPr>
        <w:pStyle w:val="CETBodytext"/>
        <w:jc w:val="left"/>
        <w:rPr>
          <w:rFonts w:eastAsia="SimSun"/>
        </w:rPr>
      </w:pPr>
      <m:oMath>
        <m:acc>
          <m:accPr>
            <m:chr m:val="̇"/>
            <m:ctrlPr>
              <w:rPr>
                <w:rFonts w:ascii="Cambria Math" w:eastAsia="SimSun" w:hAnsi="Cambria Math"/>
                <w:i/>
              </w:rPr>
            </m:ctrlPr>
          </m:accPr>
          <m:e>
            <m:r>
              <w:rPr>
                <w:rFonts w:ascii="Cambria Math" w:eastAsia="SimSun" w:hAnsi="Cambria Math"/>
              </w:rPr>
              <m:t>E</m:t>
            </m:r>
          </m:e>
        </m:acc>
      </m:oMath>
      <w:r w:rsidR="00F3597F" w:rsidRPr="00280FAF">
        <w:rPr>
          <w:rFonts w:eastAsia="SimSun"/>
        </w:rPr>
        <w:t xml:space="preserve"> –</w:t>
      </w:r>
      <w:r w:rsidR="00F3597F">
        <w:rPr>
          <w:rFonts w:eastAsia="SimSun"/>
        </w:rPr>
        <w:t xml:space="preserve"> Electrical power consumption of the process, </w:t>
      </w:r>
      <m:oMath>
        <m:r>
          <m:rPr>
            <m:sty m:val="p"/>
          </m:rPr>
          <w:rPr>
            <w:rFonts w:ascii="Cambria Math" w:eastAsia="SimSun" w:hAnsi="Cambria Math"/>
          </w:rPr>
          <m:t>kW</m:t>
        </m:r>
      </m:oMath>
      <w:r w:rsidR="00F3597F" w:rsidRPr="00280FAF">
        <w:rPr>
          <w:rFonts w:eastAsia="SimSun"/>
        </w:rPr>
        <w:t xml:space="preserve"> </w:t>
      </w:r>
    </w:p>
    <w:p w14:paraId="1A67767B" w14:textId="77777777" w:rsidR="00F3597F" w:rsidRDefault="00F3597F" w:rsidP="00F3597F">
      <w:pPr>
        <w:pStyle w:val="CETBodytext"/>
        <w:jc w:val="left"/>
        <w:rPr>
          <w:rFonts w:eastAsia="SimSun"/>
        </w:rPr>
      </w:pPr>
      <m:oMath>
        <m:r>
          <m:rPr>
            <m:sty m:val="p"/>
          </m:rPr>
          <w:rPr>
            <w:rFonts w:ascii="Cambria Math" w:eastAsia="SimSun" w:hAnsi="Cambria Math"/>
          </w:rPr>
          <m:t>EP</m:t>
        </m:r>
      </m:oMath>
      <w:r w:rsidRPr="00280FAF">
        <w:rPr>
          <w:rFonts w:eastAsia="SimSun"/>
        </w:rPr>
        <w:t xml:space="preserve"> – </w:t>
      </w:r>
      <w:r>
        <w:rPr>
          <w:rFonts w:eastAsia="SimSun"/>
        </w:rPr>
        <w:t xml:space="preserve">Grid energy price, </w:t>
      </w:r>
      <m:oMath>
        <m:r>
          <w:rPr>
            <w:rFonts w:ascii="Cambria Math" w:eastAsia="SimSun" w:hAnsi="Cambria Math"/>
          </w:rPr>
          <m:t>€/</m:t>
        </m:r>
        <m:r>
          <m:rPr>
            <m:sty m:val="p"/>
          </m:rPr>
          <w:rPr>
            <w:rFonts w:ascii="Cambria Math" w:eastAsia="SimSun" w:hAnsi="Cambria Math"/>
          </w:rPr>
          <m:t>kWh</m:t>
        </m:r>
      </m:oMath>
    </w:p>
    <w:p w14:paraId="0E38FC1E" w14:textId="77777777" w:rsidR="00F3597F" w:rsidRDefault="00287481" w:rsidP="00F3597F">
      <w:pPr>
        <w:pStyle w:val="CETBodytext"/>
        <w:jc w:val="left"/>
        <w:rPr>
          <w:rFonts w:eastAsia="SimSun"/>
        </w:rPr>
      </w:pPr>
      <m:oMath>
        <m:acc>
          <m:accPr>
            <m:chr m:val="̇"/>
            <m:ctrlPr>
              <w:rPr>
                <w:rFonts w:ascii="Cambria Math" w:eastAsia="SimSun" w:hAnsi="Cambria Math"/>
                <w:i/>
              </w:rPr>
            </m:ctrlPr>
          </m:accPr>
          <m:e>
            <m:r>
              <w:rPr>
                <w:rFonts w:ascii="Cambria Math" w:eastAsia="SimSun" w:hAnsi="Cambria Math"/>
              </w:rPr>
              <m:t>G</m:t>
            </m:r>
          </m:e>
        </m:acc>
      </m:oMath>
      <w:r w:rsidR="00F3597F" w:rsidRPr="00280FAF">
        <w:rPr>
          <w:rFonts w:eastAsia="SimSun"/>
        </w:rPr>
        <w:t xml:space="preserve"> – </w:t>
      </w:r>
      <w:r w:rsidR="00F3597F">
        <w:rPr>
          <w:rFonts w:eastAsia="SimSun"/>
        </w:rPr>
        <w:t xml:space="preserve">Grid power consumption, </w:t>
      </w:r>
      <m:oMath>
        <m:r>
          <m:rPr>
            <m:sty m:val="p"/>
          </m:rPr>
          <w:rPr>
            <w:rFonts w:ascii="Cambria Math" w:eastAsia="SimSun" w:hAnsi="Cambria Math"/>
          </w:rPr>
          <m:t>kW</m:t>
        </m:r>
      </m:oMath>
    </w:p>
    <w:p w14:paraId="3B2CBD8D" w14:textId="77777777" w:rsidR="00F3597F" w:rsidRDefault="00287481" w:rsidP="00F3597F">
      <w:pPr>
        <w:pStyle w:val="CETBodytext"/>
        <w:jc w:val="left"/>
        <w:rPr>
          <w:rFonts w:eastAsia="SimSun"/>
        </w:rPr>
      </w:pPr>
      <m:oMath>
        <m:acc>
          <m:accPr>
            <m:chr m:val="̇"/>
            <m:ctrlPr>
              <w:rPr>
                <w:rFonts w:ascii="Cambria Math" w:eastAsia="SimSun" w:hAnsi="Cambria Math"/>
                <w:i/>
              </w:rPr>
            </m:ctrlPr>
          </m:accPr>
          <m:e>
            <m:r>
              <w:rPr>
                <w:rFonts w:ascii="Cambria Math" w:eastAsia="SimSun" w:hAnsi="Cambria Math"/>
              </w:rPr>
              <m:t>L</m:t>
            </m:r>
          </m:e>
        </m:acc>
      </m:oMath>
      <w:r w:rsidR="00F3597F" w:rsidRPr="00280FAF">
        <w:rPr>
          <w:rFonts w:eastAsia="SimSun"/>
        </w:rPr>
        <w:t xml:space="preserve"> – </w:t>
      </w:r>
      <w:r w:rsidR="00F3597F">
        <w:rPr>
          <w:rFonts w:eastAsia="SimSun"/>
        </w:rPr>
        <w:t xml:space="preserve">Maximum recoverable residual capacity, </w:t>
      </w:r>
      <m:oMath>
        <m:r>
          <m:rPr>
            <m:sty m:val="p"/>
          </m:rPr>
          <w:rPr>
            <w:rFonts w:ascii="Cambria Math" w:eastAsia="SimSun" w:hAnsi="Cambria Math"/>
          </w:rPr>
          <m:t>kW</m:t>
        </m:r>
      </m:oMath>
      <w:r w:rsidR="00F3597F" w:rsidRPr="00280FAF">
        <w:rPr>
          <w:rFonts w:eastAsia="SimSun"/>
        </w:rPr>
        <w:t xml:space="preserve"> </w:t>
      </w:r>
    </w:p>
    <w:p w14:paraId="3E709BF8" w14:textId="77777777" w:rsidR="00F3597F" w:rsidRDefault="00287481" w:rsidP="00F3597F">
      <w:pPr>
        <w:pStyle w:val="CETBodytext"/>
        <w:jc w:val="left"/>
        <w:rPr>
          <w:rFonts w:eastAsia="SimSun"/>
        </w:rPr>
      </w:pPr>
      <m:oMath>
        <m:acc>
          <m:accPr>
            <m:chr m:val="̇"/>
            <m:ctrlPr>
              <w:rPr>
                <w:rFonts w:ascii="Cambria Math" w:eastAsia="SimSun" w:hAnsi="Cambria Math"/>
                <w:i/>
              </w:rPr>
            </m:ctrlPr>
          </m:accPr>
          <m:e>
            <m:r>
              <w:rPr>
                <w:rFonts w:ascii="Cambria Math" w:eastAsia="SimSun" w:hAnsi="Cambria Math"/>
              </w:rPr>
              <m:t>R</m:t>
            </m:r>
          </m:e>
        </m:acc>
      </m:oMath>
      <w:r w:rsidR="00F3597F" w:rsidRPr="00280FAF">
        <w:rPr>
          <w:rFonts w:eastAsia="SimSun"/>
        </w:rPr>
        <w:t xml:space="preserve"> – </w:t>
      </w:r>
      <w:r w:rsidR="00F3597F">
        <w:rPr>
          <w:rFonts w:eastAsia="SimSun"/>
        </w:rPr>
        <w:t xml:space="preserve">Renewable generation capacity, </w:t>
      </w:r>
      <m:oMath>
        <m:r>
          <m:rPr>
            <m:sty m:val="p"/>
          </m:rPr>
          <w:rPr>
            <w:rFonts w:ascii="Cambria Math" w:eastAsia="SimSun" w:hAnsi="Cambria Math"/>
          </w:rPr>
          <m:t>kW</m:t>
        </m:r>
      </m:oMath>
    </w:p>
    <w:p w14:paraId="011C5975" w14:textId="77777777" w:rsidR="00F3597F" w:rsidRDefault="00F3597F" w:rsidP="00F3597F">
      <w:pPr>
        <w:pStyle w:val="CETBodytext"/>
        <w:jc w:val="left"/>
        <w:rPr>
          <w:rFonts w:eastAsia="SimSun"/>
        </w:rPr>
      </w:pPr>
      <m:oMath>
        <m:r>
          <m:rPr>
            <m:sty m:val="p"/>
          </m:rPr>
          <w:rPr>
            <w:rFonts w:ascii="Cambria Math" w:eastAsia="SimSun" w:hAnsi="Cambria Math"/>
          </w:rPr>
          <m:t>RP</m:t>
        </m:r>
      </m:oMath>
      <w:r w:rsidRPr="00280FAF">
        <w:rPr>
          <w:rFonts w:eastAsia="SimSun"/>
        </w:rPr>
        <w:t xml:space="preserve"> – </w:t>
      </w:r>
      <w:r>
        <w:rPr>
          <w:rFonts w:eastAsia="SimSun"/>
        </w:rPr>
        <w:t xml:space="preserve">Recovery price for the residual capacity, </w:t>
      </w:r>
      <m:oMath>
        <m:r>
          <w:rPr>
            <w:rFonts w:ascii="Cambria Math" w:eastAsia="SimSun" w:hAnsi="Cambria Math"/>
          </w:rPr>
          <m:t>€/</m:t>
        </m:r>
        <m:r>
          <m:rPr>
            <m:sty m:val="p"/>
          </m:rPr>
          <w:rPr>
            <w:rFonts w:ascii="Cambria Math" w:eastAsia="SimSun" w:hAnsi="Cambria Math"/>
          </w:rPr>
          <m:t>kWh</m:t>
        </m:r>
      </m:oMath>
    </w:p>
    <w:p w14:paraId="37A0813F" w14:textId="77777777" w:rsidR="00F3597F" w:rsidRDefault="00287481" w:rsidP="00F3597F">
      <w:pPr>
        <w:pStyle w:val="CETBodytext"/>
        <w:jc w:val="left"/>
        <w:rPr>
          <w:rFonts w:eastAsia="SimSun"/>
        </w:rPr>
      </w:pPr>
      <m:oMath>
        <m:acc>
          <m:accPr>
            <m:chr m:val="̇"/>
            <m:ctrlPr>
              <w:rPr>
                <w:rFonts w:ascii="Cambria Math" w:eastAsia="SimSun" w:hAnsi="Cambria Math"/>
                <w:i/>
              </w:rPr>
            </m:ctrlPr>
          </m:accPr>
          <m:e>
            <m:r>
              <w:rPr>
                <w:rFonts w:ascii="Cambria Math" w:eastAsia="SimSun" w:hAnsi="Cambria Math"/>
              </w:rPr>
              <m:t>S</m:t>
            </m:r>
          </m:e>
        </m:acc>
      </m:oMath>
      <w:r w:rsidR="00F3597F" w:rsidRPr="00280FAF">
        <w:rPr>
          <w:rFonts w:eastAsia="SimSun"/>
        </w:rPr>
        <w:t xml:space="preserve"> – </w:t>
      </w:r>
      <w:r w:rsidR="00F3597F">
        <w:rPr>
          <w:rFonts w:eastAsia="SimSun"/>
        </w:rPr>
        <w:t xml:space="preserve">Recovered residual capacity, </w:t>
      </w:r>
      <m:oMath>
        <m:r>
          <m:rPr>
            <m:sty m:val="p"/>
          </m:rPr>
          <w:rPr>
            <w:rFonts w:ascii="Cambria Math" w:eastAsia="SimSun" w:hAnsi="Cambria Math"/>
          </w:rPr>
          <m:t>kW</m:t>
        </m:r>
      </m:oMath>
    </w:p>
    <w:p w14:paraId="2A71DF60" w14:textId="77777777" w:rsidR="00F3597F" w:rsidRDefault="00287481" w:rsidP="00F3597F">
      <w:pPr>
        <w:pStyle w:val="CETBodytext"/>
        <w:jc w:val="left"/>
        <w:rPr>
          <w:rFonts w:eastAsia="SimSun"/>
        </w:rPr>
      </w:pPr>
      <m:oMath>
        <m:acc>
          <m:accPr>
            <m:chr m:val="̇"/>
            <m:ctrlPr>
              <w:rPr>
                <w:rFonts w:ascii="Cambria Math" w:eastAsia="SimSun" w:hAnsi="Cambria Math"/>
                <w:i/>
              </w:rPr>
            </m:ctrlPr>
          </m:accPr>
          <m:e>
            <m:r>
              <w:rPr>
                <w:rFonts w:ascii="Cambria Math" w:eastAsia="SimSun" w:hAnsi="Cambria Math"/>
              </w:rPr>
              <m:t>W</m:t>
            </m:r>
          </m:e>
        </m:acc>
      </m:oMath>
      <w:r w:rsidR="00F3597F" w:rsidRPr="00280FAF">
        <w:rPr>
          <w:rFonts w:eastAsia="SimSun"/>
        </w:rPr>
        <w:t xml:space="preserve"> – </w:t>
      </w:r>
      <w:r w:rsidR="00F3597F">
        <w:rPr>
          <w:rFonts w:eastAsia="SimSun"/>
        </w:rPr>
        <w:t xml:space="preserve">Wasted renewable capacity, </w:t>
      </w:r>
      <m:oMath>
        <m:r>
          <m:rPr>
            <m:sty m:val="p"/>
          </m:rPr>
          <w:rPr>
            <w:rFonts w:ascii="Cambria Math" w:eastAsia="SimSun" w:hAnsi="Cambria Math"/>
          </w:rPr>
          <m:t>kW</m:t>
        </m:r>
      </m:oMath>
    </w:p>
    <w:p w14:paraId="6D932A22" w14:textId="77777777" w:rsidR="00F3597F" w:rsidRDefault="00F3597F" w:rsidP="00F3597F">
      <w:pPr>
        <w:pStyle w:val="CETBodytext"/>
        <w:jc w:val="left"/>
        <w:rPr>
          <w:rFonts w:eastAsia="SimSun"/>
        </w:rPr>
        <w:sectPr w:rsidR="00F3597F" w:rsidSect="00EA1937">
          <w:type w:val="continuous"/>
          <w:pgSz w:w="11906" w:h="16838" w:code="9"/>
          <w:pgMar w:top="1701" w:right="1418" w:bottom="1701" w:left="1701" w:header="1701" w:footer="0" w:gutter="0"/>
          <w:cols w:num="2" w:space="129"/>
          <w:formProt w:val="0"/>
          <w:titlePg/>
          <w:docGrid w:linePitch="360"/>
        </w:sectPr>
      </w:pPr>
    </w:p>
    <w:p w14:paraId="12DADDEA" w14:textId="6AF2D95A" w:rsidR="005E0691" w:rsidRDefault="004063BF" w:rsidP="005E0691">
      <w:pPr>
        <w:pStyle w:val="CETAcknowledgementstitle"/>
      </w:pPr>
      <w:r w:rsidRPr="00B57B36">
        <w:t>Acknowledgments</w:t>
      </w:r>
    </w:p>
    <w:p w14:paraId="27B6BFDD" w14:textId="2282021F" w:rsidR="005E0691" w:rsidRPr="005E0691" w:rsidRDefault="005E0691" w:rsidP="005E0691">
      <w:pPr>
        <w:pStyle w:val="CETBodytext"/>
      </w:pPr>
      <w:r>
        <w:t>The project leading to this publication has received funding from the European Union’s Horizon 2020 research and innovation programme under grant agreement No. 820716 (SIMPLIFY).</w:t>
      </w:r>
      <w:r w:rsidR="00E43AAD" w:rsidRPr="00E43AAD">
        <w:rPr>
          <w:noProof/>
        </w:rPr>
        <w:t xml:space="preserve"> </w:t>
      </w:r>
    </w:p>
    <w:p w14:paraId="4424CE8A" w14:textId="5707B807" w:rsidR="004063BF" w:rsidRDefault="004063BF" w:rsidP="004063BF">
      <w:pPr>
        <w:pStyle w:val="CETReference"/>
      </w:pPr>
      <w:r w:rsidRPr="00B57B36">
        <w:t>References</w:t>
      </w:r>
    </w:p>
    <w:p w14:paraId="1EBC20AB" w14:textId="38643392" w:rsidR="00B004EC" w:rsidRPr="00B004EC" w:rsidRDefault="00B004EC" w:rsidP="00B004EC">
      <w:pPr>
        <w:pStyle w:val="CETReferencetext"/>
        <w:rPr>
          <w:lang w:val="en-US"/>
        </w:rPr>
      </w:pPr>
      <w:r w:rsidRPr="00B004EC">
        <w:rPr>
          <w:lang w:val="en-US"/>
        </w:rPr>
        <w:t>Andersson J., Gillis J., Horn G., Rawlings J. B., Diehl M., 2019, CasADi – A software framewo</w:t>
      </w:r>
      <w:r>
        <w:rPr>
          <w:lang w:val="en-US"/>
        </w:rPr>
        <w:t>rk for nonlinear optimization and optimal control, Mathematical Programming Computation, 11, 1-36</w:t>
      </w:r>
    </w:p>
    <w:p w14:paraId="5314555B" w14:textId="3CD37B9B" w:rsidR="004063BF" w:rsidRDefault="004063BF" w:rsidP="004063BF">
      <w:pPr>
        <w:pStyle w:val="CETReferencetext"/>
      </w:pPr>
      <w:r>
        <w:t>Egli</w:t>
      </w:r>
      <w:r w:rsidRPr="006B4888">
        <w:t xml:space="preserve"> </w:t>
      </w:r>
      <w:r>
        <w:t>F</w:t>
      </w:r>
      <w:r w:rsidRPr="006B4888">
        <w:t>.,</w:t>
      </w:r>
      <w:r>
        <w:t xml:space="preserve"> </w:t>
      </w:r>
      <w:r w:rsidRPr="006B4888">
        <w:t>20</w:t>
      </w:r>
      <w:r>
        <w:t>20</w:t>
      </w:r>
      <w:r w:rsidRPr="006B4888">
        <w:t xml:space="preserve">, </w:t>
      </w:r>
      <w:r w:rsidRPr="004063BF">
        <w:t xml:space="preserve">Renewable energy investment risk: </w:t>
      </w:r>
      <w:r w:rsidR="00E574C9">
        <w:t>a</w:t>
      </w:r>
      <w:r w:rsidRPr="004063BF">
        <w:t>n investigation of changes over time and the underlying drivers</w:t>
      </w:r>
      <w:r w:rsidRPr="006B4888">
        <w:t xml:space="preserve">, </w:t>
      </w:r>
      <w:r>
        <w:t>Energy Policy</w:t>
      </w:r>
      <w:r w:rsidRPr="006B4888">
        <w:t xml:space="preserve">, </w:t>
      </w:r>
      <w:r>
        <w:t>140, 6–9</w:t>
      </w:r>
      <w:r w:rsidRPr="006B4888">
        <w:t>.</w:t>
      </w:r>
    </w:p>
    <w:p w14:paraId="777CAE6B" w14:textId="22C32B98" w:rsidR="00AF3781" w:rsidRDefault="00AF3781" w:rsidP="00AF3781">
      <w:pPr>
        <w:pStyle w:val="CETReferencetext"/>
      </w:pPr>
      <w:r w:rsidRPr="004A593C">
        <w:t>IPCC, 2014: Climate Change 2014: Synthesis Report. Contribution of Working Groups I, II and III to the Fifth Assessment Report of the</w:t>
      </w:r>
      <w:r>
        <w:rPr>
          <w:b/>
        </w:rPr>
        <w:t xml:space="preserve"> </w:t>
      </w:r>
      <w:r w:rsidRPr="004A593C">
        <w:t xml:space="preserve">Intergovernmental Panel on Climate Change [Core Writing Team, R.K. Pachauri and L.A. Meyer (eds.)]. IPCC, Geneva, Switzerland, </w:t>
      </w:r>
      <w:r>
        <w:t>99-100</w:t>
      </w:r>
    </w:p>
    <w:p w14:paraId="36332485" w14:textId="77777777" w:rsidR="00AF3781" w:rsidRDefault="00AF3781" w:rsidP="00AF3781">
      <w:pPr>
        <w:pStyle w:val="CETReferencetext"/>
      </w:pPr>
      <w:r w:rsidRPr="003A6188">
        <w:t>Kelley M.</w:t>
      </w:r>
      <w:r>
        <w:t xml:space="preserve"> T., Baldick</w:t>
      </w:r>
      <w:r w:rsidRPr="003A6188">
        <w:t xml:space="preserve"> R</w:t>
      </w:r>
      <w:r>
        <w:t>.</w:t>
      </w:r>
      <w:r w:rsidRPr="003A6188">
        <w:t>, Baldea</w:t>
      </w:r>
      <w:r>
        <w:t xml:space="preserve"> </w:t>
      </w:r>
      <w:r w:rsidRPr="003A6188">
        <w:t>M.</w:t>
      </w:r>
      <w:r>
        <w:t>, 2020:</w:t>
      </w:r>
      <w:r w:rsidRPr="003A6188">
        <w:t xml:space="preserve"> An empirical study of moving horizon closed-loop demand response scheduling</w:t>
      </w:r>
      <w:r>
        <w:t xml:space="preserve">, </w:t>
      </w:r>
      <w:r w:rsidRPr="003A6188">
        <w:t>Journal of Process Control</w:t>
      </w:r>
      <w:r>
        <w:t>, 92, 137-148</w:t>
      </w:r>
    </w:p>
    <w:p w14:paraId="30C92FFE" w14:textId="6FDCF538" w:rsidR="004063BF" w:rsidRDefault="004063BF" w:rsidP="004063BF">
      <w:pPr>
        <w:pStyle w:val="CETReferencetext"/>
      </w:pPr>
      <w:r w:rsidRPr="001F6C10">
        <w:t xml:space="preserve">Madeddu S., Ueckerdt F., Pehl M., Peterseim J., Lord M., Kumar K. A., Krüger C., </w:t>
      </w:r>
      <w:r w:rsidR="001F6C10" w:rsidRPr="001F6C10">
        <w:t>Luderer G., 2020, The CO</w:t>
      </w:r>
      <w:r w:rsidR="001F6C10" w:rsidRPr="001F6C10">
        <w:rPr>
          <w:vertAlign w:val="subscript"/>
        </w:rPr>
        <w:t>2</w:t>
      </w:r>
      <w:r w:rsidR="001F6C10" w:rsidRPr="001F6C10">
        <w:t xml:space="preserve"> reduction poten</w:t>
      </w:r>
      <w:r w:rsidR="001F6C10">
        <w:t>tial for the European industry via direct electrification of heat supply (power-to-heat), Environmental research letters, 15, 2-9</w:t>
      </w:r>
    </w:p>
    <w:p w14:paraId="5F58DAD0" w14:textId="77777777" w:rsidR="00AF3781" w:rsidRDefault="00AF3781" w:rsidP="00AF3781">
      <w:pPr>
        <w:pStyle w:val="CETReferencetext"/>
      </w:pPr>
      <w:r>
        <w:t xml:space="preserve">Palensky P., Dietrich D., 2011: Demand Side Management: Demand Response, Intelligent Energy Systems, and Smart Loads, IEEE Transactions on industrial informatics, Vol. 7, No. 3, 381-382 </w:t>
      </w:r>
    </w:p>
    <w:p w14:paraId="411FEB6A" w14:textId="08F3FE63" w:rsidR="00AF3781" w:rsidRDefault="00AF3781" w:rsidP="00AF3781">
      <w:pPr>
        <w:pStyle w:val="CETReferencetext"/>
      </w:pPr>
      <w:r w:rsidRPr="008B37B9">
        <w:t>Tamagnini F., Engell S., 2022, Optimal operation of a batch evaporator for the controlled production of titania nanoparticles, Computer</w:t>
      </w:r>
      <w:r>
        <w:t xml:space="preserve"> Aided Chemical Engineering, 51</w:t>
      </w:r>
      <w:r w:rsidR="00B33BBE">
        <w:t>, 499-504</w:t>
      </w:r>
    </w:p>
    <w:p w14:paraId="657FDB92" w14:textId="14310589" w:rsidR="00DB0D66" w:rsidRPr="00DB0D66" w:rsidRDefault="00DB0D66" w:rsidP="004063BF">
      <w:pPr>
        <w:pStyle w:val="CETReferencetext"/>
        <w:rPr>
          <w:lang w:val="en-US"/>
        </w:rPr>
      </w:pPr>
      <w:r>
        <w:rPr>
          <w:lang w:val="en-US"/>
        </w:rPr>
        <w:t xml:space="preserve">Vorkapic D., Matsoukas T., 2005, </w:t>
      </w:r>
      <w:r w:rsidRPr="00DB0D66">
        <w:rPr>
          <w:lang w:val="en-US"/>
        </w:rPr>
        <w:t>Effect of Temperature and Alcohols in the Preparation of Titania Nanoparticles from Alkoxides</w:t>
      </w:r>
      <w:r>
        <w:rPr>
          <w:lang w:val="en-US"/>
        </w:rPr>
        <w:t>, Journal of the American Ceramic Society, 159, 1-6</w:t>
      </w:r>
    </w:p>
    <w:p w14:paraId="2D065DF7" w14:textId="77777777" w:rsidR="00104EE0" w:rsidRDefault="00B004EC" w:rsidP="001C5CB4">
      <w:pPr>
        <w:pStyle w:val="CETReferencetext"/>
        <w:rPr>
          <w:lang w:val="en-US"/>
        </w:rPr>
      </w:pPr>
      <w:r>
        <w:rPr>
          <w:lang w:val="en-US"/>
        </w:rPr>
        <w:t>W</w:t>
      </w:r>
      <w:r w:rsidRPr="00B004EC">
        <w:rPr>
          <w:lang w:val="en-US"/>
        </w:rPr>
        <w:t>ächter A., Biegler L., 2006: On the implementation of an interior-point filter line-search algorithm for large-scale nonlinear programming</w:t>
      </w:r>
      <w:r>
        <w:rPr>
          <w:lang w:val="en-US"/>
        </w:rPr>
        <w:t>, Mathematical Programming, 106, 25-57</w:t>
      </w:r>
      <w:r w:rsidR="00F90A4E" w:rsidRPr="00F90A4E">
        <w:rPr>
          <w:noProof/>
        </w:rPr>
        <w:t xml:space="preserve"> </w:t>
      </w:r>
    </w:p>
    <w:p w14:paraId="6034B854" w14:textId="5D5550B7" w:rsidR="001C5CB4" w:rsidRPr="00287481" w:rsidRDefault="001C5CB4" w:rsidP="00104EE0">
      <w:pPr>
        <w:pStyle w:val="CETReferencetext"/>
        <w:ind w:left="0" w:firstLine="0"/>
        <w:rPr>
          <w:lang w:val="en-US"/>
        </w:rPr>
      </w:pPr>
      <w:bookmarkStart w:id="0" w:name="_GoBack"/>
      <w:bookmarkEnd w:id="0"/>
    </w:p>
    <w:sectPr w:rsidR="001C5CB4" w:rsidRPr="00287481"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7B4A0" w14:textId="77777777" w:rsidR="00894987" w:rsidRDefault="00894987" w:rsidP="004F5E36">
      <w:r>
        <w:separator/>
      </w:r>
    </w:p>
  </w:endnote>
  <w:endnote w:type="continuationSeparator" w:id="0">
    <w:p w14:paraId="26609C81" w14:textId="77777777" w:rsidR="00894987" w:rsidRDefault="00894987" w:rsidP="004F5E36">
      <w:r>
        <w:continuationSeparator/>
      </w:r>
    </w:p>
  </w:endnote>
  <w:endnote w:type="continuationNotice" w:id="1">
    <w:p w14:paraId="13827649" w14:textId="77777777" w:rsidR="00894987" w:rsidRDefault="0089498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AA1A0" w14:textId="77777777" w:rsidR="00894987" w:rsidRDefault="00894987" w:rsidP="004F5E36">
      <w:r>
        <w:separator/>
      </w:r>
    </w:p>
  </w:footnote>
  <w:footnote w:type="continuationSeparator" w:id="0">
    <w:p w14:paraId="456E7CA0" w14:textId="77777777" w:rsidR="00894987" w:rsidRDefault="00894987" w:rsidP="004F5E36">
      <w:r>
        <w:continuationSeparator/>
      </w:r>
    </w:p>
  </w:footnote>
  <w:footnote w:type="continuationNotice" w:id="1">
    <w:p w14:paraId="075E01D9" w14:textId="77777777" w:rsidR="00894987" w:rsidRDefault="0089498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8EB"/>
    <w:rsid w:val="000027C0"/>
    <w:rsid w:val="000052FB"/>
    <w:rsid w:val="0000671D"/>
    <w:rsid w:val="00006B22"/>
    <w:rsid w:val="00007E8B"/>
    <w:rsid w:val="000117CB"/>
    <w:rsid w:val="00011D58"/>
    <w:rsid w:val="00015827"/>
    <w:rsid w:val="00017106"/>
    <w:rsid w:val="00017C02"/>
    <w:rsid w:val="00020CF6"/>
    <w:rsid w:val="000279B0"/>
    <w:rsid w:val="0003148D"/>
    <w:rsid w:val="00031EEC"/>
    <w:rsid w:val="0003307C"/>
    <w:rsid w:val="00036AF6"/>
    <w:rsid w:val="000418F8"/>
    <w:rsid w:val="000464BC"/>
    <w:rsid w:val="00046A35"/>
    <w:rsid w:val="00050425"/>
    <w:rsid w:val="00051566"/>
    <w:rsid w:val="00051FF4"/>
    <w:rsid w:val="00061F73"/>
    <w:rsid w:val="00062A9A"/>
    <w:rsid w:val="00065058"/>
    <w:rsid w:val="00086C39"/>
    <w:rsid w:val="00090B95"/>
    <w:rsid w:val="000A03B2"/>
    <w:rsid w:val="000A5568"/>
    <w:rsid w:val="000B2916"/>
    <w:rsid w:val="000B3692"/>
    <w:rsid w:val="000C1293"/>
    <w:rsid w:val="000D0268"/>
    <w:rsid w:val="000D2AC3"/>
    <w:rsid w:val="000D34BE"/>
    <w:rsid w:val="000E102F"/>
    <w:rsid w:val="000E36F1"/>
    <w:rsid w:val="000E3A73"/>
    <w:rsid w:val="000E414A"/>
    <w:rsid w:val="000F093C"/>
    <w:rsid w:val="000F787B"/>
    <w:rsid w:val="00102606"/>
    <w:rsid w:val="00104EE0"/>
    <w:rsid w:val="00105304"/>
    <w:rsid w:val="00111AE1"/>
    <w:rsid w:val="00111C3A"/>
    <w:rsid w:val="0011307A"/>
    <w:rsid w:val="00114BA7"/>
    <w:rsid w:val="0012091F"/>
    <w:rsid w:val="00122A86"/>
    <w:rsid w:val="00123F22"/>
    <w:rsid w:val="00126A79"/>
    <w:rsid w:val="00126BC2"/>
    <w:rsid w:val="001308B6"/>
    <w:rsid w:val="00130EAF"/>
    <w:rsid w:val="0013121F"/>
    <w:rsid w:val="00131FE6"/>
    <w:rsid w:val="0013263F"/>
    <w:rsid w:val="00132F64"/>
    <w:rsid w:val="001331DF"/>
    <w:rsid w:val="00134DE4"/>
    <w:rsid w:val="001359BA"/>
    <w:rsid w:val="0014034D"/>
    <w:rsid w:val="00142AA5"/>
    <w:rsid w:val="00144D16"/>
    <w:rsid w:val="001465B4"/>
    <w:rsid w:val="00150B56"/>
    <w:rsid w:val="00150E59"/>
    <w:rsid w:val="00152658"/>
    <w:rsid w:val="00152DE3"/>
    <w:rsid w:val="00153F04"/>
    <w:rsid w:val="001574BD"/>
    <w:rsid w:val="001616DA"/>
    <w:rsid w:val="0016297F"/>
    <w:rsid w:val="0016456F"/>
    <w:rsid w:val="00164CF9"/>
    <w:rsid w:val="001667A6"/>
    <w:rsid w:val="0016702C"/>
    <w:rsid w:val="0017065B"/>
    <w:rsid w:val="00171EA0"/>
    <w:rsid w:val="00173F60"/>
    <w:rsid w:val="00174123"/>
    <w:rsid w:val="0017537B"/>
    <w:rsid w:val="00175B49"/>
    <w:rsid w:val="001822E4"/>
    <w:rsid w:val="00184AD6"/>
    <w:rsid w:val="001A2E6F"/>
    <w:rsid w:val="001A3178"/>
    <w:rsid w:val="001A4AF7"/>
    <w:rsid w:val="001B0349"/>
    <w:rsid w:val="001B1CBA"/>
    <w:rsid w:val="001B1E93"/>
    <w:rsid w:val="001B65C1"/>
    <w:rsid w:val="001B6A6C"/>
    <w:rsid w:val="001C41AC"/>
    <w:rsid w:val="001C4222"/>
    <w:rsid w:val="001C4ACF"/>
    <w:rsid w:val="001C5CB4"/>
    <w:rsid w:val="001C684B"/>
    <w:rsid w:val="001D0CFB"/>
    <w:rsid w:val="001D0D2B"/>
    <w:rsid w:val="001D21AF"/>
    <w:rsid w:val="001D4B6F"/>
    <w:rsid w:val="001D4CBC"/>
    <w:rsid w:val="001D53FC"/>
    <w:rsid w:val="001D7145"/>
    <w:rsid w:val="001E1D38"/>
    <w:rsid w:val="001E6296"/>
    <w:rsid w:val="001F1DBA"/>
    <w:rsid w:val="001F1E60"/>
    <w:rsid w:val="001F42A5"/>
    <w:rsid w:val="001F5BE8"/>
    <w:rsid w:val="001F6C10"/>
    <w:rsid w:val="001F7B9D"/>
    <w:rsid w:val="002005E2"/>
    <w:rsid w:val="00201C93"/>
    <w:rsid w:val="0021312A"/>
    <w:rsid w:val="0021466F"/>
    <w:rsid w:val="00215911"/>
    <w:rsid w:val="002209D8"/>
    <w:rsid w:val="002224B4"/>
    <w:rsid w:val="002418DF"/>
    <w:rsid w:val="00243A30"/>
    <w:rsid w:val="00243E3B"/>
    <w:rsid w:val="002447EF"/>
    <w:rsid w:val="002456A0"/>
    <w:rsid w:val="00245CD9"/>
    <w:rsid w:val="00245F06"/>
    <w:rsid w:val="00251550"/>
    <w:rsid w:val="0025305C"/>
    <w:rsid w:val="002552F5"/>
    <w:rsid w:val="00263B05"/>
    <w:rsid w:val="0027221A"/>
    <w:rsid w:val="00275B61"/>
    <w:rsid w:val="00275C9A"/>
    <w:rsid w:val="00280FAF"/>
    <w:rsid w:val="00282656"/>
    <w:rsid w:val="00287481"/>
    <w:rsid w:val="0029017C"/>
    <w:rsid w:val="002902E2"/>
    <w:rsid w:val="002913B1"/>
    <w:rsid w:val="00292FA6"/>
    <w:rsid w:val="0029358B"/>
    <w:rsid w:val="00296B83"/>
    <w:rsid w:val="002B1345"/>
    <w:rsid w:val="002B2F08"/>
    <w:rsid w:val="002B3FF7"/>
    <w:rsid w:val="002B4015"/>
    <w:rsid w:val="002B78CE"/>
    <w:rsid w:val="002C2FB6"/>
    <w:rsid w:val="002C5B86"/>
    <w:rsid w:val="002D60D6"/>
    <w:rsid w:val="002D6B47"/>
    <w:rsid w:val="002D71D4"/>
    <w:rsid w:val="002E2610"/>
    <w:rsid w:val="002E2D12"/>
    <w:rsid w:val="002E2FB5"/>
    <w:rsid w:val="002E5DF5"/>
    <w:rsid w:val="002E5FA7"/>
    <w:rsid w:val="002F273C"/>
    <w:rsid w:val="002F2E05"/>
    <w:rsid w:val="002F3309"/>
    <w:rsid w:val="002F3F1F"/>
    <w:rsid w:val="002F57E0"/>
    <w:rsid w:val="003008CE"/>
    <w:rsid w:val="003009B7"/>
    <w:rsid w:val="00300E56"/>
    <w:rsid w:val="0030469C"/>
    <w:rsid w:val="0030676A"/>
    <w:rsid w:val="003069E2"/>
    <w:rsid w:val="00307867"/>
    <w:rsid w:val="003128E7"/>
    <w:rsid w:val="00312E02"/>
    <w:rsid w:val="003169C5"/>
    <w:rsid w:val="00317E5D"/>
    <w:rsid w:val="00320887"/>
    <w:rsid w:val="003208B3"/>
    <w:rsid w:val="00321CA6"/>
    <w:rsid w:val="00322453"/>
    <w:rsid w:val="003229DA"/>
    <w:rsid w:val="00323763"/>
    <w:rsid w:val="003259AF"/>
    <w:rsid w:val="00334C09"/>
    <w:rsid w:val="00336435"/>
    <w:rsid w:val="00337EDB"/>
    <w:rsid w:val="00342E5B"/>
    <w:rsid w:val="00345628"/>
    <w:rsid w:val="00346A89"/>
    <w:rsid w:val="00347C4B"/>
    <w:rsid w:val="003565F6"/>
    <w:rsid w:val="00370A2C"/>
    <w:rsid w:val="003723D4"/>
    <w:rsid w:val="0037290C"/>
    <w:rsid w:val="003769DD"/>
    <w:rsid w:val="00377766"/>
    <w:rsid w:val="00380D45"/>
    <w:rsid w:val="00381905"/>
    <w:rsid w:val="00381D90"/>
    <w:rsid w:val="00383257"/>
    <w:rsid w:val="00384CC8"/>
    <w:rsid w:val="003871FD"/>
    <w:rsid w:val="00391C29"/>
    <w:rsid w:val="00392EF8"/>
    <w:rsid w:val="003962F9"/>
    <w:rsid w:val="003A1E30"/>
    <w:rsid w:val="003A2829"/>
    <w:rsid w:val="003A423B"/>
    <w:rsid w:val="003A4456"/>
    <w:rsid w:val="003A6188"/>
    <w:rsid w:val="003A7D1C"/>
    <w:rsid w:val="003B1511"/>
    <w:rsid w:val="003B304B"/>
    <w:rsid w:val="003B3146"/>
    <w:rsid w:val="003C4A51"/>
    <w:rsid w:val="003C7645"/>
    <w:rsid w:val="003D2010"/>
    <w:rsid w:val="003D7E3C"/>
    <w:rsid w:val="003E2B36"/>
    <w:rsid w:val="003F015E"/>
    <w:rsid w:val="003F066F"/>
    <w:rsid w:val="003F79EB"/>
    <w:rsid w:val="00400414"/>
    <w:rsid w:val="004063BF"/>
    <w:rsid w:val="00406B72"/>
    <w:rsid w:val="004109E7"/>
    <w:rsid w:val="0041446B"/>
    <w:rsid w:val="00424725"/>
    <w:rsid w:val="0042667B"/>
    <w:rsid w:val="0043045F"/>
    <w:rsid w:val="00431C1A"/>
    <w:rsid w:val="0044071E"/>
    <w:rsid w:val="00441FB2"/>
    <w:rsid w:val="0044329C"/>
    <w:rsid w:val="0045173B"/>
    <w:rsid w:val="00452CAD"/>
    <w:rsid w:val="00453E24"/>
    <w:rsid w:val="00455409"/>
    <w:rsid w:val="00455951"/>
    <w:rsid w:val="00456495"/>
    <w:rsid w:val="00457456"/>
    <w:rsid w:val="004577FE"/>
    <w:rsid w:val="00457B9C"/>
    <w:rsid w:val="0046164A"/>
    <w:rsid w:val="004628D2"/>
    <w:rsid w:val="00462DCD"/>
    <w:rsid w:val="00463773"/>
    <w:rsid w:val="004648AD"/>
    <w:rsid w:val="004674B5"/>
    <w:rsid w:val="004703A9"/>
    <w:rsid w:val="0047096E"/>
    <w:rsid w:val="00472D6C"/>
    <w:rsid w:val="0047361F"/>
    <w:rsid w:val="00475E10"/>
    <w:rsid w:val="004760DE"/>
    <w:rsid w:val="004763D7"/>
    <w:rsid w:val="00482A79"/>
    <w:rsid w:val="00491AF3"/>
    <w:rsid w:val="004954D4"/>
    <w:rsid w:val="004A004E"/>
    <w:rsid w:val="004A24CF"/>
    <w:rsid w:val="004A355F"/>
    <w:rsid w:val="004A593C"/>
    <w:rsid w:val="004B0314"/>
    <w:rsid w:val="004B480F"/>
    <w:rsid w:val="004B5032"/>
    <w:rsid w:val="004B6B8C"/>
    <w:rsid w:val="004C0818"/>
    <w:rsid w:val="004C3D1D"/>
    <w:rsid w:val="004C3D84"/>
    <w:rsid w:val="004C4965"/>
    <w:rsid w:val="004C6E9C"/>
    <w:rsid w:val="004C7913"/>
    <w:rsid w:val="004D0657"/>
    <w:rsid w:val="004D0A4F"/>
    <w:rsid w:val="004D276F"/>
    <w:rsid w:val="004D58C2"/>
    <w:rsid w:val="004E1C6A"/>
    <w:rsid w:val="004E2A15"/>
    <w:rsid w:val="004E4DD6"/>
    <w:rsid w:val="004F1F70"/>
    <w:rsid w:val="004F21C6"/>
    <w:rsid w:val="004F4AD7"/>
    <w:rsid w:val="004F5E36"/>
    <w:rsid w:val="00501C98"/>
    <w:rsid w:val="00502026"/>
    <w:rsid w:val="00506BE1"/>
    <w:rsid w:val="00507B47"/>
    <w:rsid w:val="00507BEF"/>
    <w:rsid w:val="00507CC9"/>
    <w:rsid w:val="005119A5"/>
    <w:rsid w:val="00513F58"/>
    <w:rsid w:val="0051552B"/>
    <w:rsid w:val="0051756A"/>
    <w:rsid w:val="00526C8B"/>
    <w:rsid w:val="005278B7"/>
    <w:rsid w:val="00532016"/>
    <w:rsid w:val="00533F4F"/>
    <w:rsid w:val="0053433D"/>
    <w:rsid w:val="005346C8"/>
    <w:rsid w:val="0054093C"/>
    <w:rsid w:val="00540A65"/>
    <w:rsid w:val="00542B3B"/>
    <w:rsid w:val="00543E7D"/>
    <w:rsid w:val="00545F4A"/>
    <w:rsid w:val="00547A68"/>
    <w:rsid w:val="0055179E"/>
    <w:rsid w:val="005531C9"/>
    <w:rsid w:val="005561DA"/>
    <w:rsid w:val="005704CF"/>
    <w:rsid w:val="00570C43"/>
    <w:rsid w:val="00577E12"/>
    <w:rsid w:val="0059453E"/>
    <w:rsid w:val="00594E9A"/>
    <w:rsid w:val="00597569"/>
    <w:rsid w:val="00597E33"/>
    <w:rsid w:val="005A1767"/>
    <w:rsid w:val="005A28C6"/>
    <w:rsid w:val="005A344A"/>
    <w:rsid w:val="005A48AF"/>
    <w:rsid w:val="005A7EE0"/>
    <w:rsid w:val="005B1A7B"/>
    <w:rsid w:val="005B2110"/>
    <w:rsid w:val="005B61E6"/>
    <w:rsid w:val="005B7F08"/>
    <w:rsid w:val="005C17D2"/>
    <w:rsid w:val="005C21BC"/>
    <w:rsid w:val="005C77E1"/>
    <w:rsid w:val="005D0649"/>
    <w:rsid w:val="005D2205"/>
    <w:rsid w:val="005D377E"/>
    <w:rsid w:val="005D668A"/>
    <w:rsid w:val="005D6A2F"/>
    <w:rsid w:val="005E0691"/>
    <w:rsid w:val="005E1A82"/>
    <w:rsid w:val="005E794C"/>
    <w:rsid w:val="005F0A28"/>
    <w:rsid w:val="005F0E5E"/>
    <w:rsid w:val="005F250E"/>
    <w:rsid w:val="005F25C9"/>
    <w:rsid w:val="005F29DC"/>
    <w:rsid w:val="005F3CEF"/>
    <w:rsid w:val="005F62A5"/>
    <w:rsid w:val="005F6AAB"/>
    <w:rsid w:val="005F72CC"/>
    <w:rsid w:val="00600535"/>
    <w:rsid w:val="006005A1"/>
    <w:rsid w:val="00605078"/>
    <w:rsid w:val="00610CD6"/>
    <w:rsid w:val="0061727E"/>
    <w:rsid w:val="00620DEE"/>
    <w:rsid w:val="00621F92"/>
    <w:rsid w:val="0062280A"/>
    <w:rsid w:val="00625639"/>
    <w:rsid w:val="00625D5D"/>
    <w:rsid w:val="0062734D"/>
    <w:rsid w:val="0063176E"/>
    <w:rsid w:val="00631B33"/>
    <w:rsid w:val="0064028F"/>
    <w:rsid w:val="0064184D"/>
    <w:rsid w:val="006422CC"/>
    <w:rsid w:val="00660E3E"/>
    <w:rsid w:val="00662E74"/>
    <w:rsid w:val="00664D5C"/>
    <w:rsid w:val="006678EE"/>
    <w:rsid w:val="00680C23"/>
    <w:rsid w:val="006830D2"/>
    <w:rsid w:val="00684006"/>
    <w:rsid w:val="006858B4"/>
    <w:rsid w:val="0069261D"/>
    <w:rsid w:val="00693766"/>
    <w:rsid w:val="00694132"/>
    <w:rsid w:val="00695B05"/>
    <w:rsid w:val="00697CD8"/>
    <w:rsid w:val="006A0A49"/>
    <w:rsid w:val="006A2A99"/>
    <w:rsid w:val="006A3281"/>
    <w:rsid w:val="006A339E"/>
    <w:rsid w:val="006A5CFC"/>
    <w:rsid w:val="006A691A"/>
    <w:rsid w:val="006A7F65"/>
    <w:rsid w:val="006B3955"/>
    <w:rsid w:val="006B4888"/>
    <w:rsid w:val="006C1BAA"/>
    <w:rsid w:val="006C2E45"/>
    <w:rsid w:val="006C359C"/>
    <w:rsid w:val="006C36A0"/>
    <w:rsid w:val="006C448D"/>
    <w:rsid w:val="006C5579"/>
    <w:rsid w:val="006D1800"/>
    <w:rsid w:val="006D6E8B"/>
    <w:rsid w:val="006E1AE3"/>
    <w:rsid w:val="006E1B82"/>
    <w:rsid w:val="006E4459"/>
    <w:rsid w:val="006E737D"/>
    <w:rsid w:val="006F61A8"/>
    <w:rsid w:val="0070653B"/>
    <w:rsid w:val="00707881"/>
    <w:rsid w:val="00710081"/>
    <w:rsid w:val="00713973"/>
    <w:rsid w:val="007173A6"/>
    <w:rsid w:val="00720A24"/>
    <w:rsid w:val="0072339B"/>
    <w:rsid w:val="00724434"/>
    <w:rsid w:val="007261AD"/>
    <w:rsid w:val="00732386"/>
    <w:rsid w:val="007341A7"/>
    <w:rsid w:val="0073514D"/>
    <w:rsid w:val="00743A3A"/>
    <w:rsid w:val="00743BE0"/>
    <w:rsid w:val="007447F3"/>
    <w:rsid w:val="00744DD5"/>
    <w:rsid w:val="007474CF"/>
    <w:rsid w:val="0075499F"/>
    <w:rsid w:val="007628CE"/>
    <w:rsid w:val="007661C8"/>
    <w:rsid w:val="0077098D"/>
    <w:rsid w:val="0078307E"/>
    <w:rsid w:val="007848FD"/>
    <w:rsid w:val="00785A9B"/>
    <w:rsid w:val="00792382"/>
    <w:rsid w:val="007931FA"/>
    <w:rsid w:val="00795197"/>
    <w:rsid w:val="007972F3"/>
    <w:rsid w:val="007A0409"/>
    <w:rsid w:val="007A34F7"/>
    <w:rsid w:val="007A4861"/>
    <w:rsid w:val="007A7BBA"/>
    <w:rsid w:val="007B0128"/>
    <w:rsid w:val="007B0C50"/>
    <w:rsid w:val="007B3BC7"/>
    <w:rsid w:val="007B48F9"/>
    <w:rsid w:val="007B5461"/>
    <w:rsid w:val="007C1A43"/>
    <w:rsid w:val="007C4778"/>
    <w:rsid w:val="007D685A"/>
    <w:rsid w:val="007D7FB3"/>
    <w:rsid w:val="007E02E5"/>
    <w:rsid w:val="007E0967"/>
    <w:rsid w:val="007E45D4"/>
    <w:rsid w:val="007E5E02"/>
    <w:rsid w:val="007F6715"/>
    <w:rsid w:val="0080013E"/>
    <w:rsid w:val="008078D9"/>
    <w:rsid w:val="008115AF"/>
    <w:rsid w:val="00813288"/>
    <w:rsid w:val="008159DF"/>
    <w:rsid w:val="008168FC"/>
    <w:rsid w:val="00822DBF"/>
    <w:rsid w:val="00830996"/>
    <w:rsid w:val="00830A3F"/>
    <w:rsid w:val="008345F1"/>
    <w:rsid w:val="00835FFE"/>
    <w:rsid w:val="008378F2"/>
    <w:rsid w:val="00840AD9"/>
    <w:rsid w:val="008411DD"/>
    <w:rsid w:val="00841F99"/>
    <w:rsid w:val="00843674"/>
    <w:rsid w:val="00845742"/>
    <w:rsid w:val="00845E2E"/>
    <w:rsid w:val="00852FA4"/>
    <w:rsid w:val="00865B07"/>
    <w:rsid w:val="008667EA"/>
    <w:rsid w:val="00875563"/>
    <w:rsid w:val="0087637F"/>
    <w:rsid w:val="00877588"/>
    <w:rsid w:val="00884BC3"/>
    <w:rsid w:val="00890498"/>
    <w:rsid w:val="00891115"/>
    <w:rsid w:val="00892AD5"/>
    <w:rsid w:val="00894987"/>
    <w:rsid w:val="008949D4"/>
    <w:rsid w:val="008A0102"/>
    <w:rsid w:val="008A076B"/>
    <w:rsid w:val="008A1512"/>
    <w:rsid w:val="008A3776"/>
    <w:rsid w:val="008A76E6"/>
    <w:rsid w:val="008B1BA9"/>
    <w:rsid w:val="008B37B9"/>
    <w:rsid w:val="008B682A"/>
    <w:rsid w:val="008C435D"/>
    <w:rsid w:val="008D238A"/>
    <w:rsid w:val="008D24B3"/>
    <w:rsid w:val="008D32B9"/>
    <w:rsid w:val="008D433B"/>
    <w:rsid w:val="008D45F8"/>
    <w:rsid w:val="008D4A16"/>
    <w:rsid w:val="008E3260"/>
    <w:rsid w:val="008E566E"/>
    <w:rsid w:val="008F5401"/>
    <w:rsid w:val="008F7196"/>
    <w:rsid w:val="0090161A"/>
    <w:rsid w:val="009018D9"/>
    <w:rsid w:val="00901EB6"/>
    <w:rsid w:val="00904C62"/>
    <w:rsid w:val="00907BC9"/>
    <w:rsid w:val="009161DA"/>
    <w:rsid w:val="00921376"/>
    <w:rsid w:val="00922BA8"/>
    <w:rsid w:val="00924DAC"/>
    <w:rsid w:val="00927058"/>
    <w:rsid w:val="00933F75"/>
    <w:rsid w:val="009373F6"/>
    <w:rsid w:val="00937B59"/>
    <w:rsid w:val="00941F15"/>
    <w:rsid w:val="00942750"/>
    <w:rsid w:val="009450CE"/>
    <w:rsid w:val="00946C5D"/>
    <w:rsid w:val="00947179"/>
    <w:rsid w:val="0095164B"/>
    <w:rsid w:val="00952167"/>
    <w:rsid w:val="00953CBC"/>
    <w:rsid w:val="00954090"/>
    <w:rsid w:val="009548AB"/>
    <w:rsid w:val="009573E7"/>
    <w:rsid w:val="0096249C"/>
    <w:rsid w:val="00963E05"/>
    <w:rsid w:val="00964A45"/>
    <w:rsid w:val="00967843"/>
    <w:rsid w:val="00967D54"/>
    <w:rsid w:val="00971028"/>
    <w:rsid w:val="00975418"/>
    <w:rsid w:val="00976A78"/>
    <w:rsid w:val="00977BCB"/>
    <w:rsid w:val="00985509"/>
    <w:rsid w:val="0098783A"/>
    <w:rsid w:val="00991308"/>
    <w:rsid w:val="00993B84"/>
    <w:rsid w:val="00996483"/>
    <w:rsid w:val="00996F5A"/>
    <w:rsid w:val="009979DE"/>
    <w:rsid w:val="009B041A"/>
    <w:rsid w:val="009B0C11"/>
    <w:rsid w:val="009B2D81"/>
    <w:rsid w:val="009B4A4A"/>
    <w:rsid w:val="009B6AB3"/>
    <w:rsid w:val="009B6C76"/>
    <w:rsid w:val="009C37C3"/>
    <w:rsid w:val="009C7C86"/>
    <w:rsid w:val="009D2E4C"/>
    <w:rsid w:val="009D2FF7"/>
    <w:rsid w:val="009D402D"/>
    <w:rsid w:val="009D4047"/>
    <w:rsid w:val="009D6762"/>
    <w:rsid w:val="009E7884"/>
    <w:rsid w:val="009E788A"/>
    <w:rsid w:val="009F0E08"/>
    <w:rsid w:val="009F1D5A"/>
    <w:rsid w:val="009F7DCB"/>
    <w:rsid w:val="00A01D3B"/>
    <w:rsid w:val="00A06D48"/>
    <w:rsid w:val="00A070E5"/>
    <w:rsid w:val="00A10EEC"/>
    <w:rsid w:val="00A1763D"/>
    <w:rsid w:val="00A17CEC"/>
    <w:rsid w:val="00A20B06"/>
    <w:rsid w:val="00A215EE"/>
    <w:rsid w:val="00A24FA5"/>
    <w:rsid w:val="00A276EE"/>
    <w:rsid w:val="00A27EF0"/>
    <w:rsid w:val="00A31A01"/>
    <w:rsid w:val="00A35C87"/>
    <w:rsid w:val="00A42361"/>
    <w:rsid w:val="00A4423F"/>
    <w:rsid w:val="00A5088D"/>
    <w:rsid w:val="00A50B20"/>
    <w:rsid w:val="00A51390"/>
    <w:rsid w:val="00A52BB1"/>
    <w:rsid w:val="00A60D13"/>
    <w:rsid w:val="00A63837"/>
    <w:rsid w:val="00A650D3"/>
    <w:rsid w:val="00A65A7B"/>
    <w:rsid w:val="00A72745"/>
    <w:rsid w:val="00A7374C"/>
    <w:rsid w:val="00A76EFC"/>
    <w:rsid w:val="00A85AC1"/>
    <w:rsid w:val="00A91010"/>
    <w:rsid w:val="00A91B63"/>
    <w:rsid w:val="00A91E2E"/>
    <w:rsid w:val="00A97F29"/>
    <w:rsid w:val="00AA2843"/>
    <w:rsid w:val="00AA4530"/>
    <w:rsid w:val="00AA554E"/>
    <w:rsid w:val="00AA702E"/>
    <w:rsid w:val="00AB0964"/>
    <w:rsid w:val="00AB5011"/>
    <w:rsid w:val="00AB5623"/>
    <w:rsid w:val="00AC30CE"/>
    <w:rsid w:val="00AC3813"/>
    <w:rsid w:val="00AC7368"/>
    <w:rsid w:val="00AD16B9"/>
    <w:rsid w:val="00AD1BDD"/>
    <w:rsid w:val="00AE26D0"/>
    <w:rsid w:val="00AE2BA4"/>
    <w:rsid w:val="00AE377D"/>
    <w:rsid w:val="00AF0D6F"/>
    <w:rsid w:val="00AF0EBA"/>
    <w:rsid w:val="00AF3781"/>
    <w:rsid w:val="00B004EC"/>
    <w:rsid w:val="00B004FF"/>
    <w:rsid w:val="00B02C8A"/>
    <w:rsid w:val="00B1388E"/>
    <w:rsid w:val="00B17FBD"/>
    <w:rsid w:val="00B22E45"/>
    <w:rsid w:val="00B23DCF"/>
    <w:rsid w:val="00B23E54"/>
    <w:rsid w:val="00B24741"/>
    <w:rsid w:val="00B315A6"/>
    <w:rsid w:val="00B31813"/>
    <w:rsid w:val="00B33365"/>
    <w:rsid w:val="00B33687"/>
    <w:rsid w:val="00B33BBE"/>
    <w:rsid w:val="00B34004"/>
    <w:rsid w:val="00B402E1"/>
    <w:rsid w:val="00B40F67"/>
    <w:rsid w:val="00B423AA"/>
    <w:rsid w:val="00B43189"/>
    <w:rsid w:val="00B43B25"/>
    <w:rsid w:val="00B50F50"/>
    <w:rsid w:val="00B5474F"/>
    <w:rsid w:val="00B57B36"/>
    <w:rsid w:val="00B57E6F"/>
    <w:rsid w:val="00B57EE7"/>
    <w:rsid w:val="00B61007"/>
    <w:rsid w:val="00B63271"/>
    <w:rsid w:val="00B63B6D"/>
    <w:rsid w:val="00B75570"/>
    <w:rsid w:val="00B76C07"/>
    <w:rsid w:val="00B8686D"/>
    <w:rsid w:val="00B900F4"/>
    <w:rsid w:val="00B93F69"/>
    <w:rsid w:val="00B96D4C"/>
    <w:rsid w:val="00B97AFB"/>
    <w:rsid w:val="00BA3DF2"/>
    <w:rsid w:val="00BA7F99"/>
    <w:rsid w:val="00BB0007"/>
    <w:rsid w:val="00BB1DDC"/>
    <w:rsid w:val="00BB29DF"/>
    <w:rsid w:val="00BB586C"/>
    <w:rsid w:val="00BC0EBB"/>
    <w:rsid w:val="00BC30C9"/>
    <w:rsid w:val="00BC333E"/>
    <w:rsid w:val="00BC33F4"/>
    <w:rsid w:val="00BD077D"/>
    <w:rsid w:val="00BD1C54"/>
    <w:rsid w:val="00BD37BF"/>
    <w:rsid w:val="00BE3E58"/>
    <w:rsid w:val="00BF4E18"/>
    <w:rsid w:val="00C00B2A"/>
    <w:rsid w:val="00C01616"/>
    <w:rsid w:val="00C0162B"/>
    <w:rsid w:val="00C068ED"/>
    <w:rsid w:val="00C16A7D"/>
    <w:rsid w:val="00C170C7"/>
    <w:rsid w:val="00C22E0C"/>
    <w:rsid w:val="00C235DB"/>
    <w:rsid w:val="00C27022"/>
    <w:rsid w:val="00C33C35"/>
    <w:rsid w:val="00C345B1"/>
    <w:rsid w:val="00C3788C"/>
    <w:rsid w:val="00C40142"/>
    <w:rsid w:val="00C51C5A"/>
    <w:rsid w:val="00C52B31"/>
    <w:rsid w:val="00C52C3C"/>
    <w:rsid w:val="00C53803"/>
    <w:rsid w:val="00C57182"/>
    <w:rsid w:val="00C57863"/>
    <w:rsid w:val="00C6334A"/>
    <w:rsid w:val="00C640AF"/>
    <w:rsid w:val="00C655FD"/>
    <w:rsid w:val="00C75407"/>
    <w:rsid w:val="00C81680"/>
    <w:rsid w:val="00C82F7B"/>
    <w:rsid w:val="00C870A8"/>
    <w:rsid w:val="00C90F2B"/>
    <w:rsid w:val="00C91E0E"/>
    <w:rsid w:val="00C92B77"/>
    <w:rsid w:val="00C935F3"/>
    <w:rsid w:val="00C94434"/>
    <w:rsid w:val="00CA0675"/>
    <w:rsid w:val="00CA0D75"/>
    <w:rsid w:val="00CA1C95"/>
    <w:rsid w:val="00CA2467"/>
    <w:rsid w:val="00CA4589"/>
    <w:rsid w:val="00CA5A9C"/>
    <w:rsid w:val="00CB2C7E"/>
    <w:rsid w:val="00CB6878"/>
    <w:rsid w:val="00CB77E4"/>
    <w:rsid w:val="00CC33CC"/>
    <w:rsid w:val="00CC4C20"/>
    <w:rsid w:val="00CC5B0B"/>
    <w:rsid w:val="00CC5C72"/>
    <w:rsid w:val="00CD0ADF"/>
    <w:rsid w:val="00CD3517"/>
    <w:rsid w:val="00CD4F82"/>
    <w:rsid w:val="00CD5FE2"/>
    <w:rsid w:val="00CD7570"/>
    <w:rsid w:val="00CE3467"/>
    <w:rsid w:val="00CE7C68"/>
    <w:rsid w:val="00D01E1B"/>
    <w:rsid w:val="00D02B4C"/>
    <w:rsid w:val="00D040C4"/>
    <w:rsid w:val="00D12392"/>
    <w:rsid w:val="00D12BCB"/>
    <w:rsid w:val="00D20AD1"/>
    <w:rsid w:val="00D21E28"/>
    <w:rsid w:val="00D234E5"/>
    <w:rsid w:val="00D2774E"/>
    <w:rsid w:val="00D27E45"/>
    <w:rsid w:val="00D34A28"/>
    <w:rsid w:val="00D3514F"/>
    <w:rsid w:val="00D4198C"/>
    <w:rsid w:val="00D41BAC"/>
    <w:rsid w:val="00D46B7E"/>
    <w:rsid w:val="00D53BA0"/>
    <w:rsid w:val="00D552E7"/>
    <w:rsid w:val="00D55F52"/>
    <w:rsid w:val="00D56874"/>
    <w:rsid w:val="00D574CB"/>
    <w:rsid w:val="00D57C84"/>
    <w:rsid w:val="00D6057D"/>
    <w:rsid w:val="00D71640"/>
    <w:rsid w:val="00D72FB3"/>
    <w:rsid w:val="00D76D27"/>
    <w:rsid w:val="00D836C5"/>
    <w:rsid w:val="00D84576"/>
    <w:rsid w:val="00D9140A"/>
    <w:rsid w:val="00D952BD"/>
    <w:rsid w:val="00D9671C"/>
    <w:rsid w:val="00DA1399"/>
    <w:rsid w:val="00DA24C6"/>
    <w:rsid w:val="00DA4D7B"/>
    <w:rsid w:val="00DB00E4"/>
    <w:rsid w:val="00DB0D66"/>
    <w:rsid w:val="00DC5246"/>
    <w:rsid w:val="00DD18EC"/>
    <w:rsid w:val="00DD7738"/>
    <w:rsid w:val="00DD799D"/>
    <w:rsid w:val="00DE2059"/>
    <w:rsid w:val="00DE264A"/>
    <w:rsid w:val="00DE2A02"/>
    <w:rsid w:val="00DE2A0C"/>
    <w:rsid w:val="00DE700E"/>
    <w:rsid w:val="00DF0894"/>
    <w:rsid w:val="00DF11DA"/>
    <w:rsid w:val="00DF2A2D"/>
    <w:rsid w:val="00DF5072"/>
    <w:rsid w:val="00DF507E"/>
    <w:rsid w:val="00DF7E09"/>
    <w:rsid w:val="00E0165F"/>
    <w:rsid w:val="00E02D18"/>
    <w:rsid w:val="00E041E7"/>
    <w:rsid w:val="00E11C80"/>
    <w:rsid w:val="00E17319"/>
    <w:rsid w:val="00E22961"/>
    <w:rsid w:val="00E22D31"/>
    <w:rsid w:val="00E23CA1"/>
    <w:rsid w:val="00E27613"/>
    <w:rsid w:val="00E277C1"/>
    <w:rsid w:val="00E356C9"/>
    <w:rsid w:val="00E35E3D"/>
    <w:rsid w:val="00E409A8"/>
    <w:rsid w:val="00E40DB1"/>
    <w:rsid w:val="00E419FA"/>
    <w:rsid w:val="00E43AAD"/>
    <w:rsid w:val="00E50C12"/>
    <w:rsid w:val="00E52912"/>
    <w:rsid w:val="00E562D9"/>
    <w:rsid w:val="00E56C9F"/>
    <w:rsid w:val="00E574C9"/>
    <w:rsid w:val="00E62B5C"/>
    <w:rsid w:val="00E63AA1"/>
    <w:rsid w:val="00E6455A"/>
    <w:rsid w:val="00E65151"/>
    <w:rsid w:val="00E65B91"/>
    <w:rsid w:val="00E7209D"/>
    <w:rsid w:val="00E72EAD"/>
    <w:rsid w:val="00E77223"/>
    <w:rsid w:val="00E8528B"/>
    <w:rsid w:val="00E85B94"/>
    <w:rsid w:val="00E861C9"/>
    <w:rsid w:val="00E8793C"/>
    <w:rsid w:val="00E97714"/>
    <w:rsid w:val="00E978D0"/>
    <w:rsid w:val="00E97EBC"/>
    <w:rsid w:val="00EA1937"/>
    <w:rsid w:val="00EA4613"/>
    <w:rsid w:val="00EA6686"/>
    <w:rsid w:val="00EA79AD"/>
    <w:rsid w:val="00EA7F91"/>
    <w:rsid w:val="00EB1523"/>
    <w:rsid w:val="00EB3E73"/>
    <w:rsid w:val="00EB5ACF"/>
    <w:rsid w:val="00EC0E49"/>
    <w:rsid w:val="00EC101F"/>
    <w:rsid w:val="00EC1D9F"/>
    <w:rsid w:val="00ED0763"/>
    <w:rsid w:val="00ED24CD"/>
    <w:rsid w:val="00ED4C9D"/>
    <w:rsid w:val="00EE0131"/>
    <w:rsid w:val="00EE17B0"/>
    <w:rsid w:val="00EE3C55"/>
    <w:rsid w:val="00EE46DD"/>
    <w:rsid w:val="00EF06D9"/>
    <w:rsid w:val="00EF0A6E"/>
    <w:rsid w:val="00EF5AA4"/>
    <w:rsid w:val="00EF5AE0"/>
    <w:rsid w:val="00F05F5F"/>
    <w:rsid w:val="00F14BFB"/>
    <w:rsid w:val="00F16C8D"/>
    <w:rsid w:val="00F2153A"/>
    <w:rsid w:val="00F262A6"/>
    <w:rsid w:val="00F30C64"/>
    <w:rsid w:val="00F32BA2"/>
    <w:rsid w:val="00F32CDB"/>
    <w:rsid w:val="00F3472B"/>
    <w:rsid w:val="00F3597F"/>
    <w:rsid w:val="00F36DC1"/>
    <w:rsid w:val="00F4463F"/>
    <w:rsid w:val="00F54879"/>
    <w:rsid w:val="00F565FE"/>
    <w:rsid w:val="00F57F39"/>
    <w:rsid w:val="00F63A70"/>
    <w:rsid w:val="00F71CA6"/>
    <w:rsid w:val="00F739C2"/>
    <w:rsid w:val="00F7534E"/>
    <w:rsid w:val="00F77569"/>
    <w:rsid w:val="00F77E78"/>
    <w:rsid w:val="00F830C9"/>
    <w:rsid w:val="00F8582B"/>
    <w:rsid w:val="00F90A4E"/>
    <w:rsid w:val="00F91F8D"/>
    <w:rsid w:val="00F954DF"/>
    <w:rsid w:val="00F95C8E"/>
    <w:rsid w:val="00F9713C"/>
    <w:rsid w:val="00FA1802"/>
    <w:rsid w:val="00FA21D0"/>
    <w:rsid w:val="00FA5F5F"/>
    <w:rsid w:val="00FA7B12"/>
    <w:rsid w:val="00FB471B"/>
    <w:rsid w:val="00FB730C"/>
    <w:rsid w:val="00FC077E"/>
    <w:rsid w:val="00FC1820"/>
    <w:rsid w:val="00FC1CC5"/>
    <w:rsid w:val="00FC2695"/>
    <w:rsid w:val="00FC2FD7"/>
    <w:rsid w:val="00FC3E03"/>
    <w:rsid w:val="00FC3FC1"/>
    <w:rsid w:val="00FC5511"/>
    <w:rsid w:val="00FC56DA"/>
    <w:rsid w:val="00FD4C4E"/>
    <w:rsid w:val="00FE4017"/>
    <w:rsid w:val="00FE6D97"/>
    <w:rsid w:val="00FF32FA"/>
    <w:rsid w:val="00FF57C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styleId="PlaceholderText">
    <w:name w:val="Placeholder Text"/>
    <w:basedOn w:val="DefaultParagraphFont"/>
    <w:uiPriority w:val="99"/>
    <w:semiHidden/>
    <w:rsid w:val="00C935F3"/>
    <w:rPr>
      <w:color w:val="808080"/>
    </w:rPr>
  </w:style>
  <w:style w:type="paragraph" w:styleId="Revision">
    <w:name w:val="Revision"/>
    <w:hidden/>
    <w:uiPriority w:val="99"/>
    <w:semiHidden/>
    <w:rsid w:val="00D76D27"/>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299116">
      <w:bodyDiv w:val="1"/>
      <w:marLeft w:val="0"/>
      <w:marRight w:val="0"/>
      <w:marTop w:val="0"/>
      <w:marBottom w:val="0"/>
      <w:divBdr>
        <w:top w:val="none" w:sz="0" w:space="0" w:color="auto"/>
        <w:left w:val="none" w:sz="0" w:space="0" w:color="auto"/>
        <w:bottom w:val="none" w:sz="0" w:space="0" w:color="auto"/>
        <w:right w:val="none" w:sz="0" w:space="0" w:color="auto"/>
      </w:divBdr>
      <w:divsChild>
        <w:div w:id="301663456">
          <w:marLeft w:val="0"/>
          <w:marRight w:val="0"/>
          <w:marTop w:val="0"/>
          <w:marBottom w:val="0"/>
          <w:divBdr>
            <w:top w:val="none" w:sz="0" w:space="0" w:color="auto"/>
            <w:left w:val="none" w:sz="0" w:space="0" w:color="auto"/>
            <w:bottom w:val="none" w:sz="0" w:space="0" w:color="auto"/>
            <w:right w:val="none" w:sz="0" w:space="0" w:color="auto"/>
          </w:divBdr>
        </w:div>
      </w:divsChild>
    </w:div>
    <w:div w:id="397018855">
      <w:bodyDiv w:val="1"/>
      <w:marLeft w:val="0"/>
      <w:marRight w:val="0"/>
      <w:marTop w:val="0"/>
      <w:marBottom w:val="0"/>
      <w:divBdr>
        <w:top w:val="none" w:sz="0" w:space="0" w:color="auto"/>
        <w:left w:val="none" w:sz="0" w:space="0" w:color="auto"/>
        <w:bottom w:val="none" w:sz="0" w:space="0" w:color="auto"/>
        <w:right w:val="none" w:sz="0" w:space="0" w:color="auto"/>
      </w:divBdr>
    </w:div>
    <w:div w:id="417674764">
      <w:bodyDiv w:val="1"/>
      <w:marLeft w:val="0"/>
      <w:marRight w:val="0"/>
      <w:marTop w:val="0"/>
      <w:marBottom w:val="0"/>
      <w:divBdr>
        <w:top w:val="none" w:sz="0" w:space="0" w:color="auto"/>
        <w:left w:val="none" w:sz="0" w:space="0" w:color="auto"/>
        <w:bottom w:val="none" w:sz="0" w:space="0" w:color="auto"/>
        <w:right w:val="none" w:sz="0" w:space="0" w:color="auto"/>
      </w:divBdr>
    </w:div>
    <w:div w:id="64416414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39631">
      <w:bodyDiv w:val="1"/>
      <w:marLeft w:val="0"/>
      <w:marRight w:val="0"/>
      <w:marTop w:val="0"/>
      <w:marBottom w:val="0"/>
      <w:divBdr>
        <w:top w:val="none" w:sz="0" w:space="0" w:color="auto"/>
        <w:left w:val="none" w:sz="0" w:space="0" w:color="auto"/>
        <w:bottom w:val="none" w:sz="0" w:space="0" w:color="auto"/>
        <w:right w:val="none" w:sz="0" w:space="0" w:color="auto"/>
      </w:divBdr>
      <w:divsChild>
        <w:div w:id="121460463">
          <w:marLeft w:val="0"/>
          <w:marRight w:val="0"/>
          <w:marTop w:val="0"/>
          <w:marBottom w:val="0"/>
          <w:divBdr>
            <w:top w:val="none" w:sz="0" w:space="0" w:color="auto"/>
            <w:left w:val="none" w:sz="0" w:space="0" w:color="auto"/>
            <w:bottom w:val="none" w:sz="0" w:space="0" w:color="auto"/>
            <w:right w:val="none" w:sz="0" w:space="0" w:color="auto"/>
          </w:divBdr>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7594">
      <w:bodyDiv w:val="1"/>
      <w:marLeft w:val="0"/>
      <w:marRight w:val="0"/>
      <w:marTop w:val="0"/>
      <w:marBottom w:val="0"/>
      <w:divBdr>
        <w:top w:val="none" w:sz="0" w:space="0" w:color="auto"/>
        <w:left w:val="none" w:sz="0" w:space="0" w:color="auto"/>
        <w:bottom w:val="none" w:sz="0" w:space="0" w:color="auto"/>
        <w:right w:val="none" w:sz="0" w:space="0" w:color="auto"/>
      </w:divBdr>
    </w:div>
    <w:div w:id="1123616532">
      <w:bodyDiv w:val="1"/>
      <w:marLeft w:val="0"/>
      <w:marRight w:val="0"/>
      <w:marTop w:val="0"/>
      <w:marBottom w:val="0"/>
      <w:divBdr>
        <w:top w:val="none" w:sz="0" w:space="0" w:color="auto"/>
        <w:left w:val="none" w:sz="0" w:space="0" w:color="auto"/>
        <w:bottom w:val="none" w:sz="0" w:space="0" w:color="auto"/>
        <w:right w:val="none" w:sz="0" w:space="0" w:color="auto"/>
      </w:divBdr>
    </w:div>
    <w:div w:id="1205295111">
      <w:bodyDiv w:val="1"/>
      <w:marLeft w:val="0"/>
      <w:marRight w:val="0"/>
      <w:marTop w:val="0"/>
      <w:marBottom w:val="0"/>
      <w:divBdr>
        <w:top w:val="none" w:sz="0" w:space="0" w:color="auto"/>
        <w:left w:val="none" w:sz="0" w:space="0" w:color="auto"/>
        <w:bottom w:val="none" w:sz="0" w:space="0" w:color="auto"/>
        <w:right w:val="none" w:sz="0" w:space="0" w:color="auto"/>
      </w:divBdr>
    </w:div>
    <w:div w:id="1343240485">
      <w:bodyDiv w:val="1"/>
      <w:marLeft w:val="0"/>
      <w:marRight w:val="0"/>
      <w:marTop w:val="0"/>
      <w:marBottom w:val="0"/>
      <w:divBdr>
        <w:top w:val="none" w:sz="0" w:space="0" w:color="auto"/>
        <w:left w:val="none" w:sz="0" w:space="0" w:color="auto"/>
        <w:bottom w:val="none" w:sz="0" w:space="0" w:color="auto"/>
        <w:right w:val="none" w:sz="0" w:space="0" w:color="auto"/>
      </w:divBdr>
    </w:div>
    <w:div w:id="1424379384">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5107069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50852">
      <w:bodyDiv w:val="1"/>
      <w:marLeft w:val="0"/>
      <w:marRight w:val="0"/>
      <w:marTop w:val="0"/>
      <w:marBottom w:val="0"/>
      <w:divBdr>
        <w:top w:val="none" w:sz="0" w:space="0" w:color="auto"/>
        <w:left w:val="none" w:sz="0" w:space="0" w:color="auto"/>
        <w:bottom w:val="none" w:sz="0" w:space="0" w:color="auto"/>
        <w:right w:val="none" w:sz="0" w:space="0" w:color="auto"/>
      </w:divBdr>
    </w:div>
    <w:div w:id="2057924086">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84304-FD6F-4FCC-9259-6EB3D94E5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3572</Words>
  <Characters>20367</Characters>
  <Application>Microsoft Office Word</Application>
  <DocSecurity>0</DocSecurity>
  <Lines>169</Lines>
  <Paragraphs>47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Tamagnini, Filippo</cp:lastModifiedBy>
  <cp:revision>2</cp:revision>
  <cp:lastPrinted>2022-04-25T13:57:00Z</cp:lastPrinted>
  <dcterms:created xsi:type="dcterms:W3CDTF">2022-06-30T07:40:00Z</dcterms:created>
  <dcterms:modified xsi:type="dcterms:W3CDTF">2022-06-30T07:40:00Z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