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2B32D7">
        <w:trPr>
          <w:trHeight w:val="852"/>
          <w:jc w:val="center"/>
        </w:trPr>
        <w:tc>
          <w:tcPr>
            <w:tcW w:w="6940"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2ABE30D6"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D46B7E">
              <w:rPr>
                <w:rFonts w:cs="Arial"/>
                <w:b/>
                <w:bCs/>
                <w:i/>
                <w:iCs/>
                <w:color w:val="000066"/>
                <w:sz w:val="22"/>
                <w:szCs w:val="22"/>
                <w:lang w:eastAsia="it-IT"/>
              </w:rPr>
              <w:t>9</w:t>
            </w:r>
            <w:r w:rsidR="004C3D84">
              <w:rPr>
                <w:rFonts w:cs="Arial"/>
                <w:b/>
                <w:bCs/>
                <w:i/>
                <w:iCs/>
                <w:color w:val="000066"/>
                <w:sz w:val="22"/>
                <w:szCs w:val="22"/>
                <w:lang w:eastAsia="it-IT"/>
              </w:rPr>
              <w:t>6</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20</w:t>
            </w:r>
            <w:r w:rsidR="00DF5072">
              <w:rPr>
                <w:rFonts w:cs="Arial"/>
                <w:b/>
                <w:bCs/>
                <w:i/>
                <w:iCs/>
                <w:color w:val="000066"/>
                <w:sz w:val="22"/>
                <w:szCs w:val="22"/>
                <w:lang w:eastAsia="it-IT"/>
              </w:rPr>
              <w:t>2</w:t>
            </w:r>
            <w:r w:rsidR="007B48F9">
              <w:rPr>
                <w:rFonts w:cs="Arial"/>
                <w:b/>
                <w:bCs/>
                <w:i/>
                <w:iCs/>
                <w:color w:val="000066"/>
                <w:sz w:val="22"/>
                <w:szCs w:val="22"/>
                <w:lang w:eastAsia="it-IT"/>
              </w:rPr>
              <w:t>2</w:t>
            </w:r>
          </w:p>
        </w:tc>
        <w:tc>
          <w:tcPr>
            <w:tcW w:w="1842"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2B32D7">
        <w:trPr>
          <w:trHeight w:val="567"/>
          <w:jc w:val="center"/>
        </w:trPr>
        <w:tc>
          <w:tcPr>
            <w:tcW w:w="6940" w:type="dxa"/>
            <w:vMerge/>
            <w:tcBorders>
              <w:right w:val="single" w:sz="4" w:space="0" w:color="auto"/>
            </w:tcBorders>
          </w:tcPr>
          <w:p w14:paraId="39E5E4C1" w14:textId="77777777" w:rsidR="000A03B2" w:rsidRPr="00B57B36"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2B32D7">
        <w:trPr>
          <w:trHeight w:val="68"/>
          <w:jc w:val="center"/>
        </w:trPr>
        <w:tc>
          <w:tcPr>
            <w:tcW w:w="8782" w:type="dxa"/>
            <w:gridSpan w:val="2"/>
          </w:tcPr>
          <w:p w14:paraId="4B0BB442" w14:textId="2E218E1D" w:rsidR="00300E56" w:rsidRPr="0044071E" w:rsidRDefault="00300E56" w:rsidP="00B57E6F">
            <w:pPr>
              <w:ind w:left="-107"/>
              <w:outlineLvl w:val="2"/>
              <w:rPr>
                <w:rFonts w:ascii="Tahoma" w:hAnsi="Tahoma" w:cs="Tahoma"/>
                <w:bCs/>
                <w:color w:val="000000"/>
                <w:sz w:val="14"/>
                <w:szCs w:val="14"/>
                <w:lang w:val="it-IT" w:eastAsia="it-IT"/>
              </w:rPr>
            </w:pPr>
            <w:r w:rsidRPr="0044071E">
              <w:rPr>
                <w:rFonts w:ascii="Tahoma" w:hAnsi="Tahoma" w:cs="Tahoma"/>
                <w:iCs/>
                <w:color w:val="333333"/>
                <w:sz w:val="14"/>
                <w:szCs w:val="14"/>
                <w:lang w:val="it-IT" w:eastAsia="it-IT"/>
              </w:rPr>
              <w:t>Guest Editors:</w:t>
            </w:r>
            <w:r w:rsidR="001D21AF" w:rsidRPr="0044071E">
              <w:rPr>
                <w:rFonts w:ascii="Tahoma" w:hAnsi="Tahoma" w:cs="Tahoma"/>
                <w:color w:val="000000"/>
                <w:sz w:val="14"/>
                <w:szCs w:val="14"/>
                <w:shd w:val="clear" w:color="auto" w:fill="FFFFFF"/>
                <w:lang w:val="it-IT"/>
              </w:rPr>
              <w:t xml:space="preserve"> </w:t>
            </w:r>
            <w:r w:rsidR="004C3D84" w:rsidRPr="00A7223D">
              <w:rPr>
                <w:sz w:val="14"/>
                <w:szCs w:val="14"/>
                <w:lang w:val="it-IT"/>
              </w:rPr>
              <w:t xml:space="preserve">David </w:t>
            </w:r>
            <w:proofErr w:type="spellStart"/>
            <w:r w:rsidR="004C3D84" w:rsidRPr="00A7223D">
              <w:rPr>
                <w:sz w:val="14"/>
                <w:szCs w:val="14"/>
                <w:lang w:val="it-IT"/>
              </w:rPr>
              <w:t>Bogle</w:t>
            </w:r>
            <w:proofErr w:type="spellEnd"/>
            <w:r w:rsidR="004C3D84" w:rsidRPr="00A7223D">
              <w:rPr>
                <w:sz w:val="14"/>
                <w:szCs w:val="14"/>
                <w:lang w:val="it-IT"/>
              </w:rPr>
              <w:t>, Flavio Manenti, Piero Salatino</w:t>
            </w:r>
          </w:p>
          <w:p w14:paraId="1B0F1814" w14:textId="17CEC68E" w:rsidR="000A03B2" w:rsidRPr="00B57B36" w:rsidRDefault="00FA5F5F" w:rsidP="001D21AF">
            <w:pPr>
              <w:tabs>
                <w:tab w:val="left" w:pos="-108"/>
              </w:tabs>
              <w:spacing w:line="140" w:lineRule="atLeast"/>
              <w:ind w:left="-107"/>
              <w:jc w:val="left"/>
            </w:pPr>
            <w:r>
              <w:rPr>
                <w:rFonts w:ascii="Tahoma" w:hAnsi="Tahoma" w:cs="Tahoma"/>
                <w:iCs/>
                <w:color w:val="333333"/>
                <w:sz w:val="14"/>
                <w:szCs w:val="14"/>
                <w:lang w:eastAsia="it-IT"/>
              </w:rPr>
              <w:t>Copyright © 20</w:t>
            </w:r>
            <w:r w:rsidR="00DF5072">
              <w:rPr>
                <w:rFonts w:ascii="Tahoma" w:hAnsi="Tahoma" w:cs="Tahoma"/>
                <w:iCs/>
                <w:color w:val="333333"/>
                <w:sz w:val="14"/>
                <w:szCs w:val="14"/>
                <w:lang w:eastAsia="it-IT"/>
              </w:rPr>
              <w:t>2</w:t>
            </w:r>
            <w:r w:rsidR="00E72EAD">
              <w:rPr>
                <w:rFonts w:ascii="Tahoma" w:hAnsi="Tahoma" w:cs="Tahoma"/>
                <w:iCs/>
                <w:color w:val="333333"/>
                <w:sz w:val="14"/>
                <w:szCs w:val="14"/>
                <w:lang w:eastAsia="it-IT"/>
              </w:rPr>
              <w:t>2</w:t>
            </w:r>
            <w:r w:rsidR="00904C62" w:rsidRPr="00B57B36">
              <w:rPr>
                <w:rFonts w:ascii="Tahoma" w:hAnsi="Tahoma" w:cs="Tahoma"/>
                <w:iCs/>
                <w:color w:val="333333"/>
                <w:sz w:val="14"/>
                <w:szCs w:val="14"/>
                <w:lang w:eastAsia="it-IT"/>
              </w:rPr>
              <w:t xml:space="preserve">, AIDIC </w:t>
            </w:r>
            <w:proofErr w:type="spellStart"/>
            <w:r w:rsidR="00904C62" w:rsidRPr="00B57B36">
              <w:rPr>
                <w:rFonts w:ascii="Tahoma" w:hAnsi="Tahoma" w:cs="Tahoma"/>
                <w:iCs/>
                <w:color w:val="333333"/>
                <w:sz w:val="14"/>
                <w:szCs w:val="14"/>
                <w:lang w:eastAsia="it-IT"/>
              </w:rPr>
              <w:t>Servizi</w:t>
            </w:r>
            <w:proofErr w:type="spellEnd"/>
            <w:r w:rsidR="00904C62" w:rsidRPr="00B57B36">
              <w:rPr>
                <w:rFonts w:ascii="Tahoma" w:hAnsi="Tahoma" w:cs="Tahoma"/>
                <w:iCs/>
                <w:color w:val="333333"/>
                <w:sz w:val="14"/>
                <w:szCs w:val="14"/>
                <w:lang w:eastAsia="it-IT"/>
              </w:rPr>
              <w:t xml:space="preserve"> </w:t>
            </w:r>
            <w:proofErr w:type="spellStart"/>
            <w:r w:rsidR="00904C62" w:rsidRPr="00B57B36">
              <w:rPr>
                <w:rFonts w:ascii="Tahoma" w:hAnsi="Tahoma" w:cs="Tahoma"/>
                <w:iCs/>
                <w:color w:val="333333"/>
                <w:sz w:val="14"/>
                <w:szCs w:val="14"/>
                <w:lang w:eastAsia="it-IT"/>
              </w:rPr>
              <w:t>S.r.l</w:t>
            </w:r>
            <w:proofErr w:type="spellEnd"/>
            <w:r w:rsidR="00904C62" w:rsidRPr="00B57B36">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Pr>
                <w:rFonts w:ascii="Tahoma" w:hAnsi="Tahoma" w:cs="Tahoma"/>
                <w:sz w:val="14"/>
                <w:szCs w:val="14"/>
              </w:rPr>
              <w:t>978-88-</w:t>
            </w:r>
            <w:r w:rsidR="008D32B9" w:rsidRPr="00EF06D9">
              <w:rPr>
                <w:rFonts w:ascii="Tahoma" w:hAnsi="Tahoma" w:cs="Tahoma"/>
                <w:sz w:val="14"/>
                <w:szCs w:val="14"/>
              </w:rPr>
              <w:t>95608</w:t>
            </w:r>
            <w:r w:rsidR="00D46B7E">
              <w:rPr>
                <w:rFonts w:ascii="Tahoma" w:hAnsi="Tahoma" w:cs="Tahoma"/>
                <w:sz w:val="14"/>
                <w:szCs w:val="14"/>
              </w:rPr>
              <w:t>-</w:t>
            </w:r>
            <w:r w:rsidR="001D21AF">
              <w:rPr>
                <w:rFonts w:ascii="Tahoma" w:hAnsi="Tahoma" w:cs="Tahoma"/>
                <w:sz w:val="14"/>
                <w:szCs w:val="14"/>
              </w:rPr>
              <w:t>9</w:t>
            </w:r>
            <w:r w:rsidR="008D4A16">
              <w:rPr>
                <w:rFonts w:ascii="Tahoma" w:hAnsi="Tahoma" w:cs="Tahoma"/>
                <w:sz w:val="14"/>
                <w:szCs w:val="14"/>
              </w:rPr>
              <w:t>5</w:t>
            </w:r>
            <w:r w:rsidR="00D46B7E">
              <w:rPr>
                <w:rFonts w:ascii="Tahoma" w:hAnsi="Tahoma" w:cs="Tahoma"/>
                <w:sz w:val="14"/>
                <w:szCs w:val="14"/>
              </w:rPr>
              <w:t>-</w:t>
            </w:r>
            <w:r w:rsidR="008D4A16">
              <w:rPr>
                <w:rFonts w:ascii="Tahoma" w:hAnsi="Tahoma" w:cs="Tahoma"/>
                <w:sz w:val="14"/>
                <w:szCs w:val="14"/>
              </w:rPr>
              <w:t>2</w:t>
            </w:r>
            <w:r w:rsidR="007B48F9" w:rsidRPr="00EF06D9">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14:paraId="18F8168B" w14:textId="77777777" w:rsidR="002B32D7" w:rsidRDefault="002B32D7" w:rsidP="00B57E6F">
      <w:pPr>
        <w:pStyle w:val="CETAuthors"/>
        <w:rPr>
          <w:noProof w:val="0"/>
          <w:sz w:val="32"/>
        </w:rPr>
      </w:pPr>
    </w:p>
    <w:p w14:paraId="4B5C1261" w14:textId="198AC9F9" w:rsidR="002B32D7" w:rsidRDefault="002B32D7" w:rsidP="002B32D7">
      <w:pPr>
        <w:pStyle w:val="CETAuthors"/>
        <w:jc w:val="center"/>
        <w:rPr>
          <w:noProof w:val="0"/>
          <w:sz w:val="32"/>
        </w:rPr>
      </w:pPr>
      <w:r w:rsidRPr="002B32D7">
        <w:rPr>
          <w:noProof w:val="0"/>
          <w:sz w:val="32"/>
        </w:rPr>
        <w:t>Improving Energy Efficiency and Identifying Low-Carbon footprint solutions at early plant design stage: a practical approach</w:t>
      </w:r>
    </w:p>
    <w:p w14:paraId="064E2AE6" w14:textId="259057D8" w:rsidR="008A2D67" w:rsidRDefault="008A2D67" w:rsidP="008A2D67">
      <w:pPr>
        <w:pStyle w:val="CETAuthors"/>
        <w:rPr>
          <w:lang w:val="it-IT"/>
        </w:rPr>
      </w:pPr>
      <w:r w:rsidRPr="008A2D67">
        <w:rPr>
          <w:lang w:val="it-IT"/>
        </w:rPr>
        <w:t>Barbara Picutti</w:t>
      </w:r>
      <w:r w:rsidRPr="008A2D67">
        <w:rPr>
          <w:vertAlign w:val="superscript"/>
          <w:lang w:val="it-IT"/>
        </w:rPr>
        <w:t>(a)</w:t>
      </w:r>
      <w:r w:rsidR="00B4289E">
        <w:rPr>
          <w:lang w:val="it-IT"/>
        </w:rPr>
        <w:t>*</w:t>
      </w:r>
      <w:r w:rsidRPr="008A2D67">
        <w:rPr>
          <w:lang w:val="it-IT"/>
        </w:rPr>
        <w:t>, Damiano D’Alessandro</w:t>
      </w:r>
      <w:r w:rsidRPr="008A2D67">
        <w:rPr>
          <w:vertAlign w:val="superscript"/>
          <w:lang w:val="it-IT"/>
        </w:rPr>
        <w:t>(b)</w:t>
      </w:r>
      <w:r w:rsidRPr="008A2D67">
        <w:rPr>
          <w:lang w:val="it-IT"/>
        </w:rPr>
        <w:t>, Stefania Taraschi</w:t>
      </w:r>
      <w:r w:rsidRPr="008A2D67">
        <w:rPr>
          <w:vertAlign w:val="superscript"/>
          <w:lang w:val="it-IT"/>
        </w:rPr>
        <w:t>(c)</w:t>
      </w:r>
      <w:r w:rsidRPr="008A2D67">
        <w:rPr>
          <w:lang w:val="it-IT"/>
        </w:rPr>
        <w:t>, Alessandro Buonomini</w:t>
      </w:r>
      <w:r w:rsidRPr="008A2D67">
        <w:rPr>
          <w:vertAlign w:val="superscript"/>
          <w:lang w:val="it-IT"/>
        </w:rPr>
        <w:t>(c)</w:t>
      </w:r>
      <w:r w:rsidRPr="008A2D67">
        <w:rPr>
          <w:lang w:val="it-IT"/>
        </w:rPr>
        <w:t>, Michela Rossi</w:t>
      </w:r>
      <w:r w:rsidRPr="008A2D67">
        <w:rPr>
          <w:vertAlign w:val="superscript"/>
          <w:lang w:val="it-IT"/>
        </w:rPr>
        <w:t>(a)</w:t>
      </w:r>
      <w:r w:rsidRPr="008A2D67">
        <w:rPr>
          <w:lang w:val="it-IT"/>
        </w:rPr>
        <w:t>, Francesca Rabino</w:t>
      </w:r>
      <w:r w:rsidRPr="008A2D67">
        <w:rPr>
          <w:vertAlign w:val="superscript"/>
          <w:lang w:val="it-IT"/>
        </w:rPr>
        <w:t>(a)</w:t>
      </w:r>
      <w:r w:rsidRPr="008A2D67">
        <w:rPr>
          <w:lang w:val="it-IT"/>
        </w:rPr>
        <w:t>, Guido Franzoni</w:t>
      </w:r>
      <w:r w:rsidRPr="008A2D67">
        <w:rPr>
          <w:vertAlign w:val="superscript"/>
          <w:lang w:val="it-IT"/>
        </w:rPr>
        <w:t>(a)</w:t>
      </w:r>
    </w:p>
    <w:p w14:paraId="4026F35C" w14:textId="77777777" w:rsidR="002D5D9B" w:rsidRPr="00D55C4D" w:rsidRDefault="002D5D9B" w:rsidP="002D5D9B">
      <w:pPr>
        <w:pStyle w:val="CETAddress"/>
        <w:rPr>
          <w:lang w:val="it-IT"/>
        </w:rPr>
      </w:pPr>
      <w:bookmarkStart w:id="0" w:name="_Hlk107398197"/>
      <w:r w:rsidRPr="00D55C4D">
        <w:rPr>
          <w:vertAlign w:val="superscript"/>
          <w:lang w:val="it-IT"/>
        </w:rPr>
        <w:t>a</w:t>
      </w:r>
      <w:r w:rsidRPr="00D55C4D">
        <w:rPr>
          <w:lang w:val="it-IT"/>
        </w:rPr>
        <w:t xml:space="preserve">Tecnimont S.p.A., via G. De Castillia 6A, 20124 Milan </w:t>
      </w:r>
    </w:p>
    <w:p w14:paraId="3152D642" w14:textId="29A9C22E" w:rsidR="002D5D9B" w:rsidRPr="00F804B2" w:rsidRDefault="002D5D9B" w:rsidP="002D5D9B">
      <w:pPr>
        <w:pStyle w:val="CETAddress"/>
        <w:rPr>
          <w:lang w:val="it-IT"/>
        </w:rPr>
      </w:pPr>
      <w:r w:rsidRPr="00F804B2">
        <w:rPr>
          <w:vertAlign w:val="superscript"/>
          <w:lang w:val="it-IT"/>
        </w:rPr>
        <w:t xml:space="preserve">b </w:t>
      </w:r>
      <w:r w:rsidRPr="00F804B2">
        <w:rPr>
          <w:lang w:val="it-IT"/>
        </w:rPr>
        <w:t>Maire Tecnimont S.p.A., Viale Castello della Magliana 27</w:t>
      </w:r>
      <w:r w:rsidR="003C3F58">
        <w:rPr>
          <w:lang w:val="it-IT"/>
        </w:rPr>
        <w:t>,</w:t>
      </w:r>
      <w:r w:rsidRPr="00F804B2">
        <w:rPr>
          <w:lang w:val="it-IT"/>
        </w:rPr>
        <w:t xml:space="preserve"> 00148 Rome </w:t>
      </w:r>
    </w:p>
    <w:p w14:paraId="51F2608A" w14:textId="708B3074" w:rsidR="002D5D9B" w:rsidRPr="00F804B2" w:rsidRDefault="002D5D9B" w:rsidP="002D5D9B">
      <w:pPr>
        <w:pStyle w:val="CETAddress"/>
        <w:rPr>
          <w:lang w:val="it-IT"/>
        </w:rPr>
      </w:pPr>
      <w:r w:rsidRPr="00D81EC2">
        <w:rPr>
          <w:vertAlign w:val="superscript"/>
          <w:lang w:val="it-IT"/>
        </w:rPr>
        <w:t>c</w:t>
      </w:r>
      <w:r w:rsidRPr="00F804B2">
        <w:rPr>
          <w:lang w:val="it-IT"/>
        </w:rPr>
        <w:t>Kinetics technology S.p.A</w:t>
      </w:r>
      <w:r w:rsidR="003C3F58">
        <w:rPr>
          <w:lang w:val="it-IT"/>
        </w:rPr>
        <w:t>.</w:t>
      </w:r>
      <w:r w:rsidRPr="00F804B2">
        <w:rPr>
          <w:lang w:val="it-IT"/>
        </w:rPr>
        <w:t>, Viale Castello della Magliana 27</w:t>
      </w:r>
      <w:r w:rsidR="003C3F58">
        <w:rPr>
          <w:lang w:val="it-IT"/>
        </w:rPr>
        <w:t>,</w:t>
      </w:r>
      <w:r w:rsidRPr="00F804B2">
        <w:rPr>
          <w:lang w:val="it-IT"/>
        </w:rPr>
        <w:t xml:space="preserve"> 00148 Rome  </w:t>
      </w:r>
    </w:p>
    <w:p w14:paraId="7561EAEC" w14:textId="77777777" w:rsidR="00153849" w:rsidRPr="004F16B5" w:rsidRDefault="00153849" w:rsidP="00153849">
      <w:pPr>
        <w:pStyle w:val="CETemail"/>
        <w:spacing w:after="0"/>
        <w:rPr>
          <w:lang w:val="it-IT"/>
        </w:rPr>
      </w:pPr>
      <w:bookmarkStart w:id="1" w:name="_Hlk107398205"/>
      <w:bookmarkEnd w:id="0"/>
    </w:p>
    <w:p w14:paraId="3414A4C5" w14:textId="76B44380" w:rsidR="00B4289E" w:rsidRPr="00B57B36" w:rsidRDefault="00B4289E" w:rsidP="00B4289E">
      <w:pPr>
        <w:pStyle w:val="CETemail"/>
      </w:pPr>
      <w:r>
        <w:t>B.Picutti@</w:t>
      </w:r>
      <w:r w:rsidR="007D31AD">
        <w:t>t</w:t>
      </w:r>
      <w:r>
        <w:t>ecnimont.it</w:t>
      </w:r>
    </w:p>
    <w:bookmarkEnd w:id="1"/>
    <w:p w14:paraId="79241B70" w14:textId="12E0DACB" w:rsidR="007D31AD" w:rsidRDefault="007D31AD" w:rsidP="007D31AD">
      <w:pPr>
        <w:tabs>
          <w:tab w:val="clear" w:pos="7100"/>
        </w:tabs>
        <w:spacing w:line="276" w:lineRule="auto"/>
      </w:pPr>
      <w:r>
        <w:t>The paper describes the methodology developed in Maire Tecnimont Group for the assessment of Greenhouse Gases (GHG) emissions, applied to the design of a new plant or to the revamping of an existing one. Such a methodology can support, starting from</w:t>
      </w:r>
      <w:r w:rsidR="00B83996">
        <w:t xml:space="preserve"> a</w:t>
      </w:r>
      <w:r>
        <w:t xml:space="preserve"> very early stage of design, and even during proposal phase, the decision-making process of EPC Contractors when evaluating different design alternatives, to select the best available and environmentally sustainable options.</w:t>
      </w:r>
    </w:p>
    <w:p w14:paraId="793D9830" w14:textId="77777777" w:rsidR="007D31AD" w:rsidRDefault="007D31AD" w:rsidP="007D31AD">
      <w:pPr>
        <w:tabs>
          <w:tab w:val="clear" w:pos="7100"/>
        </w:tabs>
        <w:spacing w:line="276" w:lineRule="auto"/>
      </w:pPr>
      <w:r>
        <w:t>A study was carried out, aimed at identifying innovative design solutions for the improvement of energy efficiency and the consequent reduction of GHG emissions. The</w:t>
      </w:r>
      <w:r w:rsidDel="00F439CB">
        <w:t xml:space="preserve"> </w:t>
      </w:r>
      <w:r>
        <w:t>economic impact (saving or cost increase) of such solutions was also assessed in the study.</w:t>
      </w:r>
    </w:p>
    <w:p w14:paraId="4B04570F" w14:textId="2C51B3C3" w:rsidR="007D31AD" w:rsidRDefault="007D31AD" w:rsidP="007D31AD">
      <w:pPr>
        <w:tabs>
          <w:tab w:val="clear" w:pos="7100"/>
        </w:tabs>
        <w:spacing w:line="276" w:lineRule="auto"/>
      </w:pPr>
      <w:r>
        <w:t xml:space="preserve">The case study was a petrochemical plant designed, </w:t>
      </w:r>
      <w:r w:rsidR="00097404">
        <w:t>built,</w:t>
      </w:r>
      <w:r>
        <w:t xml:space="preserve"> and put in operation in the last decade. Based on the existing design, thirty-two </w:t>
      </w:r>
      <w:r w:rsidR="00616EF2">
        <w:t xml:space="preserve">innovative </w:t>
      </w:r>
      <w:r>
        <w:t>ideas, covering all the plant sections, were identified as potentially interesting. All the ideas (in some case more alternative solutions could be developed for the same idea) were identified and evaluated in terms of energy consumption, cost, Scope 1 and Scope 2 emissions, as defined in the Greenhouse Gas Protocol. Each</w:t>
      </w:r>
      <w:r w:rsidR="00B83996">
        <w:t xml:space="preserve"> alternative</w:t>
      </w:r>
      <w:r>
        <w:t xml:space="preserve"> solution was compared with the original design to assess its effectiveness.</w:t>
      </w:r>
    </w:p>
    <w:p w14:paraId="008CAA67" w14:textId="63652F53" w:rsidR="007D31AD" w:rsidRDefault="003F26E4" w:rsidP="007D31AD">
      <w:pPr>
        <w:tabs>
          <w:tab w:val="clear" w:pos="7100"/>
        </w:tabs>
        <w:spacing w:line="276" w:lineRule="auto"/>
      </w:pPr>
      <w:r>
        <w:t>Alternative s</w:t>
      </w:r>
      <w:r w:rsidR="007D31AD">
        <w:t>olutions were classified in four categories, identified with colours: Green (GHG emission saving and cost saving); Yellow (GHG emission saving and cost increase); Orange (GHG emission increase and cost saving) and Grey (GHG emission increase and cost increase).</w:t>
      </w:r>
    </w:p>
    <w:p w14:paraId="2F71DDA1" w14:textId="6F01F894" w:rsidR="007D31AD" w:rsidRDefault="007D31AD" w:rsidP="007D31AD">
      <w:pPr>
        <w:tabs>
          <w:tab w:val="clear" w:pos="7100"/>
        </w:tabs>
        <w:spacing w:line="276" w:lineRule="auto"/>
      </w:pPr>
      <w:r>
        <w:t xml:space="preserve">While the “Orange” and “Grey” </w:t>
      </w:r>
      <w:r w:rsidR="00A46095">
        <w:t>solution</w:t>
      </w:r>
      <w:r>
        <w:t xml:space="preserve">s cannot be obviously considered in the design of a new plant matching the objectives of environmental sustainability, the “Yellow” solutions may be proven to be profitable when considering the application of a </w:t>
      </w:r>
      <w:r w:rsidR="00616EF2">
        <w:t xml:space="preserve">potential </w:t>
      </w:r>
      <w:r>
        <w:t>Carbon Tax to the plant GHG emissions, and, under some circumstances, when considering the costs of power and fuels required for their operation.</w:t>
      </w:r>
    </w:p>
    <w:p w14:paraId="480FB0FB" w14:textId="77777777" w:rsidR="00153849" w:rsidRPr="00B57B36" w:rsidRDefault="00153849" w:rsidP="005A1DD9">
      <w:pPr>
        <w:pStyle w:val="CETBodytext"/>
        <w:rPr>
          <w:lang w:val="en-GB"/>
        </w:rPr>
      </w:pPr>
    </w:p>
    <w:p w14:paraId="476B2F2E" w14:textId="77777777" w:rsidR="00600535" w:rsidRPr="00B57B36" w:rsidRDefault="00600535" w:rsidP="00600535">
      <w:pPr>
        <w:pStyle w:val="CETHeading1"/>
        <w:rPr>
          <w:lang w:val="en-GB"/>
        </w:rPr>
      </w:pPr>
      <w:r w:rsidRPr="00B57B36">
        <w:rPr>
          <w:lang w:val="en-GB"/>
        </w:rPr>
        <w:t>Introduction</w:t>
      </w:r>
    </w:p>
    <w:p w14:paraId="2B5E1285" w14:textId="7055643B" w:rsidR="00153849" w:rsidRDefault="00BB48B5" w:rsidP="00BB48B5">
      <w:pPr>
        <w:pStyle w:val="CETBodytext"/>
      </w:pPr>
      <w:r w:rsidRPr="00BB48B5">
        <w:t xml:space="preserve">The mitigation of the adverse effects of global warming and their associated climate changes </w:t>
      </w:r>
      <w:r w:rsidR="007D31AD">
        <w:rPr>
          <w:rFonts w:eastAsiaTheme="minorEastAsia"/>
        </w:rPr>
        <w:t xml:space="preserve">represents one </w:t>
      </w:r>
      <w:r w:rsidR="00097404">
        <w:rPr>
          <w:rFonts w:eastAsiaTheme="minorEastAsia"/>
        </w:rPr>
        <w:t xml:space="preserve">of </w:t>
      </w:r>
      <w:r w:rsidR="00097404" w:rsidRPr="7C9E8481">
        <w:rPr>
          <w:rFonts w:eastAsiaTheme="minorEastAsia"/>
        </w:rPr>
        <w:t>the</w:t>
      </w:r>
      <w:r w:rsidR="007D31AD" w:rsidRPr="7C9E8481">
        <w:rPr>
          <w:rFonts w:eastAsiaTheme="minorEastAsia"/>
        </w:rPr>
        <w:t xml:space="preserve"> greatest challenge</w:t>
      </w:r>
      <w:r w:rsidR="007D31AD">
        <w:rPr>
          <w:rFonts w:eastAsiaTheme="minorEastAsia"/>
        </w:rPr>
        <w:t>s</w:t>
      </w:r>
      <w:r w:rsidRPr="00BB48B5">
        <w:t xml:space="preserve"> of our times. Greenhouse Gases (GHG) emissions, mainly responsible of global warming </w:t>
      </w:r>
      <w:r w:rsidR="009F34EE">
        <w:t>are continuously growing</w:t>
      </w:r>
      <w:r w:rsidRPr="00BB48B5">
        <w:t xml:space="preserve">, but this trend must be reversed </w:t>
      </w:r>
      <w:bookmarkStart w:id="2" w:name="_Int_zJtqnBg0"/>
      <w:r w:rsidRPr="00BB48B5">
        <w:t>to</w:t>
      </w:r>
      <w:bookmarkEnd w:id="2"/>
      <w:r w:rsidRPr="00BB48B5">
        <w:t xml:space="preserve"> match the goal of reaching net zero emissions</w:t>
      </w:r>
      <w:r w:rsidR="009F34EE">
        <w:t xml:space="preserve">, to limit </w:t>
      </w:r>
      <w:r w:rsidRPr="00BB48B5">
        <w:t xml:space="preserve">the rise in global temperature. In the industry sector, the reduction of GHG emissions is one of the key issues for the demonstration of the environmental sustainability and social acceptability for building and operating any plant. The paper presents a methodology for the evaluation of different technical solutions </w:t>
      </w:r>
      <w:r w:rsidR="00097404">
        <w:lastRenderedPageBreak/>
        <w:t xml:space="preserve">applicable </w:t>
      </w:r>
      <w:r w:rsidRPr="00BB48B5">
        <w:t>during the design of an industrial plant and for the selection of the more environmentally sustainable ones.</w:t>
      </w:r>
    </w:p>
    <w:p w14:paraId="771C87D0" w14:textId="4A2D5796" w:rsidR="00856E80" w:rsidRDefault="00FD772F" w:rsidP="00FD772F">
      <w:pPr>
        <w:pStyle w:val="CETHeading1"/>
      </w:pPr>
      <w:r w:rsidRPr="00FD772F">
        <w:t>GHG emissions accounting for plant design solutions</w:t>
      </w:r>
    </w:p>
    <w:p w14:paraId="0E680A49" w14:textId="41798925" w:rsidR="00617B0B" w:rsidRDefault="00617B0B" w:rsidP="00617B0B">
      <w:pPr>
        <w:pStyle w:val="CETBodytext"/>
      </w:pPr>
      <w:r>
        <w:t xml:space="preserve">When </w:t>
      </w:r>
      <w:r w:rsidR="00F22D99">
        <w:t xml:space="preserve">initiating </w:t>
      </w:r>
      <w:r>
        <w:t xml:space="preserve">a Project for the construction of a new plant or the revamping of an existing one, the accurate early estimation of the GHG emissions associated to plant future operation is an added value. If such activity is performed during plant early design phase, when different and alternative design solutions are </w:t>
      </w:r>
      <w:r w:rsidR="007D3A10">
        <w:t>evaluated</w:t>
      </w:r>
      <w:r>
        <w:t xml:space="preserve"> for implementation, it allows to address the Project towards a greater environmental sustainability. Also, it complies with the requirements of the Equator Principles, applied </w:t>
      </w:r>
      <w:r w:rsidR="00546279">
        <w:t>b</w:t>
      </w:r>
      <w:r>
        <w:t>y a growing number of financial Institutions when financing projects for the construction of industrial plants and large infrastructures.</w:t>
      </w:r>
    </w:p>
    <w:p w14:paraId="4B721AD4" w14:textId="66E9C874" w:rsidR="007D31AD" w:rsidRDefault="007D31AD" w:rsidP="007D31AD">
      <w:pPr>
        <w:pStyle w:val="CETBodytext"/>
        <w:rPr>
          <w:rFonts w:eastAsiaTheme="minorHAnsi"/>
        </w:rPr>
      </w:pPr>
      <w:r>
        <w:rPr>
          <w:rFonts w:eastAsiaTheme="minorHAnsi"/>
        </w:rPr>
        <w:t>The evaluation of the solutions under analysis</w:t>
      </w:r>
      <w:r w:rsidRPr="002E3168">
        <w:rPr>
          <w:rFonts w:eastAsiaTheme="minorHAnsi"/>
        </w:rPr>
        <w:t xml:space="preserve"> </w:t>
      </w:r>
      <w:r>
        <w:rPr>
          <w:rFonts w:eastAsiaTheme="minorHAnsi"/>
        </w:rPr>
        <w:t>from</w:t>
      </w:r>
      <w:r w:rsidRPr="0024229D">
        <w:rPr>
          <w:rFonts w:eastAsiaTheme="minorHAnsi"/>
        </w:rPr>
        <w:t xml:space="preserve"> </w:t>
      </w:r>
      <w:r>
        <w:rPr>
          <w:rFonts w:eastAsiaTheme="minorHAnsi"/>
        </w:rPr>
        <w:t>the point of view of plant global GHG</w:t>
      </w:r>
      <w:r w:rsidRPr="0024229D">
        <w:rPr>
          <w:rFonts w:eastAsiaTheme="minorHAnsi"/>
        </w:rPr>
        <w:t xml:space="preserve"> emissions </w:t>
      </w:r>
      <w:r w:rsidR="00546279">
        <w:rPr>
          <w:rFonts w:eastAsiaTheme="minorHAnsi"/>
        </w:rPr>
        <w:t>can</w:t>
      </w:r>
      <w:r>
        <w:rPr>
          <w:rFonts w:eastAsiaTheme="minorHAnsi"/>
        </w:rPr>
        <w:t xml:space="preserve"> be done</w:t>
      </w:r>
      <w:r w:rsidR="00546279">
        <w:rPr>
          <w:rFonts w:eastAsiaTheme="minorHAnsi"/>
        </w:rPr>
        <w:t xml:space="preserve"> </w:t>
      </w:r>
      <w:r>
        <w:rPr>
          <w:rFonts w:eastAsiaTheme="minorHAnsi"/>
        </w:rPr>
        <w:t xml:space="preserve">by applying </w:t>
      </w:r>
      <w:r w:rsidRPr="009267BB">
        <w:rPr>
          <w:rFonts w:eastAsiaTheme="minorHAnsi"/>
        </w:rPr>
        <w:t>common principles for GHG accounting</w:t>
      </w:r>
      <w:r>
        <w:rPr>
          <w:rFonts w:eastAsiaTheme="minorHAnsi"/>
        </w:rPr>
        <w:t>.</w:t>
      </w:r>
    </w:p>
    <w:p w14:paraId="0A521635" w14:textId="77777777" w:rsidR="00617B0B" w:rsidRDefault="00617B0B" w:rsidP="00617B0B">
      <w:pPr>
        <w:pStyle w:val="CETBodytext"/>
      </w:pPr>
      <w:r w:rsidRPr="00546279">
        <w:t>The Greenhouse Gas Protocol is the most widely used international accounting tool, adopted by government agencies and business leaders, and allows an accurate accounting of GHG emissions, supported by credible and robust standards.</w:t>
      </w:r>
      <w:r>
        <w:t xml:space="preserve"> </w:t>
      </w:r>
    </w:p>
    <w:p w14:paraId="0A2AB278" w14:textId="0966F69E" w:rsidR="00617B0B" w:rsidRDefault="00617B0B" w:rsidP="00617B0B">
      <w:pPr>
        <w:pStyle w:val="CETBodytext"/>
      </w:pPr>
      <w:r>
        <w:t>Specifically, emissions are divided into three “scopes”, schematically represented in</w:t>
      </w:r>
      <w:r w:rsidR="00AA523A">
        <w:t xml:space="preserve"> </w:t>
      </w:r>
      <w:r w:rsidR="00AA523A">
        <w:fldChar w:fldCharType="begin"/>
      </w:r>
      <w:r w:rsidR="00AA523A">
        <w:instrText xml:space="preserve"> REF _Ref107398737 \h </w:instrText>
      </w:r>
      <w:r w:rsidR="00AA523A">
        <w:fldChar w:fldCharType="separate"/>
      </w:r>
      <w:r w:rsidR="00694976">
        <w:t xml:space="preserve">Figure </w:t>
      </w:r>
      <w:r w:rsidR="00694976">
        <w:rPr>
          <w:noProof/>
        </w:rPr>
        <w:t>1</w:t>
      </w:r>
      <w:r w:rsidR="00AA523A">
        <w:fldChar w:fldCharType="end"/>
      </w:r>
      <w:r>
        <w:t>:</w:t>
      </w:r>
    </w:p>
    <w:p w14:paraId="230D5673" w14:textId="77777777" w:rsidR="00617B0B" w:rsidRDefault="00617B0B" w:rsidP="00617B0B">
      <w:pPr>
        <w:pStyle w:val="CETBodytext"/>
      </w:pPr>
      <w:r>
        <w:t xml:space="preserve"> </w:t>
      </w:r>
    </w:p>
    <w:p w14:paraId="51BA3DBD" w14:textId="64FD79E9" w:rsidR="00617B0B" w:rsidRDefault="00617B0B" w:rsidP="00617B0B">
      <w:pPr>
        <w:pStyle w:val="CETBodytext"/>
        <w:numPr>
          <w:ilvl w:val="0"/>
          <w:numId w:val="23"/>
        </w:numPr>
      </w:pPr>
      <w:r>
        <w:t xml:space="preserve">“Scope 1” (direct) GHG emissions are those emissions that occur from sources that are owned or controlled inside the plant, for example, emissions from combustion in owned or controlled process equipment, boilers, furnaces, vehicles, etc., </w:t>
      </w:r>
    </w:p>
    <w:p w14:paraId="70DF4BD5" w14:textId="3BAAD838" w:rsidR="00617B0B" w:rsidRDefault="00617B0B" w:rsidP="00617B0B">
      <w:pPr>
        <w:pStyle w:val="CETBodytext"/>
        <w:numPr>
          <w:ilvl w:val="0"/>
          <w:numId w:val="23"/>
        </w:numPr>
      </w:pPr>
      <w:r>
        <w:t xml:space="preserve">“Scope 2” (indirect) GHG emissions are those emissions deriving from the generation of the electricity purchased and consumed for the plant. </w:t>
      </w:r>
    </w:p>
    <w:p w14:paraId="7346E793" w14:textId="7ECBB800" w:rsidR="00FD772F" w:rsidRDefault="00617B0B" w:rsidP="00617B0B">
      <w:pPr>
        <w:pStyle w:val="CETBodytext"/>
        <w:numPr>
          <w:ilvl w:val="0"/>
          <w:numId w:val="23"/>
        </w:numPr>
      </w:pPr>
      <w:r>
        <w:t>“Scope 3” (other indirect) GHG emissions are a consequence of the activities of the plant but occur from sources not owned or controlled inside the plant itself. Scope 3 emissions include extraction and production of purchased materials; transportation of purchased fuels; and use of sold products and services.</w:t>
      </w:r>
    </w:p>
    <w:p w14:paraId="2E14B5F9" w14:textId="77777777" w:rsidR="00471474" w:rsidRDefault="00471474" w:rsidP="002F3077">
      <w:pPr>
        <w:pStyle w:val="CETheadingx"/>
        <w:numPr>
          <w:ilvl w:val="0"/>
          <w:numId w:val="0"/>
        </w:numPr>
      </w:pPr>
      <w:r w:rsidRPr="00700578">
        <w:rPr>
          <w:rFonts w:eastAsia="Calibri"/>
          <w:noProof/>
        </w:rPr>
        <w:drawing>
          <wp:inline distT="0" distB="0" distL="0" distR="0" wp14:anchorId="0FC1BE6C" wp14:editId="5448D92B">
            <wp:extent cx="4858247" cy="2220988"/>
            <wp:effectExtent l="0" t="0" r="0" b="8255"/>
            <wp:docPr id="31" name="Picture 31"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ap&#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91653" cy="2236260"/>
                    </a:xfrm>
                    <a:prstGeom prst="rect">
                      <a:avLst/>
                    </a:prstGeom>
                    <a:noFill/>
                    <a:ln>
                      <a:noFill/>
                    </a:ln>
                  </pic:spPr>
                </pic:pic>
              </a:graphicData>
            </a:graphic>
          </wp:inline>
        </w:drawing>
      </w:r>
    </w:p>
    <w:p w14:paraId="5B66555A" w14:textId="074E08CB" w:rsidR="00FD772F" w:rsidRDefault="00471474" w:rsidP="007C51A8">
      <w:pPr>
        <w:pStyle w:val="CETCaption"/>
      </w:pPr>
      <w:bookmarkStart w:id="3" w:name="_Ref107398737"/>
      <w:r>
        <w:t xml:space="preserve">Figure </w:t>
      </w:r>
      <w:r>
        <w:fldChar w:fldCharType="begin"/>
      </w:r>
      <w:r>
        <w:instrText xml:space="preserve"> SEQ Figure \* ARABIC </w:instrText>
      </w:r>
      <w:r>
        <w:fldChar w:fldCharType="separate"/>
      </w:r>
      <w:r w:rsidR="00694976">
        <w:rPr>
          <w:noProof/>
        </w:rPr>
        <w:t>1</w:t>
      </w:r>
      <w:r>
        <w:fldChar w:fldCharType="end"/>
      </w:r>
      <w:bookmarkEnd w:id="3"/>
      <w:r>
        <w:t>:</w:t>
      </w:r>
      <w:r w:rsidR="0006719E">
        <w:t xml:space="preserve"> GHG emissions by Scope. From </w:t>
      </w:r>
      <w:r w:rsidR="007C51A8">
        <w:t>“</w:t>
      </w:r>
      <w:r w:rsidR="0006719E">
        <w:t>GHG Protocol- A Corporate Accounting and Reporting Standard</w:t>
      </w:r>
      <w:r w:rsidR="007C51A8">
        <w:t>”</w:t>
      </w:r>
      <w:r w:rsidR="0006719E">
        <w:t>, Revised Edition 2004</w:t>
      </w:r>
    </w:p>
    <w:p w14:paraId="142DA4DC" w14:textId="77777777" w:rsidR="005E5AE8" w:rsidRPr="005E5AE8" w:rsidRDefault="005E5AE8" w:rsidP="005E5AE8">
      <w:pPr>
        <w:pStyle w:val="CETBodytext"/>
      </w:pPr>
      <w:r w:rsidRPr="005E5AE8">
        <w:t xml:space="preserve">From the perspective of an EPC Contractor, whose scope is limited to the design and the construction of a plant for its client, who owns and operates it, the assessment of GHG emissions associated to the design solutions to be implemented corresponds to the evaluation of Scope 1 and Scope 2 GHG emissions of the plant. Reducing the GHG emissions associated with the design solutions that are proposed and implemented, is therefore in principle advantageous for the Client of an EPC Contractor. </w:t>
      </w:r>
    </w:p>
    <w:p w14:paraId="2C999BF5" w14:textId="77777777" w:rsidR="00471474" w:rsidRDefault="00471474" w:rsidP="005E5AE8">
      <w:pPr>
        <w:pStyle w:val="CETBodytext"/>
      </w:pPr>
    </w:p>
    <w:p w14:paraId="6423067B" w14:textId="34F63F94" w:rsidR="00471474" w:rsidRDefault="00AA575B" w:rsidP="00AA575B">
      <w:pPr>
        <w:pStyle w:val="CETHeading1"/>
      </w:pPr>
      <w:r w:rsidRPr="00AA575B">
        <w:t xml:space="preserve">Towards the design of low carbon footprint plant: </w:t>
      </w:r>
      <w:r w:rsidR="00225C98">
        <w:t>the</w:t>
      </w:r>
      <w:r w:rsidRPr="00AA575B">
        <w:t xml:space="preserve"> case study</w:t>
      </w:r>
    </w:p>
    <w:p w14:paraId="12C1FA53" w14:textId="1B658500" w:rsidR="00471474" w:rsidRDefault="51B20E79" w:rsidP="00C60C29">
      <w:pPr>
        <w:pStyle w:val="CETBodytext"/>
      </w:pPr>
      <w:r>
        <w:t xml:space="preserve">Maire Tecnimont Group Sustainability Strategy aims at offering products, services and solutions that are environmentally sustainable. In this context, the “Energy Efficiency and Carbon Footprint Reduction Project” was launched, aimed at developing a methodology to identify and study innovative engineering solutions leading </w:t>
      </w:r>
      <w:r>
        <w:lastRenderedPageBreak/>
        <w:t xml:space="preserve">to the reduction of the overall plant carbon footprint, to be implemented </w:t>
      </w:r>
      <w:r w:rsidR="00344475">
        <w:t xml:space="preserve">in </w:t>
      </w:r>
      <w:r>
        <w:t xml:space="preserve">EPC Projects. A multidisciplinary design </w:t>
      </w:r>
      <w:r w:rsidR="00E3776B">
        <w:t>t</w:t>
      </w:r>
      <w:r>
        <w:t xml:space="preserve">eam, composed by different engineering specialists, was </w:t>
      </w:r>
      <w:r w:rsidR="00225C98">
        <w:t>formed.</w:t>
      </w:r>
      <w:r>
        <w:t xml:space="preserve"> </w:t>
      </w:r>
      <w:r w:rsidRPr="00344475">
        <w:t xml:space="preserve">The </w:t>
      </w:r>
      <w:r w:rsidR="00225C98" w:rsidRPr="00980488">
        <w:t xml:space="preserve">first task of the </w:t>
      </w:r>
      <w:r w:rsidR="00E3776B" w:rsidRPr="00980488">
        <w:t>t</w:t>
      </w:r>
      <w:r w:rsidR="00225C98" w:rsidRPr="00980488">
        <w:t xml:space="preserve">eam was the identification of the case study. It was selected among the plants </w:t>
      </w:r>
      <w:r w:rsidR="00E3776B" w:rsidRPr="00980488">
        <w:t xml:space="preserve">recently (in the last decade) </w:t>
      </w:r>
      <w:r w:rsidRPr="00344475">
        <w:t xml:space="preserve">designed, built and commissioned </w:t>
      </w:r>
      <w:r w:rsidR="00225C98" w:rsidRPr="00794658">
        <w:t>by</w:t>
      </w:r>
      <w:r w:rsidR="00225C98" w:rsidRPr="00344475">
        <w:t xml:space="preserve"> </w:t>
      </w:r>
      <w:r w:rsidRPr="00344475">
        <w:t>Maire Tecnimont Group</w:t>
      </w:r>
      <w:r w:rsidR="00E3776B" w:rsidRPr="00980488">
        <w:t>.</w:t>
      </w:r>
      <w:r w:rsidR="00225C98" w:rsidRPr="00980488">
        <w:t xml:space="preserve"> The project </w:t>
      </w:r>
      <w:r w:rsidR="00E3776B" w:rsidRPr="00980488">
        <w:t>chosen</w:t>
      </w:r>
      <w:r w:rsidR="00344475" w:rsidRPr="00980488">
        <w:t xml:space="preserve"> – a petrochemical plant -</w:t>
      </w:r>
      <w:r w:rsidR="00E3776B" w:rsidRPr="00980488">
        <w:t xml:space="preserve"> presented a number of possible technical alternatives </w:t>
      </w:r>
      <w:r w:rsidR="00344475" w:rsidRPr="00980488">
        <w:t xml:space="preserve">that </w:t>
      </w:r>
      <w:r w:rsidRPr="00344475">
        <w:t>could be proposed in place of the solutions currently implemented.</w:t>
      </w:r>
    </w:p>
    <w:p w14:paraId="01BA9E02" w14:textId="0791D5DB" w:rsidR="00E3776B" w:rsidRDefault="00E3776B" w:rsidP="00C60C29">
      <w:pPr>
        <w:pStyle w:val="CETBodytext"/>
      </w:pPr>
      <w:r>
        <w:t>The s</w:t>
      </w:r>
      <w:r w:rsidRPr="00474242">
        <w:t>elected plant</w:t>
      </w:r>
      <w:r>
        <w:t xml:space="preserve"> was </w:t>
      </w:r>
      <w:r w:rsidRPr="00474242">
        <w:t>divided</w:t>
      </w:r>
      <w:r>
        <w:t xml:space="preserve"> into its functional section</w:t>
      </w:r>
      <w:r w:rsidR="00344475">
        <w:t>s</w:t>
      </w:r>
      <w:r>
        <w:t xml:space="preserve"> and technical alternatives were identified for each section (Figure 2).</w:t>
      </w:r>
    </w:p>
    <w:p w14:paraId="7E3D701A" w14:textId="77777777" w:rsidR="00896A9A" w:rsidRDefault="00896A9A" w:rsidP="00C60C29">
      <w:pPr>
        <w:pStyle w:val="CETBodytext"/>
      </w:pPr>
    </w:p>
    <w:p w14:paraId="70CB5783" w14:textId="78F18201" w:rsidR="00C60C29" w:rsidRDefault="00C07A8C" w:rsidP="00C60C29">
      <w:pPr>
        <w:pStyle w:val="CETBodytext"/>
      </w:pPr>
      <w:r w:rsidRPr="00C07A8C">
        <w:rPr>
          <w:noProof/>
        </w:rPr>
        <w:drawing>
          <wp:inline distT="0" distB="0" distL="0" distR="0" wp14:anchorId="64155E2A" wp14:editId="701557E1">
            <wp:extent cx="3676650" cy="2504658"/>
            <wp:effectExtent l="0" t="0" r="0" b="0"/>
            <wp:docPr id="8" name="Picture 8"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imeline&#10;&#10;Description automatically generated"/>
                    <pic:cNvPicPr/>
                  </pic:nvPicPr>
                  <pic:blipFill>
                    <a:blip r:embed="rId14"/>
                    <a:stretch>
                      <a:fillRect/>
                    </a:stretch>
                  </pic:blipFill>
                  <pic:spPr>
                    <a:xfrm>
                      <a:off x="0" y="0"/>
                      <a:ext cx="3686137" cy="2511121"/>
                    </a:xfrm>
                    <a:prstGeom prst="rect">
                      <a:avLst/>
                    </a:prstGeom>
                  </pic:spPr>
                </pic:pic>
              </a:graphicData>
            </a:graphic>
          </wp:inline>
        </w:drawing>
      </w:r>
    </w:p>
    <w:p w14:paraId="57C31884" w14:textId="3FA33C04" w:rsidR="00896A9A" w:rsidRDefault="00896A9A" w:rsidP="00896A9A">
      <w:pPr>
        <w:pStyle w:val="CETCaption"/>
      </w:pPr>
      <w:r>
        <w:t xml:space="preserve">Figure </w:t>
      </w:r>
      <w:r>
        <w:fldChar w:fldCharType="begin"/>
      </w:r>
      <w:r>
        <w:instrText xml:space="preserve"> SEQ Figure \* ARABIC </w:instrText>
      </w:r>
      <w:r>
        <w:fldChar w:fldCharType="separate"/>
      </w:r>
      <w:r w:rsidR="00694976">
        <w:rPr>
          <w:noProof/>
        </w:rPr>
        <w:t>2</w:t>
      </w:r>
      <w:r>
        <w:fldChar w:fldCharType="end"/>
      </w:r>
      <w:r>
        <w:t xml:space="preserve">: </w:t>
      </w:r>
      <w:r w:rsidRPr="00474242">
        <w:t>Selected plant, divided</w:t>
      </w:r>
      <w:r>
        <w:t xml:space="preserve"> into its functional section. Each idea represents one alternative solution.</w:t>
      </w:r>
    </w:p>
    <w:p w14:paraId="303E7E90" w14:textId="50757C70" w:rsidR="00774AA3" w:rsidRDefault="00774AA3" w:rsidP="00774AA3">
      <w:pPr>
        <w:pStyle w:val="CETHeading1"/>
      </w:pPr>
      <w:r w:rsidRPr="00774AA3">
        <w:t>Methodology of analysis</w:t>
      </w:r>
    </w:p>
    <w:p w14:paraId="4633C109" w14:textId="0C26A98C" w:rsidR="00774AA3" w:rsidRDefault="009C29C4" w:rsidP="002F3077">
      <w:pPr>
        <w:pStyle w:val="CETheadingx"/>
      </w:pPr>
      <w:r w:rsidRPr="009C29C4">
        <w:t xml:space="preserve">From the identification of plant functional sections to the selection of the alternative </w:t>
      </w:r>
      <w:r w:rsidR="00344475">
        <w:t>solutions</w:t>
      </w:r>
      <w:r w:rsidR="00225C98">
        <w:t>.</w:t>
      </w:r>
    </w:p>
    <w:p w14:paraId="2A9F46A3" w14:textId="3A6BC774" w:rsidR="00AA523A" w:rsidRPr="00AA523A" w:rsidRDefault="00C47DB6" w:rsidP="00AA523A">
      <w:pPr>
        <w:pStyle w:val="CETBodytext"/>
      </w:pPr>
      <w:r>
        <w:t xml:space="preserve">After </w:t>
      </w:r>
      <w:r w:rsidR="00AA523A">
        <w:t xml:space="preserve">the selection of the </w:t>
      </w:r>
      <w:r w:rsidR="00933FEC">
        <w:t>Case Study for the</w:t>
      </w:r>
      <w:r w:rsidR="00AA523A">
        <w:t xml:space="preserve"> “Energy Efficiency and Carbon Footprint Reduction Project”, the multidisciplinary design </w:t>
      </w:r>
      <w:r w:rsidR="00933FEC">
        <w:t>t</w:t>
      </w:r>
      <w:r w:rsidR="00AA523A">
        <w:t xml:space="preserve">eam methodically proceeded as detailed below:  </w:t>
      </w:r>
    </w:p>
    <w:p w14:paraId="3B65B701" w14:textId="77777777" w:rsidR="00AA523A" w:rsidRPr="00AA523A" w:rsidRDefault="00AA523A" w:rsidP="00AA523A">
      <w:pPr>
        <w:pStyle w:val="CETBodytext"/>
      </w:pPr>
    </w:p>
    <w:p w14:paraId="482A6865" w14:textId="2969549E" w:rsidR="00AA523A" w:rsidRPr="00AA523A" w:rsidRDefault="5739AF72" w:rsidP="00AA523A">
      <w:pPr>
        <w:pStyle w:val="CETBodytext"/>
        <w:numPr>
          <w:ilvl w:val="0"/>
          <w:numId w:val="24"/>
        </w:numPr>
        <w:ind w:left="397" w:hanging="397"/>
      </w:pPr>
      <w:r>
        <w:t xml:space="preserve">Plant review, identification of main functional sections, including all process and auxiliary units. </w:t>
      </w:r>
    </w:p>
    <w:p w14:paraId="1DF3CC07" w14:textId="77777777" w:rsidR="00AA523A" w:rsidRPr="00AA523A" w:rsidRDefault="00AA523A" w:rsidP="00AA523A">
      <w:pPr>
        <w:pStyle w:val="CETBodytext"/>
        <w:ind w:left="397" w:hanging="397"/>
      </w:pPr>
    </w:p>
    <w:p w14:paraId="2CE6DA26" w14:textId="62EE443B" w:rsidR="00AA523A" w:rsidRPr="00AA523A" w:rsidRDefault="00933FEC" w:rsidP="00AA523A">
      <w:pPr>
        <w:pStyle w:val="CETBodytext"/>
        <w:numPr>
          <w:ilvl w:val="0"/>
          <w:numId w:val="24"/>
        </w:numPr>
        <w:ind w:left="397" w:hanging="397"/>
      </w:pPr>
      <w:r>
        <w:t>A</w:t>
      </w:r>
      <w:r w:rsidRPr="00AA523A">
        <w:t>nalysis</w:t>
      </w:r>
      <w:r>
        <w:t>, f</w:t>
      </w:r>
      <w:r w:rsidRPr="00AA523A">
        <w:t xml:space="preserve">or each functional </w:t>
      </w:r>
      <w:r w:rsidR="00C47DB6" w:rsidRPr="00AA523A">
        <w:t>section, of</w:t>
      </w:r>
      <w:r w:rsidR="00AA523A" w:rsidRPr="00AA523A">
        <w:t xml:space="preserve"> the technical solutions already in place (base case), characterization of the battery limits, identification of the main elements (itemized components, structural elements</w:t>
      </w:r>
      <w:r w:rsidR="00C47DB6">
        <w:t>, etc.</w:t>
      </w:r>
      <w:r w:rsidR="00AA523A" w:rsidRPr="00AA523A">
        <w:t>).</w:t>
      </w:r>
    </w:p>
    <w:p w14:paraId="2F4BA0B9" w14:textId="77777777" w:rsidR="00AA523A" w:rsidRPr="00AA523A" w:rsidRDefault="00AA523A" w:rsidP="00AA523A">
      <w:pPr>
        <w:pStyle w:val="CETBodytext"/>
        <w:ind w:left="397" w:hanging="397"/>
      </w:pPr>
    </w:p>
    <w:p w14:paraId="0361A689" w14:textId="42F2D3EA" w:rsidR="00AA523A" w:rsidRPr="00AA523A" w:rsidRDefault="00AA523A" w:rsidP="00AA523A">
      <w:pPr>
        <w:pStyle w:val="CETBodytext"/>
        <w:numPr>
          <w:ilvl w:val="0"/>
          <w:numId w:val="24"/>
        </w:numPr>
        <w:ind w:left="397" w:hanging="397"/>
      </w:pPr>
      <w:r w:rsidRPr="00AA523A">
        <w:t xml:space="preserve">Identification of some possible technical alternatives </w:t>
      </w:r>
      <w:r w:rsidR="00B227A5">
        <w:t>for each</w:t>
      </w:r>
      <w:r w:rsidRPr="00AA523A">
        <w:t xml:space="preserve"> base case: identification of the main elements</w:t>
      </w:r>
      <w:r w:rsidR="00933FEC">
        <w:t>.</w:t>
      </w:r>
      <w:r w:rsidRPr="00AA523A">
        <w:t xml:space="preserve"> </w:t>
      </w:r>
    </w:p>
    <w:p w14:paraId="543E9AA1" w14:textId="77777777" w:rsidR="00AA523A" w:rsidRPr="00AA523A" w:rsidRDefault="00AA523A" w:rsidP="00AA523A">
      <w:pPr>
        <w:pStyle w:val="CETBodytext"/>
        <w:ind w:left="397" w:hanging="397"/>
      </w:pPr>
    </w:p>
    <w:p w14:paraId="00BEE98F" w14:textId="58A78F22" w:rsidR="00AA523A" w:rsidRPr="00AA523A" w:rsidRDefault="00AA523A" w:rsidP="00AA523A">
      <w:pPr>
        <w:pStyle w:val="CETBodytext"/>
        <w:numPr>
          <w:ilvl w:val="0"/>
          <w:numId w:val="24"/>
        </w:numPr>
        <w:ind w:left="397" w:hanging="397"/>
      </w:pPr>
      <w:r w:rsidRPr="00AA523A">
        <w:t xml:space="preserve">Validation of the hypotheses and assumptions </w:t>
      </w:r>
      <w:r w:rsidRPr="00B227A5">
        <w:t>(se</w:t>
      </w:r>
      <w:r w:rsidR="00276D1B" w:rsidRPr="00B227A5">
        <w:t>e</w:t>
      </w:r>
      <w:r w:rsidRPr="00B227A5">
        <w:t xml:space="preserve"> Section 4.2)</w:t>
      </w:r>
      <w:r w:rsidRPr="00AA523A">
        <w:t xml:space="preserve"> for </w:t>
      </w:r>
      <w:r w:rsidR="00B227A5">
        <w:t>each</w:t>
      </w:r>
      <w:r w:rsidRPr="00AA523A">
        <w:t xml:space="preserve"> base case and </w:t>
      </w:r>
      <w:r w:rsidR="00B227A5">
        <w:t xml:space="preserve">its </w:t>
      </w:r>
      <w:r w:rsidRPr="00AA523A">
        <w:t xml:space="preserve">alternative </w:t>
      </w:r>
      <w:r w:rsidR="00B227A5">
        <w:t>solutions</w:t>
      </w:r>
      <w:r w:rsidRPr="00AA523A">
        <w:t>.</w:t>
      </w:r>
    </w:p>
    <w:p w14:paraId="3712C8F9" w14:textId="77777777" w:rsidR="00AA523A" w:rsidRPr="00AA523A" w:rsidRDefault="00AA523A" w:rsidP="00AA523A">
      <w:pPr>
        <w:pStyle w:val="CETBodytext"/>
        <w:ind w:left="397" w:hanging="397"/>
      </w:pPr>
    </w:p>
    <w:p w14:paraId="66B4D0DF" w14:textId="3C21109A" w:rsidR="00AA523A" w:rsidRPr="00AA523A" w:rsidRDefault="00AA523A" w:rsidP="00B227A5">
      <w:pPr>
        <w:pStyle w:val="CETBodytext"/>
        <w:numPr>
          <w:ilvl w:val="0"/>
          <w:numId w:val="24"/>
        </w:numPr>
        <w:ind w:left="397" w:hanging="397"/>
      </w:pPr>
      <w:r w:rsidRPr="00AA523A">
        <w:t xml:space="preserve">Assessment and comparative phase. A comparison on a cost-benefit basis </w:t>
      </w:r>
      <w:r w:rsidR="00933FEC">
        <w:t>was</w:t>
      </w:r>
      <w:r w:rsidRPr="00AA523A">
        <w:t xml:space="preserve"> adopted, focused on the evaluation of the following three resulting factors for </w:t>
      </w:r>
      <w:r w:rsidR="00B227A5">
        <w:t>each</w:t>
      </w:r>
      <w:r w:rsidR="00B227A5" w:rsidRPr="00AA523A">
        <w:t xml:space="preserve"> </w:t>
      </w:r>
      <w:r w:rsidRPr="00AA523A">
        <w:t xml:space="preserve">base case and </w:t>
      </w:r>
      <w:r w:rsidR="00B227A5">
        <w:t xml:space="preserve">its </w:t>
      </w:r>
      <w:r w:rsidR="00B227A5" w:rsidRPr="00AA523A">
        <w:t xml:space="preserve">alternative </w:t>
      </w:r>
      <w:r w:rsidR="00B227A5">
        <w:t>solutions</w:t>
      </w:r>
      <w:r w:rsidRPr="00AA523A">
        <w:t xml:space="preserve">: </w:t>
      </w:r>
    </w:p>
    <w:p w14:paraId="41BDED34" w14:textId="6F2E432C" w:rsidR="00AA523A" w:rsidRPr="00AA523A" w:rsidRDefault="00AA523A" w:rsidP="00AA523A">
      <w:pPr>
        <w:pStyle w:val="CETBodytext"/>
      </w:pPr>
    </w:p>
    <w:p w14:paraId="2E41B6D6" w14:textId="5B86BBFC" w:rsidR="00AA523A" w:rsidRPr="00AA523A" w:rsidRDefault="00AA523A" w:rsidP="00276D1B">
      <w:pPr>
        <w:pStyle w:val="CETBodytext"/>
        <w:numPr>
          <w:ilvl w:val="0"/>
          <w:numId w:val="26"/>
        </w:numPr>
      </w:pPr>
      <w:r w:rsidRPr="00276D1B">
        <w:rPr>
          <w:i/>
          <w:iCs/>
        </w:rPr>
        <w:t>Energy consumption</w:t>
      </w:r>
      <w:r w:rsidRPr="00AA523A">
        <w:t>: considering the solutions implemented and the plant in operation</w:t>
      </w:r>
      <w:r w:rsidR="00B227A5">
        <w:t>.</w:t>
      </w:r>
    </w:p>
    <w:p w14:paraId="2A100C81" w14:textId="0C36EF59" w:rsidR="00AA523A" w:rsidRPr="00AA523A" w:rsidRDefault="00AA523A" w:rsidP="00276D1B">
      <w:pPr>
        <w:pStyle w:val="CETBodytext"/>
        <w:numPr>
          <w:ilvl w:val="0"/>
          <w:numId w:val="26"/>
        </w:numPr>
      </w:pPr>
      <w:r w:rsidRPr="00276D1B">
        <w:rPr>
          <w:i/>
          <w:iCs/>
        </w:rPr>
        <w:t>GHG emissions of Scope 1 and Scope 2</w:t>
      </w:r>
      <w:r w:rsidRPr="00AA523A">
        <w:t>: associated to the energy consumption, expressed in tons of CO</w:t>
      </w:r>
      <w:r w:rsidRPr="00276D1B">
        <w:rPr>
          <w:vertAlign w:val="subscript"/>
        </w:rPr>
        <w:t>2</w:t>
      </w:r>
      <w:r w:rsidRPr="00AA523A">
        <w:t xml:space="preserve"> equivalent per year (tCO</w:t>
      </w:r>
      <w:r w:rsidRPr="00276D1B">
        <w:rPr>
          <w:vertAlign w:val="subscript"/>
        </w:rPr>
        <w:t>2</w:t>
      </w:r>
      <w:r w:rsidRPr="00AA523A">
        <w:t>eq/y).</w:t>
      </w:r>
    </w:p>
    <w:p w14:paraId="44BC85C2" w14:textId="6D9773A8" w:rsidR="00AA523A" w:rsidRPr="00AA523A" w:rsidRDefault="00AA523A" w:rsidP="00276D1B">
      <w:pPr>
        <w:pStyle w:val="CETBodytext"/>
        <w:numPr>
          <w:ilvl w:val="0"/>
          <w:numId w:val="26"/>
        </w:numPr>
      </w:pPr>
      <w:r w:rsidRPr="00276D1B">
        <w:rPr>
          <w:i/>
          <w:iCs/>
        </w:rPr>
        <w:t>Cost</w:t>
      </w:r>
      <w:r w:rsidRPr="00AA523A">
        <w:t xml:space="preserve">: </w:t>
      </w:r>
      <w:r w:rsidR="00D51491">
        <w:t>based on the</w:t>
      </w:r>
      <w:r w:rsidRPr="00AA523A">
        <w:t xml:space="preserve"> results of </w:t>
      </w:r>
      <w:r w:rsidR="00D51491">
        <w:t xml:space="preserve">the </w:t>
      </w:r>
      <w:r w:rsidRPr="00AA523A">
        <w:t>cost estimation</w:t>
      </w:r>
      <w:r w:rsidR="00D51491">
        <w:t>, done for each base case and for each alternative solution</w:t>
      </w:r>
      <w:r w:rsidRPr="00AA523A">
        <w:t xml:space="preserve">. </w:t>
      </w:r>
    </w:p>
    <w:p w14:paraId="0F64359A" w14:textId="77777777" w:rsidR="00AA523A" w:rsidRPr="00AA523A" w:rsidRDefault="00AA523A" w:rsidP="00AA523A">
      <w:pPr>
        <w:pStyle w:val="CETBodytext"/>
      </w:pPr>
    </w:p>
    <w:p w14:paraId="367BBD17" w14:textId="3A617CE4" w:rsidR="009C29C4" w:rsidRDefault="00AA523A" w:rsidP="00276D1B">
      <w:pPr>
        <w:pStyle w:val="CETBodytext"/>
        <w:numPr>
          <w:ilvl w:val="0"/>
          <w:numId w:val="24"/>
        </w:numPr>
        <w:ind w:left="397" w:hanging="397"/>
      </w:pPr>
      <w:r>
        <w:t xml:space="preserve">Categorization and selection of alternative solutions. The comparison </w:t>
      </w:r>
      <w:bookmarkStart w:id="4" w:name="_Int_d8xwIGzU"/>
      <w:r>
        <w:t>allow</w:t>
      </w:r>
      <w:r w:rsidR="00933FEC">
        <w:t>ed</w:t>
      </w:r>
      <w:bookmarkEnd w:id="4"/>
      <w:r>
        <w:t xml:space="preserve"> to categorize the solutions in four groups and to select the ameliorative alternative ones.</w:t>
      </w:r>
    </w:p>
    <w:p w14:paraId="31046294" w14:textId="576B8967" w:rsidR="004E5722" w:rsidRDefault="004E5722" w:rsidP="004E5722">
      <w:pPr>
        <w:pStyle w:val="CETBodytext"/>
      </w:pPr>
    </w:p>
    <w:p w14:paraId="53832376" w14:textId="5C45DCC7" w:rsidR="00D51491" w:rsidRDefault="00D51491" w:rsidP="004E5722">
      <w:pPr>
        <w:pStyle w:val="CETBodytext"/>
      </w:pPr>
      <w:r>
        <w:lastRenderedPageBreak/>
        <w:t>All the process above described is summarized in Figure 3.</w:t>
      </w:r>
    </w:p>
    <w:p w14:paraId="6943CD06" w14:textId="0EBA20D3" w:rsidR="004E5722" w:rsidRDefault="004E5722" w:rsidP="004E5722">
      <w:pPr>
        <w:pStyle w:val="CETBodytext"/>
        <w:keepNext/>
      </w:pPr>
    </w:p>
    <w:p w14:paraId="673D0FD3" w14:textId="77777777" w:rsidR="003C14E0" w:rsidRDefault="003C14E0" w:rsidP="003C14E0">
      <w:pPr>
        <w:pStyle w:val="CETBodytext"/>
        <w:keepNext/>
      </w:pPr>
      <w:r w:rsidRPr="009B46EB">
        <w:rPr>
          <w:rFonts w:eastAsiaTheme="minorEastAsia"/>
          <w:noProof/>
        </w:rPr>
        <w:drawing>
          <wp:inline distT="0" distB="0" distL="0" distR="0" wp14:anchorId="19442244" wp14:editId="65E3400D">
            <wp:extent cx="5240740" cy="1928822"/>
            <wp:effectExtent l="0" t="0" r="0" b="0"/>
            <wp:docPr id="4" name="Picture 4"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imeline&#10;&#10;Description automatically generated"/>
                    <pic:cNvPicPr/>
                  </pic:nvPicPr>
                  <pic:blipFill>
                    <a:blip r:embed="rId15"/>
                    <a:stretch>
                      <a:fillRect/>
                    </a:stretch>
                  </pic:blipFill>
                  <pic:spPr>
                    <a:xfrm>
                      <a:off x="0" y="0"/>
                      <a:ext cx="5296395" cy="1949305"/>
                    </a:xfrm>
                    <a:prstGeom prst="rect">
                      <a:avLst/>
                    </a:prstGeom>
                  </pic:spPr>
                </pic:pic>
              </a:graphicData>
            </a:graphic>
          </wp:inline>
        </w:drawing>
      </w:r>
    </w:p>
    <w:p w14:paraId="33FCBA9D" w14:textId="68400E67" w:rsidR="00751EBF" w:rsidRDefault="003C14E0" w:rsidP="00751EBF">
      <w:pPr>
        <w:pStyle w:val="CETCaption"/>
        <w:rPr>
          <w:rFonts w:eastAsiaTheme="minorEastAsia"/>
        </w:rPr>
      </w:pPr>
      <w:r>
        <w:t xml:space="preserve">Figure </w:t>
      </w:r>
      <w:r>
        <w:fldChar w:fldCharType="begin"/>
      </w:r>
      <w:r>
        <w:instrText xml:space="preserve"> SEQ Figure \* ARABIC </w:instrText>
      </w:r>
      <w:r>
        <w:fldChar w:fldCharType="separate"/>
      </w:r>
      <w:r w:rsidR="00694976">
        <w:rPr>
          <w:noProof/>
        </w:rPr>
        <w:t>3</w:t>
      </w:r>
      <w:r>
        <w:fldChar w:fldCharType="end"/>
      </w:r>
      <w:r>
        <w:t>:</w:t>
      </w:r>
      <w:r w:rsidR="00751EBF" w:rsidRPr="00751EBF">
        <w:t xml:space="preserve"> </w:t>
      </w:r>
      <w:r w:rsidR="00751EBF">
        <w:t>Methodology steps.</w:t>
      </w:r>
    </w:p>
    <w:p w14:paraId="4CF7ED1F" w14:textId="7A58A002" w:rsidR="003C14E0" w:rsidRDefault="00FA7BEA" w:rsidP="007A0D7B">
      <w:pPr>
        <w:pStyle w:val="CETBodytext"/>
      </w:pPr>
      <w:r>
        <w:t>Th</w:t>
      </w:r>
      <w:r w:rsidR="007A0D7B">
        <w:t xml:space="preserve">e methodology </w:t>
      </w:r>
      <w:r>
        <w:t>was applied to</w:t>
      </w:r>
      <w:r w:rsidR="007A0D7B">
        <w:t xml:space="preserve"> thirty-two technical solutions </w:t>
      </w:r>
      <w:r w:rsidR="00D51491">
        <w:t xml:space="preserve">currently implemented </w:t>
      </w:r>
      <w:r w:rsidR="007A0D7B">
        <w:t>and</w:t>
      </w:r>
      <w:r>
        <w:t xml:space="preserve"> to the forty-one a</w:t>
      </w:r>
      <w:r w:rsidR="007A0D7B">
        <w:t xml:space="preserve">lternative solutions </w:t>
      </w:r>
      <w:r>
        <w:t xml:space="preserve">that </w:t>
      </w:r>
      <w:r w:rsidR="007A0D7B">
        <w:t xml:space="preserve">were identified </w:t>
      </w:r>
      <w:r>
        <w:t>as possible improvements</w:t>
      </w:r>
      <w:r w:rsidR="007A0D7B">
        <w:t xml:space="preserve">. This means that, in some cases, </w:t>
      </w:r>
      <w:r>
        <w:t>a currently implemented</w:t>
      </w:r>
      <w:r w:rsidR="007A0D7B">
        <w:t xml:space="preserve"> design solution </w:t>
      </w:r>
      <w:r>
        <w:t xml:space="preserve">could generate </w:t>
      </w:r>
      <w:r w:rsidR="007A0D7B">
        <w:t>more than one alternative.</w:t>
      </w:r>
    </w:p>
    <w:p w14:paraId="053B18C7" w14:textId="581A912E" w:rsidR="007A0D7B" w:rsidRDefault="007A0D7B" w:rsidP="007A0D7B">
      <w:pPr>
        <w:pStyle w:val="CETBodytext"/>
      </w:pPr>
    </w:p>
    <w:p w14:paraId="59876517" w14:textId="77777777" w:rsidR="00C12FF0" w:rsidRPr="00C12FF0" w:rsidRDefault="00C12FF0" w:rsidP="002F3077">
      <w:pPr>
        <w:pStyle w:val="CETheadingx"/>
      </w:pPr>
      <w:bookmarkStart w:id="5" w:name="_Ref107163792"/>
      <w:r w:rsidRPr="00C12FF0">
        <w:t>Main assumptions and their validation</w:t>
      </w:r>
      <w:bookmarkEnd w:id="5"/>
      <w:r w:rsidRPr="00C12FF0">
        <w:t xml:space="preserve"> </w:t>
      </w:r>
    </w:p>
    <w:p w14:paraId="6E3DFC4E" w14:textId="019EC21B" w:rsidR="006B1A1C" w:rsidRDefault="002F3077" w:rsidP="006B1A1C">
      <w:pPr>
        <w:pStyle w:val="CETBodytext"/>
        <w:rPr>
          <w:rFonts w:eastAsia="‚l‚r –¾’©"/>
          <w:snapToGrid w:val="0"/>
        </w:rPr>
      </w:pPr>
      <w:r>
        <w:rPr>
          <w:rFonts w:eastAsiaTheme="minorEastAsia"/>
        </w:rPr>
        <w:t>T</w:t>
      </w:r>
      <w:r w:rsidR="006B1A1C" w:rsidRPr="367C67C9">
        <w:rPr>
          <w:rFonts w:eastAsiaTheme="minorEastAsia"/>
        </w:rPr>
        <w:t xml:space="preserve">he methodology requires the introduction of some main assumptions, to be verified and validated </w:t>
      </w:r>
      <w:r w:rsidR="006B1A1C" w:rsidRPr="00406427">
        <w:rPr>
          <w:rFonts w:eastAsia="‚l‚r –¾’©"/>
        </w:rPr>
        <w:t>for</w:t>
      </w:r>
      <w:r w:rsidR="006B1A1C" w:rsidRPr="260ACAC6" w:rsidDel="6B173DB9">
        <w:rPr>
          <w:rFonts w:eastAsia="‚l‚r –¾’©"/>
        </w:rPr>
        <w:t xml:space="preserve"> each technical </w:t>
      </w:r>
      <w:r w:rsidR="006B1A1C" w:rsidRPr="260ACAC6" w:rsidDel="373138A9">
        <w:rPr>
          <w:rFonts w:eastAsia="‚l‚r –¾’©"/>
        </w:rPr>
        <w:t>solution</w:t>
      </w:r>
      <w:r w:rsidR="006B1A1C">
        <w:rPr>
          <w:rFonts w:eastAsia="‚l‚r –¾’©"/>
        </w:rPr>
        <w:t xml:space="preserve"> under </w:t>
      </w:r>
      <w:r w:rsidR="007D3A10">
        <w:rPr>
          <w:rFonts w:eastAsia="‚l‚r –¾’©"/>
        </w:rPr>
        <w:t>evaluation</w:t>
      </w:r>
      <w:r w:rsidR="006B1A1C">
        <w:rPr>
          <w:rFonts w:eastAsia="‚l‚r –¾’©"/>
        </w:rPr>
        <w:t>.</w:t>
      </w:r>
      <w:r w:rsidR="006B1A1C" w:rsidRPr="002041D0">
        <w:rPr>
          <w:rFonts w:eastAsia="‚l‚r –¾’©"/>
          <w:snapToGrid w:val="0"/>
        </w:rPr>
        <w:t xml:space="preserve"> </w:t>
      </w:r>
    </w:p>
    <w:p w14:paraId="5B053319" w14:textId="77777777" w:rsidR="006B1A1C" w:rsidRPr="002041D0" w:rsidRDefault="006B1A1C" w:rsidP="006B1A1C">
      <w:pPr>
        <w:pStyle w:val="CETBodytext"/>
        <w:rPr>
          <w:rFonts w:eastAsia="‚l‚r –¾’©"/>
          <w:snapToGrid w:val="0"/>
        </w:rPr>
      </w:pPr>
    </w:p>
    <w:p w14:paraId="71861C2C" w14:textId="77777777" w:rsidR="006B1A1C" w:rsidRPr="00875C00" w:rsidRDefault="006B1A1C" w:rsidP="006B1A1C">
      <w:pPr>
        <w:pStyle w:val="CETBodytext"/>
        <w:numPr>
          <w:ilvl w:val="0"/>
          <w:numId w:val="29"/>
        </w:numPr>
        <w:spacing w:after="120"/>
        <w:ind w:left="714" w:hanging="357"/>
        <w:rPr>
          <w:rFonts w:eastAsia="‚l‚r –¾’©"/>
          <w:snapToGrid w:val="0"/>
        </w:rPr>
      </w:pPr>
      <w:r w:rsidRPr="008D314A">
        <w:rPr>
          <w:rFonts w:eastAsia="‚l‚r –¾’©"/>
          <w:snapToGrid w:val="0"/>
        </w:rPr>
        <w:t xml:space="preserve">Each technical solution </w:t>
      </w:r>
      <w:r w:rsidRPr="008D314A" w:rsidDel="6B173DB9">
        <w:rPr>
          <w:rFonts w:eastAsia="‚l‚r –¾’©"/>
        </w:rPr>
        <w:t>is</w:t>
      </w:r>
      <w:r w:rsidRPr="008D314A">
        <w:rPr>
          <w:rFonts w:eastAsia="‚l‚r –¾’©"/>
          <w:snapToGrid w:val="0"/>
        </w:rPr>
        <w:t xml:space="preserve"> considered as ‘stand-alone’, </w:t>
      </w:r>
      <w:r w:rsidRPr="008D314A" w:rsidDel="00372B41">
        <w:rPr>
          <w:rFonts w:eastAsia="‚l‚r –¾’©"/>
          <w:snapToGrid w:val="0"/>
        </w:rPr>
        <w:t>i.e</w:t>
      </w:r>
      <w:r>
        <w:rPr>
          <w:rFonts w:eastAsia="‚l‚r –¾’©"/>
          <w:snapToGrid w:val="0"/>
        </w:rPr>
        <w:t>.,</w:t>
      </w:r>
      <w:r w:rsidRPr="008D314A" w:rsidDel="00D7332A">
        <w:rPr>
          <w:rFonts w:eastAsia="‚l‚r –¾’©"/>
          <w:snapToGrid w:val="0"/>
        </w:rPr>
        <w:t xml:space="preserve"> </w:t>
      </w:r>
      <w:r w:rsidRPr="008D314A">
        <w:rPr>
          <w:rFonts w:eastAsia="‚l‚r –¾’©"/>
          <w:snapToGrid w:val="0"/>
        </w:rPr>
        <w:t xml:space="preserve">the impact of one alternative solution, when implemented, is assessed regardless of the implementation of the other ones. </w:t>
      </w:r>
    </w:p>
    <w:p w14:paraId="40F3B8DF" w14:textId="22CC9533" w:rsidR="006B1A1C" w:rsidRPr="002041D0" w:rsidRDefault="006B1A1C" w:rsidP="006B1A1C">
      <w:pPr>
        <w:pStyle w:val="CETBodytext"/>
        <w:numPr>
          <w:ilvl w:val="0"/>
          <w:numId w:val="29"/>
        </w:numPr>
        <w:spacing w:after="120"/>
        <w:ind w:left="714" w:hanging="357"/>
        <w:rPr>
          <w:rFonts w:eastAsia="‚l‚r –¾’©"/>
          <w:snapToGrid w:val="0"/>
        </w:rPr>
      </w:pPr>
      <w:r w:rsidRPr="002041D0">
        <w:rPr>
          <w:rFonts w:eastAsia="‚l‚r –¾’©"/>
          <w:snapToGrid w:val="0"/>
        </w:rPr>
        <w:t xml:space="preserve">While each technical solution is characterized by a defined physical boundary, which, in general, is inside the plant, the impact of the solution is evaluated </w:t>
      </w:r>
      <w:r w:rsidR="00BA36BF">
        <w:rPr>
          <w:rFonts w:eastAsia="‚l‚r –¾’©"/>
          <w:snapToGrid w:val="0"/>
        </w:rPr>
        <w:t>on the overall plant</w:t>
      </w:r>
      <w:r w:rsidRPr="002041D0">
        <w:rPr>
          <w:rFonts w:eastAsia="‚l‚r –¾’©"/>
          <w:snapToGrid w:val="0"/>
        </w:rPr>
        <w:t xml:space="preserve">. </w:t>
      </w:r>
    </w:p>
    <w:p w14:paraId="61082AA3" w14:textId="058C968E" w:rsidR="006B1A1C" w:rsidRPr="00D9474D" w:rsidRDefault="006B1A1C" w:rsidP="006B1A1C">
      <w:pPr>
        <w:pStyle w:val="CETBodytext"/>
        <w:numPr>
          <w:ilvl w:val="0"/>
          <w:numId w:val="29"/>
        </w:numPr>
        <w:spacing w:after="120"/>
        <w:ind w:left="714" w:hanging="357"/>
        <w:rPr>
          <w:rFonts w:eastAsia="‚l‚r –¾’©"/>
          <w:snapToGrid w:val="0"/>
        </w:rPr>
      </w:pPr>
      <w:r w:rsidRPr="00D9474D">
        <w:rPr>
          <w:rFonts w:eastAsia="‚l‚r –¾’©"/>
          <w:snapToGrid w:val="0"/>
        </w:rPr>
        <w:t xml:space="preserve">The assessment of the cost of the technical solution </w:t>
      </w:r>
      <w:r w:rsidR="00BA36BF">
        <w:rPr>
          <w:rFonts w:eastAsia="‚l‚r –¾’©"/>
        </w:rPr>
        <w:t>is based on</w:t>
      </w:r>
      <w:r w:rsidRPr="00D9474D">
        <w:rPr>
          <w:rFonts w:eastAsia="‚l‚r –¾’©"/>
          <w:snapToGrid w:val="0"/>
        </w:rPr>
        <w:t xml:space="preserve"> </w:t>
      </w:r>
      <w:r w:rsidRPr="260ACAC6">
        <w:rPr>
          <w:rFonts w:eastAsia="‚l‚r –¾’©"/>
        </w:rPr>
        <w:t xml:space="preserve">the </w:t>
      </w:r>
      <w:r w:rsidRPr="00D9474D">
        <w:rPr>
          <w:rFonts w:eastAsia="‚l‚r –¾’©"/>
          <w:snapToGrid w:val="0"/>
        </w:rPr>
        <w:t xml:space="preserve">cost of all the itemized components </w:t>
      </w:r>
      <w:r w:rsidRPr="260ACAC6">
        <w:rPr>
          <w:rFonts w:eastAsia="‚l‚r –¾’©"/>
        </w:rPr>
        <w:t xml:space="preserve">and, </w:t>
      </w:r>
      <w:r>
        <w:rPr>
          <w:rFonts w:eastAsia="‚l‚r –¾’©"/>
        </w:rPr>
        <w:t xml:space="preserve">only </w:t>
      </w:r>
      <w:r w:rsidRPr="260ACAC6">
        <w:rPr>
          <w:rFonts w:eastAsia="‚l‚r –¾’©"/>
        </w:rPr>
        <w:t xml:space="preserve">when relevant, </w:t>
      </w:r>
      <w:r w:rsidR="00BA36BF">
        <w:rPr>
          <w:rFonts w:eastAsia="‚l‚r –¾’©"/>
        </w:rPr>
        <w:t xml:space="preserve">on </w:t>
      </w:r>
      <w:r w:rsidRPr="260ACAC6">
        <w:rPr>
          <w:rFonts w:eastAsia="‚l‚r –¾’©"/>
        </w:rPr>
        <w:t>the cost of</w:t>
      </w:r>
      <w:r w:rsidRPr="00D9474D">
        <w:rPr>
          <w:rFonts w:eastAsia="‚l‚r –¾’©"/>
          <w:snapToGrid w:val="0"/>
        </w:rPr>
        <w:t xml:space="preserve"> bulk material associated with the solution</w:t>
      </w:r>
      <w:r>
        <w:rPr>
          <w:rFonts w:eastAsia="‚l‚r –¾’©"/>
          <w:snapToGrid w:val="0"/>
        </w:rPr>
        <w:t>.</w:t>
      </w:r>
      <w:r w:rsidRPr="00D9474D">
        <w:rPr>
          <w:rFonts w:eastAsia="‚l‚r –¾’©"/>
          <w:snapToGrid w:val="0"/>
        </w:rPr>
        <w:t xml:space="preserve"> </w:t>
      </w:r>
    </w:p>
    <w:p w14:paraId="11589113" w14:textId="42EFD326" w:rsidR="006B1A1C" w:rsidRPr="002041D0" w:rsidRDefault="00BA36BF" w:rsidP="006B1A1C">
      <w:pPr>
        <w:pStyle w:val="CETBodytext"/>
        <w:numPr>
          <w:ilvl w:val="0"/>
          <w:numId w:val="29"/>
        </w:numPr>
        <w:spacing w:after="120"/>
        <w:ind w:left="714" w:hanging="357"/>
        <w:rPr>
          <w:rFonts w:eastAsia="‚l‚r –¾’©"/>
          <w:snapToGrid w:val="0"/>
        </w:rPr>
      </w:pPr>
      <w:r>
        <w:rPr>
          <w:rFonts w:eastAsia="‚l‚r –¾’©"/>
          <w:snapToGrid w:val="0"/>
        </w:rPr>
        <w:t>T</w:t>
      </w:r>
      <w:r w:rsidR="006B1A1C" w:rsidRPr="002041D0">
        <w:rPr>
          <w:rFonts w:eastAsia="‚l‚r –¾’©"/>
          <w:snapToGrid w:val="0"/>
        </w:rPr>
        <w:t xml:space="preserve">he assessment </w:t>
      </w:r>
      <w:r>
        <w:rPr>
          <w:rFonts w:eastAsia="‚l‚r –¾’©"/>
          <w:snapToGrid w:val="0"/>
        </w:rPr>
        <w:t>does not include</w:t>
      </w:r>
      <w:r w:rsidR="006B1A1C" w:rsidRPr="002041D0">
        <w:rPr>
          <w:rFonts w:eastAsia="‚l‚r –¾’©"/>
          <w:snapToGrid w:val="0"/>
        </w:rPr>
        <w:t xml:space="preserve"> the cost </w:t>
      </w:r>
      <w:r w:rsidR="00926399">
        <w:rPr>
          <w:rFonts w:eastAsia="‚l‚r –¾’©"/>
          <w:snapToGrid w:val="0"/>
        </w:rPr>
        <w:t>for the</w:t>
      </w:r>
      <w:r w:rsidR="00926399" w:rsidRPr="002041D0">
        <w:rPr>
          <w:rFonts w:eastAsia="‚l‚r –¾’©"/>
          <w:snapToGrid w:val="0"/>
        </w:rPr>
        <w:t xml:space="preserve"> </w:t>
      </w:r>
      <w:r w:rsidR="006B1A1C">
        <w:rPr>
          <w:rFonts w:eastAsia="‚l‚r –¾’©"/>
          <w:snapToGrid w:val="0"/>
        </w:rPr>
        <w:t xml:space="preserve">design development and </w:t>
      </w:r>
      <w:r w:rsidR="00926399">
        <w:rPr>
          <w:rFonts w:eastAsia="‚l‚r –¾’©"/>
          <w:snapToGrid w:val="0"/>
        </w:rPr>
        <w:t>the cost for the transportation and the erection at site,</w:t>
      </w:r>
      <w:r w:rsidR="006B1A1C">
        <w:rPr>
          <w:rFonts w:eastAsia="‚l‚r –¾’©"/>
          <w:snapToGrid w:val="0"/>
        </w:rPr>
        <w:t xml:space="preserve"> </w:t>
      </w:r>
      <w:r>
        <w:rPr>
          <w:rFonts w:eastAsia="‚l‚r –¾’©"/>
          <w:snapToGrid w:val="0"/>
        </w:rPr>
        <w:t xml:space="preserve">since considered </w:t>
      </w:r>
      <w:r w:rsidR="00926399">
        <w:rPr>
          <w:rFonts w:eastAsia="‚l‚r –¾’©"/>
          <w:snapToGrid w:val="0"/>
        </w:rPr>
        <w:t xml:space="preserve">as first approach </w:t>
      </w:r>
      <w:r>
        <w:rPr>
          <w:rFonts w:eastAsia="‚l‚r –¾’©"/>
          <w:snapToGrid w:val="0"/>
        </w:rPr>
        <w:t>the same for each base case and for its alternatives.</w:t>
      </w:r>
    </w:p>
    <w:p w14:paraId="0DC241EC" w14:textId="59A07E7D" w:rsidR="006B1A1C" w:rsidRPr="009101CA" w:rsidRDefault="006B1A1C" w:rsidP="006B1A1C">
      <w:pPr>
        <w:pStyle w:val="CETBodytext"/>
        <w:numPr>
          <w:ilvl w:val="0"/>
          <w:numId w:val="29"/>
        </w:numPr>
        <w:spacing w:after="120"/>
        <w:ind w:left="714" w:hanging="357"/>
        <w:rPr>
          <w:rFonts w:eastAsia="‚l‚r –¾’©"/>
        </w:rPr>
      </w:pPr>
      <w:r w:rsidRPr="002041D0">
        <w:rPr>
          <w:rFonts w:eastAsia="‚l‚r –¾’©"/>
          <w:snapToGrid w:val="0"/>
        </w:rPr>
        <w:t>The assessment of GHG emissions is limited to Scope 1 (direct) and Scope 2 (indirect)</w:t>
      </w:r>
      <w:r w:rsidR="00C77F65">
        <w:rPr>
          <w:rFonts w:eastAsia="‚l‚r –¾’©"/>
          <w:snapToGrid w:val="0"/>
        </w:rPr>
        <w:t xml:space="preserve">, </w:t>
      </w:r>
      <w:r w:rsidRPr="002041D0">
        <w:rPr>
          <w:rFonts w:eastAsia="‚l‚r –¾’©"/>
          <w:snapToGrid w:val="0"/>
        </w:rPr>
        <w:t>associated with each solution. Scope 3 emissions</w:t>
      </w:r>
      <w:r>
        <w:rPr>
          <w:rFonts w:eastAsia="‚l‚r –¾’©"/>
          <w:snapToGrid w:val="0"/>
        </w:rPr>
        <w:t xml:space="preserve"> </w:t>
      </w:r>
      <w:r w:rsidRPr="009101CA">
        <w:rPr>
          <w:rFonts w:eastAsia="‚l‚r –¾’©"/>
        </w:rPr>
        <w:t xml:space="preserve">are not part of the present assessment. </w:t>
      </w:r>
    </w:p>
    <w:p w14:paraId="7067C12A" w14:textId="24105C72" w:rsidR="006B1A1C" w:rsidRPr="002041D0" w:rsidRDefault="006B1A1C" w:rsidP="006B1A1C">
      <w:pPr>
        <w:pStyle w:val="CETBodytext"/>
        <w:numPr>
          <w:ilvl w:val="0"/>
          <w:numId w:val="29"/>
        </w:numPr>
        <w:rPr>
          <w:rFonts w:eastAsia="‚l‚r –¾’©"/>
          <w:snapToGrid w:val="0"/>
        </w:rPr>
      </w:pPr>
      <w:r w:rsidRPr="002041D0">
        <w:rPr>
          <w:rFonts w:eastAsia="‚l‚r –¾’©"/>
          <w:snapToGrid w:val="0"/>
        </w:rPr>
        <w:t>The impact of other technical solutions specifically addressed to the energy improvement of the construction phase of the plant (e.g.: solutions for temporary facilities and</w:t>
      </w:r>
      <w:r>
        <w:rPr>
          <w:rFonts w:eastAsia="‚l‚r –¾’©"/>
          <w:snapToGrid w:val="0"/>
        </w:rPr>
        <w:t xml:space="preserve"> laydown areas</w:t>
      </w:r>
      <w:r w:rsidRPr="002041D0">
        <w:rPr>
          <w:rFonts w:eastAsia="‚l‚r –¾’©"/>
          <w:snapToGrid w:val="0"/>
        </w:rPr>
        <w:t>) ha</w:t>
      </w:r>
      <w:r>
        <w:rPr>
          <w:rFonts w:eastAsia="‚l‚r –¾’©"/>
          <w:snapToGrid w:val="0"/>
        </w:rPr>
        <w:t>ve</w:t>
      </w:r>
      <w:r w:rsidRPr="002041D0">
        <w:rPr>
          <w:rFonts w:eastAsia="‚l‚r –¾’©"/>
          <w:snapToGrid w:val="0"/>
        </w:rPr>
        <w:t xml:space="preserve"> not been considered </w:t>
      </w:r>
      <w:r>
        <w:rPr>
          <w:rFonts w:eastAsia="‚l‚r –¾’©"/>
          <w:snapToGrid w:val="0"/>
        </w:rPr>
        <w:t>in the present study.</w:t>
      </w:r>
    </w:p>
    <w:p w14:paraId="0E4072F9" w14:textId="6620EE6F" w:rsidR="00C12FF0" w:rsidRDefault="00C12FF0" w:rsidP="00C12FF0">
      <w:pPr>
        <w:pStyle w:val="CETBodytext"/>
      </w:pPr>
    </w:p>
    <w:p w14:paraId="18680DD1" w14:textId="1CE4164B" w:rsidR="006B1A1C" w:rsidRDefault="00246834" w:rsidP="002F3077">
      <w:pPr>
        <w:pStyle w:val="CETheadingx"/>
      </w:pPr>
      <w:r w:rsidRPr="00246834">
        <w:t>Assessment and categorization of the results</w:t>
      </w:r>
    </w:p>
    <w:p w14:paraId="79E79FF8" w14:textId="77777777" w:rsidR="00BA6220" w:rsidRDefault="0010515F" w:rsidP="00BA6220">
      <w:pPr>
        <w:tabs>
          <w:tab w:val="clear" w:pos="7100"/>
        </w:tabs>
        <w:spacing w:line="276" w:lineRule="auto"/>
      </w:pPr>
      <w:r w:rsidRPr="0010515F">
        <w:rPr>
          <w:lang w:val="en-US"/>
        </w:rPr>
        <w:t xml:space="preserve">The categorization of the alternative solutions </w:t>
      </w:r>
      <w:r w:rsidR="003F26E4">
        <w:rPr>
          <w:lang w:val="en-US"/>
        </w:rPr>
        <w:t xml:space="preserve">was done on the basis of cost saving/increase and on the </w:t>
      </w:r>
      <w:r w:rsidRPr="0010515F">
        <w:rPr>
          <w:lang w:val="en-US"/>
        </w:rPr>
        <w:t>GHG emissions saving</w:t>
      </w:r>
      <w:r w:rsidR="003F26E4">
        <w:rPr>
          <w:lang w:val="en-US"/>
        </w:rPr>
        <w:t>/</w:t>
      </w:r>
      <w:r w:rsidRPr="0010515F">
        <w:rPr>
          <w:lang w:val="en-US"/>
        </w:rPr>
        <w:t xml:space="preserve">increase </w:t>
      </w:r>
      <w:r w:rsidR="003F26E4">
        <w:rPr>
          <w:lang w:val="en-US"/>
        </w:rPr>
        <w:t>in comparison with the</w:t>
      </w:r>
      <w:r w:rsidRPr="0010515F">
        <w:rPr>
          <w:lang w:val="en-US"/>
        </w:rPr>
        <w:t xml:space="preserve"> corresponding base case solution. </w:t>
      </w:r>
      <w:r w:rsidR="003F26E4">
        <w:rPr>
          <w:lang w:val="en-US"/>
        </w:rPr>
        <w:t>As shown in Figure 4, al</w:t>
      </w:r>
      <w:proofErr w:type="spellStart"/>
      <w:r w:rsidR="003F26E4">
        <w:t>ternative</w:t>
      </w:r>
      <w:proofErr w:type="spellEnd"/>
      <w:r w:rsidR="003F26E4">
        <w:t xml:space="preserve"> solutions were classified in four categories, identified with colours: Green (GHG emission saving and cost saving); Yellow (GHG emission saving and cost increase); Orange (GHG emission increase and cost saving) and Grey (GHG emission increase and cost increase). </w:t>
      </w:r>
    </w:p>
    <w:p w14:paraId="46ACB976" w14:textId="4FBF5333" w:rsidR="00F851DD" w:rsidRDefault="00F851DD" w:rsidP="00BA6220">
      <w:pPr>
        <w:tabs>
          <w:tab w:val="clear" w:pos="7100"/>
        </w:tabs>
        <w:spacing w:line="276" w:lineRule="auto"/>
      </w:pPr>
      <w:r>
        <w:t>With reference to th</w:t>
      </w:r>
      <w:r w:rsidR="00EC330C">
        <w:t>is</w:t>
      </w:r>
      <w:r>
        <w:t xml:space="preserve"> scheme, </w:t>
      </w:r>
      <w:r w:rsidR="00A46095">
        <w:t xml:space="preserve">while the “Orange” and “Grey” solutions cannot be obviously considered in the design of a new plant matching the objectives of environmental sustainability, </w:t>
      </w:r>
      <w:r>
        <w:t>“</w:t>
      </w:r>
      <w:r w:rsidR="00A46095">
        <w:t>G</w:t>
      </w:r>
      <w:r>
        <w:t>reen” solutions are undoubtedly ameliorative and worthy to be implemented</w:t>
      </w:r>
      <w:r w:rsidR="00A46095">
        <w:t>.</w:t>
      </w:r>
      <w:r>
        <w:t xml:space="preserve"> </w:t>
      </w:r>
    </w:p>
    <w:p w14:paraId="2D1501F7" w14:textId="7301C182" w:rsidR="006F4C07" w:rsidRDefault="007F03EC" w:rsidP="006F4C07">
      <w:pPr>
        <w:pStyle w:val="CETBodytext"/>
        <w:keepNext/>
      </w:pPr>
      <w:r>
        <w:rPr>
          <w:noProof/>
        </w:rPr>
        <w:lastRenderedPageBreak/>
        <w:drawing>
          <wp:inline distT="0" distB="0" distL="0" distR="0" wp14:anchorId="387C240E" wp14:editId="4EE233B6">
            <wp:extent cx="5555331" cy="2019915"/>
            <wp:effectExtent l="0" t="0" r="762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85544" cy="2030900"/>
                    </a:xfrm>
                    <a:prstGeom prst="rect">
                      <a:avLst/>
                    </a:prstGeom>
                    <a:noFill/>
                  </pic:spPr>
                </pic:pic>
              </a:graphicData>
            </a:graphic>
          </wp:inline>
        </w:drawing>
      </w:r>
    </w:p>
    <w:p w14:paraId="50C0B1BF" w14:textId="513D6253" w:rsidR="006F4C07" w:rsidRDefault="006F4C07" w:rsidP="00A64598">
      <w:pPr>
        <w:pStyle w:val="CETCaption"/>
      </w:pPr>
      <w:bookmarkStart w:id="6" w:name="_Ref107399090"/>
      <w:r>
        <w:t xml:space="preserve">Figure </w:t>
      </w:r>
      <w:r>
        <w:fldChar w:fldCharType="begin"/>
      </w:r>
      <w:r>
        <w:instrText xml:space="preserve"> SEQ Figure \* ARABIC </w:instrText>
      </w:r>
      <w:r>
        <w:fldChar w:fldCharType="separate"/>
      </w:r>
      <w:r w:rsidR="00694976">
        <w:rPr>
          <w:noProof/>
        </w:rPr>
        <w:t>4</w:t>
      </w:r>
      <w:r>
        <w:fldChar w:fldCharType="end"/>
      </w:r>
      <w:bookmarkEnd w:id="6"/>
      <w:r>
        <w:t>:</w:t>
      </w:r>
      <w:r w:rsidR="00A64598" w:rsidRPr="00A64598">
        <w:t xml:space="preserve"> </w:t>
      </w:r>
      <w:r w:rsidR="00A64598">
        <w:t>C</w:t>
      </w:r>
      <w:r w:rsidR="00A64598" w:rsidRPr="00963EAD">
        <w:t xml:space="preserve">lassification of the </w:t>
      </w:r>
      <w:r w:rsidR="00A64598">
        <w:t>“</w:t>
      </w:r>
      <w:r w:rsidR="00A64598" w:rsidRPr="00963EAD">
        <w:t>Alternative design solutions</w:t>
      </w:r>
      <w:r w:rsidR="00A64598">
        <w:t>”</w:t>
      </w:r>
    </w:p>
    <w:p w14:paraId="7719A4F9" w14:textId="23AE7739" w:rsidR="00671022" w:rsidRDefault="00671022" w:rsidP="00671022">
      <w:pPr>
        <w:tabs>
          <w:tab w:val="clear" w:pos="7100"/>
        </w:tabs>
        <w:spacing w:line="276" w:lineRule="auto"/>
      </w:pPr>
      <w:r>
        <w:t>For what concerns the “Yellow” solutions, they may become profitable when considering the application of a potential Carbon Tax to the plant GHG emissions, and, under some circumstances, when considering the costs of power and fuels required for their operation (see Section 5).</w:t>
      </w:r>
    </w:p>
    <w:p w14:paraId="629E8DC9" w14:textId="2CAD80EB" w:rsidR="00A64598" w:rsidRDefault="0003233C" w:rsidP="0003233C">
      <w:pPr>
        <w:pStyle w:val="CETBodytext"/>
      </w:pPr>
      <w:r>
        <w:t xml:space="preserve">Surprisingly, as a result of the application of the methodology, the “alternative” solutions proposed, which were initially expected to be all environmentally beneficial, </w:t>
      </w:r>
      <w:bookmarkStart w:id="7" w:name="_Int_DmYYWK1x"/>
      <w:r>
        <w:t>not</w:t>
      </w:r>
      <w:bookmarkEnd w:id="7"/>
      <w:r>
        <w:t xml:space="preserve"> always turn out to be ameliorative after the analysis. This conveys the idea of the importance of such a methodology based on the combined analysis of the selected parameters.</w:t>
      </w:r>
    </w:p>
    <w:p w14:paraId="17377663" w14:textId="45C58496" w:rsidR="0003233C" w:rsidRDefault="0003233C" w:rsidP="0003233C">
      <w:pPr>
        <w:pStyle w:val="CETBodytext"/>
      </w:pPr>
    </w:p>
    <w:p w14:paraId="069E041E" w14:textId="77777777" w:rsidR="00AB6D07" w:rsidRPr="00AB6D07" w:rsidRDefault="00AB6D07" w:rsidP="002F3077">
      <w:pPr>
        <w:pStyle w:val="CETheadingx"/>
        <w:rPr>
          <w:rFonts w:eastAsiaTheme="minorHAnsi"/>
        </w:rPr>
      </w:pPr>
      <w:r w:rsidRPr="00AB6D07">
        <w:rPr>
          <w:rFonts w:eastAsiaTheme="minorHAnsi"/>
        </w:rPr>
        <w:t>Economic sustainability of intermediate “yellow” solutions</w:t>
      </w:r>
    </w:p>
    <w:p w14:paraId="68561062" w14:textId="24036AC8" w:rsidR="005D27B4" w:rsidRPr="00F804B2" w:rsidRDefault="005D27B4" w:rsidP="002F3077">
      <w:pPr>
        <w:pStyle w:val="CETheadingx"/>
        <w:numPr>
          <w:ilvl w:val="0"/>
          <w:numId w:val="0"/>
        </w:numPr>
        <w:rPr>
          <w:rFonts w:eastAsia="‚l‚r –¾’©"/>
        </w:rPr>
      </w:pPr>
      <w:r w:rsidRPr="00F804B2">
        <w:rPr>
          <w:rFonts w:eastAsia="‚l‚r –¾’©"/>
        </w:rPr>
        <w:t xml:space="preserve">Effect of the application of a </w:t>
      </w:r>
      <w:r w:rsidR="00FD082D">
        <w:rPr>
          <w:rFonts w:eastAsia="‚l‚r –¾’©"/>
        </w:rPr>
        <w:t xml:space="preserve">potential </w:t>
      </w:r>
      <w:r w:rsidRPr="00F804B2">
        <w:rPr>
          <w:rFonts w:eastAsia="‚l‚r –¾’©"/>
        </w:rPr>
        <w:t xml:space="preserve">Carbon Tax </w:t>
      </w:r>
    </w:p>
    <w:p w14:paraId="3EA24F5A" w14:textId="393FDC77" w:rsidR="00AE7496" w:rsidRPr="00AE7496" w:rsidRDefault="00AE7496" w:rsidP="00AE7496">
      <w:pPr>
        <w:pStyle w:val="CETBodytext"/>
        <w:rPr>
          <w:rFonts w:eastAsia="‚l‚r –¾’©"/>
        </w:rPr>
      </w:pPr>
      <w:r w:rsidRPr="006D207E">
        <w:rPr>
          <w:rFonts w:eastAsia="‚l‚r –¾’©"/>
        </w:rPr>
        <w:t>Assuming that</w:t>
      </w:r>
      <w:r w:rsidR="0090451F" w:rsidRPr="00980488">
        <w:rPr>
          <w:rFonts w:eastAsia="‚l‚r –¾’©"/>
        </w:rPr>
        <w:t>,</w:t>
      </w:r>
      <w:r w:rsidRPr="006D207E">
        <w:rPr>
          <w:rFonts w:eastAsia="‚l‚r –¾’©"/>
        </w:rPr>
        <w:t xml:space="preserve"> during the plant lifetime</w:t>
      </w:r>
      <w:r w:rsidR="0090451F" w:rsidRPr="006D207E">
        <w:rPr>
          <w:rFonts w:eastAsia="‚l‚r –¾’©"/>
        </w:rPr>
        <w:t>,</w:t>
      </w:r>
      <w:r w:rsidRPr="00AE7496">
        <w:rPr>
          <w:rFonts w:eastAsia="‚l‚r –¾’©"/>
        </w:rPr>
        <w:t xml:space="preserve"> the rate of consumption of fuels and electricity </w:t>
      </w:r>
      <w:r w:rsidR="0090451F" w:rsidRPr="00AE7496">
        <w:rPr>
          <w:rFonts w:eastAsia="‚l‚r –¾’©"/>
        </w:rPr>
        <w:t>on a yearly average</w:t>
      </w:r>
      <w:r w:rsidR="0090451F">
        <w:rPr>
          <w:rFonts w:eastAsia="‚l‚r –¾’©"/>
        </w:rPr>
        <w:t xml:space="preserve"> </w:t>
      </w:r>
      <w:r w:rsidRPr="00AE7496">
        <w:rPr>
          <w:rFonts w:eastAsia="‚l‚r –¾’©"/>
        </w:rPr>
        <w:t>is constant, the yearly rate of GHG emissions is constant too. So, the plant GHG cumulated emissions increase linearly year after year and correspondingly,</w:t>
      </w:r>
      <w:r w:rsidR="0090451F">
        <w:rPr>
          <w:rFonts w:eastAsia="‚l‚r –¾’©"/>
        </w:rPr>
        <w:t xml:space="preserve"> the cumulated potential tax paid</w:t>
      </w:r>
      <w:r w:rsidR="00392F94">
        <w:rPr>
          <w:rFonts w:eastAsia="‚l‚r –¾’©"/>
        </w:rPr>
        <w:t xml:space="preserve"> by the Plant owner</w:t>
      </w:r>
      <w:r w:rsidR="0090451F">
        <w:rPr>
          <w:rFonts w:eastAsia="‚l‚r –¾’©"/>
        </w:rPr>
        <w:t xml:space="preserve"> on GHG emissions.</w:t>
      </w:r>
      <w:r w:rsidRPr="00AE7496">
        <w:rPr>
          <w:rFonts w:eastAsia="‚l‚r –¾’©"/>
        </w:rPr>
        <w:t xml:space="preserve"> </w:t>
      </w:r>
    </w:p>
    <w:p w14:paraId="73CB0855" w14:textId="7481EE5A" w:rsidR="00AE7496" w:rsidRDefault="00AE7496" w:rsidP="00AE7496">
      <w:pPr>
        <w:pStyle w:val="CETBodytext"/>
        <w:rPr>
          <w:rFonts w:eastAsia="‚l‚r –¾’©"/>
        </w:rPr>
      </w:pPr>
      <w:r w:rsidRPr="00AE7496">
        <w:rPr>
          <w:rFonts w:eastAsia="‚l‚r –¾’©"/>
        </w:rPr>
        <w:t xml:space="preserve">For a plant, subject to the application of a Carbon Tax </w:t>
      </w:r>
      <w:r w:rsidR="00DF47DE">
        <w:rPr>
          <w:rFonts w:eastAsia="‚l‚r –¾’©"/>
        </w:rPr>
        <w:t>indicated as “</w:t>
      </w:r>
      <w:r w:rsidRPr="00AE7496">
        <w:rPr>
          <w:rFonts w:eastAsia="‚l‚r –¾’©"/>
        </w:rPr>
        <w:t>CT</w:t>
      </w:r>
      <w:r w:rsidR="00CA4A5C">
        <w:rPr>
          <w:rFonts w:eastAsia="‚l‚r –¾’©"/>
        </w:rPr>
        <w:t>”</w:t>
      </w:r>
      <w:r w:rsidRPr="00AE7496">
        <w:rPr>
          <w:rFonts w:eastAsia="‚l‚r –¾’©"/>
        </w:rPr>
        <w:t xml:space="preserve"> and emitting every year the amount </w:t>
      </w:r>
      <w:r w:rsidR="00DF47DE">
        <w:rPr>
          <w:rFonts w:eastAsia="‚l‚r –¾’©"/>
        </w:rPr>
        <w:t>“</w:t>
      </w:r>
      <w:r w:rsidRPr="00AE7496">
        <w:rPr>
          <w:rFonts w:eastAsia="‚l‚r –¾’©"/>
        </w:rPr>
        <w:t>EP</w:t>
      </w:r>
      <w:r w:rsidR="00DF47DE">
        <w:rPr>
          <w:rFonts w:eastAsia="‚l‚r –¾’©"/>
        </w:rPr>
        <w:t>”</w:t>
      </w:r>
      <w:r w:rsidRPr="00AE7496">
        <w:rPr>
          <w:rFonts w:eastAsia="‚l‚r –¾’©"/>
        </w:rPr>
        <w:t xml:space="preserve"> of GHG emissions, the cumulated taxation of GHG emissions after</w:t>
      </w:r>
      <w:r w:rsidRPr="00E1120A">
        <w:rPr>
          <w:rFonts w:eastAsia="‚l‚r –¾’©"/>
          <w:i/>
          <w:iCs/>
        </w:rPr>
        <w:t xml:space="preserve"> t</w:t>
      </w:r>
      <w:r w:rsidRPr="00AE7496">
        <w:rPr>
          <w:rFonts w:eastAsia="‚l‚r –¾’©"/>
        </w:rPr>
        <w:t xml:space="preserve"> years is:</w:t>
      </w:r>
    </w:p>
    <w:p w14:paraId="37A1F106" w14:textId="77777777" w:rsidR="007E2C39" w:rsidRPr="00AE7496" w:rsidRDefault="007E2C39" w:rsidP="00AE7496">
      <w:pPr>
        <w:pStyle w:val="CETBodytext"/>
        <w:rPr>
          <w:rFonts w:eastAsia="‚l‚r –¾’©"/>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83"/>
        <w:gridCol w:w="804"/>
      </w:tblGrid>
      <w:tr w:rsidR="00EF3D02" w:rsidRPr="00B57B36" w14:paraId="3DE8288F" w14:textId="77777777" w:rsidTr="00D15CEB">
        <w:tc>
          <w:tcPr>
            <w:tcW w:w="7983" w:type="dxa"/>
          </w:tcPr>
          <w:p w14:paraId="139D4B6C" w14:textId="77777777" w:rsidR="00EF3D02" w:rsidRPr="00A87825" w:rsidRDefault="00EF3D02" w:rsidP="00AF76E9">
            <w:pPr>
              <w:pStyle w:val="CETEquation"/>
            </w:pPr>
            <m:oMathPara>
              <m:oMathParaPr>
                <m:jc m:val="left"/>
              </m:oMathParaPr>
              <m:oMath>
                <m:r>
                  <w:rPr>
                    <w:rFonts w:ascii="Cambria Math" w:hAnsi="Cambria Math"/>
                  </w:rPr>
                  <m:t>TAXGHG</m:t>
                </m:r>
                <m:d>
                  <m:dPr>
                    <m:ctrlPr>
                      <w:rPr>
                        <w:rFonts w:ascii="Cambria Math" w:hAnsi="Cambria Math"/>
                      </w:rPr>
                    </m:ctrlPr>
                  </m:dPr>
                  <m:e>
                    <m:r>
                      <w:rPr>
                        <w:rFonts w:ascii="Cambria Math" w:hAnsi="Cambria Math"/>
                      </w:rPr>
                      <m:t>t</m:t>
                    </m:r>
                  </m:e>
                </m:d>
                <m:r>
                  <m:rPr>
                    <m:sty m:val="p"/>
                  </m:rPr>
                  <w:rPr>
                    <w:rFonts w:ascii="Cambria Math" w:hAnsi="Cambria Math"/>
                  </w:rPr>
                  <m:t>=</m:t>
                </m:r>
                <m:r>
                  <w:rPr>
                    <w:rFonts w:ascii="Cambria Math" w:hAnsi="Cambria Math"/>
                  </w:rPr>
                  <m:t>EP</m:t>
                </m:r>
                <m:r>
                  <m:rPr>
                    <m:sty m:val="p"/>
                  </m:rPr>
                  <w:rPr>
                    <w:rFonts w:ascii="Cambria Math" w:hAnsi="Cambria Math"/>
                  </w:rPr>
                  <m:t>∙</m:t>
                </m:r>
                <m:r>
                  <w:rPr>
                    <w:rFonts w:ascii="Cambria Math" w:hAnsi="Cambria Math"/>
                  </w:rPr>
                  <m:t xml:space="preserve">t </m:t>
                </m:r>
                <m:r>
                  <m:rPr>
                    <m:sty m:val="p"/>
                  </m:rPr>
                  <w:rPr>
                    <w:rFonts w:ascii="Cambria Math" w:hAnsi="Cambria Math"/>
                  </w:rPr>
                  <m:t>∙</m:t>
                </m:r>
                <m:r>
                  <w:rPr>
                    <w:rFonts w:ascii="Cambria Math" w:hAnsi="Cambria Math"/>
                  </w:rPr>
                  <m:t>CT</m:t>
                </m:r>
              </m:oMath>
            </m:oMathPara>
          </w:p>
        </w:tc>
        <w:tc>
          <w:tcPr>
            <w:tcW w:w="804" w:type="dxa"/>
          </w:tcPr>
          <w:p w14:paraId="14633B57" w14:textId="77777777" w:rsidR="00EF3D02" w:rsidRPr="00B57B36" w:rsidRDefault="00EF3D02" w:rsidP="00AF76E9">
            <w:pPr>
              <w:pStyle w:val="CETEquation"/>
              <w:jc w:val="right"/>
            </w:pPr>
            <w:r w:rsidRPr="00B57B36">
              <w:t>(1)</w:t>
            </w:r>
          </w:p>
        </w:tc>
      </w:tr>
    </w:tbl>
    <w:p w14:paraId="070F79F0" w14:textId="77777777" w:rsidR="007E2C39" w:rsidRDefault="007E2C39" w:rsidP="00D15CEB">
      <w:pPr>
        <w:pStyle w:val="CETBodytext"/>
        <w:rPr>
          <w:rFonts w:eastAsia="‚l‚r –¾’©"/>
        </w:rPr>
      </w:pPr>
    </w:p>
    <w:p w14:paraId="5209486A" w14:textId="77C5A8CD" w:rsidR="00D15CEB" w:rsidRDefault="00D15CEB" w:rsidP="00D15CEB">
      <w:pPr>
        <w:pStyle w:val="CETBodytext"/>
        <w:rPr>
          <w:rFonts w:eastAsia="‚l‚r –¾’©"/>
        </w:rPr>
      </w:pPr>
      <w:r w:rsidRPr="00D15CEB">
        <w:rPr>
          <w:rFonts w:eastAsia="‚l‚r –¾’©"/>
        </w:rPr>
        <w:t xml:space="preserve">Assuming that the Carbon Tax is shared among the different technical solutions based on their contribution to the overall plant emissions, the cost of each solution would then be surcharged with an extra cost proportional to the associated emissions. After </w:t>
      </w:r>
      <w:r w:rsidRPr="00A3330B">
        <w:rPr>
          <w:rFonts w:eastAsia="‚l‚r –¾’©"/>
          <w:i/>
          <w:iCs/>
        </w:rPr>
        <w:t>t</w:t>
      </w:r>
      <w:r w:rsidRPr="00D15CEB">
        <w:rPr>
          <w:rFonts w:eastAsia="‚l‚r –¾’©"/>
        </w:rPr>
        <w:t xml:space="preserve"> years of operation, the effective cost of a generic design solution “a” is:</w:t>
      </w:r>
    </w:p>
    <w:p w14:paraId="74E9BEA6" w14:textId="77777777" w:rsidR="007E2C39" w:rsidRPr="00D15CEB" w:rsidRDefault="007E2C39" w:rsidP="00D15CEB">
      <w:pPr>
        <w:pStyle w:val="CETBodytext"/>
        <w:rPr>
          <w:rFonts w:eastAsia="‚l‚r –¾’©"/>
        </w:rPr>
      </w:pPr>
    </w:p>
    <w:tbl>
      <w:tblPr>
        <w:tblStyle w:val="TableGridLigh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82"/>
        <w:gridCol w:w="805"/>
      </w:tblGrid>
      <w:tr w:rsidR="00D15CEB" w:rsidRPr="00B57B36" w14:paraId="75CCBB7B" w14:textId="77777777" w:rsidTr="00AF76E9">
        <w:tc>
          <w:tcPr>
            <w:tcW w:w="8188" w:type="dxa"/>
          </w:tcPr>
          <w:p w14:paraId="492BDDAE" w14:textId="7550A968" w:rsidR="00D15CEB" w:rsidRPr="00A87825" w:rsidRDefault="00E174A9" w:rsidP="00AF76E9">
            <w:pPr>
              <w:pStyle w:val="CETEquation"/>
            </w:pPr>
            <m:oMathPara>
              <m:oMathParaPr>
                <m:jc m:val="left"/>
              </m:oMathParaPr>
              <m:oMath>
                <m:sSub>
                  <m:sSubPr>
                    <m:ctrlPr>
                      <w:rPr>
                        <w:rFonts w:ascii="Cambria Math" w:hAnsi="Cambria Math"/>
                        <w:i/>
                        <w:iCs/>
                      </w:rPr>
                    </m:ctrlPr>
                  </m:sSubPr>
                  <m:e>
                    <m:r>
                      <w:rPr>
                        <w:rFonts w:ascii="Cambria Math" w:hAnsi="Cambria Math"/>
                      </w:rPr>
                      <m:t>C</m:t>
                    </m:r>
                  </m:e>
                  <m:sub>
                    <m:r>
                      <w:rPr>
                        <w:rFonts w:ascii="Cambria Math" w:hAnsi="Cambria Math"/>
                      </w:rPr>
                      <m:t>a</m:t>
                    </m:r>
                  </m:sub>
                </m:sSub>
                <m:d>
                  <m:dPr>
                    <m:ctrlPr>
                      <w:rPr>
                        <w:rFonts w:ascii="Cambria Math" w:hAnsi="Cambria Math"/>
                      </w:rPr>
                    </m:ctrlPr>
                  </m:dPr>
                  <m:e>
                    <m:r>
                      <w:rPr>
                        <w:rFonts w:ascii="Cambria Math" w:hAnsi="Cambria Math"/>
                      </w:rPr>
                      <m:t>t</m:t>
                    </m:r>
                  </m:e>
                </m:d>
                <m:r>
                  <m:rPr>
                    <m:sty m:val="p"/>
                  </m:rPr>
                  <w:rPr>
                    <w:rFonts w:ascii="Cambria Math" w:hAnsi="Cambria Math"/>
                  </w:rPr>
                  <m:t>=</m:t>
                </m:r>
                <m:sSub>
                  <m:sSubPr>
                    <m:ctrlPr>
                      <w:rPr>
                        <w:rFonts w:ascii="Cambria Math" w:hAnsi="Cambria Math"/>
                        <w:i/>
                        <w:iCs/>
                      </w:rPr>
                    </m:ctrlPr>
                  </m:sSubPr>
                  <m:e>
                    <m:r>
                      <w:rPr>
                        <w:rFonts w:ascii="Cambria Math" w:hAnsi="Cambria Math"/>
                      </w:rPr>
                      <m:t>C</m:t>
                    </m:r>
                  </m:e>
                  <m:sub>
                    <m:r>
                      <w:rPr>
                        <w:rFonts w:ascii="Cambria Math" w:hAnsi="Cambria Math"/>
                      </w:rPr>
                      <m:t>0,a</m:t>
                    </m:r>
                  </m:sub>
                </m:sSub>
                <m:r>
                  <w:rPr>
                    <w:rFonts w:ascii="Cambria Math" w:hAnsi="Cambria Math"/>
                  </w:rPr>
                  <m:t>+</m:t>
                </m:r>
                <m:sSub>
                  <m:sSubPr>
                    <m:ctrlPr>
                      <w:rPr>
                        <w:rFonts w:ascii="Cambria Math" w:hAnsi="Cambria Math"/>
                        <w:i/>
                        <w:iCs/>
                      </w:rPr>
                    </m:ctrlPr>
                  </m:sSubPr>
                  <m:e>
                    <m:r>
                      <w:rPr>
                        <w:rFonts w:ascii="Cambria Math" w:hAnsi="Cambria Math"/>
                      </w:rPr>
                      <m:t>E</m:t>
                    </m:r>
                  </m:e>
                  <m:sub>
                    <m:r>
                      <w:rPr>
                        <w:rFonts w:ascii="Cambria Math" w:hAnsi="Cambria Math"/>
                      </w:rPr>
                      <m:t>a</m:t>
                    </m:r>
                  </m:sub>
                </m:sSub>
                <m:r>
                  <w:rPr>
                    <w:rFonts w:ascii="Cambria Math" w:hAnsi="Cambria Math"/>
                  </w:rPr>
                  <m:t>∙t ∙CT</m:t>
                </m:r>
              </m:oMath>
            </m:oMathPara>
          </w:p>
        </w:tc>
        <w:tc>
          <w:tcPr>
            <w:tcW w:w="815" w:type="dxa"/>
          </w:tcPr>
          <w:p w14:paraId="32E42784" w14:textId="77777777" w:rsidR="00D15CEB" w:rsidRPr="00B57B36" w:rsidRDefault="00D15CEB" w:rsidP="00AF76E9">
            <w:pPr>
              <w:pStyle w:val="CETEquation"/>
              <w:jc w:val="right"/>
            </w:pPr>
            <w:r w:rsidRPr="00B57B36">
              <w:t>(</w:t>
            </w:r>
            <w:r>
              <w:t>2</w:t>
            </w:r>
            <w:r w:rsidRPr="00B57B36">
              <w:t>)</w:t>
            </w:r>
          </w:p>
        </w:tc>
      </w:tr>
    </w:tbl>
    <w:p w14:paraId="354262BC" w14:textId="77777777" w:rsidR="007E2C39" w:rsidRDefault="007E2C39" w:rsidP="00D15CEB">
      <w:pPr>
        <w:pStyle w:val="CETBodytext"/>
        <w:rPr>
          <w:rFonts w:eastAsia="‚l‚r –¾’©"/>
        </w:rPr>
      </w:pPr>
    </w:p>
    <w:p w14:paraId="4A41574B" w14:textId="4643E203" w:rsidR="00D15CEB" w:rsidRPr="00963EAD" w:rsidRDefault="00DF47DE" w:rsidP="00D15CEB">
      <w:pPr>
        <w:pStyle w:val="CETBodytext"/>
        <w:rPr>
          <w:rFonts w:eastAsia="‚l‚r –¾’©"/>
        </w:rPr>
      </w:pPr>
      <w:r>
        <w:rPr>
          <w:rFonts w:eastAsia="‚l‚r –¾’©"/>
        </w:rPr>
        <w:t>w</w:t>
      </w:r>
      <w:r w:rsidR="00D15CEB" w:rsidRPr="00963EAD">
        <w:rPr>
          <w:rFonts w:eastAsia="‚l‚r –¾’©"/>
        </w:rPr>
        <w:t>here</w:t>
      </w:r>
      <w:r w:rsidR="00D15CEB">
        <w:rPr>
          <w:rFonts w:eastAsia="‚l‚r –¾’©"/>
        </w:rPr>
        <w:t xml:space="preserve"> </w:t>
      </w:r>
      <w:r w:rsidR="00D15CEB" w:rsidRPr="00963EAD">
        <w:rPr>
          <w:rFonts w:eastAsia="‚l‚r –¾’©"/>
        </w:rPr>
        <w:t>C</w:t>
      </w:r>
      <w:r w:rsidR="00D15CEB">
        <w:rPr>
          <w:rFonts w:eastAsia="‚l‚r –¾’©"/>
          <w:vertAlign w:val="subscript"/>
        </w:rPr>
        <w:t>0,a</w:t>
      </w:r>
      <w:r w:rsidR="00D15CEB" w:rsidRPr="00963EAD">
        <w:rPr>
          <w:rFonts w:eastAsia="‚l‚r –¾’©"/>
        </w:rPr>
        <w:t xml:space="preserve"> is the initial cost of the design solution </w:t>
      </w:r>
      <w:r w:rsidR="00D15CEB">
        <w:rPr>
          <w:rFonts w:eastAsia="‚l‚r –¾’©"/>
        </w:rPr>
        <w:t xml:space="preserve">at its implementation, </w:t>
      </w:r>
      <w:proofErr w:type="spellStart"/>
      <w:r w:rsidR="00D15CEB" w:rsidRPr="00963EAD">
        <w:rPr>
          <w:rFonts w:eastAsia="‚l‚r –¾’©"/>
        </w:rPr>
        <w:t>E</w:t>
      </w:r>
      <w:r w:rsidR="00D15CEB" w:rsidRPr="00921BEC">
        <w:rPr>
          <w:rFonts w:eastAsia="‚l‚r –¾’©"/>
          <w:vertAlign w:val="subscript"/>
        </w:rPr>
        <w:t>a</w:t>
      </w:r>
      <w:proofErr w:type="spellEnd"/>
      <w:r w:rsidR="00D15CEB" w:rsidRPr="00963EAD">
        <w:rPr>
          <w:rFonts w:eastAsia="‚l‚r –¾’©"/>
        </w:rPr>
        <w:t xml:space="preserve"> is the amount of GHG emitted over one year associated with the operation of the solution “a”</w:t>
      </w:r>
      <w:r w:rsidR="001C34A8">
        <w:rPr>
          <w:rFonts w:eastAsia="‚l‚r –¾’©"/>
        </w:rPr>
        <w:t>.</w:t>
      </w:r>
    </w:p>
    <w:p w14:paraId="47BEAA98" w14:textId="68E74364" w:rsidR="00D15CEB" w:rsidRPr="008658B2" w:rsidRDefault="00D15CEB" w:rsidP="00D15CEB">
      <w:pPr>
        <w:pStyle w:val="CETBodytext"/>
        <w:rPr>
          <w:rFonts w:eastAsia="‚l‚r –¾’©" w:cs="Arial"/>
        </w:rPr>
      </w:pPr>
      <w:r>
        <w:rPr>
          <w:rFonts w:eastAsia="‚l‚r –¾’©"/>
        </w:rPr>
        <w:t xml:space="preserve">When “yellow” solutions are compared </w:t>
      </w:r>
      <w:r w:rsidR="001C34A8">
        <w:rPr>
          <w:rFonts w:eastAsia="‚l‚r –¾’©"/>
        </w:rPr>
        <w:t xml:space="preserve">to </w:t>
      </w:r>
      <w:r>
        <w:rPr>
          <w:rFonts w:eastAsia="‚l‚r –¾’©"/>
        </w:rPr>
        <w:t xml:space="preserve">their base cases under the application of a carbon tax, assuming that they are implemented at the plant start-up </w:t>
      </w:r>
      <w:r w:rsidRPr="260ACAC6">
        <w:rPr>
          <w:rFonts w:eastAsia="‚l‚r –¾’©" w:cs="Arial"/>
        </w:rPr>
        <w:t>and kept in operation for the same number of years</w:t>
      </w:r>
      <w:r>
        <w:rPr>
          <w:rFonts w:eastAsia="‚l‚r –¾’©" w:cs="Arial"/>
        </w:rPr>
        <w:t>,</w:t>
      </w:r>
      <w:r>
        <w:rPr>
          <w:rFonts w:eastAsia="‚l‚r –¾’©"/>
        </w:rPr>
        <w:t xml:space="preserve"> </w:t>
      </w:r>
      <w:r>
        <w:rPr>
          <w:rFonts w:eastAsia="‚l‚r –¾’©" w:cs="Arial"/>
        </w:rPr>
        <w:t>t</w:t>
      </w:r>
      <w:r w:rsidRPr="008658B2">
        <w:rPr>
          <w:rFonts w:eastAsia="‚l‚r –¾’©" w:cs="Arial"/>
        </w:rPr>
        <w:t xml:space="preserve">he cost growth rate </w:t>
      </w:r>
      <w:r>
        <w:rPr>
          <w:rFonts w:eastAsia="‚l‚r –¾’©" w:cs="Arial"/>
        </w:rPr>
        <w:t>(</w:t>
      </w:r>
      <w:proofErr w:type="spellStart"/>
      <w:r>
        <w:rPr>
          <w:rFonts w:eastAsia="‚l‚r –¾’©" w:cs="Arial"/>
        </w:rPr>
        <w:t>E</w:t>
      </w:r>
      <w:r w:rsidRPr="003C324F">
        <w:rPr>
          <w:rFonts w:eastAsia="‚l‚r –¾’©" w:cs="Arial"/>
          <w:vertAlign w:val="subscript"/>
        </w:rPr>
        <w:t>a</w:t>
      </w:r>
      <w:proofErr w:type="spellEnd"/>
      <w:r>
        <w:rPr>
          <w:rFonts w:eastAsia="‚l‚r –¾’©" w:cs="Arial"/>
        </w:rPr>
        <w:t xml:space="preserve">*t) </w:t>
      </w:r>
      <w:r w:rsidRPr="008658B2">
        <w:rPr>
          <w:rFonts w:eastAsia="‚l‚r –¾’©" w:cs="Arial"/>
        </w:rPr>
        <w:t>of the alternative solution is lower than the base case</w:t>
      </w:r>
      <w:r>
        <w:rPr>
          <w:rFonts w:eastAsia="‚l‚r –¾’©" w:cs="Arial"/>
        </w:rPr>
        <w:t>. F</w:t>
      </w:r>
      <w:r w:rsidRPr="008658B2">
        <w:rPr>
          <w:rFonts w:eastAsia="‚l‚r –¾’©" w:cs="Arial"/>
        </w:rPr>
        <w:t>or a given value of the Carbon Tax (CT*) the two solutions have the same cost</w:t>
      </w:r>
      <w:r>
        <w:rPr>
          <w:rFonts w:eastAsia="‚l‚r –¾’©" w:cs="Arial"/>
        </w:rPr>
        <w:t>: f</w:t>
      </w:r>
      <w:r w:rsidRPr="008658B2">
        <w:rPr>
          <w:rFonts w:eastAsia="‚l‚r –¾’©" w:cs="Arial"/>
        </w:rPr>
        <w:t xml:space="preserve">or </w:t>
      </w:r>
      <w:r w:rsidR="006D207E">
        <w:rPr>
          <w:rFonts w:eastAsia="‚l‚r –¾’©" w:cs="Arial"/>
        </w:rPr>
        <w:t>a</w:t>
      </w:r>
      <w:r w:rsidRPr="008658B2">
        <w:rPr>
          <w:rFonts w:eastAsia="‚l‚r –¾’©" w:cs="Arial"/>
        </w:rPr>
        <w:t xml:space="preserve"> Carbon Tax greater than CT*, the alternative solution </w:t>
      </w:r>
      <w:r>
        <w:rPr>
          <w:rFonts w:eastAsia="‚l‚r –¾’©" w:cs="Arial"/>
        </w:rPr>
        <w:t>becomes</w:t>
      </w:r>
      <w:r w:rsidRPr="008658B2">
        <w:rPr>
          <w:rFonts w:eastAsia="‚l‚r –¾’©" w:cs="Arial"/>
        </w:rPr>
        <w:t xml:space="preserve"> less </w:t>
      </w:r>
      <w:r w:rsidR="006D207E">
        <w:rPr>
          <w:rFonts w:eastAsia="‚l‚r –¾’©" w:cs="Arial"/>
        </w:rPr>
        <w:t>expensive</w:t>
      </w:r>
      <w:r w:rsidR="006D207E" w:rsidRPr="008658B2">
        <w:rPr>
          <w:rFonts w:eastAsia="‚l‚r –¾’©" w:cs="Arial"/>
        </w:rPr>
        <w:t xml:space="preserve"> </w:t>
      </w:r>
      <w:r w:rsidRPr="008658B2">
        <w:rPr>
          <w:rFonts w:eastAsia="‚l‚r –¾’©" w:cs="Arial"/>
        </w:rPr>
        <w:t>than the base case</w:t>
      </w:r>
      <w:r>
        <w:rPr>
          <w:rFonts w:eastAsia="‚l‚r –¾’©" w:cs="Arial"/>
        </w:rPr>
        <w:t xml:space="preserve"> (</w:t>
      </w:r>
      <w:r w:rsidR="003C324F">
        <w:rPr>
          <w:rFonts w:eastAsia="‚l‚r –¾’©" w:cs="Arial"/>
        </w:rPr>
        <w:fldChar w:fldCharType="begin"/>
      </w:r>
      <w:r w:rsidR="003C324F">
        <w:rPr>
          <w:rFonts w:eastAsia="‚l‚r –¾’©" w:cs="Arial"/>
        </w:rPr>
        <w:instrText xml:space="preserve"> REF _Ref107405702 \h </w:instrText>
      </w:r>
      <w:r w:rsidR="003C324F">
        <w:rPr>
          <w:rFonts w:eastAsia="‚l‚r –¾’©" w:cs="Arial"/>
        </w:rPr>
      </w:r>
      <w:r w:rsidR="003C324F">
        <w:rPr>
          <w:rFonts w:eastAsia="‚l‚r –¾’©" w:cs="Arial"/>
        </w:rPr>
        <w:fldChar w:fldCharType="separate"/>
      </w:r>
      <w:r w:rsidR="00694976">
        <w:t xml:space="preserve">Figure </w:t>
      </w:r>
      <w:r w:rsidR="00694976">
        <w:rPr>
          <w:noProof/>
        </w:rPr>
        <w:t>5</w:t>
      </w:r>
      <w:r w:rsidR="003C324F">
        <w:rPr>
          <w:rFonts w:eastAsia="‚l‚r –¾’©" w:cs="Arial"/>
        </w:rPr>
        <w:fldChar w:fldCharType="end"/>
      </w:r>
      <w:r w:rsidR="003C324F">
        <w:rPr>
          <w:rFonts w:eastAsia="‚l‚r –¾’©" w:cs="Arial"/>
        </w:rPr>
        <w:t>).</w:t>
      </w:r>
    </w:p>
    <w:p w14:paraId="22848C5B" w14:textId="46BC2879" w:rsidR="00D15CEB" w:rsidRDefault="00D15CEB" w:rsidP="00AE7496">
      <w:pPr>
        <w:pStyle w:val="CETBodytext"/>
      </w:pPr>
    </w:p>
    <w:p w14:paraId="028519BD" w14:textId="1A4B89F1" w:rsidR="00585920" w:rsidRDefault="0002077F" w:rsidP="00585920">
      <w:pPr>
        <w:pStyle w:val="CETBodytext"/>
        <w:keepNext/>
      </w:pPr>
      <w:r>
        <w:rPr>
          <w:noProof/>
        </w:rPr>
        <w:lastRenderedPageBreak/>
        <w:drawing>
          <wp:inline distT="0" distB="0" distL="0" distR="0" wp14:anchorId="4611AB34" wp14:editId="0D89A4BF">
            <wp:extent cx="2338614" cy="1663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38614" cy="1663700"/>
                    </a:xfrm>
                    <a:prstGeom prst="rect">
                      <a:avLst/>
                    </a:prstGeom>
                    <a:noFill/>
                  </pic:spPr>
                </pic:pic>
              </a:graphicData>
            </a:graphic>
          </wp:inline>
        </w:drawing>
      </w:r>
    </w:p>
    <w:p w14:paraId="3B698DFD" w14:textId="351760C3" w:rsidR="00585920" w:rsidRDefault="00585920" w:rsidP="0030769C">
      <w:pPr>
        <w:pStyle w:val="CETCaption"/>
        <w:rPr>
          <w:rFonts w:eastAsia="‚l‚r –¾’©"/>
        </w:rPr>
      </w:pPr>
      <w:bookmarkStart w:id="8" w:name="_Ref107405702"/>
      <w:r>
        <w:t xml:space="preserve">Figure </w:t>
      </w:r>
      <w:r>
        <w:fldChar w:fldCharType="begin"/>
      </w:r>
      <w:r>
        <w:instrText xml:space="preserve"> SEQ Figure \* ARABIC </w:instrText>
      </w:r>
      <w:r>
        <w:fldChar w:fldCharType="separate"/>
      </w:r>
      <w:r w:rsidR="00694976">
        <w:rPr>
          <w:noProof/>
        </w:rPr>
        <w:t>5</w:t>
      </w:r>
      <w:r>
        <w:fldChar w:fldCharType="end"/>
      </w:r>
      <w:bookmarkEnd w:id="8"/>
      <w:r w:rsidR="0030769C">
        <w:t>: E</w:t>
      </w:r>
      <w:r w:rsidR="0030769C">
        <w:rPr>
          <w:rFonts w:eastAsia="‚l‚r –¾’©"/>
        </w:rPr>
        <w:t xml:space="preserve">ffect of the application of </w:t>
      </w:r>
      <w:r w:rsidR="006D207E">
        <w:rPr>
          <w:rFonts w:eastAsia="‚l‚r –¾’©"/>
        </w:rPr>
        <w:t>a</w:t>
      </w:r>
      <w:r w:rsidR="0030769C">
        <w:rPr>
          <w:rFonts w:eastAsia="‚l‚r –¾’©"/>
        </w:rPr>
        <w:t xml:space="preserve"> Carbon Tax </w:t>
      </w:r>
      <w:r w:rsidR="006D207E">
        <w:rPr>
          <w:rFonts w:eastAsia="‚l‚r –¾’©"/>
        </w:rPr>
        <w:t xml:space="preserve">CT </w:t>
      </w:r>
      <w:r w:rsidR="0030769C">
        <w:rPr>
          <w:rFonts w:eastAsia="‚l‚r –¾’©"/>
        </w:rPr>
        <w:t xml:space="preserve">to the cost of </w:t>
      </w:r>
      <w:r w:rsidR="001717E7">
        <w:rPr>
          <w:rFonts w:eastAsia="‚l‚r –¾’©"/>
        </w:rPr>
        <w:t>“</w:t>
      </w:r>
      <w:r w:rsidR="0030769C">
        <w:rPr>
          <w:rFonts w:eastAsia="‚l‚r –¾’©"/>
        </w:rPr>
        <w:t>base</w:t>
      </w:r>
      <w:r w:rsidR="001717E7">
        <w:rPr>
          <w:rFonts w:eastAsia="‚l‚r –¾’©"/>
        </w:rPr>
        <w:t>”</w:t>
      </w:r>
      <w:r w:rsidR="0030769C">
        <w:rPr>
          <w:rFonts w:eastAsia="‚l‚r –¾’©"/>
        </w:rPr>
        <w:t xml:space="preserve"> and </w:t>
      </w:r>
      <w:r w:rsidR="001717E7">
        <w:rPr>
          <w:rFonts w:eastAsia="‚l‚r –¾’©"/>
        </w:rPr>
        <w:t>“</w:t>
      </w:r>
      <w:r w:rsidR="0030769C">
        <w:rPr>
          <w:rFonts w:eastAsia="‚l‚r –¾’©"/>
        </w:rPr>
        <w:t>alternative</w:t>
      </w:r>
      <w:r w:rsidR="001717E7">
        <w:rPr>
          <w:rFonts w:eastAsia="‚l‚r –¾’©"/>
        </w:rPr>
        <w:t>”</w:t>
      </w:r>
      <w:r w:rsidR="0030769C">
        <w:rPr>
          <w:rFonts w:eastAsia="‚l‚r –¾’©"/>
        </w:rPr>
        <w:t xml:space="preserve"> design solutions.</w:t>
      </w:r>
    </w:p>
    <w:p w14:paraId="2F5CBE24" w14:textId="02FDA6FF" w:rsidR="00B86525" w:rsidRDefault="00B86525" w:rsidP="00B86525">
      <w:pPr>
        <w:pStyle w:val="CETBodytext"/>
      </w:pPr>
      <w:r>
        <w:t xml:space="preserve">By applying formula (2) to the “base” and “alternative” solutions and by equating the two results, the </w:t>
      </w:r>
      <w:r w:rsidR="00DF47DE">
        <w:t>break-even</w:t>
      </w:r>
      <w:r>
        <w:t xml:space="preserve"> value of CT (CT*) is obtained:</w:t>
      </w:r>
    </w:p>
    <w:p w14:paraId="13F72D3E" w14:textId="77777777" w:rsidR="00B86525" w:rsidRDefault="00B86525" w:rsidP="00B86525">
      <w:pPr>
        <w:pStyle w:val="CETBodytext"/>
      </w:pPr>
    </w:p>
    <w:tbl>
      <w:tblPr>
        <w:tblStyle w:val="TableGridLigh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86"/>
        <w:gridCol w:w="801"/>
      </w:tblGrid>
      <w:tr w:rsidR="00E23744" w:rsidRPr="00B57B36" w14:paraId="503C76EB" w14:textId="77777777" w:rsidTr="00AF76E9">
        <w:tc>
          <w:tcPr>
            <w:tcW w:w="8188" w:type="dxa"/>
          </w:tcPr>
          <w:p w14:paraId="43FD1146" w14:textId="049C6436" w:rsidR="00E23744" w:rsidRPr="00E23744" w:rsidRDefault="00E174A9" w:rsidP="00AF76E9">
            <m:oMathPara>
              <m:oMathParaPr>
                <m:jc m:val="left"/>
              </m:oMathParaPr>
              <m:oMath>
                <m:sSup>
                  <m:sSupPr>
                    <m:ctrlPr>
                      <w:rPr>
                        <w:rFonts w:ascii="Cambria Math" w:eastAsia="‚l‚r –¾’©" w:hAnsi="Cambria Math" w:cs="Arial"/>
                        <w:i/>
                        <w:szCs w:val="18"/>
                        <w:lang w:val="en-US"/>
                      </w:rPr>
                    </m:ctrlPr>
                  </m:sSupPr>
                  <m:e>
                    <m:r>
                      <w:rPr>
                        <w:rFonts w:ascii="Cambria Math" w:eastAsia="‚l‚r –¾’©" w:hAnsi="Cambria Math" w:cs="Arial"/>
                        <w:szCs w:val="18"/>
                        <w:lang w:val="en-US"/>
                      </w:rPr>
                      <m:t>CT</m:t>
                    </m:r>
                  </m:e>
                  <m:sup>
                    <m:r>
                      <w:rPr>
                        <w:rFonts w:ascii="Cambria Math" w:eastAsia="‚l‚r –¾’©" w:hAnsi="Cambria Math" w:cs="Arial"/>
                        <w:szCs w:val="18"/>
                        <w:lang w:val="en-US"/>
                      </w:rPr>
                      <m:t>*</m:t>
                    </m:r>
                  </m:sup>
                </m:sSup>
                <m:r>
                  <w:rPr>
                    <w:rFonts w:ascii="Cambria Math" w:eastAsia="‚l‚r –¾’©" w:hAnsi="Cambria Math" w:cs="Arial"/>
                    <w:szCs w:val="18"/>
                    <w:lang w:val="en-US"/>
                  </w:rPr>
                  <m:t xml:space="preserve"> = </m:t>
                </m:r>
                <m:f>
                  <m:fPr>
                    <m:ctrlPr>
                      <w:rPr>
                        <w:rFonts w:ascii="Cambria Math" w:eastAsia="‚l‚r –¾’©" w:hAnsi="Cambria Math" w:cs="Arial"/>
                        <w:szCs w:val="18"/>
                        <w:lang w:val="en-US"/>
                      </w:rPr>
                    </m:ctrlPr>
                  </m:fPr>
                  <m:num>
                    <m:r>
                      <m:rPr>
                        <m:sty m:val="p"/>
                      </m:rPr>
                      <w:rPr>
                        <w:rFonts w:ascii="Cambria Math" w:eastAsia="‚l‚r –¾’©" w:hAnsi="Cambria Math" w:cs="Arial"/>
                        <w:szCs w:val="18"/>
                        <w:lang w:val="en-US"/>
                      </w:rPr>
                      <m:t>Δ</m:t>
                    </m:r>
                    <m:r>
                      <w:rPr>
                        <w:rFonts w:ascii="Cambria Math" w:eastAsia="‚l‚r –¾’©" w:hAnsi="Cambria Math" w:cs="Arial"/>
                        <w:szCs w:val="18"/>
                        <w:lang w:val="en-US"/>
                      </w:rPr>
                      <m:t>C</m:t>
                    </m:r>
                    <m:r>
                      <m:rPr>
                        <m:sty m:val="p"/>
                      </m:rPr>
                      <w:rPr>
                        <w:rFonts w:ascii="Cambria Math" w:eastAsia="‚l‚r –¾’©" w:hAnsi="Cambria Math" w:cs="Arial"/>
                        <w:szCs w:val="18"/>
                        <w:lang w:val="en-US"/>
                      </w:rPr>
                      <m:t xml:space="preserve"> (</m:t>
                    </m:r>
                    <m:r>
                      <w:rPr>
                        <w:rFonts w:ascii="Cambria Math" w:eastAsia="‚l‚r –¾’©" w:hAnsi="Cambria Math" w:cs="Arial"/>
                        <w:szCs w:val="18"/>
                        <w:lang w:val="en-US"/>
                      </w:rPr>
                      <m:t>Alternative</m:t>
                    </m:r>
                    <m:r>
                      <m:rPr>
                        <m:sty m:val="p"/>
                      </m:rPr>
                      <w:rPr>
                        <w:rFonts w:ascii="Cambria Math" w:eastAsia="‚l‚r –¾’©" w:hAnsi="Cambria Math" w:cs="Arial"/>
                        <w:szCs w:val="18"/>
                        <w:lang w:val="en-US"/>
                      </w:rPr>
                      <m:t>-</m:t>
                    </m:r>
                    <m:r>
                      <w:rPr>
                        <w:rFonts w:ascii="Cambria Math" w:eastAsia="‚l‚r –¾’©" w:hAnsi="Cambria Math" w:cs="Arial"/>
                        <w:szCs w:val="18"/>
                        <w:lang w:val="en-US"/>
                      </w:rPr>
                      <m:t>Base</m:t>
                    </m:r>
                    <m:r>
                      <m:rPr>
                        <m:sty m:val="p"/>
                      </m:rPr>
                      <w:rPr>
                        <w:rFonts w:ascii="Cambria Math" w:eastAsia="‚l‚r –¾’©" w:hAnsi="Cambria Math" w:cs="Arial"/>
                        <w:szCs w:val="18"/>
                        <w:lang w:val="en-US"/>
                      </w:rPr>
                      <m:t>)</m:t>
                    </m:r>
                  </m:num>
                  <m:den>
                    <m:r>
                      <m:rPr>
                        <m:sty m:val="p"/>
                      </m:rPr>
                      <w:rPr>
                        <w:rFonts w:ascii="Cambria Math" w:eastAsia="‚l‚r –¾’©" w:hAnsi="Cambria Math" w:cs="Arial"/>
                        <w:szCs w:val="18"/>
                        <w:lang w:val="en-US"/>
                      </w:rPr>
                      <m:t>Δ</m:t>
                    </m:r>
                    <m:r>
                      <w:rPr>
                        <w:rFonts w:ascii="Cambria Math" w:eastAsia="‚l‚r –¾’©" w:hAnsi="Cambria Math" w:cs="Arial"/>
                        <w:szCs w:val="18"/>
                        <w:lang w:val="en-US"/>
                      </w:rPr>
                      <m:t>E</m:t>
                    </m:r>
                    <m:r>
                      <m:rPr>
                        <m:sty m:val="p"/>
                      </m:rPr>
                      <w:rPr>
                        <w:rFonts w:ascii="Cambria Math" w:eastAsia="‚l‚r –¾’©" w:hAnsi="Cambria Math" w:cs="Arial"/>
                        <w:szCs w:val="18"/>
                        <w:lang w:val="en-US"/>
                      </w:rPr>
                      <m:t xml:space="preserve"> </m:t>
                    </m:r>
                    <m:d>
                      <m:dPr>
                        <m:ctrlPr>
                          <w:rPr>
                            <w:rFonts w:ascii="Cambria Math" w:eastAsia="‚l‚r –¾’©" w:hAnsi="Cambria Math" w:cs="Arial"/>
                            <w:szCs w:val="18"/>
                            <w:lang w:val="en-US"/>
                          </w:rPr>
                        </m:ctrlPr>
                      </m:dPr>
                      <m:e>
                        <m:r>
                          <w:rPr>
                            <w:rFonts w:ascii="Cambria Math" w:eastAsia="‚l‚r –¾’©" w:hAnsi="Cambria Math" w:cs="Arial"/>
                            <w:szCs w:val="18"/>
                            <w:lang w:val="en-US"/>
                          </w:rPr>
                          <m:t>Base</m:t>
                        </m:r>
                        <m:r>
                          <m:rPr>
                            <m:sty m:val="p"/>
                          </m:rPr>
                          <w:rPr>
                            <w:rFonts w:ascii="Cambria Math" w:eastAsia="‚l‚r –¾’©" w:hAnsi="Cambria Math" w:cs="Arial"/>
                            <w:szCs w:val="18"/>
                            <w:lang w:val="en-US"/>
                          </w:rPr>
                          <m:t>-</m:t>
                        </m:r>
                        <m:r>
                          <w:rPr>
                            <w:rFonts w:ascii="Cambria Math" w:eastAsia="‚l‚r –¾’©" w:hAnsi="Cambria Math" w:cs="Arial"/>
                            <w:szCs w:val="18"/>
                            <w:lang w:val="en-US"/>
                          </w:rPr>
                          <m:t>Alternative</m:t>
                        </m:r>
                      </m:e>
                    </m:d>
                    <m:r>
                      <m:rPr>
                        <m:sty m:val="p"/>
                      </m:rPr>
                      <w:rPr>
                        <w:rFonts w:ascii="Cambria Math" w:eastAsia="‚l‚r –¾’©" w:hAnsi="Cambria Math" w:cs="Arial"/>
                        <w:szCs w:val="18"/>
                        <w:lang w:val="en-US"/>
                      </w:rPr>
                      <m:t>*</m:t>
                    </m:r>
                    <m:r>
                      <w:rPr>
                        <w:rFonts w:ascii="Cambria Math" w:eastAsia="‚l‚r –¾’©" w:hAnsi="Cambria Math" w:cs="Arial"/>
                        <w:szCs w:val="18"/>
                        <w:lang w:val="en-US"/>
                      </w:rPr>
                      <m:t>t</m:t>
                    </m:r>
                  </m:den>
                </m:f>
              </m:oMath>
            </m:oMathPara>
          </w:p>
        </w:tc>
        <w:tc>
          <w:tcPr>
            <w:tcW w:w="815" w:type="dxa"/>
          </w:tcPr>
          <w:p w14:paraId="5E8C87A4" w14:textId="77777777" w:rsidR="00E23744" w:rsidRPr="00B57B36" w:rsidRDefault="00E23744" w:rsidP="00AF76E9">
            <w:pPr>
              <w:pStyle w:val="CETEquation"/>
              <w:jc w:val="right"/>
            </w:pPr>
            <w:r w:rsidRPr="00B57B36">
              <w:t>(</w:t>
            </w:r>
            <w:r>
              <w:t>3</w:t>
            </w:r>
            <w:r w:rsidRPr="00B57B36">
              <w:t>)</w:t>
            </w:r>
          </w:p>
        </w:tc>
      </w:tr>
    </w:tbl>
    <w:p w14:paraId="6A89CFFD" w14:textId="77777777" w:rsidR="00E23744" w:rsidRDefault="00E23744" w:rsidP="00B86525">
      <w:pPr>
        <w:pStyle w:val="CETBodytext"/>
      </w:pPr>
    </w:p>
    <w:p w14:paraId="27572C1E" w14:textId="36732382" w:rsidR="00B86525" w:rsidRDefault="00DF47DE" w:rsidP="00B86525">
      <w:pPr>
        <w:pStyle w:val="CETBodytext"/>
      </w:pPr>
      <w:r>
        <w:t>w</w:t>
      </w:r>
      <w:r w:rsidR="00B86525">
        <w:t xml:space="preserve">here </w:t>
      </w:r>
      <w:r w:rsidR="00B86525" w:rsidRPr="001717E7">
        <w:rPr>
          <w:i/>
          <w:iCs/>
        </w:rPr>
        <w:t>ΔC</w:t>
      </w:r>
      <w:r w:rsidR="00B86525">
        <w:t xml:space="preserve"> (€) is the difference of the costs of implementation of the alternative solution and the base case, </w:t>
      </w:r>
      <w:r w:rsidR="00B86525" w:rsidRPr="001717E7">
        <w:rPr>
          <w:i/>
          <w:iCs/>
        </w:rPr>
        <w:t>ΔE</w:t>
      </w:r>
      <w:r w:rsidR="00B86525">
        <w:t xml:space="preserve"> (tCO</w:t>
      </w:r>
      <w:r w:rsidR="00B86525" w:rsidRPr="00E23744">
        <w:rPr>
          <w:vertAlign w:val="subscript"/>
        </w:rPr>
        <w:t>2</w:t>
      </w:r>
      <w:r w:rsidR="00E23744">
        <w:t>eq</w:t>
      </w:r>
      <w:r w:rsidR="00B86525">
        <w:t xml:space="preserve">/year) is the difference between the carbon footprint of the base case and the alternative solution, and </w:t>
      </w:r>
      <w:r w:rsidR="006D207E" w:rsidRPr="00980488">
        <w:rPr>
          <w:i/>
          <w:iCs/>
        </w:rPr>
        <w:t xml:space="preserve">t </w:t>
      </w:r>
      <w:r w:rsidR="00B86525">
        <w:t>(years) is the plant operation time.</w:t>
      </w:r>
    </w:p>
    <w:p w14:paraId="3AD233E1" w14:textId="1CFAE445" w:rsidR="0030769C" w:rsidRDefault="00B86525" w:rsidP="00B86525">
      <w:pPr>
        <w:pStyle w:val="CETBodytext"/>
      </w:pPr>
      <w:r>
        <w:t>The formula does not consider other key factors impacting on the effective economic profitability of a solution (e.g.: the effect of its implementation on the Plant OPEX, its technical complexity, the need of additional operations for its implementation and maintenance, etc.); nevertheless, the calculation of CT* provides a criterion to compare and rank different alternative solutions that are environmentally sustainable but, for the moment, not economically attractive with respect to their ‘base’ cases. In this view, for any alternative solution environmentally sustainable, the lower is the associated carbon tax threshold value, the higher is its economic attractiveness.</w:t>
      </w:r>
    </w:p>
    <w:p w14:paraId="2775E18A" w14:textId="705A2CFE" w:rsidR="005F5666" w:rsidRDefault="005F5666" w:rsidP="00B86525">
      <w:pPr>
        <w:pStyle w:val="CETBodytext"/>
      </w:pPr>
    </w:p>
    <w:p w14:paraId="2C632C84" w14:textId="47FDBF9A" w:rsidR="005F5666" w:rsidRDefault="005F5666" w:rsidP="002F3077">
      <w:pPr>
        <w:pStyle w:val="CETheadingx"/>
        <w:numPr>
          <w:ilvl w:val="0"/>
          <w:numId w:val="0"/>
        </w:numPr>
        <w:rPr>
          <w:rFonts w:eastAsia="‚l‚r –¾’©"/>
        </w:rPr>
      </w:pPr>
      <w:r w:rsidRPr="00F804B2">
        <w:rPr>
          <w:rFonts w:eastAsia="‚l‚r –¾’©"/>
        </w:rPr>
        <w:t>Effect of the operating costs</w:t>
      </w:r>
      <w:r>
        <w:rPr>
          <w:rFonts w:eastAsia="‚l‚r –¾’©"/>
        </w:rPr>
        <w:t xml:space="preserve"> </w:t>
      </w:r>
    </w:p>
    <w:p w14:paraId="0228CCE6" w14:textId="09BD05DB" w:rsidR="00394098" w:rsidRDefault="667B441D" w:rsidP="00394098">
      <w:pPr>
        <w:pStyle w:val="CETBodytext"/>
        <w:rPr>
          <w:rFonts w:eastAsia="‚l‚r –¾’©"/>
        </w:rPr>
      </w:pPr>
      <w:r w:rsidRPr="3841EBE3">
        <w:rPr>
          <w:rFonts w:eastAsia="‚l‚r –¾’©"/>
        </w:rPr>
        <w:t xml:space="preserve">The economic profitability of an alternative “yellow” solution can be argued when considering the operating costs. The operating costs considered in this analysis are only those associated with the consumption of fuels and electricity: they are zero at the time when the solution is implemented and increase with the plant operation time. Since a “yellow” solution requires less energy than its corresponding base case, its operating cost, associated with the consumption of fuel and electricity, </w:t>
      </w:r>
      <w:r w:rsidR="00087692" w:rsidRPr="3841EBE3">
        <w:rPr>
          <w:rFonts w:eastAsia="‚l‚r –¾’©"/>
        </w:rPr>
        <w:t>can be</w:t>
      </w:r>
      <w:r w:rsidRPr="3841EBE3">
        <w:rPr>
          <w:rFonts w:eastAsia="‚l‚r –¾’©"/>
        </w:rPr>
        <w:t xml:space="preserve"> lower than the operating cost of the corresponding base case.</w:t>
      </w:r>
    </w:p>
    <w:p w14:paraId="28E75CB0" w14:textId="169C384E" w:rsidR="00394098" w:rsidRPr="008549AB" w:rsidRDefault="00394098" w:rsidP="00394098">
      <w:pPr>
        <w:pStyle w:val="CETBodytext"/>
        <w:rPr>
          <w:rFonts w:eastAsia="‚l‚r –¾’©"/>
        </w:rPr>
      </w:pPr>
      <w:r w:rsidRPr="009267BB">
        <w:rPr>
          <w:rFonts w:eastAsia="‚l‚r –¾’©"/>
        </w:rPr>
        <w:t>Knowing the unitary costs and the consumption rates of fuels and electricity required for the</w:t>
      </w:r>
      <w:r>
        <w:rPr>
          <w:rFonts w:eastAsia="‚l‚r –¾’©"/>
        </w:rPr>
        <w:t>ir</w:t>
      </w:r>
      <w:r w:rsidRPr="009267BB">
        <w:rPr>
          <w:rFonts w:eastAsia="‚l‚r –¾’©"/>
        </w:rPr>
        <w:t xml:space="preserve"> operation, it is possi</w:t>
      </w:r>
      <w:r w:rsidRPr="008549AB">
        <w:rPr>
          <w:rFonts w:eastAsia="‚l‚r –¾’©"/>
        </w:rPr>
        <w:t xml:space="preserve">ble to compute the time </w:t>
      </w:r>
      <w:r>
        <w:rPr>
          <w:rFonts w:eastAsia="‚l‚r –¾’©"/>
        </w:rPr>
        <w:t xml:space="preserve">to profitability </w:t>
      </w:r>
      <w:proofErr w:type="spellStart"/>
      <w:r w:rsidRPr="001E22BB">
        <w:rPr>
          <w:rFonts w:eastAsia="‚l‚r –¾’©"/>
          <w:i/>
          <w:iCs/>
        </w:rPr>
        <w:t>T</w:t>
      </w:r>
      <w:r w:rsidRPr="001E22BB">
        <w:rPr>
          <w:rFonts w:eastAsia="‚l‚r –¾’©"/>
          <w:i/>
          <w:iCs/>
          <w:vertAlign w:val="subscript"/>
        </w:rPr>
        <w:t>p</w:t>
      </w:r>
      <w:proofErr w:type="spellEnd"/>
      <w:r>
        <w:rPr>
          <w:rFonts w:eastAsia="‚l‚r –¾’©"/>
        </w:rPr>
        <w:t xml:space="preserve">, i.e., the time </w:t>
      </w:r>
      <w:r w:rsidRPr="008549AB">
        <w:rPr>
          <w:rFonts w:eastAsia="‚l‚r –¾’©"/>
        </w:rPr>
        <w:t xml:space="preserve">when the alternative solution, </w:t>
      </w:r>
      <w:r>
        <w:rPr>
          <w:rFonts w:eastAsia="‚l‚r –¾’©"/>
        </w:rPr>
        <w:t>considering</w:t>
      </w:r>
      <w:r w:rsidRPr="008549AB">
        <w:rPr>
          <w:rFonts w:eastAsia="‚l‚r –¾’©"/>
        </w:rPr>
        <w:t xml:space="preserve"> its operating costs, would become as costly as its corresponding base case. From this time </w:t>
      </w:r>
      <w:proofErr w:type="spellStart"/>
      <w:r w:rsidRPr="001E22BB">
        <w:rPr>
          <w:rFonts w:eastAsia="‚l‚r –¾’©"/>
          <w:i/>
          <w:iCs/>
        </w:rPr>
        <w:t>T</w:t>
      </w:r>
      <w:r w:rsidRPr="001E22BB">
        <w:rPr>
          <w:rFonts w:eastAsia="‚l‚r –¾’©"/>
          <w:i/>
          <w:iCs/>
          <w:vertAlign w:val="subscript"/>
        </w:rPr>
        <w:t>p</w:t>
      </w:r>
      <w:proofErr w:type="spellEnd"/>
      <w:r>
        <w:rPr>
          <w:rFonts w:eastAsia="‚l‚r –¾’©"/>
        </w:rPr>
        <w:t xml:space="preserve"> </w:t>
      </w:r>
      <w:r w:rsidRPr="008549AB">
        <w:rPr>
          <w:rFonts w:eastAsia="‚l‚r –¾’©"/>
        </w:rPr>
        <w:t>on</w:t>
      </w:r>
      <w:r>
        <w:rPr>
          <w:rFonts w:eastAsia="‚l‚r –¾’©"/>
        </w:rPr>
        <w:t>wards</w:t>
      </w:r>
      <w:r w:rsidRPr="008549AB">
        <w:rPr>
          <w:rFonts w:eastAsia="‚l‚r –¾’©"/>
        </w:rPr>
        <w:t>, the alternative solution would become more economically profitable than its corresponding base solution.</w:t>
      </w:r>
    </w:p>
    <w:p w14:paraId="4EDB8CAD" w14:textId="2EDB61DB" w:rsidR="00394098" w:rsidRPr="00110A11" w:rsidRDefault="00394098" w:rsidP="00394098">
      <w:pPr>
        <w:pStyle w:val="CETBodytext"/>
        <w:rPr>
          <w:rFonts w:eastAsia="‚l‚r –¾’©"/>
        </w:rPr>
      </w:pPr>
      <w:r>
        <w:rPr>
          <w:rFonts w:eastAsia="‚l‚r –¾’©"/>
        </w:rPr>
        <w:t xml:space="preserve">Applying an analogous mathematical procedure </w:t>
      </w:r>
      <w:r w:rsidR="003847FF">
        <w:rPr>
          <w:rFonts w:eastAsia="‚l‚r –¾’©"/>
        </w:rPr>
        <w:t xml:space="preserve">as in </w:t>
      </w:r>
      <w:r>
        <w:rPr>
          <w:rFonts w:eastAsia="‚l‚r –¾’©"/>
        </w:rPr>
        <w:t>the previous case, for</w:t>
      </w:r>
      <w:r w:rsidRPr="000144F1">
        <w:rPr>
          <w:rFonts w:eastAsia="‚l‚r –¾’©"/>
        </w:rPr>
        <w:t xml:space="preserve"> </w:t>
      </w:r>
      <w:r>
        <w:rPr>
          <w:rFonts w:eastAsia="‚l‚r –¾’©"/>
        </w:rPr>
        <w:t>constant</w:t>
      </w:r>
      <w:r w:rsidRPr="000144F1">
        <w:rPr>
          <w:rFonts w:eastAsia="‚l‚r –¾’©"/>
        </w:rPr>
        <w:t xml:space="preserve"> prices </w:t>
      </w:r>
      <w:r>
        <w:rPr>
          <w:rFonts w:eastAsia="‚l‚r –¾’©"/>
        </w:rPr>
        <w:t>for</w:t>
      </w:r>
      <w:r w:rsidRPr="000144F1">
        <w:rPr>
          <w:rFonts w:eastAsia="‚l‚r –¾’©"/>
        </w:rPr>
        <w:t xml:space="preserve"> fuels and electricity</w:t>
      </w:r>
      <w:r w:rsidR="003847FF">
        <w:rPr>
          <w:rFonts w:eastAsia="‚l‚r –¾’©"/>
        </w:rPr>
        <w:t>,</w:t>
      </w:r>
      <w:r w:rsidRPr="000144F1">
        <w:rPr>
          <w:rFonts w:eastAsia="‚l‚r –¾’©"/>
        </w:rPr>
        <w:t xml:space="preserve"> </w:t>
      </w:r>
      <w:r>
        <w:rPr>
          <w:rFonts w:eastAsia="‚l‚r –¾’©"/>
        </w:rPr>
        <w:t xml:space="preserve">and assuming that </w:t>
      </w:r>
      <w:r w:rsidRPr="000144F1">
        <w:rPr>
          <w:rFonts w:eastAsia="‚l‚r –¾’©"/>
        </w:rPr>
        <w:t xml:space="preserve">the denominator in the formula is </w:t>
      </w:r>
      <w:r w:rsidR="003847FF">
        <w:rPr>
          <w:rFonts w:eastAsia="‚l‚r –¾’©"/>
        </w:rPr>
        <w:t>greater than zero</w:t>
      </w:r>
      <w:r w:rsidRPr="000144F1">
        <w:rPr>
          <w:rFonts w:eastAsia="‚l‚r –¾’©"/>
        </w:rPr>
        <w:t xml:space="preserve">, the time </w:t>
      </w:r>
      <w:proofErr w:type="spellStart"/>
      <w:r w:rsidRPr="001E22BB">
        <w:rPr>
          <w:rFonts w:eastAsia="‚l‚r –¾’©"/>
          <w:i/>
          <w:iCs/>
        </w:rPr>
        <w:t>T</w:t>
      </w:r>
      <w:r w:rsidRPr="001E22BB">
        <w:rPr>
          <w:rFonts w:eastAsia="‚l‚r –¾’©"/>
          <w:i/>
          <w:iCs/>
          <w:vertAlign w:val="subscript"/>
        </w:rPr>
        <w:t>p</w:t>
      </w:r>
      <w:proofErr w:type="spellEnd"/>
      <w:r w:rsidRPr="001E22BB">
        <w:rPr>
          <w:rFonts w:eastAsia="‚l‚r –¾’©"/>
          <w:i/>
          <w:iCs/>
        </w:rPr>
        <w:t xml:space="preserve"> </w:t>
      </w:r>
      <w:r>
        <w:rPr>
          <w:rFonts w:eastAsia="‚l‚r –¾’©"/>
        </w:rPr>
        <w:t xml:space="preserve">can be </w:t>
      </w:r>
      <w:r w:rsidR="003847FF">
        <w:rPr>
          <w:rFonts w:eastAsia="‚l‚r –¾’©"/>
        </w:rPr>
        <w:t xml:space="preserve">calculated </w:t>
      </w:r>
      <w:r>
        <w:rPr>
          <w:rFonts w:eastAsia="‚l‚r –¾’©"/>
        </w:rPr>
        <w:t>as</w:t>
      </w:r>
      <w:r w:rsidRPr="00110A11">
        <w:rPr>
          <w:rFonts w:eastAsia="‚l‚r –¾’©"/>
        </w:rPr>
        <w:t>:</w:t>
      </w:r>
    </w:p>
    <w:p w14:paraId="4E7CFF83" w14:textId="22093249" w:rsidR="005F5666" w:rsidRDefault="005F5666" w:rsidP="00B86525">
      <w:pPr>
        <w:pStyle w:val="CETBodytext"/>
      </w:pPr>
    </w:p>
    <w:tbl>
      <w:tblPr>
        <w:tblStyle w:val="TableGridLigh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99"/>
        <w:gridCol w:w="788"/>
      </w:tblGrid>
      <w:tr w:rsidR="008E7C20" w:rsidRPr="00B57B36" w14:paraId="2E62997E" w14:textId="77777777" w:rsidTr="00AF76E9">
        <w:tc>
          <w:tcPr>
            <w:tcW w:w="8188" w:type="dxa"/>
          </w:tcPr>
          <w:p w14:paraId="3226E1C4" w14:textId="368AA05D" w:rsidR="008E7C20" w:rsidRPr="00E23744" w:rsidRDefault="00E174A9" w:rsidP="00AF76E9">
            <m:oMathPara>
              <m:oMathParaPr>
                <m:jc m:val="left"/>
              </m:oMathParaPr>
              <m:oMath>
                <m:sSub>
                  <m:sSubPr>
                    <m:ctrlPr>
                      <w:rPr>
                        <w:rFonts w:ascii="Cambria Math" w:eastAsia="‚l‚r –¾’©" w:hAnsi="Cambria Math" w:cs="Arial"/>
                        <w:i/>
                        <w:szCs w:val="18"/>
                        <w:lang w:val="en-US"/>
                      </w:rPr>
                    </m:ctrlPr>
                  </m:sSubPr>
                  <m:e>
                    <m:r>
                      <w:rPr>
                        <w:rFonts w:ascii="Cambria Math" w:eastAsia="‚l‚r –¾’©" w:hAnsi="Cambria Math" w:cs="Arial"/>
                        <w:szCs w:val="18"/>
                        <w:lang w:val="en-US"/>
                      </w:rPr>
                      <m:t>T</m:t>
                    </m:r>
                  </m:e>
                  <m:sub>
                    <m:r>
                      <w:rPr>
                        <w:rFonts w:ascii="Cambria Math" w:eastAsia="‚l‚r –¾’©" w:hAnsi="Cambria Math" w:cs="Arial"/>
                        <w:szCs w:val="18"/>
                        <w:lang w:val="en-US"/>
                      </w:rPr>
                      <m:t>p</m:t>
                    </m:r>
                  </m:sub>
                </m:sSub>
                <m:r>
                  <w:rPr>
                    <w:rFonts w:ascii="Cambria Math" w:eastAsia="‚l‚r –¾’©" w:hAnsi="Cambria Math" w:cs="Arial"/>
                    <w:szCs w:val="18"/>
                    <w:lang w:val="en-US"/>
                  </w:rPr>
                  <m:t>=</m:t>
                </m:r>
                <m:f>
                  <m:fPr>
                    <m:ctrlPr>
                      <w:rPr>
                        <w:rFonts w:ascii="Cambria Math" w:eastAsia="‚l‚r –¾’©" w:hAnsi="Cambria Math" w:cs="Arial"/>
                        <w:i/>
                        <w:szCs w:val="18"/>
                        <w:lang w:val="en-US"/>
                      </w:rPr>
                    </m:ctrlPr>
                  </m:fPr>
                  <m:num>
                    <m:r>
                      <w:rPr>
                        <w:rFonts w:ascii="Cambria Math" w:eastAsia="‚l‚r –¾’©" w:hAnsi="Cambria Math" w:cs="Arial"/>
                        <w:szCs w:val="18"/>
                        <w:lang w:val="en-US"/>
                      </w:rPr>
                      <m:t>ΔC (Alternative-Base)</m:t>
                    </m:r>
                  </m:num>
                  <m:den>
                    <m:r>
                      <w:rPr>
                        <w:rFonts w:ascii="Cambria Math" w:eastAsia="‚l‚r –¾’©" w:hAnsi="Cambria Math" w:cs="Arial"/>
                        <w:szCs w:val="18"/>
                        <w:lang w:val="en-US"/>
                      </w:rPr>
                      <m:t xml:space="preserve">  </m:t>
                    </m:r>
                    <m:sSub>
                      <m:sSubPr>
                        <m:ctrlPr>
                          <w:rPr>
                            <w:rFonts w:ascii="Cambria Math" w:eastAsia="‚l‚r –¾’©" w:hAnsi="Cambria Math" w:cs="Arial"/>
                            <w:i/>
                            <w:szCs w:val="18"/>
                            <w:lang w:val="en-US"/>
                          </w:rPr>
                        </m:ctrlPr>
                      </m:sSubPr>
                      <m:e>
                        <m:r>
                          <w:rPr>
                            <w:rFonts w:ascii="Cambria Math" w:eastAsia="‚l‚r –¾’©" w:hAnsi="Cambria Math" w:cs="Arial"/>
                            <w:szCs w:val="18"/>
                            <w:lang w:val="en-US"/>
                          </w:rPr>
                          <m:t>P</m:t>
                        </m:r>
                      </m:e>
                      <m:sub>
                        <m:r>
                          <w:rPr>
                            <w:rFonts w:ascii="Cambria Math" w:eastAsia="‚l‚r –¾’©" w:hAnsi="Cambria Math" w:cs="Arial"/>
                            <w:szCs w:val="18"/>
                            <w:lang w:val="en-US"/>
                          </w:rPr>
                          <m:t>f</m:t>
                        </m:r>
                      </m:sub>
                    </m:sSub>
                    <m:r>
                      <w:rPr>
                        <w:rFonts w:ascii="Cambria Math" w:eastAsia="‚l‚r –¾’©" w:hAnsi="Cambria Math" w:cs="Arial"/>
                        <w:szCs w:val="18"/>
                        <w:lang w:val="en-US"/>
                      </w:rPr>
                      <m:t>*</m:t>
                    </m:r>
                    <m:sSub>
                      <m:sSubPr>
                        <m:ctrlPr>
                          <w:rPr>
                            <w:rFonts w:ascii="Cambria Math" w:eastAsia="‚l‚r –¾’©" w:hAnsi="Cambria Math" w:cs="Arial"/>
                            <w:i/>
                            <w:szCs w:val="18"/>
                            <w:lang w:val="en-US"/>
                          </w:rPr>
                        </m:ctrlPr>
                      </m:sSubPr>
                      <m:e>
                        <m:r>
                          <w:rPr>
                            <w:rFonts w:ascii="Cambria Math" w:eastAsia="‚l‚r –¾’©" w:hAnsi="Cambria Math" w:cs="Arial"/>
                            <w:szCs w:val="18"/>
                            <w:lang w:val="en-US"/>
                          </w:rPr>
                          <m:t>ΔW</m:t>
                        </m:r>
                      </m:e>
                      <m:sub>
                        <m:r>
                          <w:rPr>
                            <w:rFonts w:ascii="Cambria Math" w:eastAsia="‚l‚r –¾’©" w:hAnsi="Cambria Math" w:cs="Arial"/>
                            <w:szCs w:val="18"/>
                            <w:lang w:val="en-US"/>
                          </w:rPr>
                          <m:t>f</m:t>
                        </m:r>
                      </m:sub>
                    </m:sSub>
                    <m:r>
                      <w:rPr>
                        <w:rFonts w:ascii="Cambria Math" w:eastAsia="‚l‚r –¾’©" w:hAnsi="Cambria Math" w:cs="Arial"/>
                        <w:szCs w:val="18"/>
                        <w:lang w:val="en-US"/>
                      </w:rPr>
                      <m:t xml:space="preserve"> </m:t>
                    </m:r>
                    <m:d>
                      <m:dPr>
                        <m:ctrlPr>
                          <w:rPr>
                            <w:rFonts w:ascii="Cambria Math" w:eastAsia="‚l‚r –¾’©" w:hAnsi="Cambria Math" w:cs="Arial"/>
                            <w:i/>
                            <w:szCs w:val="18"/>
                            <w:lang w:val="en-US"/>
                          </w:rPr>
                        </m:ctrlPr>
                      </m:dPr>
                      <m:e>
                        <m:r>
                          <w:rPr>
                            <w:rFonts w:ascii="Cambria Math" w:eastAsia="‚l‚r –¾’©" w:hAnsi="Cambria Math" w:cs="Arial"/>
                            <w:szCs w:val="18"/>
                            <w:lang w:val="en-US"/>
                          </w:rPr>
                          <m:t>Base-Alternative</m:t>
                        </m:r>
                      </m:e>
                    </m:d>
                    <m:r>
                      <w:rPr>
                        <w:rFonts w:ascii="Cambria Math" w:eastAsia="‚l‚r –¾’©" w:hAnsi="Cambria Math" w:cs="Arial"/>
                        <w:szCs w:val="18"/>
                        <w:lang w:val="en-US"/>
                      </w:rPr>
                      <m:t>+</m:t>
                    </m:r>
                    <m:sSub>
                      <m:sSubPr>
                        <m:ctrlPr>
                          <w:rPr>
                            <w:rFonts w:ascii="Cambria Math" w:eastAsia="‚l‚r –¾’©" w:hAnsi="Cambria Math" w:cs="Arial"/>
                            <w:i/>
                            <w:szCs w:val="18"/>
                            <w:lang w:val="en-US"/>
                          </w:rPr>
                        </m:ctrlPr>
                      </m:sSubPr>
                      <m:e>
                        <m:r>
                          <w:rPr>
                            <w:rFonts w:ascii="Cambria Math" w:eastAsia="‚l‚r –¾’©" w:hAnsi="Cambria Math" w:cs="Arial"/>
                            <w:szCs w:val="18"/>
                            <w:lang w:val="en-US"/>
                          </w:rPr>
                          <m:t>P</m:t>
                        </m:r>
                      </m:e>
                      <m:sub>
                        <m:r>
                          <w:rPr>
                            <w:rFonts w:ascii="Cambria Math" w:eastAsia="‚l‚r –¾’©" w:hAnsi="Cambria Math" w:cs="Arial"/>
                            <w:szCs w:val="18"/>
                            <w:lang w:val="en-US"/>
                          </w:rPr>
                          <m:t>e</m:t>
                        </m:r>
                      </m:sub>
                    </m:sSub>
                    <m:r>
                      <w:rPr>
                        <w:rFonts w:ascii="Cambria Math" w:eastAsia="‚l‚r –¾’©" w:hAnsi="Cambria Math" w:cs="Arial"/>
                        <w:szCs w:val="18"/>
                        <w:lang w:val="en-US"/>
                      </w:rPr>
                      <m:t>*</m:t>
                    </m:r>
                    <m:sSub>
                      <m:sSubPr>
                        <m:ctrlPr>
                          <w:rPr>
                            <w:rFonts w:ascii="Cambria Math" w:eastAsia="‚l‚r –¾’©" w:hAnsi="Cambria Math" w:cs="Arial"/>
                            <w:i/>
                            <w:szCs w:val="18"/>
                            <w:lang w:val="en-US"/>
                          </w:rPr>
                        </m:ctrlPr>
                      </m:sSubPr>
                      <m:e>
                        <m:r>
                          <w:rPr>
                            <w:rFonts w:ascii="Cambria Math" w:eastAsia="‚l‚r –¾’©" w:hAnsi="Cambria Math" w:cs="Arial"/>
                            <w:szCs w:val="18"/>
                            <w:lang w:val="en-US"/>
                          </w:rPr>
                          <m:t>ΔW</m:t>
                        </m:r>
                      </m:e>
                      <m:sub>
                        <m:r>
                          <w:rPr>
                            <w:rFonts w:ascii="Cambria Math" w:eastAsia="‚l‚r –¾’©" w:hAnsi="Cambria Math" w:cs="Arial"/>
                            <w:szCs w:val="18"/>
                            <w:lang w:val="en-US"/>
                          </w:rPr>
                          <m:t>e</m:t>
                        </m:r>
                      </m:sub>
                    </m:sSub>
                    <m:r>
                      <w:rPr>
                        <w:rFonts w:ascii="Cambria Math" w:eastAsia="‚l‚r –¾’©" w:hAnsi="Cambria Math" w:cs="Arial"/>
                        <w:szCs w:val="18"/>
                        <w:lang w:val="en-US"/>
                      </w:rPr>
                      <m:t xml:space="preserve"> </m:t>
                    </m:r>
                    <m:d>
                      <m:dPr>
                        <m:ctrlPr>
                          <w:rPr>
                            <w:rFonts w:ascii="Cambria Math" w:eastAsia="‚l‚r –¾’©" w:hAnsi="Cambria Math" w:cs="Arial"/>
                            <w:i/>
                            <w:szCs w:val="18"/>
                            <w:lang w:val="en-US"/>
                          </w:rPr>
                        </m:ctrlPr>
                      </m:dPr>
                      <m:e>
                        <m:r>
                          <w:rPr>
                            <w:rFonts w:ascii="Cambria Math" w:eastAsia="‚l‚r –¾’©" w:hAnsi="Cambria Math" w:cs="Arial"/>
                            <w:szCs w:val="18"/>
                            <w:lang w:val="en-US"/>
                          </w:rPr>
                          <m:t>Base-Alternative</m:t>
                        </m:r>
                      </m:e>
                    </m:d>
                  </m:den>
                </m:f>
              </m:oMath>
            </m:oMathPara>
          </w:p>
        </w:tc>
        <w:tc>
          <w:tcPr>
            <w:tcW w:w="815" w:type="dxa"/>
          </w:tcPr>
          <w:p w14:paraId="18AFE14A" w14:textId="4532FD3B" w:rsidR="008E7C20" w:rsidRPr="00B57B36" w:rsidRDefault="008E7C20" w:rsidP="00AF76E9">
            <w:pPr>
              <w:pStyle w:val="CETEquation"/>
              <w:jc w:val="right"/>
            </w:pPr>
            <w:r w:rsidRPr="00B57B36">
              <w:t>(</w:t>
            </w:r>
            <w:r w:rsidR="005215DD">
              <w:t>4</w:t>
            </w:r>
            <w:r w:rsidRPr="00B57B36">
              <w:t>)</w:t>
            </w:r>
          </w:p>
        </w:tc>
      </w:tr>
    </w:tbl>
    <w:p w14:paraId="55DAEEAA" w14:textId="5029A85C" w:rsidR="008E7C20" w:rsidRDefault="008E7C20" w:rsidP="00B86525">
      <w:pPr>
        <w:pStyle w:val="CETBodytext"/>
      </w:pPr>
    </w:p>
    <w:p w14:paraId="718C4CCE" w14:textId="520FEA4D" w:rsidR="00D613BA" w:rsidRPr="00D613BA" w:rsidRDefault="00D613BA" w:rsidP="00D613BA">
      <w:pPr>
        <w:pStyle w:val="CETBodytext"/>
        <w:rPr>
          <w:rFonts w:eastAsia="‚l‚r –¾’©"/>
        </w:rPr>
      </w:pPr>
      <w:r w:rsidRPr="00D613BA">
        <w:rPr>
          <w:rFonts w:eastAsia="‚l‚r –¾’©"/>
        </w:rPr>
        <w:t xml:space="preserve">Where </w:t>
      </w:r>
      <w:r w:rsidRPr="001717E7">
        <w:rPr>
          <w:rFonts w:eastAsia="‚l‚r –¾’©"/>
          <w:i/>
          <w:iCs/>
        </w:rPr>
        <w:t>ΔC</w:t>
      </w:r>
      <w:r w:rsidRPr="00D613BA">
        <w:rPr>
          <w:rFonts w:eastAsia="‚l‚r –¾’©"/>
        </w:rPr>
        <w:t xml:space="preserve"> (€) is the difference of the costs of implementation of the alternative solution and the base case,</w:t>
      </w:r>
      <w:r w:rsidRPr="00D613BA" w:rsidDel="00E477EB">
        <w:rPr>
          <w:rFonts w:eastAsia="‚l‚r –¾’©"/>
        </w:rPr>
        <w:t xml:space="preserve"> </w:t>
      </w:r>
      <w:proofErr w:type="spellStart"/>
      <w:r w:rsidRPr="001717E7">
        <w:rPr>
          <w:rFonts w:eastAsia="‚l‚r –¾’©"/>
          <w:i/>
          <w:iCs/>
        </w:rPr>
        <w:t>P</w:t>
      </w:r>
      <w:r w:rsidRPr="001717E7">
        <w:rPr>
          <w:rFonts w:eastAsia="‚l‚r –¾’©"/>
          <w:i/>
          <w:iCs/>
          <w:vertAlign w:val="subscript"/>
        </w:rPr>
        <w:t>f</w:t>
      </w:r>
      <w:proofErr w:type="spellEnd"/>
      <w:r w:rsidRPr="00D613BA">
        <w:rPr>
          <w:rFonts w:eastAsia="‚l‚r –¾’©"/>
        </w:rPr>
        <w:t xml:space="preserve"> (€/t), </w:t>
      </w:r>
      <w:r w:rsidRPr="001717E7">
        <w:rPr>
          <w:rFonts w:eastAsia="‚l‚r –¾’©"/>
          <w:i/>
          <w:iCs/>
        </w:rPr>
        <w:t>P</w:t>
      </w:r>
      <w:r w:rsidRPr="001717E7">
        <w:rPr>
          <w:rFonts w:eastAsia="‚l‚r –¾’©"/>
          <w:i/>
          <w:iCs/>
          <w:vertAlign w:val="subscript"/>
        </w:rPr>
        <w:t>e</w:t>
      </w:r>
      <w:r w:rsidR="0095344D">
        <w:rPr>
          <w:rFonts w:eastAsia="‚l‚r –¾’©"/>
        </w:rPr>
        <w:t xml:space="preserve"> </w:t>
      </w:r>
      <w:r w:rsidRPr="00D613BA">
        <w:rPr>
          <w:rFonts w:eastAsia="‚l‚r –¾’©"/>
        </w:rPr>
        <w:t xml:space="preserve">(€/kWh) are the unitary prices of fuel and electricity, </w:t>
      </w:r>
      <w:proofErr w:type="spellStart"/>
      <w:r w:rsidRPr="001717E7">
        <w:rPr>
          <w:rFonts w:eastAsia="‚l‚r –¾’©"/>
          <w:i/>
          <w:iCs/>
        </w:rPr>
        <w:t>ΔW</w:t>
      </w:r>
      <w:r w:rsidRPr="001717E7">
        <w:rPr>
          <w:rFonts w:eastAsia="‚l‚r –¾’©"/>
          <w:i/>
          <w:iCs/>
          <w:vertAlign w:val="subscript"/>
        </w:rPr>
        <w:t>f</w:t>
      </w:r>
      <w:proofErr w:type="spellEnd"/>
      <w:r w:rsidRPr="001717E7">
        <w:rPr>
          <w:rFonts w:eastAsia="‚l‚r –¾’©"/>
          <w:i/>
          <w:iCs/>
        </w:rPr>
        <w:t xml:space="preserve"> </w:t>
      </w:r>
      <w:r w:rsidRPr="00D613BA">
        <w:rPr>
          <w:rFonts w:eastAsia="‚l‚r –¾’©"/>
        </w:rPr>
        <w:t xml:space="preserve">(t/y), </w:t>
      </w:r>
      <w:proofErr w:type="spellStart"/>
      <w:r w:rsidRPr="001717E7">
        <w:rPr>
          <w:rFonts w:eastAsia="‚l‚r –¾’©"/>
          <w:i/>
          <w:iCs/>
        </w:rPr>
        <w:t>ΔW</w:t>
      </w:r>
      <w:r w:rsidRPr="001717E7">
        <w:rPr>
          <w:rFonts w:eastAsia="‚l‚r –¾’©"/>
          <w:i/>
          <w:iCs/>
          <w:vertAlign w:val="subscript"/>
        </w:rPr>
        <w:t>e</w:t>
      </w:r>
      <w:proofErr w:type="spellEnd"/>
      <w:r w:rsidR="0095344D">
        <w:rPr>
          <w:rFonts w:eastAsia="‚l‚r –¾’©"/>
        </w:rPr>
        <w:t xml:space="preserve"> </w:t>
      </w:r>
      <w:r w:rsidRPr="00D613BA">
        <w:rPr>
          <w:rFonts w:eastAsia="‚l‚r –¾’©"/>
        </w:rPr>
        <w:t>(kWh/y) are the differences of the consumptions, on a yearly basis, of fuels and electricity associated with the operation of the base and the alternative solutions.</w:t>
      </w:r>
    </w:p>
    <w:p w14:paraId="6EDE02E7" w14:textId="01684798" w:rsidR="003847FF" w:rsidRDefault="00D613BA" w:rsidP="00D613BA">
      <w:pPr>
        <w:pStyle w:val="CETBodytext"/>
        <w:rPr>
          <w:rFonts w:eastAsia="‚l‚r –¾’©"/>
        </w:rPr>
      </w:pPr>
      <w:r w:rsidRPr="00D613BA">
        <w:rPr>
          <w:rFonts w:eastAsia="‚l‚r –¾’©"/>
        </w:rPr>
        <w:t xml:space="preserve">The denominator in the formula (4) does not represent the difference in Plant OPEX, that depends also on many other variables not considered here. </w:t>
      </w:r>
    </w:p>
    <w:p w14:paraId="2E6B7652" w14:textId="7BA1C603" w:rsidR="00D613BA" w:rsidRPr="00D613BA" w:rsidRDefault="00D613BA" w:rsidP="00D613BA">
      <w:pPr>
        <w:pStyle w:val="CETBodytext"/>
        <w:rPr>
          <w:rFonts w:eastAsia="‚l‚r –¾’©"/>
        </w:rPr>
      </w:pPr>
      <w:r w:rsidRPr="00D613BA">
        <w:rPr>
          <w:rFonts w:eastAsia="‚l‚r –¾’©"/>
        </w:rPr>
        <w:t xml:space="preserve">However, the formula provides a criterion to compare and </w:t>
      </w:r>
      <w:r w:rsidR="003847FF">
        <w:rPr>
          <w:rFonts w:eastAsia="‚l‚r –¾’©"/>
        </w:rPr>
        <w:t xml:space="preserve">to </w:t>
      </w:r>
      <w:r w:rsidRPr="00D613BA">
        <w:rPr>
          <w:rFonts w:eastAsia="‚l‚r –¾’©"/>
        </w:rPr>
        <w:t xml:space="preserve">rank different alternative solutions that are environmentally sustainable but, for the moment, not economically attractive. In this view, for any alternative </w:t>
      </w:r>
      <w:r w:rsidRPr="00D613BA">
        <w:rPr>
          <w:rFonts w:eastAsia="‚l‚r –¾’©"/>
        </w:rPr>
        <w:lastRenderedPageBreak/>
        <w:t>solution environmentally sustainable, the lower is the associated time to economic profitability, the higher is its attractiveness since it would also become economically profitable in a shorter time.</w:t>
      </w:r>
    </w:p>
    <w:p w14:paraId="692CA8C9" w14:textId="7CD71B3A" w:rsidR="005215DD" w:rsidRDefault="005215DD" w:rsidP="00B86525">
      <w:pPr>
        <w:pStyle w:val="CETBodytext"/>
      </w:pPr>
    </w:p>
    <w:p w14:paraId="633C7794" w14:textId="46117C56" w:rsidR="00D91FC2" w:rsidRDefault="00D91FC2" w:rsidP="00D347ED">
      <w:pPr>
        <w:pStyle w:val="CETHeading1"/>
      </w:pPr>
      <w:r w:rsidRPr="00100975">
        <w:t xml:space="preserve">An example of </w:t>
      </w:r>
      <w:r>
        <w:t>m</w:t>
      </w:r>
      <w:r w:rsidRPr="00100975">
        <w:t>ethodology application:</w:t>
      </w:r>
      <w:r>
        <w:t xml:space="preserve"> improving the flare system</w:t>
      </w:r>
    </w:p>
    <w:p w14:paraId="41A0B206" w14:textId="37FD9601" w:rsidR="000A1E97" w:rsidRPr="000A1E97" w:rsidRDefault="000A1E97" w:rsidP="000A1E97">
      <w:pPr>
        <w:pStyle w:val="CETBodytext"/>
        <w:rPr>
          <w:rFonts w:eastAsiaTheme="minorHAnsi"/>
        </w:rPr>
      </w:pPr>
      <w:r w:rsidRPr="000A1E97">
        <w:rPr>
          <w:rFonts w:eastAsiaTheme="minorHAnsi"/>
        </w:rPr>
        <w:t>As an example of the alternative design solutions that have been investigated,</w:t>
      </w:r>
      <w:r w:rsidR="0085490B">
        <w:rPr>
          <w:rFonts w:eastAsiaTheme="minorHAnsi"/>
        </w:rPr>
        <w:t xml:space="preserve"> Figures 6</w:t>
      </w:r>
      <w:r w:rsidRPr="000A1E97">
        <w:rPr>
          <w:rFonts w:eastAsiaTheme="minorHAnsi"/>
        </w:rPr>
        <w:t xml:space="preserve">a and </w:t>
      </w:r>
      <w:r w:rsidR="0085490B">
        <w:rPr>
          <w:rFonts w:eastAsiaTheme="minorHAnsi"/>
        </w:rPr>
        <w:t>6</w:t>
      </w:r>
      <w:r w:rsidRPr="000A1E97">
        <w:rPr>
          <w:rFonts w:eastAsiaTheme="minorHAnsi"/>
        </w:rPr>
        <w:t>b show the results obtained for the possible implementation of a flare gas recovery system. With respect to the technical solution currently implemented (the gas is directly flared, without any recovery), two different alternative designs for the flare gas recovery have been considered, respectively based on the implementation of a system including a liquid ring compressor or, alternatively, on a</w:t>
      </w:r>
      <w:r w:rsidR="0085490B">
        <w:rPr>
          <w:rFonts w:eastAsiaTheme="minorHAnsi"/>
        </w:rPr>
        <w:t>n</w:t>
      </w:r>
      <w:r w:rsidRPr="000A1E97">
        <w:rPr>
          <w:rFonts w:eastAsiaTheme="minorHAnsi"/>
        </w:rPr>
        <w:t xml:space="preserve"> ejector for flare gas recompression, both </w:t>
      </w:r>
      <w:r w:rsidR="0085490B">
        <w:rPr>
          <w:rFonts w:eastAsiaTheme="minorHAnsi"/>
        </w:rPr>
        <w:t>requiring electrical power.</w:t>
      </w:r>
    </w:p>
    <w:p w14:paraId="4CDA54AA" w14:textId="143F8352" w:rsidR="000A1E97" w:rsidRPr="000A1E97" w:rsidRDefault="000A1E97" w:rsidP="367C67C9">
      <w:pPr>
        <w:pStyle w:val="CETBodytext"/>
        <w:rPr>
          <w:rFonts w:eastAsiaTheme="minorEastAsia"/>
        </w:rPr>
      </w:pPr>
      <w:r w:rsidRPr="367C67C9">
        <w:rPr>
          <w:rFonts w:eastAsiaTheme="minorEastAsia"/>
        </w:rPr>
        <w:t xml:space="preserve">Although the design alternatives are more </w:t>
      </w:r>
      <w:r w:rsidR="00F22D99">
        <w:rPr>
          <w:rFonts w:eastAsiaTheme="minorEastAsia"/>
        </w:rPr>
        <w:t>expensive</w:t>
      </w:r>
      <w:r w:rsidR="00F22D99" w:rsidRPr="367C67C9">
        <w:rPr>
          <w:rFonts w:eastAsiaTheme="minorEastAsia"/>
        </w:rPr>
        <w:t xml:space="preserve"> </w:t>
      </w:r>
      <w:r w:rsidRPr="367C67C9">
        <w:rPr>
          <w:rFonts w:eastAsiaTheme="minorEastAsia"/>
        </w:rPr>
        <w:t xml:space="preserve">than the base design solution (Figure </w:t>
      </w:r>
      <w:r w:rsidR="0085490B">
        <w:rPr>
          <w:rFonts w:eastAsiaTheme="minorEastAsia"/>
        </w:rPr>
        <w:t>6</w:t>
      </w:r>
      <w:r w:rsidRPr="367C67C9">
        <w:rPr>
          <w:rFonts w:eastAsiaTheme="minorEastAsia"/>
        </w:rPr>
        <w:t xml:space="preserve">a), the proposed </w:t>
      </w:r>
      <w:r w:rsidR="00F22D99">
        <w:rPr>
          <w:rFonts w:eastAsiaTheme="minorEastAsia"/>
        </w:rPr>
        <w:t>ones</w:t>
      </w:r>
      <w:r w:rsidR="00F22D99" w:rsidRPr="367C67C9">
        <w:rPr>
          <w:rFonts w:eastAsiaTheme="minorEastAsia"/>
        </w:rPr>
        <w:t xml:space="preserve"> </w:t>
      </w:r>
      <w:r w:rsidRPr="367C67C9">
        <w:rPr>
          <w:rFonts w:eastAsiaTheme="minorEastAsia"/>
        </w:rPr>
        <w:t>allow to reduce the plant carbon footprint. For the base case, the complete combustion of the gas discharged to flare turns into the production of almost 6000</w:t>
      </w:r>
      <w:r w:rsidR="0085490B">
        <w:rPr>
          <w:rFonts w:eastAsiaTheme="minorEastAsia"/>
        </w:rPr>
        <w:t xml:space="preserve"> </w:t>
      </w:r>
      <w:r w:rsidRPr="367C67C9">
        <w:rPr>
          <w:rFonts w:eastAsiaTheme="minorEastAsia"/>
        </w:rPr>
        <w:t xml:space="preserve">t </w:t>
      </w:r>
      <w:r w:rsidR="0085490B">
        <w:rPr>
          <w:rFonts w:eastAsiaTheme="minorEastAsia"/>
        </w:rPr>
        <w:t xml:space="preserve">of </w:t>
      </w:r>
      <w:r w:rsidRPr="367C67C9">
        <w:rPr>
          <w:rFonts w:eastAsiaTheme="minorEastAsia"/>
        </w:rPr>
        <w:t>CO</w:t>
      </w:r>
      <w:r w:rsidRPr="00B32466">
        <w:rPr>
          <w:rFonts w:eastAsiaTheme="minorEastAsia"/>
          <w:vertAlign w:val="subscript"/>
        </w:rPr>
        <w:t>2</w:t>
      </w:r>
      <w:r w:rsidRPr="367C67C9">
        <w:rPr>
          <w:rFonts w:eastAsiaTheme="minorEastAsia"/>
        </w:rPr>
        <w:t xml:space="preserve"> every year, to be computed as Scope 1 emissions. Conversely, for the design alternatives, the flare gas is recovered for other purposes (e.g.: used in replacement of fuel gas in other plant sections), and therefore, </w:t>
      </w:r>
      <w:r w:rsidR="0085490B">
        <w:rPr>
          <w:rFonts w:eastAsiaTheme="minorEastAsia"/>
        </w:rPr>
        <w:t>shall not</w:t>
      </w:r>
      <w:r w:rsidRPr="367C67C9">
        <w:rPr>
          <w:rFonts w:eastAsiaTheme="minorEastAsia"/>
        </w:rPr>
        <w:t xml:space="preserve"> be accounted for the carbon footprint. Additional electrical power required for the motors</w:t>
      </w:r>
      <w:r w:rsidR="00324590">
        <w:rPr>
          <w:rFonts w:eastAsiaTheme="minorEastAsia"/>
        </w:rPr>
        <w:t>,</w:t>
      </w:r>
      <w:r w:rsidRPr="367C67C9">
        <w:rPr>
          <w:rFonts w:eastAsiaTheme="minorEastAsia"/>
        </w:rPr>
        <w:t xml:space="preserve"> turns into an equivalent production of </w:t>
      </w:r>
      <w:r w:rsidR="00324590" w:rsidRPr="00B32466">
        <w:rPr>
          <w:rFonts w:eastAsiaTheme="minorEastAsia"/>
        </w:rPr>
        <w:t>a few</w:t>
      </w:r>
      <w:r w:rsidR="00324590" w:rsidRPr="00324590">
        <w:rPr>
          <w:rFonts w:eastAsiaTheme="minorEastAsia"/>
        </w:rPr>
        <w:t xml:space="preserve"> </w:t>
      </w:r>
      <w:proofErr w:type="spellStart"/>
      <w:r w:rsidRPr="00324590">
        <w:rPr>
          <w:rFonts w:eastAsiaTheme="minorEastAsia"/>
        </w:rPr>
        <w:t>hundreds</w:t>
      </w:r>
      <w:proofErr w:type="spellEnd"/>
      <w:r w:rsidRPr="367C67C9">
        <w:rPr>
          <w:rFonts w:eastAsiaTheme="minorEastAsia"/>
        </w:rPr>
        <w:t xml:space="preserve"> kg of CO</w:t>
      </w:r>
      <w:r w:rsidRPr="004D6728">
        <w:rPr>
          <w:rFonts w:eastAsiaTheme="minorEastAsia"/>
          <w:vertAlign w:val="subscript"/>
        </w:rPr>
        <w:t>2</w:t>
      </w:r>
      <w:r w:rsidRPr="367C67C9">
        <w:rPr>
          <w:rFonts w:eastAsiaTheme="minorEastAsia"/>
        </w:rPr>
        <w:t xml:space="preserve"> per year only (Figure </w:t>
      </w:r>
      <w:r w:rsidR="004D6728">
        <w:rPr>
          <w:rFonts w:eastAsiaTheme="minorEastAsia"/>
        </w:rPr>
        <w:t>6b</w:t>
      </w:r>
      <w:r w:rsidRPr="367C67C9">
        <w:rPr>
          <w:rFonts w:eastAsiaTheme="minorEastAsia"/>
        </w:rPr>
        <w:t>), to be computed as Scope 2 emissions.</w:t>
      </w:r>
    </w:p>
    <w:p w14:paraId="6EEED858" w14:textId="311C918E" w:rsidR="000A1E97" w:rsidRPr="000A1E97" w:rsidRDefault="000A1E97" w:rsidP="000A1E97">
      <w:pPr>
        <w:pStyle w:val="CETBodytext"/>
      </w:pPr>
      <w:r w:rsidRPr="000A1E97">
        <w:t xml:space="preserve">According to the categorization above, the alternative solutions 1 and 2 for this example results to be “yellow”. Indeed, they are more </w:t>
      </w:r>
      <w:r w:rsidR="00F22D99">
        <w:t>expensive</w:t>
      </w:r>
      <w:r w:rsidR="00F22D99" w:rsidRPr="000A1E97">
        <w:t xml:space="preserve"> </w:t>
      </w:r>
      <w:r w:rsidRPr="000A1E97">
        <w:t xml:space="preserve">than the base case, but </w:t>
      </w:r>
      <w:r w:rsidR="00F22D99">
        <w:t xml:space="preserve">they </w:t>
      </w:r>
      <w:r w:rsidRPr="000A1E97">
        <w:t>emit less CO</w:t>
      </w:r>
      <w:r w:rsidRPr="004D6728">
        <w:rPr>
          <w:vertAlign w:val="subscript"/>
        </w:rPr>
        <w:t>2</w:t>
      </w:r>
      <w:r w:rsidRPr="000A1E97">
        <w:t>.</w:t>
      </w:r>
    </w:p>
    <w:p w14:paraId="27DBBD65" w14:textId="611B37BA" w:rsidR="00D91FC2" w:rsidRDefault="00634AEA" w:rsidP="00D91FC2">
      <w:pPr>
        <w:pStyle w:val="CETBodytext"/>
        <w:rPr>
          <w:lang w:val="en-GB"/>
        </w:rPr>
      </w:pPr>
      <w:r>
        <w:rPr>
          <w:noProof/>
          <w:lang w:val="en-GB"/>
        </w:rPr>
        <mc:AlternateContent>
          <mc:Choice Requires="wps">
            <w:drawing>
              <wp:anchor distT="0" distB="0" distL="114300" distR="114300" simplePos="0" relativeHeight="251658242" behindDoc="0" locked="0" layoutInCell="1" allowOverlap="1" wp14:anchorId="4D17D25A" wp14:editId="033987E2">
                <wp:simplePos x="0" y="0"/>
                <wp:positionH relativeFrom="column">
                  <wp:posOffset>57150</wp:posOffset>
                </wp:positionH>
                <wp:positionV relativeFrom="paragraph">
                  <wp:posOffset>241687</wp:posOffset>
                </wp:positionV>
                <wp:extent cx="405517" cy="246490"/>
                <wp:effectExtent l="0" t="0" r="0" b="1270"/>
                <wp:wrapNone/>
                <wp:docPr id="10" name="Text Box 10"/>
                <wp:cNvGraphicFramePr/>
                <a:graphic xmlns:a="http://schemas.openxmlformats.org/drawingml/2006/main">
                  <a:graphicData uri="http://schemas.microsoft.com/office/word/2010/wordprocessingShape">
                    <wps:wsp>
                      <wps:cNvSpPr txBox="1"/>
                      <wps:spPr>
                        <a:xfrm>
                          <a:off x="0" y="0"/>
                          <a:ext cx="405517" cy="246490"/>
                        </a:xfrm>
                        <a:prstGeom prst="rect">
                          <a:avLst/>
                        </a:prstGeom>
                        <a:solidFill>
                          <a:schemeClr val="lt1"/>
                        </a:solidFill>
                        <a:ln w="6350">
                          <a:noFill/>
                        </a:ln>
                      </wps:spPr>
                      <wps:txbx>
                        <w:txbxContent>
                          <w:p w14:paraId="28205A59" w14:textId="6D0389D1" w:rsidR="00D50A61" w:rsidRDefault="008B15A2">
                            <w:r>
                              <w:t>a</w:t>
                            </w:r>
                            <w:r w:rsidR="00D50A61">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17D25A" id="_x0000_t202" coordsize="21600,21600" o:spt="202" path="m,l,21600r21600,l21600,xe">
                <v:stroke joinstyle="miter"/>
                <v:path gradientshapeok="t" o:connecttype="rect"/>
              </v:shapetype>
              <v:shape id="Text Box 10" o:spid="_x0000_s1026" type="#_x0000_t202" style="position:absolute;left:0;text-align:left;margin-left:4.5pt;margin-top:19.05pt;width:31.95pt;height:19.4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" fillcolor="white [3201]" stroked="f" strokeweight=".5pt">
                <v:textbox>
                  <w:txbxContent>
                    <w:p w14:paraId="28205A59" w14:textId="6D0389D1" w:rsidR="00D50A61" w:rsidRDefault="008B15A2">
                      <w:r>
                        <w:t>a</w:t>
                      </w:r>
                      <w:r w:rsidR="00D50A61">
                        <w:t>)</w:t>
                      </w:r>
                    </w:p>
                  </w:txbxContent>
                </v:textbox>
              </v:shape>
            </w:pict>
          </mc:Fallback>
        </mc:AlternateContent>
      </w:r>
      <w:r w:rsidR="00D50A61">
        <w:rPr>
          <w:noProof/>
          <w:lang w:val="en-GB"/>
        </w:rPr>
        <mc:AlternateContent>
          <mc:Choice Requires="wps">
            <w:drawing>
              <wp:anchor distT="0" distB="0" distL="114300" distR="114300" simplePos="0" relativeHeight="251658243" behindDoc="0" locked="0" layoutInCell="1" allowOverlap="1" wp14:anchorId="20C20789" wp14:editId="79030B70">
                <wp:simplePos x="0" y="0"/>
                <wp:positionH relativeFrom="column">
                  <wp:posOffset>2657475</wp:posOffset>
                </wp:positionH>
                <wp:positionV relativeFrom="paragraph">
                  <wp:posOffset>203835</wp:posOffset>
                </wp:positionV>
                <wp:extent cx="405517" cy="246490"/>
                <wp:effectExtent l="0" t="0" r="0" b="1270"/>
                <wp:wrapNone/>
                <wp:docPr id="11" name="Text Box 11"/>
                <wp:cNvGraphicFramePr/>
                <a:graphic xmlns:a="http://schemas.openxmlformats.org/drawingml/2006/main">
                  <a:graphicData uri="http://schemas.microsoft.com/office/word/2010/wordprocessingShape">
                    <wps:wsp>
                      <wps:cNvSpPr txBox="1"/>
                      <wps:spPr>
                        <a:xfrm>
                          <a:off x="0" y="0"/>
                          <a:ext cx="405517" cy="246490"/>
                        </a:xfrm>
                        <a:prstGeom prst="rect">
                          <a:avLst/>
                        </a:prstGeom>
                        <a:solidFill>
                          <a:schemeClr val="lt1"/>
                        </a:solidFill>
                        <a:ln w="6350">
                          <a:noFill/>
                        </a:ln>
                      </wps:spPr>
                      <wps:txbx>
                        <w:txbxContent>
                          <w:p w14:paraId="16EB3B0C" w14:textId="787707D7" w:rsidR="00D50A61" w:rsidRDefault="008B15A2" w:rsidP="00D50A61">
                            <w:r>
                              <w:t>b</w:t>
                            </w:r>
                            <w:r w:rsidR="00D50A61">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C20789" id="Text Box 11" o:spid="_x0000_s1027" type="#_x0000_t202" style="position:absolute;left:0;text-align:left;margin-left:209.25pt;margin-top:16.05pt;width:31.95pt;height:19.4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" fillcolor="white [3201]" stroked="f" strokeweight=".5pt">
                <v:textbox>
                  <w:txbxContent>
                    <w:p w14:paraId="16EB3B0C" w14:textId="787707D7" w:rsidR="00D50A61" w:rsidRDefault="008B15A2" w:rsidP="00D50A61">
                      <w:r>
                        <w:t>b</w:t>
                      </w:r>
                      <w:r w:rsidR="00D50A61">
                        <w:t>)</w:t>
                      </w:r>
                    </w:p>
                  </w:txbxContent>
                </v:textbox>
              </v:shape>
            </w:pict>
          </mc:Fallback>
        </mc:AlternateContent>
      </w:r>
      <w:r w:rsidR="00DB384B" w:rsidRPr="0013472B">
        <w:rPr>
          <w:noProof/>
          <w:lang w:val="en-GB"/>
        </w:rPr>
        <w:drawing>
          <wp:anchor distT="0" distB="0" distL="114300" distR="114300" simplePos="0" relativeHeight="251658240" behindDoc="0" locked="0" layoutInCell="1" allowOverlap="1" wp14:anchorId="2F7C3062" wp14:editId="43110C48">
            <wp:simplePos x="0" y="0"/>
            <wp:positionH relativeFrom="column">
              <wp:posOffset>635</wp:posOffset>
            </wp:positionH>
            <wp:positionV relativeFrom="paragraph">
              <wp:posOffset>201930</wp:posOffset>
            </wp:positionV>
            <wp:extent cx="2482850" cy="2098675"/>
            <wp:effectExtent l="0" t="0" r="0" b="0"/>
            <wp:wrapTopAndBottom/>
            <wp:docPr id="12" name="Chart 12">
              <a:extLst xmlns:a="http://schemas.openxmlformats.org/drawingml/2006/main">
                <a:ext uri="{FF2B5EF4-FFF2-40B4-BE49-F238E27FC236}">
                  <a16:creationId xmlns:a16="http://schemas.microsoft.com/office/drawing/2014/main" id="{B0A67620-793D-4198-8C80-1B173B0F34A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14:sizeRelV relativeFrom="margin">
              <wp14:pctHeight>0</wp14:pctHeight>
            </wp14:sizeRelV>
          </wp:anchor>
        </w:drawing>
      </w:r>
      <w:r w:rsidR="00254A19" w:rsidRPr="0013472B">
        <w:rPr>
          <w:noProof/>
          <w:lang w:val="en-GB"/>
        </w:rPr>
        <w:drawing>
          <wp:anchor distT="0" distB="0" distL="114300" distR="114300" simplePos="0" relativeHeight="251658241" behindDoc="0" locked="0" layoutInCell="1" allowOverlap="1" wp14:anchorId="53380C48" wp14:editId="44EFB056">
            <wp:simplePos x="0" y="0"/>
            <wp:positionH relativeFrom="column">
              <wp:posOffset>2656840</wp:posOffset>
            </wp:positionH>
            <wp:positionV relativeFrom="paragraph">
              <wp:posOffset>202565</wp:posOffset>
            </wp:positionV>
            <wp:extent cx="2980690" cy="2098675"/>
            <wp:effectExtent l="0" t="0" r="0" b="0"/>
            <wp:wrapTopAndBottom/>
            <wp:docPr id="21" name="Chart 21">
              <a:extLst xmlns:a="http://schemas.openxmlformats.org/drawingml/2006/main">
                <a:ext uri="{FF2B5EF4-FFF2-40B4-BE49-F238E27FC236}">
                  <a16:creationId xmlns:a16="http://schemas.microsoft.com/office/drawing/2014/main" id="{AB47C2D9-A92B-4336-8053-A8A06663DFB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V relativeFrom="margin">
              <wp14:pctHeight>0</wp14:pctHeight>
            </wp14:sizeRelV>
          </wp:anchor>
        </w:drawing>
      </w:r>
    </w:p>
    <w:p w14:paraId="1260C93F" w14:textId="1D5A7DE1" w:rsidR="00DB384B" w:rsidRDefault="00DB384B" w:rsidP="00DB384B">
      <w:pPr>
        <w:pStyle w:val="CETCaption"/>
        <w:rPr>
          <w:szCs w:val="22"/>
        </w:rPr>
      </w:pPr>
      <w:r>
        <w:t xml:space="preserve">Figure </w:t>
      </w:r>
      <w:r>
        <w:fldChar w:fldCharType="begin"/>
      </w:r>
      <w:r>
        <w:instrText xml:space="preserve"> SEQ Figure \* ARABIC </w:instrText>
      </w:r>
      <w:r>
        <w:fldChar w:fldCharType="separate"/>
      </w:r>
      <w:r w:rsidR="00694976">
        <w:rPr>
          <w:noProof/>
        </w:rPr>
        <w:t>6</w:t>
      </w:r>
      <w:r>
        <w:fldChar w:fldCharType="end"/>
      </w:r>
      <w:r>
        <w:t>:</w:t>
      </w:r>
      <w:r w:rsidRPr="009E4BB8">
        <w:t xml:space="preserve"> </w:t>
      </w:r>
      <w:r>
        <w:t>C</w:t>
      </w:r>
      <w:r w:rsidRPr="009703E6">
        <w:t>ost</w:t>
      </w:r>
      <w:r>
        <w:t xml:space="preserve"> (a)</w:t>
      </w:r>
      <w:r w:rsidRPr="009703E6">
        <w:t xml:space="preserve">, total power and carbon footprint </w:t>
      </w:r>
      <w:r>
        <w:t xml:space="preserve">(b) </w:t>
      </w:r>
      <w:r w:rsidRPr="009703E6">
        <w:t>associated to a flaring system (base case) and two alternative design solutions (flare gas recovery systems) based on liquid ring compressor and ejector</w:t>
      </w:r>
      <w:r>
        <w:t>.</w:t>
      </w:r>
    </w:p>
    <w:p w14:paraId="5E787A69" w14:textId="77777777" w:rsidR="008B15A2" w:rsidRPr="000A1E97" w:rsidRDefault="008B15A2" w:rsidP="008B15A2">
      <w:pPr>
        <w:pStyle w:val="CETBodytext"/>
      </w:pPr>
      <w:r>
        <w:t>T</w:t>
      </w:r>
      <w:r w:rsidRPr="000A1E97">
        <w:t xml:space="preserve">heir profitability has been assessed to find the Carbon Tax and the time </w:t>
      </w:r>
      <w:proofErr w:type="spellStart"/>
      <w:r w:rsidRPr="001E22BB">
        <w:rPr>
          <w:i/>
          <w:iCs/>
        </w:rPr>
        <w:t>T</w:t>
      </w:r>
      <w:r w:rsidRPr="001E22BB">
        <w:rPr>
          <w:i/>
          <w:iCs/>
          <w:vertAlign w:val="subscript"/>
        </w:rPr>
        <w:t>p</w:t>
      </w:r>
      <w:proofErr w:type="spellEnd"/>
      <w:r w:rsidRPr="000A1E97">
        <w:t xml:space="preserve"> after which the alternative solution becomes less </w:t>
      </w:r>
      <w:r>
        <w:t>expensive</w:t>
      </w:r>
      <w:r w:rsidRPr="000A1E97">
        <w:t xml:space="preserve"> than its base case.</w:t>
      </w:r>
    </w:p>
    <w:p w14:paraId="4EFD0787" w14:textId="77777777" w:rsidR="008B15A2" w:rsidRPr="000A1E97" w:rsidRDefault="008B15A2" w:rsidP="008B15A2">
      <w:pPr>
        <w:pStyle w:val="CETBodytext"/>
      </w:pPr>
      <w:r w:rsidRPr="000A1E97">
        <w:t>It results that</w:t>
      </w:r>
      <w:r>
        <w:t xml:space="preserve">, </w:t>
      </w:r>
      <w:r w:rsidRPr="000A1E97">
        <w:t xml:space="preserve">both the alternative flare recovery systems can become less </w:t>
      </w:r>
      <w:r>
        <w:t xml:space="preserve">expensive </w:t>
      </w:r>
      <w:r w:rsidRPr="000A1E97">
        <w:t xml:space="preserve">than the base case when a plant operation time of 20 years is considered and </w:t>
      </w:r>
      <w:r>
        <w:t>a C</w:t>
      </w:r>
      <w:r w:rsidRPr="000A1E97">
        <w:t xml:space="preserve">arbon </w:t>
      </w:r>
      <w:r>
        <w:t>T</w:t>
      </w:r>
      <w:r w:rsidRPr="000A1E97">
        <w:t xml:space="preserve">ax </w:t>
      </w:r>
      <w:r>
        <w:t xml:space="preserve">CT </w:t>
      </w:r>
      <w:r w:rsidRPr="000A1E97">
        <w:t>of approx. 12 €/tCO</w:t>
      </w:r>
      <w:r w:rsidRPr="004D6728">
        <w:rPr>
          <w:vertAlign w:val="subscript"/>
        </w:rPr>
        <w:t>2</w:t>
      </w:r>
      <w:r w:rsidRPr="000A1E97">
        <w:t xml:space="preserve"> is applied, which is, to make an example, lower than the current European Union Allowances. </w:t>
      </w:r>
    </w:p>
    <w:p w14:paraId="5C16A9C5" w14:textId="77777777" w:rsidR="008B15A2" w:rsidRPr="000A1E97" w:rsidRDefault="008B15A2" w:rsidP="008B15A2">
      <w:pPr>
        <w:pStyle w:val="CETBodytext"/>
      </w:pPr>
      <w:r w:rsidRPr="000A1E97">
        <w:t>Moreover, if considering the operating cost, the</w:t>
      </w:r>
      <w:r>
        <w:t xml:space="preserve"> alternatives</w:t>
      </w:r>
      <w:r w:rsidRPr="000A1E97">
        <w:t xml:space="preserve"> could become less </w:t>
      </w:r>
      <w:r>
        <w:t>expensive</w:t>
      </w:r>
      <w:r w:rsidRPr="000A1E97">
        <w:t xml:space="preserve"> than the base case </w:t>
      </w:r>
      <w:r>
        <w:t xml:space="preserve">in a time between 5 to 10 </w:t>
      </w:r>
      <w:r w:rsidRPr="000A1E97">
        <w:t>years of operation, making it an attractive option</w:t>
      </w:r>
      <w:r>
        <w:t>,</w:t>
      </w:r>
      <w:r w:rsidRPr="000A1E97">
        <w:t xml:space="preserve"> </w:t>
      </w:r>
      <w:r>
        <w:t>since</w:t>
      </w:r>
      <w:r w:rsidRPr="000A1E97">
        <w:t xml:space="preserve"> </w:t>
      </w:r>
      <w:r>
        <w:t>their</w:t>
      </w:r>
      <w:r w:rsidRPr="000A1E97">
        <w:t xml:space="preserve"> extra cost of implementation </w:t>
      </w:r>
      <w:r>
        <w:t>can</w:t>
      </w:r>
      <w:r w:rsidRPr="000A1E97">
        <w:t xml:space="preserve"> be repaid in a time compatible with the plant lifetime.</w:t>
      </w:r>
    </w:p>
    <w:p w14:paraId="4E96C3EF" w14:textId="61BDE837" w:rsidR="00254A19" w:rsidRPr="008B15A2" w:rsidRDefault="00254A19" w:rsidP="00D91FC2">
      <w:pPr>
        <w:pStyle w:val="CETBodytext"/>
      </w:pPr>
    </w:p>
    <w:p w14:paraId="69052D0C" w14:textId="77777777" w:rsidR="00254A19" w:rsidRPr="002F1334" w:rsidRDefault="00254A19" w:rsidP="00254A19">
      <w:pPr>
        <w:pStyle w:val="CETHeading1"/>
      </w:pPr>
      <w:r w:rsidRPr="002F1334">
        <w:t>Conclusions</w:t>
      </w:r>
    </w:p>
    <w:p w14:paraId="76F23215" w14:textId="6DD19AAF" w:rsidR="00254A19" w:rsidRPr="00286CB6" w:rsidRDefault="00254A19" w:rsidP="00254A19">
      <w:pPr>
        <w:pStyle w:val="CETBodytext"/>
        <w:rPr>
          <w:rFonts w:eastAsiaTheme="minorHAnsi"/>
        </w:rPr>
      </w:pPr>
      <w:r w:rsidRPr="00286CB6">
        <w:rPr>
          <w:rFonts w:eastAsiaTheme="minorHAnsi"/>
        </w:rPr>
        <w:t xml:space="preserve">When </w:t>
      </w:r>
      <w:r w:rsidR="00F22D99" w:rsidRPr="00286CB6">
        <w:rPr>
          <w:rFonts w:eastAsiaTheme="minorHAnsi"/>
        </w:rPr>
        <w:t>initiating</w:t>
      </w:r>
      <w:r w:rsidRPr="00286CB6">
        <w:rPr>
          <w:rFonts w:eastAsiaTheme="minorHAnsi"/>
        </w:rPr>
        <w:t xml:space="preserve"> a Project for the construction of a new plant or </w:t>
      </w:r>
      <w:r w:rsidR="00705628" w:rsidRPr="00286CB6">
        <w:rPr>
          <w:rFonts w:eastAsiaTheme="minorHAnsi"/>
        </w:rPr>
        <w:t xml:space="preserve">for </w:t>
      </w:r>
      <w:r w:rsidRPr="00286CB6">
        <w:rPr>
          <w:rFonts w:eastAsiaTheme="minorHAnsi"/>
        </w:rPr>
        <w:t>the revamping of an existing one, an accurate early estimation and accounting of the GHG emissions associated to plant future operation allows to address the Project towards a greater environmental sustainability.</w:t>
      </w:r>
    </w:p>
    <w:p w14:paraId="447852E7" w14:textId="26446426" w:rsidR="00254A19" w:rsidRPr="00286CB6" w:rsidRDefault="00254A19" w:rsidP="367C67C9">
      <w:pPr>
        <w:pStyle w:val="CETBodytext"/>
        <w:rPr>
          <w:rFonts w:eastAsiaTheme="minorEastAsia"/>
        </w:rPr>
      </w:pPr>
      <w:r w:rsidRPr="00286CB6">
        <w:rPr>
          <w:rFonts w:eastAsiaTheme="minorEastAsia"/>
        </w:rPr>
        <w:t xml:space="preserve">Such an activity can be performed during the </w:t>
      </w:r>
      <w:bookmarkStart w:id="9" w:name="_Int_oDH5oQVc"/>
      <w:r w:rsidRPr="00286CB6">
        <w:rPr>
          <w:rFonts w:eastAsiaTheme="minorEastAsia"/>
        </w:rPr>
        <w:t>very early</w:t>
      </w:r>
      <w:bookmarkEnd w:id="9"/>
      <w:r w:rsidRPr="00286CB6">
        <w:rPr>
          <w:rFonts w:eastAsiaTheme="minorEastAsia"/>
        </w:rPr>
        <w:t xml:space="preserve"> design phase</w:t>
      </w:r>
      <w:r w:rsidR="00286CB6">
        <w:rPr>
          <w:rFonts w:eastAsiaTheme="minorEastAsia"/>
        </w:rPr>
        <w:t>, and even</w:t>
      </w:r>
      <w:r w:rsidRPr="00286CB6">
        <w:rPr>
          <w:rFonts w:eastAsiaTheme="minorEastAsia"/>
        </w:rPr>
        <w:t xml:space="preserve"> </w:t>
      </w:r>
      <w:r w:rsidR="00286CB6">
        <w:rPr>
          <w:rFonts w:eastAsiaTheme="minorEastAsia"/>
        </w:rPr>
        <w:t>f</w:t>
      </w:r>
      <w:r w:rsidRPr="00286CB6">
        <w:rPr>
          <w:rFonts w:eastAsiaTheme="minorEastAsia"/>
        </w:rPr>
        <w:t xml:space="preserve">rom the proposal, when different and alternative design solutions are under </w:t>
      </w:r>
      <w:r w:rsidR="00286CB6">
        <w:rPr>
          <w:rFonts w:eastAsiaTheme="minorEastAsia"/>
        </w:rPr>
        <w:t xml:space="preserve">evaluation </w:t>
      </w:r>
      <w:r w:rsidRPr="00286CB6">
        <w:rPr>
          <w:rFonts w:eastAsiaTheme="minorEastAsia"/>
        </w:rPr>
        <w:t>for their future implementation.</w:t>
      </w:r>
    </w:p>
    <w:p w14:paraId="4D6D71A1" w14:textId="51A8E171" w:rsidR="00254A19" w:rsidRPr="00286CB6" w:rsidRDefault="00254A19" w:rsidP="367C67C9">
      <w:pPr>
        <w:pStyle w:val="CETBodytext"/>
        <w:rPr>
          <w:rFonts w:eastAsiaTheme="minorEastAsia"/>
        </w:rPr>
      </w:pPr>
      <w:r w:rsidRPr="00286CB6">
        <w:rPr>
          <w:rFonts w:eastAsiaTheme="minorEastAsia"/>
        </w:rPr>
        <w:lastRenderedPageBreak/>
        <w:t xml:space="preserve">A methodology for assessing the environmental sustainability of alternative design solutions has been </w:t>
      </w:r>
      <w:r w:rsidR="00286CB6" w:rsidRPr="00980488">
        <w:rPr>
          <w:rFonts w:eastAsiaTheme="minorEastAsia"/>
        </w:rPr>
        <w:t>developed</w:t>
      </w:r>
      <w:r w:rsidRPr="00286CB6">
        <w:rPr>
          <w:rFonts w:eastAsiaTheme="minorEastAsia"/>
        </w:rPr>
        <w:t xml:space="preserve">. Starting from a real case, a plant designed, </w:t>
      </w:r>
      <w:bookmarkStart w:id="10" w:name="_Int_hP5P2B8W"/>
      <w:r w:rsidRPr="00286CB6">
        <w:rPr>
          <w:rFonts w:eastAsiaTheme="minorEastAsia"/>
        </w:rPr>
        <w:t>built,</w:t>
      </w:r>
      <w:bookmarkEnd w:id="10"/>
      <w:r w:rsidRPr="00286CB6">
        <w:rPr>
          <w:rFonts w:eastAsiaTheme="minorEastAsia"/>
        </w:rPr>
        <w:t xml:space="preserve"> and commissioned </w:t>
      </w:r>
      <w:r w:rsidR="00286CB6" w:rsidRPr="00E56668">
        <w:rPr>
          <w:rFonts w:eastAsiaTheme="minorEastAsia"/>
        </w:rPr>
        <w:t>in recent times by</w:t>
      </w:r>
      <w:r w:rsidR="00286CB6" w:rsidRPr="00286CB6">
        <w:rPr>
          <w:rFonts w:eastAsiaTheme="minorEastAsia"/>
        </w:rPr>
        <w:t xml:space="preserve"> </w:t>
      </w:r>
      <w:r w:rsidRPr="00286CB6">
        <w:rPr>
          <w:rFonts w:eastAsiaTheme="minorEastAsia"/>
        </w:rPr>
        <w:t xml:space="preserve">Maire Tecnimont Group, a team </w:t>
      </w:r>
      <w:r w:rsidR="00286CB6" w:rsidRPr="00286CB6">
        <w:t>composed by different engineering specialists</w:t>
      </w:r>
      <w:r w:rsidR="00286CB6" w:rsidRPr="00E56668" w:rsidDel="00286CB6">
        <w:rPr>
          <w:rFonts w:eastAsiaTheme="minorEastAsia"/>
        </w:rPr>
        <w:t xml:space="preserve"> </w:t>
      </w:r>
      <w:r w:rsidRPr="00286CB6">
        <w:rPr>
          <w:rFonts w:eastAsiaTheme="minorEastAsia"/>
        </w:rPr>
        <w:t>analyzed the technical solutions currently implemented in the entire plant with the objective to identify possible alternatives</w:t>
      </w:r>
      <w:r w:rsidR="005462A9">
        <w:rPr>
          <w:rFonts w:eastAsiaTheme="minorEastAsia"/>
        </w:rPr>
        <w:t>,</w:t>
      </w:r>
      <w:r w:rsidRPr="00286CB6">
        <w:rPr>
          <w:rFonts w:eastAsiaTheme="minorEastAsia"/>
        </w:rPr>
        <w:t xml:space="preserve"> characterized by a lower impact on the plant carbon footprint. </w:t>
      </w:r>
    </w:p>
    <w:p w14:paraId="5B8EACB8" w14:textId="67C8D393" w:rsidR="00254A19" w:rsidRPr="00286CB6" w:rsidRDefault="00254A19" w:rsidP="00254A19">
      <w:pPr>
        <w:pStyle w:val="CETBodytext"/>
        <w:rPr>
          <w:rFonts w:eastAsiaTheme="minorHAnsi"/>
        </w:rPr>
      </w:pPr>
      <w:r w:rsidRPr="00286CB6">
        <w:rPr>
          <w:rFonts w:eastAsiaTheme="minorHAnsi"/>
        </w:rPr>
        <w:t xml:space="preserve">For each original design solution and for each new proposed alternative solution a quantitative assessment of the related cost of implementation, of the energy consumption, and of the associated GHG emissions </w:t>
      </w:r>
      <w:r w:rsidR="005462A9">
        <w:rPr>
          <w:rFonts w:eastAsiaTheme="minorHAnsi"/>
        </w:rPr>
        <w:t>was</w:t>
      </w:r>
      <w:r w:rsidRPr="00286CB6">
        <w:rPr>
          <w:rFonts w:eastAsiaTheme="minorHAnsi"/>
        </w:rPr>
        <w:t xml:space="preserve"> carried out. </w:t>
      </w:r>
    </w:p>
    <w:p w14:paraId="0B85005D" w14:textId="69EBBCBC" w:rsidR="00254A19" w:rsidRPr="00EF247F" w:rsidRDefault="00254A19" w:rsidP="00254A19">
      <w:pPr>
        <w:pStyle w:val="CETBodytext"/>
        <w:rPr>
          <w:rFonts w:eastAsia="‚l‚r –¾’©"/>
        </w:rPr>
      </w:pPr>
      <w:r w:rsidRPr="00EF247F">
        <w:rPr>
          <w:rFonts w:eastAsiaTheme="minorEastAsia"/>
        </w:rPr>
        <w:t xml:space="preserve">Each alternative solution </w:t>
      </w:r>
      <w:r w:rsidR="00EF247F" w:rsidRPr="00980488">
        <w:rPr>
          <w:rFonts w:eastAsiaTheme="minorEastAsia"/>
        </w:rPr>
        <w:t>was</w:t>
      </w:r>
      <w:r w:rsidRPr="00EF247F">
        <w:rPr>
          <w:rFonts w:eastAsiaTheme="minorEastAsia"/>
        </w:rPr>
        <w:t xml:space="preserve"> categorized</w:t>
      </w:r>
      <w:r w:rsidR="00286CB6" w:rsidRPr="00980488">
        <w:rPr>
          <w:rFonts w:eastAsiaTheme="minorEastAsia"/>
        </w:rPr>
        <w:t xml:space="preserve"> based on </w:t>
      </w:r>
      <w:r w:rsidR="00EF247F" w:rsidRPr="00980488">
        <w:rPr>
          <w:rFonts w:eastAsiaTheme="minorEastAsia"/>
        </w:rPr>
        <w:t>its</w:t>
      </w:r>
      <w:r w:rsidR="00286CB6" w:rsidRPr="00980488">
        <w:rPr>
          <w:rFonts w:eastAsiaTheme="minorEastAsia"/>
        </w:rPr>
        <w:t xml:space="preserve"> </w:t>
      </w:r>
      <w:r w:rsidR="00EF247F" w:rsidRPr="00980488">
        <w:rPr>
          <w:rFonts w:eastAsiaTheme="minorEastAsia"/>
        </w:rPr>
        <w:t xml:space="preserve">cost </w:t>
      </w:r>
      <w:r w:rsidR="00286CB6" w:rsidRPr="00980488">
        <w:rPr>
          <w:rFonts w:eastAsiaTheme="minorEastAsia"/>
        </w:rPr>
        <w:t xml:space="preserve">impact </w:t>
      </w:r>
      <w:r w:rsidR="00EF247F" w:rsidRPr="00980488">
        <w:rPr>
          <w:rFonts w:eastAsiaTheme="minorEastAsia"/>
        </w:rPr>
        <w:t>and on its</w:t>
      </w:r>
      <w:r w:rsidRPr="00EF247F">
        <w:rPr>
          <w:rFonts w:eastAsia="‚l‚r –¾’©"/>
        </w:rPr>
        <w:t xml:space="preserve"> GHG emission </w:t>
      </w:r>
      <w:r w:rsidR="00EF247F" w:rsidRPr="00980488">
        <w:rPr>
          <w:rFonts w:eastAsia="‚l‚r –¾’©"/>
        </w:rPr>
        <w:t xml:space="preserve">impact. In view of the potential application of a Carbon Tax, also those alternative solutions which </w:t>
      </w:r>
      <w:r w:rsidR="005462A9">
        <w:rPr>
          <w:rFonts w:eastAsia="‚l‚r –¾’©"/>
        </w:rPr>
        <w:t>generate</w:t>
      </w:r>
      <w:r w:rsidR="00EF247F" w:rsidRPr="00980488">
        <w:rPr>
          <w:rFonts w:eastAsia="‚l‚r –¾’©"/>
        </w:rPr>
        <w:t xml:space="preserve"> lower GHG emissions, </w:t>
      </w:r>
      <w:r w:rsidR="00EF247F">
        <w:rPr>
          <w:rFonts w:eastAsia="‚l‚r –¾’©"/>
        </w:rPr>
        <w:t>although apparently</w:t>
      </w:r>
      <w:r w:rsidR="00EF247F" w:rsidRPr="00980488">
        <w:rPr>
          <w:rFonts w:eastAsia="‚l‚r –¾’©"/>
        </w:rPr>
        <w:t xml:space="preserve"> more expensive</w:t>
      </w:r>
      <w:r w:rsidR="00EF247F">
        <w:rPr>
          <w:rFonts w:eastAsia="‚l‚r –¾’©"/>
        </w:rPr>
        <w:t>,</w:t>
      </w:r>
      <w:r w:rsidRPr="00EF247F">
        <w:rPr>
          <w:rFonts w:eastAsia="‚l‚r –¾’©"/>
        </w:rPr>
        <w:t xml:space="preserve"> are worthy to be considered for their implementation,</w:t>
      </w:r>
      <w:r w:rsidR="00EF247F">
        <w:rPr>
          <w:rFonts w:eastAsia="‚l‚r –¾’©"/>
        </w:rPr>
        <w:t xml:space="preserve"> since </w:t>
      </w:r>
      <w:r w:rsidR="00ED7B14">
        <w:rPr>
          <w:rFonts w:eastAsia="‚l‚r –¾’©"/>
        </w:rPr>
        <w:t xml:space="preserve">they may </w:t>
      </w:r>
      <w:r w:rsidR="00EF247F">
        <w:rPr>
          <w:rFonts w:eastAsia="‚l‚r –¾’©"/>
        </w:rPr>
        <w:t>result co</w:t>
      </w:r>
      <w:r w:rsidR="00ED7B14">
        <w:rPr>
          <w:rFonts w:eastAsia="‚l‚r –¾’©"/>
        </w:rPr>
        <w:t>st effective</w:t>
      </w:r>
      <w:r w:rsidR="00EF247F">
        <w:rPr>
          <w:rFonts w:eastAsia="‚l‚r –¾’©"/>
        </w:rPr>
        <w:t xml:space="preserve"> in the long run.</w:t>
      </w:r>
      <w:r w:rsidRPr="00EF247F">
        <w:rPr>
          <w:rFonts w:eastAsia="‚l‚r –¾’©"/>
        </w:rPr>
        <w:t xml:space="preserve"> The economic profitability of such design solutions can also be demonstrated when considering, during plant operation life, the costs associated with the consumption of fuels and electricity required for their operation. </w:t>
      </w:r>
    </w:p>
    <w:p w14:paraId="257426BA" w14:textId="08F08CAF" w:rsidR="00254A19" w:rsidRPr="00254A19" w:rsidRDefault="00254A19" w:rsidP="00254A19">
      <w:pPr>
        <w:pStyle w:val="CETBodytext"/>
        <w:rPr>
          <w:rFonts w:eastAsiaTheme="minorHAnsi"/>
        </w:rPr>
      </w:pPr>
      <w:r w:rsidRPr="00EF247F">
        <w:rPr>
          <w:rFonts w:eastAsiaTheme="minorHAnsi"/>
        </w:rPr>
        <w:t xml:space="preserve">Although the case study </w:t>
      </w:r>
      <w:r w:rsidR="00EF247F">
        <w:rPr>
          <w:rFonts w:eastAsiaTheme="minorHAnsi"/>
        </w:rPr>
        <w:t>was based o</w:t>
      </w:r>
      <w:r w:rsidR="005462A9">
        <w:rPr>
          <w:rFonts w:eastAsiaTheme="minorHAnsi"/>
        </w:rPr>
        <w:t xml:space="preserve">n a petrochemical plant, with a </w:t>
      </w:r>
      <w:r w:rsidRPr="00EF247F">
        <w:rPr>
          <w:rFonts w:eastAsiaTheme="minorHAnsi"/>
        </w:rPr>
        <w:t>specific technology, the methodology developed for the identification of potential ameliorative solutions can be in principle applied to any plant.</w:t>
      </w:r>
    </w:p>
    <w:p w14:paraId="704741E1" w14:textId="77777777" w:rsidR="001D17A3" w:rsidRDefault="001D17A3" w:rsidP="001D17A3">
      <w:pPr>
        <w:pStyle w:val="CETBodytext"/>
        <w:rPr>
          <w:rFonts w:eastAsia="‚l‚r –¾’©"/>
        </w:rPr>
      </w:pPr>
    </w:p>
    <w:p w14:paraId="29629468" w14:textId="1B08C172" w:rsidR="001D17A3" w:rsidRDefault="001D17A3" w:rsidP="002F3077">
      <w:pPr>
        <w:pStyle w:val="CETHeadingxx"/>
        <w:rPr>
          <w:rFonts w:eastAsia="‚l‚r –¾’©"/>
        </w:rPr>
      </w:pPr>
      <w:r>
        <w:rPr>
          <w:rFonts w:eastAsia="‚l‚r –¾’©"/>
        </w:rPr>
        <w:t>References</w:t>
      </w:r>
    </w:p>
    <w:p w14:paraId="31E8F8F8" w14:textId="78B741C1" w:rsidR="001D17A3" w:rsidRPr="00F804B2" w:rsidRDefault="001D17A3" w:rsidP="001D17A3">
      <w:pPr>
        <w:pStyle w:val="CETBodytext"/>
        <w:rPr>
          <w:rFonts w:eastAsia="‚l‚r –¾’©"/>
        </w:rPr>
      </w:pPr>
      <w:r w:rsidRPr="00F804B2">
        <w:rPr>
          <w:rFonts w:eastAsia="‚l‚r –¾’©"/>
        </w:rPr>
        <w:t xml:space="preserve">Greenhouse Gas Protocol – </w:t>
      </w:r>
      <w:hyperlink r:id="rId20" w:tgtFrame="_blank" w:history="1">
        <w:r w:rsidRPr="00F804B2">
          <w:rPr>
            <w:rFonts w:eastAsia="‚l‚r –¾’©"/>
          </w:rPr>
          <w:t>www.ghgprotocol.org</w:t>
        </w:r>
      </w:hyperlink>
    </w:p>
    <w:p w14:paraId="51A40E25" w14:textId="77777777" w:rsidR="001D17A3" w:rsidRPr="00F804B2" w:rsidRDefault="001D17A3" w:rsidP="001D17A3">
      <w:pPr>
        <w:pStyle w:val="CETBodytext"/>
        <w:rPr>
          <w:rFonts w:eastAsia="‚l‚r –¾’©"/>
        </w:rPr>
      </w:pPr>
    </w:p>
    <w:p w14:paraId="4CD61DC0" w14:textId="6B2D5AA5" w:rsidR="0013472B" w:rsidRPr="000A1E97" w:rsidRDefault="001D17A3" w:rsidP="001D17A3">
      <w:pPr>
        <w:pStyle w:val="CETBodytext"/>
        <w:rPr>
          <w:lang w:val="en-GB"/>
        </w:rPr>
      </w:pPr>
      <w:r w:rsidRPr="00F804B2">
        <w:rPr>
          <w:rFonts w:eastAsia="‚l‚r –¾’©"/>
        </w:rPr>
        <w:t xml:space="preserve">The Equator Principles – July 2020 </w:t>
      </w:r>
      <w:r w:rsidR="003C3F58" w:rsidRPr="00F804B2">
        <w:rPr>
          <w:rFonts w:eastAsia="‚l‚r –¾’©"/>
        </w:rPr>
        <w:t>–</w:t>
      </w:r>
      <w:r w:rsidRPr="00F804B2">
        <w:rPr>
          <w:rFonts w:eastAsia="‚l‚r –¾’©"/>
        </w:rPr>
        <w:t xml:space="preserve"> A financial industry benchmark for determining, assessing and managing environmental and social risk in projects – </w:t>
      </w:r>
      <w:hyperlink r:id="rId21" w:tgtFrame="_blank" w:history="1">
        <w:r w:rsidRPr="00F804B2">
          <w:rPr>
            <w:rFonts w:eastAsia="‚l‚r –¾’©"/>
          </w:rPr>
          <w:t>www.equator-principles.com</w:t>
        </w:r>
      </w:hyperlink>
      <w:r w:rsidR="00980488">
        <w:rPr>
          <w:rFonts w:eastAsia="‚l‚r –¾’©"/>
        </w:rPr>
        <w:t>.</w:t>
      </w:r>
    </w:p>
    <w:p w14:paraId="16104C04" w14:textId="783382C9" w:rsidR="00471474" w:rsidRDefault="00471474">
      <w:pPr>
        <w:tabs>
          <w:tab w:val="clear" w:pos="7100"/>
        </w:tabs>
        <w:spacing w:after="200" w:line="276" w:lineRule="auto"/>
        <w:jc w:val="left"/>
      </w:pPr>
    </w:p>
    <w:sectPr w:rsidR="00471474"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F2BC4" w14:textId="77777777" w:rsidR="00E174A9" w:rsidRDefault="00E174A9" w:rsidP="004F5E36">
      <w:r>
        <w:separator/>
      </w:r>
    </w:p>
  </w:endnote>
  <w:endnote w:type="continuationSeparator" w:id="0">
    <w:p w14:paraId="5DC4C1F9" w14:textId="77777777" w:rsidR="00E174A9" w:rsidRDefault="00E174A9" w:rsidP="004F5E36">
      <w:r>
        <w:continuationSeparator/>
      </w:r>
    </w:p>
  </w:endnote>
  <w:endnote w:type="continuationNotice" w:id="1">
    <w:p w14:paraId="53FB2CF0" w14:textId="77777777" w:rsidR="00E174A9" w:rsidRDefault="00E174A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l‚r –¾’©">
    <w:altName w:val="Yu Gothic"/>
    <w:panose1 w:val="00000000000000000000"/>
    <w:charset w:val="80"/>
    <w:family w:val="roman"/>
    <w:notTrueType/>
    <w:pitch w:val="default"/>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4D85D" w14:textId="77777777" w:rsidR="00E174A9" w:rsidRDefault="00E174A9" w:rsidP="004F5E36">
      <w:r>
        <w:separator/>
      </w:r>
    </w:p>
  </w:footnote>
  <w:footnote w:type="continuationSeparator" w:id="0">
    <w:p w14:paraId="6AF86DF8" w14:textId="77777777" w:rsidR="00E174A9" w:rsidRDefault="00E174A9" w:rsidP="004F5E36">
      <w:r>
        <w:continuationSeparator/>
      </w:r>
    </w:p>
  </w:footnote>
  <w:footnote w:type="continuationNotice" w:id="1">
    <w:p w14:paraId="22F7FBB1" w14:textId="77777777" w:rsidR="00E174A9" w:rsidRDefault="00E174A9">
      <w:pPr>
        <w:spacing w:line="240" w:lineRule="auto"/>
      </w:pPr>
    </w:p>
  </w:footnote>
</w:footnotes>
</file>

<file path=word/intelligence2.xml><?xml version="1.0" encoding="utf-8"?>
<int2:intelligence xmlns:int2="http://schemas.microsoft.com/office/intelligence/2020/intelligence" xmlns:oel="http://schemas.microsoft.com/office/2019/extlst">
  <int2:observations>
    <int2:bookmark int2:bookmarkName="_Int_zJtqnBg0" int2:invalidationBookmarkName="" int2:hashCode="e0dMsLOcF3PXGS" int2:id="0nhPwDGa"/>
    <int2:bookmark int2:bookmarkName="_Int_hP5P2B8W" int2:invalidationBookmarkName="" int2:hashCode="NTyEfsPVH7dddg" int2:id="BDTV0Z33"/>
    <int2:bookmark int2:bookmarkName="_Int_0lCLgnPZ" int2:invalidationBookmarkName="" int2:hashCode="j6yqqeFqcLdM5E" int2:id="JM8QDS9i">
      <int2:state int2:value="Rejected" int2:type="LegacyProofing"/>
    </int2:bookmark>
    <int2:bookmark int2:bookmarkName="_Int_d8xwIGzU" int2:invalidationBookmarkName="" int2:hashCode="YyGJkRQGuq26Z7" int2:id="LJdGRGvg">
      <int2:state int2:value="Rejected" int2:type="LegacyProofing"/>
    </int2:bookmark>
    <int2:bookmark int2:bookmarkName="_Int_oDH5oQVc" int2:invalidationBookmarkName="" int2:hashCode="R+HKo1dQAJHNqb" int2:id="WzjwJcQU">
      <int2:state int2:value="Rejected" int2:type="AugLoop_Text_Critique"/>
    </int2:bookmark>
    <int2:bookmark int2:bookmarkName="_Int_DmYYWK1x" int2:invalidationBookmarkName="" int2:hashCode="VX8lVRZxnqFvj0" int2:id="c3z2NTqL">
      <int2:state int2:value="Rejected" int2:type="LegacyProofing"/>
    </int2:bookmark>
    <int2:bookmark int2:bookmarkName="_Int_aTWL976B" int2:invalidationBookmarkName="" int2:hashCode="+hy8M85sF9u9T4" int2:id="qrVuGVU5"/>
    <int2:bookmark int2:bookmarkName="_Int_yxWyjgyF" int2:invalidationBookmarkName="" int2:hashCode="fAeGCu6wmomLgc" int2:id="sYMFOJke"/>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BC3404B"/>
    <w:multiLevelType w:val="hybridMultilevel"/>
    <w:tmpl w:val="88EE8AC4"/>
    <w:lvl w:ilvl="0" w:tplc="FC9EE9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70658F"/>
    <w:multiLevelType w:val="hybridMultilevel"/>
    <w:tmpl w:val="8B363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38217E"/>
    <w:multiLevelType w:val="multilevel"/>
    <w:tmpl w:val="FA065E9C"/>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3" w15:restartNumberingAfterBreak="0">
    <w:nsid w:val="2F661600"/>
    <w:multiLevelType w:val="hybridMultilevel"/>
    <w:tmpl w:val="592EC32E"/>
    <w:lvl w:ilvl="0" w:tplc="67BABE10">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81F41D2"/>
    <w:multiLevelType w:val="hybridMultilevel"/>
    <w:tmpl w:val="81C83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3E533111"/>
    <w:multiLevelType w:val="hybridMultilevel"/>
    <w:tmpl w:val="0CB00D3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6541EA"/>
    <w:multiLevelType w:val="hybridMultilevel"/>
    <w:tmpl w:val="E5A0D322"/>
    <w:lvl w:ilvl="0" w:tplc="58DC5704">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3A37C3D"/>
    <w:multiLevelType w:val="hybridMultilevel"/>
    <w:tmpl w:val="EECEF386"/>
    <w:lvl w:ilvl="0" w:tplc="3046666E">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752883">
    <w:abstractNumId w:val="12"/>
  </w:num>
  <w:num w:numId="2" w16cid:durableId="2061589694">
    <w:abstractNumId w:val="8"/>
  </w:num>
  <w:num w:numId="3" w16cid:durableId="355741607">
    <w:abstractNumId w:val="3"/>
  </w:num>
  <w:num w:numId="4" w16cid:durableId="249313627">
    <w:abstractNumId w:val="2"/>
  </w:num>
  <w:num w:numId="5" w16cid:durableId="2049450385">
    <w:abstractNumId w:val="1"/>
  </w:num>
  <w:num w:numId="6" w16cid:durableId="1795369296">
    <w:abstractNumId w:val="0"/>
  </w:num>
  <w:num w:numId="7" w16cid:durableId="716121246">
    <w:abstractNumId w:val="9"/>
  </w:num>
  <w:num w:numId="8" w16cid:durableId="253827610">
    <w:abstractNumId w:val="7"/>
  </w:num>
  <w:num w:numId="9" w16cid:durableId="1367220294">
    <w:abstractNumId w:val="6"/>
  </w:num>
  <w:num w:numId="10" w16cid:durableId="362291155">
    <w:abstractNumId w:val="5"/>
  </w:num>
  <w:num w:numId="11" w16cid:durableId="152765053">
    <w:abstractNumId w:val="4"/>
  </w:num>
  <w:num w:numId="12" w16cid:durableId="1279019993">
    <w:abstractNumId w:val="23"/>
  </w:num>
  <w:num w:numId="13" w16cid:durableId="871768315">
    <w:abstractNumId w:val="15"/>
  </w:num>
  <w:num w:numId="14" w16cid:durableId="1896044003">
    <w:abstractNumId w:val="24"/>
  </w:num>
  <w:num w:numId="15" w16cid:durableId="1523014240">
    <w:abstractNumId w:val="26"/>
  </w:num>
  <w:num w:numId="16" w16cid:durableId="1217543939">
    <w:abstractNumId w:val="25"/>
  </w:num>
  <w:num w:numId="17" w16cid:durableId="2098282685">
    <w:abstractNumId w:val="14"/>
  </w:num>
  <w:num w:numId="18" w16cid:durableId="415177121">
    <w:abstractNumId w:val="15"/>
    <w:lvlOverride w:ilvl="0">
      <w:startOverride w:val="1"/>
    </w:lvlOverride>
  </w:num>
  <w:num w:numId="19" w16cid:durableId="762989428">
    <w:abstractNumId w:val="22"/>
  </w:num>
  <w:num w:numId="20" w16cid:durableId="1949240417">
    <w:abstractNumId w:val="21"/>
  </w:num>
  <w:num w:numId="21" w16cid:durableId="1121924394">
    <w:abstractNumId w:val="18"/>
  </w:num>
  <w:num w:numId="22" w16cid:durableId="1254243922">
    <w:abstractNumId w:val="17"/>
  </w:num>
  <w:num w:numId="23" w16cid:durableId="2095785600">
    <w:abstractNumId w:val="16"/>
  </w:num>
  <w:num w:numId="24" w16cid:durableId="727917531">
    <w:abstractNumId w:val="19"/>
  </w:num>
  <w:num w:numId="25" w16cid:durableId="73287811">
    <w:abstractNumId w:val="10"/>
  </w:num>
  <w:num w:numId="26" w16cid:durableId="611013298">
    <w:abstractNumId w:val="13"/>
  </w:num>
  <w:num w:numId="27" w16cid:durableId="1193767173">
    <w:abstractNumId w:val="27"/>
  </w:num>
  <w:num w:numId="28" w16cid:durableId="2319380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97226713">
    <w:abstractNumId w:val="11"/>
  </w:num>
  <w:num w:numId="30" w16cid:durableId="45287125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17CB"/>
    <w:rsid w:val="0002077F"/>
    <w:rsid w:val="0003148D"/>
    <w:rsid w:val="00031EEC"/>
    <w:rsid w:val="0003233C"/>
    <w:rsid w:val="00051566"/>
    <w:rsid w:val="00062A9A"/>
    <w:rsid w:val="00065058"/>
    <w:rsid w:val="0006719E"/>
    <w:rsid w:val="00086C39"/>
    <w:rsid w:val="00087692"/>
    <w:rsid w:val="00097404"/>
    <w:rsid w:val="000A03B2"/>
    <w:rsid w:val="000A1E97"/>
    <w:rsid w:val="000C35FF"/>
    <w:rsid w:val="000D0268"/>
    <w:rsid w:val="000D34BE"/>
    <w:rsid w:val="000E102F"/>
    <w:rsid w:val="000E36F1"/>
    <w:rsid w:val="000E3A73"/>
    <w:rsid w:val="000E414A"/>
    <w:rsid w:val="000F093C"/>
    <w:rsid w:val="000F787B"/>
    <w:rsid w:val="0010515F"/>
    <w:rsid w:val="001127A0"/>
    <w:rsid w:val="0012091F"/>
    <w:rsid w:val="00126BC2"/>
    <w:rsid w:val="001308B6"/>
    <w:rsid w:val="0013121F"/>
    <w:rsid w:val="00131FE6"/>
    <w:rsid w:val="0013263F"/>
    <w:rsid w:val="001331DF"/>
    <w:rsid w:val="0013472B"/>
    <w:rsid w:val="00134DE4"/>
    <w:rsid w:val="00137576"/>
    <w:rsid w:val="0014034D"/>
    <w:rsid w:val="00144D16"/>
    <w:rsid w:val="00145E46"/>
    <w:rsid w:val="00150E59"/>
    <w:rsid w:val="00152DE3"/>
    <w:rsid w:val="00153849"/>
    <w:rsid w:val="00164CF9"/>
    <w:rsid w:val="001667A6"/>
    <w:rsid w:val="001717E7"/>
    <w:rsid w:val="00181A91"/>
    <w:rsid w:val="00184AD6"/>
    <w:rsid w:val="001A4AF7"/>
    <w:rsid w:val="001B0349"/>
    <w:rsid w:val="001B1E93"/>
    <w:rsid w:val="001B65C1"/>
    <w:rsid w:val="001C34A8"/>
    <w:rsid w:val="001C684B"/>
    <w:rsid w:val="001D0CFB"/>
    <w:rsid w:val="001D17A3"/>
    <w:rsid w:val="001D21AF"/>
    <w:rsid w:val="001D53FC"/>
    <w:rsid w:val="001E22BB"/>
    <w:rsid w:val="001E64E9"/>
    <w:rsid w:val="001F42A5"/>
    <w:rsid w:val="001F4F94"/>
    <w:rsid w:val="001F7B9D"/>
    <w:rsid w:val="00201C93"/>
    <w:rsid w:val="00211CD3"/>
    <w:rsid w:val="002224B4"/>
    <w:rsid w:val="00225C98"/>
    <w:rsid w:val="002447EF"/>
    <w:rsid w:val="00246834"/>
    <w:rsid w:val="00251550"/>
    <w:rsid w:val="00254A19"/>
    <w:rsid w:val="00263B05"/>
    <w:rsid w:val="0027221A"/>
    <w:rsid w:val="00275B61"/>
    <w:rsid w:val="00276D1B"/>
    <w:rsid w:val="00280FAF"/>
    <w:rsid w:val="00282656"/>
    <w:rsid w:val="00283B38"/>
    <w:rsid w:val="00286CB6"/>
    <w:rsid w:val="00296B83"/>
    <w:rsid w:val="002B32D7"/>
    <w:rsid w:val="002B4015"/>
    <w:rsid w:val="002B5873"/>
    <w:rsid w:val="002B78CE"/>
    <w:rsid w:val="002C2FB6"/>
    <w:rsid w:val="002C7989"/>
    <w:rsid w:val="002D5D9B"/>
    <w:rsid w:val="002E5FA7"/>
    <w:rsid w:val="002F3077"/>
    <w:rsid w:val="002F3309"/>
    <w:rsid w:val="003008CE"/>
    <w:rsid w:val="003009B7"/>
    <w:rsid w:val="00300E56"/>
    <w:rsid w:val="0030469C"/>
    <w:rsid w:val="0030769C"/>
    <w:rsid w:val="00321CA6"/>
    <w:rsid w:val="00323763"/>
    <w:rsid w:val="00324590"/>
    <w:rsid w:val="00334C09"/>
    <w:rsid w:val="00344475"/>
    <w:rsid w:val="00346BA0"/>
    <w:rsid w:val="00363412"/>
    <w:rsid w:val="003723D4"/>
    <w:rsid w:val="00381905"/>
    <w:rsid w:val="003847FF"/>
    <w:rsid w:val="00384CC8"/>
    <w:rsid w:val="003871FD"/>
    <w:rsid w:val="00392F94"/>
    <w:rsid w:val="00394098"/>
    <w:rsid w:val="003A1E30"/>
    <w:rsid w:val="003A2829"/>
    <w:rsid w:val="003A7D1C"/>
    <w:rsid w:val="003B304B"/>
    <w:rsid w:val="003B3146"/>
    <w:rsid w:val="003B3E2E"/>
    <w:rsid w:val="003C14E0"/>
    <w:rsid w:val="003C324F"/>
    <w:rsid w:val="003C3F58"/>
    <w:rsid w:val="003D3A07"/>
    <w:rsid w:val="003F015E"/>
    <w:rsid w:val="003F26E4"/>
    <w:rsid w:val="003F5F9C"/>
    <w:rsid w:val="00400414"/>
    <w:rsid w:val="0041446B"/>
    <w:rsid w:val="0044071E"/>
    <w:rsid w:val="00441F7A"/>
    <w:rsid w:val="0044329C"/>
    <w:rsid w:val="0045149B"/>
    <w:rsid w:val="00453E24"/>
    <w:rsid w:val="00457456"/>
    <w:rsid w:val="004577FE"/>
    <w:rsid w:val="00457B9C"/>
    <w:rsid w:val="0046164A"/>
    <w:rsid w:val="004628D2"/>
    <w:rsid w:val="00462DCD"/>
    <w:rsid w:val="004648AD"/>
    <w:rsid w:val="004703A9"/>
    <w:rsid w:val="00471474"/>
    <w:rsid w:val="004760DE"/>
    <w:rsid w:val="004763D7"/>
    <w:rsid w:val="004A004E"/>
    <w:rsid w:val="004A24CF"/>
    <w:rsid w:val="004A77C4"/>
    <w:rsid w:val="004C1389"/>
    <w:rsid w:val="004C3D1D"/>
    <w:rsid w:val="004C3D84"/>
    <w:rsid w:val="004C7913"/>
    <w:rsid w:val="004D6728"/>
    <w:rsid w:val="004E35F1"/>
    <w:rsid w:val="004E4DD6"/>
    <w:rsid w:val="004E5722"/>
    <w:rsid w:val="004F16B5"/>
    <w:rsid w:val="004F5E36"/>
    <w:rsid w:val="00507B47"/>
    <w:rsid w:val="00507BEF"/>
    <w:rsid w:val="00507CC9"/>
    <w:rsid w:val="005119A5"/>
    <w:rsid w:val="005215DD"/>
    <w:rsid w:val="005278B7"/>
    <w:rsid w:val="00532016"/>
    <w:rsid w:val="005346C8"/>
    <w:rsid w:val="00543E7D"/>
    <w:rsid w:val="005454B5"/>
    <w:rsid w:val="00546279"/>
    <w:rsid w:val="005462A9"/>
    <w:rsid w:val="00547A68"/>
    <w:rsid w:val="005531C9"/>
    <w:rsid w:val="00557F40"/>
    <w:rsid w:val="00570C43"/>
    <w:rsid w:val="00585920"/>
    <w:rsid w:val="005A0B44"/>
    <w:rsid w:val="005A1DD9"/>
    <w:rsid w:val="005B2110"/>
    <w:rsid w:val="005B3E19"/>
    <w:rsid w:val="005B61E6"/>
    <w:rsid w:val="005C77E1"/>
    <w:rsid w:val="005D22EE"/>
    <w:rsid w:val="005D27B4"/>
    <w:rsid w:val="005D57CF"/>
    <w:rsid w:val="005D668A"/>
    <w:rsid w:val="005D6A2F"/>
    <w:rsid w:val="005E1A82"/>
    <w:rsid w:val="005E5AE8"/>
    <w:rsid w:val="005E794C"/>
    <w:rsid w:val="005F0A28"/>
    <w:rsid w:val="005F0E5E"/>
    <w:rsid w:val="005F5666"/>
    <w:rsid w:val="00600535"/>
    <w:rsid w:val="00606AFB"/>
    <w:rsid w:val="00610CD6"/>
    <w:rsid w:val="00616EF2"/>
    <w:rsid w:val="00617B0B"/>
    <w:rsid w:val="00620DEE"/>
    <w:rsid w:val="00621F92"/>
    <w:rsid w:val="0062280A"/>
    <w:rsid w:val="00622A94"/>
    <w:rsid w:val="00625639"/>
    <w:rsid w:val="00630C84"/>
    <w:rsid w:val="00631B33"/>
    <w:rsid w:val="00634AEA"/>
    <w:rsid w:val="0064184D"/>
    <w:rsid w:val="006422CC"/>
    <w:rsid w:val="00660E3E"/>
    <w:rsid w:val="00662E74"/>
    <w:rsid w:val="00671022"/>
    <w:rsid w:val="00675769"/>
    <w:rsid w:val="00680C23"/>
    <w:rsid w:val="00693766"/>
    <w:rsid w:val="00694976"/>
    <w:rsid w:val="006A3281"/>
    <w:rsid w:val="006B1A1C"/>
    <w:rsid w:val="006B4888"/>
    <w:rsid w:val="006C2E45"/>
    <w:rsid w:val="006C359C"/>
    <w:rsid w:val="006C46C9"/>
    <w:rsid w:val="006C5579"/>
    <w:rsid w:val="006D207E"/>
    <w:rsid w:val="006D6E8B"/>
    <w:rsid w:val="006E737D"/>
    <w:rsid w:val="006F4C07"/>
    <w:rsid w:val="00705628"/>
    <w:rsid w:val="007103D9"/>
    <w:rsid w:val="00710D73"/>
    <w:rsid w:val="00713973"/>
    <w:rsid w:val="00720A24"/>
    <w:rsid w:val="00732386"/>
    <w:rsid w:val="0073514D"/>
    <w:rsid w:val="007447F3"/>
    <w:rsid w:val="00751EBF"/>
    <w:rsid w:val="0075499F"/>
    <w:rsid w:val="007661C8"/>
    <w:rsid w:val="0077098D"/>
    <w:rsid w:val="007712A4"/>
    <w:rsid w:val="00771380"/>
    <w:rsid w:val="00774AA3"/>
    <w:rsid w:val="00776174"/>
    <w:rsid w:val="007931FA"/>
    <w:rsid w:val="00794658"/>
    <w:rsid w:val="007A0D7B"/>
    <w:rsid w:val="007A4861"/>
    <w:rsid w:val="007A585D"/>
    <w:rsid w:val="007A7BBA"/>
    <w:rsid w:val="007B0C50"/>
    <w:rsid w:val="007B48F9"/>
    <w:rsid w:val="007B6D2E"/>
    <w:rsid w:val="007C1A43"/>
    <w:rsid w:val="007C51A8"/>
    <w:rsid w:val="007D31AD"/>
    <w:rsid w:val="007D3A10"/>
    <w:rsid w:val="007E2C39"/>
    <w:rsid w:val="007F03EC"/>
    <w:rsid w:val="0080013E"/>
    <w:rsid w:val="00813288"/>
    <w:rsid w:val="008168FC"/>
    <w:rsid w:val="00830996"/>
    <w:rsid w:val="008345F1"/>
    <w:rsid w:val="0085490B"/>
    <w:rsid w:val="0085643D"/>
    <w:rsid w:val="00856E80"/>
    <w:rsid w:val="00865B07"/>
    <w:rsid w:val="008667EA"/>
    <w:rsid w:val="00867D13"/>
    <w:rsid w:val="0087637F"/>
    <w:rsid w:val="0088250A"/>
    <w:rsid w:val="00891792"/>
    <w:rsid w:val="00892AD5"/>
    <w:rsid w:val="00896A9A"/>
    <w:rsid w:val="008A1512"/>
    <w:rsid w:val="008A2D67"/>
    <w:rsid w:val="008B15A2"/>
    <w:rsid w:val="008D32B9"/>
    <w:rsid w:val="008D433B"/>
    <w:rsid w:val="008D4A16"/>
    <w:rsid w:val="008E4840"/>
    <w:rsid w:val="008E566E"/>
    <w:rsid w:val="008E7C20"/>
    <w:rsid w:val="0090161A"/>
    <w:rsid w:val="00901EB6"/>
    <w:rsid w:val="0090451F"/>
    <w:rsid w:val="00904C62"/>
    <w:rsid w:val="00922BA8"/>
    <w:rsid w:val="00924DAC"/>
    <w:rsid w:val="00926399"/>
    <w:rsid w:val="00926E6C"/>
    <w:rsid w:val="00927058"/>
    <w:rsid w:val="00933FEC"/>
    <w:rsid w:val="00942750"/>
    <w:rsid w:val="00943D38"/>
    <w:rsid w:val="009450CE"/>
    <w:rsid w:val="00947179"/>
    <w:rsid w:val="0095164B"/>
    <w:rsid w:val="0095313D"/>
    <w:rsid w:val="0095344D"/>
    <w:rsid w:val="00954090"/>
    <w:rsid w:val="009573E7"/>
    <w:rsid w:val="00963E05"/>
    <w:rsid w:val="00964A45"/>
    <w:rsid w:val="00967843"/>
    <w:rsid w:val="00967D54"/>
    <w:rsid w:val="00971028"/>
    <w:rsid w:val="009720F8"/>
    <w:rsid w:val="00980488"/>
    <w:rsid w:val="00993B84"/>
    <w:rsid w:val="00996483"/>
    <w:rsid w:val="00996F5A"/>
    <w:rsid w:val="009B041A"/>
    <w:rsid w:val="009C29C4"/>
    <w:rsid w:val="009C37C3"/>
    <w:rsid w:val="009C7C86"/>
    <w:rsid w:val="009D2FF7"/>
    <w:rsid w:val="009E4BB8"/>
    <w:rsid w:val="009E7884"/>
    <w:rsid w:val="009E788A"/>
    <w:rsid w:val="009F0E08"/>
    <w:rsid w:val="009F34EE"/>
    <w:rsid w:val="00A161B3"/>
    <w:rsid w:val="00A1763D"/>
    <w:rsid w:val="00A17CEC"/>
    <w:rsid w:val="00A21F73"/>
    <w:rsid w:val="00A22A99"/>
    <w:rsid w:val="00A27EF0"/>
    <w:rsid w:val="00A3330B"/>
    <w:rsid w:val="00A42361"/>
    <w:rsid w:val="00A432DB"/>
    <w:rsid w:val="00A46095"/>
    <w:rsid w:val="00A50B20"/>
    <w:rsid w:val="00A51390"/>
    <w:rsid w:val="00A60D13"/>
    <w:rsid w:val="00A64598"/>
    <w:rsid w:val="00A7223D"/>
    <w:rsid w:val="00A72745"/>
    <w:rsid w:val="00A76EFC"/>
    <w:rsid w:val="00A91010"/>
    <w:rsid w:val="00A97F29"/>
    <w:rsid w:val="00AA523A"/>
    <w:rsid w:val="00AA575B"/>
    <w:rsid w:val="00AA702E"/>
    <w:rsid w:val="00AB0964"/>
    <w:rsid w:val="00AB5011"/>
    <w:rsid w:val="00AB6D07"/>
    <w:rsid w:val="00AC7368"/>
    <w:rsid w:val="00AD16B9"/>
    <w:rsid w:val="00AE377D"/>
    <w:rsid w:val="00AE7496"/>
    <w:rsid w:val="00AF0EBA"/>
    <w:rsid w:val="00AF76E9"/>
    <w:rsid w:val="00B02C8A"/>
    <w:rsid w:val="00B0412D"/>
    <w:rsid w:val="00B17FBD"/>
    <w:rsid w:val="00B227A5"/>
    <w:rsid w:val="00B314B1"/>
    <w:rsid w:val="00B315A6"/>
    <w:rsid w:val="00B31813"/>
    <w:rsid w:val="00B32466"/>
    <w:rsid w:val="00B33365"/>
    <w:rsid w:val="00B4289E"/>
    <w:rsid w:val="00B563BF"/>
    <w:rsid w:val="00B57B36"/>
    <w:rsid w:val="00B57E6F"/>
    <w:rsid w:val="00B67D68"/>
    <w:rsid w:val="00B83996"/>
    <w:rsid w:val="00B86525"/>
    <w:rsid w:val="00B8686D"/>
    <w:rsid w:val="00B93F69"/>
    <w:rsid w:val="00B977F9"/>
    <w:rsid w:val="00BA36BF"/>
    <w:rsid w:val="00BA6220"/>
    <w:rsid w:val="00BB1DDC"/>
    <w:rsid w:val="00BB48B5"/>
    <w:rsid w:val="00BB7055"/>
    <w:rsid w:val="00BC30C9"/>
    <w:rsid w:val="00BD077D"/>
    <w:rsid w:val="00BD3660"/>
    <w:rsid w:val="00BE3E58"/>
    <w:rsid w:val="00C01616"/>
    <w:rsid w:val="00C0162B"/>
    <w:rsid w:val="00C024D3"/>
    <w:rsid w:val="00C02D72"/>
    <w:rsid w:val="00C068ED"/>
    <w:rsid w:val="00C07A8C"/>
    <w:rsid w:val="00C12FF0"/>
    <w:rsid w:val="00C22E0C"/>
    <w:rsid w:val="00C345B1"/>
    <w:rsid w:val="00C40142"/>
    <w:rsid w:val="00C47DB6"/>
    <w:rsid w:val="00C52C3C"/>
    <w:rsid w:val="00C57182"/>
    <w:rsid w:val="00C57863"/>
    <w:rsid w:val="00C60C29"/>
    <w:rsid w:val="00C640AF"/>
    <w:rsid w:val="00C655FD"/>
    <w:rsid w:val="00C702A6"/>
    <w:rsid w:val="00C75407"/>
    <w:rsid w:val="00C77F65"/>
    <w:rsid w:val="00C801CE"/>
    <w:rsid w:val="00C81B18"/>
    <w:rsid w:val="00C870A8"/>
    <w:rsid w:val="00C94434"/>
    <w:rsid w:val="00CA0D75"/>
    <w:rsid w:val="00CA1B47"/>
    <w:rsid w:val="00CA1C95"/>
    <w:rsid w:val="00CA4A5C"/>
    <w:rsid w:val="00CA5A9C"/>
    <w:rsid w:val="00CC4C20"/>
    <w:rsid w:val="00CC7608"/>
    <w:rsid w:val="00CD3517"/>
    <w:rsid w:val="00CD5FE2"/>
    <w:rsid w:val="00CE7C68"/>
    <w:rsid w:val="00D02B4C"/>
    <w:rsid w:val="00D040C4"/>
    <w:rsid w:val="00D15CEB"/>
    <w:rsid w:val="00D20AD1"/>
    <w:rsid w:val="00D347ED"/>
    <w:rsid w:val="00D46B7E"/>
    <w:rsid w:val="00D50A61"/>
    <w:rsid w:val="00D51491"/>
    <w:rsid w:val="00D57C84"/>
    <w:rsid w:val="00D6057D"/>
    <w:rsid w:val="00D613BA"/>
    <w:rsid w:val="00D71640"/>
    <w:rsid w:val="00D836C5"/>
    <w:rsid w:val="00D84576"/>
    <w:rsid w:val="00D91FC2"/>
    <w:rsid w:val="00DA1399"/>
    <w:rsid w:val="00DA24C6"/>
    <w:rsid w:val="00DA4D7B"/>
    <w:rsid w:val="00DB384B"/>
    <w:rsid w:val="00DB4464"/>
    <w:rsid w:val="00DC673D"/>
    <w:rsid w:val="00DD271C"/>
    <w:rsid w:val="00DE264A"/>
    <w:rsid w:val="00DE3D66"/>
    <w:rsid w:val="00DF09D5"/>
    <w:rsid w:val="00DF47DE"/>
    <w:rsid w:val="00DF5072"/>
    <w:rsid w:val="00E02D18"/>
    <w:rsid w:val="00E041E7"/>
    <w:rsid w:val="00E1120A"/>
    <w:rsid w:val="00E174A9"/>
    <w:rsid w:val="00E20992"/>
    <w:rsid w:val="00E23744"/>
    <w:rsid w:val="00E23CA1"/>
    <w:rsid w:val="00E3776B"/>
    <w:rsid w:val="00E409A8"/>
    <w:rsid w:val="00E50C12"/>
    <w:rsid w:val="00E56668"/>
    <w:rsid w:val="00E65B91"/>
    <w:rsid w:val="00E7209D"/>
    <w:rsid w:val="00E72EAD"/>
    <w:rsid w:val="00E77223"/>
    <w:rsid w:val="00E8528B"/>
    <w:rsid w:val="00E85B94"/>
    <w:rsid w:val="00E879D2"/>
    <w:rsid w:val="00E978D0"/>
    <w:rsid w:val="00EA32C1"/>
    <w:rsid w:val="00EA4613"/>
    <w:rsid w:val="00EA7F91"/>
    <w:rsid w:val="00EB1523"/>
    <w:rsid w:val="00EC0E49"/>
    <w:rsid w:val="00EC101F"/>
    <w:rsid w:val="00EC1D9F"/>
    <w:rsid w:val="00EC330C"/>
    <w:rsid w:val="00ED1E8A"/>
    <w:rsid w:val="00ED6378"/>
    <w:rsid w:val="00ED7B14"/>
    <w:rsid w:val="00EE0131"/>
    <w:rsid w:val="00EE17B0"/>
    <w:rsid w:val="00EE677E"/>
    <w:rsid w:val="00EF06D9"/>
    <w:rsid w:val="00EF247F"/>
    <w:rsid w:val="00EF3D02"/>
    <w:rsid w:val="00F03B05"/>
    <w:rsid w:val="00F206D8"/>
    <w:rsid w:val="00F22D99"/>
    <w:rsid w:val="00F30C64"/>
    <w:rsid w:val="00F32BA2"/>
    <w:rsid w:val="00F32CDB"/>
    <w:rsid w:val="00F4048D"/>
    <w:rsid w:val="00F565FE"/>
    <w:rsid w:val="00F63A70"/>
    <w:rsid w:val="00F67D96"/>
    <w:rsid w:val="00F7534E"/>
    <w:rsid w:val="00F8008F"/>
    <w:rsid w:val="00F851DD"/>
    <w:rsid w:val="00FA1802"/>
    <w:rsid w:val="00FA21D0"/>
    <w:rsid w:val="00FA5F5F"/>
    <w:rsid w:val="00FA7BEA"/>
    <w:rsid w:val="00FB711C"/>
    <w:rsid w:val="00FB730C"/>
    <w:rsid w:val="00FC2695"/>
    <w:rsid w:val="00FC3E03"/>
    <w:rsid w:val="00FC3FC1"/>
    <w:rsid w:val="00FD082D"/>
    <w:rsid w:val="00FD5005"/>
    <w:rsid w:val="00FD772F"/>
    <w:rsid w:val="03A1C886"/>
    <w:rsid w:val="06639556"/>
    <w:rsid w:val="0B2BBFEF"/>
    <w:rsid w:val="0D2AA92B"/>
    <w:rsid w:val="0DBAD699"/>
    <w:rsid w:val="0E6360B1"/>
    <w:rsid w:val="0F492031"/>
    <w:rsid w:val="0F791CA8"/>
    <w:rsid w:val="1CE03EA4"/>
    <w:rsid w:val="1ECC961A"/>
    <w:rsid w:val="268C83E6"/>
    <w:rsid w:val="2A1EB3AA"/>
    <w:rsid w:val="2CC3E81C"/>
    <w:rsid w:val="336D9178"/>
    <w:rsid w:val="3624BD3A"/>
    <w:rsid w:val="367C67C9"/>
    <w:rsid w:val="375224FF"/>
    <w:rsid w:val="3841EBE3"/>
    <w:rsid w:val="38C9173A"/>
    <w:rsid w:val="39C3AA9F"/>
    <w:rsid w:val="3AB4E308"/>
    <w:rsid w:val="3B05D2C7"/>
    <w:rsid w:val="3C991C74"/>
    <w:rsid w:val="481A3BFB"/>
    <w:rsid w:val="48F9BDB9"/>
    <w:rsid w:val="49160E14"/>
    <w:rsid w:val="494E84F1"/>
    <w:rsid w:val="49FBCD94"/>
    <w:rsid w:val="5079128B"/>
    <w:rsid w:val="51B20E79"/>
    <w:rsid w:val="522EA9C2"/>
    <w:rsid w:val="529811A1"/>
    <w:rsid w:val="530D48A1"/>
    <w:rsid w:val="55FC7EA2"/>
    <w:rsid w:val="5707F5A4"/>
    <w:rsid w:val="5739AF72"/>
    <w:rsid w:val="575856CE"/>
    <w:rsid w:val="5B11F10B"/>
    <w:rsid w:val="5D7431C2"/>
    <w:rsid w:val="60F78809"/>
    <w:rsid w:val="667B441D"/>
    <w:rsid w:val="6CAAF5BE"/>
    <w:rsid w:val="7059D76B"/>
    <w:rsid w:val="742DB7CF"/>
    <w:rsid w:val="771F13B3"/>
    <w:rsid w:val="7A0EAD33"/>
    <w:rsid w:val="7C4517F0"/>
    <w:rsid w:val="7DA2A6C5"/>
    <w:rsid w:val="7DFCD0F7"/>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12493555-376D-4D2E-80ED-5E3173AB0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link w:val="CETHeading1Char"/>
    <w:qFormat/>
    <w:rsid w:val="009E788A"/>
    <w:pPr>
      <w:keepNext/>
      <w:numPr>
        <w:ilvl w:val="1"/>
        <w:numId w:val="28"/>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2F3077"/>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rsid w:val="000E414A"/>
    <w:pPr>
      <w:numPr>
        <w:ilvl w:val="3"/>
        <w:numId w:val="28"/>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2F3077"/>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CommentReference">
    <w:name w:val="annotation reference"/>
    <w:basedOn w:val="DefaultParagraphFont"/>
    <w:uiPriority w:val="99"/>
    <w:semiHidden/>
    <w:unhideWhenUsed/>
    <w:rsid w:val="004577FE"/>
    <w:rPr>
      <w:sz w:val="16"/>
      <w:szCs w:val="16"/>
    </w:rPr>
  </w:style>
  <w:style w:type="paragraph" w:styleId="BalloonText">
    <w:name w:val="Balloon Text"/>
    <w:basedOn w:val="Normal"/>
    <w:link w:val="BalloonTextChar"/>
    <w:uiPriority w:val="99"/>
    <w:semiHidden/>
    <w:unhideWhenUs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CETReferencetext"/>
    <w:uiPriority w:val="37"/>
    <w:unhideWhenUsed/>
    <w:rsid w:val="00631B33"/>
    <w:pPr>
      <w:spacing w:line="240" w:lineRule="auto"/>
      <w:ind w:left="720" w:hanging="720"/>
    </w:pPr>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unhideWhenUsed/>
    <w:qFormat/>
    <w:rsid w:val="0003148D"/>
    <w:pPr>
      <w:spacing w:line="240" w:lineRule="auto"/>
    </w:pPr>
    <w:rPr>
      <w:b/>
      <w:bCs/>
      <w:color w:val="4F81BD" w:themeColor="accent1"/>
      <w:szCs w:val="18"/>
    </w:rPr>
  </w:style>
  <w:style w:type="paragraph" w:styleId="List">
    <w:name w:val="List"/>
    <w:basedOn w:val="Normal"/>
    <w:uiPriority w:val="99"/>
    <w:semiHidden/>
    <w:unhideWhenUsed/>
    <w:rsid w:val="0003148D"/>
    <w:pPr>
      <w:ind w:left="283" w:hanging="283"/>
      <w:contextualSpacing/>
    </w:pPr>
  </w:style>
  <w:style w:type="paragraph" w:styleId="List2">
    <w:name w:val="List 2"/>
    <w:basedOn w:val="Normal"/>
    <w:uiPriority w:val="99"/>
    <w:semiHidden/>
    <w:unhideWhenUsed/>
    <w:rsid w:val="0003148D"/>
    <w:pPr>
      <w:ind w:left="566" w:hanging="283"/>
      <w:contextualSpacing/>
    </w:pPr>
  </w:style>
  <w:style w:type="paragraph" w:styleId="List3">
    <w:name w:val="List 3"/>
    <w:basedOn w:val="Normal"/>
    <w:uiPriority w:val="99"/>
    <w:semiHidden/>
    <w:unhideWhenUsed/>
    <w:rsid w:val="0003148D"/>
    <w:pPr>
      <w:ind w:left="849" w:hanging="283"/>
      <w:contextualSpacing/>
    </w:pPr>
  </w:style>
  <w:style w:type="paragraph" w:styleId="List4">
    <w:name w:val="List 4"/>
    <w:basedOn w:val="Normal"/>
    <w:uiPriority w:val="99"/>
    <w:semiHidden/>
    <w:unhideWhenUsed/>
    <w:rsid w:val="0003148D"/>
    <w:pPr>
      <w:ind w:left="1132" w:hanging="283"/>
      <w:contextualSpacing/>
    </w:pPr>
  </w:style>
  <w:style w:type="paragraph" w:styleId="List5">
    <w:name w:val="List 5"/>
    <w:basedOn w:val="Normal"/>
    <w:uiPriority w:val="99"/>
    <w:semiHidden/>
    <w:unhideWhenUsed/>
    <w:rsid w:val="0003148D"/>
    <w:pPr>
      <w:ind w:left="1415" w:hanging="283"/>
      <w:contextualSpacing/>
    </w:pPr>
  </w:style>
  <w:style w:type="paragraph" w:styleId="ListContinue">
    <w:name w:val="List Continue"/>
    <w:basedOn w:val="Normal"/>
    <w:uiPriority w:val="99"/>
    <w:semiHidden/>
    <w:unhideWhenUsed/>
    <w:rsid w:val="0003148D"/>
    <w:pPr>
      <w:spacing w:after="120"/>
      <w:ind w:left="283"/>
      <w:contextualSpacing/>
    </w:pPr>
  </w:style>
  <w:style w:type="paragraph" w:styleId="ListContinue2">
    <w:name w:val="List Continue 2"/>
    <w:basedOn w:val="Normal"/>
    <w:uiPriority w:val="99"/>
    <w:semiHidden/>
    <w:unhideWhenUsed/>
    <w:rsid w:val="0003148D"/>
    <w:pPr>
      <w:spacing w:after="120"/>
      <w:ind w:left="566"/>
      <w:contextualSpacing/>
    </w:pPr>
  </w:style>
  <w:style w:type="paragraph" w:styleId="ListContinue3">
    <w:name w:val="List Continue 3"/>
    <w:basedOn w:val="Normal"/>
    <w:uiPriority w:val="99"/>
    <w:semiHidden/>
    <w:unhideWhenUsed/>
    <w:rsid w:val="0003148D"/>
    <w:pPr>
      <w:spacing w:after="120"/>
      <w:ind w:left="849"/>
      <w:contextualSpacing/>
    </w:pPr>
  </w:style>
  <w:style w:type="paragraph" w:styleId="ListContinue4">
    <w:name w:val="List Continue 4"/>
    <w:basedOn w:val="Normal"/>
    <w:uiPriority w:val="99"/>
    <w:semiHidden/>
    <w:unhideWhenUsed/>
    <w:rsid w:val="0003148D"/>
    <w:pPr>
      <w:spacing w:after="120"/>
      <w:ind w:left="1132"/>
      <w:contextualSpacing/>
    </w:pPr>
  </w:style>
  <w:style w:type="paragraph" w:styleId="List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har"/>
    <w:uiPriority w:val="99"/>
    <w:semiHidden/>
    <w:unhideWhenUs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ofFigures">
    <w:name w:val="table of figures"/>
    <w:basedOn w:val="Normal"/>
    <w:next w:val="Normal"/>
    <w:uiPriority w:val="99"/>
    <w:semiHidden/>
    <w:unhideWhenUsed/>
    <w:rsid w:val="0003148D"/>
  </w:style>
  <w:style w:type="paragraph" w:styleId="TableofAuthorities">
    <w:name w:val="table of authorities"/>
    <w:basedOn w:val="Normal"/>
    <w:next w:val="Normal"/>
    <w:uiPriority w:val="99"/>
    <w:semiHidden/>
    <w:unhideWhenUsed/>
    <w:rsid w:val="0003148D"/>
    <w:pPr>
      <w:ind w:left="220" w:hanging="220"/>
    </w:pPr>
  </w:style>
  <w:style w:type="paragraph" w:styleId="EnvelopeAddress">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Number">
    <w:name w:val="List Number"/>
    <w:basedOn w:val="Normal"/>
    <w:uiPriority w:val="99"/>
    <w:semiHidden/>
    <w:unhideWhenUsed/>
    <w:rsid w:val="0003148D"/>
    <w:pPr>
      <w:numPr>
        <w:numId w:val="2"/>
      </w:numPr>
      <w:contextualSpacing/>
    </w:pPr>
  </w:style>
  <w:style w:type="paragraph" w:styleId="ListNumber2">
    <w:name w:val="List Number 2"/>
    <w:basedOn w:val="Normal"/>
    <w:uiPriority w:val="99"/>
    <w:semiHidden/>
    <w:unhideWhenUsed/>
    <w:rsid w:val="0003148D"/>
    <w:pPr>
      <w:numPr>
        <w:numId w:val="3"/>
      </w:numPr>
      <w:contextualSpacing/>
    </w:pPr>
  </w:style>
  <w:style w:type="paragraph" w:styleId="ListNumber3">
    <w:name w:val="List Number 3"/>
    <w:basedOn w:val="Normal"/>
    <w:uiPriority w:val="99"/>
    <w:semiHidden/>
    <w:unhideWhenUsed/>
    <w:rsid w:val="0003148D"/>
    <w:pPr>
      <w:numPr>
        <w:numId w:val="4"/>
      </w:numPr>
      <w:contextualSpacing/>
    </w:pPr>
  </w:style>
  <w:style w:type="paragraph" w:styleId="ListNumber4">
    <w:name w:val="List Number 4"/>
    <w:basedOn w:val="Normal"/>
    <w:uiPriority w:val="99"/>
    <w:semiHidden/>
    <w:unhideWhenUsed/>
    <w:rsid w:val="0003148D"/>
    <w:pPr>
      <w:numPr>
        <w:numId w:val="5"/>
      </w:numPr>
      <w:contextualSpacing/>
    </w:pPr>
  </w:style>
  <w:style w:type="paragraph" w:styleId="ListNumber5">
    <w:name w:val="List Number 5"/>
    <w:basedOn w:val="Normal"/>
    <w:uiPriority w:val="99"/>
    <w:semiHidden/>
    <w:unhideWhenUsed/>
    <w:rsid w:val="0003148D"/>
    <w:pPr>
      <w:numPr>
        <w:numId w:val="6"/>
      </w:numPr>
      <w:contextualSpacing/>
    </w:pPr>
  </w:style>
  <w:style w:type="paragraph" w:styleId="HTMLPreformatted">
    <w:name w:val="HTML Preformatted"/>
    <w:basedOn w:val="Normal"/>
    <w:link w:val="HTMLPreformattedChar"/>
    <w:uiPriority w:val="99"/>
    <w:semiHidden/>
    <w:unhideWhenUs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rsid w:val="0003148D"/>
    <w:pPr>
      <w:numPr>
        <w:numId w:val="7"/>
      </w:numPr>
      <w:contextualSpacing/>
    </w:pPr>
  </w:style>
  <w:style w:type="paragraph" w:styleId="ListBullet2">
    <w:name w:val="List Bullet 2"/>
    <w:basedOn w:val="Normal"/>
    <w:uiPriority w:val="99"/>
    <w:semiHidden/>
    <w:unhideWhenUsed/>
    <w:rsid w:val="0003148D"/>
    <w:pPr>
      <w:numPr>
        <w:numId w:val="8"/>
      </w:numPr>
      <w:contextualSpacing/>
    </w:pPr>
  </w:style>
  <w:style w:type="paragraph" w:styleId="ListBullet3">
    <w:name w:val="List Bullet 3"/>
    <w:basedOn w:val="Normal"/>
    <w:uiPriority w:val="99"/>
    <w:semiHidden/>
    <w:unhideWhenUsed/>
    <w:rsid w:val="0003148D"/>
    <w:pPr>
      <w:numPr>
        <w:numId w:val="9"/>
      </w:numPr>
      <w:contextualSpacing/>
    </w:pPr>
  </w:style>
  <w:style w:type="paragraph" w:styleId="ListBullet4">
    <w:name w:val="List Bullet 4"/>
    <w:basedOn w:val="Normal"/>
    <w:uiPriority w:val="99"/>
    <w:semiHidden/>
    <w:unhideWhenUsed/>
    <w:rsid w:val="0003148D"/>
    <w:pPr>
      <w:numPr>
        <w:numId w:val="10"/>
      </w:numPr>
      <w:contextualSpacing/>
    </w:pPr>
  </w:style>
  <w:style w:type="paragraph" w:styleId="ListBullet5">
    <w:name w:val="List Bullet 5"/>
    <w:basedOn w:val="Normal"/>
    <w:uiPriority w:val="99"/>
    <w:semiHidden/>
    <w:unhideWhenUsed/>
    <w:rsid w:val="0003148D"/>
    <w:pPr>
      <w:numPr>
        <w:numId w:val="11"/>
      </w:numPr>
      <w:contextualSpacing/>
    </w:pPr>
  </w:style>
  <w:style w:type="paragraph" w:styleId="BodyTextIndent2">
    <w:name w:val="Body Text Indent 2"/>
    <w:basedOn w:val="Normal"/>
    <w:link w:val="BodyTextIndent2Char"/>
    <w:uiPriority w:val="99"/>
    <w:semiHidden/>
    <w:unhideWhenUs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rsid w:val="0003148D"/>
    <w:pPr>
      <w:ind w:left="720"/>
    </w:pPr>
  </w:style>
  <w:style w:type="paragraph" w:styleId="CommentText">
    <w:name w:val="annotation text"/>
    <w:basedOn w:val="Normal"/>
    <w:link w:val="CommentTextChar"/>
    <w:uiPriority w:val="99"/>
    <w:unhideWhenUsed/>
    <w:rsid w:val="0003148D"/>
    <w:pPr>
      <w:spacing w:line="240" w:lineRule="auto"/>
    </w:pPr>
  </w:style>
  <w:style w:type="character" w:customStyle="1" w:styleId="CommentTextChar">
    <w:name w:val="Comment Text Char"/>
    <w:basedOn w:val="DefaultParagraphFont"/>
    <w:link w:val="CommentText"/>
    <w:uiPriority w:val="99"/>
    <w:rsid w:val="0003148D"/>
    <w:rPr>
      <w:sz w:val="20"/>
      <w:szCs w:val="20"/>
    </w:rPr>
  </w:style>
  <w:style w:type="paragraph" w:styleId="CommentSubject">
    <w:name w:val="annotation subject"/>
    <w:basedOn w:val="CommentText"/>
    <w:next w:val="CommentText"/>
    <w:link w:val="CommentSubjectChar"/>
    <w:uiPriority w:val="99"/>
    <w:semiHidden/>
    <w:unhideWhenUs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rsid w:val="0003148D"/>
    <w:pPr>
      <w:spacing w:after="100"/>
    </w:pPr>
  </w:style>
  <w:style w:type="paragraph" w:styleId="TOC2">
    <w:name w:val="toc 2"/>
    <w:basedOn w:val="Normal"/>
    <w:next w:val="Normal"/>
    <w:autoRedefine/>
    <w:uiPriority w:val="39"/>
    <w:semiHidden/>
    <w:unhideWhenUsed/>
    <w:rsid w:val="0003148D"/>
    <w:pPr>
      <w:spacing w:after="100"/>
      <w:ind w:left="220"/>
    </w:pPr>
  </w:style>
  <w:style w:type="paragraph" w:styleId="TOC3">
    <w:name w:val="toc 3"/>
    <w:basedOn w:val="Normal"/>
    <w:next w:val="Normal"/>
    <w:autoRedefine/>
    <w:uiPriority w:val="39"/>
    <w:semiHidden/>
    <w:unhideWhenUsed/>
    <w:rsid w:val="0003148D"/>
    <w:pPr>
      <w:spacing w:after="100"/>
      <w:ind w:left="440"/>
    </w:pPr>
  </w:style>
  <w:style w:type="paragraph" w:styleId="TOC4">
    <w:name w:val="toc 4"/>
    <w:basedOn w:val="Normal"/>
    <w:next w:val="Normal"/>
    <w:autoRedefine/>
    <w:uiPriority w:val="39"/>
    <w:semiHidden/>
    <w:unhideWhenUsed/>
    <w:rsid w:val="0003148D"/>
    <w:pPr>
      <w:spacing w:after="100"/>
      <w:ind w:left="660"/>
    </w:pPr>
  </w:style>
  <w:style w:type="paragraph" w:styleId="TOC5">
    <w:name w:val="toc 5"/>
    <w:basedOn w:val="Normal"/>
    <w:next w:val="Normal"/>
    <w:autoRedefine/>
    <w:uiPriority w:val="39"/>
    <w:semiHidden/>
    <w:unhideWhenUsed/>
    <w:rsid w:val="0003148D"/>
    <w:pPr>
      <w:spacing w:after="100"/>
      <w:ind w:left="880"/>
    </w:pPr>
  </w:style>
  <w:style w:type="paragraph" w:styleId="TOC6">
    <w:name w:val="toc 6"/>
    <w:basedOn w:val="Normal"/>
    <w:next w:val="Normal"/>
    <w:autoRedefine/>
    <w:uiPriority w:val="39"/>
    <w:semiHidden/>
    <w:unhideWhenUsed/>
    <w:rsid w:val="0003148D"/>
    <w:pPr>
      <w:spacing w:after="100"/>
      <w:ind w:left="1100"/>
    </w:pPr>
  </w:style>
  <w:style w:type="paragraph" w:styleId="TOC7">
    <w:name w:val="toc 7"/>
    <w:basedOn w:val="Normal"/>
    <w:next w:val="Normal"/>
    <w:autoRedefine/>
    <w:uiPriority w:val="39"/>
    <w:semiHidden/>
    <w:unhideWhenUsed/>
    <w:rsid w:val="0003148D"/>
    <w:pPr>
      <w:spacing w:after="100"/>
      <w:ind w:left="1320"/>
    </w:pPr>
  </w:style>
  <w:style w:type="paragraph" w:styleId="TOC8">
    <w:name w:val="toc 8"/>
    <w:basedOn w:val="Normal"/>
    <w:next w:val="Normal"/>
    <w:autoRedefine/>
    <w:uiPriority w:val="39"/>
    <w:semiHidden/>
    <w:unhideWhenUsed/>
    <w:rsid w:val="0003148D"/>
    <w:pPr>
      <w:spacing w:after="100"/>
      <w:ind w:left="1540"/>
    </w:pPr>
  </w:style>
  <w:style w:type="paragraph" w:styleId="TOC9">
    <w:name w:val="toc 9"/>
    <w:basedOn w:val="Normal"/>
    <w:next w:val="Normal"/>
    <w:autoRedefine/>
    <w:uiPriority w:val="39"/>
    <w:semiHidden/>
    <w:unhideWhenUsed/>
    <w:rsid w:val="0003148D"/>
    <w:pPr>
      <w:spacing w:after="100"/>
      <w:ind w:left="1760"/>
    </w:pPr>
  </w:style>
  <w:style w:type="paragraph" w:styleId="BlockText">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8"/>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Header">
    <w:name w:val="header"/>
    <w:basedOn w:val="Normal"/>
    <w:link w:val="HeaderChar"/>
    <w:uiPriority w:val="99"/>
    <w:unhideWhenUs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4C62"/>
    <w:rPr>
      <w:color w:val="0000FF" w:themeColor="hyperlink"/>
      <w:u w:val="single"/>
    </w:rPr>
  </w:style>
  <w:style w:type="character" w:customStyle="1" w:styleId="eudoraheader">
    <w:name w:val="eudoraheader"/>
    <w:basedOn w:val="DefaultParagraphFon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ListParagraph">
    <w:name w:val="List Paragraph"/>
    <w:basedOn w:val="Normal"/>
    <w:uiPriority w:val="34"/>
    <w:rsid w:val="00280FAF"/>
    <w:pPr>
      <w:ind w:left="720"/>
      <w:contextualSpacing/>
    </w:pPr>
  </w:style>
  <w:style w:type="character" w:customStyle="1" w:styleId="CETHeading1Char">
    <w:name w:val="CET Heading1 Char"/>
    <w:basedOn w:val="DefaultParagraphFont"/>
    <w:link w:val="CETHeading1"/>
    <w:rsid w:val="00AB6D07"/>
    <w:rPr>
      <w:rFonts w:ascii="Arial" w:eastAsia="Times New Roman" w:hAnsi="Arial" w:cs="Times New Roman"/>
      <w:b/>
      <w:sz w:val="20"/>
      <w:szCs w:val="20"/>
      <w:lang w:val="en-US"/>
    </w:rPr>
  </w:style>
  <w:style w:type="table" w:styleId="TableGridLight">
    <w:name w:val="Grid Table Light"/>
    <w:basedOn w:val="TableNormal"/>
    <w:uiPriority w:val="40"/>
    <w:rsid w:val="00D15CE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eop">
    <w:name w:val="eop"/>
    <w:basedOn w:val="DefaultParagraphFont"/>
    <w:rsid w:val="001D17A3"/>
  </w:style>
  <w:style w:type="paragraph" w:styleId="Revision">
    <w:name w:val="Revision"/>
    <w:hidden/>
    <w:uiPriority w:val="99"/>
    <w:semiHidden/>
    <w:rsid w:val="007D31AD"/>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chart" Target="charts/chart1.xml"/><Relationship Id="rId3" Type="http://schemas.openxmlformats.org/officeDocument/2006/relationships/customXml" Target="../customXml/item3.xml"/><Relationship Id="rId21" Type="http://schemas.openxmlformats.org/officeDocument/2006/relationships/hyperlink" Target="http://www.equator-principles.com/"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yperlink" Target="http://www.ghgprotocol.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chart" Target="charts/chart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D:\Users\rabinfra001\Desktop\Istogrammi%20articolo%20FR.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Users\rabinfra001\Desktop\Istogrammi%20articolo%20FR.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0" i="0" u="none" strike="noStrike" kern="1200" spc="0" baseline="0">
                <a:solidFill>
                  <a:schemeClr val="tx1"/>
                </a:solidFill>
                <a:latin typeface="Arial" panose="020B0604020202020204" pitchFamily="34" charset="0"/>
                <a:ea typeface="+mn-ea"/>
                <a:cs typeface="Arial" panose="020B0604020202020204" pitchFamily="34" charset="0"/>
              </a:defRPr>
            </a:pPr>
            <a:r>
              <a:rPr lang="en-US" sz="900"/>
              <a:t>Total Cost (relative units)</a:t>
            </a:r>
          </a:p>
        </c:rich>
      </c:tx>
      <c:layout>
        <c:manualLayout>
          <c:xMode val="edge"/>
          <c:yMode val="edge"/>
          <c:x val="0.23450268844271704"/>
          <c:y val="7.6630413385826768E-2"/>
        </c:manualLayout>
      </c:layout>
      <c:overlay val="0"/>
      <c:spPr>
        <a:noFill/>
        <a:ln>
          <a:noFill/>
        </a:ln>
        <a:effectLst/>
      </c:spPr>
      <c:txPr>
        <a:bodyPr rot="0" spcFirstLastPara="1" vertOverflow="ellipsis" vert="horz" wrap="square" anchor="ctr" anchorCtr="1"/>
        <a:lstStyle/>
        <a:p>
          <a:pPr>
            <a:defRPr sz="900" b="0" i="0" u="none" strike="noStrike" kern="1200" spc="0" baseline="0">
              <a:solidFill>
                <a:schemeClr val="tx1"/>
              </a:solidFill>
              <a:latin typeface="Arial" panose="020B0604020202020204" pitchFamily="34" charset="0"/>
              <a:ea typeface="+mn-ea"/>
              <a:cs typeface="Arial" panose="020B0604020202020204" pitchFamily="34" charset="0"/>
            </a:defRPr>
          </a:pPr>
          <a:endParaRPr lang="en-US"/>
        </a:p>
      </c:txPr>
    </c:title>
    <c:autoTitleDeleted val="0"/>
    <c:plotArea>
      <c:layout>
        <c:manualLayout>
          <c:layoutTarget val="inner"/>
          <c:xMode val="edge"/>
          <c:yMode val="edge"/>
          <c:x val="0.12534949755321506"/>
          <c:y val="0.31562499999999999"/>
          <c:w val="0.81838451779205346"/>
          <c:h val="0.44280167322834646"/>
        </c:manualLayout>
      </c:layout>
      <c:barChart>
        <c:barDir val="col"/>
        <c:grouping val="clustered"/>
        <c:varyColors val="0"/>
        <c:ser>
          <c:idx val="0"/>
          <c:order val="0"/>
          <c:tx>
            <c:strRef>
              <c:f>Sheet1!$C$1</c:f>
              <c:strCache>
                <c:ptCount val="1"/>
                <c:pt idx="0">
                  <c:v>TOTAL COST (A.U.)</c:v>
                </c:pt>
              </c:strCache>
            </c:strRef>
          </c:tx>
          <c:spPr>
            <a:solidFill>
              <a:schemeClr val="tx2">
                <a:lumMod val="60000"/>
                <a:lumOff val="40000"/>
              </a:schemeClr>
            </a:solidFill>
            <a:ln>
              <a:noFill/>
            </a:ln>
            <a:effectLst>
              <a:outerShdw blurRad="50800" dist="38100" dir="2700000" algn="tl" rotWithShape="0">
                <a:prstClr val="black">
                  <a:alpha val="40000"/>
                </a:prstClr>
              </a:outerShdw>
            </a:effectLst>
          </c:spPr>
          <c:invertIfNegative val="0"/>
          <c:cat>
            <c:strRef>
              <c:f>Sheet1!$A$2:$A$4</c:f>
              <c:strCache>
                <c:ptCount val="3"/>
                <c:pt idx="0">
                  <c:v>Base Case</c:v>
                </c:pt>
                <c:pt idx="1">
                  <c:v>Alternative 1
Liquid ring compressor</c:v>
                </c:pt>
                <c:pt idx="2">
                  <c:v>Alternative 2
Ejector</c:v>
                </c:pt>
              </c:strCache>
            </c:strRef>
          </c:cat>
          <c:val>
            <c:numRef>
              <c:f>Sheet1!$C$2:$C$4</c:f>
              <c:numCache>
                <c:formatCode>0.000</c:formatCode>
                <c:ptCount val="3"/>
                <c:pt idx="0" formatCode="General">
                  <c:v>1</c:v>
                </c:pt>
                <c:pt idx="1">
                  <c:v>3.0734374999999998</c:v>
                </c:pt>
                <c:pt idx="2">
                  <c:v>3.0640624999999999</c:v>
                </c:pt>
              </c:numCache>
            </c:numRef>
          </c:val>
          <c:extLst>
            <c:ext xmlns:c16="http://schemas.microsoft.com/office/drawing/2014/chart" uri="{C3380CC4-5D6E-409C-BE32-E72D297353CC}">
              <c16:uniqueId val="{00000000-2263-4A69-B872-90886C824FEE}"/>
            </c:ext>
          </c:extLst>
        </c:ser>
        <c:dLbls>
          <c:showLegendKey val="0"/>
          <c:showVal val="0"/>
          <c:showCatName val="0"/>
          <c:showSerName val="0"/>
          <c:showPercent val="0"/>
          <c:showBubbleSize val="0"/>
        </c:dLbls>
        <c:gapWidth val="219"/>
        <c:overlap val="-27"/>
        <c:axId val="1905250831"/>
        <c:axId val="1905251247"/>
      </c:barChart>
      <c:catAx>
        <c:axId val="1905250831"/>
        <c:scaling>
          <c:orientation val="minMax"/>
        </c:scaling>
        <c:delete val="0"/>
        <c:axPos val="b"/>
        <c:numFmt formatCode="General" sourceLinked="1"/>
        <c:majorTickMark val="none"/>
        <c:minorTickMark val="none"/>
        <c:tickLblPos val="nextTo"/>
        <c:spPr>
          <a:noFill/>
          <a:ln w="9525" cap="flat" cmpd="sng" algn="ctr">
            <a:solidFill>
              <a:schemeClr val="bg1">
                <a:lumMod val="50000"/>
              </a:schemeClr>
            </a:solidFill>
            <a:round/>
          </a:ln>
          <a:effectLst/>
        </c:spPr>
        <c:txPr>
          <a:bodyPr rot="-60000000" spcFirstLastPara="1" vertOverflow="ellipsis" vert="horz" wrap="square" anchor="ctr" anchorCtr="1"/>
          <a:lstStyle/>
          <a:p>
            <a:pPr>
              <a:defRPr sz="8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905251247"/>
        <c:crosses val="autoZero"/>
        <c:auto val="1"/>
        <c:lblAlgn val="ctr"/>
        <c:lblOffset val="100"/>
        <c:noMultiLvlLbl val="0"/>
      </c:catAx>
      <c:valAx>
        <c:axId val="1905251247"/>
        <c:scaling>
          <c:orientation val="minMax"/>
        </c:scaling>
        <c:delete val="0"/>
        <c:axPos val="l"/>
        <c:majorGridlines>
          <c:spPr>
            <a:ln w="6350" cap="flat" cmpd="sng" algn="ctr">
              <a:solidFill>
                <a:schemeClr val="tx1">
                  <a:lumMod val="15000"/>
                  <a:lumOff val="85000"/>
                </a:schemeClr>
              </a:solidFill>
              <a:round/>
            </a:ln>
            <a:effectLst/>
          </c:spPr>
        </c:majorGridlines>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905250831"/>
        <c:crosses val="autoZero"/>
        <c:crossBetween val="between"/>
        <c:majorUnit val="1"/>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chemeClr val="tx1"/>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80" b="0" i="0" u="none" strike="noStrike" kern="1200" spc="0" baseline="0">
                <a:solidFill>
                  <a:schemeClr val="tx1"/>
                </a:solidFill>
                <a:latin typeface="Arial" panose="020B0604020202020204" pitchFamily="34" charset="0"/>
                <a:ea typeface="+mn-ea"/>
                <a:cs typeface="Arial" panose="020B0604020202020204" pitchFamily="34" charset="0"/>
              </a:defRPr>
            </a:pPr>
            <a:r>
              <a:rPr lang="en-US" sz="900"/>
              <a:t>Energy consumption and GHG emissions</a:t>
            </a:r>
          </a:p>
        </c:rich>
      </c:tx>
      <c:overlay val="0"/>
      <c:spPr>
        <a:noFill/>
        <a:ln>
          <a:noFill/>
        </a:ln>
        <a:effectLst/>
      </c:spPr>
      <c:txPr>
        <a:bodyPr rot="0" spcFirstLastPara="1" vertOverflow="ellipsis" vert="horz" wrap="square" anchor="ctr" anchorCtr="1"/>
        <a:lstStyle/>
        <a:p>
          <a:pPr>
            <a:defRPr sz="1080" b="0" i="0" u="none" strike="noStrike" kern="1200" spc="0" baseline="0">
              <a:solidFill>
                <a:schemeClr val="tx1"/>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tx>
            <c:strRef>
              <c:f>Sheet1!$D$1</c:f>
              <c:strCache>
                <c:ptCount val="1"/>
                <c:pt idx="0">
                  <c:v>Power (kW)</c:v>
                </c:pt>
              </c:strCache>
            </c:strRef>
          </c:tx>
          <c:spPr>
            <a:solidFill>
              <a:schemeClr val="tx2">
                <a:lumMod val="60000"/>
                <a:lumOff val="40000"/>
              </a:schemeClr>
            </a:solidFill>
            <a:ln>
              <a:noFill/>
            </a:ln>
            <a:effectLst>
              <a:outerShdw blurRad="50800" dist="38100" dir="2700000" algn="tl" rotWithShape="0">
                <a:prstClr val="black">
                  <a:alpha val="40000"/>
                </a:prstClr>
              </a:outerShdw>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Base Case</c:v>
                </c:pt>
                <c:pt idx="1">
                  <c:v>Alternative 1
Liquid ring compressor</c:v>
                </c:pt>
                <c:pt idx="2">
                  <c:v>Alternative 2
Ejector</c:v>
                </c:pt>
              </c:strCache>
            </c:strRef>
          </c:cat>
          <c:val>
            <c:numRef>
              <c:f>Sheet1!$D$2:$D$4</c:f>
              <c:numCache>
                <c:formatCode>General</c:formatCode>
                <c:ptCount val="3"/>
                <c:pt idx="0">
                  <c:v>3274</c:v>
                </c:pt>
                <c:pt idx="1">
                  <c:v>53</c:v>
                </c:pt>
                <c:pt idx="2">
                  <c:v>61</c:v>
                </c:pt>
              </c:numCache>
            </c:numRef>
          </c:val>
          <c:extLst>
            <c:ext xmlns:c16="http://schemas.microsoft.com/office/drawing/2014/chart" uri="{C3380CC4-5D6E-409C-BE32-E72D297353CC}">
              <c16:uniqueId val="{00000000-B0D5-4D3E-B077-0EFF90174573}"/>
            </c:ext>
          </c:extLst>
        </c:ser>
        <c:ser>
          <c:idx val="1"/>
          <c:order val="1"/>
          <c:tx>
            <c:strRef>
              <c:f>Sheet1!$E$1</c:f>
              <c:strCache>
                <c:ptCount val="1"/>
                <c:pt idx="0">
                  <c:v>GHG emissions (tCO2eq/y)</c:v>
                </c:pt>
              </c:strCache>
            </c:strRef>
          </c:tx>
          <c:spPr>
            <a:solidFill>
              <a:schemeClr val="accent6">
                <a:lumMod val="75000"/>
              </a:schemeClr>
            </a:solidFill>
            <a:ln>
              <a:noFill/>
            </a:ln>
            <a:effectLst>
              <a:outerShdw blurRad="50800" dist="38100" dir="2700000" algn="tl" rotWithShape="0">
                <a:prstClr val="black">
                  <a:alpha val="40000"/>
                </a:prstClr>
              </a:outerShdw>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Base Case</c:v>
                </c:pt>
                <c:pt idx="1">
                  <c:v>Alternative 1
Liquid ring compressor</c:v>
                </c:pt>
                <c:pt idx="2">
                  <c:v>Alternative 2
Ejector</c:v>
                </c:pt>
              </c:strCache>
            </c:strRef>
          </c:cat>
          <c:val>
            <c:numRef>
              <c:f>Sheet1!$E$2:$E$4</c:f>
              <c:numCache>
                <c:formatCode>General</c:formatCode>
                <c:ptCount val="3"/>
                <c:pt idx="0">
                  <c:v>5579</c:v>
                </c:pt>
                <c:pt idx="1">
                  <c:v>381</c:v>
                </c:pt>
                <c:pt idx="2">
                  <c:v>438</c:v>
                </c:pt>
              </c:numCache>
            </c:numRef>
          </c:val>
          <c:extLst>
            <c:ext xmlns:c16="http://schemas.microsoft.com/office/drawing/2014/chart" uri="{C3380CC4-5D6E-409C-BE32-E72D297353CC}">
              <c16:uniqueId val="{00000001-B0D5-4D3E-B077-0EFF90174573}"/>
            </c:ext>
          </c:extLst>
        </c:ser>
        <c:dLbls>
          <c:dLblPos val="outEnd"/>
          <c:showLegendKey val="0"/>
          <c:showVal val="1"/>
          <c:showCatName val="0"/>
          <c:showSerName val="0"/>
          <c:showPercent val="0"/>
          <c:showBubbleSize val="0"/>
        </c:dLbls>
        <c:gapWidth val="219"/>
        <c:overlap val="-27"/>
        <c:axId val="1189767119"/>
        <c:axId val="1189768783"/>
      </c:barChart>
      <c:catAx>
        <c:axId val="1189767119"/>
        <c:scaling>
          <c:orientation val="minMax"/>
        </c:scaling>
        <c:delete val="0"/>
        <c:axPos val="b"/>
        <c:numFmt formatCode="General" sourceLinked="1"/>
        <c:majorTickMark val="none"/>
        <c:minorTickMark val="none"/>
        <c:tickLblPos val="nextTo"/>
        <c:spPr>
          <a:noFill/>
          <a:ln w="9525" cap="flat" cmpd="sng" algn="ctr">
            <a:solidFill>
              <a:schemeClr val="bg1">
                <a:lumMod val="50000"/>
              </a:schemeClr>
            </a:solidFill>
            <a:round/>
          </a:ln>
          <a:effectLst/>
        </c:spPr>
        <c:txPr>
          <a:bodyPr rot="-60000000" spcFirstLastPara="1" vertOverflow="ellipsis" vert="horz" wrap="square" anchor="ctr" anchorCtr="1"/>
          <a:lstStyle/>
          <a:p>
            <a:pPr>
              <a:defRPr sz="8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189768783"/>
        <c:crosses val="autoZero"/>
        <c:auto val="1"/>
        <c:lblAlgn val="ctr"/>
        <c:lblOffset val="100"/>
        <c:noMultiLvlLbl val="0"/>
      </c:catAx>
      <c:valAx>
        <c:axId val="118976878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189767119"/>
        <c:crosses val="autoZero"/>
        <c:crossBetween val="between"/>
      </c:valAx>
      <c:spPr>
        <a:noFill/>
        <a:ln>
          <a:noFill/>
        </a:ln>
        <a:effectLst/>
      </c:spPr>
    </c:plotArea>
    <c:legend>
      <c:legendPos val="t"/>
      <c:layout>
        <c:manualLayout>
          <c:xMode val="edge"/>
          <c:yMode val="edge"/>
          <c:x val="8.3863132361969878E-2"/>
          <c:y val="0.12464587222988879"/>
          <c:w val="0.83227339978327164"/>
          <c:h val="9.5654578293692671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900">
          <a:solidFill>
            <a:schemeClr val="tx1"/>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343FC75BD388459A68D913AA8A2490" ma:contentTypeVersion="8" ma:contentTypeDescription="Create a new document." ma:contentTypeScope="" ma:versionID="419f4d9509927b797b9a89ad9905359e">
  <xsd:schema xmlns:xsd="http://www.w3.org/2001/XMLSchema" xmlns:xs="http://www.w3.org/2001/XMLSchema" xmlns:p="http://schemas.microsoft.com/office/2006/metadata/properties" xmlns:ns2="98ab6d43-26d7-4fdd-ba24-c05744875fce" targetNamespace="http://schemas.microsoft.com/office/2006/metadata/properties" ma:root="true" ma:fieldsID="3d54a190dd026afdf4abe522aa3733d1" ns2:_="">
    <xsd:import namespace="98ab6d43-26d7-4fdd-ba24-c05744875fc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ab6d43-26d7-4fdd-ba24-c05744875f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13F950-84A5-4426-9898-25F4B3358A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ab6d43-26d7-4fdd-ba24-c05744875f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customXml/itemProps3.xml><?xml version="1.0" encoding="utf-8"?>
<ds:datastoreItem xmlns:ds="http://schemas.openxmlformats.org/officeDocument/2006/customXml" ds:itemID="{7CA54592-C93F-4F82-9553-46691B06C45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D293287-A1EB-435B-849C-936BCF677F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315</TotalTime>
  <Pages>8</Pages>
  <Words>3355</Words>
  <Characters>19130</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Dipartimento CMIC - Politecnico di Milano</Company>
  <LinksUpToDate>false</LinksUpToDate>
  <CharactersWithSpaces>22441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Improving Energy Efficiency and Identifying Low-Carbon footprint solutions at early plant design stage</dc:title>
  <dc:subject/>
  <dc:creator>B.Picutti@tecnimont.it</dc:creator>
  <cp:keywords/>
  <cp:lastModifiedBy>Rabino Francesca</cp:lastModifiedBy>
  <cp:revision>57</cp:revision>
  <cp:lastPrinted>2022-07-01T07:13:00Z</cp:lastPrinted>
  <dcterms:created xsi:type="dcterms:W3CDTF">2022-06-30T11:35:00Z</dcterms:created>
  <dcterms:modified xsi:type="dcterms:W3CDTF">2022-07-01T07:13:00Z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ContentTypeId">
    <vt:lpwstr>0x010100ED343FC75BD388459A68D913AA8A2490</vt:lpwstr>
  </property>
  <property fmtid="{D5CDD505-2E9C-101B-9397-08002B2CF9AE}" pid="5" name="MSIP_Label_e18d9558-26a3-4f93-8788-04a494c05692_Enabled">
    <vt:lpwstr>true</vt:lpwstr>
  </property>
  <property fmtid="{D5CDD505-2E9C-101B-9397-08002B2CF9AE}" pid="6" name="MSIP_Label_e18d9558-26a3-4f93-8788-04a494c05692_SetDate">
    <vt:lpwstr>2022-06-24T15:21:51Z</vt:lpwstr>
  </property>
  <property fmtid="{D5CDD505-2E9C-101B-9397-08002B2CF9AE}" pid="7" name="MSIP_Label_e18d9558-26a3-4f93-8788-04a494c05692_Method">
    <vt:lpwstr>Standard</vt:lpwstr>
  </property>
  <property fmtid="{D5CDD505-2E9C-101B-9397-08002B2CF9AE}" pid="8" name="MSIP_Label_e18d9558-26a3-4f93-8788-04a494c05692_Name">
    <vt:lpwstr>e18d9558-26a3-4f93-8788-04a494c05692</vt:lpwstr>
  </property>
  <property fmtid="{D5CDD505-2E9C-101B-9397-08002B2CF9AE}" pid="9" name="MSIP_Label_e18d9558-26a3-4f93-8788-04a494c05692_SiteId">
    <vt:lpwstr>7cc91888-5aa0-49e5-a836-22cda2eae0fc</vt:lpwstr>
  </property>
  <property fmtid="{D5CDD505-2E9C-101B-9397-08002B2CF9AE}" pid="10" name="MSIP_Label_e18d9558-26a3-4f93-8788-04a494c05692_ActionId">
    <vt:lpwstr>4b7d701f-d736-4341-b638-2600a860d3a9</vt:lpwstr>
  </property>
  <property fmtid="{D5CDD505-2E9C-101B-9397-08002B2CF9AE}" pid="11" name="MSIP_Label_e18d9558-26a3-4f93-8788-04a494c05692_ContentBits">
    <vt:lpwstr>0</vt:lpwstr>
  </property>
</Properties>
</file>