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113D57">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rPr>
                <w:rFonts w:cs="Arial"/>
                <w:b/>
                <w:bCs/>
                <w:i/>
                <w:iCs/>
                <w:color w:val="000066"/>
                <w:sz w:val="12"/>
                <w:szCs w:val="12"/>
                <w:lang w:eastAsia="it-IT"/>
              </w:rPr>
            </w:pPr>
            <w:r w:rsidRPr="00B57B36">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lang w:eastAsia="it-IT"/>
              </w:rPr>
              <w:t>CHEMICAL ENGINEERING</w:t>
            </w:r>
            <w:r w:rsidRPr="00B57B36">
              <w:rPr>
                <w:rFonts w:cs="Arial"/>
                <w:b/>
                <w:bCs/>
                <w:i/>
                <w:iCs/>
                <w:color w:val="0033FF"/>
                <w:lang w:eastAsia="it-IT"/>
              </w:rPr>
              <w:t xml:space="preserve"> </w:t>
            </w:r>
            <w:r w:rsidRPr="00B57B36">
              <w:rPr>
                <w:rFonts w:cs="Arial"/>
                <w:b/>
                <w:bCs/>
                <w:i/>
                <w:iCs/>
                <w:color w:val="666666"/>
                <w:lang w:eastAsia="it-IT"/>
              </w:rPr>
              <w:t>TRANSACTIONS</w:t>
            </w:r>
            <w:r w:rsidRPr="00B57B36">
              <w:rPr>
                <w:color w:val="333333"/>
                <w:lang w:eastAsia="it-IT"/>
              </w:rPr>
              <w:t xml:space="preserve"> </w:t>
            </w:r>
            <w:r w:rsidRPr="00B57B36">
              <w:rPr>
                <w:rFonts w:cs="Arial"/>
                <w:b/>
                <w:bCs/>
                <w:i/>
                <w:iCs/>
                <w:color w:val="000066"/>
                <w:sz w:val="27"/>
                <w:szCs w:val="27"/>
                <w:lang w:eastAsia="it-IT"/>
              </w:rPr>
              <w:br/>
            </w:r>
          </w:p>
          <w:p w14:paraId="4B780582" w14:textId="2ABE30D6"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4C3D84">
              <w:rPr>
                <w:rFonts w:cs="Arial"/>
                <w:b/>
                <w:bCs/>
                <w:i/>
                <w:iCs/>
                <w:color w:val="000066"/>
                <w:sz w:val="22"/>
                <w:szCs w:val="22"/>
                <w:lang w:eastAsia="it-IT"/>
              </w:rPr>
              <w:t>6</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 xml:space="preserve">A </w:t>
            </w:r>
            <w:proofErr w:type="spellStart"/>
            <w:r w:rsidRPr="00B57B36">
              <w:rPr>
                <w:rFonts w:cs="Arial"/>
                <w:sz w:val="14"/>
                <w:szCs w:val="14"/>
              </w:rPr>
              <w:t>publication</w:t>
            </w:r>
            <w:proofErr w:type="spellEnd"/>
            <w:r w:rsidRPr="00B57B36">
              <w:rPr>
                <w:rFonts w:cs="Arial"/>
                <w:sz w:val="14"/>
                <w:szCs w:val="14"/>
              </w:rPr>
              <w:t xml:space="preserve"> of</w:t>
            </w:r>
          </w:p>
          <w:p w14:paraId="599E5441" w14:textId="77777777" w:rsidR="000A03B2" w:rsidRPr="00B57B36" w:rsidRDefault="000A03B2" w:rsidP="00CD5FE2">
            <w:pPr>
              <w:jc w:val="right"/>
            </w:pPr>
            <w:r w:rsidRPr="00B57B36">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67977" w14:paraId="380FA3CD" w14:textId="77777777" w:rsidTr="00113D57">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C73604" w:rsidRDefault="000A03B2" w:rsidP="00CD5FE2">
            <w:pPr>
              <w:spacing w:line="140" w:lineRule="atLeast"/>
              <w:jc w:val="right"/>
              <w:rPr>
                <w:rFonts w:cs="Arial"/>
                <w:sz w:val="14"/>
                <w:szCs w:val="14"/>
                <w:lang w:val="en-US"/>
              </w:rPr>
            </w:pPr>
            <w:r w:rsidRPr="00C73604">
              <w:rPr>
                <w:rFonts w:cs="Arial"/>
                <w:sz w:val="14"/>
                <w:szCs w:val="14"/>
                <w:lang w:val="en-US"/>
              </w:rPr>
              <w:t>The Italian Association</w:t>
            </w:r>
          </w:p>
          <w:p w14:paraId="7522B1D2" w14:textId="77777777" w:rsidR="000A03B2" w:rsidRPr="00C73604" w:rsidRDefault="000A03B2" w:rsidP="00CD5FE2">
            <w:pPr>
              <w:spacing w:line="140" w:lineRule="atLeast"/>
              <w:jc w:val="right"/>
              <w:rPr>
                <w:rFonts w:cs="Arial"/>
                <w:sz w:val="14"/>
                <w:szCs w:val="14"/>
                <w:lang w:val="en-US"/>
              </w:rPr>
            </w:pPr>
            <w:r w:rsidRPr="00C73604">
              <w:rPr>
                <w:rFonts w:cs="Arial"/>
                <w:sz w:val="14"/>
                <w:szCs w:val="14"/>
                <w:lang w:val="en-US"/>
              </w:rPr>
              <w:t>of Chemical Engineering</w:t>
            </w:r>
          </w:p>
          <w:p w14:paraId="4F0CC5DE" w14:textId="47FDB2FC" w:rsidR="000A03B2" w:rsidRPr="00C73604" w:rsidRDefault="000D0268" w:rsidP="00CD5FE2">
            <w:pPr>
              <w:spacing w:line="140" w:lineRule="atLeast"/>
              <w:jc w:val="right"/>
              <w:rPr>
                <w:rFonts w:cs="Arial"/>
                <w:sz w:val="13"/>
                <w:szCs w:val="13"/>
                <w:lang w:val="en-US"/>
              </w:rPr>
            </w:pPr>
            <w:r w:rsidRPr="00C73604">
              <w:rPr>
                <w:rFonts w:cs="Arial"/>
                <w:sz w:val="13"/>
                <w:szCs w:val="13"/>
                <w:lang w:val="en-US"/>
              </w:rPr>
              <w:t>Online at www.cetjournal.it</w:t>
            </w:r>
          </w:p>
        </w:tc>
      </w:tr>
      <w:tr w:rsidR="000A03B2" w:rsidRPr="00B67977" w14:paraId="2D1B7169" w14:textId="77777777" w:rsidTr="00113D57">
        <w:trPr>
          <w:trHeight w:val="68"/>
          <w:jc w:val="center"/>
        </w:trPr>
        <w:tc>
          <w:tcPr>
            <w:tcW w:w="8782" w:type="dxa"/>
            <w:gridSpan w:val="2"/>
          </w:tcPr>
          <w:p w14:paraId="4B0BB442" w14:textId="2E218E1D" w:rsidR="00300E56" w:rsidRPr="0044071E" w:rsidRDefault="00300E56" w:rsidP="00B57E6F">
            <w:pPr>
              <w:ind w:left="-107"/>
              <w:outlineLvl w:val="2"/>
              <w:rPr>
                <w:rFonts w:ascii="Tahoma" w:hAnsi="Tahoma" w:cs="Tahoma"/>
                <w:bCs/>
                <w:color w:val="000000"/>
                <w:sz w:val="14"/>
                <w:szCs w:val="14"/>
                <w:lang w:eastAsia="it-IT"/>
              </w:rPr>
            </w:pPr>
            <w:r w:rsidRPr="0044071E">
              <w:rPr>
                <w:rFonts w:ascii="Tahoma" w:hAnsi="Tahoma" w:cs="Tahoma"/>
                <w:iCs/>
                <w:color w:val="333333"/>
                <w:sz w:val="14"/>
                <w:szCs w:val="14"/>
                <w:lang w:eastAsia="it-IT"/>
              </w:rPr>
              <w:t>Guest Editors:</w:t>
            </w:r>
            <w:r w:rsidR="001D21AF" w:rsidRPr="0044071E">
              <w:rPr>
                <w:rFonts w:ascii="Tahoma" w:hAnsi="Tahoma" w:cs="Tahoma"/>
                <w:color w:val="000000"/>
                <w:sz w:val="14"/>
                <w:szCs w:val="14"/>
                <w:shd w:val="clear" w:color="auto" w:fill="FFFFFF"/>
              </w:rPr>
              <w:t xml:space="preserve"> </w:t>
            </w:r>
            <w:r w:rsidR="004C3D84" w:rsidRPr="00A7223D">
              <w:rPr>
                <w:sz w:val="14"/>
                <w:szCs w:val="14"/>
              </w:rPr>
              <w:t>David Bogle, Flavio Manenti, Piero Salatino</w:t>
            </w:r>
          </w:p>
          <w:p w14:paraId="1B0F1814" w14:textId="17CEC68E" w:rsidR="000A03B2" w:rsidRPr="00C73604" w:rsidRDefault="00FA5F5F" w:rsidP="001D21AF">
            <w:pPr>
              <w:tabs>
                <w:tab w:val="left" w:pos="-108"/>
              </w:tabs>
              <w:spacing w:line="140" w:lineRule="atLeast"/>
              <w:ind w:left="-107"/>
              <w:rPr>
                <w:lang w:val="en-US"/>
              </w:rPr>
            </w:pPr>
            <w:r w:rsidRPr="00C73604">
              <w:rPr>
                <w:rFonts w:ascii="Tahoma" w:hAnsi="Tahoma" w:cs="Tahoma"/>
                <w:iCs/>
                <w:color w:val="333333"/>
                <w:sz w:val="14"/>
                <w:szCs w:val="14"/>
                <w:lang w:val="en-US" w:eastAsia="it-IT"/>
              </w:rPr>
              <w:t>Copyright © 20</w:t>
            </w:r>
            <w:r w:rsidR="00DF5072" w:rsidRPr="00C73604">
              <w:rPr>
                <w:rFonts w:ascii="Tahoma" w:hAnsi="Tahoma" w:cs="Tahoma"/>
                <w:iCs/>
                <w:color w:val="333333"/>
                <w:sz w:val="14"/>
                <w:szCs w:val="14"/>
                <w:lang w:val="en-US" w:eastAsia="it-IT"/>
              </w:rPr>
              <w:t>2</w:t>
            </w:r>
            <w:r w:rsidR="00E72EAD" w:rsidRPr="00C73604">
              <w:rPr>
                <w:rFonts w:ascii="Tahoma" w:hAnsi="Tahoma" w:cs="Tahoma"/>
                <w:iCs/>
                <w:color w:val="333333"/>
                <w:sz w:val="14"/>
                <w:szCs w:val="14"/>
                <w:lang w:val="en-US" w:eastAsia="it-IT"/>
              </w:rPr>
              <w:t>2</w:t>
            </w:r>
            <w:r w:rsidR="00904C62" w:rsidRPr="00C73604">
              <w:rPr>
                <w:rFonts w:ascii="Tahoma" w:hAnsi="Tahoma" w:cs="Tahoma"/>
                <w:iCs/>
                <w:color w:val="333333"/>
                <w:sz w:val="14"/>
                <w:szCs w:val="14"/>
                <w:lang w:val="en-US" w:eastAsia="it-IT"/>
              </w:rPr>
              <w:t>, AIDIC Servizi S.r.l.</w:t>
            </w:r>
            <w:r w:rsidR="00300E56" w:rsidRPr="00C73604">
              <w:rPr>
                <w:rFonts w:ascii="Tahoma" w:hAnsi="Tahoma" w:cs="Tahoma"/>
                <w:iCs/>
                <w:color w:val="333333"/>
                <w:sz w:val="14"/>
                <w:szCs w:val="14"/>
                <w:lang w:val="en-US" w:eastAsia="it-IT"/>
              </w:rPr>
              <w:br/>
            </w:r>
            <w:r w:rsidR="00300E56" w:rsidRPr="00C73604">
              <w:rPr>
                <w:rFonts w:ascii="Tahoma" w:hAnsi="Tahoma" w:cs="Tahoma"/>
                <w:b/>
                <w:iCs/>
                <w:color w:val="000000"/>
                <w:sz w:val="14"/>
                <w:szCs w:val="14"/>
                <w:lang w:val="en-US" w:eastAsia="it-IT"/>
              </w:rPr>
              <w:t>ISBN</w:t>
            </w:r>
            <w:r w:rsidR="00300E56" w:rsidRPr="00C73604">
              <w:rPr>
                <w:rFonts w:ascii="Tahoma" w:hAnsi="Tahoma" w:cs="Tahoma"/>
                <w:iCs/>
                <w:color w:val="000000"/>
                <w:sz w:val="14"/>
                <w:szCs w:val="14"/>
                <w:lang w:val="en-US" w:eastAsia="it-IT"/>
              </w:rPr>
              <w:t xml:space="preserve"> </w:t>
            </w:r>
            <w:r w:rsidR="008D32B9" w:rsidRPr="00C73604">
              <w:rPr>
                <w:rFonts w:ascii="Tahoma" w:hAnsi="Tahoma" w:cs="Tahoma"/>
                <w:sz w:val="14"/>
                <w:szCs w:val="14"/>
                <w:lang w:val="en-US"/>
              </w:rPr>
              <w:t>978-88-95608</w:t>
            </w:r>
            <w:r w:rsidR="00D46B7E" w:rsidRPr="00C73604">
              <w:rPr>
                <w:rFonts w:ascii="Tahoma" w:hAnsi="Tahoma" w:cs="Tahoma"/>
                <w:sz w:val="14"/>
                <w:szCs w:val="14"/>
                <w:lang w:val="en-US"/>
              </w:rPr>
              <w:t>-</w:t>
            </w:r>
            <w:r w:rsidR="001D21AF" w:rsidRPr="00C73604">
              <w:rPr>
                <w:rFonts w:ascii="Tahoma" w:hAnsi="Tahoma" w:cs="Tahoma"/>
                <w:sz w:val="14"/>
                <w:szCs w:val="14"/>
                <w:lang w:val="en-US"/>
              </w:rPr>
              <w:t>9</w:t>
            </w:r>
            <w:r w:rsidR="008D4A16" w:rsidRPr="00C73604">
              <w:rPr>
                <w:rFonts w:ascii="Tahoma" w:hAnsi="Tahoma" w:cs="Tahoma"/>
                <w:sz w:val="14"/>
                <w:szCs w:val="14"/>
                <w:lang w:val="en-US"/>
              </w:rPr>
              <w:t>5</w:t>
            </w:r>
            <w:r w:rsidR="00D46B7E" w:rsidRPr="00C73604">
              <w:rPr>
                <w:rFonts w:ascii="Tahoma" w:hAnsi="Tahoma" w:cs="Tahoma"/>
                <w:sz w:val="14"/>
                <w:szCs w:val="14"/>
                <w:lang w:val="en-US"/>
              </w:rPr>
              <w:t>-</w:t>
            </w:r>
            <w:r w:rsidR="008D4A16" w:rsidRPr="00C73604">
              <w:rPr>
                <w:rFonts w:ascii="Tahoma" w:hAnsi="Tahoma" w:cs="Tahoma"/>
                <w:sz w:val="14"/>
                <w:szCs w:val="14"/>
                <w:lang w:val="en-US"/>
              </w:rPr>
              <w:t>2</w:t>
            </w:r>
            <w:r w:rsidR="007B48F9" w:rsidRPr="00C73604">
              <w:rPr>
                <w:rFonts w:ascii="Tahoma" w:hAnsi="Tahoma" w:cs="Tahoma"/>
                <w:iCs/>
                <w:color w:val="333333"/>
                <w:sz w:val="14"/>
                <w:szCs w:val="14"/>
                <w:lang w:val="en-US" w:eastAsia="it-IT"/>
              </w:rPr>
              <w:t>;</w:t>
            </w:r>
            <w:r w:rsidR="00300E56" w:rsidRPr="00C73604">
              <w:rPr>
                <w:rFonts w:ascii="Tahoma" w:hAnsi="Tahoma" w:cs="Tahoma"/>
                <w:iCs/>
                <w:color w:val="333333"/>
                <w:sz w:val="14"/>
                <w:szCs w:val="14"/>
                <w:lang w:val="en-US" w:eastAsia="it-IT"/>
              </w:rPr>
              <w:t xml:space="preserve"> </w:t>
            </w:r>
            <w:r w:rsidR="00300E56" w:rsidRPr="00C73604">
              <w:rPr>
                <w:rFonts w:ascii="Tahoma" w:hAnsi="Tahoma" w:cs="Tahoma"/>
                <w:b/>
                <w:iCs/>
                <w:color w:val="333333"/>
                <w:sz w:val="14"/>
                <w:szCs w:val="14"/>
                <w:lang w:val="en-US" w:eastAsia="it-IT"/>
              </w:rPr>
              <w:t>ISSN</w:t>
            </w:r>
            <w:r w:rsidR="00300E56" w:rsidRPr="00C73604">
              <w:rPr>
                <w:rFonts w:ascii="Tahoma" w:hAnsi="Tahoma" w:cs="Tahoma"/>
                <w:iCs/>
                <w:color w:val="333333"/>
                <w:sz w:val="14"/>
                <w:szCs w:val="14"/>
                <w:lang w:val="en-US" w:eastAsia="it-IT"/>
              </w:rPr>
              <w:t xml:space="preserve"> 2283-9216</w:t>
            </w:r>
          </w:p>
        </w:tc>
      </w:tr>
    </w:tbl>
    <w:p w14:paraId="2E667253" w14:textId="08AA38B5" w:rsidR="00E978D0" w:rsidRPr="00B57B36" w:rsidRDefault="00113D57" w:rsidP="00E978D0">
      <w:pPr>
        <w:pStyle w:val="CETTitle"/>
      </w:pPr>
      <w:r w:rsidRPr="00113D57">
        <w:t>Waste recovery and decarbonization: a sustainable synergy</w:t>
      </w:r>
    </w:p>
    <w:p w14:paraId="7BF08190" w14:textId="7EBFCFE8" w:rsidR="00113D57" w:rsidRDefault="00113D57" w:rsidP="00B57E6F">
      <w:pPr>
        <w:pStyle w:val="CETAddress"/>
        <w:rPr>
          <w:sz w:val="24"/>
          <w:lang w:val="it-IT"/>
        </w:rPr>
      </w:pPr>
      <w:r w:rsidRPr="00113D57">
        <w:rPr>
          <w:sz w:val="24"/>
          <w:lang w:val="it-IT"/>
        </w:rPr>
        <w:t>Maria Laura Mastellone</w:t>
      </w:r>
      <w:r w:rsidR="004C414E">
        <w:rPr>
          <w:sz w:val="24"/>
          <w:lang w:val="it-IT"/>
        </w:rPr>
        <w:t>*</w:t>
      </w:r>
      <w:r w:rsidRPr="00113D57">
        <w:rPr>
          <w:sz w:val="24"/>
          <w:vertAlign w:val="superscript"/>
          <w:lang w:val="it-IT"/>
        </w:rPr>
        <w:t>a</w:t>
      </w:r>
      <w:r w:rsidRPr="00113D57">
        <w:rPr>
          <w:sz w:val="24"/>
          <w:lang w:val="it-IT"/>
        </w:rPr>
        <w:t xml:space="preserve"> Michele Di Padova</w:t>
      </w:r>
      <w:r w:rsidRPr="00113D57">
        <w:rPr>
          <w:sz w:val="24"/>
          <w:vertAlign w:val="superscript"/>
          <w:lang w:val="it-IT"/>
        </w:rPr>
        <w:t>b</w:t>
      </w:r>
      <w:r w:rsidRPr="00113D57">
        <w:rPr>
          <w:sz w:val="24"/>
          <w:lang w:val="it-IT"/>
        </w:rPr>
        <w:t>, Lucio Zaccariello</w:t>
      </w:r>
      <w:r w:rsidRPr="00113D57">
        <w:rPr>
          <w:sz w:val="24"/>
          <w:vertAlign w:val="superscript"/>
          <w:lang w:val="it-IT"/>
        </w:rPr>
        <w:t>a</w:t>
      </w:r>
    </w:p>
    <w:p w14:paraId="0AEE6261" w14:textId="33A7778E" w:rsidR="00113D57" w:rsidRPr="004C414E" w:rsidRDefault="00B57E6F" w:rsidP="00113D57">
      <w:pPr>
        <w:pStyle w:val="CETAddress"/>
        <w:rPr>
          <w:lang w:val="it-IT"/>
        </w:rPr>
      </w:pPr>
      <w:r w:rsidRPr="004C414E">
        <w:rPr>
          <w:vertAlign w:val="superscript"/>
          <w:lang w:val="it-IT"/>
        </w:rPr>
        <w:t>a</w:t>
      </w:r>
      <w:r w:rsidR="00113D57" w:rsidRPr="004C414E">
        <w:rPr>
          <w:lang w:val="it-IT"/>
        </w:rPr>
        <w:t xml:space="preserve"> DiSTABiF – Università della Campania Luigi Vanvitelli, Via Vivaldi 43, 8100 Caserta Italy</w:t>
      </w:r>
    </w:p>
    <w:p w14:paraId="6B2D21B3" w14:textId="5E1BBA6A" w:rsidR="00B57E6F" w:rsidRPr="00721A1F" w:rsidRDefault="00113D57" w:rsidP="00113D57">
      <w:pPr>
        <w:pStyle w:val="CETAddress"/>
        <w:rPr>
          <w:lang w:val="it-IT"/>
        </w:rPr>
      </w:pPr>
      <w:r w:rsidRPr="00721A1F">
        <w:rPr>
          <w:vertAlign w:val="superscript"/>
          <w:lang w:val="it-IT"/>
        </w:rPr>
        <w:t>b</w:t>
      </w:r>
      <w:r w:rsidRPr="00721A1F">
        <w:rPr>
          <w:lang w:val="it-IT"/>
        </w:rPr>
        <w:t xml:space="preserve"> ATHENA srl, Via Vivaldi 43, 8100 Caserta Italy</w:t>
      </w:r>
      <w:r w:rsidR="00B57E6F" w:rsidRPr="00721A1F">
        <w:rPr>
          <w:lang w:val="it-IT"/>
        </w:rPr>
        <w:t xml:space="preserve"> </w:t>
      </w:r>
    </w:p>
    <w:p w14:paraId="73F1267A" w14:textId="3971E396" w:rsidR="00B57E6F" w:rsidRPr="00B57B36" w:rsidRDefault="00113D57" w:rsidP="00B57E6F">
      <w:pPr>
        <w:pStyle w:val="CETemail"/>
      </w:pPr>
      <w:r>
        <w:t>marialaura.mastellone</w:t>
      </w:r>
      <w:r w:rsidR="00B57E6F" w:rsidRPr="00B57B36">
        <w:t>@</w:t>
      </w:r>
      <w:r>
        <w:t>unicampania</w:t>
      </w:r>
      <w:r w:rsidR="00B57E6F" w:rsidRPr="00B57B36">
        <w:t>.</w:t>
      </w:r>
      <w:r>
        <w:t>it</w:t>
      </w:r>
    </w:p>
    <w:p w14:paraId="751A0AA6" w14:textId="2BE56045" w:rsidR="00113D57" w:rsidRPr="00113D57" w:rsidRDefault="006C4218" w:rsidP="00113D57">
      <w:pPr>
        <w:pStyle w:val="CETBodytext"/>
        <w:rPr>
          <w:lang w:val="en-GB"/>
        </w:rPr>
      </w:pPr>
      <w:r w:rsidRPr="00113D57">
        <w:rPr>
          <w:lang w:val="en-GB"/>
        </w:rPr>
        <w:t>Nowadays, the decarbonization of the sector of energy and the transformation of the whole economy chain in climate-neutral economy are targets in the political agenda of more than 50 Countries.</w:t>
      </w:r>
      <w:r>
        <w:rPr>
          <w:lang w:val="en-GB"/>
        </w:rPr>
        <w:t xml:space="preserve"> The replacing of carbon-based fuels with hydrogen is one of the </w:t>
      </w:r>
      <w:r w:rsidR="00A6386C">
        <w:rPr>
          <w:lang w:val="en-GB"/>
        </w:rPr>
        <w:t xml:space="preserve">main ways to reach the decarbonization of the energy sector and reducing of impact on climate. </w:t>
      </w:r>
      <w:r w:rsidR="00A906CC">
        <w:rPr>
          <w:lang w:val="en-GB"/>
        </w:rPr>
        <w:t xml:space="preserve">Anyway, the production of hydrogen by recurring to electrolysis of the water molecules requires a large energy amount so that its sustainability must be increased by </w:t>
      </w:r>
      <w:r w:rsidR="00DF6C2B">
        <w:rPr>
          <w:lang w:val="en-GB"/>
        </w:rPr>
        <w:t>realizing</w:t>
      </w:r>
      <w:r w:rsidR="00A906CC">
        <w:rPr>
          <w:lang w:val="en-GB"/>
        </w:rPr>
        <w:t xml:space="preserve"> more efficient system or synergy with other industrial sectors such as clean energy recovery. Possible well </w:t>
      </w:r>
      <w:r w:rsidR="00DF6C2B">
        <w:rPr>
          <w:lang w:val="en-GB"/>
        </w:rPr>
        <w:t>recognized</w:t>
      </w:r>
      <w:r w:rsidR="00A906CC">
        <w:rPr>
          <w:lang w:val="en-GB"/>
        </w:rPr>
        <w:t xml:space="preserve"> sources of sustainable energy are biomasses, solar</w:t>
      </w:r>
      <w:r w:rsidR="00B67977">
        <w:rPr>
          <w:lang w:val="en-GB"/>
        </w:rPr>
        <w:t>,</w:t>
      </w:r>
      <w:r w:rsidR="00A906CC">
        <w:rPr>
          <w:lang w:val="en-GB"/>
        </w:rPr>
        <w:t xml:space="preserve"> and wind; in this paper an additional resource, a biowaste produced by anthropic activity, the sewage sludge</w:t>
      </w:r>
      <w:r w:rsidR="0060079E">
        <w:rPr>
          <w:lang w:val="en-GB"/>
        </w:rPr>
        <w:t>,</w:t>
      </w:r>
      <w:r w:rsidR="00A906CC">
        <w:rPr>
          <w:lang w:val="en-GB"/>
        </w:rPr>
        <w:t xml:space="preserve"> is considered as a possible source of energy for green hydrogen </w:t>
      </w:r>
      <w:proofErr w:type="gramStart"/>
      <w:r w:rsidR="00A906CC">
        <w:rPr>
          <w:lang w:val="en-GB"/>
        </w:rPr>
        <w:t>on the basis of</w:t>
      </w:r>
      <w:proofErr w:type="gramEnd"/>
      <w:r w:rsidR="00A906CC">
        <w:rPr>
          <w:lang w:val="en-GB"/>
        </w:rPr>
        <w:t xml:space="preserve"> a life-cycle perspective: the avoided burdens of landfill and incineration of sludges balance the low efficiency of the overall system for hydrogen production. </w:t>
      </w:r>
    </w:p>
    <w:p w14:paraId="3CE107F7" w14:textId="0BF7F218" w:rsidR="00113D57" w:rsidRPr="00B57B36" w:rsidRDefault="00A6386C" w:rsidP="00113D57">
      <w:pPr>
        <w:pStyle w:val="CETBodytext"/>
        <w:rPr>
          <w:lang w:val="en-GB"/>
        </w:rPr>
      </w:pPr>
      <w:r w:rsidRPr="00113D57">
        <w:rPr>
          <w:lang w:val="en-GB"/>
        </w:rPr>
        <w:t xml:space="preserve">The paper illustrates a model that combines </w:t>
      </w:r>
      <w:r w:rsidR="00A906CC">
        <w:rPr>
          <w:lang w:val="en-GB"/>
        </w:rPr>
        <w:t>biowaste</w:t>
      </w:r>
      <w:r w:rsidRPr="00113D57">
        <w:rPr>
          <w:lang w:val="en-GB"/>
        </w:rPr>
        <w:t xml:space="preserve"> treatment with hydrogen production. </w:t>
      </w:r>
      <w:r w:rsidR="00113D57" w:rsidRPr="00113D57">
        <w:rPr>
          <w:lang w:val="en-GB"/>
        </w:rPr>
        <w:t xml:space="preserve">The mathematical model of the system allowed to calculate the mass balance and the feedstock energies distribution. The output variables of the model are hydrogen yield, electricity to the grid (surplus), </w:t>
      </w:r>
      <w:r w:rsidR="00B67977">
        <w:rPr>
          <w:lang w:val="en-GB"/>
        </w:rPr>
        <w:t xml:space="preserve">and </w:t>
      </w:r>
      <w:r w:rsidR="00113D57" w:rsidRPr="00113D57">
        <w:rPr>
          <w:lang w:val="en-GB"/>
        </w:rPr>
        <w:t>CO</w:t>
      </w:r>
      <w:r w:rsidR="00113D57" w:rsidRPr="00A906CC">
        <w:rPr>
          <w:vertAlign w:val="subscript"/>
          <w:lang w:val="en-GB"/>
        </w:rPr>
        <w:t>2</w:t>
      </w:r>
      <w:r w:rsidR="00113D57" w:rsidRPr="00113D57">
        <w:rPr>
          <w:lang w:val="en-GB"/>
        </w:rPr>
        <w:t xml:space="preserve"> sequestrated; the input data to the model are the biowaste mass rate (and the composition), the power demand for hydrogen production by electrolysis and the electricity and heat consumption of the plant. The model results demonstrated that the hydrothermal carbonization of the given biowaste, that is sewage sludge from a </w:t>
      </w:r>
      <w:r w:rsidR="00A906CC">
        <w:rPr>
          <w:lang w:val="en-GB"/>
        </w:rPr>
        <w:t>waste-water treatment plant</w:t>
      </w:r>
      <w:r w:rsidR="00113D57" w:rsidRPr="00113D57">
        <w:rPr>
          <w:lang w:val="en-GB"/>
        </w:rPr>
        <w:t xml:space="preserve"> and the </w:t>
      </w:r>
      <w:r w:rsidR="00A906CC">
        <w:rPr>
          <w:lang w:val="en-GB"/>
        </w:rPr>
        <w:t xml:space="preserve">enriched air </w:t>
      </w:r>
      <w:r w:rsidR="00113D57" w:rsidRPr="00113D57">
        <w:rPr>
          <w:lang w:val="en-GB"/>
        </w:rPr>
        <w:t>gasification of the resulted hydrochar converted into biofue</w:t>
      </w:r>
      <w:r w:rsidR="00A906CC">
        <w:rPr>
          <w:lang w:val="en-GB"/>
        </w:rPr>
        <w:t>l</w:t>
      </w:r>
      <w:r w:rsidR="00113D57" w:rsidRPr="00113D57">
        <w:rPr>
          <w:lang w:val="en-GB"/>
        </w:rPr>
        <w:t xml:space="preserve"> allowed to produce about 20kg/h of green hydrogen by covering all the energy demand of the plant, both heat</w:t>
      </w:r>
      <w:r w:rsidR="00B67977">
        <w:rPr>
          <w:lang w:val="en-GB"/>
        </w:rPr>
        <w:t>,</w:t>
      </w:r>
      <w:r w:rsidR="00113D57" w:rsidRPr="00113D57">
        <w:rPr>
          <w:lang w:val="en-GB"/>
        </w:rPr>
        <w:t xml:space="preserve"> and electricity. </w:t>
      </w:r>
    </w:p>
    <w:p w14:paraId="2F7889D1" w14:textId="1B7C9CCB" w:rsidR="00EB6526" w:rsidRPr="00D9072E" w:rsidRDefault="00D9072E" w:rsidP="00D9072E">
      <w:pPr>
        <w:pStyle w:val="CETHeading1"/>
        <w:rPr>
          <w:bCs/>
          <w:lang w:val="en-GB"/>
        </w:rPr>
      </w:pPr>
      <w:bookmarkStart w:id="0" w:name="_Hlk495475023"/>
      <w:r w:rsidRPr="00D9072E">
        <w:rPr>
          <w:bCs/>
          <w:lang w:val="en-GB"/>
        </w:rPr>
        <w:t xml:space="preserve">1. </w:t>
      </w:r>
      <w:r w:rsidR="00EB6526" w:rsidRPr="00D9072E">
        <w:rPr>
          <w:bCs/>
          <w:lang w:val="en-GB"/>
        </w:rPr>
        <w:t>Introduction</w:t>
      </w:r>
    </w:p>
    <w:p w14:paraId="1339EC58" w14:textId="28AFBC67" w:rsidR="00A6386C" w:rsidRDefault="006C4218" w:rsidP="00A6386C">
      <w:pPr>
        <w:pStyle w:val="CETBodytext"/>
        <w:rPr>
          <w:lang w:val="en-GB"/>
        </w:rPr>
      </w:pPr>
      <w:r w:rsidRPr="00113D57">
        <w:rPr>
          <w:lang w:val="en-GB"/>
        </w:rPr>
        <w:t xml:space="preserve">European Union </w:t>
      </w:r>
      <w:r w:rsidR="00A906CC">
        <w:rPr>
          <w:lang w:val="en-GB"/>
        </w:rPr>
        <w:t xml:space="preserve">(European Commission, 2018) </w:t>
      </w:r>
      <w:r w:rsidRPr="00113D57">
        <w:rPr>
          <w:lang w:val="en-GB"/>
        </w:rPr>
        <w:t xml:space="preserve">and </w:t>
      </w:r>
      <w:r w:rsidR="00B67977">
        <w:rPr>
          <w:lang w:val="en-GB"/>
        </w:rPr>
        <w:t xml:space="preserve">the </w:t>
      </w:r>
      <w:r w:rsidRPr="00113D57">
        <w:rPr>
          <w:lang w:val="en-GB"/>
        </w:rPr>
        <w:t xml:space="preserve">United States of America adopted a roadmap with 2050 as </w:t>
      </w:r>
      <w:r w:rsidR="00B67977">
        <w:rPr>
          <w:lang w:val="en-GB"/>
        </w:rPr>
        <w:t xml:space="preserve">the </w:t>
      </w:r>
      <w:r w:rsidRPr="00113D57">
        <w:rPr>
          <w:lang w:val="en-GB"/>
        </w:rPr>
        <w:t xml:space="preserve">deadline, China aims to reach carbon-neutrality in 2060 </w:t>
      </w:r>
      <w:r w:rsidR="00A906CC">
        <w:rPr>
          <w:lang w:val="en-GB"/>
        </w:rPr>
        <w:t>(Yang et al., 2022)</w:t>
      </w:r>
      <w:r w:rsidRPr="00113D57">
        <w:rPr>
          <w:lang w:val="en-GB"/>
        </w:rPr>
        <w:t xml:space="preserve">. The main transformations of the </w:t>
      </w:r>
      <w:r w:rsidR="00B67977">
        <w:rPr>
          <w:lang w:val="en-GB"/>
        </w:rPr>
        <w:t>economic</w:t>
      </w:r>
      <w:r w:rsidRPr="00113D57">
        <w:rPr>
          <w:lang w:val="en-GB"/>
        </w:rPr>
        <w:t xml:space="preserve"> sectors can be summarized </w:t>
      </w:r>
      <w:proofErr w:type="gramStart"/>
      <w:r w:rsidRPr="00113D57">
        <w:rPr>
          <w:lang w:val="en-GB"/>
        </w:rPr>
        <w:t>in:</w:t>
      </w:r>
      <w:proofErr w:type="gramEnd"/>
      <w:r w:rsidRPr="00113D57">
        <w:rPr>
          <w:lang w:val="en-GB"/>
        </w:rPr>
        <w:t xml:space="preserve"> a) decarbonization of electricity production; b) </w:t>
      </w:r>
      <w:r w:rsidR="00B67977">
        <w:rPr>
          <w:lang w:val="en-GB"/>
        </w:rPr>
        <w:t>electrifying</w:t>
      </w:r>
      <w:r w:rsidRPr="00113D57">
        <w:rPr>
          <w:lang w:val="en-GB"/>
        </w:rPr>
        <w:t xml:space="preserve"> end uses and </w:t>
      </w:r>
      <w:r w:rsidR="00B67977">
        <w:rPr>
          <w:lang w:val="en-GB"/>
        </w:rPr>
        <w:t>switching</w:t>
      </w:r>
      <w:r w:rsidRPr="00113D57">
        <w:rPr>
          <w:lang w:val="en-GB"/>
        </w:rPr>
        <w:t xml:space="preserve"> to other clean fuels; c) </w:t>
      </w:r>
      <w:r w:rsidR="00B67977">
        <w:rPr>
          <w:lang w:val="en-GB"/>
        </w:rPr>
        <w:t>cutting</w:t>
      </w:r>
      <w:r w:rsidRPr="00113D57">
        <w:rPr>
          <w:lang w:val="en-GB"/>
        </w:rPr>
        <w:t xml:space="preserve"> energy wastes; d) </w:t>
      </w:r>
      <w:r w:rsidR="00B67977">
        <w:rPr>
          <w:lang w:val="en-GB"/>
        </w:rPr>
        <w:t>reducing</w:t>
      </w:r>
      <w:r w:rsidRPr="00113D57">
        <w:rPr>
          <w:lang w:val="en-GB"/>
        </w:rPr>
        <w:t xml:space="preserve"> methane and other non-CO2 emissions; e) scale-up CO</w:t>
      </w:r>
      <w:r w:rsidRPr="0093031F">
        <w:rPr>
          <w:vertAlign w:val="subscript"/>
          <w:lang w:val="en-GB"/>
        </w:rPr>
        <w:t>2</w:t>
      </w:r>
      <w:r w:rsidRPr="00113D57">
        <w:rPr>
          <w:lang w:val="en-GB"/>
        </w:rPr>
        <w:t xml:space="preserve"> removal. Aiming to this ambitious target will require investing </w:t>
      </w:r>
      <w:r w:rsidR="00B67977">
        <w:rPr>
          <w:lang w:val="en-GB"/>
        </w:rPr>
        <w:t>in</w:t>
      </w:r>
      <w:r w:rsidRPr="00113D57">
        <w:rPr>
          <w:lang w:val="en-GB"/>
        </w:rPr>
        <w:t xml:space="preserve"> realistic technological solutions and aligning actions in key areas such as industrial policy, </w:t>
      </w:r>
      <w:proofErr w:type="gramStart"/>
      <w:r w:rsidRPr="00113D57">
        <w:rPr>
          <w:lang w:val="en-GB"/>
        </w:rPr>
        <w:t>finance</w:t>
      </w:r>
      <w:proofErr w:type="gramEnd"/>
      <w:r w:rsidRPr="00113D57">
        <w:rPr>
          <w:lang w:val="en-GB"/>
        </w:rPr>
        <w:t xml:space="preserve"> and research. Two important areas of </w:t>
      </w:r>
      <w:r w:rsidR="00DF6C2B">
        <w:rPr>
          <w:lang w:val="en-GB"/>
        </w:rPr>
        <w:t xml:space="preserve">the </w:t>
      </w:r>
      <w:r w:rsidRPr="00113D57">
        <w:rPr>
          <w:lang w:val="en-GB"/>
        </w:rPr>
        <w:t>industrial sector that need to be decarbonize and obtain carbon-neutrality are waste treatment and energy production. The waste treatment sector is responsible of emission of methane for approximately 14.5% of the total released in the ambient</w:t>
      </w:r>
      <w:r w:rsidR="00A906CC">
        <w:rPr>
          <w:lang w:val="en-GB"/>
        </w:rPr>
        <w:t xml:space="preserve"> (EPA, 2022)</w:t>
      </w:r>
      <w:r w:rsidRPr="00113D57">
        <w:rPr>
          <w:lang w:val="en-GB"/>
        </w:rPr>
        <w:t xml:space="preserve"> due to disposal of non-</w:t>
      </w:r>
      <w:proofErr w:type="spellStart"/>
      <w:r w:rsidRPr="00113D57">
        <w:rPr>
          <w:lang w:val="en-GB"/>
        </w:rPr>
        <w:t>inertised</w:t>
      </w:r>
      <w:proofErr w:type="spellEnd"/>
      <w:r w:rsidRPr="00113D57">
        <w:rPr>
          <w:lang w:val="en-GB"/>
        </w:rPr>
        <w:t xml:space="preserve"> biowaste such as sludges, food waste, high TOC wastewater, etc. The energy production in USA is today based for more than 60% of fossil fuels, coal, natural gas, petroleum, and other gases </w:t>
      </w:r>
      <w:r w:rsidR="00A906CC">
        <w:rPr>
          <w:lang w:val="en-GB"/>
        </w:rPr>
        <w:t>(EIA, 2022)</w:t>
      </w:r>
      <w:r w:rsidRPr="00113D57">
        <w:rPr>
          <w:lang w:val="en-GB"/>
        </w:rPr>
        <w:t xml:space="preserve"> and similar percentages can be found in EU Countries. </w:t>
      </w:r>
      <w:r w:rsidR="005E7DF7">
        <w:rPr>
          <w:lang w:val="en-GB"/>
        </w:rPr>
        <w:t xml:space="preserve">The sustainability of the waste management systems overall the world requires the </w:t>
      </w:r>
      <w:r w:rsidR="00DF6C2B">
        <w:rPr>
          <w:lang w:val="en-GB"/>
        </w:rPr>
        <w:t>renouncing</w:t>
      </w:r>
      <w:r w:rsidR="005E7DF7">
        <w:rPr>
          <w:lang w:val="en-GB"/>
        </w:rPr>
        <w:t xml:space="preserve"> </w:t>
      </w:r>
      <w:r w:rsidR="00DF6C2B">
        <w:rPr>
          <w:lang w:val="en-GB"/>
        </w:rPr>
        <w:t>of</w:t>
      </w:r>
      <w:r w:rsidR="005E7DF7">
        <w:rPr>
          <w:lang w:val="en-GB"/>
        </w:rPr>
        <w:t xml:space="preserve"> incineration in large plants, landfilling and long transportation </w:t>
      </w:r>
      <w:r w:rsidR="00B67977">
        <w:rPr>
          <w:lang w:val="en-GB"/>
        </w:rPr>
        <w:t>overseas</w:t>
      </w:r>
      <w:r w:rsidR="005E7DF7">
        <w:rPr>
          <w:lang w:val="en-GB"/>
        </w:rPr>
        <w:t xml:space="preserve"> or between </w:t>
      </w:r>
      <w:r w:rsidR="00B67977">
        <w:rPr>
          <w:lang w:val="en-GB"/>
        </w:rPr>
        <w:t>Countries'</w:t>
      </w:r>
      <w:r w:rsidR="005E7DF7">
        <w:rPr>
          <w:lang w:val="en-GB"/>
        </w:rPr>
        <w:t xml:space="preserve"> boundaries. The integration between the waste producers, at least the industrial ones, and the energy providers can realise the targets in term of reduced environmental impact of both sectors: waste management and energy production. The energy production from organic-based waste </w:t>
      </w:r>
      <w:proofErr w:type="gramStart"/>
      <w:r w:rsidR="005E7DF7">
        <w:rPr>
          <w:lang w:val="en-GB"/>
        </w:rPr>
        <w:t>i.e.</w:t>
      </w:r>
      <w:proofErr w:type="gramEnd"/>
      <w:r w:rsidR="005E7DF7">
        <w:rPr>
          <w:lang w:val="en-GB"/>
        </w:rPr>
        <w:t xml:space="preserve"> the biowaste, is often inefficient due to the high moisture content and low carbon content; making the energy from biowaste really interesting for the energy providers is one of the target of new process</w:t>
      </w:r>
      <w:r w:rsidR="0060079E">
        <w:rPr>
          <w:lang w:val="en-GB"/>
        </w:rPr>
        <w:t>ing</w:t>
      </w:r>
      <w:r w:rsidR="005E7DF7">
        <w:rPr>
          <w:lang w:val="en-GB"/>
        </w:rPr>
        <w:t xml:space="preserve"> and technolog</w:t>
      </w:r>
      <w:r w:rsidR="0060079E">
        <w:rPr>
          <w:lang w:val="en-GB"/>
        </w:rPr>
        <w:t>ical</w:t>
      </w:r>
      <w:r w:rsidR="005E7DF7">
        <w:rPr>
          <w:lang w:val="en-GB"/>
        </w:rPr>
        <w:t xml:space="preserve"> development. The use of pre-treat</w:t>
      </w:r>
      <w:r w:rsidR="005E7DF7" w:rsidRPr="006E08BA">
        <w:rPr>
          <w:lang w:val="en-GB"/>
        </w:rPr>
        <w:t>ment that promotes the carbon mineralization, nutrients extraction and dehydration such as hydrothermal carbonization can allow the transition from the status of biowaste to that of biofuel (</w:t>
      </w:r>
      <w:r w:rsidR="001E0595" w:rsidRPr="006E08BA">
        <w:rPr>
          <w:lang w:val="en-GB"/>
        </w:rPr>
        <w:t>Vallejo et al., 2020</w:t>
      </w:r>
      <w:r w:rsidR="005E7DF7" w:rsidRPr="006E08BA">
        <w:rPr>
          <w:lang w:val="en-GB"/>
        </w:rPr>
        <w:t xml:space="preserve">). The biofuel can be converted into a synthetic </w:t>
      </w:r>
      <w:r w:rsidR="005E7DF7" w:rsidRPr="006E08BA">
        <w:rPr>
          <w:lang w:val="en-GB"/>
        </w:rPr>
        <w:lastRenderedPageBreak/>
        <w:t xml:space="preserve">gas by using pyrolysis and gasification processes that </w:t>
      </w:r>
      <w:r w:rsidR="00DF6C2B">
        <w:rPr>
          <w:lang w:val="en-GB"/>
        </w:rPr>
        <w:t>require</w:t>
      </w:r>
      <w:r w:rsidR="005E7DF7" w:rsidRPr="006E08BA">
        <w:rPr>
          <w:lang w:val="en-GB"/>
        </w:rPr>
        <w:t xml:space="preserve"> smaller plant respect to combustors and are </w:t>
      </w:r>
      <w:r w:rsidR="00DF6C2B">
        <w:rPr>
          <w:lang w:val="en-GB"/>
        </w:rPr>
        <w:t>characterized</w:t>
      </w:r>
      <w:r w:rsidR="005E7DF7" w:rsidRPr="006E08BA">
        <w:rPr>
          <w:lang w:val="en-GB"/>
        </w:rPr>
        <w:t xml:space="preserve"> by greater flexibility. The </w:t>
      </w:r>
      <w:r w:rsidR="00DF6C2B">
        <w:rPr>
          <w:lang w:val="en-GB"/>
        </w:rPr>
        <w:t>fluidized</w:t>
      </w:r>
      <w:r w:rsidR="005E7DF7" w:rsidRPr="006E08BA">
        <w:rPr>
          <w:lang w:val="en-GB"/>
        </w:rPr>
        <w:t xml:space="preserve"> bed gasifier (BFBG) is a technological choice that allows great performance of carbon conversion, particularly when the gasification process is carried out with oxygen and enriched air (</w:t>
      </w:r>
      <w:r w:rsidR="00692E91" w:rsidRPr="006E08BA">
        <w:rPr>
          <w:lang w:val="en-GB"/>
        </w:rPr>
        <w:t>Liu et al., 2018</w:t>
      </w:r>
      <w:r w:rsidR="005E7DF7" w:rsidRPr="006E08BA">
        <w:rPr>
          <w:lang w:val="en-GB"/>
        </w:rPr>
        <w:t xml:space="preserve">) that </w:t>
      </w:r>
      <w:r w:rsidR="00DF6C2B">
        <w:rPr>
          <w:lang w:val="en-GB"/>
        </w:rPr>
        <w:t>improves</w:t>
      </w:r>
      <w:r w:rsidR="005E7DF7" w:rsidRPr="006E08BA">
        <w:rPr>
          <w:lang w:val="en-GB"/>
        </w:rPr>
        <w:t xml:space="preserve"> the diffusional </w:t>
      </w:r>
      <w:r w:rsidR="0060079E">
        <w:rPr>
          <w:lang w:val="en-GB"/>
        </w:rPr>
        <w:t>resistances during</w:t>
      </w:r>
      <w:r w:rsidR="005E7DF7" w:rsidRPr="006E08BA">
        <w:rPr>
          <w:lang w:val="en-GB"/>
        </w:rPr>
        <w:t xml:space="preserve"> the solid conversion into syngas.</w:t>
      </w:r>
      <w:r w:rsidR="00170140" w:rsidRPr="006E08BA">
        <w:rPr>
          <w:lang w:val="en-GB"/>
        </w:rPr>
        <w:t xml:space="preserve"> The syngas can be then used to produce energy in engines, gas turbines, steam boilers, etc. depending on its degree of cleaning and calorific value (</w:t>
      </w:r>
      <w:r w:rsidR="00C263EF" w:rsidRPr="006E08BA">
        <w:rPr>
          <w:lang w:val="en-GB"/>
        </w:rPr>
        <w:t>Valderrama Rios et al., 2018</w:t>
      </w:r>
      <w:r w:rsidR="00170140" w:rsidRPr="006E08BA">
        <w:rPr>
          <w:lang w:val="en-GB"/>
        </w:rPr>
        <w:t>). The syngas can also be used to produce hydrogen by using the steam-reforming process (</w:t>
      </w:r>
      <w:r w:rsidR="00C263EF" w:rsidRPr="006E08BA">
        <w:rPr>
          <w:lang w:val="en-GB"/>
        </w:rPr>
        <w:t>Rostrup-Nielsen et al., 2002</w:t>
      </w:r>
      <w:r w:rsidR="00170140" w:rsidRPr="006E08BA">
        <w:rPr>
          <w:lang w:val="en-GB"/>
        </w:rPr>
        <w:t xml:space="preserve">); this option is quite interesting because since it is not applied to natural gas but to syngas </w:t>
      </w:r>
      <w:r w:rsidR="0060079E">
        <w:rPr>
          <w:lang w:val="en-GB"/>
        </w:rPr>
        <w:t xml:space="preserve">coming </w:t>
      </w:r>
      <w:r w:rsidR="00170140" w:rsidRPr="006E08BA">
        <w:rPr>
          <w:lang w:val="en-GB"/>
        </w:rPr>
        <w:t>from biofuel, it should be con</w:t>
      </w:r>
      <w:r w:rsidR="00170140">
        <w:rPr>
          <w:lang w:val="en-GB"/>
        </w:rPr>
        <w:t>sidered green hydrogen as well.</w:t>
      </w:r>
    </w:p>
    <w:p w14:paraId="319E3307" w14:textId="77777777" w:rsidR="002E3FC6" w:rsidRDefault="002E3FC6" w:rsidP="00A6386C">
      <w:pPr>
        <w:pStyle w:val="CETBodytext"/>
        <w:rPr>
          <w:lang w:val="en-GB"/>
        </w:rPr>
      </w:pPr>
    </w:p>
    <w:p w14:paraId="1107430D" w14:textId="1F618562" w:rsidR="00976CDC" w:rsidRDefault="00D9072E" w:rsidP="00976CDC">
      <w:pPr>
        <w:pStyle w:val="CETHeading1"/>
        <w:rPr>
          <w:lang w:val="en-GB"/>
        </w:rPr>
      </w:pPr>
      <w:r>
        <w:rPr>
          <w:lang w:val="en-GB"/>
        </w:rPr>
        <w:t xml:space="preserve">2. </w:t>
      </w:r>
      <w:r w:rsidR="00976CDC">
        <w:rPr>
          <w:lang w:val="en-GB"/>
        </w:rPr>
        <w:t>Conceptual model</w:t>
      </w:r>
    </w:p>
    <w:p w14:paraId="0FC6D963" w14:textId="0F7821FC" w:rsidR="00976CDC" w:rsidRDefault="00D9072E" w:rsidP="00976CDC">
      <w:pPr>
        <w:pStyle w:val="CETheadingx"/>
      </w:pPr>
      <w:r>
        <w:t xml:space="preserve">2.1 </w:t>
      </w:r>
      <w:r w:rsidR="00976CDC">
        <w:t>System boundary</w:t>
      </w:r>
    </w:p>
    <w:p w14:paraId="79871B14" w14:textId="3D1B9E7E" w:rsidR="00242312" w:rsidRPr="007C0E5D" w:rsidRDefault="00A35F7D" w:rsidP="00976CDC">
      <w:pPr>
        <w:pStyle w:val="CETBodytext"/>
      </w:pPr>
      <w:r w:rsidRPr="007C0E5D">
        <w:t>The model i</w:t>
      </w:r>
      <w:r w:rsidR="00D11508" w:rsidRPr="007C0E5D">
        <w:t>s</w:t>
      </w:r>
      <w:r w:rsidRPr="007C0E5D">
        <w:t xml:space="preserve"> applied to a system that includes </w:t>
      </w:r>
      <w:r w:rsidR="00CD588D" w:rsidRPr="007C0E5D">
        <w:t>three</w:t>
      </w:r>
      <w:r w:rsidR="00FF527A" w:rsidRPr="007C0E5D">
        <w:t xml:space="preserve"> </w:t>
      </w:r>
      <w:r w:rsidR="00721A1F" w:rsidRPr="007C0E5D">
        <w:t xml:space="preserve">self-reliant </w:t>
      </w:r>
      <w:r w:rsidR="00FF527A" w:rsidRPr="007C0E5D">
        <w:t>sub-systems</w:t>
      </w:r>
      <w:r w:rsidR="00721A1F" w:rsidRPr="007C0E5D">
        <w:t xml:space="preserve"> connected each to other by energy and/or by-product flows in such a way to optimize the material and energy use and applied circular economy principles. The sub-systems are</w:t>
      </w:r>
      <w:r w:rsidR="00FF527A" w:rsidRPr="007C0E5D">
        <w:t xml:space="preserve">: </w:t>
      </w:r>
      <w:r w:rsidR="00CD588D" w:rsidRPr="007C0E5D">
        <w:t xml:space="preserve">B1) </w:t>
      </w:r>
      <w:r w:rsidR="00FF527A" w:rsidRPr="007C0E5D">
        <w:t xml:space="preserve">the sludge conversion into syngas </w:t>
      </w:r>
      <w:r w:rsidR="00CD588D" w:rsidRPr="007C0E5D">
        <w:t xml:space="preserve">and energy, B2) the green hydrogen production via electrolysis and B3) the optional line of blue hydrogen production via </w:t>
      </w:r>
      <w:r w:rsidR="0060079E" w:rsidRPr="007C0E5D">
        <w:t xml:space="preserve">water-gas shift </w:t>
      </w:r>
      <w:r w:rsidR="00CD588D" w:rsidRPr="007C0E5D">
        <w:t>WGS. The unit processes composing the overall system, grouped for the subsystems are reported in the following table 1.</w:t>
      </w:r>
    </w:p>
    <w:p w14:paraId="15F3B0DB" w14:textId="147EB634" w:rsidR="00976CDC" w:rsidRPr="007C0E5D" w:rsidRDefault="00CD588D" w:rsidP="006E08BA">
      <w:pPr>
        <w:pStyle w:val="CETTabletitle"/>
      </w:pPr>
      <w:r w:rsidRPr="007C0E5D">
        <w:t xml:space="preserve"> </w:t>
      </w:r>
      <w:r w:rsidR="00D11508" w:rsidRPr="007C0E5D">
        <w:t xml:space="preserve"> </w:t>
      </w:r>
      <w:r w:rsidR="00760B28" w:rsidRPr="007C0E5D">
        <w:t xml:space="preserve">Table 1. Subsystems and unit processes list </w:t>
      </w:r>
    </w:p>
    <w:tbl>
      <w:tblPr>
        <w:tblStyle w:val="Grigliatabella"/>
        <w:tblW w:w="4994" w:type="pct"/>
        <w:tblBorders>
          <w:top w:val="single" w:sz="12" w:space="0" w:color="008000"/>
          <w:left w:val="none" w:sz="0" w:space="0" w:color="auto"/>
          <w:bottom w:val="single" w:sz="12" w:space="0" w:color="008000"/>
          <w:right w:val="none" w:sz="0" w:space="0" w:color="auto"/>
          <w:insideH w:val="none" w:sz="0" w:space="0" w:color="auto"/>
          <w:insideV w:val="none" w:sz="0" w:space="0" w:color="auto"/>
        </w:tblBorders>
        <w:tblLook w:val="04A0" w:firstRow="1" w:lastRow="0" w:firstColumn="1" w:lastColumn="0" w:noHBand="0" w:noVBand="1"/>
      </w:tblPr>
      <w:tblGrid>
        <w:gridCol w:w="2924"/>
        <w:gridCol w:w="2926"/>
        <w:gridCol w:w="2926"/>
      </w:tblGrid>
      <w:tr w:rsidR="007C0E5D" w:rsidRPr="007C0E5D" w14:paraId="721E362A" w14:textId="77777777" w:rsidTr="00295B6E">
        <w:trPr>
          <w:trHeight w:val="340"/>
        </w:trPr>
        <w:tc>
          <w:tcPr>
            <w:tcW w:w="1666" w:type="pct"/>
          </w:tcPr>
          <w:p w14:paraId="4E71E476" w14:textId="46185E76" w:rsidR="009F2D26" w:rsidRPr="007C0E5D" w:rsidRDefault="009F2D26" w:rsidP="00055F22">
            <w:pPr>
              <w:pStyle w:val="CETBodytext"/>
              <w:spacing w:line="240" w:lineRule="auto"/>
              <w:jc w:val="left"/>
              <w:rPr>
                <w:lang w:val="en-GB"/>
              </w:rPr>
            </w:pPr>
            <w:r w:rsidRPr="007C0E5D">
              <w:rPr>
                <w:lang w:val="en-GB"/>
              </w:rPr>
              <w:t xml:space="preserve">Subsystem B1 – </w:t>
            </w:r>
          </w:p>
          <w:p w14:paraId="217E59CD" w14:textId="041CA6AB" w:rsidR="009F2D26" w:rsidRPr="007C0E5D" w:rsidRDefault="009F2D26" w:rsidP="00055F22">
            <w:pPr>
              <w:pStyle w:val="CETBodytext"/>
              <w:spacing w:line="240" w:lineRule="auto"/>
              <w:jc w:val="left"/>
              <w:rPr>
                <w:lang w:val="en-GB"/>
              </w:rPr>
            </w:pPr>
            <w:r w:rsidRPr="007C0E5D">
              <w:rPr>
                <w:lang w:val="en-GB"/>
              </w:rPr>
              <w:t xml:space="preserve">sludge conversion into </w:t>
            </w:r>
            <w:proofErr w:type="gramStart"/>
            <w:r w:rsidRPr="007C0E5D">
              <w:rPr>
                <w:lang w:val="en-GB"/>
              </w:rPr>
              <w:t>bio-fuel</w:t>
            </w:r>
            <w:proofErr w:type="gramEnd"/>
            <w:r w:rsidRPr="007C0E5D">
              <w:rPr>
                <w:lang w:val="en-GB"/>
              </w:rPr>
              <w:t>, syngas production and energy production</w:t>
            </w:r>
          </w:p>
        </w:tc>
        <w:tc>
          <w:tcPr>
            <w:tcW w:w="1667" w:type="pct"/>
          </w:tcPr>
          <w:p w14:paraId="40604CDA" w14:textId="52D1ACF7" w:rsidR="009F2D26" w:rsidRPr="007C0E5D" w:rsidRDefault="009F2D26" w:rsidP="00055F22">
            <w:pPr>
              <w:pStyle w:val="CETBodytext"/>
              <w:spacing w:line="240" w:lineRule="auto"/>
              <w:jc w:val="left"/>
              <w:rPr>
                <w:lang w:val="en-GB"/>
              </w:rPr>
            </w:pPr>
            <w:r w:rsidRPr="007C0E5D">
              <w:rPr>
                <w:lang w:val="en-GB"/>
              </w:rPr>
              <w:t xml:space="preserve">Subsystem B2 – </w:t>
            </w:r>
          </w:p>
          <w:p w14:paraId="0747BE8E" w14:textId="611DF98B" w:rsidR="009F2D26" w:rsidRPr="007C0E5D" w:rsidRDefault="00894316" w:rsidP="00055F22">
            <w:pPr>
              <w:pStyle w:val="CETBodytext"/>
              <w:spacing w:line="240" w:lineRule="auto"/>
              <w:jc w:val="left"/>
              <w:rPr>
                <w:lang w:val="en-GB"/>
              </w:rPr>
            </w:pPr>
            <w:r w:rsidRPr="007C0E5D">
              <w:rPr>
                <w:lang w:val="en-GB"/>
              </w:rPr>
              <w:t>Green hydrogen production via electrolysis of recovered water</w:t>
            </w:r>
          </w:p>
        </w:tc>
        <w:tc>
          <w:tcPr>
            <w:tcW w:w="1667" w:type="pct"/>
          </w:tcPr>
          <w:p w14:paraId="13804E48" w14:textId="096ACA8F" w:rsidR="009F2D26" w:rsidRPr="007C0E5D" w:rsidRDefault="009F2D26" w:rsidP="00055F22">
            <w:pPr>
              <w:pStyle w:val="CETBodytext"/>
              <w:spacing w:line="240" w:lineRule="auto"/>
              <w:jc w:val="left"/>
              <w:rPr>
                <w:lang w:val="en-GB"/>
              </w:rPr>
            </w:pPr>
            <w:r w:rsidRPr="007C0E5D">
              <w:rPr>
                <w:lang w:val="en-GB"/>
              </w:rPr>
              <w:t xml:space="preserve">Subsystem B3 – </w:t>
            </w:r>
          </w:p>
          <w:p w14:paraId="66660016" w14:textId="6097B881" w:rsidR="009F2D26" w:rsidRPr="007C0E5D" w:rsidRDefault="00894316" w:rsidP="00055F22">
            <w:pPr>
              <w:pStyle w:val="CETBodytext"/>
              <w:spacing w:line="240" w:lineRule="auto"/>
              <w:jc w:val="left"/>
              <w:rPr>
                <w:lang w:val="en-GB"/>
              </w:rPr>
            </w:pPr>
            <w:r w:rsidRPr="007C0E5D">
              <w:rPr>
                <w:lang w:val="en-GB"/>
              </w:rPr>
              <w:t>Blue hydrogen production via water-gas shift and sequential sequestration</w:t>
            </w:r>
          </w:p>
        </w:tc>
      </w:tr>
      <w:tr w:rsidR="007C0E5D" w:rsidRPr="007C0E5D" w14:paraId="2E414B2F" w14:textId="77777777" w:rsidTr="00295B6E">
        <w:trPr>
          <w:trHeight w:val="340"/>
        </w:trPr>
        <w:tc>
          <w:tcPr>
            <w:tcW w:w="1666" w:type="pct"/>
            <w:vAlign w:val="center"/>
          </w:tcPr>
          <w:p w14:paraId="0C10D1DC" w14:textId="462B9569" w:rsidR="009F2D26" w:rsidRPr="007C0E5D" w:rsidRDefault="00894316" w:rsidP="00055F22">
            <w:pPr>
              <w:pStyle w:val="CETBodytext"/>
              <w:spacing w:line="240" w:lineRule="auto"/>
              <w:jc w:val="left"/>
            </w:pPr>
            <w:r w:rsidRPr="007C0E5D">
              <w:t>Hydrothermal carbonization of sludge from industrial waste-water treatment</w:t>
            </w:r>
          </w:p>
        </w:tc>
        <w:tc>
          <w:tcPr>
            <w:tcW w:w="1667" w:type="pct"/>
            <w:vAlign w:val="center"/>
          </w:tcPr>
          <w:p w14:paraId="7C4FAE46" w14:textId="7EDB43CB" w:rsidR="009F2D26" w:rsidRPr="007C0E5D" w:rsidRDefault="000F11FD" w:rsidP="00055F22">
            <w:pPr>
              <w:pStyle w:val="CETBodytext"/>
              <w:spacing w:line="240" w:lineRule="auto"/>
              <w:jc w:val="left"/>
            </w:pPr>
            <w:r w:rsidRPr="007C0E5D">
              <w:t>Water recovery and purification via reverse osmosis</w:t>
            </w:r>
          </w:p>
        </w:tc>
        <w:tc>
          <w:tcPr>
            <w:tcW w:w="1667" w:type="pct"/>
            <w:vAlign w:val="center"/>
          </w:tcPr>
          <w:p w14:paraId="17DDACF7" w14:textId="2E2B52BA" w:rsidR="009F2D26" w:rsidRPr="007C0E5D" w:rsidRDefault="000F11FD" w:rsidP="00055F22">
            <w:pPr>
              <w:pStyle w:val="CETBodytext"/>
              <w:spacing w:line="240" w:lineRule="auto"/>
              <w:jc w:val="left"/>
            </w:pPr>
            <w:r w:rsidRPr="007C0E5D">
              <w:t>Syngas upgrading via water-gas shift reaction</w:t>
            </w:r>
          </w:p>
        </w:tc>
      </w:tr>
      <w:tr w:rsidR="007C0E5D" w:rsidRPr="007C0E5D" w14:paraId="6156A60B" w14:textId="77777777" w:rsidTr="00295B6E">
        <w:trPr>
          <w:trHeight w:val="340"/>
        </w:trPr>
        <w:tc>
          <w:tcPr>
            <w:tcW w:w="1666" w:type="pct"/>
            <w:vAlign w:val="center"/>
          </w:tcPr>
          <w:p w14:paraId="19EE208B" w14:textId="7FCF0C4A" w:rsidR="009F2D26" w:rsidRPr="007C0E5D" w:rsidRDefault="00297C1D" w:rsidP="00055F22">
            <w:pPr>
              <w:pStyle w:val="CETBodytext"/>
              <w:spacing w:line="240" w:lineRule="auto"/>
              <w:jc w:val="left"/>
            </w:pPr>
            <w:r w:rsidRPr="007C0E5D">
              <w:t>Bio-fuel production: d</w:t>
            </w:r>
            <w:r w:rsidR="00894316" w:rsidRPr="007C0E5D">
              <w:t>ewatering</w:t>
            </w:r>
            <w:r w:rsidRPr="007C0E5D">
              <w:t>, drying</w:t>
            </w:r>
            <w:r w:rsidR="00894316" w:rsidRPr="007C0E5D">
              <w:t xml:space="preserve"> and </w:t>
            </w:r>
            <w:r w:rsidRPr="007C0E5D">
              <w:t xml:space="preserve">granulation  </w:t>
            </w:r>
          </w:p>
        </w:tc>
        <w:tc>
          <w:tcPr>
            <w:tcW w:w="1667" w:type="pct"/>
            <w:vAlign w:val="center"/>
          </w:tcPr>
          <w:p w14:paraId="5F633F7F" w14:textId="59D79BC9" w:rsidR="009F2D26" w:rsidRPr="007C0E5D" w:rsidRDefault="000F11FD" w:rsidP="00055F22">
            <w:pPr>
              <w:pStyle w:val="CETBodytext"/>
              <w:spacing w:line="240" w:lineRule="auto"/>
              <w:jc w:val="left"/>
            </w:pPr>
            <w:r w:rsidRPr="007C0E5D">
              <w:t>Hydrogen production from purified water via electrolysis</w:t>
            </w:r>
          </w:p>
        </w:tc>
        <w:tc>
          <w:tcPr>
            <w:tcW w:w="1667" w:type="pct"/>
            <w:vAlign w:val="center"/>
          </w:tcPr>
          <w:p w14:paraId="7D87E484" w14:textId="15E62308" w:rsidR="009F2D26" w:rsidRPr="007C0E5D" w:rsidRDefault="000F11FD" w:rsidP="00055F22">
            <w:pPr>
              <w:pStyle w:val="CETBodytext"/>
              <w:spacing w:line="240" w:lineRule="auto"/>
              <w:jc w:val="left"/>
            </w:pPr>
            <w:r w:rsidRPr="007C0E5D">
              <w:t>Hydrogen sep</w:t>
            </w:r>
            <w:r w:rsidR="00F73A4F" w:rsidRPr="007C0E5D">
              <w:t>a</w:t>
            </w:r>
            <w:r w:rsidRPr="007C0E5D">
              <w:t>ration</w:t>
            </w:r>
          </w:p>
        </w:tc>
      </w:tr>
      <w:tr w:rsidR="007C0E5D" w:rsidRPr="007C0E5D" w14:paraId="38194044" w14:textId="77777777" w:rsidTr="00295B6E">
        <w:trPr>
          <w:trHeight w:val="340"/>
        </w:trPr>
        <w:tc>
          <w:tcPr>
            <w:tcW w:w="1666" w:type="pct"/>
            <w:vAlign w:val="center"/>
          </w:tcPr>
          <w:p w14:paraId="542CEB35" w14:textId="22378672" w:rsidR="009F2D26" w:rsidRPr="007C0E5D" w:rsidRDefault="0060079E" w:rsidP="00055F22">
            <w:pPr>
              <w:pStyle w:val="CETBodytext"/>
              <w:spacing w:line="240" w:lineRule="auto"/>
              <w:jc w:val="left"/>
            </w:pPr>
            <w:r w:rsidRPr="007C0E5D">
              <w:t>G</w:t>
            </w:r>
            <w:r w:rsidR="000F11FD" w:rsidRPr="007C0E5D">
              <w:t>asification</w:t>
            </w:r>
            <w:r w:rsidRPr="007C0E5D">
              <w:t xml:space="preserve"> with O</w:t>
            </w:r>
            <w:r w:rsidRPr="007C0E5D">
              <w:rPr>
                <w:vertAlign w:val="subscript"/>
              </w:rPr>
              <w:t>2</w:t>
            </w:r>
            <w:r w:rsidRPr="007C0E5D">
              <w:t>-enriched air</w:t>
            </w:r>
          </w:p>
        </w:tc>
        <w:tc>
          <w:tcPr>
            <w:tcW w:w="1667" w:type="pct"/>
            <w:vAlign w:val="center"/>
          </w:tcPr>
          <w:p w14:paraId="5A4829B8" w14:textId="3CB03EED" w:rsidR="009F2D26" w:rsidRPr="007C0E5D" w:rsidRDefault="000F11FD" w:rsidP="00055F22">
            <w:pPr>
              <w:pStyle w:val="CETBodytext"/>
              <w:spacing w:line="240" w:lineRule="auto"/>
              <w:jc w:val="left"/>
            </w:pPr>
            <w:r w:rsidRPr="007C0E5D">
              <w:t>Oxygen production</w:t>
            </w:r>
          </w:p>
        </w:tc>
        <w:tc>
          <w:tcPr>
            <w:tcW w:w="1667" w:type="pct"/>
            <w:vAlign w:val="center"/>
          </w:tcPr>
          <w:p w14:paraId="1D754D0A" w14:textId="69F47574" w:rsidR="009F2D26" w:rsidRPr="007C0E5D" w:rsidRDefault="00F73A4F" w:rsidP="00055F22">
            <w:pPr>
              <w:pStyle w:val="CETBodytext"/>
              <w:spacing w:line="240" w:lineRule="auto"/>
              <w:jc w:val="left"/>
            </w:pPr>
            <w:r w:rsidRPr="007C0E5D">
              <w:t>Residual syngas valorization via energy recovery</w:t>
            </w:r>
          </w:p>
        </w:tc>
      </w:tr>
      <w:tr w:rsidR="007C0E5D" w:rsidRPr="007C0E5D" w14:paraId="3622E3D1" w14:textId="77777777" w:rsidTr="00295B6E">
        <w:trPr>
          <w:trHeight w:val="340"/>
        </w:trPr>
        <w:tc>
          <w:tcPr>
            <w:tcW w:w="1666" w:type="pct"/>
            <w:vAlign w:val="center"/>
          </w:tcPr>
          <w:p w14:paraId="3BC33D0E" w14:textId="53D99C5B" w:rsidR="009F2D26" w:rsidRPr="007C0E5D" w:rsidRDefault="000F11FD" w:rsidP="00055F22">
            <w:pPr>
              <w:pStyle w:val="CETBodytext"/>
              <w:spacing w:line="240" w:lineRule="auto"/>
              <w:jc w:val="left"/>
            </w:pPr>
            <w:r w:rsidRPr="007C0E5D">
              <w:t>Syngas conditioning</w:t>
            </w:r>
          </w:p>
        </w:tc>
        <w:tc>
          <w:tcPr>
            <w:tcW w:w="1667" w:type="pct"/>
            <w:vAlign w:val="center"/>
          </w:tcPr>
          <w:p w14:paraId="4C0A1F72" w14:textId="77777777" w:rsidR="009F2D26" w:rsidRPr="007C0E5D" w:rsidRDefault="009F2D26" w:rsidP="00055F22">
            <w:pPr>
              <w:pStyle w:val="CETBodytext"/>
              <w:spacing w:line="240" w:lineRule="auto"/>
              <w:jc w:val="left"/>
            </w:pPr>
          </w:p>
        </w:tc>
        <w:tc>
          <w:tcPr>
            <w:tcW w:w="1667" w:type="pct"/>
            <w:vAlign w:val="center"/>
          </w:tcPr>
          <w:p w14:paraId="3B653EB1" w14:textId="77777777" w:rsidR="009F2D26" w:rsidRPr="007C0E5D" w:rsidRDefault="009F2D26" w:rsidP="00055F22">
            <w:pPr>
              <w:pStyle w:val="CETBodytext"/>
              <w:spacing w:line="240" w:lineRule="auto"/>
              <w:jc w:val="left"/>
            </w:pPr>
          </w:p>
        </w:tc>
      </w:tr>
      <w:tr w:rsidR="009F2D26" w:rsidRPr="007C0E5D" w14:paraId="46765964" w14:textId="77777777" w:rsidTr="00295B6E">
        <w:trPr>
          <w:trHeight w:val="340"/>
        </w:trPr>
        <w:tc>
          <w:tcPr>
            <w:tcW w:w="1666" w:type="pct"/>
            <w:vAlign w:val="center"/>
          </w:tcPr>
          <w:p w14:paraId="738AA8C2" w14:textId="5E26BC5E" w:rsidR="009F2D26" w:rsidRPr="007C0E5D" w:rsidRDefault="000F11FD" w:rsidP="00055F22">
            <w:pPr>
              <w:pStyle w:val="CETBodytext"/>
              <w:spacing w:line="240" w:lineRule="auto"/>
              <w:jc w:val="left"/>
            </w:pPr>
            <w:r w:rsidRPr="007C0E5D">
              <w:t>Energy production via gas turbine</w:t>
            </w:r>
          </w:p>
        </w:tc>
        <w:tc>
          <w:tcPr>
            <w:tcW w:w="1667" w:type="pct"/>
            <w:vAlign w:val="center"/>
          </w:tcPr>
          <w:p w14:paraId="29790088" w14:textId="77777777" w:rsidR="009F2D26" w:rsidRPr="007C0E5D" w:rsidRDefault="009F2D26" w:rsidP="00055F22">
            <w:pPr>
              <w:pStyle w:val="CETBodytext"/>
              <w:spacing w:line="240" w:lineRule="auto"/>
              <w:jc w:val="left"/>
            </w:pPr>
          </w:p>
        </w:tc>
        <w:tc>
          <w:tcPr>
            <w:tcW w:w="1667" w:type="pct"/>
            <w:vAlign w:val="center"/>
          </w:tcPr>
          <w:p w14:paraId="2216242B" w14:textId="77777777" w:rsidR="009F2D26" w:rsidRPr="007C0E5D" w:rsidRDefault="009F2D26" w:rsidP="00055F22">
            <w:pPr>
              <w:pStyle w:val="CETBodytext"/>
              <w:spacing w:line="240" w:lineRule="auto"/>
              <w:jc w:val="left"/>
            </w:pPr>
          </w:p>
        </w:tc>
      </w:tr>
    </w:tbl>
    <w:p w14:paraId="38676148" w14:textId="77777777" w:rsidR="0060079E" w:rsidRPr="007C0E5D" w:rsidRDefault="0060079E" w:rsidP="00A6386C">
      <w:pPr>
        <w:pStyle w:val="CETBodytext"/>
        <w:rPr>
          <w:lang w:val="en-GB"/>
        </w:rPr>
      </w:pPr>
    </w:p>
    <w:p w14:paraId="2DA0B2B9" w14:textId="3CEC7C93" w:rsidR="00055F22" w:rsidRPr="007C0E5D" w:rsidRDefault="00FF7DA5" w:rsidP="00A6386C">
      <w:pPr>
        <w:pStyle w:val="CETBodytext"/>
        <w:rPr>
          <w:lang w:val="en-GB"/>
        </w:rPr>
      </w:pPr>
      <w:r w:rsidRPr="007C0E5D">
        <w:rPr>
          <w:lang w:val="en-GB"/>
        </w:rPr>
        <w:t xml:space="preserve">The </w:t>
      </w:r>
      <w:r w:rsidR="00967E18" w:rsidRPr="007C0E5D">
        <w:rPr>
          <w:lang w:val="en-GB"/>
        </w:rPr>
        <w:t xml:space="preserve">qualitative </w:t>
      </w:r>
      <w:r w:rsidRPr="007C0E5D">
        <w:rPr>
          <w:lang w:val="en-GB"/>
        </w:rPr>
        <w:t xml:space="preserve">description of the main unit processes </w:t>
      </w:r>
      <w:r w:rsidR="00967E18" w:rsidRPr="007C0E5D">
        <w:rPr>
          <w:lang w:val="en-GB"/>
        </w:rPr>
        <w:t>is reported in the following paragraph</w:t>
      </w:r>
      <w:r w:rsidR="00721A1F" w:rsidRPr="007C0E5D">
        <w:rPr>
          <w:lang w:val="en-GB"/>
        </w:rPr>
        <w:t>.</w:t>
      </w:r>
    </w:p>
    <w:p w14:paraId="1D04BFD8" w14:textId="39969866" w:rsidR="00055F22" w:rsidRPr="007C0E5D" w:rsidRDefault="00535279" w:rsidP="00055F22">
      <w:pPr>
        <w:pStyle w:val="CETheadingx"/>
      </w:pPr>
      <w:r w:rsidRPr="007C0E5D">
        <w:t xml:space="preserve">2.2 </w:t>
      </w:r>
      <w:r w:rsidR="00055F22" w:rsidRPr="007C0E5D">
        <w:t>Unit processes’ description</w:t>
      </w:r>
    </w:p>
    <w:p w14:paraId="5A4090E4" w14:textId="276ABB04" w:rsidR="00055F22" w:rsidRPr="007C0E5D" w:rsidRDefault="00083EC6" w:rsidP="009A4333">
      <w:pPr>
        <w:pStyle w:val="CETheadingx"/>
      </w:pPr>
      <w:r w:rsidRPr="007C0E5D">
        <w:t xml:space="preserve">2.2.1 </w:t>
      </w:r>
      <w:r w:rsidR="00055F22" w:rsidRPr="007C0E5D">
        <w:t>Hydrothermal carbonization</w:t>
      </w:r>
    </w:p>
    <w:p w14:paraId="7A036958" w14:textId="3E8E6F5F" w:rsidR="00055F22" w:rsidRPr="007C0E5D" w:rsidRDefault="00055F22" w:rsidP="00055F22">
      <w:pPr>
        <w:pStyle w:val="CETBodytext"/>
      </w:pPr>
      <w:r w:rsidRPr="007C0E5D">
        <w:t xml:space="preserve">HTC is a thermochemical process occurring in </w:t>
      </w:r>
      <w:r w:rsidR="003D2575" w:rsidRPr="007C0E5D">
        <w:t xml:space="preserve">the </w:t>
      </w:r>
      <w:r w:rsidRPr="007C0E5D">
        <w:t xml:space="preserve">liquid phase that converts biomass into hydrochar by several different steps with mild reaction conditions at low temperatures (180–250 °C), absence of oxygen and sub-critical water conditions. The HTC process is convenient when biomass is wet since it can carbonize substrate with a water content up to 90% by weight without prior drying, which results in an expensive and long process (Wang et al., 2018). In an HTC process, water has the role to promote the heat transfer throughout the bulk of the biomass during the process, enhancing the efficiency of heat transfer, and </w:t>
      </w:r>
      <w:r w:rsidR="003D2575" w:rsidRPr="007C0E5D">
        <w:t>promoting</w:t>
      </w:r>
      <w:r w:rsidRPr="007C0E5D">
        <w:t xml:space="preserve"> the hydrolysis reactions. Chemical dehydration, decarboxylation reactions and polymerization and aromatization are the main chemical reactions that </w:t>
      </w:r>
      <w:r w:rsidR="003D2575" w:rsidRPr="007C0E5D">
        <w:t>allow</w:t>
      </w:r>
      <w:r w:rsidRPr="007C0E5D">
        <w:t xml:space="preserve"> the concentration of carbon and its mineralization. HTC requires </w:t>
      </w:r>
      <w:r w:rsidR="003D2575" w:rsidRPr="007C0E5D">
        <w:t xml:space="preserve">an </w:t>
      </w:r>
      <w:r w:rsidRPr="007C0E5D">
        <w:t xml:space="preserve">appropriate heating system in order to attain the set-up temperature because exothermal reactions are not able to balance the unavoidable loss of heat throughout the reactor wall. The process is carried out in a reactor at 250°C, </w:t>
      </w:r>
      <w:r w:rsidR="0005437C" w:rsidRPr="007C0E5D">
        <w:t xml:space="preserve">under an </w:t>
      </w:r>
      <w:r w:rsidRPr="007C0E5D">
        <w:t xml:space="preserve">autogenous pressure </w:t>
      </w:r>
      <w:r w:rsidR="0005437C" w:rsidRPr="007C0E5D">
        <w:t xml:space="preserve">of about 39bar </w:t>
      </w:r>
      <w:r w:rsidRPr="007C0E5D">
        <w:t>for 6 hours. The reactor is fed batchwise with a mixture of sludge and water in a ratio able to reach a 12-20% of solids content.</w:t>
      </w:r>
    </w:p>
    <w:p w14:paraId="6FED5219" w14:textId="77777777" w:rsidR="00055F22" w:rsidRPr="007C0E5D" w:rsidRDefault="00055F22" w:rsidP="00055F22">
      <w:pPr>
        <w:pStyle w:val="CETBodytext"/>
      </w:pPr>
      <w:r w:rsidRPr="007C0E5D">
        <w:t>This process has been applied to sludge produced by the industrial wastewater treatment plant with the scope to convert it into a biologically inactive product, with a decreased content of nitrogen and nutrients as well as TOC. This product can be managed with minor environmental issues such as bad odors release, and with the possibility to be stored longer being inactive, almost inert.</w:t>
      </w:r>
    </w:p>
    <w:p w14:paraId="3D7177A4" w14:textId="7C7D94AB" w:rsidR="00721A1F" w:rsidRPr="007C0E5D" w:rsidRDefault="00083EC6" w:rsidP="009A4333">
      <w:pPr>
        <w:pStyle w:val="CETheadingx"/>
      </w:pPr>
      <w:r w:rsidRPr="007C0E5D">
        <w:lastRenderedPageBreak/>
        <w:t xml:space="preserve">2.2.2 </w:t>
      </w:r>
      <w:r w:rsidR="00721A1F" w:rsidRPr="007C0E5D">
        <w:t>Bio-fuel preparation</w:t>
      </w:r>
    </w:p>
    <w:p w14:paraId="2D594AA3" w14:textId="06140EC0" w:rsidR="00BC265B" w:rsidRPr="007C0E5D" w:rsidRDefault="00BC265B" w:rsidP="00721A1F">
      <w:pPr>
        <w:pStyle w:val="CETBodytext"/>
      </w:pPr>
      <w:r w:rsidRPr="007C0E5D">
        <w:t xml:space="preserve">In the model illustrated before, the hydrochar from sludge is converted into a </w:t>
      </w:r>
      <w:proofErr w:type="gramStart"/>
      <w:r w:rsidRPr="007C0E5D">
        <w:t>bio-fuel</w:t>
      </w:r>
      <w:proofErr w:type="gramEnd"/>
      <w:r w:rsidRPr="007C0E5D">
        <w:t xml:space="preserve"> by recurring </w:t>
      </w:r>
      <w:r w:rsidR="00055F22" w:rsidRPr="007C0E5D">
        <w:t xml:space="preserve">to </w:t>
      </w:r>
      <w:r w:rsidRPr="007C0E5D">
        <w:t xml:space="preserve">the mechanical operations that are: dewatering, drying and agglomeration. The water removed from these operations is sent to a </w:t>
      </w:r>
      <w:r w:rsidR="00055F22" w:rsidRPr="007C0E5D">
        <w:t>waste</w:t>
      </w:r>
      <w:r w:rsidRPr="007C0E5D">
        <w:t xml:space="preserve">-water treatment for </w:t>
      </w:r>
      <w:r w:rsidR="003D2575" w:rsidRPr="007C0E5D">
        <w:t>nutrient</w:t>
      </w:r>
      <w:r w:rsidRPr="007C0E5D">
        <w:t xml:space="preserve"> recovery and water reuse. The heat to be used is recovered by the energy generation system so no fossil fuel is used </w:t>
      </w:r>
      <w:r w:rsidR="00055F22" w:rsidRPr="007C0E5D">
        <w:t>for</w:t>
      </w:r>
      <w:r w:rsidRPr="007C0E5D">
        <w:t xml:space="preserve"> the scope. The composition of the </w:t>
      </w:r>
      <w:proofErr w:type="gramStart"/>
      <w:r w:rsidRPr="007C0E5D">
        <w:t>bio-fuel</w:t>
      </w:r>
      <w:proofErr w:type="gramEnd"/>
      <w:r w:rsidRPr="007C0E5D">
        <w:t xml:space="preserve"> depends </w:t>
      </w:r>
      <w:r w:rsidR="003D2575" w:rsidRPr="007C0E5D">
        <w:t>on</w:t>
      </w:r>
      <w:r w:rsidRPr="007C0E5D">
        <w:t xml:space="preserve"> the biowaste used</w:t>
      </w:r>
      <w:r w:rsidR="0005437C" w:rsidRPr="007C0E5D">
        <w:t>;</w:t>
      </w:r>
      <w:r w:rsidRPr="007C0E5D">
        <w:t xml:space="preserve"> in the following that obtained by experiments with sludge is </w:t>
      </w:r>
      <w:r w:rsidR="00055F22" w:rsidRPr="007C0E5D">
        <w:t>used</w:t>
      </w:r>
      <w:r w:rsidRPr="007C0E5D">
        <w:t>.</w:t>
      </w:r>
      <w:r w:rsidR="0005437C" w:rsidRPr="007C0E5D">
        <w:t xml:space="preserve"> The hydrochar</w:t>
      </w:r>
      <w:r w:rsidR="000B34FE" w:rsidRPr="007C0E5D">
        <w:t>,</w:t>
      </w:r>
      <w:r w:rsidR="0005437C" w:rsidRPr="007C0E5D">
        <w:t xml:space="preserve"> and then the biofuel obtained </w:t>
      </w:r>
      <w:r w:rsidR="000B34FE" w:rsidRPr="007C0E5D">
        <w:t xml:space="preserve">from its drying and pelletizing, </w:t>
      </w:r>
      <w:r w:rsidR="0005437C" w:rsidRPr="007C0E5D">
        <w:t xml:space="preserve">is characterized by an ultimate composition depending on the severity of the </w:t>
      </w:r>
      <w:r w:rsidR="000B34FE" w:rsidRPr="007C0E5D">
        <w:t xml:space="preserve">HTC </w:t>
      </w:r>
      <w:r w:rsidR="0005437C" w:rsidRPr="007C0E5D">
        <w:t xml:space="preserve">process parameters </w:t>
      </w:r>
      <w:r w:rsidR="000B34FE" w:rsidRPr="007C0E5D">
        <w:t xml:space="preserve">and by the initial composition of the biowaste. </w:t>
      </w:r>
      <w:r w:rsidR="000F28A8" w:rsidRPr="007C0E5D">
        <w:t xml:space="preserve">More specifically, the H/C and O/C ratios </w:t>
      </w:r>
      <w:r w:rsidR="003D2575" w:rsidRPr="007C0E5D">
        <w:t>depend</w:t>
      </w:r>
      <w:r w:rsidR="000F28A8" w:rsidRPr="007C0E5D">
        <w:t xml:space="preserve"> on the HTC process conditions while the ash fraction depends on the initial biowaste composition. Another important feature is the carbon structure in the hydrochar: starting from cellulosic </w:t>
      </w:r>
      <w:r w:rsidR="00E03AF1" w:rsidRPr="007C0E5D">
        <w:t>biomass, a granular and porous hydrochar is produced, starting from a sludge, for which the carbon is dissolved in water, a carbon-rich powder is obtained.</w:t>
      </w:r>
    </w:p>
    <w:p w14:paraId="055D4FF5" w14:textId="25C471FF" w:rsidR="00721A1F" w:rsidRPr="007C0E5D" w:rsidRDefault="00083EC6" w:rsidP="009A4333">
      <w:pPr>
        <w:pStyle w:val="CETheadingx"/>
      </w:pPr>
      <w:r w:rsidRPr="007C0E5D">
        <w:t xml:space="preserve">2.2.3 </w:t>
      </w:r>
      <w:r w:rsidR="00721A1F" w:rsidRPr="007C0E5D">
        <w:t xml:space="preserve">Waste-water treatment and </w:t>
      </w:r>
      <w:r w:rsidR="00055F22" w:rsidRPr="007C0E5D">
        <w:t xml:space="preserve">pure </w:t>
      </w:r>
      <w:proofErr w:type="spellStart"/>
      <w:r w:rsidR="00055F22" w:rsidRPr="007C0E5D">
        <w:t>demineralised</w:t>
      </w:r>
      <w:proofErr w:type="spellEnd"/>
      <w:r w:rsidR="00721A1F" w:rsidRPr="007C0E5D">
        <w:t xml:space="preserve"> water preparation</w:t>
      </w:r>
    </w:p>
    <w:p w14:paraId="48D0703D" w14:textId="6997F80E" w:rsidR="00BC265B" w:rsidRPr="007C0E5D" w:rsidRDefault="00BC265B" w:rsidP="00721A1F">
      <w:pPr>
        <w:pStyle w:val="CETBodytext"/>
      </w:pPr>
      <w:r w:rsidRPr="007C0E5D">
        <w:t xml:space="preserve">The waste-water treatment plant is used to recover the amount of pure water to feed the electrolysis process for hydrogen production and recover nutrients. </w:t>
      </w:r>
      <w:r w:rsidR="005D2B29" w:rsidRPr="007C0E5D">
        <w:t xml:space="preserve">The water used in the HTC reactor is rich in nutrients, dissolved and suspended carbon, </w:t>
      </w:r>
      <w:r w:rsidR="003D2575" w:rsidRPr="007C0E5D">
        <w:t xml:space="preserve">and </w:t>
      </w:r>
      <w:r w:rsidR="005D2B29" w:rsidRPr="007C0E5D">
        <w:t>soluble metals. The processes utilized to produce a stream of water suitable to be recovered as pure water for hydrogen production are well known in the industry and scientific literature (</w:t>
      </w:r>
      <w:r w:rsidR="00F46FA6" w:rsidRPr="007C0E5D">
        <w:t>Bouchareb et a., 2022</w:t>
      </w:r>
      <w:r w:rsidR="004837DA" w:rsidRPr="007C0E5D">
        <w:t>, Beswick et al., 2021</w:t>
      </w:r>
      <w:r w:rsidR="005D2B29" w:rsidRPr="007C0E5D">
        <w:t xml:space="preserve">). In the model we consider a </w:t>
      </w:r>
      <w:r w:rsidR="00F46FA6" w:rsidRPr="007C0E5D">
        <w:t xml:space="preserve">hybrid process including evaporation and reverse osmosis (RO) membrane that </w:t>
      </w:r>
      <w:r w:rsidR="003D2575" w:rsidRPr="007C0E5D">
        <w:t>results</w:t>
      </w:r>
      <w:r w:rsidR="00F46FA6" w:rsidRPr="007C0E5D">
        <w:t xml:space="preserve"> to be effective and applicable to </w:t>
      </w:r>
      <w:r w:rsidR="003A6DED" w:rsidRPr="007C0E5D">
        <w:t>the case study. Obviously, the RO process is applied only to the water stream addressed to H</w:t>
      </w:r>
      <w:r w:rsidR="003A6DED" w:rsidRPr="007C0E5D">
        <w:rPr>
          <w:vertAlign w:val="subscript"/>
        </w:rPr>
        <w:t>2</w:t>
      </w:r>
      <w:r w:rsidR="003A6DED" w:rsidRPr="007C0E5D">
        <w:t xml:space="preserve"> production </w:t>
      </w:r>
      <w:r w:rsidR="004837DA" w:rsidRPr="007C0E5D">
        <w:t>to</w:t>
      </w:r>
      <w:r w:rsidR="003A6DED" w:rsidRPr="007C0E5D">
        <w:t xml:space="preserve"> keep the cost low.</w:t>
      </w:r>
      <w:r w:rsidR="00F46FA6" w:rsidRPr="007C0E5D">
        <w:t xml:space="preserve"> </w:t>
      </w:r>
      <w:r w:rsidRPr="007C0E5D">
        <w:t>Th</w:t>
      </w:r>
      <w:r w:rsidR="003A6DED" w:rsidRPr="007C0E5D">
        <w:t>ese</w:t>
      </w:r>
      <w:r w:rsidRPr="007C0E5D">
        <w:t xml:space="preserve"> process</w:t>
      </w:r>
      <w:r w:rsidR="003A6DED" w:rsidRPr="007C0E5D">
        <w:t>es are</w:t>
      </w:r>
      <w:r w:rsidRPr="007C0E5D">
        <w:t xml:space="preserve"> not described in</w:t>
      </w:r>
      <w:r w:rsidR="005D2B29" w:rsidRPr="007C0E5D">
        <w:t xml:space="preserve"> detail in</w:t>
      </w:r>
      <w:r w:rsidRPr="007C0E5D">
        <w:t xml:space="preserve"> the model and in the following calculations.</w:t>
      </w:r>
    </w:p>
    <w:p w14:paraId="169CE46E" w14:textId="2E480C28" w:rsidR="00721A1F" w:rsidRPr="007C0E5D" w:rsidRDefault="00083EC6" w:rsidP="009A4333">
      <w:pPr>
        <w:pStyle w:val="CETheadingx"/>
      </w:pPr>
      <w:r w:rsidRPr="007C0E5D">
        <w:t xml:space="preserve">2.2.4 </w:t>
      </w:r>
      <w:r w:rsidR="00721A1F" w:rsidRPr="007C0E5D">
        <w:t xml:space="preserve">Bubbling </w:t>
      </w:r>
      <w:r w:rsidR="00D9072E" w:rsidRPr="007C0E5D">
        <w:t>Fluidized</w:t>
      </w:r>
      <w:r w:rsidR="00721A1F" w:rsidRPr="007C0E5D">
        <w:t xml:space="preserve"> Bed Gasifier</w:t>
      </w:r>
    </w:p>
    <w:p w14:paraId="1B2484DC" w14:textId="21C6FB00" w:rsidR="00721A1F" w:rsidRPr="007C0E5D" w:rsidRDefault="006979D0" w:rsidP="00721A1F">
      <w:pPr>
        <w:pStyle w:val="CETBodytext"/>
      </w:pPr>
      <w:r w:rsidRPr="007C0E5D">
        <w:t xml:space="preserve">Gasification can be defined as the conversion of carbonaceous material into a gaseous product that consists of hydrogen, carbon monoxide, carbon dioxide, methane, lower amounts of light hydrocarbons (C2-C8), and nitrogen (if air is used as gasifying agent). The gasification process is performed in the presence of a gasifying agent (in this specific case a mixture of air and oxygen) at elevated temperatures (850-1000°C) and at atmospheric pressure. Bubbling fluidized bed gasification plants can be configured to utilize more efficient energy conversion systems, such as gas engines and gas turbines which potentially have higher electrical generation efficiencies. The utilization of oxygen-enriched air as gasifying agent is expected </w:t>
      </w:r>
      <w:r w:rsidR="00055F22" w:rsidRPr="007C0E5D">
        <w:t>favorable</w:t>
      </w:r>
      <w:r w:rsidRPr="007C0E5D">
        <w:t xml:space="preserve"> to the production of valuable gas. Its utilization could produce a gas with a higher calorific value and a lower concentration of tar compare with the use of air. </w:t>
      </w:r>
    </w:p>
    <w:p w14:paraId="25946850" w14:textId="7F25C1CB" w:rsidR="00721A1F" w:rsidRPr="007C0E5D" w:rsidRDefault="00083EC6" w:rsidP="009A4333">
      <w:pPr>
        <w:pStyle w:val="CETheadingx"/>
      </w:pPr>
      <w:r w:rsidRPr="007C0E5D">
        <w:t xml:space="preserve">2.2.5 </w:t>
      </w:r>
      <w:r w:rsidR="00721A1F" w:rsidRPr="007C0E5D">
        <w:t>Energy generation</w:t>
      </w:r>
    </w:p>
    <w:p w14:paraId="3BCA64E1" w14:textId="0B8C9192" w:rsidR="00721A1F" w:rsidRPr="007C0E5D" w:rsidRDefault="00BC265B" w:rsidP="00721A1F">
      <w:pPr>
        <w:pStyle w:val="CETBodytext"/>
      </w:pPr>
      <w:r w:rsidRPr="007C0E5D">
        <w:t xml:space="preserve">The syngas produced by the enriched air gasification is sent to a conditioning line for tar </w:t>
      </w:r>
      <w:r w:rsidR="008564E2" w:rsidRPr="007C0E5D">
        <w:t>conditioning</w:t>
      </w:r>
      <w:r w:rsidRPr="007C0E5D">
        <w:t xml:space="preserve"> and </w:t>
      </w:r>
      <w:r w:rsidR="008564E2" w:rsidRPr="007C0E5D">
        <w:t>t</w:t>
      </w:r>
      <w:r w:rsidRPr="007C0E5D">
        <w:t xml:space="preserve">o a gas turbine coupled </w:t>
      </w:r>
      <w:r w:rsidR="008564E2" w:rsidRPr="007C0E5D">
        <w:t xml:space="preserve">with </w:t>
      </w:r>
      <w:r w:rsidR="003D2575" w:rsidRPr="007C0E5D">
        <w:t>an</w:t>
      </w:r>
      <w:r w:rsidR="008564E2" w:rsidRPr="007C0E5D">
        <w:t xml:space="preserve"> </w:t>
      </w:r>
      <w:r w:rsidRPr="007C0E5D">
        <w:t xml:space="preserve">ORC </w:t>
      </w:r>
      <w:r w:rsidR="008564E2" w:rsidRPr="007C0E5D">
        <w:t xml:space="preserve">circuit </w:t>
      </w:r>
      <w:r w:rsidRPr="007C0E5D">
        <w:t xml:space="preserve">for </w:t>
      </w:r>
      <w:r w:rsidR="008564E2" w:rsidRPr="007C0E5D">
        <w:t>electricity</w:t>
      </w:r>
      <w:r w:rsidRPr="007C0E5D">
        <w:t xml:space="preserve"> generation</w:t>
      </w:r>
      <w:r w:rsidR="007A24A5" w:rsidRPr="007C0E5D">
        <w:t xml:space="preserve">. </w:t>
      </w:r>
      <w:r w:rsidRPr="007C0E5D">
        <w:t xml:space="preserve">Electricity is used </w:t>
      </w:r>
      <w:r w:rsidR="008564E2" w:rsidRPr="007C0E5D">
        <w:t xml:space="preserve">mainly </w:t>
      </w:r>
      <w:r w:rsidRPr="007C0E5D">
        <w:t xml:space="preserve">for green hydrogen production </w:t>
      </w:r>
      <w:r w:rsidR="00DD5AFF" w:rsidRPr="007C0E5D">
        <w:t>but is enough to cover the</w:t>
      </w:r>
      <w:r w:rsidRPr="007C0E5D">
        <w:t xml:space="preserve"> self-consum</w:t>
      </w:r>
      <w:r w:rsidR="00DD5AFF" w:rsidRPr="007C0E5D">
        <w:t>ptions</w:t>
      </w:r>
      <w:r w:rsidRPr="007C0E5D">
        <w:t xml:space="preserve"> of the whole plant (except optional B3 and nutrients recovery, not included in the calculations). </w:t>
      </w:r>
      <w:r w:rsidR="008564E2" w:rsidRPr="007C0E5D">
        <w:t xml:space="preserve">The utilization of a </w:t>
      </w:r>
      <w:r w:rsidRPr="007C0E5D">
        <w:t xml:space="preserve">gas turbine </w:t>
      </w:r>
      <w:r w:rsidR="008564E2" w:rsidRPr="007C0E5D">
        <w:t>requires to use a clean syngas, without trace of condensable hydrocarbons, completely dried and compressed</w:t>
      </w:r>
      <w:r w:rsidRPr="007C0E5D">
        <w:t>.</w:t>
      </w:r>
      <w:r w:rsidR="008564E2" w:rsidRPr="007C0E5D">
        <w:t xml:space="preserve"> The </w:t>
      </w:r>
      <w:r w:rsidR="00DD5AFF" w:rsidRPr="007C0E5D">
        <w:t xml:space="preserve">tar conversion is obtained by using a plasma cracker using an oxygen-steam ionized stream to promote, in a very fast sequence of reactions, cracking, partial oxidation and hydrocarbons reforming. The tar conversion allows to increase the syngas yield and its calorific value. After the </w:t>
      </w:r>
      <w:r w:rsidR="0030569C" w:rsidRPr="007C0E5D">
        <w:t xml:space="preserve">tar conversion, the syngas is sent to </w:t>
      </w:r>
      <w:r w:rsidR="007A24A5" w:rsidRPr="007C0E5D">
        <w:t xml:space="preserve">a heat recovery system that </w:t>
      </w:r>
      <w:r w:rsidR="008B03CD" w:rsidRPr="007C0E5D">
        <w:t>allows</w:t>
      </w:r>
      <w:r w:rsidR="007A24A5" w:rsidRPr="007C0E5D">
        <w:t xml:space="preserve"> the parallel cooling </w:t>
      </w:r>
      <w:r w:rsidR="008B03CD" w:rsidRPr="007C0E5D">
        <w:t xml:space="preserve">of syngas and heating of diathermic oil; the cooled syngas is sent to </w:t>
      </w:r>
      <w:r w:rsidR="0030569C" w:rsidRPr="007C0E5D">
        <w:t xml:space="preserve">a </w:t>
      </w:r>
      <w:r w:rsidR="003D2575" w:rsidRPr="007C0E5D">
        <w:t>double-stage</w:t>
      </w:r>
      <w:r w:rsidR="0030569C" w:rsidRPr="007C0E5D">
        <w:t xml:space="preserve"> scrubber for removal of alkali and acids and finally to a drier for removal of any trace of water. The conditioned syngas is sent to a gas compressor and fed to the gas turbine; this latter will use natu</w:t>
      </w:r>
      <w:r w:rsidR="007A24A5" w:rsidRPr="007C0E5D">
        <w:t>r</w:t>
      </w:r>
      <w:r w:rsidR="0030569C" w:rsidRPr="007C0E5D">
        <w:t>al gas as a</w:t>
      </w:r>
      <w:r w:rsidR="007A24A5" w:rsidRPr="007C0E5D">
        <w:t>dditional fuel to ensure stable electricity production. The flue gas from gas turbine, at 400°C, will be used for additional electricity production in a</w:t>
      </w:r>
      <w:r w:rsidR="008B03CD" w:rsidRPr="007C0E5D">
        <w:t>n</w:t>
      </w:r>
      <w:r w:rsidR="007A24A5" w:rsidRPr="007C0E5D">
        <w:t xml:space="preserve"> ORC production. </w:t>
      </w:r>
    </w:p>
    <w:p w14:paraId="7360AC31" w14:textId="09A5930A" w:rsidR="00721A1F" w:rsidRPr="007C0E5D" w:rsidRDefault="00083EC6" w:rsidP="008542F3">
      <w:pPr>
        <w:pStyle w:val="CETheadingx"/>
      </w:pPr>
      <w:r w:rsidRPr="007C0E5D">
        <w:t xml:space="preserve">2.2.6 </w:t>
      </w:r>
      <w:r w:rsidR="00721A1F" w:rsidRPr="007C0E5D">
        <w:t>Electrolysis</w:t>
      </w:r>
    </w:p>
    <w:p w14:paraId="7302FD86" w14:textId="5E91399D" w:rsidR="00850C4C" w:rsidRPr="007C0E5D" w:rsidRDefault="00850C4C" w:rsidP="00850C4C">
      <w:pPr>
        <w:pStyle w:val="CETBodytext"/>
        <w:rPr>
          <w:lang w:val="en-GB"/>
        </w:rPr>
      </w:pPr>
      <w:r w:rsidRPr="007C0E5D">
        <w:rPr>
          <w:lang w:val="en-GB"/>
        </w:rPr>
        <w:t>The electrolysis process allows the production of hydrogen from water obtained in section (III) of the plant. This process uses electricity to obtain a dissociation of the water molecules into the H</w:t>
      </w:r>
      <w:r w:rsidRPr="007C0E5D">
        <w:rPr>
          <w:vertAlign w:val="superscript"/>
          <w:lang w:val="en-GB"/>
        </w:rPr>
        <w:t>+</w:t>
      </w:r>
      <w:r w:rsidRPr="007C0E5D">
        <w:rPr>
          <w:lang w:val="en-GB"/>
        </w:rPr>
        <w:t xml:space="preserve"> and OH</w:t>
      </w:r>
      <w:r w:rsidRPr="007C0E5D">
        <w:rPr>
          <w:vertAlign w:val="superscript"/>
          <w:lang w:val="en-GB"/>
        </w:rPr>
        <w:t>-</w:t>
      </w:r>
      <w:r w:rsidRPr="007C0E5D">
        <w:rPr>
          <w:lang w:val="en-GB"/>
        </w:rPr>
        <w:t xml:space="preserve"> ions, which, by reacting respectively with the anode and cathode, produce molecules of hydrogen H</w:t>
      </w:r>
      <w:r w:rsidRPr="007C0E5D">
        <w:rPr>
          <w:vertAlign w:val="subscript"/>
          <w:lang w:val="en-GB"/>
        </w:rPr>
        <w:t>2</w:t>
      </w:r>
      <w:r w:rsidRPr="007C0E5D">
        <w:rPr>
          <w:lang w:val="en-GB"/>
        </w:rPr>
        <w:t xml:space="preserve"> and oxygen O</w:t>
      </w:r>
      <w:r w:rsidRPr="007C0E5D">
        <w:rPr>
          <w:vertAlign w:val="subscript"/>
          <w:lang w:val="en-GB"/>
        </w:rPr>
        <w:t>2</w:t>
      </w:r>
      <w:r w:rsidRPr="007C0E5D">
        <w:rPr>
          <w:lang w:val="en-GB"/>
        </w:rPr>
        <w:t>.</w:t>
      </w:r>
    </w:p>
    <w:p w14:paraId="54C4F890" w14:textId="4934D888" w:rsidR="00850C4C" w:rsidRPr="007C0E5D" w:rsidRDefault="00850C4C" w:rsidP="00850C4C">
      <w:pPr>
        <w:pStyle w:val="CETBodytext"/>
        <w:rPr>
          <w:lang w:val="en-GB"/>
        </w:rPr>
      </w:pPr>
      <w:r w:rsidRPr="007C0E5D">
        <w:rPr>
          <w:lang w:val="en-GB"/>
        </w:rPr>
        <w:t xml:space="preserve">The main </w:t>
      </w:r>
      <w:proofErr w:type="spellStart"/>
      <w:r w:rsidR="003D2575" w:rsidRPr="007C0E5D">
        <w:rPr>
          <w:lang w:val="en-GB"/>
        </w:rPr>
        <w:t>electrolyzer</w:t>
      </w:r>
      <w:proofErr w:type="spellEnd"/>
      <w:r w:rsidRPr="007C0E5D">
        <w:rPr>
          <w:lang w:val="en-GB"/>
        </w:rPr>
        <w:t xml:space="preserve"> technologies that exist today whit with an appreciable diffusion are:</w:t>
      </w:r>
    </w:p>
    <w:p w14:paraId="238081F5" w14:textId="44227130" w:rsidR="00850C4C" w:rsidRPr="007C0E5D" w:rsidRDefault="00850C4C" w:rsidP="00850C4C">
      <w:pPr>
        <w:pStyle w:val="CETBodytext"/>
        <w:numPr>
          <w:ilvl w:val="0"/>
          <w:numId w:val="29"/>
        </w:numPr>
        <w:rPr>
          <w:lang w:val="en-GB"/>
        </w:rPr>
      </w:pPr>
      <w:r w:rsidRPr="007C0E5D">
        <w:rPr>
          <w:lang w:val="en-GB"/>
        </w:rPr>
        <w:t>AEC (alkaline electrolytic cell), operating at low temperatures</w:t>
      </w:r>
      <w:r w:rsidR="00FE2AF9" w:rsidRPr="007C0E5D">
        <w:rPr>
          <w:lang w:val="en-GB"/>
        </w:rPr>
        <w:t xml:space="preserve"> and pressures</w:t>
      </w:r>
      <w:r w:rsidRPr="007C0E5D">
        <w:rPr>
          <w:lang w:val="en-GB"/>
        </w:rPr>
        <w:t>.</w:t>
      </w:r>
    </w:p>
    <w:p w14:paraId="14065F16" w14:textId="4A059696" w:rsidR="00850C4C" w:rsidRPr="007C0E5D" w:rsidRDefault="00850C4C" w:rsidP="00850C4C">
      <w:pPr>
        <w:pStyle w:val="CETBodytext"/>
        <w:numPr>
          <w:ilvl w:val="0"/>
          <w:numId w:val="29"/>
        </w:numPr>
        <w:rPr>
          <w:lang w:val="en-GB"/>
        </w:rPr>
      </w:pPr>
      <w:r w:rsidRPr="007C0E5D">
        <w:rPr>
          <w:lang w:val="en-GB"/>
        </w:rPr>
        <w:t>PEM, proton exchange membranes, operating at low temperatures</w:t>
      </w:r>
      <w:r w:rsidR="00FE2AF9" w:rsidRPr="007C0E5D">
        <w:rPr>
          <w:lang w:val="en-GB"/>
        </w:rPr>
        <w:t xml:space="preserve"> and high pressures</w:t>
      </w:r>
      <w:r w:rsidRPr="007C0E5D">
        <w:rPr>
          <w:lang w:val="en-GB"/>
        </w:rPr>
        <w:t xml:space="preserve">, </w:t>
      </w:r>
      <w:r w:rsidR="00FE2AF9" w:rsidRPr="007C0E5D">
        <w:rPr>
          <w:lang w:val="en-GB"/>
        </w:rPr>
        <w:t>in which protons pass through a special membrane</w:t>
      </w:r>
    </w:p>
    <w:p w14:paraId="537A829E" w14:textId="781E7ADC" w:rsidR="00850C4C" w:rsidRPr="007C0E5D" w:rsidRDefault="00850C4C" w:rsidP="00FE2AF9">
      <w:pPr>
        <w:pStyle w:val="CETBodytext"/>
        <w:numPr>
          <w:ilvl w:val="0"/>
          <w:numId w:val="29"/>
        </w:numPr>
        <w:rPr>
          <w:lang w:val="en-GB"/>
        </w:rPr>
      </w:pPr>
      <w:r w:rsidRPr="007C0E5D">
        <w:rPr>
          <w:lang w:val="en-GB"/>
        </w:rPr>
        <w:lastRenderedPageBreak/>
        <w:t>AEM (Anion Exchange Membrane)</w:t>
      </w:r>
      <w:r w:rsidR="00FE2AF9" w:rsidRPr="007C0E5D">
        <w:rPr>
          <w:lang w:val="en-GB"/>
        </w:rPr>
        <w:t>, operating at low temperatures and high pressures, in which anions pass through a special membrane</w:t>
      </w:r>
    </w:p>
    <w:p w14:paraId="1DF1C702" w14:textId="3C4D0EE4" w:rsidR="00850C4C" w:rsidRPr="007C0E5D" w:rsidRDefault="00850C4C" w:rsidP="00850C4C">
      <w:pPr>
        <w:pStyle w:val="CETBodytext"/>
        <w:numPr>
          <w:ilvl w:val="0"/>
          <w:numId w:val="29"/>
        </w:numPr>
        <w:rPr>
          <w:lang w:val="en-GB"/>
        </w:rPr>
      </w:pPr>
      <w:r w:rsidRPr="007C0E5D">
        <w:rPr>
          <w:lang w:val="en-GB"/>
        </w:rPr>
        <w:t>SOEC (Solid Oxide Electrolysis Cells),</w:t>
      </w:r>
      <w:r w:rsidR="00FE2AF9" w:rsidRPr="007C0E5D">
        <w:rPr>
          <w:lang w:val="en-GB"/>
        </w:rPr>
        <w:t xml:space="preserve"> operating at high temperatures (700-800°C).</w:t>
      </w:r>
    </w:p>
    <w:p w14:paraId="5F6C68DF" w14:textId="77777777" w:rsidR="00850C4C" w:rsidRPr="007C0E5D" w:rsidRDefault="00850C4C" w:rsidP="00850C4C">
      <w:pPr>
        <w:pStyle w:val="CETBodytext"/>
        <w:rPr>
          <w:lang w:val="en-GB"/>
        </w:rPr>
      </w:pPr>
    </w:p>
    <w:p w14:paraId="53F363E9" w14:textId="51261B89" w:rsidR="00850C4C" w:rsidRPr="007C0E5D" w:rsidRDefault="00850C4C" w:rsidP="00C913B6">
      <w:pPr>
        <w:pStyle w:val="CETBodytext"/>
        <w:rPr>
          <w:lang w:val="en-GB"/>
        </w:rPr>
      </w:pPr>
      <w:r w:rsidRPr="007C0E5D">
        <w:rPr>
          <w:lang w:val="en-GB"/>
        </w:rPr>
        <w:t xml:space="preserve">The AEC type was chosen as the technology to be adopted for </w:t>
      </w:r>
      <w:r w:rsidR="00FE2AF9" w:rsidRPr="007C0E5D">
        <w:rPr>
          <w:lang w:val="en-GB"/>
        </w:rPr>
        <w:t>Electrolysis</w:t>
      </w:r>
      <w:r w:rsidRPr="007C0E5D">
        <w:rPr>
          <w:lang w:val="en-GB"/>
        </w:rPr>
        <w:t xml:space="preserve">, as it is the most widespread, dominating with 61% of </w:t>
      </w:r>
      <w:r w:rsidR="003D2575" w:rsidRPr="007C0E5D">
        <w:rPr>
          <w:lang w:val="en-GB"/>
        </w:rPr>
        <w:t xml:space="preserve">the </w:t>
      </w:r>
      <w:r w:rsidRPr="007C0E5D">
        <w:rPr>
          <w:lang w:val="en-GB"/>
        </w:rPr>
        <w:t>installed capacity of hydrogen production in 2020 (IEA, "Global Hydrogen Review", 2021).</w:t>
      </w:r>
    </w:p>
    <w:p w14:paraId="2C3C6238" w14:textId="32082713" w:rsidR="00BC265B" w:rsidRPr="007C0E5D" w:rsidRDefault="008542F3" w:rsidP="00BC265B">
      <w:pPr>
        <w:pStyle w:val="CETHeading1"/>
        <w:rPr>
          <w:lang w:val="en-GB"/>
        </w:rPr>
      </w:pPr>
      <w:r w:rsidRPr="007C0E5D">
        <w:rPr>
          <w:lang w:val="en-GB"/>
        </w:rPr>
        <w:t xml:space="preserve">3. </w:t>
      </w:r>
      <w:r w:rsidR="00BC265B" w:rsidRPr="007C0E5D">
        <w:rPr>
          <w:lang w:val="en-GB"/>
        </w:rPr>
        <w:t>The mass and energy balance</w:t>
      </w:r>
    </w:p>
    <w:p w14:paraId="61EE18B9" w14:textId="78AF7ADA" w:rsidR="00BC265B" w:rsidRPr="007C0E5D" w:rsidRDefault="008542F3" w:rsidP="00BC265B">
      <w:pPr>
        <w:pStyle w:val="CETheadingx"/>
      </w:pPr>
      <w:r w:rsidRPr="007C0E5D">
        <w:t xml:space="preserve">3.1 </w:t>
      </w:r>
      <w:r w:rsidR="00BC265B" w:rsidRPr="007C0E5D">
        <w:t>The block diagram</w:t>
      </w:r>
    </w:p>
    <w:p w14:paraId="3B066876" w14:textId="34E479E7" w:rsidR="00BC265B" w:rsidRPr="007C0E5D" w:rsidRDefault="00752F28" w:rsidP="00BC265B">
      <w:pPr>
        <w:pStyle w:val="CETBodytext"/>
      </w:pPr>
      <w:r w:rsidRPr="007C0E5D">
        <w:t>The block diagram of the model is reported in figure 2. Each unit process is represented by a block where input and output lines repre</w:t>
      </w:r>
      <w:r w:rsidR="004328C3" w:rsidRPr="007C0E5D">
        <w:t>se</w:t>
      </w:r>
      <w:r w:rsidRPr="007C0E5D">
        <w:t xml:space="preserve">nt </w:t>
      </w:r>
      <w:r w:rsidR="004328C3" w:rsidRPr="007C0E5D">
        <w:t xml:space="preserve">mass flows. </w:t>
      </w:r>
    </w:p>
    <w:p w14:paraId="777C7173" w14:textId="3DFB3268" w:rsidR="00055F22" w:rsidRPr="007C0E5D" w:rsidRDefault="00055F22" w:rsidP="00055F22">
      <w:pPr>
        <w:pStyle w:val="CETBodytext"/>
      </w:pPr>
      <w:r w:rsidRPr="007C0E5D">
        <w:t>The import data is the biowaste that is already mixed with the desired amount of water to carry out the HTC process under the cited operating conditions. The HTC process converts the solid fraction of the biowaste into hydrochar and a small fraction of gas containing more than 95% of carbon dioxide; the leachate is rich in nutrients and contains dissolved carbon. Hydrochar flow is removed with a fraction of water since the remaining part, about 60-70%, is left evaporating before the hydrochar discharge.</w:t>
      </w:r>
    </w:p>
    <w:p w14:paraId="39BD4705" w14:textId="7678FA9A" w:rsidR="00DF28B0" w:rsidRPr="007C0E5D" w:rsidRDefault="00055F22" w:rsidP="00055F22">
      <w:pPr>
        <w:pStyle w:val="CETBodytext"/>
      </w:pPr>
      <w:r w:rsidRPr="007C0E5D">
        <w:t xml:space="preserve">The water content </w:t>
      </w:r>
      <w:r w:rsidR="00DF28B0" w:rsidRPr="007C0E5D">
        <w:t xml:space="preserve">in the hydrochar extracted from the HTC reactor </w:t>
      </w:r>
      <w:r w:rsidRPr="007C0E5D">
        <w:t>is removed mechanically in the dewatering stage with a good efficacy since hydrochar is hydrous phobic.</w:t>
      </w:r>
      <w:r w:rsidR="00D51787" w:rsidRPr="007C0E5D">
        <w:t xml:space="preserve"> </w:t>
      </w:r>
      <w:r w:rsidRPr="007C0E5D">
        <w:t>The biofuel preparation consists in an agglomeration system heated with the hot oil (300°C) obtained by the heat recovery system (note that auxiliaries are not shown). The water content is controlled and maintained below 15%.</w:t>
      </w:r>
      <w:r w:rsidR="00D51787" w:rsidRPr="007C0E5D">
        <w:t xml:space="preserve"> </w:t>
      </w:r>
    </w:p>
    <w:p w14:paraId="3163C56C" w14:textId="19EED0BD" w:rsidR="00055F22" w:rsidRPr="007C0E5D" w:rsidRDefault="00055F22" w:rsidP="00055F22">
      <w:pPr>
        <w:pStyle w:val="CETBodytext"/>
      </w:pPr>
      <w:r w:rsidRPr="007C0E5D">
        <w:t xml:space="preserve">The biofuel is fed to the bubbling </w:t>
      </w:r>
      <w:r w:rsidR="003D2575" w:rsidRPr="007C0E5D">
        <w:t>fluidized</w:t>
      </w:r>
      <w:r w:rsidRPr="007C0E5D">
        <w:t xml:space="preserve"> bed gasifier together with an oxygen-air mixture in a ratio suitable to reach an equivalence ratio of 0.20-0.25. The resulting syngas is sent to the conditioning and energy recovery from which electricity, heat and ashes are obtained as outputs.</w:t>
      </w:r>
    </w:p>
    <w:p w14:paraId="5B999A86" w14:textId="6B89F2E9" w:rsidR="00055F22" w:rsidRPr="007C0E5D" w:rsidRDefault="00055F22" w:rsidP="00055F22">
      <w:pPr>
        <w:pStyle w:val="CETBodytext"/>
      </w:pPr>
      <w:r w:rsidRPr="007C0E5D">
        <w:t xml:space="preserve">The electricity produced is used to power the electrolysis section that uses 1MW for producing hydrogen with an efficiency of 65%. The electrolysis also uses a small portion of the water recovered from the HTC reactor after a process consisting in a slow evaporation-condensation of the steam and a reverse osmosis applied only to the stream of water to be sent to </w:t>
      </w:r>
      <w:proofErr w:type="spellStart"/>
      <w:r w:rsidR="003D2575" w:rsidRPr="007C0E5D">
        <w:t>electrolyzer</w:t>
      </w:r>
      <w:proofErr w:type="spellEnd"/>
      <w:r w:rsidRPr="007C0E5D">
        <w:t xml:space="preserve">. </w:t>
      </w:r>
    </w:p>
    <w:p w14:paraId="5B8908E0" w14:textId="0E369DB5" w:rsidR="00055F22" w:rsidRPr="007C0E5D" w:rsidRDefault="00055F22" w:rsidP="00055F22">
      <w:pPr>
        <w:pStyle w:val="CETBodytext"/>
      </w:pPr>
      <w:r w:rsidRPr="007C0E5D">
        <w:t xml:space="preserve">The evaporation is </w:t>
      </w:r>
      <w:r w:rsidR="003D2575" w:rsidRPr="007C0E5D">
        <w:t>realized</w:t>
      </w:r>
      <w:r w:rsidRPr="007C0E5D">
        <w:t xml:space="preserve"> by using the accumulated sensible heat in the water during the HTC process and it is </w:t>
      </w:r>
      <w:r w:rsidR="003D2575" w:rsidRPr="007C0E5D">
        <w:t>realized</w:t>
      </w:r>
      <w:r w:rsidRPr="007C0E5D">
        <w:t xml:space="preserve"> in such a way to </w:t>
      </w:r>
      <w:r w:rsidR="003D2575" w:rsidRPr="007C0E5D">
        <w:t>minimize</w:t>
      </w:r>
      <w:r w:rsidRPr="007C0E5D">
        <w:t xml:space="preserve"> </w:t>
      </w:r>
      <w:r w:rsidR="003D2575" w:rsidRPr="007C0E5D">
        <w:t xml:space="preserve">the </w:t>
      </w:r>
      <w:r w:rsidRPr="007C0E5D">
        <w:t xml:space="preserve">transportation of nutrients and fines. Operating in this way allows to have a leachate with high content in nutrients and dissolved organic carbon DOC from the dewatering section that is possibly used as </w:t>
      </w:r>
      <w:r w:rsidR="003D2575" w:rsidRPr="007C0E5D">
        <w:t>fertilizer</w:t>
      </w:r>
      <w:r w:rsidRPr="007C0E5D">
        <w:t xml:space="preserve"> or for nutrients recovery while the evaporated (and condensate) water retrieved from the top is enough dilute to be treated in a conventional waste-water treatment plant WWTP. </w:t>
      </w:r>
    </w:p>
    <w:p w14:paraId="7D0C49F4" w14:textId="7F08F0CE" w:rsidR="002E3FC6" w:rsidRPr="007C0E5D" w:rsidRDefault="00055F22" w:rsidP="00055F22">
      <w:pPr>
        <w:pStyle w:val="CETBodytext"/>
      </w:pPr>
      <w:r w:rsidRPr="007C0E5D">
        <w:t>In this model the WWTP is the origin plant of biowaste (sludge) so that the water returns to the water body after depuration.</w:t>
      </w:r>
    </w:p>
    <w:p w14:paraId="327BB14C" w14:textId="7C649D12" w:rsidR="002E3FC6" w:rsidRPr="007C0E5D" w:rsidRDefault="008542F3" w:rsidP="002E3FC6">
      <w:pPr>
        <w:pStyle w:val="CETheadingx"/>
      </w:pPr>
      <w:r w:rsidRPr="007C0E5D">
        <w:t xml:space="preserve">3.2 </w:t>
      </w:r>
      <w:r w:rsidR="002E3FC6" w:rsidRPr="007C0E5D">
        <w:t xml:space="preserve">The model assumptions </w:t>
      </w:r>
    </w:p>
    <w:p w14:paraId="4E4D71B9" w14:textId="604CF2A2" w:rsidR="002E3FC6" w:rsidRPr="007C0E5D" w:rsidRDefault="002E3FC6" w:rsidP="002E3FC6">
      <w:pPr>
        <w:pStyle w:val="CETBodytext"/>
      </w:pPr>
      <w:r w:rsidRPr="007C0E5D">
        <w:t xml:space="preserve">The mass and energy balances reported in figure 1 are the results of a series of sub-models applied to each block/unit process; the solving of the resulting equations requires a database that is in part derived by experimental campaign and in part from assumptions based on literature. </w:t>
      </w:r>
    </w:p>
    <w:p w14:paraId="0C109A21" w14:textId="77777777" w:rsidR="002E3FC6" w:rsidRPr="007C0E5D" w:rsidRDefault="002E3FC6" w:rsidP="002E3FC6">
      <w:pPr>
        <w:pStyle w:val="CETBodytext"/>
      </w:pPr>
      <w:r w:rsidRPr="007C0E5D">
        <w:t>In the following the main assumptions for the main unit processes are reported.</w:t>
      </w:r>
    </w:p>
    <w:p w14:paraId="73F5A83F" w14:textId="0A7489CC" w:rsidR="002E3FC6" w:rsidRPr="007C0E5D" w:rsidRDefault="002E3FC6" w:rsidP="002E3FC6">
      <w:pPr>
        <w:pStyle w:val="CETTabletitle"/>
        <w:sectPr w:rsidR="002E3FC6" w:rsidRPr="007C0E5D" w:rsidSect="00EF06D9">
          <w:type w:val="continuous"/>
          <w:pgSz w:w="11906" w:h="16838" w:code="9"/>
          <w:pgMar w:top="1701" w:right="1418" w:bottom="1701" w:left="1701" w:header="1701" w:footer="0" w:gutter="0"/>
          <w:cols w:space="708"/>
          <w:formProt w:val="0"/>
          <w:titlePg/>
          <w:docGrid w:linePitch="360"/>
        </w:sectPr>
      </w:pPr>
    </w:p>
    <w:p w14:paraId="324464EF" w14:textId="77777777" w:rsidR="002E3FC6" w:rsidRPr="007C0E5D" w:rsidRDefault="002E3FC6" w:rsidP="002E3FC6">
      <w:pPr>
        <w:pStyle w:val="CETTabletitle"/>
      </w:pPr>
      <w:r w:rsidRPr="007C0E5D">
        <w:t>Table 2: Biowaste characterization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091"/>
        <w:gridCol w:w="948"/>
      </w:tblGrid>
      <w:tr w:rsidR="007C0E5D" w:rsidRPr="007C0E5D" w14:paraId="176F1E4A" w14:textId="77777777" w:rsidTr="008542F3">
        <w:trPr>
          <w:trHeight w:val="227"/>
        </w:trPr>
        <w:tc>
          <w:tcPr>
            <w:tcW w:w="3261" w:type="dxa"/>
            <w:tcBorders>
              <w:top w:val="single" w:sz="12" w:space="0" w:color="008000"/>
              <w:bottom w:val="nil"/>
            </w:tcBorders>
            <w:shd w:val="clear" w:color="auto" w:fill="FFFFFF"/>
            <w:vAlign w:val="center"/>
          </w:tcPr>
          <w:p w14:paraId="04E0FBF8" w14:textId="77777777" w:rsidR="002E3FC6" w:rsidRPr="007C0E5D" w:rsidRDefault="002E3FC6" w:rsidP="0099509E">
            <w:pPr>
              <w:pStyle w:val="CETBodytext"/>
              <w:rPr>
                <w:lang w:val="en-GB"/>
              </w:rPr>
            </w:pPr>
            <w:r w:rsidRPr="007C0E5D">
              <w:t>Ash content (as produced)</w:t>
            </w:r>
          </w:p>
        </w:tc>
        <w:tc>
          <w:tcPr>
            <w:tcW w:w="992" w:type="dxa"/>
            <w:tcBorders>
              <w:top w:val="single" w:sz="12" w:space="0" w:color="008000"/>
              <w:bottom w:val="nil"/>
            </w:tcBorders>
            <w:shd w:val="clear" w:color="auto" w:fill="FFFFFF"/>
            <w:vAlign w:val="center"/>
          </w:tcPr>
          <w:p w14:paraId="462F1616" w14:textId="77777777" w:rsidR="002E3FC6" w:rsidRPr="007C0E5D" w:rsidRDefault="002E3FC6" w:rsidP="0099509E">
            <w:pPr>
              <w:pStyle w:val="CETBodytext"/>
              <w:rPr>
                <w:lang w:val="en-GB"/>
              </w:rPr>
            </w:pPr>
            <w:r w:rsidRPr="007C0E5D">
              <w:t>6%</w:t>
            </w:r>
          </w:p>
        </w:tc>
      </w:tr>
      <w:tr w:rsidR="007C0E5D" w:rsidRPr="007C0E5D" w14:paraId="2FD727C2" w14:textId="77777777" w:rsidTr="008542F3">
        <w:trPr>
          <w:trHeight w:val="227"/>
        </w:trPr>
        <w:tc>
          <w:tcPr>
            <w:tcW w:w="3261" w:type="dxa"/>
            <w:tcBorders>
              <w:top w:val="nil"/>
            </w:tcBorders>
            <w:shd w:val="clear" w:color="auto" w:fill="FFFFFF"/>
            <w:vAlign w:val="center"/>
          </w:tcPr>
          <w:p w14:paraId="1CE9BDA0" w14:textId="77777777" w:rsidR="002E3FC6" w:rsidRPr="007C0E5D" w:rsidRDefault="002E3FC6" w:rsidP="0099509E">
            <w:pPr>
              <w:pStyle w:val="CETBodytext"/>
              <w:ind w:right="-1"/>
              <w:rPr>
                <w:rFonts w:cs="Arial"/>
                <w:szCs w:val="18"/>
                <w:lang w:val="en-GB"/>
              </w:rPr>
            </w:pPr>
            <w:r w:rsidRPr="007C0E5D">
              <w:t>Carbon content (dry basis)</w:t>
            </w:r>
          </w:p>
        </w:tc>
        <w:tc>
          <w:tcPr>
            <w:tcW w:w="992" w:type="dxa"/>
            <w:tcBorders>
              <w:top w:val="nil"/>
            </w:tcBorders>
            <w:shd w:val="clear" w:color="auto" w:fill="FFFFFF"/>
            <w:vAlign w:val="center"/>
          </w:tcPr>
          <w:p w14:paraId="4E1C5434" w14:textId="77777777" w:rsidR="002E3FC6" w:rsidRPr="007C0E5D" w:rsidRDefault="002E3FC6" w:rsidP="0099509E">
            <w:pPr>
              <w:pStyle w:val="CETBodytext"/>
              <w:ind w:right="-1"/>
              <w:rPr>
                <w:rFonts w:cs="Arial"/>
                <w:szCs w:val="18"/>
                <w:lang w:val="en-GB"/>
              </w:rPr>
            </w:pPr>
            <w:r w:rsidRPr="007C0E5D">
              <w:t>33%</w:t>
            </w:r>
          </w:p>
        </w:tc>
      </w:tr>
    </w:tbl>
    <w:p w14:paraId="6C1D0149" w14:textId="77777777" w:rsidR="002E3FC6" w:rsidRPr="007C0E5D" w:rsidRDefault="002E3FC6" w:rsidP="002E3FC6">
      <w:pPr>
        <w:pStyle w:val="CETTabletitle"/>
      </w:pPr>
      <w:r w:rsidRPr="007C0E5D">
        <w:t>Table 3: HTC process parameters</w:t>
      </w:r>
    </w:p>
    <w:tbl>
      <w:tblPr>
        <w:tblW w:w="5000" w:type="pct"/>
        <w:tblBorders>
          <w:top w:val="single" w:sz="12" w:space="0" w:color="008000"/>
          <w:bottom w:val="single" w:sz="12" w:space="0" w:color="008000"/>
        </w:tblBorders>
        <w:tblCellMar>
          <w:left w:w="0" w:type="dxa"/>
          <w:right w:w="0" w:type="dxa"/>
        </w:tblCellMar>
        <w:tblLook w:val="0600" w:firstRow="0" w:lastRow="0" w:firstColumn="0" w:lastColumn="0" w:noHBand="1" w:noVBand="1"/>
      </w:tblPr>
      <w:tblGrid>
        <w:gridCol w:w="3119"/>
        <w:gridCol w:w="920"/>
      </w:tblGrid>
      <w:tr w:rsidR="007C0E5D" w:rsidRPr="007C0E5D" w14:paraId="6714DC91" w14:textId="77777777" w:rsidTr="00295B6E">
        <w:trPr>
          <w:trHeight w:val="227"/>
        </w:trPr>
        <w:tc>
          <w:tcPr>
            <w:tcW w:w="3861" w:type="pct"/>
            <w:shd w:val="clear" w:color="auto" w:fill="auto"/>
            <w:tcMar>
              <w:top w:w="15" w:type="dxa"/>
              <w:left w:w="15" w:type="dxa"/>
              <w:bottom w:w="0" w:type="dxa"/>
              <w:right w:w="15" w:type="dxa"/>
            </w:tcMar>
            <w:hideMark/>
          </w:tcPr>
          <w:p w14:paraId="2FC7361F" w14:textId="77777777" w:rsidR="002E3FC6" w:rsidRPr="007C0E5D" w:rsidRDefault="002E3FC6" w:rsidP="0099509E">
            <w:pPr>
              <w:pStyle w:val="CETBodytext"/>
            </w:pPr>
            <w:r w:rsidRPr="007C0E5D">
              <w:t>Gas production / dry solids yield</w:t>
            </w:r>
          </w:p>
        </w:tc>
        <w:tc>
          <w:tcPr>
            <w:tcW w:w="1139" w:type="pct"/>
            <w:shd w:val="clear" w:color="auto" w:fill="auto"/>
            <w:noWrap/>
            <w:tcMar>
              <w:top w:w="15" w:type="dxa"/>
              <w:left w:w="15" w:type="dxa"/>
              <w:bottom w:w="0" w:type="dxa"/>
              <w:right w:w="15" w:type="dxa"/>
            </w:tcMar>
            <w:hideMark/>
          </w:tcPr>
          <w:p w14:paraId="08740C9F" w14:textId="77777777" w:rsidR="002E3FC6" w:rsidRPr="007C0E5D" w:rsidRDefault="002E3FC6" w:rsidP="0099509E">
            <w:pPr>
              <w:pStyle w:val="CETBodytext"/>
            </w:pPr>
            <w:r w:rsidRPr="007C0E5D">
              <w:t>15%</w:t>
            </w:r>
          </w:p>
        </w:tc>
      </w:tr>
      <w:tr w:rsidR="007C0E5D" w:rsidRPr="007C0E5D" w14:paraId="2CDC71BF" w14:textId="77777777" w:rsidTr="00295B6E">
        <w:trPr>
          <w:trHeight w:val="227"/>
        </w:trPr>
        <w:tc>
          <w:tcPr>
            <w:tcW w:w="3861" w:type="pct"/>
            <w:shd w:val="clear" w:color="auto" w:fill="auto"/>
            <w:tcMar>
              <w:top w:w="15" w:type="dxa"/>
              <w:left w:w="15" w:type="dxa"/>
              <w:bottom w:w="0" w:type="dxa"/>
              <w:right w:w="15" w:type="dxa"/>
            </w:tcMar>
          </w:tcPr>
          <w:p w14:paraId="265E9858" w14:textId="77777777" w:rsidR="002E3FC6" w:rsidRPr="007C0E5D" w:rsidRDefault="002E3FC6" w:rsidP="0099509E">
            <w:pPr>
              <w:pStyle w:val="CETBodytext"/>
            </w:pPr>
            <w:proofErr w:type="spellStart"/>
            <w:r w:rsidRPr="007C0E5D">
              <w:t>Hydrochar</w:t>
            </w:r>
            <w:proofErr w:type="spellEnd"/>
            <w:r w:rsidRPr="007C0E5D">
              <w:t xml:space="preserve"> / dry solids yield </w:t>
            </w:r>
          </w:p>
        </w:tc>
        <w:tc>
          <w:tcPr>
            <w:tcW w:w="1139" w:type="pct"/>
            <w:shd w:val="clear" w:color="auto" w:fill="auto"/>
            <w:noWrap/>
            <w:tcMar>
              <w:top w:w="15" w:type="dxa"/>
              <w:left w:w="15" w:type="dxa"/>
              <w:bottom w:w="0" w:type="dxa"/>
              <w:right w:w="15" w:type="dxa"/>
            </w:tcMar>
          </w:tcPr>
          <w:p w14:paraId="16073081" w14:textId="77777777" w:rsidR="002E3FC6" w:rsidRPr="007C0E5D" w:rsidRDefault="002E3FC6" w:rsidP="0099509E">
            <w:pPr>
              <w:pStyle w:val="CETBodytext"/>
            </w:pPr>
            <w:r w:rsidRPr="007C0E5D">
              <w:t>70%</w:t>
            </w:r>
          </w:p>
        </w:tc>
      </w:tr>
      <w:tr w:rsidR="007C0E5D" w:rsidRPr="007C0E5D" w14:paraId="15F8FB75" w14:textId="77777777" w:rsidTr="00295B6E">
        <w:trPr>
          <w:trHeight w:val="227"/>
        </w:trPr>
        <w:tc>
          <w:tcPr>
            <w:tcW w:w="3861" w:type="pct"/>
            <w:shd w:val="clear" w:color="auto" w:fill="auto"/>
            <w:tcMar>
              <w:top w:w="15" w:type="dxa"/>
              <w:left w:w="15" w:type="dxa"/>
              <w:bottom w:w="0" w:type="dxa"/>
              <w:right w:w="15" w:type="dxa"/>
            </w:tcMar>
            <w:hideMark/>
          </w:tcPr>
          <w:p w14:paraId="20047EA9" w14:textId="77777777" w:rsidR="002E3FC6" w:rsidRPr="007C0E5D" w:rsidRDefault="002E3FC6" w:rsidP="0099509E">
            <w:pPr>
              <w:pStyle w:val="CETBodytext"/>
            </w:pPr>
            <w:r w:rsidRPr="007C0E5D">
              <w:t xml:space="preserve">Evaporated water fraction </w:t>
            </w:r>
          </w:p>
        </w:tc>
        <w:tc>
          <w:tcPr>
            <w:tcW w:w="1139" w:type="pct"/>
            <w:shd w:val="clear" w:color="auto" w:fill="auto"/>
            <w:noWrap/>
            <w:tcMar>
              <w:top w:w="15" w:type="dxa"/>
              <w:left w:w="15" w:type="dxa"/>
              <w:bottom w:w="0" w:type="dxa"/>
              <w:right w:w="15" w:type="dxa"/>
            </w:tcMar>
            <w:hideMark/>
          </w:tcPr>
          <w:p w14:paraId="677BDDCD" w14:textId="77777777" w:rsidR="002E3FC6" w:rsidRPr="007C0E5D" w:rsidRDefault="002E3FC6" w:rsidP="0099509E">
            <w:pPr>
              <w:pStyle w:val="CETBodytext"/>
            </w:pPr>
            <w:r w:rsidRPr="007C0E5D">
              <w:t>70%</w:t>
            </w:r>
          </w:p>
        </w:tc>
      </w:tr>
      <w:tr w:rsidR="007C0E5D" w:rsidRPr="007C0E5D" w14:paraId="39326B26" w14:textId="77777777" w:rsidTr="00295B6E">
        <w:trPr>
          <w:trHeight w:val="227"/>
        </w:trPr>
        <w:tc>
          <w:tcPr>
            <w:tcW w:w="3861" w:type="pct"/>
            <w:shd w:val="clear" w:color="auto" w:fill="auto"/>
            <w:tcMar>
              <w:top w:w="15" w:type="dxa"/>
              <w:left w:w="15" w:type="dxa"/>
              <w:bottom w:w="0" w:type="dxa"/>
              <w:right w:w="15" w:type="dxa"/>
            </w:tcMar>
            <w:hideMark/>
          </w:tcPr>
          <w:p w14:paraId="0BD38642" w14:textId="77777777" w:rsidR="002E3FC6" w:rsidRPr="007C0E5D" w:rsidRDefault="002E3FC6" w:rsidP="0099509E">
            <w:pPr>
              <w:pStyle w:val="CETBodytext"/>
            </w:pPr>
            <w:r w:rsidRPr="007C0E5D">
              <w:t>Power heat request: kW</w:t>
            </w:r>
          </w:p>
        </w:tc>
        <w:tc>
          <w:tcPr>
            <w:tcW w:w="1139" w:type="pct"/>
            <w:shd w:val="clear" w:color="auto" w:fill="auto"/>
            <w:noWrap/>
            <w:tcMar>
              <w:top w:w="15" w:type="dxa"/>
              <w:left w:w="15" w:type="dxa"/>
              <w:bottom w:w="0" w:type="dxa"/>
              <w:right w:w="15" w:type="dxa"/>
            </w:tcMar>
            <w:hideMark/>
          </w:tcPr>
          <w:p w14:paraId="4CD241C8" w14:textId="77777777" w:rsidR="002E3FC6" w:rsidRPr="007C0E5D" w:rsidRDefault="002E3FC6" w:rsidP="0099509E">
            <w:pPr>
              <w:pStyle w:val="CETBodytext"/>
            </w:pPr>
            <w:r w:rsidRPr="007C0E5D">
              <w:t>19493</w:t>
            </w:r>
          </w:p>
        </w:tc>
      </w:tr>
      <w:tr w:rsidR="007C0E5D" w:rsidRPr="007C0E5D" w14:paraId="75A77551" w14:textId="77777777" w:rsidTr="00295B6E">
        <w:trPr>
          <w:trHeight w:val="227"/>
        </w:trPr>
        <w:tc>
          <w:tcPr>
            <w:tcW w:w="3861" w:type="pct"/>
            <w:shd w:val="clear" w:color="auto" w:fill="auto"/>
            <w:tcMar>
              <w:top w:w="15" w:type="dxa"/>
              <w:left w:w="15" w:type="dxa"/>
              <w:bottom w:w="0" w:type="dxa"/>
              <w:right w:w="15" w:type="dxa"/>
            </w:tcMar>
            <w:hideMark/>
          </w:tcPr>
          <w:p w14:paraId="5E45744F" w14:textId="77777777" w:rsidR="002E3FC6" w:rsidRPr="007C0E5D" w:rsidRDefault="002E3FC6" w:rsidP="0099509E">
            <w:pPr>
              <w:pStyle w:val="CETBodytext"/>
            </w:pPr>
            <w:r w:rsidRPr="007C0E5D">
              <w:t>Reaction time, h:</w:t>
            </w:r>
          </w:p>
        </w:tc>
        <w:tc>
          <w:tcPr>
            <w:tcW w:w="1139" w:type="pct"/>
            <w:shd w:val="clear" w:color="auto" w:fill="auto"/>
            <w:noWrap/>
            <w:tcMar>
              <w:top w:w="15" w:type="dxa"/>
              <w:left w:w="15" w:type="dxa"/>
              <w:bottom w:w="0" w:type="dxa"/>
              <w:right w:w="15" w:type="dxa"/>
            </w:tcMar>
            <w:hideMark/>
          </w:tcPr>
          <w:p w14:paraId="298BDCEF" w14:textId="77777777" w:rsidR="002E3FC6" w:rsidRPr="007C0E5D" w:rsidRDefault="002E3FC6" w:rsidP="0099509E">
            <w:pPr>
              <w:pStyle w:val="CETBodytext"/>
            </w:pPr>
            <w:r w:rsidRPr="007C0E5D">
              <w:t>6</w:t>
            </w:r>
          </w:p>
        </w:tc>
      </w:tr>
      <w:tr w:rsidR="007C0E5D" w:rsidRPr="007C0E5D" w14:paraId="7AA1728F" w14:textId="77777777" w:rsidTr="00295B6E">
        <w:trPr>
          <w:trHeight w:val="227"/>
        </w:trPr>
        <w:tc>
          <w:tcPr>
            <w:tcW w:w="3861" w:type="pct"/>
            <w:shd w:val="clear" w:color="auto" w:fill="auto"/>
            <w:tcMar>
              <w:top w:w="15" w:type="dxa"/>
              <w:left w:w="15" w:type="dxa"/>
              <w:bottom w:w="0" w:type="dxa"/>
              <w:right w:w="15" w:type="dxa"/>
            </w:tcMar>
            <w:hideMark/>
          </w:tcPr>
          <w:p w14:paraId="344CA2FB" w14:textId="77777777" w:rsidR="002E3FC6" w:rsidRPr="007C0E5D" w:rsidRDefault="002E3FC6" w:rsidP="0099509E">
            <w:pPr>
              <w:pStyle w:val="CETBodytext"/>
            </w:pPr>
            <w:r w:rsidRPr="007C0E5D">
              <w:t>Heating time, h:</w:t>
            </w:r>
          </w:p>
        </w:tc>
        <w:tc>
          <w:tcPr>
            <w:tcW w:w="1139" w:type="pct"/>
            <w:shd w:val="clear" w:color="auto" w:fill="auto"/>
            <w:noWrap/>
            <w:tcMar>
              <w:top w:w="15" w:type="dxa"/>
              <w:left w:w="15" w:type="dxa"/>
              <w:bottom w:w="0" w:type="dxa"/>
              <w:right w:w="15" w:type="dxa"/>
            </w:tcMar>
            <w:hideMark/>
          </w:tcPr>
          <w:p w14:paraId="7B154914" w14:textId="77777777" w:rsidR="002E3FC6" w:rsidRPr="007C0E5D" w:rsidRDefault="002E3FC6" w:rsidP="0099509E">
            <w:pPr>
              <w:pStyle w:val="CETBodytext"/>
            </w:pPr>
            <w:r w:rsidRPr="007C0E5D">
              <w:t>0.5</w:t>
            </w:r>
          </w:p>
        </w:tc>
      </w:tr>
    </w:tbl>
    <w:p w14:paraId="1EB4C02D" w14:textId="77777777" w:rsidR="002E3FC6" w:rsidRPr="007C0E5D" w:rsidRDefault="002E3FC6" w:rsidP="002E3FC6">
      <w:pPr>
        <w:pStyle w:val="CETTabletitle"/>
        <w:rPr>
          <w:rFonts w:cs="Arial"/>
          <w:b/>
          <w:bCs/>
          <w:szCs w:val="18"/>
        </w:rPr>
      </w:pPr>
      <w:r w:rsidRPr="007C0E5D">
        <w:t>Table 4: Dewatering</w:t>
      </w:r>
    </w:p>
    <w:tbl>
      <w:tblPr>
        <w:tblW w:w="5000" w:type="pct"/>
        <w:tblBorders>
          <w:top w:val="single" w:sz="12" w:space="0" w:color="008000"/>
          <w:bottom w:val="single" w:sz="12" w:space="0" w:color="008000"/>
        </w:tblBorders>
        <w:tblCellMar>
          <w:left w:w="0" w:type="dxa"/>
          <w:right w:w="0" w:type="dxa"/>
        </w:tblCellMar>
        <w:tblLook w:val="0600" w:firstRow="0" w:lastRow="0" w:firstColumn="0" w:lastColumn="0" w:noHBand="1" w:noVBand="1"/>
      </w:tblPr>
      <w:tblGrid>
        <w:gridCol w:w="3261"/>
        <w:gridCol w:w="778"/>
      </w:tblGrid>
      <w:tr w:rsidR="007C0E5D" w:rsidRPr="007C0E5D" w14:paraId="039B155F" w14:textId="77777777" w:rsidTr="00295B6E">
        <w:trPr>
          <w:trHeight w:val="227"/>
        </w:trPr>
        <w:tc>
          <w:tcPr>
            <w:tcW w:w="4037" w:type="pct"/>
            <w:shd w:val="clear" w:color="auto" w:fill="auto"/>
            <w:tcMar>
              <w:top w:w="15" w:type="dxa"/>
              <w:left w:w="15" w:type="dxa"/>
              <w:bottom w:w="0" w:type="dxa"/>
              <w:right w:w="15" w:type="dxa"/>
            </w:tcMar>
            <w:vAlign w:val="center"/>
            <w:hideMark/>
          </w:tcPr>
          <w:p w14:paraId="173D4B4D" w14:textId="77777777" w:rsidR="002E3FC6" w:rsidRPr="007C0E5D" w:rsidRDefault="002E3FC6" w:rsidP="0099509E">
            <w:pPr>
              <w:pStyle w:val="CETBodytext"/>
              <w:jc w:val="left"/>
            </w:pPr>
            <w:r w:rsidRPr="007C0E5D">
              <w:t>Dewatering efficacy</w:t>
            </w:r>
          </w:p>
        </w:tc>
        <w:tc>
          <w:tcPr>
            <w:tcW w:w="963" w:type="pct"/>
            <w:shd w:val="clear" w:color="auto" w:fill="auto"/>
            <w:noWrap/>
            <w:tcMar>
              <w:top w:w="15" w:type="dxa"/>
              <w:left w:w="15" w:type="dxa"/>
              <w:bottom w:w="0" w:type="dxa"/>
              <w:right w:w="15" w:type="dxa"/>
            </w:tcMar>
            <w:vAlign w:val="center"/>
            <w:hideMark/>
          </w:tcPr>
          <w:p w14:paraId="257E915B" w14:textId="77777777" w:rsidR="002E3FC6" w:rsidRPr="007C0E5D" w:rsidRDefault="002E3FC6" w:rsidP="0099509E">
            <w:pPr>
              <w:pStyle w:val="CETBodytext"/>
              <w:jc w:val="left"/>
            </w:pPr>
            <w:r w:rsidRPr="007C0E5D">
              <w:t>80%</w:t>
            </w:r>
          </w:p>
        </w:tc>
      </w:tr>
      <w:tr w:rsidR="007C0E5D" w:rsidRPr="007C0E5D" w14:paraId="69D4E59B" w14:textId="77777777" w:rsidTr="00295B6E">
        <w:trPr>
          <w:trHeight w:val="227"/>
        </w:trPr>
        <w:tc>
          <w:tcPr>
            <w:tcW w:w="4037" w:type="pct"/>
            <w:shd w:val="clear" w:color="auto" w:fill="auto"/>
            <w:tcMar>
              <w:top w:w="15" w:type="dxa"/>
              <w:left w:w="15" w:type="dxa"/>
              <w:bottom w:w="0" w:type="dxa"/>
              <w:right w:w="15" w:type="dxa"/>
            </w:tcMar>
            <w:vAlign w:val="center"/>
            <w:hideMark/>
          </w:tcPr>
          <w:p w14:paraId="6F8F91A9" w14:textId="77777777" w:rsidR="002E3FC6" w:rsidRPr="007C0E5D" w:rsidRDefault="002E3FC6" w:rsidP="0099509E">
            <w:pPr>
              <w:pStyle w:val="CETBodytext"/>
              <w:jc w:val="left"/>
            </w:pPr>
            <w:r w:rsidRPr="007C0E5D">
              <w:t>Loss of ashes/solids in water</w:t>
            </w:r>
          </w:p>
        </w:tc>
        <w:tc>
          <w:tcPr>
            <w:tcW w:w="963" w:type="pct"/>
            <w:shd w:val="clear" w:color="auto" w:fill="auto"/>
            <w:noWrap/>
            <w:tcMar>
              <w:top w:w="15" w:type="dxa"/>
              <w:left w:w="15" w:type="dxa"/>
              <w:bottom w:w="0" w:type="dxa"/>
              <w:right w:w="15" w:type="dxa"/>
            </w:tcMar>
            <w:vAlign w:val="center"/>
            <w:hideMark/>
          </w:tcPr>
          <w:p w14:paraId="71D3EA6A" w14:textId="77777777" w:rsidR="002E3FC6" w:rsidRPr="007C0E5D" w:rsidRDefault="002E3FC6" w:rsidP="0099509E">
            <w:pPr>
              <w:pStyle w:val="CETBodytext"/>
              <w:jc w:val="left"/>
            </w:pPr>
            <w:r w:rsidRPr="007C0E5D">
              <w:t>10%</w:t>
            </w:r>
          </w:p>
        </w:tc>
      </w:tr>
    </w:tbl>
    <w:p w14:paraId="27796A50" w14:textId="77777777" w:rsidR="002E3FC6" w:rsidRPr="007C0E5D" w:rsidRDefault="002E3FC6" w:rsidP="002E3FC6">
      <w:pPr>
        <w:pStyle w:val="CETTabletitle"/>
        <w:rPr>
          <w:rFonts w:cs="Arial"/>
          <w:b/>
          <w:bCs/>
          <w:szCs w:val="18"/>
        </w:rPr>
      </w:pPr>
      <w:r w:rsidRPr="007C0E5D">
        <w:t>Table 5: Drying and granulation</w:t>
      </w:r>
    </w:p>
    <w:tbl>
      <w:tblPr>
        <w:tblW w:w="5000" w:type="pct"/>
        <w:tblBorders>
          <w:top w:val="single" w:sz="12" w:space="0" w:color="008000"/>
          <w:bottom w:val="single" w:sz="12" w:space="0" w:color="008000"/>
        </w:tblBorders>
        <w:tblCellMar>
          <w:left w:w="0" w:type="dxa"/>
          <w:right w:w="0" w:type="dxa"/>
        </w:tblCellMar>
        <w:tblLook w:val="0600" w:firstRow="0" w:lastRow="0" w:firstColumn="0" w:lastColumn="0" w:noHBand="1" w:noVBand="1"/>
      </w:tblPr>
      <w:tblGrid>
        <w:gridCol w:w="3261"/>
        <w:gridCol w:w="778"/>
      </w:tblGrid>
      <w:tr w:rsidR="007C0E5D" w:rsidRPr="007C0E5D" w14:paraId="03BEA9FE" w14:textId="77777777" w:rsidTr="00295B6E">
        <w:trPr>
          <w:trHeight w:val="227"/>
        </w:trPr>
        <w:tc>
          <w:tcPr>
            <w:tcW w:w="4037" w:type="pct"/>
            <w:shd w:val="clear" w:color="auto" w:fill="auto"/>
            <w:tcMar>
              <w:top w:w="15" w:type="dxa"/>
              <w:left w:w="15" w:type="dxa"/>
              <w:bottom w:w="0" w:type="dxa"/>
              <w:right w:w="15" w:type="dxa"/>
            </w:tcMar>
            <w:vAlign w:val="center"/>
            <w:hideMark/>
          </w:tcPr>
          <w:p w14:paraId="77F05454" w14:textId="77777777" w:rsidR="002E3FC6" w:rsidRPr="007C0E5D" w:rsidRDefault="002E3FC6" w:rsidP="0099509E">
            <w:pPr>
              <w:pStyle w:val="CETBodytext"/>
              <w:jc w:val="left"/>
            </w:pPr>
            <w:r w:rsidRPr="007C0E5D">
              <w:t>Dried water efficiency</w:t>
            </w:r>
          </w:p>
        </w:tc>
        <w:tc>
          <w:tcPr>
            <w:tcW w:w="963" w:type="pct"/>
            <w:shd w:val="clear" w:color="auto" w:fill="auto"/>
            <w:noWrap/>
            <w:tcMar>
              <w:top w:w="15" w:type="dxa"/>
              <w:left w:w="15" w:type="dxa"/>
              <w:bottom w:w="0" w:type="dxa"/>
              <w:right w:w="15" w:type="dxa"/>
            </w:tcMar>
            <w:vAlign w:val="center"/>
            <w:hideMark/>
          </w:tcPr>
          <w:p w14:paraId="59E00F7A" w14:textId="77777777" w:rsidR="002E3FC6" w:rsidRPr="007C0E5D" w:rsidRDefault="002E3FC6" w:rsidP="0099509E">
            <w:pPr>
              <w:pStyle w:val="CETBodytext"/>
              <w:jc w:val="left"/>
            </w:pPr>
            <w:r w:rsidRPr="007C0E5D">
              <w:t>60%</w:t>
            </w:r>
          </w:p>
        </w:tc>
      </w:tr>
      <w:tr w:rsidR="007C0E5D" w:rsidRPr="007C0E5D" w14:paraId="3F1845C5" w14:textId="77777777" w:rsidTr="00295B6E">
        <w:trPr>
          <w:trHeight w:val="227"/>
        </w:trPr>
        <w:tc>
          <w:tcPr>
            <w:tcW w:w="4037" w:type="pct"/>
            <w:shd w:val="clear" w:color="auto" w:fill="auto"/>
            <w:tcMar>
              <w:top w:w="15" w:type="dxa"/>
              <w:left w:w="15" w:type="dxa"/>
              <w:bottom w:w="0" w:type="dxa"/>
              <w:right w:w="15" w:type="dxa"/>
            </w:tcMar>
            <w:vAlign w:val="center"/>
            <w:hideMark/>
          </w:tcPr>
          <w:p w14:paraId="448C339D" w14:textId="77777777" w:rsidR="002E3FC6" w:rsidRPr="007C0E5D" w:rsidRDefault="002E3FC6" w:rsidP="0099509E">
            <w:pPr>
              <w:pStyle w:val="CETBodytext"/>
              <w:jc w:val="left"/>
            </w:pPr>
            <w:r w:rsidRPr="007C0E5D">
              <w:t>Power heat request: kW</w:t>
            </w:r>
          </w:p>
        </w:tc>
        <w:tc>
          <w:tcPr>
            <w:tcW w:w="963" w:type="pct"/>
            <w:shd w:val="clear" w:color="auto" w:fill="auto"/>
            <w:noWrap/>
            <w:tcMar>
              <w:top w:w="15" w:type="dxa"/>
              <w:left w:w="15" w:type="dxa"/>
              <w:bottom w:w="0" w:type="dxa"/>
              <w:right w:w="15" w:type="dxa"/>
            </w:tcMar>
            <w:vAlign w:val="center"/>
            <w:hideMark/>
          </w:tcPr>
          <w:p w14:paraId="51A4ECAB" w14:textId="77777777" w:rsidR="002E3FC6" w:rsidRPr="007C0E5D" w:rsidRDefault="002E3FC6" w:rsidP="0099509E">
            <w:pPr>
              <w:pStyle w:val="CETBodytext"/>
              <w:jc w:val="left"/>
            </w:pPr>
            <w:r w:rsidRPr="007C0E5D">
              <w:t>213</w:t>
            </w:r>
          </w:p>
        </w:tc>
      </w:tr>
    </w:tbl>
    <w:p w14:paraId="213974C1" w14:textId="77777777" w:rsidR="002E3FC6" w:rsidRPr="007C0E5D" w:rsidRDefault="002E3FC6" w:rsidP="002E3FC6">
      <w:pPr>
        <w:pStyle w:val="CETTabletitle"/>
        <w:rPr>
          <w:rFonts w:cs="Arial"/>
          <w:b/>
          <w:bCs/>
          <w:szCs w:val="18"/>
        </w:rPr>
      </w:pPr>
      <w:r w:rsidRPr="007C0E5D">
        <w:t>Table 6: Water condensation</w:t>
      </w:r>
    </w:p>
    <w:tbl>
      <w:tblPr>
        <w:tblW w:w="5000" w:type="pct"/>
        <w:tblBorders>
          <w:top w:val="single" w:sz="12" w:space="0" w:color="008000"/>
          <w:bottom w:val="single" w:sz="12" w:space="0" w:color="008000"/>
        </w:tblBorders>
        <w:tblCellMar>
          <w:left w:w="0" w:type="dxa"/>
          <w:right w:w="0" w:type="dxa"/>
        </w:tblCellMar>
        <w:tblLook w:val="0600" w:firstRow="0" w:lastRow="0" w:firstColumn="0" w:lastColumn="0" w:noHBand="1" w:noVBand="1"/>
      </w:tblPr>
      <w:tblGrid>
        <w:gridCol w:w="3261"/>
        <w:gridCol w:w="778"/>
      </w:tblGrid>
      <w:tr w:rsidR="007C0E5D" w:rsidRPr="007C0E5D" w14:paraId="211FD965" w14:textId="77777777" w:rsidTr="00A053A8">
        <w:trPr>
          <w:trHeight w:val="227"/>
        </w:trPr>
        <w:tc>
          <w:tcPr>
            <w:tcW w:w="4037" w:type="pct"/>
            <w:shd w:val="clear" w:color="auto" w:fill="auto"/>
            <w:tcMar>
              <w:top w:w="15" w:type="dxa"/>
              <w:left w:w="15" w:type="dxa"/>
              <w:bottom w:w="0" w:type="dxa"/>
              <w:right w:w="15" w:type="dxa"/>
            </w:tcMar>
            <w:vAlign w:val="center"/>
            <w:hideMark/>
          </w:tcPr>
          <w:p w14:paraId="3440CFF4" w14:textId="77777777" w:rsidR="002E3FC6" w:rsidRPr="007C0E5D" w:rsidRDefault="002E3FC6" w:rsidP="0099509E">
            <w:pPr>
              <w:pStyle w:val="CETBodytext"/>
              <w:jc w:val="left"/>
            </w:pPr>
            <w:r w:rsidRPr="007C0E5D">
              <w:t>Cooling transfer efficiency</w:t>
            </w:r>
          </w:p>
        </w:tc>
        <w:tc>
          <w:tcPr>
            <w:tcW w:w="963" w:type="pct"/>
            <w:shd w:val="clear" w:color="auto" w:fill="auto"/>
            <w:noWrap/>
            <w:tcMar>
              <w:top w:w="15" w:type="dxa"/>
              <w:left w:w="15" w:type="dxa"/>
              <w:bottom w:w="0" w:type="dxa"/>
              <w:right w:w="15" w:type="dxa"/>
            </w:tcMar>
            <w:vAlign w:val="center"/>
            <w:hideMark/>
          </w:tcPr>
          <w:p w14:paraId="35769431" w14:textId="77777777" w:rsidR="002E3FC6" w:rsidRPr="007C0E5D" w:rsidRDefault="002E3FC6" w:rsidP="0099509E">
            <w:pPr>
              <w:pStyle w:val="CETBodytext"/>
              <w:jc w:val="left"/>
            </w:pPr>
            <w:r w:rsidRPr="007C0E5D">
              <w:t>70%</w:t>
            </w:r>
          </w:p>
        </w:tc>
      </w:tr>
      <w:tr w:rsidR="007C0E5D" w:rsidRPr="007C0E5D" w14:paraId="3E7F0B5C" w14:textId="77777777" w:rsidTr="00A053A8">
        <w:trPr>
          <w:trHeight w:val="227"/>
        </w:trPr>
        <w:tc>
          <w:tcPr>
            <w:tcW w:w="4037" w:type="pct"/>
            <w:shd w:val="clear" w:color="auto" w:fill="auto"/>
            <w:tcMar>
              <w:top w:w="15" w:type="dxa"/>
              <w:left w:w="15" w:type="dxa"/>
              <w:bottom w:w="0" w:type="dxa"/>
              <w:right w:w="15" w:type="dxa"/>
            </w:tcMar>
            <w:vAlign w:val="center"/>
            <w:hideMark/>
          </w:tcPr>
          <w:p w14:paraId="5DE3B701" w14:textId="77777777" w:rsidR="002E3FC6" w:rsidRPr="007C0E5D" w:rsidRDefault="002E3FC6" w:rsidP="0099509E">
            <w:pPr>
              <w:pStyle w:val="CETBodytext"/>
              <w:jc w:val="left"/>
            </w:pPr>
            <w:r w:rsidRPr="007C0E5D">
              <w:t>Power cooling request: kW</w:t>
            </w:r>
          </w:p>
        </w:tc>
        <w:tc>
          <w:tcPr>
            <w:tcW w:w="963" w:type="pct"/>
            <w:shd w:val="clear" w:color="auto" w:fill="auto"/>
            <w:noWrap/>
            <w:tcMar>
              <w:top w:w="15" w:type="dxa"/>
              <w:left w:w="15" w:type="dxa"/>
              <w:bottom w:w="0" w:type="dxa"/>
              <w:right w:w="15" w:type="dxa"/>
            </w:tcMar>
            <w:vAlign w:val="center"/>
            <w:hideMark/>
          </w:tcPr>
          <w:p w14:paraId="03F08DDD" w14:textId="77777777" w:rsidR="002E3FC6" w:rsidRPr="007C0E5D" w:rsidRDefault="002E3FC6" w:rsidP="0099509E">
            <w:pPr>
              <w:pStyle w:val="CETBodytext"/>
              <w:jc w:val="left"/>
            </w:pPr>
            <w:r w:rsidRPr="007C0E5D">
              <w:t>5767</w:t>
            </w:r>
          </w:p>
        </w:tc>
      </w:tr>
    </w:tbl>
    <w:p w14:paraId="2AE3AB7B" w14:textId="77777777" w:rsidR="002E3FC6" w:rsidRPr="007C0E5D" w:rsidRDefault="002E3FC6" w:rsidP="002E3FC6">
      <w:pPr>
        <w:pStyle w:val="CETTabletitle"/>
      </w:pPr>
      <w:r w:rsidRPr="007C0E5D">
        <w:lastRenderedPageBreak/>
        <w:t>Table 7: Electrolysis</w:t>
      </w:r>
    </w:p>
    <w:tbl>
      <w:tblPr>
        <w:tblW w:w="5000" w:type="pct"/>
        <w:tblBorders>
          <w:top w:val="single" w:sz="12" w:space="0" w:color="008000"/>
          <w:bottom w:val="single" w:sz="12" w:space="0" w:color="008000"/>
        </w:tblBorders>
        <w:tblCellMar>
          <w:left w:w="0" w:type="dxa"/>
          <w:right w:w="0" w:type="dxa"/>
        </w:tblCellMar>
        <w:tblLook w:val="0600" w:firstRow="0" w:lastRow="0" w:firstColumn="0" w:lastColumn="0" w:noHBand="1" w:noVBand="1"/>
      </w:tblPr>
      <w:tblGrid>
        <w:gridCol w:w="3261"/>
        <w:gridCol w:w="778"/>
      </w:tblGrid>
      <w:tr w:rsidR="007C0E5D" w:rsidRPr="007C0E5D" w14:paraId="7A4747D9" w14:textId="77777777" w:rsidTr="00295B6E">
        <w:trPr>
          <w:trHeight w:val="227"/>
        </w:trPr>
        <w:tc>
          <w:tcPr>
            <w:tcW w:w="4037" w:type="pct"/>
            <w:shd w:val="clear" w:color="auto" w:fill="auto"/>
            <w:tcMar>
              <w:top w:w="15" w:type="dxa"/>
              <w:left w:w="15" w:type="dxa"/>
              <w:bottom w:w="0" w:type="dxa"/>
              <w:right w:w="15" w:type="dxa"/>
            </w:tcMar>
            <w:vAlign w:val="center"/>
            <w:hideMark/>
          </w:tcPr>
          <w:p w14:paraId="7B36461A" w14:textId="77777777" w:rsidR="002E3FC6" w:rsidRPr="007C0E5D" w:rsidRDefault="002E3FC6" w:rsidP="0099509E">
            <w:pPr>
              <w:pStyle w:val="CETBodytext"/>
              <w:jc w:val="left"/>
            </w:pPr>
            <w:r w:rsidRPr="007C0E5D">
              <w:t>Hydrogen yield efficiency (energy), %</w:t>
            </w:r>
          </w:p>
        </w:tc>
        <w:tc>
          <w:tcPr>
            <w:tcW w:w="963" w:type="pct"/>
            <w:shd w:val="clear" w:color="auto" w:fill="auto"/>
            <w:noWrap/>
            <w:tcMar>
              <w:top w:w="15" w:type="dxa"/>
              <w:left w:w="15" w:type="dxa"/>
              <w:bottom w:w="0" w:type="dxa"/>
              <w:right w:w="15" w:type="dxa"/>
            </w:tcMar>
            <w:vAlign w:val="center"/>
            <w:hideMark/>
          </w:tcPr>
          <w:p w14:paraId="6C2C4B07" w14:textId="77777777" w:rsidR="002E3FC6" w:rsidRPr="007C0E5D" w:rsidRDefault="002E3FC6" w:rsidP="0099509E">
            <w:pPr>
              <w:pStyle w:val="CETBodytext"/>
              <w:jc w:val="left"/>
            </w:pPr>
            <w:r w:rsidRPr="007C0E5D">
              <w:t>65%</w:t>
            </w:r>
          </w:p>
        </w:tc>
      </w:tr>
      <w:tr w:rsidR="007C0E5D" w:rsidRPr="007C0E5D" w14:paraId="11F4ED8D" w14:textId="77777777" w:rsidTr="00295B6E">
        <w:trPr>
          <w:trHeight w:val="227"/>
        </w:trPr>
        <w:tc>
          <w:tcPr>
            <w:tcW w:w="4037" w:type="pct"/>
            <w:shd w:val="clear" w:color="auto" w:fill="auto"/>
            <w:tcMar>
              <w:top w:w="15" w:type="dxa"/>
              <w:left w:w="15" w:type="dxa"/>
              <w:bottom w:w="0" w:type="dxa"/>
              <w:right w:w="15" w:type="dxa"/>
            </w:tcMar>
            <w:vAlign w:val="center"/>
            <w:hideMark/>
          </w:tcPr>
          <w:p w14:paraId="1B9C36DC" w14:textId="77777777" w:rsidR="002E3FC6" w:rsidRPr="007C0E5D" w:rsidRDefault="002E3FC6" w:rsidP="0099509E">
            <w:pPr>
              <w:pStyle w:val="CETBodytext"/>
            </w:pPr>
            <w:r w:rsidRPr="007C0E5D">
              <w:t>Power electrical request: kW</w:t>
            </w:r>
          </w:p>
        </w:tc>
        <w:tc>
          <w:tcPr>
            <w:tcW w:w="963" w:type="pct"/>
            <w:shd w:val="clear" w:color="auto" w:fill="auto"/>
            <w:noWrap/>
            <w:tcMar>
              <w:top w:w="15" w:type="dxa"/>
              <w:left w:w="15" w:type="dxa"/>
              <w:bottom w:w="0" w:type="dxa"/>
              <w:right w:w="15" w:type="dxa"/>
            </w:tcMar>
            <w:vAlign w:val="center"/>
            <w:hideMark/>
          </w:tcPr>
          <w:p w14:paraId="52F16678" w14:textId="77777777" w:rsidR="002E3FC6" w:rsidRPr="007C0E5D" w:rsidRDefault="002E3FC6" w:rsidP="0099509E">
            <w:pPr>
              <w:pStyle w:val="CETBodytext"/>
              <w:jc w:val="left"/>
            </w:pPr>
            <w:r w:rsidRPr="007C0E5D">
              <w:t>1000</w:t>
            </w:r>
          </w:p>
        </w:tc>
      </w:tr>
    </w:tbl>
    <w:p w14:paraId="7C49F989" w14:textId="77777777" w:rsidR="002E3FC6" w:rsidRPr="007C0E5D" w:rsidRDefault="002E3FC6" w:rsidP="002E3FC6">
      <w:pPr>
        <w:pStyle w:val="CETTabletitle"/>
      </w:pPr>
      <w:r w:rsidRPr="007C0E5D">
        <w:t>Table 8: BFB gasification and energy production</w:t>
      </w:r>
    </w:p>
    <w:tbl>
      <w:tblPr>
        <w:tblW w:w="5000" w:type="pct"/>
        <w:tblCellMar>
          <w:left w:w="0" w:type="dxa"/>
          <w:right w:w="0" w:type="dxa"/>
        </w:tblCellMar>
        <w:tblLook w:val="0600" w:firstRow="0" w:lastRow="0" w:firstColumn="0" w:lastColumn="0" w:noHBand="1" w:noVBand="1"/>
      </w:tblPr>
      <w:tblGrid>
        <w:gridCol w:w="3261"/>
        <w:gridCol w:w="778"/>
      </w:tblGrid>
      <w:tr w:rsidR="007C0E5D" w:rsidRPr="007C0E5D" w14:paraId="5CF53822" w14:textId="77777777" w:rsidTr="0043782C">
        <w:trPr>
          <w:trHeight w:val="227"/>
        </w:trPr>
        <w:tc>
          <w:tcPr>
            <w:tcW w:w="4037" w:type="pct"/>
            <w:tcBorders>
              <w:top w:val="single" w:sz="12" w:space="0" w:color="008000"/>
            </w:tcBorders>
            <w:shd w:val="clear" w:color="auto" w:fill="auto"/>
            <w:tcMar>
              <w:top w:w="15" w:type="dxa"/>
              <w:left w:w="15" w:type="dxa"/>
              <w:bottom w:w="0" w:type="dxa"/>
              <w:right w:w="15" w:type="dxa"/>
            </w:tcMar>
            <w:vAlign w:val="center"/>
            <w:hideMark/>
          </w:tcPr>
          <w:p w14:paraId="3CF6E944" w14:textId="77777777" w:rsidR="002E3FC6" w:rsidRPr="007C0E5D" w:rsidRDefault="002E3FC6" w:rsidP="0099509E">
            <w:pPr>
              <w:pStyle w:val="CETBodytext"/>
              <w:jc w:val="left"/>
            </w:pPr>
            <w:r w:rsidRPr="007C0E5D">
              <w:t>%C</w:t>
            </w:r>
          </w:p>
        </w:tc>
        <w:tc>
          <w:tcPr>
            <w:tcW w:w="963" w:type="pct"/>
            <w:tcBorders>
              <w:top w:val="single" w:sz="12" w:space="0" w:color="008000"/>
            </w:tcBorders>
            <w:shd w:val="clear" w:color="auto" w:fill="auto"/>
            <w:noWrap/>
            <w:tcMar>
              <w:top w:w="15" w:type="dxa"/>
              <w:left w:w="15" w:type="dxa"/>
              <w:bottom w:w="0" w:type="dxa"/>
              <w:right w:w="15" w:type="dxa"/>
            </w:tcMar>
            <w:vAlign w:val="center"/>
            <w:hideMark/>
          </w:tcPr>
          <w:p w14:paraId="675FB024" w14:textId="77777777" w:rsidR="002E3FC6" w:rsidRPr="007C0E5D" w:rsidRDefault="002E3FC6" w:rsidP="0099509E">
            <w:pPr>
              <w:pStyle w:val="CETBodytext"/>
              <w:jc w:val="left"/>
            </w:pPr>
            <w:r w:rsidRPr="007C0E5D">
              <w:t>0.35</w:t>
            </w:r>
          </w:p>
        </w:tc>
      </w:tr>
      <w:tr w:rsidR="007C0E5D" w:rsidRPr="007C0E5D" w14:paraId="78FA4721" w14:textId="77777777" w:rsidTr="004C0CC2">
        <w:trPr>
          <w:trHeight w:val="227"/>
        </w:trPr>
        <w:tc>
          <w:tcPr>
            <w:tcW w:w="4037" w:type="pct"/>
            <w:shd w:val="clear" w:color="auto" w:fill="auto"/>
            <w:tcMar>
              <w:top w:w="15" w:type="dxa"/>
              <w:left w:w="15" w:type="dxa"/>
              <w:bottom w:w="0" w:type="dxa"/>
              <w:right w:w="15" w:type="dxa"/>
            </w:tcMar>
            <w:vAlign w:val="center"/>
            <w:hideMark/>
          </w:tcPr>
          <w:p w14:paraId="46774F23" w14:textId="77777777" w:rsidR="002E3FC6" w:rsidRPr="007C0E5D" w:rsidRDefault="002E3FC6" w:rsidP="0099509E">
            <w:pPr>
              <w:pStyle w:val="CETBodytext"/>
              <w:jc w:val="left"/>
            </w:pPr>
            <w:r w:rsidRPr="007C0E5D">
              <w:t>%H</w:t>
            </w:r>
          </w:p>
        </w:tc>
        <w:tc>
          <w:tcPr>
            <w:tcW w:w="963" w:type="pct"/>
            <w:shd w:val="clear" w:color="auto" w:fill="auto"/>
            <w:noWrap/>
            <w:tcMar>
              <w:top w:w="15" w:type="dxa"/>
              <w:left w:w="15" w:type="dxa"/>
              <w:bottom w:w="0" w:type="dxa"/>
              <w:right w:w="15" w:type="dxa"/>
            </w:tcMar>
            <w:vAlign w:val="center"/>
            <w:hideMark/>
          </w:tcPr>
          <w:p w14:paraId="6A23C2EF" w14:textId="77777777" w:rsidR="002E3FC6" w:rsidRPr="007C0E5D" w:rsidRDefault="002E3FC6" w:rsidP="0099509E">
            <w:pPr>
              <w:pStyle w:val="CETBodytext"/>
              <w:jc w:val="left"/>
            </w:pPr>
            <w:r w:rsidRPr="007C0E5D">
              <w:t>0.05</w:t>
            </w:r>
          </w:p>
        </w:tc>
      </w:tr>
      <w:tr w:rsidR="007C0E5D" w:rsidRPr="007C0E5D" w14:paraId="3CF89FEF" w14:textId="77777777" w:rsidTr="004C0CC2">
        <w:trPr>
          <w:trHeight w:val="227"/>
        </w:trPr>
        <w:tc>
          <w:tcPr>
            <w:tcW w:w="4037" w:type="pct"/>
            <w:shd w:val="clear" w:color="auto" w:fill="auto"/>
            <w:tcMar>
              <w:top w:w="15" w:type="dxa"/>
              <w:left w:w="15" w:type="dxa"/>
              <w:bottom w:w="0" w:type="dxa"/>
              <w:right w:w="15" w:type="dxa"/>
            </w:tcMar>
            <w:vAlign w:val="center"/>
            <w:hideMark/>
          </w:tcPr>
          <w:p w14:paraId="3487A3F1" w14:textId="77777777" w:rsidR="002E3FC6" w:rsidRPr="007C0E5D" w:rsidRDefault="002E3FC6" w:rsidP="0099509E">
            <w:pPr>
              <w:pStyle w:val="CETBodytext"/>
              <w:jc w:val="left"/>
            </w:pPr>
            <w:r w:rsidRPr="007C0E5D">
              <w:t>Oxygen demand, kg/h</w:t>
            </w:r>
          </w:p>
        </w:tc>
        <w:tc>
          <w:tcPr>
            <w:tcW w:w="963" w:type="pct"/>
            <w:shd w:val="clear" w:color="auto" w:fill="auto"/>
            <w:noWrap/>
            <w:tcMar>
              <w:top w:w="15" w:type="dxa"/>
              <w:left w:w="15" w:type="dxa"/>
              <w:bottom w:w="0" w:type="dxa"/>
              <w:right w:w="15" w:type="dxa"/>
            </w:tcMar>
            <w:vAlign w:val="center"/>
            <w:hideMark/>
          </w:tcPr>
          <w:p w14:paraId="52A91E34" w14:textId="77777777" w:rsidR="002E3FC6" w:rsidRPr="007C0E5D" w:rsidRDefault="002E3FC6" w:rsidP="0099509E">
            <w:pPr>
              <w:pStyle w:val="CETBodytext"/>
              <w:jc w:val="left"/>
            </w:pPr>
            <w:r w:rsidRPr="007C0E5D">
              <w:t>155</w:t>
            </w:r>
          </w:p>
        </w:tc>
      </w:tr>
      <w:tr w:rsidR="007C0E5D" w:rsidRPr="007C0E5D" w14:paraId="74E7B2A2" w14:textId="77777777" w:rsidTr="004C0CC2">
        <w:trPr>
          <w:trHeight w:val="227"/>
        </w:trPr>
        <w:tc>
          <w:tcPr>
            <w:tcW w:w="4037" w:type="pct"/>
            <w:shd w:val="clear" w:color="auto" w:fill="auto"/>
            <w:tcMar>
              <w:top w:w="15" w:type="dxa"/>
              <w:left w:w="15" w:type="dxa"/>
              <w:bottom w:w="0" w:type="dxa"/>
              <w:right w:w="15" w:type="dxa"/>
            </w:tcMar>
            <w:vAlign w:val="center"/>
            <w:hideMark/>
          </w:tcPr>
          <w:p w14:paraId="291C7502" w14:textId="77777777" w:rsidR="002E3FC6" w:rsidRPr="007C0E5D" w:rsidRDefault="002E3FC6" w:rsidP="0099509E">
            <w:pPr>
              <w:pStyle w:val="CETBodytext"/>
              <w:jc w:val="left"/>
            </w:pPr>
            <w:r w:rsidRPr="007C0E5D">
              <w:t>Air demand, kg/h</w:t>
            </w:r>
          </w:p>
        </w:tc>
        <w:tc>
          <w:tcPr>
            <w:tcW w:w="963" w:type="pct"/>
            <w:shd w:val="clear" w:color="auto" w:fill="auto"/>
            <w:noWrap/>
            <w:tcMar>
              <w:top w:w="15" w:type="dxa"/>
              <w:left w:w="15" w:type="dxa"/>
              <w:bottom w:w="0" w:type="dxa"/>
              <w:right w:w="15" w:type="dxa"/>
            </w:tcMar>
            <w:vAlign w:val="center"/>
            <w:hideMark/>
          </w:tcPr>
          <w:p w14:paraId="43C197C1" w14:textId="77777777" w:rsidR="002E3FC6" w:rsidRPr="007C0E5D" w:rsidRDefault="002E3FC6" w:rsidP="0099509E">
            <w:pPr>
              <w:pStyle w:val="CETBodytext"/>
              <w:jc w:val="left"/>
            </w:pPr>
            <w:r w:rsidRPr="007C0E5D">
              <w:t>598</w:t>
            </w:r>
          </w:p>
        </w:tc>
      </w:tr>
      <w:tr w:rsidR="007C0E5D" w:rsidRPr="007C0E5D" w14:paraId="37EDB009" w14:textId="77777777" w:rsidTr="004C0CC2">
        <w:trPr>
          <w:trHeight w:val="227"/>
        </w:trPr>
        <w:tc>
          <w:tcPr>
            <w:tcW w:w="4037" w:type="pct"/>
            <w:shd w:val="clear" w:color="auto" w:fill="auto"/>
            <w:tcMar>
              <w:top w:w="15" w:type="dxa"/>
              <w:left w:w="15" w:type="dxa"/>
              <w:bottom w:w="0" w:type="dxa"/>
              <w:right w:w="15" w:type="dxa"/>
            </w:tcMar>
            <w:vAlign w:val="center"/>
            <w:hideMark/>
          </w:tcPr>
          <w:p w14:paraId="77BCE3CA" w14:textId="77777777" w:rsidR="002E3FC6" w:rsidRPr="007C0E5D" w:rsidRDefault="002E3FC6" w:rsidP="0099509E">
            <w:pPr>
              <w:pStyle w:val="CETBodytext"/>
              <w:jc w:val="left"/>
            </w:pPr>
            <w:r w:rsidRPr="007C0E5D">
              <w:t>Chemical energy content of syngas, kW</w:t>
            </w:r>
          </w:p>
        </w:tc>
        <w:tc>
          <w:tcPr>
            <w:tcW w:w="963" w:type="pct"/>
            <w:shd w:val="clear" w:color="auto" w:fill="auto"/>
            <w:noWrap/>
            <w:tcMar>
              <w:top w:w="15" w:type="dxa"/>
              <w:left w:w="15" w:type="dxa"/>
              <w:bottom w:w="0" w:type="dxa"/>
              <w:right w:w="15" w:type="dxa"/>
            </w:tcMar>
            <w:vAlign w:val="center"/>
            <w:hideMark/>
          </w:tcPr>
          <w:p w14:paraId="247BAECD" w14:textId="77777777" w:rsidR="002E3FC6" w:rsidRPr="007C0E5D" w:rsidRDefault="002E3FC6" w:rsidP="0099509E">
            <w:pPr>
              <w:pStyle w:val="CETBodytext"/>
              <w:jc w:val="left"/>
            </w:pPr>
            <w:r w:rsidRPr="007C0E5D">
              <w:t>11182</w:t>
            </w:r>
          </w:p>
        </w:tc>
      </w:tr>
      <w:tr w:rsidR="007C0E5D" w:rsidRPr="007C0E5D" w14:paraId="5FAB2377" w14:textId="77777777" w:rsidTr="004C0CC2">
        <w:trPr>
          <w:trHeight w:val="227"/>
        </w:trPr>
        <w:tc>
          <w:tcPr>
            <w:tcW w:w="4037" w:type="pct"/>
            <w:shd w:val="clear" w:color="auto" w:fill="auto"/>
            <w:tcMar>
              <w:top w:w="15" w:type="dxa"/>
              <w:left w:w="15" w:type="dxa"/>
              <w:bottom w:w="0" w:type="dxa"/>
              <w:right w:w="15" w:type="dxa"/>
            </w:tcMar>
            <w:vAlign w:val="center"/>
            <w:hideMark/>
          </w:tcPr>
          <w:p w14:paraId="348720A3" w14:textId="77777777" w:rsidR="002E3FC6" w:rsidRPr="007C0E5D" w:rsidRDefault="002E3FC6" w:rsidP="0099509E">
            <w:pPr>
              <w:pStyle w:val="CETBodytext"/>
              <w:jc w:val="left"/>
            </w:pPr>
            <w:r w:rsidRPr="007C0E5D">
              <w:t xml:space="preserve">LHV </w:t>
            </w:r>
            <w:proofErr w:type="spellStart"/>
            <w:r w:rsidRPr="007C0E5D">
              <w:t>hydrochar</w:t>
            </w:r>
            <w:proofErr w:type="spellEnd"/>
            <w:r w:rsidRPr="007C0E5D">
              <w:t>, MJ/kg</w:t>
            </w:r>
          </w:p>
        </w:tc>
        <w:tc>
          <w:tcPr>
            <w:tcW w:w="963" w:type="pct"/>
            <w:shd w:val="clear" w:color="auto" w:fill="auto"/>
            <w:noWrap/>
            <w:tcMar>
              <w:top w:w="15" w:type="dxa"/>
              <w:left w:w="15" w:type="dxa"/>
              <w:bottom w:w="0" w:type="dxa"/>
              <w:right w:w="15" w:type="dxa"/>
            </w:tcMar>
            <w:vAlign w:val="center"/>
            <w:hideMark/>
          </w:tcPr>
          <w:p w14:paraId="3EFBDF1D" w14:textId="77777777" w:rsidR="002E3FC6" w:rsidRPr="007C0E5D" w:rsidRDefault="002E3FC6" w:rsidP="0099509E">
            <w:pPr>
              <w:pStyle w:val="CETBodytext"/>
              <w:jc w:val="left"/>
            </w:pPr>
            <w:r w:rsidRPr="007C0E5D">
              <w:t>26.00</w:t>
            </w:r>
          </w:p>
        </w:tc>
      </w:tr>
      <w:tr w:rsidR="007C0E5D" w:rsidRPr="007C0E5D" w14:paraId="60196603" w14:textId="77777777" w:rsidTr="004C0CC2">
        <w:trPr>
          <w:trHeight w:val="227"/>
        </w:trPr>
        <w:tc>
          <w:tcPr>
            <w:tcW w:w="4037" w:type="pct"/>
            <w:shd w:val="clear" w:color="auto" w:fill="auto"/>
            <w:tcMar>
              <w:top w:w="15" w:type="dxa"/>
              <w:left w:w="15" w:type="dxa"/>
              <w:bottom w:w="0" w:type="dxa"/>
              <w:right w:w="15" w:type="dxa"/>
            </w:tcMar>
            <w:vAlign w:val="center"/>
            <w:hideMark/>
          </w:tcPr>
          <w:p w14:paraId="437C7475" w14:textId="77777777" w:rsidR="002E3FC6" w:rsidRPr="007C0E5D" w:rsidRDefault="002E3FC6" w:rsidP="0099509E">
            <w:pPr>
              <w:pStyle w:val="CETBodytext"/>
              <w:jc w:val="left"/>
            </w:pPr>
            <w:r w:rsidRPr="007C0E5D">
              <w:t>LHV syngas, MJ/kg</w:t>
            </w:r>
          </w:p>
        </w:tc>
        <w:tc>
          <w:tcPr>
            <w:tcW w:w="963" w:type="pct"/>
            <w:shd w:val="clear" w:color="auto" w:fill="auto"/>
            <w:noWrap/>
            <w:tcMar>
              <w:top w:w="15" w:type="dxa"/>
              <w:left w:w="15" w:type="dxa"/>
              <w:bottom w:w="0" w:type="dxa"/>
              <w:right w:w="15" w:type="dxa"/>
            </w:tcMar>
            <w:vAlign w:val="center"/>
            <w:hideMark/>
          </w:tcPr>
          <w:p w14:paraId="188C7962" w14:textId="77777777" w:rsidR="002E3FC6" w:rsidRPr="007C0E5D" w:rsidRDefault="002E3FC6" w:rsidP="0099509E">
            <w:pPr>
              <w:pStyle w:val="CETBodytext"/>
              <w:jc w:val="left"/>
            </w:pPr>
            <w:r w:rsidRPr="007C0E5D">
              <w:t>20.80</w:t>
            </w:r>
          </w:p>
        </w:tc>
      </w:tr>
      <w:tr w:rsidR="007C0E5D" w:rsidRPr="007C0E5D" w14:paraId="7169D9B4" w14:textId="77777777" w:rsidTr="004C0CC2">
        <w:trPr>
          <w:trHeight w:val="227"/>
        </w:trPr>
        <w:tc>
          <w:tcPr>
            <w:tcW w:w="4037" w:type="pct"/>
            <w:shd w:val="clear" w:color="auto" w:fill="auto"/>
            <w:tcMar>
              <w:top w:w="15" w:type="dxa"/>
              <w:left w:w="15" w:type="dxa"/>
              <w:bottom w:w="0" w:type="dxa"/>
              <w:right w:w="15" w:type="dxa"/>
            </w:tcMar>
            <w:vAlign w:val="center"/>
            <w:hideMark/>
          </w:tcPr>
          <w:p w14:paraId="496B70E2" w14:textId="77777777" w:rsidR="002E3FC6" w:rsidRPr="007C0E5D" w:rsidRDefault="002E3FC6" w:rsidP="0099509E">
            <w:pPr>
              <w:pStyle w:val="CETBodytext"/>
              <w:jc w:val="left"/>
            </w:pPr>
            <w:r w:rsidRPr="007C0E5D">
              <w:t>Electricity efficiency conversion, %</w:t>
            </w:r>
          </w:p>
        </w:tc>
        <w:tc>
          <w:tcPr>
            <w:tcW w:w="963" w:type="pct"/>
            <w:shd w:val="clear" w:color="auto" w:fill="auto"/>
            <w:noWrap/>
            <w:tcMar>
              <w:top w:w="15" w:type="dxa"/>
              <w:left w:w="15" w:type="dxa"/>
              <w:bottom w:w="0" w:type="dxa"/>
              <w:right w:w="15" w:type="dxa"/>
            </w:tcMar>
            <w:vAlign w:val="center"/>
            <w:hideMark/>
          </w:tcPr>
          <w:p w14:paraId="39D6683E" w14:textId="77777777" w:rsidR="002E3FC6" w:rsidRPr="007C0E5D" w:rsidRDefault="002E3FC6" w:rsidP="0099509E">
            <w:pPr>
              <w:pStyle w:val="CETBodytext"/>
              <w:jc w:val="left"/>
            </w:pPr>
            <w:r w:rsidRPr="007C0E5D">
              <w:t>35%</w:t>
            </w:r>
          </w:p>
        </w:tc>
      </w:tr>
      <w:tr w:rsidR="007C0E5D" w:rsidRPr="007C0E5D" w14:paraId="45575ECC" w14:textId="77777777" w:rsidTr="004C0CC2">
        <w:trPr>
          <w:trHeight w:val="227"/>
        </w:trPr>
        <w:tc>
          <w:tcPr>
            <w:tcW w:w="4037" w:type="pct"/>
            <w:shd w:val="clear" w:color="auto" w:fill="auto"/>
            <w:tcMar>
              <w:top w:w="15" w:type="dxa"/>
              <w:left w:w="15" w:type="dxa"/>
              <w:bottom w:w="0" w:type="dxa"/>
              <w:right w:w="15" w:type="dxa"/>
            </w:tcMar>
            <w:vAlign w:val="center"/>
            <w:hideMark/>
          </w:tcPr>
          <w:p w14:paraId="04D1BDAA" w14:textId="77777777" w:rsidR="002E3FC6" w:rsidRPr="007C0E5D" w:rsidRDefault="002E3FC6" w:rsidP="0099509E">
            <w:pPr>
              <w:pStyle w:val="CETBodytext"/>
              <w:jc w:val="left"/>
            </w:pPr>
            <w:r w:rsidRPr="007C0E5D">
              <w:t>Heat recovery, %</w:t>
            </w:r>
          </w:p>
        </w:tc>
        <w:tc>
          <w:tcPr>
            <w:tcW w:w="963" w:type="pct"/>
            <w:shd w:val="clear" w:color="auto" w:fill="auto"/>
            <w:noWrap/>
            <w:tcMar>
              <w:top w:w="15" w:type="dxa"/>
              <w:left w:w="15" w:type="dxa"/>
              <w:bottom w:w="0" w:type="dxa"/>
              <w:right w:w="15" w:type="dxa"/>
            </w:tcMar>
            <w:vAlign w:val="center"/>
            <w:hideMark/>
          </w:tcPr>
          <w:p w14:paraId="7D65CC31" w14:textId="77777777" w:rsidR="002E3FC6" w:rsidRPr="007C0E5D" w:rsidRDefault="002E3FC6" w:rsidP="0099509E">
            <w:pPr>
              <w:pStyle w:val="CETBodytext"/>
              <w:jc w:val="left"/>
            </w:pPr>
            <w:r w:rsidRPr="007C0E5D">
              <w:t>50%</w:t>
            </w:r>
          </w:p>
        </w:tc>
      </w:tr>
      <w:tr w:rsidR="007C0E5D" w:rsidRPr="007C0E5D" w14:paraId="06F99E3E" w14:textId="77777777" w:rsidTr="0043782C">
        <w:trPr>
          <w:trHeight w:val="227"/>
        </w:trPr>
        <w:tc>
          <w:tcPr>
            <w:tcW w:w="4037" w:type="pct"/>
            <w:shd w:val="clear" w:color="auto" w:fill="auto"/>
            <w:tcMar>
              <w:top w:w="15" w:type="dxa"/>
              <w:left w:w="15" w:type="dxa"/>
              <w:bottom w:w="0" w:type="dxa"/>
              <w:right w:w="15" w:type="dxa"/>
            </w:tcMar>
            <w:vAlign w:val="center"/>
            <w:hideMark/>
          </w:tcPr>
          <w:p w14:paraId="43DCA0A2" w14:textId="77777777" w:rsidR="002E3FC6" w:rsidRPr="007C0E5D" w:rsidRDefault="002E3FC6" w:rsidP="0099509E">
            <w:pPr>
              <w:pStyle w:val="CETBodytext"/>
              <w:jc w:val="left"/>
            </w:pPr>
            <w:r w:rsidRPr="007C0E5D">
              <w:t>Electricity produced, kW</w:t>
            </w:r>
          </w:p>
        </w:tc>
        <w:tc>
          <w:tcPr>
            <w:tcW w:w="963" w:type="pct"/>
            <w:shd w:val="clear" w:color="auto" w:fill="auto"/>
            <w:noWrap/>
            <w:tcMar>
              <w:top w:w="15" w:type="dxa"/>
              <w:left w:w="15" w:type="dxa"/>
              <w:bottom w:w="0" w:type="dxa"/>
              <w:right w:w="15" w:type="dxa"/>
            </w:tcMar>
            <w:vAlign w:val="center"/>
            <w:hideMark/>
          </w:tcPr>
          <w:p w14:paraId="020B4F9B" w14:textId="77777777" w:rsidR="002E3FC6" w:rsidRPr="007C0E5D" w:rsidRDefault="002E3FC6" w:rsidP="0099509E">
            <w:pPr>
              <w:pStyle w:val="CETBodytext"/>
              <w:jc w:val="left"/>
            </w:pPr>
            <w:r w:rsidRPr="007C0E5D">
              <w:t>3913.69</w:t>
            </w:r>
          </w:p>
        </w:tc>
      </w:tr>
      <w:tr w:rsidR="002E3FC6" w:rsidRPr="007C0E5D" w14:paraId="03A4DCF5" w14:textId="77777777" w:rsidTr="0043782C">
        <w:trPr>
          <w:trHeight w:val="227"/>
        </w:trPr>
        <w:tc>
          <w:tcPr>
            <w:tcW w:w="4037" w:type="pct"/>
            <w:tcBorders>
              <w:bottom w:val="single" w:sz="12" w:space="0" w:color="008000"/>
            </w:tcBorders>
            <w:shd w:val="clear" w:color="auto" w:fill="auto"/>
            <w:tcMar>
              <w:top w:w="15" w:type="dxa"/>
              <w:left w:w="15" w:type="dxa"/>
              <w:bottom w:w="0" w:type="dxa"/>
              <w:right w:w="15" w:type="dxa"/>
            </w:tcMar>
            <w:vAlign w:val="center"/>
            <w:hideMark/>
          </w:tcPr>
          <w:p w14:paraId="31385518" w14:textId="77777777" w:rsidR="002E3FC6" w:rsidRPr="007C0E5D" w:rsidRDefault="002E3FC6" w:rsidP="0099509E">
            <w:pPr>
              <w:pStyle w:val="CETBodytext"/>
              <w:jc w:val="left"/>
            </w:pPr>
            <w:r w:rsidRPr="007C0E5D">
              <w:t>Heat produced, kW</w:t>
            </w:r>
          </w:p>
        </w:tc>
        <w:tc>
          <w:tcPr>
            <w:tcW w:w="963" w:type="pct"/>
            <w:tcBorders>
              <w:bottom w:val="single" w:sz="12" w:space="0" w:color="008000"/>
            </w:tcBorders>
            <w:shd w:val="clear" w:color="auto" w:fill="auto"/>
            <w:noWrap/>
            <w:tcMar>
              <w:top w:w="15" w:type="dxa"/>
              <w:left w:w="15" w:type="dxa"/>
              <w:bottom w:w="0" w:type="dxa"/>
              <w:right w:w="15" w:type="dxa"/>
            </w:tcMar>
            <w:vAlign w:val="center"/>
            <w:hideMark/>
          </w:tcPr>
          <w:p w14:paraId="59253666" w14:textId="77777777" w:rsidR="002E3FC6" w:rsidRPr="007C0E5D" w:rsidRDefault="002E3FC6" w:rsidP="0099509E">
            <w:pPr>
              <w:pStyle w:val="CETBodytext"/>
              <w:jc w:val="left"/>
            </w:pPr>
            <w:r w:rsidRPr="007C0E5D">
              <w:t>5590.99</w:t>
            </w:r>
          </w:p>
        </w:tc>
      </w:tr>
    </w:tbl>
    <w:p w14:paraId="66BD6264" w14:textId="77777777" w:rsidR="002E3FC6" w:rsidRPr="007C0E5D" w:rsidRDefault="002E3FC6" w:rsidP="002E3FC6">
      <w:pPr>
        <w:pStyle w:val="CETHeading1"/>
        <w:rPr>
          <w:lang w:val="en-GB"/>
        </w:rPr>
        <w:sectPr w:rsidR="002E3FC6" w:rsidRPr="007C0E5D" w:rsidSect="00D51787">
          <w:type w:val="continuous"/>
          <w:pgSz w:w="11906" w:h="16838" w:code="9"/>
          <w:pgMar w:top="1701" w:right="1418" w:bottom="1701" w:left="1701" w:header="1701" w:footer="0" w:gutter="0"/>
          <w:cols w:num="2" w:space="709"/>
          <w:formProt w:val="0"/>
          <w:titlePg/>
          <w:docGrid w:linePitch="360"/>
        </w:sectPr>
      </w:pPr>
    </w:p>
    <w:p w14:paraId="0EB435AC" w14:textId="47015DB2" w:rsidR="002E3FC6" w:rsidRPr="007C0E5D" w:rsidRDefault="002E3FC6" w:rsidP="00055F22">
      <w:pPr>
        <w:pStyle w:val="CETBodytext"/>
      </w:pPr>
      <w:r w:rsidRPr="007C0E5D">
        <w:t xml:space="preserve">Table 2 reports the main data regarding the biowaste composition, highlighting </w:t>
      </w:r>
      <w:r w:rsidR="00F81E25" w:rsidRPr="007C0E5D">
        <w:t>that those sludges</w:t>
      </w:r>
      <w:r w:rsidRPr="007C0E5D">
        <w:t xml:space="preserve"> have a very low ash content </w:t>
      </w:r>
      <w:r w:rsidR="00F81E25" w:rsidRPr="007C0E5D">
        <w:t xml:space="preserve">when compared with other biowaste and biomasses. The carbon present in the biowaste is mineralized during the HTC process by producing a limited amount of carbon dioxide in </w:t>
      </w:r>
      <w:r w:rsidR="002874B2" w:rsidRPr="007C0E5D">
        <w:t xml:space="preserve">the </w:t>
      </w:r>
      <w:r w:rsidR="00F81E25" w:rsidRPr="007C0E5D">
        <w:t xml:space="preserve">gas phase </w:t>
      </w:r>
      <w:r w:rsidR="00E72360" w:rsidRPr="007C0E5D">
        <w:t xml:space="preserve">(Table 3) </w:t>
      </w:r>
      <w:r w:rsidR="00F81E25" w:rsidRPr="007C0E5D">
        <w:t xml:space="preserve">and of dissolved carbon in the water phase. Only 15% of gas is produced during HTC </w:t>
      </w:r>
      <w:r w:rsidR="00E72360" w:rsidRPr="007C0E5D">
        <w:t xml:space="preserve">(Table 3) </w:t>
      </w:r>
      <w:r w:rsidR="00F81E25" w:rsidRPr="007C0E5D">
        <w:t xml:space="preserve">and the carbon in this phase is about 27%. Once the reaction is completed, the outlet valve at the reactor top is slowly opened so reducing the pressure inside the reactor and promoting evaporation of water. </w:t>
      </w:r>
      <w:r w:rsidR="00E72360" w:rsidRPr="007C0E5D">
        <w:t xml:space="preserve">The evaporation ends when the temperature reaches the boiling value at about 1 bar and, at this stage, about 70% of water is removed under form of steam (Table 3); the rest is a high-rich in nutrients liquid phase at the reactor bottom sent to mechanical dewatering (Table </w:t>
      </w:r>
      <w:r w:rsidR="004B1EB3" w:rsidRPr="007C0E5D">
        <w:t>4</w:t>
      </w:r>
      <w:r w:rsidR="00E72360" w:rsidRPr="007C0E5D">
        <w:t xml:space="preserve">) and WWTP. </w:t>
      </w:r>
      <w:r w:rsidR="004B1EB3" w:rsidRPr="007C0E5D">
        <w:t xml:space="preserve">The solid fraction from dewatering is pelletized and dried to form a stable granule (Table 5). </w:t>
      </w:r>
      <w:r w:rsidR="00E72360" w:rsidRPr="007C0E5D">
        <w:t xml:space="preserve">The steam is filtered and condensed (Table 6) </w:t>
      </w:r>
      <w:r w:rsidR="002874B2" w:rsidRPr="007C0E5D">
        <w:t>to</w:t>
      </w:r>
      <w:r w:rsidR="00E72360" w:rsidRPr="007C0E5D">
        <w:t xml:space="preserve"> </w:t>
      </w:r>
      <w:r w:rsidR="002874B2" w:rsidRPr="007C0E5D">
        <w:t>form</w:t>
      </w:r>
      <w:r w:rsidR="00E72360" w:rsidRPr="007C0E5D">
        <w:t xml:space="preserve"> a distillate; only a part of the distillate is further cleaned by reverse osmosis to feed the electrolysis process</w:t>
      </w:r>
      <w:r w:rsidR="004B1EB3" w:rsidRPr="007C0E5D">
        <w:t xml:space="preserve"> (Table 7)</w:t>
      </w:r>
      <w:r w:rsidR="00E72360" w:rsidRPr="007C0E5D">
        <w:t>.</w:t>
      </w:r>
      <w:r w:rsidR="004B1EB3" w:rsidRPr="007C0E5D">
        <w:t xml:space="preserve"> The granulated biofuel is converted into syngas by means of a BFBG (Table 8) so allowing the production of energy for the self-sustaining of the whole plant.</w:t>
      </w:r>
    </w:p>
    <w:p w14:paraId="617929C9" w14:textId="77777777" w:rsidR="002E3FC6" w:rsidRPr="007C0E5D" w:rsidRDefault="002E3FC6" w:rsidP="00055F22">
      <w:pPr>
        <w:pStyle w:val="CETBodytext"/>
      </w:pPr>
    </w:p>
    <w:p w14:paraId="43B92FED" w14:textId="77777777" w:rsidR="001131AF" w:rsidRPr="007C0E5D" w:rsidRDefault="001131AF">
      <w:pPr>
        <w:spacing w:after="200" w:line="276" w:lineRule="auto"/>
        <w:rPr>
          <w:highlight w:val="yellow"/>
        </w:rPr>
      </w:pPr>
      <w:r w:rsidRPr="007C0E5D">
        <w:rPr>
          <w:noProof/>
        </w:rPr>
        <w:drawing>
          <wp:inline distT="0" distB="0" distL="0" distR="0" wp14:anchorId="08F5023F" wp14:editId="4CDD0372">
            <wp:extent cx="5245769" cy="4171183"/>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0"/>
                    <a:stretch>
                      <a:fillRect/>
                    </a:stretch>
                  </pic:blipFill>
                  <pic:spPr>
                    <a:xfrm>
                      <a:off x="0" y="0"/>
                      <a:ext cx="5246402" cy="4171686"/>
                    </a:xfrm>
                    <a:prstGeom prst="rect">
                      <a:avLst/>
                    </a:prstGeom>
                  </pic:spPr>
                </pic:pic>
              </a:graphicData>
            </a:graphic>
          </wp:inline>
        </w:drawing>
      </w:r>
    </w:p>
    <w:p w14:paraId="787E0127" w14:textId="1A3DCD77" w:rsidR="001131AF" w:rsidRPr="007C0E5D" w:rsidRDefault="001131AF" w:rsidP="001131AF">
      <w:pPr>
        <w:pStyle w:val="CETCaption"/>
      </w:pPr>
      <w:r w:rsidRPr="007C0E5D">
        <w:t xml:space="preserve">Figure </w:t>
      </w:r>
      <w:r w:rsidR="002E3FC6" w:rsidRPr="007C0E5D">
        <w:t>1</w:t>
      </w:r>
      <w:r w:rsidR="00D9072E" w:rsidRPr="007C0E5D">
        <w:t>:</w:t>
      </w:r>
      <w:r w:rsidRPr="007C0E5D">
        <w:t xml:space="preserve"> Block diagram of the model (only </w:t>
      </w:r>
      <w:r w:rsidR="00D51787" w:rsidRPr="007C0E5D">
        <w:t>Model 1</w:t>
      </w:r>
      <w:r w:rsidRPr="007C0E5D">
        <w:t xml:space="preserve"> </w:t>
      </w:r>
      <w:r w:rsidR="00D51787" w:rsidRPr="007C0E5D">
        <w:t>is</w:t>
      </w:r>
      <w:r w:rsidRPr="007C0E5D">
        <w:t xml:space="preserve"> quantified and considered in the calculations)</w:t>
      </w:r>
    </w:p>
    <w:p w14:paraId="287178B6" w14:textId="1610F8C1" w:rsidR="00BD53A6" w:rsidRPr="007C0E5D" w:rsidRDefault="008542F3" w:rsidP="00BD53A6">
      <w:pPr>
        <w:pStyle w:val="CETHeading1"/>
        <w:rPr>
          <w:lang w:val="en-GB"/>
        </w:rPr>
      </w:pPr>
      <w:r w:rsidRPr="007C0E5D">
        <w:rPr>
          <w:lang w:val="en-GB"/>
        </w:rPr>
        <w:lastRenderedPageBreak/>
        <w:t xml:space="preserve">4. </w:t>
      </w:r>
      <w:r w:rsidR="00D51787" w:rsidRPr="007C0E5D">
        <w:rPr>
          <w:lang w:val="en-GB"/>
        </w:rPr>
        <w:t>C</w:t>
      </w:r>
      <w:r w:rsidR="00BD53A6" w:rsidRPr="007C0E5D">
        <w:rPr>
          <w:lang w:val="en-GB"/>
        </w:rPr>
        <w:t>onclusion</w:t>
      </w:r>
      <w:r w:rsidR="00D51787" w:rsidRPr="007C0E5D">
        <w:rPr>
          <w:lang w:val="en-GB"/>
        </w:rPr>
        <w:t>s</w:t>
      </w:r>
    </w:p>
    <w:p w14:paraId="3CF3E3E0" w14:textId="2A71E79E" w:rsidR="002E793E" w:rsidRPr="007C0E5D" w:rsidRDefault="00BD53A6" w:rsidP="00D42C66">
      <w:pPr>
        <w:pStyle w:val="CETBodytext"/>
      </w:pPr>
      <w:r w:rsidRPr="007C0E5D">
        <w:t xml:space="preserve">The conceptual model </w:t>
      </w:r>
      <w:r w:rsidR="009832E1" w:rsidRPr="007C0E5D">
        <w:t>of a synergistic system that allows the production of green hydrogen by using “circular” electricity and recovered water has been assessed by developing a mathematical model.</w:t>
      </w:r>
      <w:r w:rsidR="003A6DED" w:rsidRPr="007C0E5D">
        <w:t xml:space="preserve"> The H</w:t>
      </w:r>
      <w:r w:rsidR="003A6DED" w:rsidRPr="007C0E5D">
        <w:rPr>
          <w:vertAlign w:val="subscript"/>
        </w:rPr>
        <w:t>2</w:t>
      </w:r>
      <w:r w:rsidR="003A6DED" w:rsidRPr="007C0E5D">
        <w:t xml:space="preserve"> production is energy intensive but also require</w:t>
      </w:r>
      <w:r w:rsidR="002874B2" w:rsidRPr="007C0E5D">
        <w:t>s</w:t>
      </w:r>
      <w:r w:rsidR="003A6DED" w:rsidRPr="007C0E5D">
        <w:t xml:space="preserve"> a massive fraction of freshwater in a ratio water/hydrogen that is 9:1 [kg]. </w:t>
      </w:r>
      <w:r w:rsidR="009832E1" w:rsidRPr="007C0E5D">
        <w:t>The model has been built by writing the mass balances over the system boundar</w:t>
      </w:r>
      <w:r w:rsidR="00BF7425" w:rsidRPr="007C0E5D">
        <w:t>ies</w:t>
      </w:r>
      <w:r w:rsidR="009832E1" w:rsidRPr="007C0E5D">
        <w:t xml:space="preserve"> of the main unit processes composing the sub-systems </w:t>
      </w:r>
      <w:r w:rsidR="00BF7425" w:rsidRPr="007C0E5D">
        <w:t xml:space="preserve">of the whole model. A hybrid experimental-state-of-art database of yields, efficiencies, compositions, chemical reactions, </w:t>
      </w:r>
      <w:proofErr w:type="spellStart"/>
      <w:r w:rsidR="00BF7425" w:rsidRPr="007C0E5D">
        <w:t>etc</w:t>
      </w:r>
      <w:proofErr w:type="spellEnd"/>
      <w:r w:rsidR="00BF7425" w:rsidRPr="007C0E5D">
        <w:t>, has been used to solve the equations. The evaluation of the energy</w:t>
      </w:r>
      <w:r w:rsidR="002E793E" w:rsidRPr="007C0E5D">
        <w:t xml:space="preserve"> needs of the main unit processes and the energy produced has also</w:t>
      </w:r>
      <w:r w:rsidR="002874B2" w:rsidRPr="007C0E5D">
        <w:t xml:space="preserve"> been</w:t>
      </w:r>
      <w:r w:rsidR="002E793E" w:rsidRPr="007C0E5D">
        <w:t xml:space="preserve"> reported to demonstrate the self-sustaining of the overall model.</w:t>
      </w:r>
    </w:p>
    <w:p w14:paraId="0EC25E34" w14:textId="54C463D7" w:rsidR="002E793E" w:rsidRPr="007C0E5D" w:rsidRDefault="002E793E" w:rsidP="00D42C66">
      <w:pPr>
        <w:pStyle w:val="CETBodytext"/>
      </w:pPr>
      <w:r w:rsidRPr="007C0E5D">
        <w:t xml:space="preserve">The results of </w:t>
      </w:r>
      <w:r w:rsidR="002874B2" w:rsidRPr="007C0E5D">
        <w:t xml:space="preserve">the </w:t>
      </w:r>
      <w:r w:rsidRPr="007C0E5D">
        <w:t>model indicate that:</w:t>
      </w:r>
    </w:p>
    <w:p w14:paraId="134F5110" w14:textId="15A96335" w:rsidR="00C058BD" w:rsidRPr="007C0E5D" w:rsidRDefault="002E793E" w:rsidP="002E793E">
      <w:pPr>
        <w:pStyle w:val="CETBodytext"/>
      </w:pPr>
      <w:r w:rsidRPr="007C0E5D">
        <w:t xml:space="preserve">1. the biowaste containing a low fraction of solids in </w:t>
      </w:r>
      <w:r w:rsidR="00C058BD" w:rsidRPr="007C0E5D">
        <w:t xml:space="preserve">a water medium can be conveniently transformed </w:t>
      </w:r>
      <w:r w:rsidR="002874B2" w:rsidRPr="007C0E5D">
        <w:t>into</w:t>
      </w:r>
      <w:r w:rsidR="00C058BD" w:rsidRPr="007C0E5D">
        <w:t xml:space="preserve"> granulated hydro-char by using hydrothermal carbonization in a system operated batchwise with three / four </w:t>
      </w:r>
      <w:proofErr w:type="gramStart"/>
      <w:r w:rsidR="00C058BD" w:rsidRPr="007C0E5D">
        <w:t>turn-keys</w:t>
      </w:r>
      <w:proofErr w:type="gramEnd"/>
      <w:r w:rsidR="00C058BD" w:rsidRPr="007C0E5D">
        <w:t xml:space="preserve"> per day.</w:t>
      </w:r>
    </w:p>
    <w:p w14:paraId="3AE7CF13" w14:textId="1E4F9E94" w:rsidR="00C058BD" w:rsidRPr="007C0E5D" w:rsidRDefault="00C058BD" w:rsidP="002E793E">
      <w:pPr>
        <w:pStyle w:val="CETBodytext"/>
      </w:pPr>
      <w:r w:rsidRPr="007C0E5D">
        <w:t xml:space="preserve">2. the hydro-char can be transformed into a </w:t>
      </w:r>
      <w:proofErr w:type="gramStart"/>
      <w:r w:rsidRPr="007C0E5D">
        <w:t>bio-fuel</w:t>
      </w:r>
      <w:proofErr w:type="gramEnd"/>
      <w:r w:rsidRPr="007C0E5D">
        <w:t xml:space="preserve"> having a good calorific value after proper densification and moisture reduction.</w:t>
      </w:r>
    </w:p>
    <w:p w14:paraId="31C740ED" w14:textId="1E47998C" w:rsidR="00C058BD" w:rsidRPr="007C0E5D" w:rsidRDefault="00C058BD" w:rsidP="002E793E">
      <w:pPr>
        <w:pStyle w:val="CETBodytext"/>
      </w:pPr>
      <w:r w:rsidRPr="007C0E5D">
        <w:t xml:space="preserve">3. the gasification with enriched air obtained by using the oxygen produced as </w:t>
      </w:r>
      <w:r w:rsidR="002874B2" w:rsidRPr="007C0E5D">
        <w:t xml:space="preserve">a </w:t>
      </w:r>
      <w:r w:rsidRPr="007C0E5D">
        <w:t xml:space="preserve">by-product from the electrolysis of water can produce enough heat and electricity to </w:t>
      </w:r>
      <w:r w:rsidR="00D42C66" w:rsidRPr="007C0E5D">
        <w:t>sustain the whole plant.</w:t>
      </w:r>
    </w:p>
    <w:p w14:paraId="04363DC5" w14:textId="3FBD8742" w:rsidR="00D42C66" w:rsidRPr="007C0E5D" w:rsidRDefault="00D42C66" w:rsidP="002E793E">
      <w:pPr>
        <w:pStyle w:val="CETBodytext"/>
      </w:pPr>
      <w:r w:rsidRPr="007C0E5D">
        <w:t xml:space="preserve">4. the green hydrogen can be therefore produced by using </w:t>
      </w:r>
      <w:r w:rsidR="002874B2" w:rsidRPr="007C0E5D">
        <w:t>demineralized</w:t>
      </w:r>
      <w:r w:rsidRPr="007C0E5D">
        <w:t xml:space="preserve"> water </w:t>
      </w:r>
      <w:proofErr w:type="spellStart"/>
      <w:r w:rsidRPr="007C0E5D">
        <w:t>ad</w:t>
      </w:r>
      <w:proofErr w:type="spellEnd"/>
      <w:r w:rsidRPr="007C0E5D">
        <w:t xml:space="preserve"> the electricity coming from the biowaste so realizing a real circularity of the integration between “waste management” and “commodity production”.</w:t>
      </w:r>
    </w:p>
    <w:p w14:paraId="7A31C811" w14:textId="77777777" w:rsidR="00C73604" w:rsidRPr="007C0E5D" w:rsidRDefault="00C73604" w:rsidP="00C73604">
      <w:pPr>
        <w:pStyle w:val="CETAcknowledgementstitle"/>
      </w:pPr>
      <w:r w:rsidRPr="007C0E5D">
        <w:t>Acknowledgments</w:t>
      </w:r>
    </w:p>
    <w:p w14:paraId="62D52F0E" w14:textId="403090BE" w:rsidR="00C73604" w:rsidRPr="007C0E5D" w:rsidRDefault="00C73604" w:rsidP="00C73604">
      <w:pPr>
        <w:pStyle w:val="CETBodytext"/>
        <w:rPr>
          <w:lang w:val="en-GB"/>
        </w:rPr>
      </w:pPr>
      <w:proofErr w:type="gramStart"/>
      <w:r w:rsidRPr="007C0E5D">
        <w:rPr>
          <w:lang w:val="en-GB"/>
        </w:rPr>
        <w:t>V:ALERE</w:t>
      </w:r>
      <w:proofErr w:type="gramEnd"/>
      <w:r w:rsidRPr="007C0E5D">
        <w:rPr>
          <w:lang w:val="en-GB"/>
        </w:rPr>
        <w:t xml:space="preserve"> 2019 grant support from </w:t>
      </w:r>
      <w:proofErr w:type="spellStart"/>
      <w:r w:rsidRPr="007C0E5D">
        <w:rPr>
          <w:lang w:val="en-GB"/>
        </w:rPr>
        <w:t>Università</w:t>
      </w:r>
      <w:proofErr w:type="spellEnd"/>
      <w:r w:rsidRPr="007C0E5D">
        <w:rPr>
          <w:lang w:val="en-GB"/>
        </w:rPr>
        <w:t xml:space="preserve"> </w:t>
      </w:r>
      <w:proofErr w:type="spellStart"/>
      <w:r w:rsidRPr="007C0E5D">
        <w:rPr>
          <w:lang w:val="en-GB"/>
        </w:rPr>
        <w:t>degli</w:t>
      </w:r>
      <w:proofErr w:type="spellEnd"/>
      <w:r w:rsidRPr="007C0E5D">
        <w:rPr>
          <w:lang w:val="en-GB"/>
        </w:rPr>
        <w:t xml:space="preserve"> </w:t>
      </w:r>
      <w:proofErr w:type="spellStart"/>
      <w:r w:rsidRPr="007C0E5D">
        <w:rPr>
          <w:lang w:val="en-GB"/>
        </w:rPr>
        <w:t>studi</w:t>
      </w:r>
      <w:proofErr w:type="spellEnd"/>
      <w:r w:rsidRPr="007C0E5D">
        <w:rPr>
          <w:lang w:val="en-GB"/>
        </w:rPr>
        <w:t xml:space="preserve"> </w:t>
      </w:r>
      <w:proofErr w:type="spellStart"/>
      <w:r w:rsidRPr="007C0E5D">
        <w:rPr>
          <w:lang w:val="en-GB"/>
        </w:rPr>
        <w:t>della</w:t>
      </w:r>
      <w:proofErr w:type="spellEnd"/>
      <w:r w:rsidRPr="007C0E5D">
        <w:rPr>
          <w:lang w:val="en-GB"/>
        </w:rPr>
        <w:t xml:space="preserve"> Campania “L. Vanvitelli” of CHIMERA project and CEA SpA are gratefully acknowledged for financial support of the experimental activity about the HTC section. Bell Production SpA is gratefully acknowledged for financial support of the experimental activity about the tar conditioning section. </w:t>
      </w:r>
    </w:p>
    <w:p w14:paraId="4744D862" w14:textId="76DF887B" w:rsidR="00D42C66" w:rsidRPr="007C0E5D" w:rsidRDefault="00D42C66" w:rsidP="00C73604">
      <w:pPr>
        <w:pStyle w:val="CETReference"/>
      </w:pPr>
      <w:r w:rsidRPr="007C0E5D">
        <w:t>References</w:t>
      </w:r>
    </w:p>
    <w:p w14:paraId="44DBC6FE" w14:textId="50CD1767" w:rsidR="004B24B8" w:rsidRPr="007C0E5D" w:rsidRDefault="004B24B8" w:rsidP="004B24B8">
      <w:pPr>
        <w:pStyle w:val="CETReferencetext"/>
        <w:ind w:left="426" w:hanging="426"/>
      </w:pPr>
      <w:r w:rsidRPr="007C0E5D">
        <w:t xml:space="preserve">Beswick </w:t>
      </w:r>
      <w:r w:rsidR="00C93205" w:rsidRPr="007C0E5D">
        <w:t>R</w:t>
      </w:r>
      <w:r w:rsidR="000C4916" w:rsidRPr="007C0E5D">
        <w:t>.</w:t>
      </w:r>
      <w:r w:rsidRPr="007C0E5D">
        <w:t>R., Oliveira</w:t>
      </w:r>
      <w:r w:rsidR="000C4916" w:rsidRPr="007C0E5D">
        <w:t xml:space="preserve"> A.M.</w:t>
      </w:r>
      <w:r w:rsidRPr="007C0E5D">
        <w:t>, Yan</w:t>
      </w:r>
      <w:r w:rsidR="000C4916" w:rsidRPr="007C0E5D">
        <w:t xml:space="preserve"> Y., 2021</w:t>
      </w:r>
      <w:r w:rsidRPr="007C0E5D">
        <w:t xml:space="preserve">, Does the Green Hydrogen Economy Have a Water </w:t>
      </w:r>
      <w:proofErr w:type="gramStart"/>
      <w:r w:rsidRPr="007C0E5D">
        <w:t>Problem?,</w:t>
      </w:r>
      <w:proofErr w:type="gramEnd"/>
      <w:r w:rsidRPr="007C0E5D">
        <w:t xml:space="preserve"> ACS Energy Letters</w:t>
      </w:r>
      <w:r w:rsidR="000C4916" w:rsidRPr="007C0E5D">
        <w:t>,</w:t>
      </w:r>
      <w:r w:rsidRPr="007C0E5D">
        <w:t> 6, 3167-3169</w:t>
      </w:r>
      <w:r w:rsidR="000C4916" w:rsidRPr="007C0E5D">
        <w:t>.</w:t>
      </w:r>
    </w:p>
    <w:p w14:paraId="1AA4C2F2" w14:textId="3EAFA0D3" w:rsidR="005F69D2" w:rsidRPr="007C0E5D" w:rsidRDefault="004B24B8" w:rsidP="004B24B8">
      <w:pPr>
        <w:pStyle w:val="CETReferencetext"/>
        <w:ind w:left="426" w:hanging="426"/>
      </w:pPr>
      <w:r w:rsidRPr="007C0E5D">
        <w:t>Bouchareb R., Isik</w:t>
      </w:r>
      <w:r w:rsidR="00275E59" w:rsidRPr="007C0E5D">
        <w:t xml:space="preserve"> Z.</w:t>
      </w:r>
      <w:r w:rsidRPr="007C0E5D">
        <w:t xml:space="preserve">, </w:t>
      </w:r>
      <w:proofErr w:type="spellStart"/>
      <w:r w:rsidRPr="007C0E5D">
        <w:t>Ozay</w:t>
      </w:r>
      <w:proofErr w:type="spellEnd"/>
      <w:r w:rsidR="00275E59" w:rsidRPr="007C0E5D">
        <w:t xml:space="preserve"> Y.</w:t>
      </w:r>
      <w:r w:rsidRPr="007C0E5D">
        <w:t xml:space="preserve">, </w:t>
      </w:r>
      <w:proofErr w:type="spellStart"/>
      <w:r w:rsidRPr="007C0E5D">
        <w:t>Karagunduz</w:t>
      </w:r>
      <w:proofErr w:type="spellEnd"/>
      <w:r w:rsidR="00275E59" w:rsidRPr="007C0E5D">
        <w:t xml:space="preserve"> A.</w:t>
      </w:r>
      <w:r w:rsidRPr="007C0E5D">
        <w:t xml:space="preserve">, </w:t>
      </w:r>
      <w:proofErr w:type="spellStart"/>
      <w:r w:rsidRPr="007C0E5D">
        <w:t>Keskinler</w:t>
      </w:r>
      <w:proofErr w:type="spellEnd"/>
      <w:r w:rsidR="00275E59" w:rsidRPr="007C0E5D">
        <w:t xml:space="preserve"> B.</w:t>
      </w:r>
      <w:r w:rsidRPr="007C0E5D">
        <w:t xml:space="preserve">, </w:t>
      </w:r>
      <w:proofErr w:type="spellStart"/>
      <w:r w:rsidRPr="007C0E5D">
        <w:t>Dizge</w:t>
      </w:r>
      <w:proofErr w:type="spellEnd"/>
      <w:r w:rsidR="00275E59" w:rsidRPr="007C0E5D">
        <w:t xml:space="preserve"> N.</w:t>
      </w:r>
      <w:r w:rsidRPr="007C0E5D">
        <w:t xml:space="preserve">, </w:t>
      </w:r>
      <w:r w:rsidR="00275E59" w:rsidRPr="007C0E5D">
        <w:t xml:space="preserve">2022, </w:t>
      </w:r>
      <w:r w:rsidRPr="007C0E5D">
        <w:t xml:space="preserve">A hybrid process for leachate wastewater treatment: Evaporation and reverse osmosis/sequencing batch reactor, </w:t>
      </w:r>
      <w:r w:rsidR="005C6FC6" w:rsidRPr="007C0E5D">
        <w:t>Water Environment Research, 94, e10717.</w:t>
      </w:r>
    </w:p>
    <w:p w14:paraId="467B40E7" w14:textId="506C4B95" w:rsidR="003053D0" w:rsidRPr="007C0E5D" w:rsidRDefault="005F69D2" w:rsidP="004B24B8">
      <w:pPr>
        <w:pStyle w:val="CETReferencetext"/>
        <w:ind w:left="426" w:hanging="426"/>
      </w:pPr>
      <w:r w:rsidRPr="007C0E5D">
        <w:t xml:space="preserve">European Commission, </w:t>
      </w:r>
      <w:r w:rsidR="005C6FC6" w:rsidRPr="007C0E5D">
        <w:t xml:space="preserve">2018, </w:t>
      </w:r>
      <w:r w:rsidR="00A906CC" w:rsidRPr="007C0E5D">
        <w:t>A Clean Planet for all - A European strategic long-term vision for a prosperous, modern, competitive and climate neutral economy, COM (2018) 773 - 28/11/2018</w:t>
      </w:r>
      <w:r w:rsidR="005C6FC6" w:rsidRPr="007C0E5D">
        <w:t>.</w:t>
      </w:r>
    </w:p>
    <w:p w14:paraId="2FA193D3" w14:textId="4265A4B3" w:rsidR="00A719A1" w:rsidRPr="007C0E5D" w:rsidRDefault="00A719A1" w:rsidP="00A719A1">
      <w:pPr>
        <w:jc w:val="both"/>
        <w:rPr>
          <w:rFonts w:ascii="Arial" w:hAnsi="Arial"/>
          <w:sz w:val="18"/>
          <w:szCs w:val="20"/>
          <w:lang w:val="en-GB" w:eastAsia="en-US"/>
        </w:rPr>
      </w:pPr>
      <w:r w:rsidRPr="007C0E5D">
        <w:rPr>
          <w:rFonts w:ascii="Arial" w:hAnsi="Arial"/>
          <w:sz w:val="18"/>
          <w:szCs w:val="20"/>
          <w:lang w:val="en-GB" w:eastAsia="en-US"/>
        </w:rPr>
        <w:t>EPA, Inventory of U.S. Greenhouse Gas Emissions and Sinks, 2022</w:t>
      </w:r>
      <w:r w:rsidR="005C6FC6" w:rsidRPr="007C0E5D">
        <w:rPr>
          <w:rFonts w:ascii="Arial" w:hAnsi="Arial"/>
          <w:sz w:val="18"/>
          <w:szCs w:val="20"/>
          <w:lang w:val="en-GB" w:eastAsia="en-US"/>
        </w:rPr>
        <w:t>.</w:t>
      </w:r>
    </w:p>
    <w:p w14:paraId="55FF39F4" w14:textId="659C63D3" w:rsidR="00A719A1" w:rsidRPr="007C0E5D" w:rsidRDefault="00A719A1" w:rsidP="004B5A81">
      <w:pPr>
        <w:pStyle w:val="CETReferencetext"/>
        <w:ind w:left="426" w:hanging="426"/>
        <w:rPr>
          <w:lang w:val="en-US"/>
        </w:rPr>
      </w:pPr>
      <w:r w:rsidRPr="007C0E5D">
        <w:rPr>
          <w:lang w:val="en-US"/>
        </w:rPr>
        <w:t>Liu L., Huang Y., Cao J., Liu C., Dong L., Xu L., Zha J., 2018, Experimental study of biomass gasification with oxygen-enriched air in fluidized bed gasifier, Science of the Total Environment, 626, 423–433</w:t>
      </w:r>
      <w:r w:rsidR="005C6FC6" w:rsidRPr="007C0E5D">
        <w:rPr>
          <w:lang w:val="en-US"/>
        </w:rPr>
        <w:t>.</w:t>
      </w:r>
    </w:p>
    <w:bookmarkEnd w:id="0"/>
    <w:p w14:paraId="1CC36421" w14:textId="3192BCEF" w:rsidR="005E7DF7" w:rsidRPr="007C0E5D" w:rsidRDefault="000C6A8C" w:rsidP="001E0595">
      <w:pPr>
        <w:pStyle w:val="CETReferencetext"/>
        <w:ind w:left="426" w:hanging="426"/>
      </w:pPr>
      <w:r w:rsidRPr="007C0E5D">
        <w:t xml:space="preserve">Rostrup-Nielsen J.R., Sehested J., </w:t>
      </w:r>
      <w:r w:rsidR="009D4C47" w:rsidRPr="007C0E5D">
        <w:t>Nørskov J.K., 2002</w:t>
      </w:r>
      <w:r w:rsidR="005C6FC6" w:rsidRPr="007C0E5D">
        <w:t>,</w:t>
      </w:r>
      <w:r w:rsidR="009D4C47" w:rsidRPr="007C0E5D">
        <w:t xml:space="preserve"> Hydrogen and synthesis gas by steam and CO</w:t>
      </w:r>
      <w:r w:rsidR="009D4C47" w:rsidRPr="007C0E5D">
        <w:rPr>
          <w:vertAlign w:val="subscript"/>
        </w:rPr>
        <w:t>2</w:t>
      </w:r>
      <w:r w:rsidR="001E0595" w:rsidRPr="007C0E5D">
        <w:t xml:space="preserve"> </w:t>
      </w:r>
      <w:r w:rsidR="009D4C47" w:rsidRPr="007C0E5D">
        <w:t>reforming, Advances in Catalysis, 47, 65-139</w:t>
      </w:r>
      <w:r w:rsidR="00A719A1" w:rsidRPr="007C0E5D">
        <w:t>.</w:t>
      </w:r>
    </w:p>
    <w:p w14:paraId="747072D9" w14:textId="77777777" w:rsidR="00285AC7" w:rsidRPr="007C0E5D" w:rsidRDefault="00285AC7" w:rsidP="00285AC7">
      <w:pPr>
        <w:pStyle w:val="CETReferencetext"/>
        <w:ind w:left="426" w:hanging="426"/>
      </w:pPr>
      <w:r w:rsidRPr="007C0E5D">
        <w:t>Valderrama Rios M.L., González A.M., Lora E.E.S., del Olmo O.A.A., 2018, Reduction of tar generated during biomass gasification: A review. Biomass and Bioenergy, 108, 345-370.</w:t>
      </w:r>
    </w:p>
    <w:p w14:paraId="37DABFD9" w14:textId="0E3D197F" w:rsidR="00285AC7" w:rsidRPr="007C0E5D" w:rsidRDefault="00285AC7" w:rsidP="005C6FC6">
      <w:pPr>
        <w:pStyle w:val="CETReferencetext"/>
        <w:rPr>
          <w:lang w:val="en-US"/>
        </w:rPr>
      </w:pPr>
      <w:r w:rsidRPr="007C0E5D">
        <w:rPr>
          <w:lang w:val="en-US"/>
        </w:rPr>
        <w:t>Vallejo F., Díaz-Robles L., Cubillos F., Espinoza A.P., Espinoza L., Pinilla F., Pino-Cortes E., 2020</w:t>
      </w:r>
      <w:r w:rsidR="005C6FC6" w:rsidRPr="007C0E5D">
        <w:rPr>
          <w:lang w:val="en-US"/>
        </w:rPr>
        <w:t xml:space="preserve">, </w:t>
      </w:r>
      <w:r w:rsidRPr="007C0E5D">
        <w:rPr>
          <w:lang w:val="en-US"/>
        </w:rPr>
        <w:t>Valorization of municipal solid waste using hydrothermal carbonization and gasification: A review. Chem</w:t>
      </w:r>
      <w:r w:rsidR="00F51D0B" w:rsidRPr="007C0E5D">
        <w:rPr>
          <w:lang w:val="en-US"/>
        </w:rPr>
        <w:t>ical</w:t>
      </w:r>
      <w:r w:rsidRPr="007C0E5D">
        <w:rPr>
          <w:lang w:val="en-US"/>
        </w:rPr>
        <w:t xml:space="preserve"> Eng</w:t>
      </w:r>
      <w:r w:rsidR="00F51D0B" w:rsidRPr="007C0E5D">
        <w:rPr>
          <w:lang w:val="en-US"/>
        </w:rPr>
        <w:t>ineering</w:t>
      </w:r>
      <w:r w:rsidRPr="007C0E5D">
        <w:rPr>
          <w:lang w:val="en-US"/>
        </w:rPr>
        <w:t xml:space="preserve"> Trans</w:t>
      </w:r>
      <w:r w:rsidR="00F51D0B" w:rsidRPr="007C0E5D">
        <w:rPr>
          <w:lang w:val="en-US"/>
        </w:rPr>
        <w:t>actions</w:t>
      </w:r>
      <w:r w:rsidRPr="007C0E5D">
        <w:rPr>
          <w:lang w:val="en-US"/>
        </w:rPr>
        <w:t xml:space="preserve"> 81, 1045–1050.</w:t>
      </w:r>
    </w:p>
    <w:p w14:paraId="52049CC6" w14:textId="1D4AD828" w:rsidR="00A719A1" w:rsidRPr="007C0E5D" w:rsidRDefault="00A719A1" w:rsidP="00A719A1">
      <w:pPr>
        <w:pStyle w:val="CETReferencetext"/>
      </w:pPr>
      <w:r w:rsidRPr="007C0E5D">
        <w:rPr>
          <w:lang w:val="en-US"/>
        </w:rPr>
        <w:t>Wang T., Zhai Y., Zhu Y., Li C., Zeng G., 2018</w:t>
      </w:r>
      <w:r w:rsidR="00F51D0B" w:rsidRPr="007C0E5D">
        <w:rPr>
          <w:lang w:val="en-US"/>
        </w:rPr>
        <w:t>,</w:t>
      </w:r>
      <w:r w:rsidRPr="007C0E5D">
        <w:rPr>
          <w:lang w:val="en-US"/>
        </w:rPr>
        <w:t xml:space="preserve"> </w:t>
      </w:r>
      <w:r w:rsidRPr="007C0E5D">
        <w:t>A review of the hydrothermal carbonization of biomass waste for hydrochar formation: Process conditions, fundamentals, and physicochemical properties, Renewable and Sustainable Energy Reviews, 90, 223–247.</w:t>
      </w:r>
    </w:p>
    <w:p w14:paraId="7ED1CF24" w14:textId="33B592B9" w:rsidR="00A719A1" w:rsidRPr="007C0E5D" w:rsidRDefault="004B5A81" w:rsidP="002C6570">
      <w:pPr>
        <w:pStyle w:val="CETReferencetext"/>
        <w:ind w:left="426" w:hanging="426"/>
      </w:pPr>
      <w:r w:rsidRPr="007C0E5D">
        <w:t xml:space="preserve">Zhang Y., Hu S., Guo F., </w:t>
      </w:r>
      <w:proofErr w:type="spellStart"/>
      <w:r w:rsidRPr="007C0E5D">
        <w:t>Mastrucci</w:t>
      </w:r>
      <w:proofErr w:type="spellEnd"/>
      <w:r w:rsidRPr="007C0E5D">
        <w:t xml:space="preserve"> A., Zhang S., Yang Z., Yan D., 2022</w:t>
      </w:r>
      <w:r w:rsidR="00F51D0B" w:rsidRPr="007C0E5D">
        <w:t>,</w:t>
      </w:r>
      <w:r w:rsidRPr="007C0E5D">
        <w:t xml:space="preserve"> Assessing the potential of decarbonizing China's building construction by 2060 and synergy with industry sector, Journal of Cleaner Production, 359, 132086.</w:t>
      </w:r>
    </w:p>
    <w:sectPr w:rsidR="00A719A1" w:rsidRPr="007C0E5D"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E761D" w14:textId="77777777" w:rsidR="00F37418" w:rsidRDefault="00F37418" w:rsidP="004F5E36">
      <w:r>
        <w:separator/>
      </w:r>
    </w:p>
  </w:endnote>
  <w:endnote w:type="continuationSeparator" w:id="0">
    <w:p w14:paraId="5A474D23" w14:textId="77777777" w:rsidR="00F37418" w:rsidRDefault="00F3741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35372" w14:textId="77777777" w:rsidR="00F37418" w:rsidRDefault="00F37418" w:rsidP="004F5E36">
      <w:r>
        <w:separator/>
      </w:r>
    </w:p>
  </w:footnote>
  <w:footnote w:type="continuationSeparator" w:id="0">
    <w:p w14:paraId="6B153415" w14:textId="77777777" w:rsidR="00F37418" w:rsidRDefault="00F3741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EB43466"/>
    <w:multiLevelType w:val="hybridMultilevel"/>
    <w:tmpl w:val="DDF206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9F7424"/>
    <w:multiLevelType w:val="hybridMultilevel"/>
    <w:tmpl w:val="76BC77BC"/>
    <w:lvl w:ilvl="0" w:tplc="B04CCE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1F64C54"/>
    <w:multiLevelType w:val="multilevel"/>
    <w:tmpl w:val="06B6D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7DE304A"/>
    <w:multiLevelType w:val="hybridMultilevel"/>
    <w:tmpl w:val="0F825EEC"/>
    <w:lvl w:ilvl="0" w:tplc="85F0EC1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8F0001"/>
    <w:multiLevelType w:val="hybridMultilevel"/>
    <w:tmpl w:val="C88AEC8A"/>
    <w:lvl w:ilvl="0" w:tplc="04100001">
      <w:start w:val="1"/>
      <w:numFmt w:val="bullet"/>
      <w:lvlText w:val=""/>
      <w:lvlJc w:val="left"/>
      <w:pPr>
        <w:ind w:left="3962" w:hanging="360"/>
      </w:pPr>
      <w:rPr>
        <w:rFonts w:ascii="Symbol" w:hAnsi="Symbol" w:hint="default"/>
      </w:rPr>
    </w:lvl>
    <w:lvl w:ilvl="1" w:tplc="08090003" w:tentative="1">
      <w:start w:val="1"/>
      <w:numFmt w:val="bullet"/>
      <w:lvlText w:val="o"/>
      <w:lvlJc w:val="left"/>
      <w:pPr>
        <w:ind w:left="4682" w:hanging="360"/>
      </w:pPr>
      <w:rPr>
        <w:rFonts w:ascii="Courier New" w:hAnsi="Courier New" w:hint="default"/>
      </w:rPr>
    </w:lvl>
    <w:lvl w:ilvl="2" w:tplc="08090005" w:tentative="1">
      <w:start w:val="1"/>
      <w:numFmt w:val="bullet"/>
      <w:lvlText w:val=""/>
      <w:lvlJc w:val="left"/>
      <w:pPr>
        <w:ind w:left="5402" w:hanging="360"/>
      </w:pPr>
      <w:rPr>
        <w:rFonts w:ascii="Wingdings" w:hAnsi="Wingdings" w:hint="default"/>
      </w:rPr>
    </w:lvl>
    <w:lvl w:ilvl="3" w:tplc="08090001" w:tentative="1">
      <w:start w:val="1"/>
      <w:numFmt w:val="bullet"/>
      <w:lvlText w:val=""/>
      <w:lvlJc w:val="left"/>
      <w:pPr>
        <w:ind w:left="6122" w:hanging="360"/>
      </w:pPr>
      <w:rPr>
        <w:rFonts w:ascii="Symbol" w:hAnsi="Symbol" w:hint="default"/>
      </w:rPr>
    </w:lvl>
    <w:lvl w:ilvl="4" w:tplc="08090003" w:tentative="1">
      <w:start w:val="1"/>
      <w:numFmt w:val="bullet"/>
      <w:lvlText w:val="o"/>
      <w:lvlJc w:val="left"/>
      <w:pPr>
        <w:ind w:left="6842" w:hanging="360"/>
      </w:pPr>
      <w:rPr>
        <w:rFonts w:ascii="Courier New" w:hAnsi="Courier New" w:hint="default"/>
      </w:rPr>
    </w:lvl>
    <w:lvl w:ilvl="5" w:tplc="08090005" w:tentative="1">
      <w:start w:val="1"/>
      <w:numFmt w:val="bullet"/>
      <w:lvlText w:val=""/>
      <w:lvlJc w:val="left"/>
      <w:pPr>
        <w:ind w:left="7562" w:hanging="360"/>
      </w:pPr>
      <w:rPr>
        <w:rFonts w:ascii="Wingdings" w:hAnsi="Wingdings" w:hint="default"/>
      </w:rPr>
    </w:lvl>
    <w:lvl w:ilvl="6" w:tplc="08090001" w:tentative="1">
      <w:start w:val="1"/>
      <w:numFmt w:val="bullet"/>
      <w:lvlText w:val=""/>
      <w:lvlJc w:val="left"/>
      <w:pPr>
        <w:ind w:left="8282" w:hanging="360"/>
      </w:pPr>
      <w:rPr>
        <w:rFonts w:ascii="Symbol" w:hAnsi="Symbol" w:hint="default"/>
      </w:rPr>
    </w:lvl>
    <w:lvl w:ilvl="7" w:tplc="08090003" w:tentative="1">
      <w:start w:val="1"/>
      <w:numFmt w:val="bullet"/>
      <w:lvlText w:val="o"/>
      <w:lvlJc w:val="left"/>
      <w:pPr>
        <w:ind w:left="9002" w:hanging="360"/>
      </w:pPr>
      <w:rPr>
        <w:rFonts w:ascii="Courier New" w:hAnsi="Courier New" w:hint="default"/>
      </w:rPr>
    </w:lvl>
    <w:lvl w:ilvl="8" w:tplc="08090005" w:tentative="1">
      <w:start w:val="1"/>
      <w:numFmt w:val="bullet"/>
      <w:lvlText w:val=""/>
      <w:lvlJc w:val="left"/>
      <w:pPr>
        <w:ind w:left="9722" w:hanging="360"/>
      </w:pPr>
      <w:rPr>
        <w:rFonts w:ascii="Wingdings" w:hAnsi="Wingdings" w:hint="default"/>
      </w:rPr>
    </w:lvl>
  </w:abstractNum>
  <w:abstractNum w:abstractNumId="23"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70E21CD"/>
    <w:multiLevelType w:val="hybridMultilevel"/>
    <w:tmpl w:val="E332AEE4"/>
    <w:lvl w:ilvl="0" w:tplc="04100011">
      <w:start w:val="1"/>
      <w:numFmt w:val="decimal"/>
      <w:lvlText w:val="%1)"/>
      <w:lvlJc w:val="left"/>
      <w:pPr>
        <w:ind w:left="3962" w:hanging="360"/>
      </w:pPr>
    </w:lvl>
    <w:lvl w:ilvl="1" w:tplc="08090019" w:tentative="1">
      <w:start w:val="1"/>
      <w:numFmt w:val="lowerLetter"/>
      <w:lvlText w:val="%2."/>
      <w:lvlJc w:val="left"/>
      <w:pPr>
        <w:ind w:left="4682" w:hanging="360"/>
      </w:pPr>
    </w:lvl>
    <w:lvl w:ilvl="2" w:tplc="0809001B" w:tentative="1">
      <w:start w:val="1"/>
      <w:numFmt w:val="lowerRoman"/>
      <w:lvlText w:val="%3."/>
      <w:lvlJc w:val="right"/>
      <w:pPr>
        <w:ind w:left="5402" w:hanging="180"/>
      </w:pPr>
    </w:lvl>
    <w:lvl w:ilvl="3" w:tplc="0809000F" w:tentative="1">
      <w:start w:val="1"/>
      <w:numFmt w:val="decimal"/>
      <w:lvlText w:val="%4."/>
      <w:lvlJc w:val="left"/>
      <w:pPr>
        <w:ind w:left="6122" w:hanging="360"/>
      </w:pPr>
    </w:lvl>
    <w:lvl w:ilvl="4" w:tplc="08090019" w:tentative="1">
      <w:start w:val="1"/>
      <w:numFmt w:val="lowerLetter"/>
      <w:lvlText w:val="%5."/>
      <w:lvlJc w:val="left"/>
      <w:pPr>
        <w:ind w:left="6842" w:hanging="360"/>
      </w:pPr>
    </w:lvl>
    <w:lvl w:ilvl="5" w:tplc="0809001B" w:tentative="1">
      <w:start w:val="1"/>
      <w:numFmt w:val="lowerRoman"/>
      <w:lvlText w:val="%6."/>
      <w:lvlJc w:val="right"/>
      <w:pPr>
        <w:ind w:left="7562" w:hanging="180"/>
      </w:pPr>
    </w:lvl>
    <w:lvl w:ilvl="6" w:tplc="0809000F" w:tentative="1">
      <w:start w:val="1"/>
      <w:numFmt w:val="decimal"/>
      <w:lvlText w:val="%7."/>
      <w:lvlJc w:val="left"/>
      <w:pPr>
        <w:ind w:left="8282" w:hanging="360"/>
      </w:pPr>
    </w:lvl>
    <w:lvl w:ilvl="7" w:tplc="08090019" w:tentative="1">
      <w:start w:val="1"/>
      <w:numFmt w:val="lowerLetter"/>
      <w:lvlText w:val="%8."/>
      <w:lvlJc w:val="left"/>
      <w:pPr>
        <w:ind w:left="9002" w:hanging="360"/>
      </w:pPr>
    </w:lvl>
    <w:lvl w:ilvl="8" w:tplc="0809001B" w:tentative="1">
      <w:start w:val="1"/>
      <w:numFmt w:val="lowerRoman"/>
      <w:lvlText w:val="%9."/>
      <w:lvlJc w:val="right"/>
      <w:pPr>
        <w:ind w:left="9722" w:hanging="180"/>
      </w:pPr>
    </w:lvl>
  </w:abstractNum>
  <w:abstractNum w:abstractNumId="27" w15:restartNumberingAfterBreak="0">
    <w:nsid w:val="791459CF"/>
    <w:multiLevelType w:val="hybridMultilevel"/>
    <w:tmpl w:val="4F328370"/>
    <w:lvl w:ilvl="0" w:tplc="04100011">
      <w:start w:val="1"/>
      <w:numFmt w:val="decimal"/>
      <w:lvlText w:val="%1)"/>
      <w:lvlJc w:val="left"/>
      <w:pPr>
        <w:ind w:left="3962" w:hanging="360"/>
      </w:pPr>
    </w:lvl>
    <w:lvl w:ilvl="1" w:tplc="08090019" w:tentative="1">
      <w:start w:val="1"/>
      <w:numFmt w:val="lowerLetter"/>
      <w:lvlText w:val="%2."/>
      <w:lvlJc w:val="left"/>
      <w:pPr>
        <w:ind w:left="4682" w:hanging="360"/>
      </w:pPr>
    </w:lvl>
    <w:lvl w:ilvl="2" w:tplc="0809001B" w:tentative="1">
      <w:start w:val="1"/>
      <w:numFmt w:val="lowerRoman"/>
      <w:lvlText w:val="%3."/>
      <w:lvlJc w:val="right"/>
      <w:pPr>
        <w:ind w:left="5402" w:hanging="180"/>
      </w:pPr>
    </w:lvl>
    <w:lvl w:ilvl="3" w:tplc="0809000F" w:tentative="1">
      <w:start w:val="1"/>
      <w:numFmt w:val="decimal"/>
      <w:lvlText w:val="%4."/>
      <w:lvlJc w:val="left"/>
      <w:pPr>
        <w:ind w:left="6122" w:hanging="360"/>
      </w:pPr>
    </w:lvl>
    <w:lvl w:ilvl="4" w:tplc="08090019" w:tentative="1">
      <w:start w:val="1"/>
      <w:numFmt w:val="lowerLetter"/>
      <w:lvlText w:val="%5."/>
      <w:lvlJc w:val="left"/>
      <w:pPr>
        <w:ind w:left="6842" w:hanging="360"/>
      </w:pPr>
    </w:lvl>
    <w:lvl w:ilvl="5" w:tplc="0809001B" w:tentative="1">
      <w:start w:val="1"/>
      <w:numFmt w:val="lowerRoman"/>
      <w:lvlText w:val="%6."/>
      <w:lvlJc w:val="right"/>
      <w:pPr>
        <w:ind w:left="7562" w:hanging="180"/>
      </w:pPr>
    </w:lvl>
    <w:lvl w:ilvl="6" w:tplc="0809000F" w:tentative="1">
      <w:start w:val="1"/>
      <w:numFmt w:val="decimal"/>
      <w:lvlText w:val="%7."/>
      <w:lvlJc w:val="left"/>
      <w:pPr>
        <w:ind w:left="8282" w:hanging="360"/>
      </w:pPr>
    </w:lvl>
    <w:lvl w:ilvl="7" w:tplc="08090019" w:tentative="1">
      <w:start w:val="1"/>
      <w:numFmt w:val="lowerLetter"/>
      <w:lvlText w:val="%8."/>
      <w:lvlJc w:val="left"/>
      <w:pPr>
        <w:ind w:left="9002" w:hanging="360"/>
      </w:pPr>
    </w:lvl>
    <w:lvl w:ilvl="8" w:tplc="0809001B" w:tentative="1">
      <w:start w:val="1"/>
      <w:numFmt w:val="lowerRoman"/>
      <w:lvlText w:val="%9."/>
      <w:lvlJc w:val="right"/>
      <w:pPr>
        <w:ind w:left="9722" w:hanging="180"/>
      </w:pPr>
    </w:lvl>
  </w:abstractNum>
  <w:abstractNum w:abstractNumId="28" w15:restartNumberingAfterBreak="0">
    <w:nsid w:val="7C2F7339"/>
    <w:multiLevelType w:val="hybridMultilevel"/>
    <w:tmpl w:val="9D66C410"/>
    <w:lvl w:ilvl="0" w:tplc="6B8E8E6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52070977">
    <w:abstractNumId w:val="12"/>
  </w:num>
  <w:num w:numId="2" w16cid:durableId="751658402">
    <w:abstractNumId w:val="8"/>
  </w:num>
  <w:num w:numId="3" w16cid:durableId="2116516719">
    <w:abstractNumId w:val="3"/>
  </w:num>
  <w:num w:numId="4" w16cid:durableId="203520657">
    <w:abstractNumId w:val="2"/>
  </w:num>
  <w:num w:numId="5" w16cid:durableId="658919401">
    <w:abstractNumId w:val="1"/>
  </w:num>
  <w:num w:numId="6" w16cid:durableId="465466574">
    <w:abstractNumId w:val="0"/>
  </w:num>
  <w:num w:numId="7" w16cid:durableId="222448931">
    <w:abstractNumId w:val="9"/>
  </w:num>
  <w:num w:numId="8" w16cid:durableId="1019307609">
    <w:abstractNumId w:val="7"/>
  </w:num>
  <w:num w:numId="9" w16cid:durableId="1683628702">
    <w:abstractNumId w:val="6"/>
  </w:num>
  <w:num w:numId="10" w16cid:durableId="905069324">
    <w:abstractNumId w:val="5"/>
  </w:num>
  <w:num w:numId="11" w16cid:durableId="270548018">
    <w:abstractNumId w:val="4"/>
  </w:num>
  <w:num w:numId="12" w16cid:durableId="806624100">
    <w:abstractNumId w:val="20"/>
  </w:num>
  <w:num w:numId="13" w16cid:durableId="1324621798">
    <w:abstractNumId w:val="14"/>
  </w:num>
  <w:num w:numId="14" w16cid:durableId="1000812889">
    <w:abstractNumId w:val="23"/>
  </w:num>
  <w:num w:numId="15" w16cid:durableId="1862621613">
    <w:abstractNumId w:val="25"/>
  </w:num>
  <w:num w:numId="16" w16cid:durableId="1052387451">
    <w:abstractNumId w:val="24"/>
  </w:num>
  <w:num w:numId="17" w16cid:durableId="1356419166">
    <w:abstractNumId w:val="13"/>
  </w:num>
  <w:num w:numId="18" w16cid:durableId="695082335">
    <w:abstractNumId w:val="14"/>
    <w:lvlOverride w:ilvl="0">
      <w:startOverride w:val="1"/>
    </w:lvlOverride>
  </w:num>
  <w:num w:numId="19" w16cid:durableId="1156602707">
    <w:abstractNumId w:val="19"/>
  </w:num>
  <w:num w:numId="20" w16cid:durableId="2098746003">
    <w:abstractNumId w:val="18"/>
  </w:num>
  <w:num w:numId="21" w16cid:durableId="483282674">
    <w:abstractNumId w:val="16"/>
  </w:num>
  <w:num w:numId="22" w16cid:durableId="1073625811">
    <w:abstractNumId w:val="15"/>
  </w:num>
  <w:num w:numId="23" w16cid:durableId="985474665">
    <w:abstractNumId w:val="21"/>
  </w:num>
  <w:num w:numId="24" w16cid:durableId="2113162591">
    <w:abstractNumId w:val="10"/>
  </w:num>
  <w:num w:numId="25" w16cid:durableId="531455661">
    <w:abstractNumId w:val="27"/>
  </w:num>
  <w:num w:numId="26" w16cid:durableId="1337801826">
    <w:abstractNumId w:val="22"/>
  </w:num>
  <w:num w:numId="27" w16cid:durableId="2062746373">
    <w:abstractNumId w:val="26"/>
  </w:num>
  <w:num w:numId="28" w16cid:durableId="1081175887">
    <w:abstractNumId w:val="12"/>
  </w:num>
  <w:num w:numId="29" w16cid:durableId="1715041399">
    <w:abstractNumId w:val="11"/>
  </w:num>
  <w:num w:numId="30" w16cid:durableId="618923938">
    <w:abstractNumId w:val="17"/>
  </w:num>
  <w:num w:numId="31" w16cid:durableId="21870762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360"/>
    <w:rsid w:val="000117CB"/>
    <w:rsid w:val="0003148D"/>
    <w:rsid w:val="00031EEC"/>
    <w:rsid w:val="00051566"/>
    <w:rsid w:val="0005437C"/>
    <w:rsid w:val="00055F22"/>
    <w:rsid w:val="00062A9A"/>
    <w:rsid w:val="00065058"/>
    <w:rsid w:val="000811D5"/>
    <w:rsid w:val="00081265"/>
    <w:rsid w:val="000818BE"/>
    <w:rsid w:val="00083EC6"/>
    <w:rsid w:val="00086C39"/>
    <w:rsid w:val="00094DC4"/>
    <w:rsid w:val="000A03B2"/>
    <w:rsid w:val="000B34FE"/>
    <w:rsid w:val="000C4916"/>
    <w:rsid w:val="000C6A8C"/>
    <w:rsid w:val="000D0268"/>
    <w:rsid w:val="000D34BE"/>
    <w:rsid w:val="000D411C"/>
    <w:rsid w:val="000E102F"/>
    <w:rsid w:val="000E36F1"/>
    <w:rsid w:val="000E3A73"/>
    <w:rsid w:val="000E414A"/>
    <w:rsid w:val="000F093C"/>
    <w:rsid w:val="000F11FD"/>
    <w:rsid w:val="000F28A8"/>
    <w:rsid w:val="000F787B"/>
    <w:rsid w:val="001131AF"/>
    <w:rsid w:val="00113D57"/>
    <w:rsid w:val="0012091F"/>
    <w:rsid w:val="00126BC2"/>
    <w:rsid w:val="00127F2E"/>
    <w:rsid w:val="001308B6"/>
    <w:rsid w:val="0013121F"/>
    <w:rsid w:val="00131FE6"/>
    <w:rsid w:val="0013263F"/>
    <w:rsid w:val="001331DF"/>
    <w:rsid w:val="00134DE4"/>
    <w:rsid w:val="0014034D"/>
    <w:rsid w:val="00144D16"/>
    <w:rsid w:val="00150E59"/>
    <w:rsid w:val="00152DE3"/>
    <w:rsid w:val="00164CF9"/>
    <w:rsid w:val="001667A6"/>
    <w:rsid w:val="00170140"/>
    <w:rsid w:val="00183069"/>
    <w:rsid w:val="00184AD6"/>
    <w:rsid w:val="001A4AF7"/>
    <w:rsid w:val="001B0349"/>
    <w:rsid w:val="001B1E93"/>
    <w:rsid w:val="001B53F9"/>
    <w:rsid w:val="001B65C1"/>
    <w:rsid w:val="001C684B"/>
    <w:rsid w:val="001D0CFB"/>
    <w:rsid w:val="001D21AF"/>
    <w:rsid w:val="001D53FC"/>
    <w:rsid w:val="001E0595"/>
    <w:rsid w:val="001F42A5"/>
    <w:rsid w:val="001F7B9D"/>
    <w:rsid w:val="00201C93"/>
    <w:rsid w:val="002224B4"/>
    <w:rsid w:val="00242312"/>
    <w:rsid w:val="002447EF"/>
    <w:rsid w:val="002454A5"/>
    <w:rsid w:val="00251550"/>
    <w:rsid w:val="00263B05"/>
    <w:rsid w:val="00264A46"/>
    <w:rsid w:val="0027221A"/>
    <w:rsid w:val="00275B61"/>
    <w:rsid w:val="00275E59"/>
    <w:rsid w:val="00280FAF"/>
    <w:rsid w:val="00282656"/>
    <w:rsid w:val="00285AC7"/>
    <w:rsid w:val="002874B2"/>
    <w:rsid w:val="00295B6E"/>
    <w:rsid w:val="00296B83"/>
    <w:rsid w:val="00297C1D"/>
    <w:rsid w:val="002B4015"/>
    <w:rsid w:val="002B78CE"/>
    <w:rsid w:val="002C2B76"/>
    <w:rsid w:val="002C2FB6"/>
    <w:rsid w:val="002C6570"/>
    <w:rsid w:val="002E3FC6"/>
    <w:rsid w:val="002E5FA7"/>
    <w:rsid w:val="002E793E"/>
    <w:rsid w:val="002F3309"/>
    <w:rsid w:val="003008CE"/>
    <w:rsid w:val="003009B7"/>
    <w:rsid w:val="00300E56"/>
    <w:rsid w:val="0030469C"/>
    <w:rsid w:val="003053D0"/>
    <w:rsid w:val="0030569C"/>
    <w:rsid w:val="00321CA6"/>
    <w:rsid w:val="00323763"/>
    <w:rsid w:val="00334C09"/>
    <w:rsid w:val="003723D4"/>
    <w:rsid w:val="00375DEF"/>
    <w:rsid w:val="00381905"/>
    <w:rsid w:val="00384CC8"/>
    <w:rsid w:val="003871FD"/>
    <w:rsid w:val="003A1E30"/>
    <w:rsid w:val="003A2829"/>
    <w:rsid w:val="003A6DED"/>
    <w:rsid w:val="003A7D1C"/>
    <w:rsid w:val="003B304B"/>
    <w:rsid w:val="003B3146"/>
    <w:rsid w:val="003B5EF4"/>
    <w:rsid w:val="003D2575"/>
    <w:rsid w:val="003F015E"/>
    <w:rsid w:val="00400414"/>
    <w:rsid w:val="0041446B"/>
    <w:rsid w:val="004271E8"/>
    <w:rsid w:val="004328C3"/>
    <w:rsid w:val="0043782C"/>
    <w:rsid w:val="0044071E"/>
    <w:rsid w:val="0044329C"/>
    <w:rsid w:val="00453E24"/>
    <w:rsid w:val="00457456"/>
    <w:rsid w:val="004577FE"/>
    <w:rsid w:val="00457B9C"/>
    <w:rsid w:val="0046164A"/>
    <w:rsid w:val="004628D2"/>
    <w:rsid w:val="00462DCD"/>
    <w:rsid w:val="004648AD"/>
    <w:rsid w:val="004703A9"/>
    <w:rsid w:val="00472ED4"/>
    <w:rsid w:val="004760DE"/>
    <w:rsid w:val="004763D7"/>
    <w:rsid w:val="004837DA"/>
    <w:rsid w:val="004A004E"/>
    <w:rsid w:val="004A24CF"/>
    <w:rsid w:val="004B1EB3"/>
    <w:rsid w:val="004B24B8"/>
    <w:rsid w:val="004B5A81"/>
    <w:rsid w:val="004C0CC2"/>
    <w:rsid w:val="004C3D1D"/>
    <w:rsid w:val="004C3D84"/>
    <w:rsid w:val="004C414E"/>
    <w:rsid w:val="004C64F0"/>
    <w:rsid w:val="004C7913"/>
    <w:rsid w:val="004E4DD6"/>
    <w:rsid w:val="004F0855"/>
    <w:rsid w:val="004F5E36"/>
    <w:rsid w:val="00507B47"/>
    <w:rsid w:val="00507BEF"/>
    <w:rsid w:val="00507CC9"/>
    <w:rsid w:val="005119A5"/>
    <w:rsid w:val="00517E48"/>
    <w:rsid w:val="005278B7"/>
    <w:rsid w:val="00532016"/>
    <w:rsid w:val="005346C8"/>
    <w:rsid w:val="00535279"/>
    <w:rsid w:val="00543E7D"/>
    <w:rsid w:val="00547A68"/>
    <w:rsid w:val="005531C9"/>
    <w:rsid w:val="00567B80"/>
    <w:rsid w:val="00570C43"/>
    <w:rsid w:val="005A1CA8"/>
    <w:rsid w:val="005B2110"/>
    <w:rsid w:val="005B26D5"/>
    <w:rsid w:val="005B61E6"/>
    <w:rsid w:val="005C6FC6"/>
    <w:rsid w:val="005C77E1"/>
    <w:rsid w:val="005D2B29"/>
    <w:rsid w:val="005D635A"/>
    <w:rsid w:val="005D668A"/>
    <w:rsid w:val="005D6A2F"/>
    <w:rsid w:val="005E1A82"/>
    <w:rsid w:val="005E794C"/>
    <w:rsid w:val="005E7DF7"/>
    <w:rsid w:val="005F0A28"/>
    <w:rsid w:val="005F0E5E"/>
    <w:rsid w:val="005F69D2"/>
    <w:rsid w:val="00600535"/>
    <w:rsid w:val="0060079E"/>
    <w:rsid w:val="00610CD6"/>
    <w:rsid w:val="00620DEE"/>
    <w:rsid w:val="00621F92"/>
    <w:rsid w:val="0062280A"/>
    <w:rsid w:val="00625639"/>
    <w:rsid w:val="00631B33"/>
    <w:rsid w:val="0064184D"/>
    <w:rsid w:val="006422CC"/>
    <w:rsid w:val="00660E3E"/>
    <w:rsid w:val="00662E74"/>
    <w:rsid w:val="006713C7"/>
    <w:rsid w:val="00680C23"/>
    <w:rsid w:val="00687BF8"/>
    <w:rsid w:val="00692E91"/>
    <w:rsid w:val="00693766"/>
    <w:rsid w:val="006979D0"/>
    <w:rsid w:val="006A3281"/>
    <w:rsid w:val="006B1754"/>
    <w:rsid w:val="006B4888"/>
    <w:rsid w:val="006C2E45"/>
    <w:rsid w:val="006C359C"/>
    <w:rsid w:val="006C4218"/>
    <w:rsid w:val="006C5579"/>
    <w:rsid w:val="006D6E8B"/>
    <w:rsid w:val="006E08BA"/>
    <w:rsid w:val="006E737D"/>
    <w:rsid w:val="00713973"/>
    <w:rsid w:val="00720A24"/>
    <w:rsid w:val="00721A1F"/>
    <w:rsid w:val="00732386"/>
    <w:rsid w:val="0073514D"/>
    <w:rsid w:val="007447F3"/>
    <w:rsid w:val="00752F28"/>
    <w:rsid w:val="0075499F"/>
    <w:rsid w:val="00760B28"/>
    <w:rsid w:val="007661C8"/>
    <w:rsid w:val="0077098D"/>
    <w:rsid w:val="007931FA"/>
    <w:rsid w:val="007A24A5"/>
    <w:rsid w:val="007A4861"/>
    <w:rsid w:val="007A7BBA"/>
    <w:rsid w:val="007B0C50"/>
    <w:rsid w:val="007B48F9"/>
    <w:rsid w:val="007C0E5D"/>
    <w:rsid w:val="007C1A43"/>
    <w:rsid w:val="007E5A08"/>
    <w:rsid w:val="007F4780"/>
    <w:rsid w:val="0080013E"/>
    <w:rsid w:val="00811DEC"/>
    <w:rsid w:val="00813288"/>
    <w:rsid w:val="00815931"/>
    <w:rsid w:val="008168FC"/>
    <w:rsid w:val="00830996"/>
    <w:rsid w:val="008345F1"/>
    <w:rsid w:val="00850C4C"/>
    <w:rsid w:val="008542F3"/>
    <w:rsid w:val="008564E2"/>
    <w:rsid w:val="00865B07"/>
    <w:rsid w:val="008667EA"/>
    <w:rsid w:val="00874FEC"/>
    <w:rsid w:val="0087637F"/>
    <w:rsid w:val="00892AD5"/>
    <w:rsid w:val="00894316"/>
    <w:rsid w:val="008A1512"/>
    <w:rsid w:val="008B03CD"/>
    <w:rsid w:val="008D32B9"/>
    <w:rsid w:val="008D37C2"/>
    <w:rsid w:val="008D433B"/>
    <w:rsid w:val="008D4A16"/>
    <w:rsid w:val="008E4B6A"/>
    <w:rsid w:val="008E566E"/>
    <w:rsid w:val="0090161A"/>
    <w:rsid w:val="00901EB6"/>
    <w:rsid w:val="00904C62"/>
    <w:rsid w:val="00907F6F"/>
    <w:rsid w:val="00921C3F"/>
    <w:rsid w:val="00922BA8"/>
    <w:rsid w:val="00924DAC"/>
    <w:rsid w:val="00927058"/>
    <w:rsid w:val="0093031F"/>
    <w:rsid w:val="00942750"/>
    <w:rsid w:val="009450CE"/>
    <w:rsid w:val="00947179"/>
    <w:rsid w:val="0095164B"/>
    <w:rsid w:val="00954090"/>
    <w:rsid w:val="009573E7"/>
    <w:rsid w:val="00963E05"/>
    <w:rsid w:val="00964A45"/>
    <w:rsid w:val="00967843"/>
    <w:rsid w:val="00967D54"/>
    <w:rsid w:val="00967E18"/>
    <w:rsid w:val="00971028"/>
    <w:rsid w:val="00974DFC"/>
    <w:rsid w:val="00976CDC"/>
    <w:rsid w:val="009832E1"/>
    <w:rsid w:val="00993B84"/>
    <w:rsid w:val="00996483"/>
    <w:rsid w:val="00996F5A"/>
    <w:rsid w:val="009A4333"/>
    <w:rsid w:val="009B041A"/>
    <w:rsid w:val="009C37C3"/>
    <w:rsid w:val="009C7C86"/>
    <w:rsid w:val="009D2FF7"/>
    <w:rsid w:val="009D4C47"/>
    <w:rsid w:val="009D6F71"/>
    <w:rsid w:val="009E7884"/>
    <w:rsid w:val="009E788A"/>
    <w:rsid w:val="009F0E08"/>
    <w:rsid w:val="009F2D26"/>
    <w:rsid w:val="00A053A8"/>
    <w:rsid w:val="00A1327F"/>
    <w:rsid w:val="00A17260"/>
    <w:rsid w:val="00A1763D"/>
    <w:rsid w:val="00A17CEC"/>
    <w:rsid w:val="00A27EF0"/>
    <w:rsid w:val="00A35F7D"/>
    <w:rsid w:val="00A42361"/>
    <w:rsid w:val="00A50B20"/>
    <w:rsid w:val="00A51390"/>
    <w:rsid w:val="00A60D13"/>
    <w:rsid w:val="00A6386C"/>
    <w:rsid w:val="00A719A1"/>
    <w:rsid w:val="00A7223D"/>
    <w:rsid w:val="00A72745"/>
    <w:rsid w:val="00A72786"/>
    <w:rsid w:val="00A76EFC"/>
    <w:rsid w:val="00A906CC"/>
    <w:rsid w:val="00A91010"/>
    <w:rsid w:val="00A97F29"/>
    <w:rsid w:val="00AA684B"/>
    <w:rsid w:val="00AA702E"/>
    <w:rsid w:val="00AB0964"/>
    <w:rsid w:val="00AB355A"/>
    <w:rsid w:val="00AB5011"/>
    <w:rsid w:val="00AC7368"/>
    <w:rsid w:val="00AD16B9"/>
    <w:rsid w:val="00AE377D"/>
    <w:rsid w:val="00AF0EBA"/>
    <w:rsid w:val="00B02C8A"/>
    <w:rsid w:val="00B17FBD"/>
    <w:rsid w:val="00B315A6"/>
    <w:rsid w:val="00B31813"/>
    <w:rsid w:val="00B33365"/>
    <w:rsid w:val="00B50EC3"/>
    <w:rsid w:val="00B57B36"/>
    <w:rsid w:val="00B57E6F"/>
    <w:rsid w:val="00B67977"/>
    <w:rsid w:val="00B83F49"/>
    <w:rsid w:val="00B8686D"/>
    <w:rsid w:val="00B93C70"/>
    <w:rsid w:val="00B93F69"/>
    <w:rsid w:val="00BB1DDC"/>
    <w:rsid w:val="00BB258F"/>
    <w:rsid w:val="00BB3A51"/>
    <w:rsid w:val="00BC265B"/>
    <w:rsid w:val="00BC30C9"/>
    <w:rsid w:val="00BD077D"/>
    <w:rsid w:val="00BD53A6"/>
    <w:rsid w:val="00BD61FC"/>
    <w:rsid w:val="00BE283F"/>
    <w:rsid w:val="00BE3E58"/>
    <w:rsid w:val="00BF7425"/>
    <w:rsid w:val="00C01616"/>
    <w:rsid w:val="00C0162B"/>
    <w:rsid w:val="00C058BD"/>
    <w:rsid w:val="00C068ED"/>
    <w:rsid w:val="00C22E0C"/>
    <w:rsid w:val="00C263EF"/>
    <w:rsid w:val="00C345B1"/>
    <w:rsid w:val="00C40142"/>
    <w:rsid w:val="00C52C3C"/>
    <w:rsid w:val="00C57182"/>
    <w:rsid w:val="00C5765F"/>
    <w:rsid w:val="00C57863"/>
    <w:rsid w:val="00C62035"/>
    <w:rsid w:val="00C640AF"/>
    <w:rsid w:val="00C655FD"/>
    <w:rsid w:val="00C70FBE"/>
    <w:rsid w:val="00C73604"/>
    <w:rsid w:val="00C75407"/>
    <w:rsid w:val="00C870A8"/>
    <w:rsid w:val="00C913B6"/>
    <w:rsid w:val="00C93205"/>
    <w:rsid w:val="00C94434"/>
    <w:rsid w:val="00CA0D75"/>
    <w:rsid w:val="00CA1C95"/>
    <w:rsid w:val="00CA5A9C"/>
    <w:rsid w:val="00CA6594"/>
    <w:rsid w:val="00CC4C20"/>
    <w:rsid w:val="00CD3517"/>
    <w:rsid w:val="00CD588D"/>
    <w:rsid w:val="00CD5FE2"/>
    <w:rsid w:val="00CE7C68"/>
    <w:rsid w:val="00D02703"/>
    <w:rsid w:val="00D02B4C"/>
    <w:rsid w:val="00D040C4"/>
    <w:rsid w:val="00D11508"/>
    <w:rsid w:val="00D20AD1"/>
    <w:rsid w:val="00D40707"/>
    <w:rsid w:val="00D42C66"/>
    <w:rsid w:val="00D46B7E"/>
    <w:rsid w:val="00D51787"/>
    <w:rsid w:val="00D57C84"/>
    <w:rsid w:val="00D6057D"/>
    <w:rsid w:val="00D71640"/>
    <w:rsid w:val="00D836C5"/>
    <w:rsid w:val="00D84576"/>
    <w:rsid w:val="00D9072E"/>
    <w:rsid w:val="00DA1399"/>
    <w:rsid w:val="00DA24C6"/>
    <w:rsid w:val="00DA4D7B"/>
    <w:rsid w:val="00DD271C"/>
    <w:rsid w:val="00DD5AFF"/>
    <w:rsid w:val="00DE264A"/>
    <w:rsid w:val="00DF28B0"/>
    <w:rsid w:val="00DF5072"/>
    <w:rsid w:val="00DF6C2B"/>
    <w:rsid w:val="00E02D18"/>
    <w:rsid w:val="00E03AF1"/>
    <w:rsid w:val="00E041E7"/>
    <w:rsid w:val="00E23CA1"/>
    <w:rsid w:val="00E37345"/>
    <w:rsid w:val="00E409A8"/>
    <w:rsid w:val="00E50C12"/>
    <w:rsid w:val="00E63919"/>
    <w:rsid w:val="00E65B91"/>
    <w:rsid w:val="00E71566"/>
    <w:rsid w:val="00E7209D"/>
    <w:rsid w:val="00E72360"/>
    <w:rsid w:val="00E72EAD"/>
    <w:rsid w:val="00E77223"/>
    <w:rsid w:val="00E80A02"/>
    <w:rsid w:val="00E8528B"/>
    <w:rsid w:val="00E85B94"/>
    <w:rsid w:val="00E9159D"/>
    <w:rsid w:val="00E978D0"/>
    <w:rsid w:val="00EA4613"/>
    <w:rsid w:val="00EA7F91"/>
    <w:rsid w:val="00EB1523"/>
    <w:rsid w:val="00EB6526"/>
    <w:rsid w:val="00EC0E49"/>
    <w:rsid w:val="00EC101F"/>
    <w:rsid w:val="00EC1D9F"/>
    <w:rsid w:val="00EE0131"/>
    <w:rsid w:val="00EE17B0"/>
    <w:rsid w:val="00EF06D9"/>
    <w:rsid w:val="00F30C64"/>
    <w:rsid w:val="00F32BA2"/>
    <w:rsid w:val="00F32CDB"/>
    <w:rsid w:val="00F37418"/>
    <w:rsid w:val="00F46FA6"/>
    <w:rsid w:val="00F507C3"/>
    <w:rsid w:val="00F51D0B"/>
    <w:rsid w:val="00F565FE"/>
    <w:rsid w:val="00F63A70"/>
    <w:rsid w:val="00F73A4F"/>
    <w:rsid w:val="00F7534E"/>
    <w:rsid w:val="00F81E25"/>
    <w:rsid w:val="00FA1802"/>
    <w:rsid w:val="00FA21D0"/>
    <w:rsid w:val="00FA5F5F"/>
    <w:rsid w:val="00FB730C"/>
    <w:rsid w:val="00FC2695"/>
    <w:rsid w:val="00FC3E03"/>
    <w:rsid w:val="00FC3FC1"/>
    <w:rsid w:val="00FE2AF9"/>
    <w:rsid w:val="00FF0F42"/>
    <w:rsid w:val="00FF527A"/>
    <w:rsid w:val="00FF7DA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qFormat/>
    <w:rsid w:val="00472ED4"/>
    <w:pPr>
      <w:spacing w:after="0" w:line="240" w:lineRule="auto"/>
    </w:pPr>
    <w:rPr>
      <w:rFonts w:ascii="Times New Roman" w:eastAsia="Times New Roman" w:hAnsi="Times New Roman" w:cs="Times New Roman"/>
      <w:sz w:val="24"/>
      <w:szCs w:val="24"/>
      <w:lang w:eastAsia="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ind w:left="220" w:hanging="220"/>
    </w:pPr>
  </w:style>
  <w:style w:type="paragraph" w:styleId="Indice2">
    <w:name w:val="index 2"/>
    <w:basedOn w:val="Normale"/>
    <w:next w:val="Normale"/>
    <w:autoRedefine/>
    <w:uiPriority w:val="99"/>
    <w:semiHidden/>
    <w:unhideWhenUsed/>
    <w:rsid w:val="0003148D"/>
    <w:pPr>
      <w:ind w:left="440" w:hanging="220"/>
    </w:pPr>
  </w:style>
  <w:style w:type="paragraph" w:styleId="Indice3">
    <w:name w:val="index 3"/>
    <w:basedOn w:val="Normale"/>
    <w:next w:val="Normale"/>
    <w:autoRedefine/>
    <w:uiPriority w:val="99"/>
    <w:semiHidden/>
    <w:unhideWhenUsed/>
    <w:rsid w:val="0003148D"/>
    <w:pPr>
      <w:ind w:left="660" w:hanging="220"/>
    </w:pPr>
  </w:style>
  <w:style w:type="paragraph" w:styleId="Indice4">
    <w:name w:val="index 4"/>
    <w:basedOn w:val="Normale"/>
    <w:next w:val="Normale"/>
    <w:autoRedefine/>
    <w:uiPriority w:val="99"/>
    <w:semiHidden/>
    <w:unhideWhenUsed/>
    <w:rsid w:val="0003148D"/>
    <w:pPr>
      <w:ind w:left="880" w:hanging="220"/>
    </w:pPr>
  </w:style>
  <w:style w:type="paragraph" w:styleId="Indice5">
    <w:name w:val="index 5"/>
    <w:basedOn w:val="Normale"/>
    <w:next w:val="Normale"/>
    <w:autoRedefine/>
    <w:uiPriority w:val="99"/>
    <w:semiHidden/>
    <w:unhideWhenUsed/>
    <w:rsid w:val="0003148D"/>
    <w:pPr>
      <w:ind w:left="1100" w:hanging="220"/>
    </w:pPr>
  </w:style>
  <w:style w:type="paragraph" w:styleId="Indice6">
    <w:name w:val="index 6"/>
    <w:basedOn w:val="Normale"/>
    <w:next w:val="Normale"/>
    <w:autoRedefine/>
    <w:uiPriority w:val="99"/>
    <w:semiHidden/>
    <w:unhideWhenUsed/>
    <w:rsid w:val="0003148D"/>
    <w:pPr>
      <w:ind w:left="1320" w:hanging="220"/>
    </w:pPr>
  </w:style>
  <w:style w:type="paragraph" w:styleId="Indice7">
    <w:name w:val="index 7"/>
    <w:basedOn w:val="Normale"/>
    <w:next w:val="Normale"/>
    <w:autoRedefine/>
    <w:uiPriority w:val="99"/>
    <w:semiHidden/>
    <w:unhideWhenUsed/>
    <w:rsid w:val="0003148D"/>
    <w:pPr>
      <w:ind w:left="1540" w:hanging="220"/>
    </w:pPr>
  </w:style>
  <w:style w:type="paragraph" w:styleId="Indice8">
    <w:name w:val="index 8"/>
    <w:basedOn w:val="Normale"/>
    <w:next w:val="Normale"/>
    <w:autoRedefine/>
    <w:uiPriority w:val="99"/>
    <w:semiHidden/>
    <w:unhideWhenUsed/>
    <w:rsid w:val="0003148D"/>
    <w:pPr>
      <w:ind w:left="1760" w:hanging="220"/>
    </w:pPr>
  </w:style>
  <w:style w:type="paragraph" w:styleId="Indice9">
    <w:name w:val="index 9"/>
    <w:basedOn w:val="Normale"/>
    <w:next w:val="Normale"/>
    <w:autoRedefine/>
    <w:uiPriority w:val="99"/>
    <w:semiHidden/>
    <w:unhideWhenUsed/>
    <w:rsid w:val="0003148D"/>
    <w:pPr>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ind w:left="2880"/>
    </w:pPr>
    <w:rPr>
      <w:rFonts w:asciiTheme="majorHAnsi" w:eastAsiaTheme="majorEastAsia" w:hAnsiTheme="majorHAnsi" w:cstheme="majorBidi"/>
    </w:rPr>
  </w:style>
  <w:style w:type="paragraph" w:styleId="IndirizzoHTML">
    <w:name w:val="HTML Address"/>
    <w:basedOn w:val="Normale"/>
    <w:link w:val="IndirizzoHTMLCarattere"/>
    <w:uiPriority w:val="99"/>
    <w:semiHidden/>
    <w:unhideWhenUsed/>
    <w:rsid w:val="0003148D"/>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enter" w:pos="4819"/>
        <w:tab w:val="right" w:pos="9638"/>
      </w:tabs>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enter" w:pos="4819"/>
        <w:tab w:val="right" w:pos="9638"/>
      </w:tabs>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27298">
      <w:bodyDiv w:val="1"/>
      <w:marLeft w:val="0"/>
      <w:marRight w:val="0"/>
      <w:marTop w:val="0"/>
      <w:marBottom w:val="0"/>
      <w:divBdr>
        <w:top w:val="none" w:sz="0" w:space="0" w:color="auto"/>
        <w:left w:val="none" w:sz="0" w:space="0" w:color="auto"/>
        <w:bottom w:val="none" w:sz="0" w:space="0" w:color="auto"/>
        <w:right w:val="none" w:sz="0" w:space="0" w:color="auto"/>
      </w:divBdr>
    </w:div>
    <w:div w:id="47837627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96821">
      <w:bodyDiv w:val="1"/>
      <w:marLeft w:val="0"/>
      <w:marRight w:val="0"/>
      <w:marTop w:val="0"/>
      <w:marBottom w:val="0"/>
      <w:divBdr>
        <w:top w:val="none" w:sz="0" w:space="0" w:color="auto"/>
        <w:left w:val="none" w:sz="0" w:space="0" w:color="auto"/>
        <w:bottom w:val="none" w:sz="0" w:space="0" w:color="auto"/>
        <w:right w:val="none" w:sz="0" w:space="0" w:color="auto"/>
      </w:divBdr>
    </w:div>
    <w:div w:id="837620103">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966257">
      <w:bodyDiv w:val="1"/>
      <w:marLeft w:val="0"/>
      <w:marRight w:val="0"/>
      <w:marTop w:val="0"/>
      <w:marBottom w:val="0"/>
      <w:divBdr>
        <w:top w:val="none" w:sz="0" w:space="0" w:color="auto"/>
        <w:left w:val="none" w:sz="0" w:space="0" w:color="auto"/>
        <w:bottom w:val="none" w:sz="0" w:space="0" w:color="auto"/>
        <w:right w:val="none" w:sz="0" w:space="0" w:color="auto"/>
      </w:divBdr>
    </w:div>
    <w:div w:id="1070495911">
      <w:bodyDiv w:val="1"/>
      <w:marLeft w:val="0"/>
      <w:marRight w:val="0"/>
      <w:marTop w:val="0"/>
      <w:marBottom w:val="0"/>
      <w:divBdr>
        <w:top w:val="none" w:sz="0" w:space="0" w:color="auto"/>
        <w:left w:val="none" w:sz="0" w:space="0" w:color="auto"/>
        <w:bottom w:val="none" w:sz="0" w:space="0" w:color="auto"/>
        <w:right w:val="none" w:sz="0" w:space="0" w:color="auto"/>
      </w:divBdr>
    </w:div>
    <w:div w:id="1085302325">
      <w:bodyDiv w:val="1"/>
      <w:marLeft w:val="0"/>
      <w:marRight w:val="0"/>
      <w:marTop w:val="0"/>
      <w:marBottom w:val="0"/>
      <w:divBdr>
        <w:top w:val="none" w:sz="0" w:space="0" w:color="auto"/>
        <w:left w:val="none" w:sz="0" w:space="0" w:color="auto"/>
        <w:bottom w:val="none" w:sz="0" w:space="0" w:color="auto"/>
        <w:right w:val="none" w:sz="0" w:space="0" w:color="auto"/>
      </w:divBdr>
      <w:divsChild>
        <w:div w:id="1954827281">
          <w:marLeft w:val="0"/>
          <w:marRight w:val="0"/>
          <w:marTop w:val="0"/>
          <w:marBottom w:val="0"/>
          <w:divBdr>
            <w:top w:val="none" w:sz="0" w:space="0" w:color="auto"/>
            <w:left w:val="none" w:sz="0" w:space="0" w:color="auto"/>
            <w:bottom w:val="none" w:sz="0" w:space="0" w:color="auto"/>
            <w:right w:val="none" w:sz="0" w:space="0" w:color="auto"/>
          </w:divBdr>
        </w:div>
        <w:div w:id="1056128636">
          <w:marLeft w:val="0"/>
          <w:marRight w:val="0"/>
          <w:marTop w:val="0"/>
          <w:marBottom w:val="0"/>
          <w:divBdr>
            <w:top w:val="none" w:sz="0" w:space="0" w:color="auto"/>
            <w:left w:val="none" w:sz="0" w:space="0" w:color="auto"/>
            <w:bottom w:val="none" w:sz="0" w:space="0" w:color="auto"/>
            <w:right w:val="none" w:sz="0" w:space="0" w:color="auto"/>
          </w:divBdr>
        </w:div>
      </w:divsChild>
    </w:div>
    <w:div w:id="1111051891">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415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Pages>
  <Words>3510</Words>
  <Characters>20010</Characters>
  <Application>Microsoft Office Word</Application>
  <DocSecurity>0</DocSecurity>
  <Lines>166</Lines>
  <Paragraphs>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aidic@outlook.it</cp:lastModifiedBy>
  <cp:revision>13</cp:revision>
  <cp:lastPrinted>2022-07-05T08:00:00Z</cp:lastPrinted>
  <dcterms:created xsi:type="dcterms:W3CDTF">2022-07-20T10:24:00Z</dcterms:created>
  <dcterms:modified xsi:type="dcterms:W3CDTF">2022-08-10T10:50:00Z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