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86895" w:rsidRPr="00B57B36" w:rsidTr="00086895">
        <w:trPr>
          <w:trHeight w:val="852"/>
          <w:jc w:val="center"/>
        </w:trPr>
        <w:tc>
          <w:tcPr>
            <w:tcW w:w="6940" w:type="dxa"/>
            <w:vMerge w:val="restart"/>
            <w:tcBorders>
              <w:right w:val="single" w:sz="4" w:space="0" w:color="auto"/>
            </w:tcBorders>
          </w:tcPr>
          <w:p w:rsidR="00086895" w:rsidRPr="00B57B36" w:rsidRDefault="00086895" w:rsidP="00EC39B8">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5E644446" wp14:editId="479C0C0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86895" w:rsidRPr="00B57B36" w:rsidRDefault="00086895" w:rsidP="00EC39B8">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96, 2022</w:t>
            </w:r>
          </w:p>
        </w:tc>
        <w:tc>
          <w:tcPr>
            <w:tcW w:w="1842" w:type="dxa"/>
            <w:tcBorders>
              <w:left w:val="single" w:sz="4" w:space="0" w:color="auto"/>
              <w:bottom w:val="nil"/>
              <w:right w:val="single" w:sz="4" w:space="0" w:color="auto"/>
            </w:tcBorders>
          </w:tcPr>
          <w:p w:rsidR="00086895" w:rsidRPr="00B57B36" w:rsidRDefault="00086895" w:rsidP="00EC39B8">
            <w:pPr>
              <w:spacing w:line="140" w:lineRule="atLeast"/>
              <w:jc w:val="right"/>
              <w:rPr>
                <w:rFonts w:cs="Arial"/>
                <w:sz w:val="14"/>
                <w:szCs w:val="14"/>
              </w:rPr>
            </w:pPr>
            <w:r w:rsidRPr="00B57B36">
              <w:rPr>
                <w:rFonts w:cs="Arial"/>
                <w:sz w:val="14"/>
                <w:szCs w:val="14"/>
              </w:rPr>
              <w:t>A publication of</w:t>
            </w:r>
          </w:p>
          <w:p w:rsidR="00086895" w:rsidRPr="00B57B36" w:rsidRDefault="00086895" w:rsidP="00EC39B8">
            <w:pPr>
              <w:jc w:val="right"/>
            </w:pPr>
            <w:r w:rsidRPr="00B57B36">
              <w:rPr>
                <w:noProof/>
                <w:lang w:val="en-US"/>
              </w:rPr>
              <w:drawing>
                <wp:inline distT="0" distB="0" distL="0" distR="0" wp14:anchorId="4885E672" wp14:editId="53E679F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86895" w:rsidRPr="00B57B36" w:rsidTr="00086895">
        <w:trPr>
          <w:trHeight w:val="567"/>
          <w:jc w:val="center"/>
        </w:trPr>
        <w:tc>
          <w:tcPr>
            <w:tcW w:w="6940" w:type="dxa"/>
            <w:vMerge/>
            <w:tcBorders>
              <w:right w:val="single" w:sz="4" w:space="0" w:color="auto"/>
            </w:tcBorders>
          </w:tcPr>
          <w:p w:rsidR="00086895" w:rsidRPr="00B57B36" w:rsidRDefault="00086895" w:rsidP="00EC39B8">
            <w:pPr>
              <w:tabs>
                <w:tab w:val="left" w:pos="-108"/>
              </w:tabs>
            </w:pPr>
          </w:p>
        </w:tc>
        <w:tc>
          <w:tcPr>
            <w:tcW w:w="1842" w:type="dxa"/>
            <w:tcBorders>
              <w:left w:val="single" w:sz="4" w:space="0" w:color="auto"/>
              <w:bottom w:val="nil"/>
              <w:right w:val="single" w:sz="4" w:space="0" w:color="auto"/>
            </w:tcBorders>
          </w:tcPr>
          <w:p w:rsidR="00086895" w:rsidRPr="00B57B36" w:rsidRDefault="00086895" w:rsidP="00EC39B8">
            <w:pPr>
              <w:spacing w:line="140" w:lineRule="atLeast"/>
              <w:jc w:val="right"/>
              <w:rPr>
                <w:rFonts w:cs="Arial"/>
                <w:sz w:val="14"/>
                <w:szCs w:val="14"/>
              </w:rPr>
            </w:pPr>
            <w:r w:rsidRPr="00B57B36">
              <w:rPr>
                <w:rFonts w:cs="Arial"/>
                <w:sz w:val="14"/>
                <w:szCs w:val="14"/>
              </w:rPr>
              <w:t>The Italian Association</w:t>
            </w:r>
          </w:p>
          <w:p w:rsidR="00086895" w:rsidRPr="00B57B36" w:rsidRDefault="00086895" w:rsidP="00EC39B8">
            <w:pPr>
              <w:spacing w:line="140" w:lineRule="atLeast"/>
              <w:jc w:val="right"/>
              <w:rPr>
                <w:rFonts w:cs="Arial"/>
                <w:sz w:val="14"/>
                <w:szCs w:val="14"/>
              </w:rPr>
            </w:pPr>
            <w:r w:rsidRPr="00B57B36">
              <w:rPr>
                <w:rFonts w:cs="Arial"/>
                <w:sz w:val="14"/>
                <w:szCs w:val="14"/>
              </w:rPr>
              <w:t>of Chemical Engineering</w:t>
            </w:r>
          </w:p>
          <w:p w:rsidR="00086895" w:rsidRPr="000D0268" w:rsidRDefault="00086895" w:rsidP="00EC39B8">
            <w:pPr>
              <w:spacing w:line="140" w:lineRule="atLeast"/>
              <w:jc w:val="right"/>
              <w:rPr>
                <w:rFonts w:cs="Arial"/>
                <w:sz w:val="13"/>
                <w:szCs w:val="13"/>
              </w:rPr>
            </w:pPr>
            <w:r w:rsidRPr="000D0268">
              <w:rPr>
                <w:rFonts w:cs="Arial"/>
                <w:sz w:val="13"/>
                <w:szCs w:val="13"/>
              </w:rPr>
              <w:t>Online at www.cetjournal.it</w:t>
            </w:r>
          </w:p>
        </w:tc>
      </w:tr>
      <w:tr w:rsidR="00086895" w:rsidRPr="00B57B36" w:rsidTr="00086895">
        <w:trPr>
          <w:trHeight w:val="68"/>
          <w:jc w:val="center"/>
        </w:trPr>
        <w:tc>
          <w:tcPr>
            <w:tcW w:w="8782" w:type="dxa"/>
            <w:gridSpan w:val="2"/>
          </w:tcPr>
          <w:p w:rsidR="00086895" w:rsidRPr="0044071E" w:rsidRDefault="00086895" w:rsidP="00EC39B8">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w:t>
            </w:r>
            <w:r w:rsidRPr="00A7223D">
              <w:rPr>
                <w:sz w:val="14"/>
                <w:szCs w:val="14"/>
                <w:lang w:val="it-IT"/>
              </w:rPr>
              <w:t>David Bogle, Flavio Manenti, Piero Salatino</w:t>
            </w:r>
          </w:p>
          <w:p w:rsidR="00086895" w:rsidRPr="00B57B36" w:rsidRDefault="00086895" w:rsidP="00EC39B8">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-95-2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630684" w:rsidRPr="00747C0B" w:rsidRDefault="00630684" w:rsidP="00630684">
      <w:pPr>
        <w:pStyle w:val="Heading1"/>
        <w:numPr>
          <w:ilvl w:val="0"/>
          <w:numId w:val="0"/>
        </w:numPr>
        <w:jc w:val="center"/>
        <w:rPr>
          <w:b w:val="0"/>
          <w:sz w:val="32"/>
          <w:szCs w:val="32"/>
        </w:rPr>
      </w:pPr>
      <w:r w:rsidRPr="00747C0B">
        <w:rPr>
          <w:b w:val="0"/>
          <w:sz w:val="32"/>
          <w:szCs w:val="32"/>
        </w:rPr>
        <w:t>Biomass Production and Simultaneous Minerals Sequestration from Brewery Wastewater with Concomitant Lipid Accumulation</w:t>
      </w:r>
      <w:r w:rsidR="00E066EA">
        <w:rPr>
          <w:b w:val="0"/>
          <w:sz w:val="32"/>
          <w:szCs w:val="32"/>
        </w:rPr>
        <w:t xml:space="preserve"> Using Algae</w:t>
      </w:r>
    </w:p>
    <w:p w:rsidR="00630684" w:rsidRPr="003C0742" w:rsidRDefault="00EE0E0B" w:rsidP="00630684">
      <w:pPr>
        <w:pStyle w:val="CETAuthors"/>
        <w:rPr>
          <w:vertAlign w:val="superscript"/>
        </w:rPr>
      </w:pPr>
      <w:r w:rsidRPr="00747C0B">
        <w:t>Donald Tyoker Kukwa</w:t>
      </w:r>
      <w:r w:rsidR="003C0742">
        <w:rPr>
          <w:vertAlign w:val="superscript"/>
        </w:rPr>
        <w:t>1</w:t>
      </w:r>
      <w:r w:rsidRPr="00747C0B">
        <w:t>*</w:t>
      </w:r>
      <w:r w:rsidR="00630684" w:rsidRPr="00747C0B">
        <w:t xml:space="preserve">, </w:t>
      </w:r>
      <w:r w:rsidRPr="00747C0B">
        <w:t>Maggie Chetty</w:t>
      </w:r>
      <w:r w:rsidR="003C0742">
        <w:rPr>
          <w:vertAlign w:val="superscript"/>
        </w:rPr>
        <w:t>2</w:t>
      </w:r>
    </w:p>
    <w:p w:rsidR="00630684" w:rsidRDefault="003C0742" w:rsidP="007859E6">
      <w:pPr>
        <w:pStyle w:val="CETAddress"/>
      </w:pPr>
      <w:r>
        <w:rPr>
          <w:vertAlign w:val="superscript"/>
        </w:rPr>
        <w:t>1</w:t>
      </w:r>
      <w:r w:rsidR="00E76AE4">
        <w:rPr>
          <w:vertAlign w:val="superscript"/>
        </w:rPr>
        <w:t xml:space="preserve"> </w:t>
      </w:r>
      <w:r w:rsidR="00EE0E0B" w:rsidRPr="00747C0B">
        <w:t xml:space="preserve">Department of </w:t>
      </w:r>
      <w:r w:rsidR="00EE0E0B" w:rsidRPr="007859E6">
        <w:t>Chemical</w:t>
      </w:r>
      <w:r w:rsidR="00EE0E0B" w:rsidRPr="00747C0B">
        <w:t xml:space="preserve"> Engineering, Durban University of Technology, Durban, South Africa</w:t>
      </w:r>
      <w:r w:rsidR="00630684" w:rsidRPr="00747C0B">
        <w:t xml:space="preserve"> </w:t>
      </w:r>
    </w:p>
    <w:p w:rsidR="003C0742" w:rsidRPr="003C0742" w:rsidRDefault="003C0742" w:rsidP="007859E6">
      <w:pPr>
        <w:pStyle w:val="CETAddress"/>
      </w:pPr>
      <w:r>
        <w:rPr>
          <w:vertAlign w:val="superscript"/>
        </w:rPr>
        <w:t>2</w:t>
      </w:r>
      <w:r w:rsidR="00E76AE4">
        <w:rPr>
          <w:vertAlign w:val="superscript"/>
        </w:rPr>
        <w:t xml:space="preserve"> </w:t>
      </w:r>
      <w:r>
        <w:t>Departm</w:t>
      </w:r>
      <w:r w:rsidR="00EC39B8">
        <w:t>ent of Chemical Engineering, Cap</w:t>
      </w:r>
      <w:r>
        <w:t>e Peninsula University of Technology, Cape Town, South Africa</w:t>
      </w:r>
    </w:p>
    <w:p w:rsidR="00630684" w:rsidRPr="00747C0B" w:rsidRDefault="00065079" w:rsidP="00630684">
      <w:pPr>
        <w:pStyle w:val="CETemail"/>
      </w:pPr>
      <w:r>
        <w:t>*</w:t>
      </w:r>
      <w:r w:rsidR="00E76AE4">
        <w:t xml:space="preserve"> </w:t>
      </w:r>
      <w:r w:rsidR="00AD1F83" w:rsidRPr="00747C0B">
        <w:t>tyokerdoo</w:t>
      </w:r>
      <w:r w:rsidR="00630684" w:rsidRPr="00747C0B">
        <w:t>@</w:t>
      </w:r>
      <w:r w:rsidR="00AD1F83" w:rsidRPr="00747C0B">
        <w:t>gmail</w:t>
      </w:r>
      <w:r w:rsidR="00630684" w:rsidRPr="00747C0B">
        <w:t xml:space="preserve">.com </w:t>
      </w:r>
    </w:p>
    <w:p w:rsidR="00AA4BAE" w:rsidRPr="00747C0B" w:rsidRDefault="00065079" w:rsidP="00BC4878">
      <w:pPr>
        <w:pStyle w:val="CETBodytext"/>
        <w:rPr>
          <w:lang w:val="en-GB"/>
        </w:rPr>
      </w:pPr>
      <w:r w:rsidRPr="00065079">
        <w:rPr>
          <w:shd w:val="clear" w:color="auto" w:fill="FFFFFF"/>
          <w:lang w:val="en-GB"/>
        </w:rPr>
        <w:t>Some industrial wastewaters contain high levels of non-biodegradable organic and inorganic matter, and in-house physical and chemical treatment produces secondary pollutants that are released into the receiving environment and can harm the ecosystem. Over the years, conventional biological treatment of these industrial effluents has proven ineffective. Advanced biological aerobic and anaerobic methods, in which biomass is nurtured for growth and biochemical manipulations are used to present a variety of value-added products with potential applications, have been adopted. As CO</w:t>
      </w:r>
      <w:r w:rsidRPr="00E44752">
        <w:rPr>
          <w:shd w:val="clear" w:color="auto" w:fill="FFFFFF"/>
          <w:vertAlign w:val="subscript"/>
          <w:lang w:val="en-GB"/>
        </w:rPr>
        <w:t>2</w:t>
      </w:r>
      <w:r w:rsidRPr="00065079">
        <w:rPr>
          <w:shd w:val="clear" w:color="auto" w:fill="FFFFFF"/>
          <w:lang w:val="en-GB"/>
        </w:rPr>
        <w:t xml:space="preserve"> gas is sparged through the broth, the microalga Scenedesmus sp. accumulates lipid as it mops up minerals and nutrients from brewery wastewater to produce biomass. Standard methods were used to determine the mineral content of brewery wastewater from Durban, KwaZulu-Natal. Scenedesmus sp. was then grown in wastewater using bubble-column photobioreactors, with the broth being CO</w:t>
      </w:r>
      <w:r w:rsidRPr="00E44752">
        <w:rPr>
          <w:shd w:val="clear" w:color="auto" w:fill="FFFFFF"/>
          <w:vertAlign w:val="subscript"/>
          <w:lang w:val="en-GB"/>
        </w:rPr>
        <w:t>2</w:t>
      </w:r>
      <w:r w:rsidRPr="00065079">
        <w:rPr>
          <w:shd w:val="clear" w:color="auto" w:fill="FFFFFF"/>
          <w:lang w:val="en-GB"/>
        </w:rPr>
        <w:t xml:space="preserve">-sparged at regular intervals. The optical density reading on the DR 3900 spectrophotometer was used to track biomass production, and lipid accumulation was measured using the chloroform-methanol solvent system. The findings revealed that the minerals in the effluent brewery wastewater contained high levels of cadmium, exceeding the WHO limit of 0.03 mg/L. Zinc (1.578 mg/L) and nickel (0.053 mg/L) concentrations were both within WHO limits of 5.0 mg/L and 1.0 mg/L, respectively. All of the minerals in the effluent were significantly reduced after treatment with Scenedesmus sp. As a result, during the exponential growth period, biomass production increased in tandem with </w:t>
      </w:r>
      <w:r>
        <w:rPr>
          <w:shd w:val="clear" w:color="auto" w:fill="FFFFFF"/>
          <w:lang w:val="en-GB"/>
        </w:rPr>
        <w:t>proportional lipid accumulation</w:t>
      </w:r>
      <w:r w:rsidR="00AA4BAE" w:rsidRPr="00747C0B">
        <w:rPr>
          <w:shd w:val="clear" w:color="auto" w:fill="FFFFFF"/>
          <w:lang w:val="en-GB"/>
        </w:rPr>
        <w:t>.</w:t>
      </w:r>
      <w:r w:rsidR="00AA4BAE" w:rsidRPr="00747C0B">
        <w:rPr>
          <w:lang w:val="en-GB"/>
        </w:rPr>
        <w:t xml:space="preserve"> </w:t>
      </w:r>
    </w:p>
    <w:p w:rsidR="00630684" w:rsidRPr="00747C0B" w:rsidRDefault="00630684" w:rsidP="00630684">
      <w:pPr>
        <w:pStyle w:val="CETHeading1"/>
        <w:rPr>
          <w:lang w:val="en-GB"/>
        </w:rPr>
      </w:pPr>
      <w:r w:rsidRPr="00747C0B">
        <w:rPr>
          <w:lang w:val="en-GB"/>
        </w:rPr>
        <w:t>Introduction</w:t>
      </w:r>
    </w:p>
    <w:p w:rsidR="005B44A0" w:rsidRPr="00747C0B" w:rsidRDefault="006407A5" w:rsidP="00BC4878">
      <w:pPr>
        <w:pStyle w:val="CETBodytext"/>
        <w:rPr>
          <w:lang w:val="en-GB"/>
        </w:rPr>
      </w:pPr>
      <w:r w:rsidRPr="006407A5">
        <w:rPr>
          <w:lang w:val="en-GB"/>
        </w:rPr>
        <w:t xml:space="preserve">Under phototrophic conditions, microalgae can use both soluble organic compounds and carbon dioxide as carbon sources for photosynthetic engagements. </w:t>
      </w:r>
      <w:r w:rsidR="00DC1C01">
        <w:rPr>
          <w:lang w:val="en-GB"/>
        </w:rPr>
        <w:t>Mi</w:t>
      </w:r>
      <w:r w:rsidRPr="006407A5">
        <w:rPr>
          <w:lang w:val="en-GB"/>
        </w:rPr>
        <w:t xml:space="preserve">croalgae </w:t>
      </w:r>
      <w:r w:rsidR="00BC4878">
        <w:rPr>
          <w:lang w:val="en-GB"/>
        </w:rPr>
        <w:t>can</w:t>
      </w:r>
      <w:r w:rsidRPr="006407A5">
        <w:rPr>
          <w:lang w:val="en-GB"/>
        </w:rPr>
        <w:t xml:space="preserve"> remove dissolved organic matter (DOM) and other nutrients such as nitrogen (N) and phosphorus (P) from municipal and industrial wastewaters when grown in a mixotrophic environment. Additionally, Nielsen (2015) asserted that the mixotrophic growth of microalgae in industrial wastewater mixtures effectively removed more than 99 per</w:t>
      </w:r>
      <w:r w:rsidR="00BC4878">
        <w:rPr>
          <w:lang w:val="en-GB"/>
        </w:rPr>
        <w:t xml:space="preserve"> </w:t>
      </w:r>
      <w:r w:rsidRPr="006407A5">
        <w:rPr>
          <w:lang w:val="en-GB"/>
        </w:rPr>
        <w:t>cent of ammonium-nitrogen (NH</w:t>
      </w:r>
      <w:r w:rsidRPr="00DC1C01">
        <w:rPr>
          <w:vertAlign w:val="subscript"/>
          <w:lang w:val="en-GB"/>
        </w:rPr>
        <w:t>4</w:t>
      </w:r>
      <w:r w:rsidRPr="00DC1C01">
        <w:rPr>
          <w:vertAlign w:val="superscript"/>
          <w:lang w:val="en-GB"/>
        </w:rPr>
        <w:t>+</w:t>
      </w:r>
      <w:r w:rsidRPr="006407A5">
        <w:rPr>
          <w:lang w:val="en-GB"/>
        </w:rPr>
        <w:t>-N), more than 99 per</w:t>
      </w:r>
      <w:r w:rsidR="00BC4878">
        <w:rPr>
          <w:lang w:val="en-GB"/>
        </w:rPr>
        <w:t xml:space="preserve"> </w:t>
      </w:r>
      <w:r w:rsidRPr="006407A5">
        <w:rPr>
          <w:lang w:val="en-GB"/>
        </w:rPr>
        <w:t>cent of nitrate-nitrogen (NO</w:t>
      </w:r>
      <w:r w:rsidRPr="006407A5">
        <w:rPr>
          <w:vertAlign w:val="subscript"/>
          <w:lang w:val="en-GB"/>
        </w:rPr>
        <w:t>3</w:t>
      </w:r>
      <w:r w:rsidRPr="006407A5">
        <w:rPr>
          <w:lang w:val="en-GB"/>
        </w:rPr>
        <w:t>—N), more than 84 per</w:t>
      </w:r>
      <w:r w:rsidR="00BC4878">
        <w:rPr>
          <w:lang w:val="en-GB"/>
        </w:rPr>
        <w:t xml:space="preserve"> </w:t>
      </w:r>
      <w:r w:rsidRPr="006407A5">
        <w:rPr>
          <w:lang w:val="en-GB"/>
        </w:rPr>
        <w:t>cent of sulphates, and up to 98 per</w:t>
      </w:r>
      <w:r w:rsidR="00BC4878">
        <w:rPr>
          <w:lang w:val="en-GB"/>
        </w:rPr>
        <w:t xml:space="preserve"> </w:t>
      </w:r>
      <w:r w:rsidRPr="006407A5">
        <w:rPr>
          <w:lang w:val="en-GB"/>
        </w:rPr>
        <w:t>cent of total phosphorus (TP); and the growth of microalgae in industrial wastewater mixtures, with dissolved organic carbon (DOC) concentration</w:t>
      </w:r>
      <w:r>
        <w:rPr>
          <w:lang w:val="en-GB"/>
        </w:rPr>
        <w:t xml:space="preserve">. </w:t>
      </w:r>
      <w:r w:rsidRPr="006407A5">
        <w:rPr>
          <w:lang w:val="en-GB"/>
        </w:rPr>
        <w:t>CO</w:t>
      </w:r>
      <w:r w:rsidRPr="006407A5">
        <w:rPr>
          <w:vertAlign w:val="subscript"/>
          <w:lang w:val="en-GB"/>
        </w:rPr>
        <w:t>2</w:t>
      </w:r>
      <w:r w:rsidRPr="006407A5">
        <w:rPr>
          <w:lang w:val="en-GB"/>
        </w:rPr>
        <w:t>, an inorganic carbon source, is highly soluble in water, accounting for over 99 per</w:t>
      </w:r>
      <w:r w:rsidR="00BC4878">
        <w:rPr>
          <w:lang w:val="en-GB"/>
        </w:rPr>
        <w:t xml:space="preserve"> </w:t>
      </w:r>
      <w:r w:rsidRPr="006407A5">
        <w:rPr>
          <w:lang w:val="en-GB"/>
        </w:rPr>
        <w:t>cent as dissolved gas and less than 1% as carbonic acid H</w:t>
      </w:r>
      <w:r w:rsidRPr="006407A5">
        <w:rPr>
          <w:vertAlign w:val="subscript"/>
          <w:lang w:val="en-GB"/>
        </w:rPr>
        <w:t>2</w:t>
      </w:r>
      <w:r w:rsidRPr="006407A5">
        <w:rPr>
          <w:lang w:val="en-GB"/>
        </w:rPr>
        <w:t>CO</w:t>
      </w:r>
      <w:r w:rsidRPr="006407A5">
        <w:rPr>
          <w:vertAlign w:val="subscript"/>
          <w:lang w:val="en-GB"/>
        </w:rPr>
        <w:t>3</w:t>
      </w:r>
      <w:r w:rsidRPr="006407A5">
        <w:rPr>
          <w:lang w:val="en-GB"/>
        </w:rPr>
        <w:t>, which partially dissociates to form H</w:t>
      </w:r>
      <w:r w:rsidRPr="006407A5">
        <w:rPr>
          <w:vertAlign w:val="superscript"/>
          <w:lang w:val="en-GB"/>
        </w:rPr>
        <w:t>+</w:t>
      </w:r>
      <w:r w:rsidRPr="006407A5">
        <w:rPr>
          <w:lang w:val="en-GB"/>
        </w:rPr>
        <w:t>, HCO</w:t>
      </w:r>
      <w:r w:rsidRPr="006407A5">
        <w:rPr>
          <w:vertAlign w:val="subscript"/>
          <w:lang w:val="en-GB"/>
        </w:rPr>
        <w:t>3</w:t>
      </w:r>
      <w:r>
        <w:rPr>
          <w:vertAlign w:val="superscript"/>
          <w:lang w:val="en-GB"/>
        </w:rPr>
        <w:t>-</w:t>
      </w:r>
      <w:r w:rsidRPr="006407A5">
        <w:rPr>
          <w:lang w:val="en-GB"/>
        </w:rPr>
        <w:t>, and CO</w:t>
      </w:r>
      <w:r w:rsidRPr="006407A5">
        <w:rPr>
          <w:vertAlign w:val="subscript"/>
          <w:lang w:val="en-GB"/>
        </w:rPr>
        <w:t>3</w:t>
      </w:r>
      <w:r w:rsidRPr="006407A5">
        <w:rPr>
          <w:vertAlign w:val="superscript"/>
          <w:lang w:val="en-GB"/>
        </w:rPr>
        <w:t>2–</w:t>
      </w:r>
      <w:r w:rsidRPr="006407A5">
        <w:rPr>
          <w:lang w:val="en-GB"/>
        </w:rPr>
        <w:t xml:space="preserve"> ions (Yew et al. 2019).</w:t>
      </w:r>
      <w:r w:rsidR="005B44A0" w:rsidRPr="00747C0B">
        <w:rPr>
          <w:rStyle w:val="stack"/>
          <w:szCs w:val="24"/>
          <w:lang w:val="en-GB"/>
        </w:rPr>
        <w:t xml:space="preserve"> </w:t>
      </w:r>
    </w:p>
    <w:p w:rsidR="00B55064" w:rsidRPr="00B55064" w:rsidRDefault="00DC1C01" w:rsidP="00BC4878">
      <w:pPr>
        <w:pStyle w:val="CETBodytext"/>
        <w:rPr>
          <w:lang w:val="en-GB"/>
        </w:rPr>
      </w:pPr>
      <w:r w:rsidRPr="00DC1C01">
        <w:rPr>
          <w:lang w:val="en-GB"/>
        </w:rPr>
        <w:t>Process wastewater (PWW), sanitary wastewater (SWW) from toilets and kitchens, and rainwater runoff make up the brewery's wastewater. The amount of yeast present and the raw materials used in the process determine the levels of nitrogen and phosphorus in brewery wastewater (Armah et al., 2020). Cleaning solutions such as nitric acid may contribute to the total nitrogen content, which is derived from malt and adjuncts. The amount of yeast discharged, the cleaning agents used, and the amount of water flowing down the drain will all affect concentration. Cleaning agents can also be used to obtain phosphorus. Several lipid-producing microalgae were isolated and identified after evaluating their ability to grow and accumulate lipids (Zhang and Hong 2014). They make a wide range of lipid compounds that are both highly valuable and commercially viable.</w:t>
      </w:r>
    </w:p>
    <w:p w:rsidR="005B44A0" w:rsidRDefault="00DC1C01" w:rsidP="00BC4878">
      <w:pPr>
        <w:pStyle w:val="CETBodytext"/>
      </w:pPr>
      <w:r w:rsidRPr="00DC1C01">
        <w:rPr>
          <w:lang w:val="en-GB"/>
        </w:rPr>
        <w:lastRenderedPageBreak/>
        <w:t>Copper, iron, manganese, nickel, and zinc are essential micronutrients involved in a variety of biological processes as precursors of vitamins, catalytic cofactors for numerous metalloenzymes, and membrane structural proteins. Microalgae have been demonstrated to be efficient and effective at mineral removal and to be able to tolerate high concentrations of these minerals via a variety of mechanisms, including metal-protein coupling. Toxic metal accumulation can result in the production of reactive oxygen species (ROS), inhibition of chlorophyll synthesis, and negative disruption of cell proliferation, affecting lipid accumulation within the microalgae cell. Numerous studies have demonstrated that heavy metal stress increases the lipid content of certain microalgae. Patel et al. (2019) examined the effects of Fe(III), Mg(II), and Ca</w:t>
      </w:r>
      <w:r w:rsidR="00BC4878">
        <w:rPr>
          <w:lang w:val="en-GB"/>
        </w:rPr>
        <w:t xml:space="preserve"> </w:t>
      </w:r>
      <w:r w:rsidRPr="00DC1C01">
        <w:rPr>
          <w:lang w:val="en-GB"/>
        </w:rPr>
        <w:t>(II) ions on lipid accumulation in Scenedesmus sp. cells and discovered that when biodegradable organic matter was added during cultivation, total lipid content and lipid accumulation increased by 28.2 and 29.7 per</w:t>
      </w:r>
      <w:r w:rsidR="00BC4878">
        <w:rPr>
          <w:lang w:val="en-GB"/>
        </w:rPr>
        <w:t xml:space="preserve"> </w:t>
      </w:r>
      <w:r w:rsidRPr="00DC1C01">
        <w:rPr>
          <w:lang w:val="en-GB"/>
        </w:rPr>
        <w:t>cent, respectively. Ammary (2004) examined the effect of Mn (II) and Co (II) ions on the lipid content of C. vulgaris in an earlier study and discovered a significant increase in lipid content. This research examines the removal of mineral pollutants from brewery wastewater by microalgae and the lipid accumulation in the cellular matrix.</w:t>
      </w:r>
    </w:p>
    <w:p w:rsidR="00630684" w:rsidRPr="00747C0B" w:rsidRDefault="00ED27A1" w:rsidP="00630684">
      <w:pPr>
        <w:pStyle w:val="CETHeading1"/>
        <w:rPr>
          <w:lang w:val="en-GB"/>
        </w:rPr>
      </w:pPr>
      <w:r w:rsidRPr="00747C0B">
        <w:rPr>
          <w:lang w:val="en-GB"/>
        </w:rPr>
        <w:t>Materials and methods</w:t>
      </w:r>
    </w:p>
    <w:p w:rsidR="001B757A" w:rsidRPr="00747C0B" w:rsidRDefault="001B757A" w:rsidP="00BC4878">
      <w:pPr>
        <w:pStyle w:val="CETBodytext"/>
        <w:rPr>
          <w:lang w:val="en-GB"/>
        </w:rPr>
      </w:pPr>
      <w:r w:rsidRPr="00747C0B">
        <w:rPr>
          <w:lang w:val="en-GB"/>
        </w:rPr>
        <w:t>The laboratory protocol in this study covered four stages, including (i) wastewater characterization and mineral analysis before and after algal cultivation (ii) microalgae cultivation and harvesting (iii) microalgal biomass characterization, and (iv) microalgal lipid extraction and quantification.</w:t>
      </w:r>
    </w:p>
    <w:p w:rsidR="00630684" w:rsidRPr="00747C0B" w:rsidRDefault="00474D32" w:rsidP="009A0330">
      <w:pPr>
        <w:pStyle w:val="CETheadingx"/>
      </w:pPr>
      <w:r w:rsidRPr="00747C0B">
        <w:t xml:space="preserve">2.1 </w:t>
      </w:r>
      <w:r w:rsidR="006E310D">
        <w:t>Brew</w:t>
      </w:r>
      <w:r w:rsidR="000B3E98">
        <w:t xml:space="preserve">ery </w:t>
      </w:r>
      <w:r w:rsidR="00ED27A1" w:rsidRPr="00747C0B">
        <w:t xml:space="preserve">wastewater characterization </w:t>
      </w:r>
      <w:r w:rsidRPr="00747C0B">
        <w:t>and mineral analysis</w:t>
      </w:r>
    </w:p>
    <w:p w:rsidR="00474D32" w:rsidRPr="00747C0B" w:rsidRDefault="00ED27A1" w:rsidP="00BC4878">
      <w:pPr>
        <w:pStyle w:val="CETBodytext"/>
        <w:rPr>
          <w:lang w:val="en-GB"/>
        </w:rPr>
      </w:pPr>
      <w:r w:rsidRPr="00747C0B">
        <w:rPr>
          <w:lang w:val="en-GB"/>
        </w:rPr>
        <w:t xml:space="preserve">Wastewater samples were collected from the brewery industry in Durban, South Africa and processed as described by </w:t>
      </w:r>
      <w:r w:rsidR="00A936B8">
        <w:rPr>
          <w:lang w:val="en-GB"/>
        </w:rPr>
        <w:t xml:space="preserve">Khan </w:t>
      </w:r>
      <w:r w:rsidR="00A936B8" w:rsidRPr="00BC4878">
        <w:rPr>
          <w:i/>
          <w:lang w:val="en-GB"/>
        </w:rPr>
        <w:t>et al</w:t>
      </w:r>
      <w:r w:rsidR="00A936B8">
        <w:rPr>
          <w:lang w:val="en-GB"/>
        </w:rPr>
        <w:t>. (2017</w:t>
      </w:r>
      <w:r w:rsidRPr="00747C0B">
        <w:rPr>
          <w:lang w:val="en-GB"/>
        </w:rPr>
        <w:t xml:space="preserve">) to remove the suspended solids. </w:t>
      </w:r>
      <w:r w:rsidR="00474D32" w:rsidRPr="00747C0B">
        <w:rPr>
          <w:lang w:val="en-GB"/>
        </w:rPr>
        <w:t>The pretreated brewery wastewater</w:t>
      </w:r>
      <w:r w:rsidR="00AF271C" w:rsidRPr="00747C0B">
        <w:rPr>
          <w:lang w:val="en-GB"/>
        </w:rPr>
        <w:t xml:space="preserve"> was analysed for </w:t>
      </w:r>
      <w:r w:rsidR="001B757A" w:rsidRPr="00747C0B">
        <w:rPr>
          <w:lang w:val="en-GB"/>
        </w:rPr>
        <w:t>temperature, pH, e</w:t>
      </w:r>
      <w:r w:rsidR="00AF271C" w:rsidRPr="00747C0B">
        <w:rPr>
          <w:lang w:val="en-GB"/>
        </w:rPr>
        <w:t>lectrical conductivity (EC),</w:t>
      </w:r>
      <w:r w:rsidR="001B757A" w:rsidRPr="00747C0B">
        <w:rPr>
          <w:lang w:val="en-GB"/>
        </w:rPr>
        <w:t xml:space="preserve"> dissolved oxygen (DO)</w:t>
      </w:r>
      <w:r w:rsidR="00AF271C" w:rsidRPr="00747C0B">
        <w:rPr>
          <w:lang w:val="en-GB"/>
        </w:rPr>
        <w:t xml:space="preserve"> and total dissolved solids (TDS) using standard methods adopted from </w:t>
      </w:r>
      <w:r w:rsidR="00A41D33">
        <w:rPr>
          <w:lang w:val="en-GB"/>
        </w:rPr>
        <w:t xml:space="preserve">the </w:t>
      </w:r>
      <w:r w:rsidR="00AF271C" w:rsidRPr="00747C0B">
        <w:rPr>
          <w:lang w:val="en-GB"/>
        </w:rPr>
        <w:t>American Public Health Association (APHA, 199</w:t>
      </w:r>
      <w:r w:rsidR="006A60EF" w:rsidRPr="00747C0B">
        <w:rPr>
          <w:lang w:val="en-GB"/>
        </w:rPr>
        <w:t>9)</w:t>
      </w:r>
      <w:r w:rsidR="001B757A" w:rsidRPr="00747C0B">
        <w:rPr>
          <w:lang w:val="en-GB"/>
        </w:rPr>
        <w:t xml:space="preserve">. </w:t>
      </w:r>
      <w:r w:rsidR="006A60EF" w:rsidRPr="00747C0B">
        <w:rPr>
          <w:lang w:val="en-GB"/>
        </w:rPr>
        <w:t>C</w:t>
      </w:r>
      <w:r w:rsidR="001B757A" w:rsidRPr="00747C0B">
        <w:rPr>
          <w:lang w:val="en-GB"/>
        </w:rPr>
        <w:t>hemical oxygen demand (COD),</w:t>
      </w:r>
      <w:r w:rsidR="006A60EF" w:rsidRPr="00747C0B">
        <w:rPr>
          <w:lang w:val="en-GB"/>
        </w:rPr>
        <w:t xml:space="preserve"> total nitrogen (TN),</w:t>
      </w:r>
      <w:r w:rsidR="001B757A" w:rsidRPr="00747C0B">
        <w:rPr>
          <w:lang w:val="en-GB"/>
        </w:rPr>
        <w:t xml:space="preserve"> total Kjeld</w:t>
      </w:r>
      <w:r w:rsidR="00BC4878">
        <w:rPr>
          <w:lang w:val="en-GB"/>
        </w:rPr>
        <w:t>ah</w:t>
      </w:r>
      <w:r w:rsidR="001B757A" w:rsidRPr="00747C0B">
        <w:rPr>
          <w:lang w:val="en-GB"/>
        </w:rPr>
        <w:t>l nitrogen (</w:t>
      </w:r>
      <w:r w:rsidR="006A60EF" w:rsidRPr="00747C0B">
        <w:rPr>
          <w:lang w:val="en-GB"/>
        </w:rPr>
        <w:t>TKN</w:t>
      </w:r>
      <w:r w:rsidR="001B757A" w:rsidRPr="00747C0B">
        <w:rPr>
          <w:lang w:val="en-GB"/>
        </w:rPr>
        <w:t>), nitrate</w:t>
      </w:r>
      <w:r w:rsidR="00BC4878">
        <w:rPr>
          <w:lang w:val="en-GB"/>
        </w:rPr>
        <w:t>-</w:t>
      </w:r>
      <w:r w:rsidR="001B757A" w:rsidRPr="00747C0B">
        <w:rPr>
          <w:lang w:val="en-GB"/>
        </w:rPr>
        <w:t>nitrogen (NO</w:t>
      </w:r>
      <w:r w:rsidR="001B757A" w:rsidRPr="00747C0B">
        <w:rPr>
          <w:vertAlign w:val="subscript"/>
          <w:lang w:val="en-GB"/>
        </w:rPr>
        <w:t>3</w:t>
      </w:r>
      <w:r w:rsidR="001B757A" w:rsidRPr="00747C0B">
        <w:rPr>
          <w:vertAlign w:val="superscript"/>
          <w:lang w:val="en-GB"/>
        </w:rPr>
        <w:t>-</w:t>
      </w:r>
      <w:r w:rsidR="001B757A" w:rsidRPr="00747C0B">
        <w:rPr>
          <w:lang w:val="en-GB"/>
        </w:rPr>
        <w:t>-N), nitrite</w:t>
      </w:r>
      <w:r w:rsidR="00BC4878">
        <w:rPr>
          <w:lang w:val="en-GB"/>
        </w:rPr>
        <w:t>-</w:t>
      </w:r>
      <w:r w:rsidR="001B757A" w:rsidRPr="00747C0B">
        <w:rPr>
          <w:lang w:val="en-GB"/>
        </w:rPr>
        <w:t>nitrogen (NO</w:t>
      </w:r>
      <w:r w:rsidR="001B757A" w:rsidRPr="00747C0B">
        <w:rPr>
          <w:vertAlign w:val="subscript"/>
          <w:lang w:val="en-GB"/>
        </w:rPr>
        <w:t>2</w:t>
      </w:r>
      <w:r w:rsidR="001B757A" w:rsidRPr="00747C0B">
        <w:rPr>
          <w:vertAlign w:val="superscript"/>
          <w:lang w:val="en-GB"/>
        </w:rPr>
        <w:t>-</w:t>
      </w:r>
      <w:r w:rsidR="001B757A" w:rsidRPr="00747C0B">
        <w:rPr>
          <w:lang w:val="en-GB"/>
        </w:rPr>
        <w:t>-N), ammonia nitrogen (NH</w:t>
      </w:r>
      <w:r w:rsidR="001B757A" w:rsidRPr="00747C0B">
        <w:rPr>
          <w:vertAlign w:val="subscript"/>
          <w:lang w:val="en-GB"/>
        </w:rPr>
        <w:t>3</w:t>
      </w:r>
      <w:r w:rsidR="001B757A" w:rsidRPr="00747C0B">
        <w:rPr>
          <w:lang w:val="en-GB"/>
        </w:rPr>
        <w:t xml:space="preserve">-N), </w:t>
      </w:r>
      <w:r w:rsidR="006A60EF" w:rsidRPr="00747C0B">
        <w:rPr>
          <w:lang w:val="en-GB"/>
        </w:rPr>
        <w:t xml:space="preserve">and </w:t>
      </w:r>
      <w:r w:rsidR="001B757A" w:rsidRPr="00747C0B">
        <w:rPr>
          <w:lang w:val="en-GB"/>
        </w:rPr>
        <w:t>phosphate (PO</w:t>
      </w:r>
      <w:r w:rsidR="001B757A" w:rsidRPr="00747C0B">
        <w:rPr>
          <w:vertAlign w:val="subscript"/>
          <w:lang w:val="en-GB"/>
        </w:rPr>
        <w:t>4</w:t>
      </w:r>
      <w:r w:rsidR="001B757A" w:rsidRPr="00747C0B">
        <w:rPr>
          <w:vertAlign w:val="superscript"/>
          <w:lang w:val="en-GB"/>
        </w:rPr>
        <w:t>3-</w:t>
      </w:r>
      <w:r w:rsidR="006A60EF" w:rsidRPr="00747C0B">
        <w:rPr>
          <w:lang w:val="en-GB"/>
        </w:rPr>
        <w:t>) were anal</w:t>
      </w:r>
      <w:r w:rsidR="00237A17">
        <w:rPr>
          <w:lang w:val="en-GB"/>
        </w:rPr>
        <w:t xml:space="preserve">ysed using </w:t>
      </w:r>
      <w:r w:rsidR="00E81150">
        <w:rPr>
          <w:lang w:val="en-GB"/>
        </w:rPr>
        <w:t xml:space="preserve">reagent vials, which allowed </w:t>
      </w:r>
      <w:r w:rsidR="00E81150" w:rsidRPr="008F2BF1">
        <w:rPr>
          <w:lang w:val="en-GB"/>
        </w:rPr>
        <w:t>determination</w:t>
      </w:r>
      <w:r w:rsidR="00474D32" w:rsidRPr="008F2BF1">
        <w:rPr>
          <w:lang w:val="en-GB"/>
        </w:rPr>
        <w:t xml:space="preserve"> using </w:t>
      </w:r>
      <w:r w:rsidR="00747C0B" w:rsidRPr="008F2BF1">
        <w:rPr>
          <w:lang w:val="en-GB"/>
        </w:rPr>
        <w:t xml:space="preserve">the </w:t>
      </w:r>
      <w:r w:rsidR="00474D32" w:rsidRPr="008F2BF1">
        <w:rPr>
          <w:lang w:val="en-GB"/>
        </w:rPr>
        <w:t>water lab (DR/</w:t>
      </w:r>
      <w:r w:rsidR="00747C0B" w:rsidRPr="008F2BF1">
        <w:rPr>
          <w:lang w:val="en-GB"/>
        </w:rPr>
        <w:t>3900</w:t>
      </w:r>
      <w:r w:rsidR="00474D32" w:rsidRPr="008F2BF1">
        <w:rPr>
          <w:lang w:val="en-GB"/>
        </w:rPr>
        <w:t xml:space="preserve"> HACH, USA).</w:t>
      </w:r>
    </w:p>
    <w:p w:rsidR="00630684" w:rsidRPr="00747C0B" w:rsidRDefault="00747C0B" w:rsidP="009A0330">
      <w:pPr>
        <w:pStyle w:val="CETheadingx"/>
      </w:pPr>
      <w:r>
        <w:t xml:space="preserve">2.2 </w:t>
      </w:r>
      <w:r w:rsidR="000B14B7" w:rsidRPr="00747C0B">
        <w:t>Microal</w:t>
      </w:r>
      <w:r w:rsidR="00954914">
        <w:t>gae cultivation and harvesting</w:t>
      </w:r>
    </w:p>
    <w:p w:rsidR="00A1616F" w:rsidRDefault="000B14B7" w:rsidP="00BC4878">
      <w:pPr>
        <w:pStyle w:val="CETBodytext"/>
        <w:rPr>
          <w:lang w:val="en-GB"/>
        </w:rPr>
      </w:pPr>
      <w:r w:rsidRPr="006B3874">
        <w:rPr>
          <w:lang w:val="en-GB"/>
        </w:rPr>
        <w:t xml:space="preserve">The microalga </w:t>
      </w:r>
      <w:r w:rsidRPr="006B3874">
        <w:rPr>
          <w:i/>
          <w:lang w:val="en-GB"/>
        </w:rPr>
        <w:t>Scenedesmus sp</w:t>
      </w:r>
      <w:r w:rsidR="00E366A0" w:rsidRPr="006B3874">
        <w:rPr>
          <w:lang w:val="en-GB"/>
        </w:rPr>
        <w:t>. was cultivated in</w:t>
      </w:r>
      <w:r w:rsidRPr="006B3874">
        <w:rPr>
          <w:lang w:val="en-GB"/>
        </w:rPr>
        <w:t xml:space="preserve"> brewery wastewater and the broth was bubbled</w:t>
      </w:r>
      <w:r w:rsidR="008779E7" w:rsidRPr="006B3874">
        <w:rPr>
          <w:lang w:val="en-GB"/>
        </w:rPr>
        <w:t xml:space="preserve"> through</w:t>
      </w:r>
      <w:r w:rsidRPr="006B3874">
        <w:rPr>
          <w:lang w:val="en-GB"/>
        </w:rPr>
        <w:t xml:space="preserve"> with CO</w:t>
      </w:r>
      <w:r w:rsidRPr="006B3874">
        <w:rPr>
          <w:vertAlign w:val="subscript"/>
          <w:lang w:val="en-GB"/>
        </w:rPr>
        <w:t>2</w:t>
      </w:r>
      <w:r w:rsidRPr="006B3874">
        <w:rPr>
          <w:lang w:val="en-GB"/>
        </w:rPr>
        <w:t xml:space="preserve"> gas at the rate of 2 L/min in a 3</w:t>
      </w:r>
      <w:r w:rsidR="00E366A0" w:rsidRPr="006B3874">
        <w:rPr>
          <w:lang w:val="en-GB"/>
        </w:rPr>
        <w:t>-</w:t>
      </w:r>
      <w:r w:rsidRPr="006B3874">
        <w:rPr>
          <w:lang w:val="en-GB"/>
        </w:rPr>
        <w:t>L bubble column reactor</w:t>
      </w:r>
      <w:r w:rsidR="00E366A0" w:rsidRPr="006B3874">
        <w:rPr>
          <w:lang w:val="en-GB"/>
        </w:rPr>
        <w:t xml:space="preserve"> with a working volume of 2.5 L</w:t>
      </w:r>
      <w:r w:rsidRPr="006B3874">
        <w:rPr>
          <w:lang w:val="en-GB"/>
        </w:rPr>
        <w:t>. Biomass production was monitored as the optical density (OD) of the broth at 680 nm changed with time</w:t>
      </w:r>
      <w:r w:rsidR="00E366A0" w:rsidRPr="00747C0B">
        <w:rPr>
          <w:lang w:val="en-GB"/>
        </w:rPr>
        <w:t>.</w:t>
      </w:r>
      <w:r w:rsidR="006B3874">
        <w:rPr>
          <w:lang w:val="en-GB"/>
        </w:rPr>
        <w:t xml:space="preserve"> </w:t>
      </w:r>
      <w:r w:rsidR="00E95F10" w:rsidRPr="00747C0B">
        <w:rPr>
          <w:lang w:val="en-GB"/>
        </w:rPr>
        <w:t xml:space="preserve">About 50 mL portion of the microalgal broth </w:t>
      </w:r>
      <w:r w:rsidR="00A1616F" w:rsidRPr="00747C0B">
        <w:rPr>
          <w:lang w:val="en-GB"/>
        </w:rPr>
        <w:t>w</w:t>
      </w:r>
      <w:r w:rsidR="00E95F10" w:rsidRPr="00747C0B">
        <w:rPr>
          <w:lang w:val="en-GB"/>
        </w:rPr>
        <w:t>as</w:t>
      </w:r>
      <w:r w:rsidR="00A1616F" w:rsidRPr="00747C0B">
        <w:rPr>
          <w:lang w:val="en-GB"/>
        </w:rPr>
        <w:t xml:space="preserve"> collected at the end of the exponential </w:t>
      </w:r>
      <w:r w:rsidR="00950CE0" w:rsidRPr="00747C0B">
        <w:rPr>
          <w:lang w:val="en-GB"/>
        </w:rPr>
        <w:t>growth period</w:t>
      </w:r>
      <w:r w:rsidR="00A1616F" w:rsidRPr="00747C0B">
        <w:rPr>
          <w:lang w:val="en-GB"/>
        </w:rPr>
        <w:t xml:space="preserve"> to determine the biomass concentration and nutrient </w:t>
      </w:r>
      <w:r w:rsidR="00950CE0" w:rsidRPr="00747C0B">
        <w:rPr>
          <w:lang w:val="en-GB"/>
        </w:rPr>
        <w:t>consumption</w:t>
      </w:r>
      <w:r w:rsidR="00A1616F" w:rsidRPr="00747C0B">
        <w:rPr>
          <w:lang w:val="en-GB"/>
        </w:rPr>
        <w:t xml:space="preserve"> as </w:t>
      </w:r>
      <w:r w:rsidR="00027B91">
        <w:rPr>
          <w:lang w:val="en-GB"/>
        </w:rPr>
        <w:t>shown in Eq</w:t>
      </w:r>
      <w:r w:rsidR="00492DC6">
        <w:rPr>
          <w:lang w:val="en-GB"/>
        </w:rPr>
        <w:t>(1) – (5</w:t>
      </w:r>
      <w:r w:rsidR="00E95F10" w:rsidRPr="00747C0B">
        <w:rPr>
          <w:lang w:val="en-GB"/>
        </w:rPr>
        <w:t>)</w:t>
      </w:r>
      <w:r w:rsidR="00AB3EA7">
        <w:rPr>
          <w:lang w:val="en-GB"/>
        </w:rPr>
        <w:t xml:space="preserve">. </w:t>
      </w:r>
      <w:r w:rsidR="00AB3EA7" w:rsidRPr="00AB3EA7">
        <w:rPr>
          <w:lang w:val="en-GB"/>
        </w:rPr>
        <w:t>The algal cells were harve</w:t>
      </w:r>
      <w:r w:rsidR="006210CF">
        <w:rPr>
          <w:lang w:val="en-GB"/>
        </w:rPr>
        <w:t>sted by centrifugation at 1000</w:t>
      </w:r>
      <w:r w:rsidR="00AB3EA7" w:rsidRPr="00AB3EA7">
        <w:rPr>
          <w:lang w:val="en-GB"/>
        </w:rPr>
        <w:t>g (HITACHICR22G, Japan) for 10 min.</w:t>
      </w:r>
    </w:p>
    <w:tbl>
      <w:tblPr>
        <w:tblW w:w="5000" w:type="pct"/>
        <w:tblLook w:val="04A0" w:firstRow="1" w:lastRow="0" w:firstColumn="1" w:lastColumn="0" w:noHBand="0" w:noVBand="1"/>
      </w:tblPr>
      <w:tblGrid>
        <w:gridCol w:w="7985"/>
        <w:gridCol w:w="802"/>
      </w:tblGrid>
      <w:tr w:rsidR="00492DC6" w:rsidRPr="00492DC6" w:rsidTr="0056422F">
        <w:tc>
          <w:tcPr>
            <w:tcW w:w="7985" w:type="dxa"/>
            <w:shd w:val="clear" w:color="auto" w:fill="auto"/>
            <w:vAlign w:val="center"/>
          </w:tcPr>
          <w:p w:rsidR="00492DC6" w:rsidRPr="00F54848" w:rsidRDefault="00492DC6" w:rsidP="00070650">
            <w:pPr>
              <w:pStyle w:val="CETEquation"/>
            </w:pPr>
            <m:oMath>
              <m:r>
                <m:rPr>
                  <m:sty m:val="p"/>
                </m:rPr>
                <w:rPr>
                  <w:rFonts w:ascii="Cambria Math" w:hAnsi="Cambria Math"/>
                </w:rPr>
                <m:t xml:space="preserve">Dry mass (DM, </m:t>
              </m:r>
              <m:f>
                <m:fPr>
                  <m:ctrlPr>
                    <w:rPr>
                      <w:rFonts w:ascii="Cambria Math" w:hAnsi="Cambria Math"/>
                    </w:rPr>
                  </m:ctrlPr>
                </m:fPr>
                <m:num>
                  <m:r>
                    <m:rPr>
                      <m:sty m:val="p"/>
                    </m:rPr>
                    <w:rPr>
                      <w:rFonts w:ascii="Cambria Math" w:hAnsi="Cambria Math"/>
                    </w:rPr>
                    <m:t>g</m:t>
                  </m:r>
                </m:num>
                <m:den>
                  <m:r>
                    <w:rPr>
                      <w:rFonts w:ascii="Cambria Math" w:hAnsi="Cambria Math"/>
                    </w:rPr>
                    <m:t>L</m:t>
                  </m:r>
                </m:den>
              </m:f>
              <m:r>
                <m:rPr>
                  <m:sty m:val="p"/>
                </m:rPr>
                <w:rPr>
                  <w:rFonts w:ascii="Cambria Math" w:hAnsi="Cambria Math"/>
                </w:rPr>
                <m:t xml:space="preserve">) = 0.3834 x </m:t>
              </m:r>
              <m:sSub>
                <m:sSubPr>
                  <m:ctrlPr>
                    <w:rPr>
                      <w:rFonts w:ascii="Cambria Math" w:hAnsi="Cambria Math"/>
                    </w:rPr>
                  </m:ctrlPr>
                </m:sSubPr>
                <m:e>
                  <m:r>
                    <m:rPr>
                      <m:sty m:val="p"/>
                    </m:rPr>
                    <w:rPr>
                      <w:rFonts w:ascii="Cambria Math" w:hAnsi="Cambria Math"/>
                    </w:rPr>
                    <m:t>OD</m:t>
                  </m:r>
                </m:e>
                <m:sub>
                  <m:r>
                    <m:rPr>
                      <m:sty m:val="p"/>
                    </m:rPr>
                    <w:rPr>
                      <w:rFonts w:ascii="Cambria Math" w:hAnsi="Cambria Math"/>
                    </w:rPr>
                    <m:t>680</m:t>
                  </m:r>
                </m:sub>
              </m:sSub>
              <m:r>
                <m:rPr>
                  <m:sty m:val="p"/>
                </m:rPr>
                <w:rPr>
                  <w:rFonts w:ascii="Cambria Math" w:hAnsi="Cambria Math"/>
                </w:rPr>
                <m:t xml:space="preserve"> – 0.0122</m:t>
              </m:r>
            </m:oMath>
            <w:r w:rsidRPr="00F54848">
              <w:t xml:space="preserve"> </w:t>
            </w:r>
          </w:p>
        </w:tc>
        <w:tc>
          <w:tcPr>
            <w:tcW w:w="802" w:type="dxa"/>
            <w:shd w:val="clear" w:color="auto" w:fill="auto"/>
            <w:vAlign w:val="center"/>
          </w:tcPr>
          <w:p w:rsidR="00492DC6" w:rsidRPr="00492DC6" w:rsidRDefault="00492DC6" w:rsidP="00FE72A0">
            <w:pPr>
              <w:pStyle w:val="CETEquation"/>
              <w:jc w:val="right"/>
              <w:rPr>
                <w:rFonts w:cs="Arial"/>
              </w:rPr>
            </w:pPr>
            <w:r w:rsidRPr="00492DC6">
              <w:rPr>
                <w:rFonts w:cs="Arial"/>
              </w:rPr>
              <w:t>(1)</w:t>
            </w:r>
          </w:p>
        </w:tc>
      </w:tr>
      <w:tr w:rsidR="00E95F10" w:rsidRPr="00747C0B" w:rsidTr="0056422F">
        <w:tc>
          <w:tcPr>
            <w:tcW w:w="7985" w:type="dxa"/>
            <w:shd w:val="clear" w:color="auto" w:fill="auto"/>
            <w:vAlign w:val="center"/>
          </w:tcPr>
          <w:p w:rsidR="00E95F10" w:rsidRPr="00FD7E84" w:rsidRDefault="00FD7E84" w:rsidP="00070650">
            <w:pPr>
              <w:pStyle w:val="CETEquation"/>
              <w:rPr>
                <w:rFonts w:cs="Arial"/>
                <w:highlight w:val="cyan"/>
              </w:rPr>
            </w:pPr>
            <m:oMath>
              <m:r>
                <m:rPr>
                  <m:sty m:val="p"/>
                </m:rPr>
                <w:rPr>
                  <w:rFonts w:ascii="Cambria Math" w:hAnsi="Cambria Math" w:cs="Arial"/>
                </w:rPr>
                <m:t xml:space="preserve">Biomass concentration </m:t>
              </m:r>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mg</m:t>
                      </m:r>
                    </m:num>
                    <m:den>
                      <m:r>
                        <w:rPr>
                          <w:rFonts w:ascii="Cambria Math" w:hAnsi="Cambria Math" w:cs="Arial"/>
                        </w:rPr>
                        <m:t>L</m:t>
                      </m:r>
                    </m:den>
                  </m:f>
                </m:e>
              </m:d>
              <m:r>
                <m:rPr>
                  <m:sty m:val="p"/>
                </m:rPr>
                <w:rPr>
                  <w:rFonts w:ascii="Cambria Math" w:hAnsi="Cambria Math" w:cs="Arial"/>
                </w:rPr>
                <m:t xml:space="preserve"> = DM x 20</m:t>
              </m:r>
            </m:oMath>
            <w:r w:rsidRPr="00FD7E84">
              <w:rPr>
                <w:rFonts w:cs="Arial"/>
              </w:rPr>
              <w:t xml:space="preserve"> </w:t>
            </w:r>
          </w:p>
        </w:tc>
        <w:tc>
          <w:tcPr>
            <w:tcW w:w="802" w:type="dxa"/>
            <w:shd w:val="clear" w:color="auto" w:fill="auto"/>
            <w:vAlign w:val="center"/>
          </w:tcPr>
          <w:p w:rsidR="00E95F10" w:rsidRPr="00747C0B" w:rsidRDefault="00E95F10" w:rsidP="00492DC6">
            <w:pPr>
              <w:pStyle w:val="CETEquation"/>
              <w:jc w:val="right"/>
            </w:pPr>
            <w:r w:rsidRPr="00747C0B">
              <w:t>(</w:t>
            </w:r>
            <w:r w:rsidR="00492DC6">
              <w:t>2</w:t>
            </w:r>
            <w:r w:rsidRPr="00747C0B">
              <w:t>)</w:t>
            </w:r>
          </w:p>
        </w:tc>
      </w:tr>
      <w:tr w:rsidR="00E95F10" w:rsidRPr="00747C0B" w:rsidTr="00AB7DFC">
        <w:tc>
          <w:tcPr>
            <w:tcW w:w="7985" w:type="dxa"/>
            <w:shd w:val="clear" w:color="auto" w:fill="auto"/>
            <w:vAlign w:val="center"/>
          </w:tcPr>
          <w:p w:rsidR="00E95F10" w:rsidRPr="00FD7E84" w:rsidRDefault="00FD7E84" w:rsidP="00FE72A0">
            <w:pPr>
              <w:pStyle w:val="CETEquation"/>
              <w:rPr>
                <w:highlight w:val="cyan"/>
              </w:rPr>
            </w:pPr>
            <m:oMath>
              <m:r>
                <m:rPr>
                  <m:sty m:val="p"/>
                </m:rPr>
                <w:rPr>
                  <w:rFonts w:ascii="Cambria Math" w:hAnsi="Cambria Math"/>
                </w:rPr>
                <m:t xml:space="preserve">Nitrate consumed </m:t>
              </m:r>
              <m:d>
                <m:dPr>
                  <m:ctrlPr>
                    <w:rPr>
                      <w:rFonts w:ascii="Cambria Math" w:hAnsi="Cambria Math"/>
                    </w:rPr>
                  </m:ctrlPr>
                </m:dPr>
                <m:e>
                  <m:f>
                    <m:fPr>
                      <m:ctrlPr>
                        <w:rPr>
                          <w:rFonts w:ascii="Cambria Math" w:hAnsi="Cambria Math"/>
                        </w:rPr>
                      </m:ctrlPr>
                    </m:fPr>
                    <m:num>
                      <m:r>
                        <m:rPr>
                          <m:sty m:val="p"/>
                        </m:rPr>
                        <w:rPr>
                          <w:rFonts w:ascii="Cambria Math" w:hAnsi="Cambria Math"/>
                        </w:rPr>
                        <m:t>mg</m:t>
                      </m:r>
                    </m:num>
                    <m:den>
                      <m:r>
                        <m:rPr>
                          <m:sty m:val="p"/>
                        </m:rPr>
                        <w:rPr>
                          <w:rFonts w:ascii="Cambria Math" w:hAnsi="Cambria Math"/>
                        </w:rPr>
                        <m:t>L</m:t>
                      </m:r>
                    </m:den>
                  </m:f>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N</m:t>
                  </m:r>
                </m:e>
                <m:sub>
                  <m:r>
                    <w:rPr>
                      <w:rFonts w:ascii="Cambria Math" w:hAnsi="Cambria Math"/>
                    </w:rPr>
                    <m:t>i</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N</m:t>
                  </m:r>
                </m:e>
                <m:sub>
                  <m:r>
                    <w:rPr>
                      <w:rFonts w:ascii="Cambria Math" w:hAnsi="Cambria Math"/>
                    </w:rPr>
                    <m:t>f</m:t>
                  </m:r>
                </m:sub>
              </m:sSub>
              <m:r>
                <m:rPr>
                  <m:sty m:val="p"/>
                </m:rPr>
                <w:rPr>
                  <w:rFonts w:ascii="Cambria Math" w:hAnsi="Cambria Math"/>
                </w:rPr>
                <m:t xml:space="preserve"> </m:t>
              </m:r>
            </m:oMath>
            <w:r>
              <w:rPr>
                <w:vertAlign w:val="subscript"/>
              </w:rPr>
              <w:t xml:space="preserve"> </w:t>
            </w:r>
          </w:p>
        </w:tc>
        <w:tc>
          <w:tcPr>
            <w:tcW w:w="802" w:type="dxa"/>
            <w:shd w:val="clear" w:color="auto" w:fill="auto"/>
            <w:vAlign w:val="center"/>
          </w:tcPr>
          <w:p w:rsidR="00E95F10" w:rsidRPr="00747C0B" w:rsidRDefault="00E95F10" w:rsidP="00492DC6">
            <w:pPr>
              <w:pStyle w:val="CETEquation"/>
              <w:jc w:val="right"/>
            </w:pPr>
            <w:r w:rsidRPr="00747C0B">
              <w:t>(</w:t>
            </w:r>
            <w:r w:rsidR="00492DC6">
              <w:t>3</w:t>
            </w:r>
            <w:r w:rsidRPr="00747C0B">
              <w:t>)</w:t>
            </w:r>
          </w:p>
        </w:tc>
      </w:tr>
      <w:tr w:rsidR="00514C7E" w:rsidRPr="00747C0B" w:rsidTr="0056422F">
        <w:tc>
          <w:tcPr>
            <w:tcW w:w="7985" w:type="dxa"/>
            <w:shd w:val="clear" w:color="auto" w:fill="auto"/>
            <w:vAlign w:val="center"/>
          </w:tcPr>
          <w:p w:rsidR="00514C7E" w:rsidRPr="00FD7E84" w:rsidRDefault="00FD7E84" w:rsidP="00FD7E84">
            <w:pPr>
              <w:pStyle w:val="CETEquation"/>
              <w:rPr>
                <w:highlight w:val="cyan"/>
              </w:rPr>
            </w:pPr>
            <m:oMath>
              <m:r>
                <m:rPr>
                  <m:sty m:val="p"/>
                </m:rPr>
                <w:rPr>
                  <w:rFonts w:ascii="Cambria Math" w:hAnsi="Cambria Math"/>
                </w:rPr>
                <m:t xml:space="preserve">Phosphate consumed </m:t>
              </m:r>
              <m:d>
                <m:dPr>
                  <m:ctrlPr>
                    <w:rPr>
                      <w:rFonts w:ascii="Cambria Math" w:hAnsi="Cambria Math"/>
                    </w:rPr>
                  </m:ctrlPr>
                </m:dPr>
                <m:e>
                  <m:f>
                    <m:fPr>
                      <m:ctrlPr>
                        <w:rPr>
                          <w:rFonts w:ascii="Cambria Math" w:hAnsi="Cambria Math"/>
                        </w:rPr>
                      </m:ctrlPr>
                    </m:fPr>
                    <m:num>
                      <m:r>
                        <m:rPr>
                          <m:sty m:val="p"/>
                        </m:rPr>
                        <w:rPr>
                          <w:rFonts w:ascii="Cambria Math" w:hAnsi="Cambria Math"/>
                        </w:rPr>
                        <m:t>mg</m:t>
                      </m:r>
                    </m:num>
                    <m:den>
                      <m:r>
                        <m:rPr>
                          <m:sty m:val="p"/>
                        </m:rPr>
                        <w:rPr>
                          <w:rFonts w:ascii="Cambria Math" w:hAnsi="Cambria Math"/>
                        </w:rPr>
                        <m:t>L</m:t>
                      </m:r>
                    </m:den>
                  </m:f>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w:rPr>
                      <w:rFonts w:ascii="Cambria Math" w:hAnsi="Cambria Math"/>
                    </w:rPr>
                    <m:t>i</m:t>
                  </m:r>
                </m:sub>
              </m:sSub>
              <m:r>
                <m:rPr>
                  <m:sty m:val="p"/>
                </m:rPr>
                <w:rPr>
                  <w:rFonts w:ascii="Cambria Math" w:hAnsi="Cambria Math"/>
                </w:rPr>
                <m:t xml:space="preserve"> </m:t>
              </m:r>
              <m:r>
                <m:rPr>
                  <m:sty m:val="p"/>
                </m:rPr>
                <w:rPr>
                  <w:rFonts w:ascii="Cambria Math" w:hAnsi="Cambria Math"/>
                  <w:vertAlign w:val="subscript"/>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w:rPr>
                      <w:rFonts w:ascii="Cambria Math" w:hAnsi="Cambria Math"/>
                    </w:rPr>
                    <m:t>f</m:t>
                  </m:r>
                </m:sub>
              </m:sSub>
              <m:r>
                <m:rPr>
                  <m:sty m:val="p"/>
                </m:rPr>
                <w:rPr>
                  <w:rFonts w:ascii="Cambria Math" w:hAnsi="Cambria Math"/>
                </w:rPr>
                <m:t xml:space="preserve"> </m:t>
              </m:r>
            </m:oMath>
            <w:r>
              <w:rPr>
                <w:vertAlign w:val="subscript"/>
              </w:rPr>
              <w:t xml:space="preserve"> </w:t>
            </w:r>
          </w:p>
        </w:tc>
        <w:tc>
          <w:tcPr>
            <w:tcW w:w="802" w:type="dxa"/>
            <w:shd w:val="clear" w:color="auto" w:fill="auto"/>
            <w:vAlign w:val="center"/>
          </w:tcPr>
          <w:p w:rsidR="00514C7E" w:rsidRPr="00747C0B" w:rsidRDefault="00514C7E" w:rsidP="00492DC6">
            <w:pPr>
              <w:pStyle w:val="CETEquation"/>
              <w:jc w:val="right"/>
            </w:pPr>
            <w:r w:rsidRPr="00747C0B">
              <w:t>(</w:t>
            </w:r>
            <w:r w:rsidR="00492DC6">
              <w:t>4</w:t>
            </w:r>
            <w:r w:rsidRPr="00747C0B">
              <w:t>)</w:t>
            </w:r>
          </w:p>
        </w:tc>
      </w:tr>
      <w:tr w:rsidR="00514C7E" w:rsidRPr="00747C0B" w:rsidTr="0056422F">
        <w:tc>
          <w:tcPr>
            <w:tcW w:w="7985" w:type="dxa"/>
            <w:shd w:val="clear" w:color="auto" w:fill="auto"/>
            <w:vAlign w:val="center"/>
          </w:tcPr>
          <w:p w:rsidR="00514C7E" w:rsidRPr="00FD7E84" w:rsidRDefault="00FD7E84" w:rsidP="00070650">
            <w:pPr>
              <w:pStyle w:val="CETEquation"/>
              <w:rPr>
                <w:highlight w:val="cyan"/>
              </w:rPr>
            </w:pPr>
            <m:oMath>
              <m:r>
                <m:rPr>
                  <m:sty m:val="p"/>
                </m:rPr>
                <w:rPr>
                  <w:rFonts w:ascii="Cambria Math" w:hAnsi="Cambria Math"/>
                </w:rPr>
                <m:t xml:space="preserve">DOC consumed </m:t>
              </m:r>
              <m:d>
                <m:dPr>
                  <m:ctrlPr>
                    <w:rPr>
                      <w:rFonts w:ascii="Cambria Math" w:hAnsi="Cambria Math"/>
                    </w:rPr>
                  </m:ctrlPr>
                </m:dPr>
                <m:e>
                  <m:f>
                    <m:fPr>
                      <m:ctrlPr>
                        <w:rPr>
                          <w:rFonts w:ascii="Cambria Math" w:hAnsi="Cambria Math"/>
                        </w:rPr>
                      </m:ctrlPr>
                    </m:fPr>
                    <m:num>
                      <m:r>
                        <m:rPr>
                          <m:sty m:val="p"/>
                        </m:rPr>
                        <w:rPr>
                          <w:rFonts w:ascii="Cambria Math" w:hAnsi="Cambria Math"/>
                        </w:rPr>
                        <m:t>mg</m:t>
                      </m:r>
                    </m:num>
                    <m:den>
                      <m:r>
                        <w:rPr>
                          <w:rFonts w:ascii="Cambria Math" w:hAnsi="Cambria Math"/>
                        </w:rPr>
                        <m:t>L</m:t>
                      </m:r>
                    </m:den>
                  </m:f>
                </m:e>
              </m:d>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(DOC)</m:t>
                  </m:r>
                </m:e>
                <m:sub>
                  <m:r>
                    <w:rPr>
                      <w:rFonts w:ascii="Cambria Math" w:hAnsi="Cambria Math"/>
                    </w:rPr>
                    <m:t>i</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(DOC)</m:t>
                  </m:r>
                </m:e>
                <m:sub>
                  <m:r>
                    <w:rPr>
                      <w:rFonts w:ascii="Cambria Math" w:hAnsi="Cambria Math"/>
                    </w:rPr>
                    <m:t>f</m:t>
                  </m:r>
                </m:sub>
              </m:sSub>
            </m:oMath>
            <w:r>
              <w:t xml:space="preserve"> </w:t>
            </w:r>
          </w:p>
        </w:tc>
        <w:tc>
          <w:tcPr>
            <w:tcW w:w="802" w:type="dxa"/>
            <w:shd w:val="clear" w:color="auto" w:fill="auto"/>
            <w:vAlign w:val="center"/>
          </w:tcPr>
          <w:p w:rsidR="00514C7E" w:rsidRPr="00747C0B" w:rsidRDefault="00514C7E" w:rsidP="00492DC6">
            <w:pPr>
              <w:pStyle w:val="CETEquation"/>
              <w:jc w:val="right"/>
            </w:pPr>
            <w:r w:rsidRPr="00747C0B">
              <w:t>(</w:t>
            </w:r>
            <w:r w:rsidR="00492DC6">
              <w:t>5</w:t>
            </w:r>
            <w:r w:rsidRPr="00747C0B">
              <w:t>)</w:t>
            </w:r>
          </w:p>
        </w:tc>
      </w:tr>
    </w:tbl>
    <w:p w:rsidR="00514C7E" w:rsidRPr="00747C0B" w:rsidRDefault="00514C7E" w:rsidP="00A1616F">
      <w:pPr>
        <w:pStyle w:val="CETBodytext"/>
        <w:rPr>
          <w:lang w:val="en-GB"/>
        </w:rPr>
      </w:pPr>
    </w:p>
    <w:p w:rsidR="008F2B43" w:rsidRDefault="00E95F10" w:rsidP="00BC4878">
      <w:pPr>
        <w:pStyle w:val="CETBodytext"/>
        <w:rPr>
          <w:lang w:val="en-GB"/>
        </w:rPr>
      </w:pPr>
      <w:r w:rsidRPr="00747C0B">
        <w:rPr>
          <w:lang w:val="en-GB"/>
        </w:rPr>
        <w:t>where D</w:t>
      </w:r>
      <w:r w:rsidR="006B3874">
        <w:rPr>
          <w:lang w:val="en-GB"/>
        </w:rPr>
        <w:t>M</w:t>
      </w:r>
      <w:r w:rsidR="00237F01" w:rsidRPr="00747C0B">
        <w:rPr>
          <w:lang w:val="en-GB"/>
        </w:rPr>
        <w:t xml:space="preserve"> is the </w:t>
      </w:r>
      <w:r w:rsidR="00A1616F" w:rsidRPr="00747C0B">
        <w:rPr>
          <w:lang w:val="en-GB"/>
        </w:rPr>
        <w:t>dry</w:t>
      </w:r>
      <w:r w:rsidR="00514C7E" w:rsidRPr="00747C0B">
        <w:rPr>
          <w:lang w:val="en-GB"/>
        </w:rPr>
        <w:t xml:space="preserve"> </w:t>
      </w:r>
      <w:r w:rsidR="00237F01" w:rsidRPr="00747C0B">
        <w:rPr>
          <w:lang w:val="en-GB"/>
        </w:rPr>
        <w:t xml:space="preserve">biomass </w:t>
      </w:r>
      <w:r w:rsidR="00A1616F" w:rsidRPr="00747C0B">
        <w:rPr>
          <w:lang w:val="en-GB"/>
        </w:rPr>
        <w:t xml:space="preserve">weight </w:t>
      </w:r>
      <w:r w:rsidR="00237F01" w:rsidRPr="00747C0B">
        <w:rPr>
          <w:lang w:val="en-GB"/>
        </w:rPr>
        <w:t xml:space="preserve">from the </w:t>
      </w:r>
      <w:r w:rsidR="00A1616F" w:rsidRPr="00747C0B">
        <w:rPr>
          <w:lang w:val="en-GB"/>
        </w:rPr>
        <w:t>50 m</w:t>
      </w:r>
      <w:r w:rsidR="00464E09" w:rsidRPr="00747C0B">
        <w:rPr>
          <w:lang w:val="en-GB"/>
        </w:rPr>
        <w:t>L</w:t>
      </w:r>
      <w:r w:rsidR="00A1616F" w:rsidRPr="00747C0B">
        <w:rPr>
          <w:lang w:val="en-GB"/>
        </w:rPr>
        <w:t xml:space="preserve"> of </w:t>
      </w:r>
      <w:r w:rsidR="00237F01" w:rsidRPr="00747C0B">
        <w:rPr>
          <w:lang w:val="en-GB"/>
        </w:rPr>
        <w:t>broth taken</w:t>
      </w:r>
      <w:r w:rsidR="00A1616F" w:rsidRPr="00747C0B">
        <w:rPr>
          <w:lang w:val="en-GB"/>
        </w:rPr>
        <w:t xml:space="preserve"> on the day of harvest, </w:t>
      </w:r>
      <m:oMath>
        <m:sSub>
          <m:sSubPr>
            <m:ctrlPr>
              <w:rPr>
                <w:rFonts w:ascii="Cambria Math" w:hAnsi="Cambria Math"/>
                <w:lang w:val="en-GB"/>
              </w:rPr>
            </m:ctrlPr>
          </m:sSubPr>
          <m:e>
            <m:r>
              <m:rPr>
                <m:sty m:val="p"/>
              </m:rPr>
              <w:rPr>
                <w:rFonts w:ascii="Cambria Math" w:hAnsi="Cambria Math"/>
              </w:rPr>
              <m:t>N</m:t>
            </m:r>
          </m:e>
          <m:sub>
            <m:r>
              <w:rPr>
                <w:rFonts w:ascii="Cambria Math" w:hAnsi="Cambria Math"/>
              </w:rPr>
              <m:t>i</m:t>
            </m:r>
          </m:sub>
        </m:sSub>
      </m:oMath>
      <w:r w:rsidR="00A1616F" w:rsidRPr="00747C0B">
        <w:rPr>
          <w:lang w:val="en-GB"/>
        </w:rPr>
        <w:t xml:space="preserve"> and </w:t>
      </w:r>
      <m:oMath>
        <m:sSub>
          <m:sSubPr>
            <m:ctrlPr>
              <w:rPr>
                <w:rFonts w:ascii="Cambria Math" w:hAnsi="Cambria Math"/>
                <w:lang w:val="en-GB"/>
              </w:rPr>
            </m:ctrlPr>
          </m:sSubPr>
          <m:e>
            <m:r>
              <m:rPr>
                <m:sty m:val="p"/>
              </m:rPr>
              <w:rPr>
                <w:rFonts w:ascii="Cambria Math" w:hAnsi="Cambria Math"/>
              </w:rPr>
              <m:t>N</m:t>
            </m:r>
          </m:e>
          <m:sub>
            <m:r>
              <w:rPr>
                <w:rFonts w:ascii="Cambria Math" w:hAnsi="Cambria Math"/>
              </w:rPr>
              <m:t>f</m:t>
            </m:r>
          </m:sub>
        </m:sSub>
      </m:oMath>
      <w:r w:rsidR="00514C7E" w:rsidRPr="00747C0B">
        <w:rPr>
          <w:lang w:val="en-GB"/>
        </w:rPr>
        <w:t xml:space="preserve"> represent</w:t>
      </w:r>
      <w:r w:rsidR="00A1616F" w:rsidRPr="00747C0B">
        <w:rPr>
          <w:lang w:val="en-GB"/>
        </w:rPr>
        <w:t xml:space="preserve"> the nitrate concentration in </w:t>
      </w:r>
      <w:r w:rsidR="00514C7E" w:rsidRPr="00747C0B">
        <w:rPr>
          <w:lang w:val="en-GB"/>
        </w:rPr>
        <w:t>the broth at the beginning</w:t>
      </w:r>
      <w:r w:rsidR="00A1616F" w:rsidRPr="00747C0B">
        <w:rPr>
          <w:lang w:val="en-GB"/>
        </w:rPr>
        <w:t xml:space="preserve"> and </w:t>
      </w:r>
      <w:r w:rsidR="00514C7E" w:rsidRPr="00747C0B">
        <w:rPr>
          <w:lang w:val="en-GB"/>
        </w:rPr>
        <w:t>last</w:t>
      </w:r>
      <w:r w:rsidR="00237F01" w:rsidRPr="00747C0B">
        <w:rPr>
          <w:lang w:val="en-GB"/>
        </w:rPr>
        <w:t xml:space="preserve"> day of</w:t>
      </w:r>
      <w:r w:rsidR="00AB3EA7">
        <w:rPr>
          <w:lang w:val="en-GB"/>
        </w:rPr>
        <w:t xml:space="preserve"> </w:t>
      </w:r>
      <w:r w:rsidR="00C155F0">
        <w:rPr>
          <w:lang w:val="en-GB"/>
        </w:rPr>
        <w:t xml:space="preserve">the </w:t>
      </w:r>
      <w:r w:rsidR="00AB3EA7">
        <w:rPr>
          <w:lang w:val="en-GB"/>
        </w:rPr>
        <w:t>microalgal</w:t>
      </w:r>
      <w:r w:rsidR="00237F01" w:rsidRPr="00747C0B">
        <w:rPr>
          <w:lang w:val="en-GB"/>
        </w:rPr>
        <w:t xml:space="preserve"> growth period, </w:t>
      </w:r>
      <m:oMath>
        <m:sSub>
          <m:sSubPr>
            <m:ctrlPr>
              <w:rPr>
                <w:rFonts w:ascii="Cambria Math" w:hAnsi="Cambria Math"/>
                <w:lang w:val="en-GB"/>
              </w:rPr>
            </m:ctrlPr>
          </m:sSubPr>
          <m:e>
            <m:r>
              <m:rPr>
                <m:sty m:val="p"/>
              </m:rPr>
              <w:rPr>
                <w:rFonts w:ascii="Cambria Math" w:hAnsi="Cambria Math"/>
              </w:rPr>
              <m:t>P</m:t>
            </m:r>
          </m:e>
          <m:sub>
            <m:r>
              <w:rPr>
                <w:rFonts w:ascii="Cambria Math" w:hAnsi="Cambria Math"/>
              </w:rPr>
              <m:t>i</m:t>
            </m:r>
          </m:sub>
        </m:sSub>
      </m:oMath>
      <w:r w:rsidR="00237F01" w:rsidRPr="00747C0B">
        <w:rPr>
          <w:lang w:val="en-GB"/>
        </w:rPr>
        <w:t xml:space="preserve"> and </w:t>
      </w:r>
      <m:oMath>
        <m:sSub>
          <m:sSubPr>
            <m:ctrlPr>
              <w:rPr>
                <w:rFonts w:ascii="Cambria Math" w:hAnsi="Cambria Math"/>
                <w:lang w:val="en-GB"/>
              </w:rPr>
            </m:ctrlPr>
          </m:sSubPr>
          <m:e>
            <m:r>
              <m:rPr>
                <m:sty m:val="p"/>
              </m:rPr>
              <w:rPr>
                <w:rFonts w:ascii="Cambria Math" w:hAnsi="Cambria Math"/>
              </w:rPr>
              <m:t>P</m:t>
            </m:r>
          </m:e>
          <m:sub>
            <m:r>
              <w:rPr>
                <w:rFonts w:ascii="Cambria Math" w:hAnsi="Cambria Math"/>
              </w:rPr>
              <m:t>f</m:t>
            </m:r>
          </m:sub>
        </m:sSub>
      </m:oMath>
      <w:r w:rsidR="00237F01" w:rsidRPr="00747C0B">
        <w:rPr>
          <w:lang w:val="en-GB"/>
        </w:rPr>
        <w:t xml:space="preserve"> represent the phosphate concentration in the broth at the beginning and last day of </w:t>
      </w:r>
      <w:r w:rsidR="00BC4878">
        <w:rPr>
          <w:lang w:val="en-GB"/>
        </w:rPr>
        <w:t xml:space="preserve">the </w:t>
      </w:r>
      <w:r w:rsidR="00237F01" w:rsidRPr="00747C0B">
        <w:rPr>
          <w:lang w:val="en-GB"/>
        </w:rPr>
        <w:t>growth period;</w:t>
      </w:r>
      <w:r w:rsidR="00A1616F" w:rsidRPr="00747C0B">
        <w:rPr>
          <w:lang w:val="en-GB"/>
        </w:rPr>
        <w:t xml:space="preserve"> </w:t>
      </w:r>
      <w:r w:rsidR="00237F01" w:rsidRPr="00747C0B">
        <w:rPr>
          <w:lang w:val="en-GB"/>
        </w:rPr>
        <w:t>and</w:t>
      </w:r>
      <w:r w:rsidR="00A1616F" w:rsidRPr="00747C0B">
        <w:rPr>
          <w:lang w:val="en-GB"/>
        </w:rPr>
        <w:t xml:space="preserve"> </w:t>
      </w:r>
      <m:oMath>
        <m:sSub>
          <m:sSubPr>
            <m:ctrlPr>
              <w:rPr>
                <w:rFonts w:ascii="Cambria Math" w:hAnsi="Cambria Math"/>
                <w:lang w:val="en-GB"/>
              </w:rPr>
            </m:ctrlPr>
          </m:sSubPr>
          <m:e>
            <m:r>
              <m:rPr>
                <m:sty m:val="p"/>
              </m:rPr>
              <w:rPr>
                <w:rFonts w:ascii="Cambria Math" w:hAnsi="Cambria Math"/>
              </w:rPr>
              <m:t>(DOC)</m:t>
            </m:r>
          </m:e>
          <m:sub>
            <m:r>
              <w:rPr>
                <w:rFonts w:ascii="Cambria Math" w:hAnsi="Cambria Math"/>
              </w:rPr>
              <m:t>i</m:t>
            </m:r>
          </m:sub>
        </m:sSub>
      </m:oMath>
      <w:r w:rsidR="00A1616F" w:rsidRPr="00747C0B">
        <w:rPr>
          <w:lang w:val="en-GB"/>
        </w:rPr>
        <w:t xml:space="preserve"> and </w:t>
      </w:r>
      <m:oMath>
        <m:sSub>
          <m:sSubPr>
            <m:ctrlPr>
              <w:rPr>
                <w:rFonts w:ascii="Cambria Math" w:hAnsi="Cambria Math"/>
                <w:lang w:val="en-GB"/>
              </w:rPr>
            </m:ctrlPr>
          </m:sSubPr>
          <m:e>
            <m:r>
              <m:rPr>
                <m:sty m:val="p"/>
              </m:rPr>
              <w:rPr>
                <w:rFonts w:ascii="Cambria Math" w:hAnsi="Cambria Math"/>
              </w:rPr>
              <m:t>(DOC)</m:t>
            </m:r>
          </m:e>
          <m:sub>
            <m:r>
              <w:rPr>
                <w:rFonts w:ascii="Cambria Math" w:hAnsi="Cambria Math"/>
              </w:rPr>
              <m:t>f</m:t>
            </m:r>
          </m:sub>
        </m:sSub>
      </m:oMath>
      <w:r w:rsidR="00237F01" w:rsidRPr="00747C0B">
        <w:rPr>
          <w:lang w:val="en-GB"/>
        </w:rPr>
        <w:t xml:space="preserve"> represent</w:t>
      </w:r>
      <w:r w:rsidR="00A1616F" w:rsidRPr="00747C0B">
        <w:rPr>
          <w:lang w:val="en-GB"/>
        </w:rPr>
        <w:t xml:space="preserve"> the </w:t>
      </w:r>
      <w:r w:rsidR="00237F01" w:rsidRPr="00747C0B">
        <w:rPr>
          <w:lang w:val="en-GB"/>
        </w:rPr>
        <w:t>dissolved organic carbon</w:t>
      </w:r>
      <w:r w:rsidR="00A1616F" w:rsidRPr="00747C0B">
        <w:rPr>
          <w:lang w:val="en-GB"/>
        </w:rPr>
        <w:t xml:space="preserve"> concentration in </w:t>
      </w:r>
      <w:r w:rsidR="00237F01" w:rsidRPr="00747C0B">
        <w:rPr>
          <w:lang w:val="en-GB"/>
        </w:rPr>
        <w:t>the broth sampled</w:t>
      </w:r>
      <w:r w:rsidR="00A1616F" w:rsidRPr="00747C0B">
        <w:rPr>
          <w:lang w:val="en-GB"/>
        </w:rPr>
        <w:t xml:space="preserve"> on initial and final days, respectively. </w:t>
      </w:r>
      <w:r w:rsidR="008F2B43" w:rsidRPr="00747C0B">
        <w:rPr>
          <w:lang w:val="en-GB"/>
        </w:rPr>
        <w:t xml:space="preserve">The harvested microalgae samples were dried in a vacuum </w:t>
      </w:r>
      <w:r w:rsidR="00DE3927" w:rsidRPr="00DE3927">
        <w:rPr>
          <w:lang w:val="en-GB"/>
        </w:rPr>
        <w:t>drying oven at 40 °C for 1.0 h</w:t>
      </w:r>
      <w:r w:rsidR="008F2B43" w:rsidRPr="00747C0B">
        <w:rPr>
          <w:lang w:val="en-GB"/>
        </w:rPr>
        <w:t xml:space="preserve"> and g</w:t>
      </w:r>
      <w:r w:rsidR="00DE3927">
        <w:rPr>
          <w:lang w:val="en-GB"/>
        </w:rPr>
        <w:t>round to a powder for analysis.</w:t>
      </w:r>
    </w:p>
    <w:p w:rsidR="000B14B7" w:rsidRPr="00335874" w:rsidRDefault="000B14B7" w:rsidP="009A0330">
      <w:pPr>
        <w:pStyle w:val="CETheadingx"/>
      </w:pPr>
      <w:r w:rsidRPr="00335874">
        <w:lastRenderedPageBreak/>
        <w:t>2.3 Microalgal biomass characterization</w:t>
      </w:r>
    </w:p>
    <w:p w:rsidR="007635DC" w:rsidRPr="00721534" w:rsidRDefault="009634CC" w:rsidP="00BC4878">
      <w:pPr>
        <w:pStyle w:val="CETBodytext"/>
        <w:rPr>
          <w:lang w:val="en-GB"/>
        </w:rPr>
      </w:pPr>
      <w:r w:rsidRPr="009634CC">
        <w:rPr>
          <w:lang w:val="en-GB"/>
        </w:rPr>
        <w:t>Using a scanning electron microscope and energy dispersive crystallography</w:t>
      </w:r>
      <w:r>
        <w:rPr>
          <w:lang w:val="en-GB"/>
        </w:rPr>
        <w:t xml:space="preserve"> </w:t>
      </w:r>
      <w:r w:rsidRPr="009634CC">
        <w:rPr>
          <w:lang w:val="en-GB"/>
        </w:rPr>
        <w:t xml:space="preserve">(SEM-EDX), a basic analysis of C and N in dry biomass was carried out in duplicate. The nitrogen content was used to calculate the crude protein content. The protein content of Scenedesmus sp. was calculated using a nitrogen-to-protein (NTP) conversion factor of 6.25. (Wong &amp; Cheung, 2000). The carbohydrate content of </w:t>
      </w:r>
      <w:r>
        <w:rPr>
          <w:lang w:val="en-GB"/>
        </w:rPr>
        <w:t>the lyophilised and ground</w:t>
      </w:r>
      <w:r w:rsidRPr="009634CC">
        <w:rPr>
          <w:lang w:val="en-GB"/>
        </w:rPr>
        <w:t xml:space="preserve"> algal biomass was determined using a modified two-step acid hydrolysis procedure developed at the National Renewable Energy Laboratory (NREL) (Sluiter et al., 2004). (2012).</w:t>
      </w:r>
      <w:r w:rsidR="009D107D" w:rsidRPr="00721534">
        <w:rPr>
          <w:lang w:val="en-GB"/>
        </w:rPr>
        <w:t xml:space="preserve"> </w:t>
      </w:r>
    </w:p>
    <w:p w:rsidR="005E0918" w:rsidRPr="00B62F70" w:rsidRDefault="0056422F" w:rsidP="009A0330">
      <w:pPr>
        <w:pStyle w:val="CETheadingx"/>
      </w:pPr>
      <w:r>
        <w:t>2.4</w:t>
      </w:r>
      <w:r w:rsidR="005E0918" w:rsidRPr="00B62F70">
        <w:t xml:space="preserve"> Lipid content of </w:t>
      </w:r>
      <w:r w:rsidR="005E0918" w:rsidRPr="00B62F70">
        <w:rPr>
          <w:i/>
        </w:rPr>
        <w:t>Scenedesmus sp.</w:t>
      </w:r>
    </w:p>
    <w:p w:rsidR="001A2229" w:rsidRDefault="009634CC" w:rsidP="00BC4878">
      <w:r w:rsidRPr="009634CC">
        <w:t xml:space="preserve">Gwak et al. described a slightly modified method for lipid extraction, which we used (2014). After centrifugation at 3000g for 3 minutes, the biomass pellet was collected from suspension and lyophilized using the </w:t>
      </w:r>
      <w:r w:rsidR="00BC4878">
        <w:t>S</w:t>
      </w:r>
      <w:r w:rsidRPr="009634CC">
        <w:t xml:space="preserve">canvac </w:t>
      </w:r>
      <w:r w:rsidR="00BC4878">
        <w:t>C</w:t>
      </w:r>
      <w:r w:rsidRPr="009634CC">
        <w:t>oolsafe freeze dryer (Gene company Ltd., Hong Kong). The dried biomass pellet was ground and vigorously agitated in a solvent system of chloroform:methanol:water (2:2:1, v/v/v). To separate the extract into two phases, centrifugation at 3000g for 5 minutes was used. A new vial was filled with the lipid-rich lower organic phase. To obtain and quantify gravimetrically the total algal lipid content, chloroform in the organic phase was removed using a nitrogen evaporator (DC-12, ANPEL, China).</w:t>
      </w:r>
    </w:p>
    <w:p w:rsidR="00630684" w:rsidRPr="00747C0B" w:rsidRDefault="00C27AB5" w:rsidP="00630684">
      <w:pPr>
        <w:pStyle w:val="CETHeading1"/>
        <w:tabs>
          <w:tab w:val="clear" w:pos="360"/>
          <w:tab w:val="right" w:pos="7100"/>
        </w:tabs>
        <w:jc w:val="both"/>
        <w:rPr>
          <w:lang w:val="en-GB"/>
        </w:rPr>
      </w:pPr>
      <w:r>
        <w:rPr>
          <w:lang w:val="en-GB"/>
        </w:rPr>
        <w:t>Results and discussion</w:t>
      </w:r>
    </w:p>
    <w:p w:rsidR="00630684" w:rsidRPr="00700EAA" w:rsidRDefault="00335874" w:rsidP="0056422F">
      <w:pPr>
        <w:pStyle w:val="CETBodytext"/>
      </w:pPr>
      <w:r w:rsidRPr="00700EAA">
        <w:t xml:space="preserve">Membrane filtration at the microfiltration (MF) level was used to pre-treat brewery wastewater. This was done on purpose to get rid of the majority of COD, BOD, and TSS, which can stifle algal growth. However, fouling and energy consumption remain a challenge for this technique; however, new types of anti-fouling membranes are gaining attention in the research world, and if successful, the membrane process will become a viable and preferred treatment option (Tobias, 2016). Figures 1 and 2 as well as Tables 1, 2 and 3 show the experimental data from this study. Figure 1 depicts the depletion of nutrients during the mixotrophic cultivation of Scenedesmus sp. The most commonly used nutrient was ammonium-nitrogen, followed by nitrate-nitrogen, and only a small amount of phosphate was used. </w:t>
      </w:r>
      <w:r w:rsidR="00700EAA">
        <w:t xml:space="preserve">The mixotrophic productivity of </w:t>
      </w:r>
      <w:r w:rsidRPr="00700EAA">
        <w:t xml:space="preserve">Scenedesmus sp. is shown in Figure 2. The plot clearly shows that </w:t>
      </w:r>
      <w:r w:rsidR="00700EAA">
        <w:t xml:space="preserve">different initial nutrient substrate concentration </w:t>
      </w:r>
      <w:r w:rsidRPr="00700EAA">
        <w:t xml:space="preserve">provides </w:t>
      </w:r>
      <w:r w:rsidR="00700EAA">
        <w:t xml:space="preserve">different growth stimulus for </w:t>
      </w:r>
      <w:r w:rsidRPr="00700EAA">
        <w:t>the alga Scenedesmus sp. to thrive. It can then be seen that algal growth would be sustained if nutrients were always available.</w:t>
      </w:r>
    </w:p>
    <w:p w:rsidR="009851F3" w:rsidRPr="00335874" w:rsidRDefault="008E386B" w:rsidP="009A0330">
      <w:pPr>
        <w:pStyle w:val="CETheadingx"/>
      </w:pPr>
      <w:r w:rsidRPr="00335874">
        <w:t xml:space="preserve">3.1 </w:t>
      </w:r>
      <w:r w:rsidR="009851F3" w:rsidRPr="00335874">
        <w:t xml:space="preserve">pH </w:t>
      </w:r>
    </w:p>
    <w:p w:rsidR="009851F3" w:rsidRDefault="00E57FAE" w:rsidP="00BC4878">
      <w:pPr>
        <w:pStyle w:val="CETBodytext"/>
        <w:rPr>
          <w:lang w:val="en-GB"/>
        </w:rPr>
      </w:pPr>
      <w:r w:rsidRPr="00E57FAE">
        <w:rPr>
          <w:lang w:val="en-GB"/>
        </w:rPr>
        <w:t>The biochemical reaction characteristics of microalgae are normally influenced by the pH of the culture medium. The most favo</w:t>
      </w:r>
      <w:r w:rsidR="00BC4878">
        <w:rPr>
          <w:lang w:val="en-GB"/>
        </w:rPr>
        <w:t>u</w:t>
      </w:r>
      <w:r w:rsidRPr="00E57FAE">
        <w:rPr>
          <w:lang w:val="en-GB"/>
        </w:rPr>
        <w:t>rable pH range for microalgae growth is between pH 7 and 9.5, and the optimal pH is between 8.2 and 8.7, which varies depending on the strain. The ideal pH range for heterotrophic cultures is between 6 and 7. Bicarbonates, which are used by microalgae via CO</w:t>
      </w:r>
      <w:r w:rsidRPr="00E57FAE">
        <w:rPr>
          <w:vertAlign w:val="subscript"/>
          <w:lang w:val="en-GB"/>
        </w:rPr>
        <w:t>2</w:t>
      </w:r>
      <w:r w:rsidRPr="00E57FAE">
        <w:rPr>
          <w:lang w:val="en-GB"/>
        </w:rPr>
        <w:t xml:space="preserve"> concentrating mechanisms</w:t>
      </w:r>
      <w:r w:rsidR="00474505">
        <w:rPr>
          <w:lang w:val="en-GB"/>
        </w:rPr>
        <w:t xml:space="preserve"> </w:t>
      </w:r>
      <w:r w:rsidR="00474505" w:rsidRPr="00E57FAE">
        <w:rPr>
          <w:lang w:val="en-GB"/>
        </w:rPr>
        <w:t>(CCMs)</w:t>
      </w:r>
      <w:r w:rsidRPr="00E57FAE">
        <w:rPr>
          <w:lang w:val="en-GB"/>
        </w:rPr>
        <w:t>, are commonly used to control pH.</w:t>
      </w:r>
      <w:r w:rsidR="00474505">
        <w:rPr>
          <w:lang w:val="en-GB"/>
        </w:rPr>
        <w:t xml:space="preserve"> The pH range for this operation was between 6.65 and 8.15 as Table 1 depic</w:t>
      </w:r>
      <w:r w:rsidR="00BC4878">
        <w:rPr>
          <w:lang w:val="en-GB"/>
        </w:rPr>
        <w:t>t</w:t>
      </w:r>
      <w:r w:rsidR="00474505">
        <w:rPr>
          <w:lang w:val="en-GB"/>
        </w:rPr>
        <w:t>s.</w:t>
      </w:r>
    </w:p>
    <w:p w:rsidR="005D63C9" w:rsidRDefault="005D63C9" w:rsidP="009A0330">
      <w:pPr>
        <w:pStyle w:val="CETheadingx"/>
      </w:pPr>
      <w:r>
        <w:t>3.2 Temperature</w:t>
      </w:r>
    </w:p>
    <w:p w:rsidR="005D63C9" w:rsidRPr="00474505" w:rsidRDefault="002A0046" w:rsidP="00BC4878">
      <w:pPr>
        <w:pStyle w:val="CETTabletitle"/>
        <w:jc w:val="both"/>
        <w:rPr>
          <w:i w:val="0"/>
        </w:rPr>
      </w:pPr>
      <w:r w:rsidRPr="002A0046">
        <w:rPr>
          <w:i w:val="0"/>
        </w:rPr>
        <w:t>The rate of algal growth and the solubility of most chemicals both increase as the temperature rises. Elevated temperatures, on the other hand, can reduce oxygen solubility, which ha</w:t>
      </w:r>
      <w:r w:rsidR="00BC4878">
        <w:rPr>
          <w:i w:val="0"/>
        </w:rPr>
        <w:t>rms</w:t>
      </w:r>
      <w:r w:rsidRPr="002A0046">
        <w:rPr>
          <w:i w:val="0"/>
        </w:rPr>
        <w:t xml:space="preserve"> fish and other oxygen-dependent organisms. Temperature changes can have a big impact on microalgal metabolic processes and enzyme activity (Cheng et al., 2019). Many microalgae species thrive best at temperatures between 25 and 30 degrees Celsius. Some microalgae species experience negative growth ra</w:t>
      </w:r>
      <w:r>
        <w:rPr>
          <w:i w:val="0"/>
        </w:rPr>
        <w:t>tes at temperatures above 35 °C.</w:t>
      </w:r>
      <w:r w:rsidRPr="002A0046">
        <w:rPr>
          <w:i w:val="0"/>
        </w:rPr>
        <w:t xml:space="preserve"> Duygu (2019) investigated the effect of temperature on the productivity of S. obliquus in </w:t>
      </w:r>
      <w:r w:rsidR="00BC4878">
        <w:rPr>
          <w:i w:val="0"/>
        </w:rPr>
        <w:t xml:space="preserve">a </w:t>
      </w:r>
      <w:r w:rsidRPr="002A0046">
        <w:rPr>
          <w:i w:val="0"/>
        </w:rPr>
        <w:t>mineral medium and found that the highest biomass growth of 1.84 mg/L h was obtained at 30 °C, while the lowest biomass production of 1.1 mg/L h was observed at 35 °C.</w:t>
      </w:r>
      <w:r w:rsidR="00474505">
        <w:rPr>
          <w:i w:val="0"/>
        </w:rPr>
        <w:t xml:space="preserve"> the average temperature of this operation was 24.5 </w:t>
      </w:r>
      <w:r w:rsidR="00474505">
        <w:rPr>
          <w:i w:val="0"/>
          <w:vertAlign w:val="superscript"/>
        </w:rPr>
        <w:t>o</w:t>
      </w:r>
      <w:r w:rsidR="00474505">
        <w:rPr>
          <w:i w:val="0"/>
        </w:rPr>
        <w:t>C which falls within the favourable growth region.</w:t>
      </w:r>
    </w:p>
    <w:p w:rsidR="00380442" w:rsidRPr="001A764B" w:rsidRDefault="005D63C9" w:rsidP="009A0330">
      <w:pPr>
        <w:pStyle w:val="CETheadingx"/>
      </w:pPr>
      <w:r>
        <w:t xml:space="preserve">3.3 </w:t>
      </w:r>
      <w:r w:rsidR="00BB085F">
        <w:t>COD and d</w:t>
      </w:r>
      <w:r w:rsidR="00380442" w:rsidRPr="001A764B">
        <w:t>issolved Oxygen</w:t>
      </w:r>
    </w:p>
    <w:p w:rsidR="00DE67A5" w:rsidRPr="00DE67A5" w:rsidRDefault="00DE67A5" w:rsidP="00BC4878">
      <w:pPr>
        <w:pStyle w:val="CETBodytext"/>
        <w:rPr>
          <w:lang w:val="en-GB"/>
        </w:rPr>
      </w:pPr>
      <w:r w:rsidRPr="00DE67A5">
        <w:rPr>
          <w:lang w:val="en-GB"/>
        </w:rPr>
        <w:t xml:space="preserve">COD is a metric for determining the total amount of organic and inorganic chemically oxidisable matter in a sample, and thus the feedstock's energy content. COD is generated by residual food and beverage waste from cans and bottles, as well as antifreeze and emulsified oils from industrial food processing and agricultural activities. </w:t>
      </w:r>
      <w:r w:rsidR="00BC4878">
        <w:rPr>
          <w:lang w:val="en-GB"/>
        </w:rPr>
        <w:t>Since</w:t>
      </w:r>
      <w:r w:rsidRPr="00DE67A5">
        <w:rPr>
          <w:lang w:val="en-GB"/>
        </w:rPr>
        <w:t xml:space="preserve"> more organic compounds can be oxidized chemically than biologically, the majority of CODs are water</w:t>
      </w:r>
      <w:r w:rsidR="00BC4878">
        <w:rPr>
          <w:lang w:val="en-GB"/>
        </w:rPr>
        <w:t>-</w:t>
      </w:r>
      <w:r w:rsidRPr="00DE67A5">
        <w:rPr>
          <w:lang w:val="en-GB"/>
        </w:rPr>
        <w:t xml:space="preserve">soluble, and their values are typically greater than biochemical oxygen demand (BOD). Dissolved oxygen (DO) concentrations in surface water are proportional to temperature and atmospheric pressure. At one atmosphere of pressure, DO concentrations range from 14.6 mg/L at 0 degrees Celsius to 7 mg/L at 35 degrees Celsius. Because these concentrations decrease as atmospheric pressure increases, a source at a higher </w:t>
      </w:r>
      <w:r w:rsidRPr="00DE67A5">
        <w:rPr>
          <w:lang w:val="en-GB"/>
        </w:rPr>
        <w:lastRenderedPageBreak/>
        <w:t>elevation with the same temperature will contain less oxygen than a source at a lower elevation (Goldman and Horne, 1994). Depletion of DO stresses aquatic organisms, resulting in an unfit environment for life.</w:t>
      </w:r>
    </w:p>
    <w:p w:rsidR="00380442" w:rsidRDefault="00DE67A5" w:rsidP="0056422F">
      <w:pPr>
        <w:pStyle w:val="CETheadingx"/>
      </w:pPr>
      <w:r>
        <w:t xml:space="preserve">3.4 </w:t>
      </w:r>
      <w:r w:rsidR="00380442" w:rsidRPr="0016296D">
        <w:t xml:space="preserve">Nitrogen </w:t>
      </w:r>
    </w:p>
    <w:p w:rsidR="00205512" w:rsidRDefault="00205512" w:rsidP="00205512">
      <w:pPr>
        <w:pStyle w:val="CETBodytext"/>
      </w:pPr>
      <w:r>
        <w:t>Nitrogen is an essential nutrient for the growth of all living things. 2014 (Nandeshwar) Organic nitrogen can be found in peptides, proteins, enzymes, chlorophylls, energy transfer molecules (ADP, ATP), and genetic materials (RNA, DNA), among other biological substances. Nitrate (NO</w:t>
      </w:r>
      <w:r w:rsidRPr="00205512">
        <w:rPr>
          <w:vertAlign w:val="subscript"/>
        </w:rPr>
        <w:t>3</w:t>
      </w:r>
      <w:r w:rsidRPr="00205512">
        <w:rPr>
          <w:vertAlign w:val="superscript"/>
        </w:rPr>
        <w:t>-</w:t>
      </w:r>
      <w:r>
        <w:t>), nitrite (NO</w:t>
      </w:r>
      <w:r w:rsidRPr="00205512">
        <w:rPr>
          <w:vertAlign w:val="subscript"/>
        </w:rPr>
        <w:t>2</w:t>
      </w:r>
      <w:r w:rsidRPr="00205512">
        <w:rPr>
          <w:vertAlign w:val="superscript"/>
        </w:rPr>
        <w:t>-</w:t>
      </w:r>
      <w:r>
        <w:t>), nitric acid (HNO</w:t>
      </w:r>
      <w:r w:rsidRPr="00205512">
        <w:rPr>
          <w:vertAlign w:val="subscript"/>
        </w:rPr>
        <w:t>3</w:t>
      </w:r>
      <w:r>
        <w:t>), ammonium (NH</w:t>
      </w:r>
      <w:r w:rsidRPr="00AD1AD4">
        <w:rPr>
          <w:vertAlign w:val="subscript"/>
        </w:rPr>
        <w:t>4</w:t>
      </w:r>
      <w:r w:rsidRPr="00AD1AD4">
        <w:rPr>
          <w:vertAlign w:val="superscript"/>
        </w:rPr>
        <w:t>+</w:t>
      </w:r>
      <w:r>
        <w:t>), ammonia (NH</w:t>
      </w:r>
      <w:r w:rsidRPr="00AD1AD4">
        <w:rPr>
          <w:vertAlign w:val="subscript"/>
        </w:rPr>
        <w:t>3</w:t>
      </w:r>
      <w:r>
        <w:t>), and nitrogen gas are all inorganic sources of organic nitrogen (N</w:t>
      </w:r>
      <w:r w:rsidRPr="00205512">
        <w:rPr>
          <w:vertAlign w:val="subscript"/>
        </w:rPr>
        <w:t>2</w:t>
      </w:r>
      <w:r>
        <w:t>). Microalgae play a crucial role in the assimilation process, which converts inorganic nitrogen to its organic form.</w:t>
      </w:r>
    </w:p>
    <w:p w:rsidR="002469BE" w:rsidRDefault="00205512" w:rsidP="00BC4878">
      <w:pPr>
        <w:pStyle w:val="CETBodytext"/>
      </w:pPr>
      <w:r>
        <w:t>The production of biological components such as protein and chlorophyll requires nitrogen. Ammonia (NH</w:t>
      </w:r>
      <w:r w:rsidRPr="00205512">
        <w:rPr>
          <w:vertAlign w:val="subscript"/>
        </w:rPr>
        <w:t>3</w:t>
      </w:r>
      <w:r>
        <w:t xml:space="preserve"> and nitrate (NO</w:t>
      </w:r>
      <w:r w:rsidRPr="00205512">
        <w:rPr>
          <w:vertAlign w:val="subscript"/>
        </w:rPr>
        <w:t>3</w:t>
      </w:r>
      <w:r>
        <w:rPr>
          <w:vertAlign w:val="superscript"/>
        </w:rPr>
        <w:t>-</w:t>
      </w:r>
      <w:r>
        <w:t>)), ammonium (NH</w:t>
      </w:r>
      <w:r w:rsidRPr="00AD1AD4">
        <w:rPr>
          <w:vertAlign w:val="subscript"/>
        </w:rPr>
        <w:t>4</w:t>
      </w:r>
      <w:r w:rsidRPr="00AD1AD4">
        <w:rPr>
          <w:vertAlign w:val="superscript"/>
        </w:rPr>
        <w:t>+</w:t>
      </w:r>
      <w:r>
        <w:t>), and nitrite (NO</w:t>
      </w:r>
      <w:r w:rsidRPr="00205512">
        <w:rPr>
          <w:vertAlign w:val="subscript"/>
        </w:rPr>
        <w:t>2</w:t>
      </w:r>
      <w:r w:rsidRPr="00205512">
        <w:rPr>
          <w:vertAlign w:val="superscript"/>
        </w:rPr>
        <w:t>–</w:t>
      </w:r>
      <w:r>
        <w:t>) are examples of inorganic nitrogen in surface water systems. Ammonia and ammonium are reduced forms of nitrogen that are commonly found in anaerobic conditions; at very low concentrations, the ammonia form is toxic to fish and other aquatic organisms. The oxidized forms of nitrogen are nitrite and nitrate.</w:t>
      </w:r>
      <w:r w:rsidR="00AB7DFC">
        <w:t xml:space="preserve"> Figure 1 shows the uptake of nutrients and subsequent increase in biomass production.</w:t>
      </w:r>
    </w:p>
    <w:p w:rsidR="00AD1AD4" w:rsidRDefault="00AD1AD4" w:rsidP="0056422F">
      <w:pPr>
        <w:pStyle w:val="CETheadingx"/>
      </w:pPr>
      <w:r>
        <w:t>3.5 Phosphorus</w:t>
      </w:r>
    </w:p>
    <w:p w:rsidR="00380442" w:rsidRPr="007A674B" w:rsidRDefault="00A07494" w:rsidP="00BC4878">
      <w:pPr>
        <w:pStyle w:val="CETBodytext"/>
        <w:rPr>
          <w:i/>
        </w:rPr>
      </w:pPr>
      <w:r w:rsidRPr="00A07494">
        <w:t>Phosphorus compounds can be found in soil, plant and animal tissues, and animal waste in nature. Phosphorus is found in water and tends to adsorb to soil particles. Phosphates</w:t>
      </w:r>
      <w:r>
        <w:t xml:space="preserve"> </w:t>
      </w:r>
      <w:r w:rsidRPr="00A07494">
        <w:t>(PO</w:t>
      </w:r>
      <w:r w:rsidRPr="00A07494">
        <w:rPr>
          <w:vertAlign w:val="subscript"/>
        </w:rPr>
        <w:t>4</w:t>
      </w:r>
      <w:r w:rsidRPr="00A07494">
        <w:rPr>
          <w:vertAlign w:val="superscript"/>
        </w:rPr>
        <w:t>3-</w:t>
      </w:r>
      <w:r w:rsidRPr="00A07494">
        <w:t>) are non-toxic compounds that pose no threat to human health. They do, however, cause significant water quality issues because they are a limiting nutrient for many aquatic plants. Their presence usually leads to an overabundance of plants and algae, as well as an increased risk of eutrophication. At very low concentrations, phosphates can also interfere with coagulation processes in water treatment.</w:t>
      </w:r>
    </w:p>
    <w:p w:rsidR="00380442" w:rsidRPr="00AC7E79" w:rsidRDefault="00A07494" w:rsidP="009A0330">
      <w:pPr>
        <w:pStyle w:val="CETheadingx"/>
      </w:pPr>
      <w:r>
        <w:t xml:space="preserve">3.6 </w:t>
      </w:r>
      <w:r w:rsidR="00380442">
        <w:t>Mineral sequestration</w:t>
      </w:r>
      <w:r w:rsidR="00380442" w:rsidRPr="00AC7E79">
        <w:t xml:space="preserve"> from wastewater</w:t>
      </w:r>
    </w:p>
    <w:p w:rsidR="00380442" w:rsidRDefault="00114F57" w:rsidP="00BC4878">
      <w:pPr>
        <w:pStyle w:val="CETBodytext"/>
        <w:rPr>
          <w:lang w:val="en-GB"/>
        </w:rPr>
      </w:pPr>
      <w:r w:rsidRPr="00114F57">
        <w:rPr>
          <w:lang w:val="en-GB"/>
        </w:rPr>
        <w:t xml:space="preserve">Heavy metals are known to be sequestered by microalgae (Rai </w:t>
      </w:r>
      <w:r w:rsidRPr="00DF1D94">
        <w:rPr>
          <w:i/>
          <w:lang w:val="en-GB"/>
        </w:rPr>
        <w:t>et al.,</w:t>
      </w:r>
      <w:r w:rsidRPr="00114F57">
        <w:rPr>
          <w:lang w:val="en-GB"/>
        </w:rPr>
        <w:t xml:space="preserve"> 1981). The increased discharge of toxic pollutants into wastewater collection systems has resulted from the advancement of industrialization. Heavy metals and toxic organic compounds are present in high concentrations in municipal wastewater. As a result, the ability of wastewater treatment systems to tolerate and eliminate toxicity is critical. Heavy metals can be absorbed very effectively by microalgae. Metal bioaccumulation by algae could be a viable method for metal-contaminated wastewater remediation (Abdel-Raouf </w:t>
      </w:r>
      <w:r w:rsidRPr="00DF1D94">
        <w:rPr>
          <w:i/>
          <w:lang w:val="en-GB"/>
        </w:rPr>
        <w:t>et al</w:t>
      </w:r>
      <w:r w:rsidRPr="00114F57">
        <w:rPr>
          <w:lang w:val="en-GB"/>
        </w:rPr>
        <w:t xml:space="preserve">., 2012). Algae, on the other hand, has the advantage of being able to grow in ponds without a lot of nutritional input or upkeep. While heavy metal concentrations in some drainage systems are lower than in industrial effluents, particularly those from metal processing plants, the problems caused by their presence, especially in densely populated areas, are of public concern. Many marine and freshwater microalgae have been shown to selectively absorb and accumulate heavy metals from aqueous media (Afkar </w:t>
      </w:r>
      <w:r w:rsidRPr="00DF1D94">
        <w:rPr>
          <w:i/>
          <w:lang w:val="en-GB"/>
        </w:rPr>
        <w:t>et al.,</w:t>
      </w:r>
      <w:r w:rsidRPr="00114F57">
        <w:rPr>
          <w:lang w:val="en-GB"/>
        </w:rPr>
        <w:t xml:space="preserve"> 2010). As shown in Table 3, the mineral composition of brewery wastewater decreased significantly, while the lipid content of Scenedesmus sp. biomass increased.</w:t>
      </w:r>
    </w:p>
    <w:p w:rsidR="00E91F23" w:rsidRPr="0039513E" w:rsidRDefault="00EB59A4" w:rsidP="009A0330">
      <w:pPr>
        <w:pStyle w:val="CETheadingx"/>
      </w:pPr>
      <w:r>
        <w:t xml:space="preserve">3.7 </w:t>
      </w:r>
      <w:r w:rsidR="00E91F23">
        <w:t xml:space="preserve">Lipids in microalga </w:t>
      </w:r>
      <w:r w:rsidR="00E91F23" w:rsidRPr="00E91F23">
        <w:rPr>
          <w:i/>
        </w:rPr>
        <w:t>Scenedesmus sp.</w:t>
      </w:r>
    </w:p>
    <w:p w:rsidR="00114F57" w:rsidRDefault="00114F57" w:rsidP="00BC4878">
      <w:pPr>
        <w:pStyle w:val="CETBodytext"/>
      </w:pPr>
      <w:r>
        <w:t>Microalgae produce two types of lipids: polar lipids, such as glycerophospholipids, which play a critical role in cell structure, and nonpolar lipids, such as triacylglycerols, which are primarily responsible for energy storage. These structural lipids typically contain long chains of fatty acids that can be converted to polyunsaturated fatty acids (PUFAs) such as eicosapentaenoic acid (EP</w:t>
      </w:r>
      <w:r w:rsidR="00BC4878">
        <w:t>A), docosapentaenoic acid (DPA)</w:t>
      </w:r>
      <w:r>
        <w:t xml:space="preserve"> and docosahexaenoic acid (DHA) (Sivaramakrishnan </w:t>
      </w:r>
      <w:r w:rsidRPr="00114F57">
        <w:rPr>
          <w:i/>
        </w:rPr>
        <w:t>et al</w:t>
      </w:r>
      <w:r>
        <w:t>., 2020). Non-polar or storage lipids such as sterol esters, glycerides, hydrocarbons, and carotenoids are linked to other lipids and hydrophobic regions of proteins in microalgae via relatively weak non-covalent forces (Van der Waals or hydrophobic associations) via their hydrocarbon chains. Fats and oils, waxes, phospholipids, and steroids are the major types. Fats, also known as triacylglycerols or triglycerides, are a form of stored energy.</w:t>
      </w:r>
    </w:p>
    <w:p w:rsidR="00E91F23" w:rsidRPr="00AF6DD6" w:rsidRDefault="00114F57" w:rsidP="00BC4878">
      <w:pPr>
        <w:pStyle w:val="CETBodytext"/>
        <w:rPr>
          <w:i/>
          <w:lang w:val="en-GB"/>
        </w:rPr>
      </w:pPr>
      <w:r>
        <w:t xml:space="preserve">Carbon availability in the growth medium is critical for microalgal lipid synthesis. Glucose is the most frequently used carbon source for heterotrophic microalgal cultures, as it results in the highest rates of growth and respiration of any substrate (Mohan </w:t>
      </w:r>
      <w:r w:rsidRPr="00DF1D94">
        <w:rPr>
          <w:i/>
        </w:rPr>
        <w:t>et al</w:t>
      </w:r>
      <w:r>
        <w:t xml:space="preserve">. 2015). The biomass profile in Table 2 illustrates the accumulation of lipids following </w:t>
      </w:r>
      <w:r w:rsidRPr="00114F57">
        <w:rPr>
          <w:i/>
        </w:rPr>
        <w:t>Scenedesmus sp.</w:t>
      </w:r>
      <w:r>
        <w:t xml:space="preserve"> treatment of brewery wastewater.</w:t>
      </w:r>
    </w:p>
    <w:p w:rsidR="00131125" w:rsidRDefault="00131125" w:rsidP="00E91F23">
      <w:pPr>
        <w:rPr>
          <w:bCs/>
          <w:color w:val="222222"/>
          <w:shd w:val="clear" w:color="auto" w:fill="FFFFFF"/>
        </w:rPr>
      </w:pPr>
    </w:p>
    <w:p w:rsidR="003C0742" w:rsidRDefault="003F39FF" w:rsidP="00030513">
      <w:pPr>
        <w:pStyle w:val="CETBodytext"/>
        <w:jc w:val="left"/>
      </w:pPr>
      <w:r>
        <w:rPr>
          <w:noProof/>
        </w:rPr>
        <w:lastRenderedPageBreak/>
        <w:drawing>
          <wp:inline distT="0" distB="0" distL="0" distR="0" wp14:anchorId="3BB980EE" wp14:editId="05EEE13D">
            <wp:extent cx="4019107" cy="2284981"/>
            <wp:effectExtent l="0" t="0" r="635"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0684" w:rsidRPr="00747C0B" w:rsidRDefault="00630684" w:rsidP="00030513">
      <w:pPr>
        <w:pStyle w:val="CETBodytext"/>
        <w:jc w:val="left"/>
      </w:pPr>
      <w:r w:rsidRPr="00747C0B">
        <w:t xml:space="preserve">Figure 1: </w:t>
      </w:r>
      <w:r w:rsidR="003F731C" w:rsidRPr="00747C0B">
        <w:t>Nutrient removal trend during mixotrophic Scenedesmus sp., cultivation in brewery wastewater</w:t>
      </w:r>
    </w:p>
    <w:p w:rsidR="00630684" w:rsidRPr="00747C0B" w:rsidRDefault="005C3A31" w:rsidP="008047F0">
      <w:pPr>
        <w:pStyle w:val="CETTabletitle"/>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3187066</wp:posOffset>
                </wp:positionH>
                <wp:positionV relativeFrom="paragraph">
                  <wp:posOffset>248285</wp:posOffset>
                </wp:positionV>
                <wp:extent cx="3009900" cy="1933575"/>
                <wp:effectExtent l="0" t="0" r="0" b="0"/>
                <wp:wrapNone/>
                <wp:docPr id="1" name="Rectangle 1"/>
                <wp:cNvGraphicFramePr/>
                <a:graphic xmlns:a="http://schemas.openxmlformats.org/drawingml/2006/main">
                  <a:graphicData uri="http://schemas.microsoft.com/office/word/2010/wordprocessingShape">
                    <wps:wsp>
                      <wps:cNvSpPr/>
                      <wps:spPr>
                        <a:xfrm>
                          <a:off x="0" y="0"/>
                          <a:ext cx="3009900"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3A31" w:rsidRDefault="005C3A31" w:rsidP="005C3A31">
                            <w:pPr>
                              <w:jc w:val="center"/>
                            </w:pPr>
                            <w:r>
                              <w:rPr>
                                <w:noProof/>
                                <w:lang w:val="en-US"/>
                              </w:rPr>
                              <w:drawing>
                                <wp:inline distT="0" distB="0" distL="0" distR="0" wp14:anchorId="5CF83FBA" wp14:editId="4CFDA078">
                                  <wp:extent cx="2871470" cy="1924050"/>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0.95pt;margin-top:19.55pt;width:237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TKiQIAAGgFAAAOAAAAZHJzL2Uyb0RvYy54bWysVFtP2zAUfp+0/2D5fSRt6aARKaqKmCYh&#10;QMDEs+vYTSTHx7PdJt2v37GdBgZoD9P6kB6fy3cu/o4vLvtWkb2wrgFd0slJTonQHKpGb0v64+n6&#10;yzklzjNdMQValPQgHL1cfv500ZlCTKEGVQlLEES7ojMlrb03RZY5XouWuRMwQqNRgm2Zx6PdZpVl&#10;HaK3Kpvm+desA1sZC1w4h9qrZKTLiC+l4P5OSic8USXF2nz82vjdhG+2vGDF1jJTN3wog/1DFS1r&#10;NCYdoa6YZ2Rnm3dQbcMtOJD+hEObgZQNF7EH7GaSv+nmsWZGxF5wOM6MY3L/D5bf7u8taSq8O0o0&#10;a/GKHnBoTG+VIJMwns64Ar0ezb0dTg7F0GsvbRv+sQvSx5EexpGK3hOOylmeLxY5Tp6jbbKYzeZn&#10;84CavYQb6/w3AS0JQkktpo+jZPsb55Pr0SVk03DdKIV6Vij9hwIxgyYLFacao+QPSiTvByGxVaxq&#10;GhNEkom1smTPkB6Mc6H9JJlqVomknuf4G0oeI2IDSiNgQJZY0Ig9AAQCv8dO7Qz+IVREjo7B+d8K&#10;S8FjRMwM2o/BbaPBfgSgsKshc/I/DimNJkzJ95seXYK4geqAnLCQlsUZft3gzdww5++Zxe3A28SN&#10;93f4kQq6ksIgUVKD/fWRPvgjadFKSYfbVlL3c8esoER910jnxeT0NKxnPJzOz6Z4sK8tm9cWvWvX&#10;gDeGlMXqohj8vTqK0kL7jA/DKmRFE9Mcc5eUe3s8rH16BfBp4WK1im64kob5G/1oeAAPAw7Me+qf&#10;mTUDPT0y+xaOm8mKNyxNviFSw2rnQTaRwi9zHUaP6xw5NDw94b14fY5eLw/k8jcAAAD//wMAUEsD&#10;BBQABgAIAAAAIQAAztDm3wAAAAoBAAAPAAAAZHJzL2Rvd25yZXYueG1sTI/LTsMwEEX3SPyDNUjs&#10;qBNKSxPiVICEEOoC0Za9Y7tJRDyObOfRv2dYleXcObpzptjOtmOj8aF1KCBdJMAMKqdbrAUcD293&#10;G2AhStSyc2gEnE2AbXl9Vchcuwm/zLiPNaMSDLkU0MTY55wH1Rgrw8L1Bml3ct7KSKOvufZyonLb&#10;8fskWXMrW6QLjezNa2PUz36wAr7d6WWyqsKP8fzZDu87r9RmJ8Ttzfz8BCyaOV5g+NMndSjJqXID&#10;6sA6AaskzQgVsMxSYARkjysKKgoelmvgZcH/v1D+AgAA//8DAFBLAQItABQABgAIAAAAIQC2gziS&#10;/gAAAOEBAAATAAAAAAAAAAAAAAAAAAAAAABbQ29udGVudF9UeXBlc10ueG1sUEsBAi0AFAAGAAgA&#10;AAAhADj9If/WAAAAlAEAAAsAAAAAAAAAAAAAAAAALwEAAF9yZWxzLy5yZWxzUEsBAi0AFAAGAAgA&#10;AAAhAJuVxMqJAgAAaAUAAA4AAAAAAAAAAAAAAAAALgIAAGRycy9lMm9Eb2MueG1sUEsBAi0AFAAG&#10;AAgAAAAhAADO0ObfAAAACgEAAA8AAAAAAAAAAAAAAAAA4wQAAGRycy9kb3ducmV2LnhtbFBLBQYA&#10;AAAABAAEAPMAAADvBQAAAAA=&#10;" filled="f" stroked="f" strokeweight="1pt">
                <v:textbox>
                  <w:txbxContent>
                    <w:p w:rsidR="005C3A31" w:rsidRDefault="005C3A31" w:rsidP="005C3A31">
                      <w:pPr>
                        <w:jc w:val="center"/>
                      </w:pPr>
                      <w:r>
                        <w:rPr>
                          <w:noProof/>
                          <w:lang w:val="en-US"/>
                        </w:rPr>
                        <w:drawing>
                          <wp:inline distT="0" distB="0" distL="0" distR="0" wp14:anchorId="5CF83FBA" wp14:editId="4CFDA078">
                            <wp:extent cx="2871470" cy="1924050"/>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rect>
            </w:pict>
          </mc:Fallback>
        </mc:AlternateContent>
      </w:r>
      <w:r w:rsidR="00630684" w:rsidRPr="00747C0B">
        <w:t xml:space="preserve">Table 1: </w:t>
      </w:r>
      <w:r w:rsidR="00ED36A2">
        <w:t>Physicochemical characterization of brewery wastewater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276"/>
        <w:gridCol w:w="850"/>
        <w:gridCol w:w="851"/>
      </w:tblGrid>
      <w:tr w:rsidR="00687E43" w:rsidRPr="00747C0B" w:rsidTr="00B44A59">
        <w:tc>
          <w:tcPr>
            <w:tcW w:w="1843" w:type="dxa"/>
            <w:tcBorders>
              <w:top w:val="single" w:sz="12" w:space="0" w:color="008000"/>
              <w:bottom w:val="single" w:sz="6" w:space="0" w:color="008000"/>
            </w:tcBorders>
            <w:shd w:val="clear" w:color="auto" w:fill="FFFFFF"/>
          </w:tcPr>
          <w:p w:rsidR="00687E43" w:rsidRPr="00747C0B" w:rsidRDefault="00687E43" w:rsidP="00FE72A0">
            <w:pPr>
              <w:pStyle w:val="CETBodytext"/>
              <w:rPr>
                <w:lang w:val="en-GB"/>
              </w:rPr>
            </w:pPr>
            <w:r>
              <w:rPr>
                <w:lang w:val="en-GB"/>
              </w:rPr>
              <w:t>Property</w:t>
            </w:r>
            <w:r w:rsidRPr="00747C0B">
              <w:rPr>
                <w:lang w:val="en-GB"/>
              </w:rPr>
              <w:t xml:space="preserve"> </w:t>
            </w:r>
          </w:p>
        </w:tc>
        <w:tc>
          <w:tcPr>
            <w:tcW w:w="1276" w:type="dxa"/>
            <w:tcBorders>
              <w:top w:val="single" w:sz="12" w:space="0" w:color="008000"/>
              <w:bottom w:val="single" w:sz="6" w:space="0" w:color="008000"/>
            </w:tcBorders>
            <w:shd w:val="clear" w:color="auto" w:fill="FFFFFF"/>
          </w:tcPr>
          <w:p w:rsidR="00687E43" w:rsidRPr="00747C0B" w:rsidRDefault="00687E43" w:rsidP="00FE72A0">
            <w:pPr>
              <w:pStyle w:val="CETBodytext"/>
              <w:rPr>
                <w:lang w:val="en-GB"/>
              </w:rPr>
            </w:pPr>
            <w:r>
              <w:rPr>
                <w:lang w:val="en-GB"/>
              </w:rPr>
              <w:t>Influent</w:t>
            </w:r>
          </w:p>
        </w:tc>
        <w:tc>
          <w:tcPr>
            <w:tcW w:w="850" w:type="dxa"/>
            <w:tcBorders>
              <w:top w:val="single" w:sz="12" w:space="0" w:color="008000"/>
              <w:bottom w:val="single" w:sz="6" w:space="0" w:color="008000"/>
            </w:tcBorders>
            <w:shd w:val="clear" w:color="auto" w:fill="FFFFFF"/>
          </w:tcPr>
          <w:p w:rsidR="00687E43" w:rsidRPr="00747C0B" w:rsidRDefault="00687E43" w:rsidP="00FE72A0">
            <w:pPr>
              <w:pStyle w:val="CETBodytext"/>
              <w:rPr>
                <w:lang w:val="en-GB"/>
              </w:rPr>
            </w:pPr>
            <w:r>
              <w:rPr>
                <w:lang w:val="en-GB"/>
              </w:rPr>
              <w:t>Effluent</w:t>
            </w:r>
          </w:p>
        </w:tc>
        <w:tc>
          <w:tcPr>
            <w:tcW w:w="851" w:type="dxa"/>
            <w:tcBorders>
              <w:top w:val="single" w:sz="12" w:space="0" w:color="008000"/>
              <w:bottom w:val="single" w:sz="6" w:space="0" w:color="008000"/>
            </w:tcBorders>
            <w:shd w:val="clear" w:color="auto" w:fill="FFFFFF"/>
          </w:tcPr>
          <w:p w:rsidR="00687E43" w:rsidRPr="00747C0B" w:rsidRDefault="00687E43" w:rsidP="00FE72A0">
            <w:pPr>
              <w:pStyle w:val="CETBodytext"/>
              <w:ind w:right="-1"/>
              <w:rPr>
                <w:rFonts w:cs="Arial"/>
                <w:szCs w:val="18"/>
                <w:lang w:val="en-GB"/>
              </w:rPr>
            </w:pPr>
            <w:r>
              <w:rPr>
                <w:rFonts w:cs="Arial"/>
                <w:szCs w:val="18"/>
                <w:lang w:val="en-GB"/>
              </w:rPr>
              <w:t>WHO</w:t>
            </w:r>
          </w:p>
        </w:tc>
      </w:tr>
      <w:tr w:rsidR="00687E43" w:rsidRPr="00747C0B" w:rsidTr="00B44A59">
        <w:tc>
          <w:tcPr>
            <w:tcW w:w="1843" w:type="dxa"/>
            <w:shd w:val="clear" w:color="auto" w:fill="FFFFFF"/>
          </w:tcPr>
          <w:p w:rsidR="00687E43" w:rsidRPr="00ED36A2" w:rsidRDefault="005C3A31" w:rsidP="00FE72A0">
            <w:pPr>
              <w:pStyle w:val="CETBodytext"/>
              <w:rPr>
                <w:lang w:val="en-GB"/>
              </w:rPr>
            </w:pPr>
            <w:r>
              <w:rPr>
                <w:lang w:val="en-GB"/>
              </w:rPr>
              <w:t xml:space="preserve"> </w:t>
            </w:r>
            <w:r w:rsidR="00687E43">
              <w:rPr>
                <w:lang w:val="en-GB"/>
              </w:rPr>
              <w:t>Temperature (</w:t>
            </w:r>
            <w:r w:rsidR="00687E43">
              <w:rPr>
                <w:vertAlign w:val="superscript"/>
                <w:lang w:val="en-GB"/>
              </w:rPr>
              <w:t>o</w:t>
            </w:r>
            <w:r w:rsidR="00687E43">
              <w:rPr>
                <w:lang w:val="en-GB"/>
              </w:rPr>
              <w:t>C)</w:t>
            </w:r>
          </w:p>
        </w:tc>
        <w:tc>
          <w:tcPr>
            <w:tcW w:w="1276" w:type="dxa"/>
            <w:shd w:val="clear" w:color="auto" w:fill="FFFFFF"/>
          </w:tcPr>
          <w:p w:rsidR="00687E43" w:rsidRPr="00747C0B" w:rsidRDefault="00687E43" w:rsidP="00FE72A0">
            <w:pPr>
              <w:pStyle w:val="CETBodytext"/>
              <w:rPr>
                <w:lang w:val="en-GB"/>
              </w:rPr>
            </w:pPr>
            <w:r>
              <w:rPr>
                <w:lang w:val="en-GB"/>
              </w:rPr>
              <w:t>25.5</w:t>
            </w:r>
          </w:p>
        </w:tc>
        <w:tc>
          <w:tcPr>
            <w:tcW w:w="850" w:type="dxa"/>
            <w:shd w:val="clear" w:color="auto" w:fill="FFFFFF"/>
          </w:tcPr>
          <w:p w:rsidR="00687E43" w:rsidRPr="00747C0B" w:rsidRDefault="00687E43" w:rsidP="00FE72A0">
            <w:pPr>
              <w:pStyle w:val="CETBodytext"/>
              <w:rPr>
                <w:lang w:val="en-GB"/>
              </w:rPr>
            </w:pPr>
            <w:r>
              <w:rPr>
                <w:lang w:val="en-GB"/>
              </w:rPr>
              <w:t>23.5</w:t>
            </w:r>
          </w:p>
        </w:tc>
        <w:tc>
          <w:tcPr>
            <w:tcW w:w="851" w:type="dxa"/>
            <w:shd w:val="clear" w:color="auto" w:fill="FFFFFF"/>
          </w:tcPr>
          <w:p w:rsidR="00687E43" w:rsidRPr="00747C0B" w:rsidRDefault="00687E43" w:rsidP="00FE72A0">
            <w:pPr>
              <w:pStyle w:val="CETBodytext"/>
              <w:ind w:right="-1"/>
              <w:rPr>
                <w:rFonts w:cs="Arial"/>
                <w:szCs w:val="18"/>
                <w:lang w:val="en-GB"/>
              </w:rPr>
            </w:pPr>
          </w:p>
        </w:tc>
      </w:tr>
      <w:tr w:rsidR="00687E43" w:rsidRPr="00747C0B" w:rsidTr="00B44A59">
        <w:tc>
          <w:tcPr>
            <w:tcW w:w="1843" w:type="dxa"/>
            <w:shd w:val="clear" w:color="auto" w:fill="FFFFFF"/>
          </w:tcPr>
          <w:p w:rsidR="00687E43" w:rsidRDefault="00687E43" w:rsidP="00FE72A0">
            <w:pPr>
              <w:pStyle w:val="CETBodytext"/>
              <w:rPr>
                <w:lang w:val="en-GB"/>
              </w:rPr>
            </w:pPr>
            <w:r>
              <w:rPr>
                <w:lang w:val="en-GB"/>
              </w:rPr>
              <w:t>pH</w:t>
            </w:r>
          </w:p>
        </w:tc>
        <w:tc>
          <w:tcPr>
            <w:tcW w:w="1276" w:type="dxa"/>
            <w:shd w:val="clear" w:color="auto" w:fill="FFFFFF"/>
          </w:tcPr>
          <w:p w:rsidR="00687E43" w:rsidRPr="00747C0B" w:rsidRDefault="00687E43" w:rsidP="00FE72A0">
            <w:pPr>
              <w:pStyle w:val="CETBodytext"/>
              <w:rPr>
                <w:lang w:val="en-GB"/>
              </w:rPr>
            </w:pPr>
            <w:r>
              <w:rPr>
                <w:lang w:val="en-GB"/>
              </w:rPr>
              <w:t>6.54</w:t>
            </w:r>
          </w:p>
        </w:tc>
        <w:tc>
          <w:tcPr>
            <w:tcW w:w="850" w:type="dxa"/>
            <w:shd w:val="clear" w:color="auto" w:fill="FFFFFF"/>
          </w:tcPr>
          <w:p w:rsidR="00687E43" w:rsidRPr="00747C0B" w:rsidRDefault="00687E43" w:rsidP="00FE72A0">
            <w:pPr>
              <w:pStyle w:val="CETBodytext"/>
              <w:rPr>
                <w:lang w:val="en-GB"/>
              </w:rPr>
            </w:pPr>
            <w:r>
              <w:rPr>
                <w:lang w:val="en-GB"/>
              </w:rPr>
              <w:t>8.15</w:t>
            </w:r>
          </w:p>
        </w:tc>
        <w:tc>
          <w:tcPr>
            <w:tcW w:w="851"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8.5</w:t>
            </w:r>
          </w:p>
        </w:tc>
      </w:tr>
      <w:tr w:rsidR="00687E43" w:rsidRPr="00747C0B" w:rsidTr="00B44A59">
        <w:tc>
          <w:tcPr>
            <w:tcW w:w="1843" w:type="dxa"/>
            <w:shd w:val="clear" w:color="auto" w:fill="FFFFFF"/>
          </w:tcPr>
          <w:p w:rsidR="00687E43" w:rsidRDefault="00687E43" w:rsidP="00FE72A0">
            <w:pPr>
              <w:pStyle w:val="CETBodytext"/>
              <w:rPr>
                <w:lang w:val="en-GB"/>
              </w:rPr>
            </w:pPr>
            <w:r>
              <w:rPr>
                <w:lang w:val="en-GB"/>
              </w:rPr>
              <w:t>COD (mg/L)</w:t>
            </w:r>
          </w:p>
        </w:tc>
        <w:tc>
          <w:tcPr>
            <w:tcW w:w="1276" w:type="dxa"/>
            <w:shd w:val="clear" w:color="auto" w:fill="FFFFFF"/>
          </w:tcPr>
          <w:p w:rsidR="00687E43" w:rsidRPr="00747C0B" w:rsidRDefault="00687E43" w:rsidP="00FE72A0">
            <w:pPr>
              <w:pStyle w:val="CETBodytext"/>
              <w:rPr>
                <w:lang w:val="en-GB"/>
              </w:rPr>
            </w:pPr>
            <w:r>
              <w:rPr>
                <w:lang w:val="en-GB"/>
              </w:rPr>
              <w:t>3448</w:t>
            </w:r>
          </w:p>
        </w:tc>
        <w:tc>
          <w:tcPr>
            <w:tcW w:w="850" w:type="dxa"/>
            <w:shd w:val="clear" w:color="auto" w:fill="FFFFFF"/>
          </w:tcPr>
          <w:p w:rsidR="00687E43" w:rsidRPr="00747C0B" w:rsidRDefault="00687E43" w:rsidP="00FE72A0">
            <w:pPr>
              <w:pStyle w:val="CETBodytext"/>
              <w:rPr>
                <w:lang w:val="en-GB"/>
              </w:rPr>
            </w:pPr>
            <w:r>
              <w:rPr>
                <w:lang w:val="en-GB"/>
              </w:rPr>
              <w:t>2017</w:t>
            </w:r>
          </w:p>
        </w:tc>
        <w:tc>
          <w:tcPr>
            <w:tcW w:w="851"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80</w:t>
            </w:r>
          </w:p>
        </w:tc>
      </w:tr>
      <w:tr w:rsidR="00687E43" w:rsidRPr="00747C0B" w:rsidTr="00B44A59">
        <w:tc>
          <w:tcPr>
            <w:tcW w:w="1843" w:type="dxa"/>
            <w:shd w:val="clear" w:color="auto" w:fill="FFFFFF"/>
          </w:tcPr>
          <w:p w:rsidR="00687E43" w:rsidRPr="00B44A59" w:rsidRDefault="00687E43" w:rsidP="00FE72A0">
            <w:pPr>
              <w:pStyle w:val="CETBodytext"/>
              <w:rPr>
                <w:lang w:val="en-GB"/>
              </w:rPr>
            </w:pPr>
            <w:r>
              <w:rPr>
                <w:lang w:val="en-GB"/>
              </w:rPr>
              <w:t>EC (</w:t>
            </w:r>
            <w:r>
              <w:rPr>
                <w:rFonts w:cs="Arial"/>
                <w:lang w:val="en-GB"/>
              </w:rPr>
              <w:t>µ</w:t>
            </w:r>
            <w:r>
              <w:rPr>
                <w:i/>
                <w:lang w:val="en-GB"/>
              </w:rPr>
              <w:t>S/</w:t>
            </w:r>
            <w:r w:rsidRPr="00EF1E3F">
              <w:rPr>
                <w:lang w:val="en-GB"/>
              </w:rPr>
              <w:t>cm</w:t>
            </w:r>
            <w:r>
              <w:rPr>
                <w:lang w:val="en-GB"/>
              </w:rPr>
              <w:t>)</w:t>
            </w:r>
          </w:p>
        </w:tc>
        <w:tc>
          <w:tcPr>
            <w:tcW w:w="1276" w:type="dxa"/>
            <w:shd w:val="clear" w:color="auto" w:fill="FFFFFF"/>
          </w:tcPr>
          <w:p w:rsidR="00687E43" w:rsidRPr="00747C0B" w:rsidRDefault="00687E43" w:rsidP="00FE72A0">
            <w:pPr>
              <w:pStyle w:val="CETBodytext"/>
              <w:rPr>
                <w:lang w:val="en-GB"/>
              </w:rPr>
            </w:pPr>
            <w:r>
              <w:rPr>
                <w:lang w:val="en-GB"/>
              </w:rPr>
              <w:t>4.864</w:t>
            </w:r>
          </w:p>
        </w:tc>
        <w:tc>
          <w:tcPr>
            <w:tcW w:w="850" w:type="dxa"/>
            <w:shd w:val="clear" w:color="auto" w:fill="FFFFFF"/>
          </w:tcPr>
          <w:p w:rsidR="00687E43" w:rsidRPr="00747C0B" w:rsidRDefault="00687E43" w:rsidP="00FE72A0">
            <w:pPr>
              <w:pStyle w:val="CETBodytext"/>
              <w:rPr>
                <w:lang w:val="en-GB"/>
              </w:rPr>
            </w:pPr>
            <w:r>
              <w:rPr>
                <w:lang w:val="en-GB"/>
              </w:rPr>
              <w:t>2.261</w:t>
            </w:r>
          </w:p>
        </w:tc>
        <w:tc>
          <w:tcPr>
            <w:tcW w:w="851"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1</w:t>
            </w:r>
          </w:p>
        </w:tc>
      </w:tr>
      <w:tr w:rsidR="00687E43" w:rsidRPr="00747C0B" w:rsidTr="00B44A59">
        <w:tc>
          <w:tcPr>
            <w:tcW w:w="1843" w:type="dxa"/>
            <w:shd w:val="clear" w:color="auto" w:fill="FFFFFF"/>
          </w:tcPr>
          <w:p w:rsidR="00687E43" w:rsidRDefault="00687E43" w:rsidP="00FE72A0">
            <w:pPr>
              <w:pStyle w:val="CETBodytext"/>
              <w:rPr>
                <w:lang w:val="en-GB"/>
              </w:rPr>
            </w:pPr>
            <w:r>
              <w:rPr>
                <w:lang w:val="en-GB"/>
              </w:rPr>
              <w:t>TN (mg/L)</w:t>
            </w:r>
          </w:p>
        </w:tc>
        <w:tc>
          <w:tcPr>
            <w:tcW w:w="1276" w:type="dxa"/>
            <w:shd w:val="clear" w:color="auto" w:fill="FFFFFF"/>
          </w:tcPr>
          <w:p w:rsidR="00687E43" w:rsidRPr="00747C0B" w:rsidRDefault="00687E43" w:rsidP="00FE72A0">
            <w:pPr>
              <w:pStyle w:val="CETBodytext"/>
              <w:rPr>
                <w:lang w:val="en-GB"/>
              </w:rPr>
            </w:pPr>
            <w:r>
              <w:rPr>
                <w:lang w:val="en-GB"/>
              </w:rPr>
              <w:t>38.701</w:t>
            </w:r>
          </w:p>
        </w:tc>
        <w:tc>
          <w:tcPr>
            <w:tcW w:w="850" w:type="dxa"/>
            <w:shd w:val="clear" w:color="auto" w:fill="FFFFFF"/>
          </w:tcPr>
          <w:p w:rsidR="00687E43" w:rsidRPr="00747C0B" w:rsidRDefault="00687E43" w:rsidP="00FE72A0">
            <w:pPr>
              <w:pStyle w:val="CETBodytext"/>
              <w:rPr>
                <w:lang w:val="en-GB"/>
              </w:rPr>
            </w:pPr>
            <w:r>
              <w:rPr>
                <w:lang w:val="en-GB"/>
              </w:rPr>
              <w:t>17.362</w:t>
            </w:r>
          </w:p>
        </w:tc>
        <w:tc>
          <w:tcPr>
            <w:tcW w:w="851" w:type="dxa"/>
            <w:shd w:val="clear" w:color="auto" w:fill="FFFFFF"/>
          </w:tcPr>
          <w:p w:rsidR="00687E43" w:rsidRPr="00747C0B" w:rsidRDefault="00687E43" w:rsidP="00FE72A0">
            <w:pPr>
              <w:pStyle w:val="CETBodytext"/>
              <w:ind w:right="-1"/>
              <w:rPr>
                <w:rFonts w:cs="Arial"/>
                <w:szCs w:val="18"/>
                <w:lang w:val="en-GB"/>
              </w:rPr>
            </w:pPr>
          </w:p>
        </w:tc>
      </w:tr>
      <w:tr w:rsidR="00687E43" w:rsidRPr="00747C0B" w:rsidTr="00B44A59">
        <w:tc>
          <w:tcPr>
            <w:tcW w:w="1843" w:type="dxa"/>
            <w:shd w:val="clear" w:color="auto" w:fill="FFFFFF"/>
          </w:tcPr>
          <w:p w:rsidR="00687E43" w:rsidRPr="00B44A59" w:rsidRDefault="00687E43" w:rsidP="00FE72A0">
            <w:pPr>
              <w:pStyle w:val="CETBodytext"/>
              <w:ind w:right="-1"/>
              <w:rPr>
                <w:rFonts w:cs="Arial"/>
                <w:szCs w:val="18"/>
                <w:lang w:val="en-GB"/>
              </w:rPr>
            </w:pPr>
            <w:r>
              <w:rPr>
                <w:rFonts w:cs="Arial"/>
                <w:szCs w:val="18"/>
                <w:lang w:val="en-GB"/>
              </w:rPr>
              <w:t>NH</w:t>
            </w:r>
            <w:r>
              <w:rPr>
                <w:rFonts w:cs="Arial"/>
                <w:szCs w:val="18"/>
                <w:vertAlign w:val="subscript"/>
                <w:lang w:val="en-GB"/>
              </w:rPr>
              <w:t>3</w:t>
            </w:r>
            <w:r>
              <w:rPr>
                <w:rFonts w:cs="Arial"/>
                <w:szCs w:val="18"/>
                <w:lang w:val="en-GB"/>
              </w:rPr>
              <w:t>-N (mg/L)</w:t>
            </w:r>
          </w:p>
        </w:tc>
        <w:tc>
          <w:tcPr>
            <w:tcW w:w="1276"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0.612</w:t>
            </w:r>
          </w:p>
        </w:tc>
        <w:tc>
          <w:tcPr>
            <w:tcW w:w="850"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0.257</w:t>
            </w:r>
          </w:p>
        </w:tc>
        <w:tc>
          <w:tcPr>
            <w:tcW w:w="851" w:type="dxa"/>
            <w:shd w:val="clear" w:color="auto" w:fill="FFFFFF"/>
          </w:tcPr>
          <w:p w:rsidR="00687E43" w:rsidRPr="00747C0B" w:rsidRDefault="00687E43" w:rsidP="00FE72A0">
            <w:pPr>
              <w:pStyle w:val="CETBodytext"/>
              <w:ind w:right="-1"/>
              <w:rPr>
                <w:rFonts w:cs="Arial"/>
                <w:szCs w:val="18"/>
                <w:lang w:val="en-GB"/>
              </w:rPr>
            </w:pPr>
          </w:p>
        </w:tc>
      </w:tr>
      <w:tr w:rsidR="00687E43" w:rsidRPr="00747C0B" w:rsidTr="00B44A59">
        <w:tc>
          <w:tcPr>
            <w:tcW w:w="1843" w:type="dxa"/>
            <w:shd w:val="clear" w:color="auto" w:fill="FFFFFF"/>
          </w:tcPr>
          <w:p w:rsidR="00687E43" w:rsidRPr="00AF5183" w:rsidRDefault="00687E43" w:rsidP="00FE72A0">
            <w:pPr>
              <w:pStyle w:val="CETBodytext"/>
              <w:ind w:right="-1"/>
              <w:rPr>
                <w:rFonts w:cs="Arial"/>
                <w:szCs w:val="18"/>
                <w:lang w:val="en-GB"/>
              </w:rPr>
            </w:pPr>
            <w:r>
              <w:rPr>
                <w:rFonts w:cs="Arial"/>
                <w:szCs w:val="18"/>
                <w:lang w:val="en-GB"/>
              </w:rPr>
              <w:t>NO</w:t>
            </w:r>
            <w:r>
              <w:rPr>
                <w:rFonts w:cs="Arial"/>
                <w:szCs w:val="18"/>
                <w:vertAlign w:val="subscript"/>
                <w:lang w:val="en-GB"/>
              </w:rPr>
              <w:t>3</w:t>
            </w:r>
            <w:r>
              <w:rPr>
                <w:rFonts w:cs="Arial"/>
                <w:szCs w:val="18"/>
                <w:vertAlign w:val="superscript"/>
                <w:lang w:val="en-GB"/>
              </w:rPr>
              <w:t>-</w:t>
            </w:r>
            <w:r>
              <w:rPr>
                <w:rFonts w:cs="Arial"/>
                <w:szCs w:val="18"/>
                <w:lang w:val="en-GB"/>
              </w:rPr>
              <w:t xml:space="preserve"> + NO</w:t>
            </w:r>
            <w:r>
              <w:rPr>
                <w:rFonts w:cs="Arial"/>
                <w:szCs w:val="18"/>
                <w:vertAlign w:val="subscript"/>
                <w:lang w:val="en-GB"/>
              </w:rPr>
              <w:t>2</w:t>
            </w:r>
            <w:r>
              <w:rPr>
                <w:rFonts w:cs="Arial"/>
                <w:szCs w:val="18"/>
                <w:vertAlign w:val="superscript"/>
                <w:lang w:val="en-GB"/>
              </w:rPr>
              <w:t>-</w:t>
            </w:r>
            <w:r>
              <w:rPr>
                <w:rFonts w:cs="Arial"/>
                <w:szCs w:val="18"/>
                <w:lang w:val="en-GB"/>
              </w:rPr>
              <w:t xml:space="preserve"> (mg/L)</w:t>
            </w:r>
          </w:p>
        </w:tc>
        <w:tc>
          <w:tcPr>
            <w:tcW w:w="1276"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2.693</w:t>
            </w:r>
          </w:p>
        </w:tc>
        <w:tc>
          <w:tcPr>
            <w:tcW w:w="850"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2.071</w:t>
            </w:r>
          </w:p>
        </w:tc>
        <w:tc>
          <w:tcPr>
            <w:tcW w:w="851" w:type="dxa"/>
            <w:shd w:val="clear" w:color="auto" w:fill="FFFFFF"/>
          </w:tcPr>
          <w:p w:rsidR="00687E43" w:rsidRPr="00747C0B" w:rsidRDefault="00687E43" w:rsidP="00FE72A0">
            <w:pPr>
              <w:pStyle w:val="CETBodytext"/>
              <w:ind w:right="-1"/>
              <w:rPr>
                <w:rFonts w:cs="Arial"/>
                <w:szCs w:val="18"/>
                <w:lang w:val="en-GB"/>
              </w:rPr>
            </w:pPr>
          </w:p>
        </w:tc>
      </w:tr>
      <w:tr w:rsidR="00687E43" w:rsidRPr="00747C0B" w:rsidTr="00B44A59">
        <w:tc>
          <w:tcPr>
            <w:tcW w:w="1843" w:type="dxa"/>
            <w:shd w:val="clear" w:color="auto" w:fill="FFFFFF"/>
          </w:tcPr>
          <w:p w:rsidR="00687E43" w:rsidRPr="00380442" w:rsidRDefault="00687E43" w:rsidP="00FE72A0">
            <w:pPr>
              <w:pStyle w:val="CETBodytext"/>
              <w:ind w:right="-1"/>
              <w:rPr>
                <w:rFonts w:cs="Arial"/>
                <w:szCs w:val="18"/>
                <w:lang w:val="en-GB"/>
              </w:rPr>
            </w:pPr>
            <w:r w:rsidRPr="00380442">
              <w:rPr>
                <w:rFonts w:cs="Arial"/>
                <w:szCs w:val="18"/>
                <w:lang w:val="en-GB"/>
              </w:rPr>
              <w:t>TKN (mg/L)</w:t>
            </w:r>
          </w:p>
        </w:tc>
        <w:tc>
          <w:tcPr>
            <w:tcW w:w="1276" w:type="dxa"/>
            <w:shd w:val="clear" w:color="auto" w:fill="FFFFFF"/>
          </w:tcPr>
          <w:p w:rsidR="00687E43" w:rsidRPr="00380442" w:rsidRDefault="00687E43" w:rsidP="00FE72A0">
            <w:pPr>
              <w:pStyle w:val="CETBodytext"/>
              <w:ind w:right="-1"/>
              <w:rPr>
                <w:rFonts w:cs="Arial"/>
                <w:szCs w:val="18"/>
                <w:lang w:val="en-GB"/>
              </w:rPr>
            </w:pPr>
            <w:r w:rsidRPr="00380442">
              <w:rPr>
                <w:rFonts w:cs="Arial"/>
                <w:szCs w:val="18"/>
                <w:lang w:val="en-GB"/>
              </w:rPr>
              <w:t>19.001</w:t>
            </w:r>
          </w:p>
        </w:tc>
        <w:tc>
          <w:tcPr>
            <w:tcW w:w="850"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15.903</w:t>
            </w:r>
          </w:p>
        </w:tc>
        <w:tc>
          <w:tcPr>
            <w:tcW w:w="851" w:type="dxa"/>
            <w:shd w:val="clear" w:color="auto" w:fill="FFFFFF"/>
          </w:tcPr>
          <w:p w:rsidR="00687E43" w:rsidRPr="00747C0B" w:rsidRDefault="00687E43" w:rsidP="00FE72A0">
            <w:pPr>
              <w:pStyle w:val="CETBodytext"/>
              <w:ind w:right="-1"/>
              <w:rPr>
                <w:rFonts w:cs="Arial"/>
                <w:szCs w:val="18"/>
                <w:lang w:val="en-GB"/>
              </w:rPr>
            </w:pPr>
          </w:p>
        </w:tc>
      </w:tr>
      <w:tr w:rsidR="00687E43" w:rsidRPr="00747C0B" w:rsidTr="00B44A59">
        <w:tc>
          <w:tcPr>
            <w:tcW w:w="1843" w:type="dxa"/>
            <w:shd w:val="clear" w:color="auto" w:fill="FFFFFF"/>
          </w:tcPr>
          <w:p w:rsidR="00687E43" w:rsidRPr="00380442" w:rsidRDefault="00687E43" w:rsidP="00FE72A0">
            <w:pPr>
              <w:pStyle w:val="CETBodytext"/>
              <w:ind w:right="-1"/>
              <w:rPr>
                <w:rFonts w:cs="Arial"/>
                <w:szCs w:val="18"/>
                <w:lang w:val="en-GB"/>
              </w:rPr>
            </w:pPr>
            <w:r w:rsidRPr="00380442">
              <w:rPr>
                <w:rFonts w:cs="Arial"/>
                <w:szCs w:val="18"/>
                <w:lang w:val="en-GB"/>
              </w:rPr>
              <w:t>PO</w:t>
            </w:r>
            <w:r w:rsidRPr="00380442">
              <w:rPr>
                <w:rFonts w:cs="Arial"/>
                <w:szCs w:val="18"/>
                <w:vertAlign w:val="subscript"/>
                <w:lang w:val="en-GB"/>
              </w:rPr>
              <w:t>4</w:t>
            </w:r>
            <w:r w:rsidRPr="00380442">
              <w:rPr>
                <w:rFonts w:cs="Arial"/>
                <w:szCs w:val="18"/>
                <w:vertAlign w:val="superscript"/>
                <w:lang w:val="en-GB"/>
              </w:rPr>
              <w:t>3-</w:t>
            </w:r>
            <w:r w:rsidRPr="00380442">
              <w:rPr>
                <w:rFonts w:cs="Arial"/>
                <w:szCs w:val="18"/>
                <w:lang w:val="en-GB"/>
              </w:rPr>
              <w:t xml:space="preserve"> (mg/L)</w:t>
            </w:r>
          </w:p>
        </w:tc>
        <w:tc>
          <w:tcPr>
            <w:tcW w:w="1276" w:type="dxa"/>
            <w:shd w:val="clear" w:color="auto" w:fill="FFFFFF"/>
          </w:tcPr>
          <w:p w:rsidR="00687E43" w:rsidRPr="00380442" w:rsidRDefault="00687E43" w:rsidP="00FE72A0">
            <w:pPr>
              <w:pStyle w:val="CETBodytext"/>
              <w:ind w:right="-1"/>
              <w:rPr>
                <w:rFonts w:cs="Arial"/>
                <w:szCs w:val="18"/>
                <w:lang w:val="en-GB"/>
              </w:rPr>
            </w:pPr>
            <w:r>
              <w:rPr>
                <w:rFonts w:cs="Arial"/>
                <w:szCs w:val="18"/>
                <w:lang w:val="en-GB"/>
              </w:rPr>
              <w:t>44</w:t>
            </w:r>
            <w:r w:rsidRPr="00380442">
              <w:rPr>
                <w:rFonts w:cs="Arial"/>
                <w:szCs w:val="18"/>
                <w:lang w:val="en-GB"/>
              </w:rPr>
              <w:t>.804</w:t>
            </w:r>
          </w:p>
        </w:tc>
        <w:tc>
          <w:tcPr>
            <w:tcW w:w="850"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23.041</w:t>
            </w:r>
          </w:p>
        </w:tc>
        <w:tc>
          <w:tcPr>
            <w:tcW w:w="851" w:type="dxa"/>
            <w:shd w:val="clear" w:color="auto" w:fill="FFFFFF"/>
          </w:tcPr>
          <w:p w:rsidR="00687E43" w:rsidRPr="00747C0B" w:rsidRDefault="00687E43" w:rsidP="00FE72A0">
            <w:pPr>
              <w:pStyle w:val="CETBodytext"/>
              <w:ind w:right="-1"/>
              <w:rPr>
                <w:rFonts w:cs="Arial"/>
                <w:szCs w:val="18"/>
                <w:lang w:val="en-GB"/>
              </w:rPr>
            </w:pPr>
          </w:p>
        </w:tc>
      </w:tr>
      <w:tr w:rsidR="00687E43" w:rsidRPr="00747C0B" w:rsidTr="00B44A59">
        <w:tc>
          <w:tcPr>
            <w:tcW w:w="1843"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DOC (mg/L)</w:t>
            </w:r>
          </w:p>
        </w:tc>
        <w:tc>
          <w:tcPr>
            <w:tcW w:w="1276"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910</w:t>
            </w:r>
          </w:p>
        </w:tc>
        <w:tc>
          <w:tcPr>
            <w:tcW w:w="850"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204</w:t>
            </w:r>
          </w:p>
        </w:tc>
        <w:tc>
          <w:tcPr>
            <w:tcW w:w="851" w:type="dxa"/>
            <w:shd w:val="clear" w:color="auto" w:fill="FFFFFF"/>
          </w:tcPr>
          <w:p w:rsidR="00687E43" w:rsidRPr="00747C0B" w:rsidRDefault="00687E43" w:rsidP="00FE72A0">
            <w:pPr>
              <w:pStyle w:val="CETBodytext"/>
              <w:ind w:right="-1"/>
              <w:rPr>
                <w:rFonts w:cs="Arial"/>
                <w:szCs w:val="18"/>
                <w:lang w:val="en-GB"/>
              </w:rPr>
            </w:pPr>
          </w:p>
        </w:tc>
      </w:tr>
    </w:tbl>
    <w:p w:rsidR="00F1473F" w:rsidRPr="00747C0B" w:rsidRDefault="005C3A31" w:rsidP="008047F0">
      <w:pPr>
        <w:pStyle w:val="CETTabletit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3348990</wp:posOffset>
                </wp:positionH>
                <wp:positionV relativeFrom="paragraph">
                  <wp:posOffset>207010</wp:posOffset>
                </wp:positionV>
                <wp:extent cx="2600325" cy="3810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600325" cy="381000"/>
                        </a:xfrm>
                        <a:prstGeom prst="rect">
                          <a:avLst/>
                        </a:prstGeom>
                        <a:solidFill>
                          <a:schemeClr val="lt1"/>
                        </a:solidFill>
                        <a:ln w="6350">
                          <a:noFill/>
                        </a:ln>
                      </wps:spPr>
                      <wps:txbx>
                        <w:txbxContent>
                          <w:p w:rsidR="005C3A31" w:rsidRDefault="005C3A31" w:rsidP="005C3A31">
                            <w:pPr>
                              <w:jc w:val="left"/>
                            </w:pPr>
                            <w:r>
                              <w:t>Figure 2: M</w:t>
                            </w:r>
                            <w:r>
                              <w:t xml:space="preserve">ixotrophic productivity of </w:t>
                            </w:r>
                            <w:r w:rsidRPr="00700EAA">
                              <w:t>Scenedesmus 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63.7pt;margin-top:16.3pt;width:204.7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9QwIAAIAEAAAOAAAAZHJzL2Uyb0RvYy54bWysVEuP2jAQvlfqf7B8LwnP7kaEFWVFVQnt&#10;rgTVno1jgyXH49qGhP76jh1g6banqhdnPDOex/fNZPrQ1pochfMKTEn7vZwSYThUyuxK+n2z/HRH&#10;iQ/MVEyDESU9CU8fZh8/TBtbiAHsQVfCEQxifNHYku5DsEWWeb4XNfM9sMKgUYKrWcCr22WVYw1G&#10;r3U2yPNJ1oCrrAMuvEftY2eksxRfSsHDs5ReBKJLirWFdLp0buOZzaas2Dlm94qfy2D/UEXNlMGk&#10;11CPLDBycOqPULXiDjzI0ONQZyCl4iL1gN3083fdrPfMitQLguPtFSb//8Lyp+OLI6oq6YgSw2qk&#10;aCPaQL5AS0YRncb6Ap3WFt1Ci2pk+aL3qIxNt9LV8YvtELQjzqcrtjEYR+VgkufDwZgSjrbhXT/P&#10;E/jZ22vrfPgqoCZRKKlD7hKk7LjyAStB14tLTOZBq2qptE6XOC9ioR05MmRah1QjvvjNSxvSlHQy&#10;HOcpsIH4vIusDSaIvXY9RSm02zYhc+13C9UJYXDQjZG3fKmw1hXz4YU5nBvsHHchPOMhNWAuOEuU&#10;7MH9/Js++iOdaKWkwTksqf9xYE5Qor8ZJPq+PxrFwU2X0fjzAC/u1rK9tZhDvQAEoI9bZ3kSo3/Q&#10;F1E6qF9xZeYxK5qY4Zi7pOEiLkK3HbhyXMznyQlH1bKwMmvLY+gIeGRi074yZ890BST6CS4Ty4p3&#10;rHW+8aWB+SGAVInSiHOH6hl+HPPE9Hkl4x7d3pPX249j9gsAAP//AwBQSwMEFAAGAAgAAAAhAPva&#10;BebgAAAACQEAAA8AAABkcnMvZG93bnJldi54bWxMj01Pg0AQhu8m/ofNmHgxdhEstcjSGONH4s3S&#10;arxt2RGI7Cxht4D/3vGkt/l48s4z+Wa2nRhx8K0jBVeLCARS5UxLtYJd+Xh5A8IHTUZ3jlDBN3rY&#10;FKcnuc6Mm+gVx22oBYeQz7SCJoQ+k9JXDVrtF65H4t2nG6wO3A61NIOeONx2Mo6iVFrdEl9odI/3&#10;DVZf26NV8HFRv7/4+Wk/Jcukf3gey9WbKZU6P5vvbkEEnMMfDL/6rA4FOx3ckYwXnYJlvLpmVEES&#10;pyAYWCfpGsSBCx7IIpf/Pyh+AAAA//8DAFBLAQItABQABgAIAAAAIQC2gziS/gAAAOEBAAATAAAA&#10;AAAAAAAAAAAAAAAAAABbQ29udGVudF9UeXBlc10ueG1sUEsBAi0AFAAGAAgAAAAhADj9If/WAAAA&#10;lAEAAAsAAAAAAAAAAAAAAAAALwEAAF9yZWxzLy5yZWxzUEsBAi0AFAAGAAgAAAAhALVuH71DAgAA&#10;gAQAAA4AAAAAAAAAAAAAAAAALgIAAGRycy9lMm9Eb2MueG1sUEsBAi0AFAAGAAgAAAAhAPvaBebg&#10;AAAACQEAAA8AAAAAAAAAAAAAAAAAnQQAAGRycy9kb3ducmV2LnhtbFBLBQYAAAAABAAEAPMAAACq&#10;BQAAAAA=&#10;" fillcolor="white [3201]" stroked="f" strokeweight=".5pt">
                <v:textbox>
                  <w:txbxContent>
                    <w:p w:rsidR="005C3A31" w:rsidRDefault="005C3A31" w:rsidP="005C3A31">
                      <w:pPr>
                        <w:jc w:val="left"/>
                      </w:pPr>
                      <w:r>
                        <w:t>Figure 2: M</w:t>
                      </w:r>
                      <w:r>
                        <w:t xml:space="preserve">ixotrophic productivity of </w:t>
                      </w:r>
                      <w:r w:rsidRPr="00700EAA">
                        <w:t>Scenedesmus sp</w:t>
                      </w:r>
                    </w:p>
                  </w:txbxContent>
                </v:textbox>
              </v:shape>
            </w:pict>
          </mc:Fallback>
        </mc:AlternateContent>
      </w:r>
      <w:r w:rsidR="00F1473F" w:rsidRPr="00747C0B">
        <w:t xml:space="preserve">Table </w:t>
      </w:r>
      <w:r w:rsidR="00F1473F">
        <w:t>2</w:t>
      </w:r>
      <w:r w:rsidR="00F1473F" w:rsidRPr="00747C0B">
        <w:t xml:space="preserve">: </w:t>
      </w:r>
      <w:r w:rsidR="00AB3202">
        <w:t>Scenedesmus sp biomass profiling</w:t>
      </w:r>
      <w:r w:rsidR="005969C6">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21"/>
        <w:gridCol w:w="1556"/>
        <w:gridCol w:w="1276"/>
      </w:tblGrid>
      <w:tr w:rsidR="00A02C8D" w:rsidRPr="00747C0B" w:rsidTr="009A0330">
        <w:tc>
          <w:tcPr>
            <w:tcW w:w="0" w:type="auto"/>
            <w:tcBorders>
              <w:top w:val="single" w:sz="12" w:space="0" w:color="008000"/>
              <w:bottom w:val="single" w:sz="6" w:space="0" w:color="008000"/>
            </w:tcBorders>
            <w:shd w:val="clear" w:color="auto" w:fill="FFFFFF"/>
          </w:tcPr>
          <w:p w:rsidR="00A02C8D" w:rsidRPr="00747C0B" w:rsidRDefault="00A02C8D" w:rsidP="00FE72A0">
            <w:pPr>
              <w:pStyle w:val="CETBodytext"/>
              <w:rPr>
                <w:lang w:val="en-GB"/>
              </w:rPr>
            </w:pPr>
            <w:r>
              <w:rPr>
                <w:lang w:val="en-GB"/>
              </w:rPr>
              <w:t>Property</w:t>
            </w:r>
            <w:r w:rsidRPr="00747C0B">
              <w:rPr>
                <w:lang w:val="en-GB"/>
              </w:rPr>
              <w:t xml:space="preserve"> </w:t>
            </w:r>
          </w:p>
        </w:tc>
        <w:tc>
          <w:tcPr>
            <w:tcW w:w="1556" w:type="dxa"/>
            <w:tcBorders>
              <w:top w:val="single" w:sz="12" w:space="0" w:color="008000"/>
              <w:bottom w:val="single" w:sz="6" w:space="0" w:color="008000"/>
            </w:tcBorders>
            <w:shd w:val="clear" w:color="auto" w:fill="FFFFFF"/>
          </w:tcPr>
          <w:p w:rsidR="009A0330" w:rsidRDefault="00A02C8D" w:rsidP="00FE72A0">
            <w:pPr>
              <w:pStyle w:val="CETBodytext"/>
              <w:rPr>
                <w:lang w:val="en-GB"/>
              </w:rPr>
            </w:pPr>
            <w:r>
              <w:rPr>
                <w:lang w:val="en-GB"/>
              </w:rPr>
              <w:t>Profile</w:t>
            </w:r>
          </w:p>
          <w:p w:rsidR="00A02C8D" w:rsidRPr="00747C0B" w:rsidRDefault="00A02C8D" w:rsidP="00FE72A0">
            <w:pPr>
              <w:pStyle w:val="CETBodytext"/>
              <w:rPr>
                <w:lang w:val="en-GB"/>
              </w:rPr>
            </w:pPr>
            <w:r>
              <w:rPr>
                <w:lang w:val="en-GB"/>
              </w:rPr>
              <w:t>before treatment</w:t>
            </w:r>
          </w:p>
        </w:tc>
        <w:tc>
          <w:tcPr>
            <w:tcW w:w="1276" w:type="dxa"/>
            <w:tcBorders>
              <w:top w:val="single" w:sz="12" w:space="0" w:color="008000"/>
              <w:bottom w:val="single" w:sz="6" w:space="0" w:color="008000"/>
            </w:tcBorders>
            <w:shd w:val="clear" w:color="auto" w:fill="FFFFFF"/>
          </w:tcPr>
          <w:p w:rsidR="009A0330" w:rsidRDefault="009A0330" w:rsidP="00FE72A0">
            <w:pPr>
              <w:pStyle w:val="CETBodytext"/>
              <w:rPr>
                <w:lang w:val="en-GB"/>
              </w:rPr>
            </w:pPr>
            <w:r>
              <w:rPr>
                <w:lang w:val="en-GB"/>
              </w:rPr>
              <w:t>Profile</w:t>
            </w:r>
          </w:p>
          <w:p w:rsidR="00A02C8D" w:rsidRDefault="00A02C8D" w:rsidP="00FE72A0">
            <w:pPr>
              <w:pStyle w:val="CETBodytext"/>
              <w:rPr>
                <w:lang w:val="en-GB"/>
              </w:rPr>
            </w:pPr>
            <w:r>
              <w:rPr>
                <w:lang w:val="en-GB"/>
              </w:rPr>
              <w:t>after treatment</w:t>
            </w:r>
          </w:p>
        </w:tc>
      </w:tr>
      <w:tr w:rsidR="00A02C8D" w:rsidRPr="00747C0B" w:rsidTr="009A0330">
        <w:tc>
          <w:tcPr>
            <w:tcW w:w="0" w:type="auto"/>
            <w:shd w:val="clear" w:color="auto" w:fill="FFFFFF"/>
          </w:tcPr>
          <w:p w:rsidR="00A02C8D" w:rsidRDefault="00A02C8D" w:rsidP="00FE72A0">
            <w:pPr>
              <w:pStyle w:val="CETBodytext"/>
              <w:rPr>
                <w:lang w:val="en-GB"/>
              </w:rPr>
            </w:pPr>
            <w:r>
              <w:rPr>
                <w:lang w:val="en-GB"/>
              </w:rPr>
              <w:t>Carbohydrate (%)</w:t>
            </w:r>
          </w:p>
        </w:tc>
        <w:tc>
          <w:tcPr>
            <w:tcW w:w="1556" w:type="dxa"/>
            <w:shd w:val="clear" w:color="auto" w:fill="FFFFFF"/>
          </w:tcPr>
          <w:p w:rsidR="00A02C8D" w:rsidRPr="00747C0B" w:rsidRDefault="00A02C8D" w:rsidP="00FE72A0">
            <w:pPr>
              <w:pStyle w:val="CETBodytext"/>
              <w:rPr>
                <w:lang w:val="en-GB"/>
              </w:rPr>
            </w:pPr>
            <w:r>
              <w:rPr>
                <w:lang w:val="en-GB"/>
              </w:rPr>
              <w:t>24</w:t>
            </w:r>
          </w:p>
        </w:tc>
        <w:tc>
          <w:tcPr>
            <w:tcW w:w="1276" w:type="dxa"/>
            <w:shd w:val="clear" w:color="auto" w:fill="FFFFFF"/>
          </w:tcPr>
          <w:p w:rsidR="00A02C8D" w:rsidRDefault="009A0330" w:rsidP="00FE72A0">
            <w:pPr>
              <w:pStyle w:val="CETBodytext"/>
              <w:rPr>
                <w:lang w:val="en-GB"/>
              </w:rPr>
            </w:pPr>
            <w:r>
              <w:rPr>
                <w:lang w:val="en-GB"/>
              </w:rPr>
              <w:t>33</w:t>
            </w:r>
          </w:p>
        </w:tc>
      </w:tr>
      <w:tr w:rsidR="00A02C8D" w:rsidRPr="00747C0B" w:rsidTr="009A0330">
        <w:tc>
          <w:tcPr>
            <w:tcW w:w="0" w:type="auto"/>
            <w:shd w:val="clear" w:color="auto" w:fill="FFFFFF"/>
          </w:tcPr>
          <w:p w:rsidR="00A02C8D" w:rsidRPr="00B44A59" w:rsidRDefault="00A02C8D" w:rsidP="00FE72A0">
            <w:pPr>
              <w:pStyle w:val="CETBodytext"/>
              <w:rPr>
                <w:lang w:val="en-GB"/>
              </w:rPr>
            </w:pPr>
            <w:r>
              <w:rPr>
                <w:lang w:val="en-GB"/>
              </w:rPr>
              <w:t>Protein (%)</w:t>
            </w:r>
          </w:p>
        </w:tc>
        <w:tc>
          <w:tcPr>
            <w:tcW w:w="1556" w:type="dxa"/>
            <w:shd w:val="clear" w:color="auto" w:fill="FFFFFF"/>
          </w:tcPr>
          <w:p w:rsidR="00A02C8D" w:rsidRPr="00747C0B" w:rsidRDefault="00A02C8D" w:rsidP="00FE72A0">
            <w:pPr>
              <w:pStyle w:val="CETBodytext"/>
              <w:rPr>
                <w:lang w:val="en-GB"/>
              </w:rPr>
            </w:pPr>
            <w:r>
              <w:rPr>
                <w:lang w:val="en-GB"/>
              </w:rPr>
              <w:t>52</w:t>
            </w:r>
          </w:p>
        </w:tc>
        <w:tc>
          <w:tcPr>
            <w:tcW w:w="1276" w:type="dxa"/>
            <w:shd w:val="clear" w:color="auto" w:fill="FFFFFF"/>
          </w:tcPr>
          <w:p w:rsidR="00A02C8D" w:rsidRDefault="009A0330" w:rsidP="00FE72A0">
            <w:pPr>
              <w:pStyle w:val="CETBodytext"/>
              <w:rPr>
                <w:lang w:val="en-GB"/>
              </w:rPr>
            </w:pPr>
            <w:r>
              <w:rPr>
                <w:lang w:val="en-GB"/>
              </w:rPr>
              <w:t>35</w:t>
            </w:r>
          </w:p>
        </w:tc>
        <w:bookmarkStart w:id="0" w:name="_GoBack"/>
        <w:bookmarkEnd w:id="0"/>
      </w:tr>
      <w:tr w:rsidR="00A02C8D" w:rsidRPr="00747C0B" w:rsidTr="009A0330">
        <w:tc>
          <w:tcPr>
            <w:tcW w:w="0" w:type="auto"/>
            <w:shd w:val="clear" w:color="auto" w:fill="FFFFFF"/>
          </w:tcPr>
          <w:p w:rsidR="00A02C8D" w:rsidRDefault="00A02C8D" w:rsidP="00FE72A0">
            <w:pPr>
              <w:pStyle w:val="CETBodytext"/>
              <w:rPr>
                <w:lang w:val="en-GB"/>
              </w:rPr>
            </w:pPr>
            <w:r>
              <w:rPr>
                <w:lang w:val="en-GB"/>
              </w:rPr>
              <w:t>Lipid (%)</w:t>
            </w:r>
          </w:p>
        </w:tc>
        <w:tc>
          <w:tcPr>
            <w:tcW w:w="1556" w:type="dxa"/>
            <w:shd w:val="clear" w:color="auto" w:fill="FFFFFF"/>
          </w:tcPr>
          <w:p w:rsidR="00A02C8D" w:rsidRPr="00747C0B" w:rsidRDefault="00A02C8D" w:rsidP="00FE72A0">
            <w:pPr>
              <w:pStyle w:val="CETBodytext"/>
              <w:rPr>
                <w:lang w:val="en-GB"/>
              </w:rPr>
            </w:pPr>
            <w:r>
              <w:rPr>
                <w:lang w:val="en-GB"/>
              </w:rPr>
              <w:t>18</w:t>
            </w:r>
          </w:p>
        </w:tc>
        <w:tc>
          <w:tcPr>
            <w:tcW w:w="1276" w:type="dxa"/>
            <w:shd w:val="clear" w:color="auto" w:fill="FFFFFF"/>
          </w:tcPr>
          <w:p w:rsidR="00A02C8D" w:rsidRDefault="009A0330" w:rsidP="00FE72A0">
            <w:pPr>
              <w:pStyle w:val="CETBodytext"/>
              <w:rPr>
                <w:lang w:val="en-GB"/>
              </w:rPr>
            </w:pPr>
            <w:r>
              <w:rPr>
                <w:lang w:val="en-GB"/>
              </w:rPr>
              <w:t>28</w:t>
            </w:r>
          </w:p>
        </w:tc>
      </w:tr>
      <w:tr w:rsidR="00A02C8D" w:rsidRPr="00747C0B" w:rsidTr="009A0330">
        <w:tc>
          <w:tcPr>
            <w:tcW w:w="0" w:type="auto"/>
            <w:shd w:val="clear" w:color="auto" w:fill="FFFFFF"/>
          </w:tcPr>
          <w:p w:rsidR="00A02C8D" w:rsidRPr="00747C0B" w:rsidRDefault="00A02C8D" w:rsidP="00FE72A0">
            <w:pPr>
              <w:pStyle w:val="CETBodytext"/>
              <w:ind w:right="-1"/>
              <w:rPr>
                <w:rFonts w:cs="Arial"/>
                <w:szCs w:val="18"/>
                <w:lang w:val="en-GB"/>
              </w:rPr>
            </w:pPr>
            <w:r>
              <w:rPr>
                <w:rFonts w:cs="Arial"/>
                <w:szCs w:val="18"/>
                <w:lang w:val="en-GB"/>
              </w:rPr>
              <w:t>Ash (%)</w:t>
            </w:r>
          </w:p>
        </w:tc>
        <w:tc>
          <w:tcPr>
            <w:tcW w:w="1556" w:type="dxa"/>
            <w:shd w:val="clear" w:color="auto" w:fill="FFFFFF"/>
          </w:tcPr>
          <w:p w:rsidR="00A02C8D" w:rsidRPr="00747C0B" w:rsidRDefault="00A02C8D" w:rsidP="00FE72A0">
            <w:pPr>
              <w:pStyle w:val="CETBodytext"/>
              <w:ind w:right="-1"/>
              <w:rPr>
                <w:rFonts w:cs="Arial"/>
                <w:szCs w:val="18"/>
                <w:lang w:val="en-GB"/>
              </w:rPr>
            </w:pPr>
            <w:r>
              <w:rPr>
                <w:rFonts w:cs="Arial"/>
                <w:szCs w:val="18"/>
                <w:lang w:val="en-GB"/>
              </w:rPr>
              <w:t>6</w:t>
            </w:r>
          </w:p>
        </w:tc>
        <w:tc>
          <w:tcPr>
            <w:tcW w:w="1276" w:type="dxa"/>
            <w:shd w:val="clear" w:color="auto" w:fill="FFFFFF"/>
          </w:tcPr>
          <w:p w:rsidR="00A02C8D" w:rsidRDefault="009A0330" w:rsidP="00FE72A0">
            <w:pPr>
              <w:pStyle w:val="CETBodytext"/>
              <w:ind w:right="-1"/>
              <w:rPr>
                <w:rFonts w:cs="Arial"/>
                <w:szCs w:val="18"/>
                <w:lang w:val="en-GB"/>
              </w:rPr>
            </w:pPr>
            <w:r>
              <w:rPr>
                <w:rFonts w:cs="Arial"/>
                <w:szCs w:val="18"/>
                <w:lang w:val="en-GB"/>
              </w:rPr>
              <w:t>4</w:t>
            </w:r>
          </w:p>
        </w:tc>
      </w:tr>
    </w:tbl>
    <w:p w:rsidR="00DE7696" w:rsidRPr="00747C0B" w:rsidRDefault="00DE7696" w:rsidP="00DE7696">
      <w:pPr>
        <w:pStyle w:val="CETTabletitle"/>
      </w:pPr>
      <w:r w:rsidRPr="00747C0B">
        <w:t xml:space="preserve">Table </w:t>
      </w:r>
      <w:r>
        <w:t>3</w:t>
      </w:r>
      <w:r w:rsidRPr="00747C0B">
        <w:t xml:space="preserve">: </w:t>
      </w:r>
      <w:r>
        <w:t>Mineral composition of brewery wastewater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276"/>
        <w:gridCol w:w="850"/>
        <w:gridCol w:w="851"/>
      </w:tblGrid>
      <w:tr w:rsidR="00687E43" w:rsidRPr="00747C0B" w:rsidTr="00FE72A0">
        <w:tc>
          <w:tcPr>
            <w:tcW w:w="1843" w:type="dxa"/>
            <w:tcBorders>
              <w:top w:val="single" w:sz="12" w:space="0" w:color="008000"/>
              <w:bottom w:val="single" w:sz="6" w:space="0" w:color="008000"/>
            </w:tcBorders>
            <w:shd w:val="clear" w:color="auto" w:fill="FFFFFF"/>
          </w:tcPr>
          <w:p w:rsidR="00687E43" w:rsidRPr="00747C0B" w:rsidRDefault="00687E43" w:rsidP="00FE72A0">
            <w:pPr>
              <w:pStyle w:val="CETBodytext"/>
              <w:rPr>
                <w:lang w:val="en-GB"/>
              </w:rPr>
            </w:pPr>
            <w:r>
              <w:rPr>
                <w:lang w:val="en-GB"/>
              </w:rPr>
              <w:t>Property</w:t>
            </w:r>
            <w:r w:rsidRPr="00747C0B">
              <w:rPr>
                <w:lang w:val="en-GB"/>
              </w:rPr>
              <w:t xml:space="preserve"> </w:t>
            </w:r>
          </w:p>
        </w:tc>
        <w:tc>
          <w:tcPr>
            <w:tcW w:w="1276" w:type="dxa"/>
            <w:tcBorders>
              <w:top w:val="single" w:sz="12" w:space="0" w:color="008000"/>
              <w:bottom w:val="single" w:sz="6" w:space="0" w:color="008000"/>
            </w:tcBorders>
            <w:shd w:val="clear" w:color="auto" w:fill="FFFFFF"/>
          </w:tcPr>
          <w:p w:rsidR="00687E43" w:rsidRPr="00747C0B" w:rsidRDefault="00687E43" w:rsidP="00FE72A0">
            <w:pPr>
              <w:pStyle w:val="CETBodytext"/>
              <w:rPr>
                <w:lang w:val="en-GB"/>
              </w:rPr>
            </w:pPr>
            <w:r>
              <w:rPr>
                <w:lang w:val="en-GB"/>
              </w:rPr>
              <w:t>Influent</w:t>
            </w:r>
          </w:p>
        </w:tc>
        <w:tc>
          <w:tcPr>
            <w:tcW w:w="850" w:type="dxa"/>
            <w:tcBorders>
              <w:top w:val="single" w:sz="12" w:space="0" w:color="008000"/>
              <w:bottom w:val="single" w:sz="6" w:space="0" w:color="008000"/>
            </w:tcBorders>
            <w:shd w:val="clear" w:color="auto" w:fill="FFFFFF"/>
          </w:tcPr>
          <w:p w:rsidR="00687E43" w:rsidRPr="00747C0B" w:rsidRDefault="00687E43" w:rsidP="00FE72A0">
            <w:pPr>
              <w:pStyle w:val="CETBodytext"/>
              <w:rPr>
                <w:lang w:val="en-GB"/>
              </w:rPr>
            </w:pPr>
            <w:r>
              <w:rPr>
                <w:lang w:val="en-GB"/>
              </w:rPr>
              <w:t>Effluent</w:t>
            </w:r>
          </w:p>
        </w:tc>
        <w:tc>
          <w:tcPr>
            <w:tcW w:w="851" w:type="dxa"/>
            <w:tcBorders>
              <w:top w:val="single" w:sz="12" w:space="0" w:color="008000"/>
              <w:bottom w:val="single" w:sz="6" w:space="0" w:color="008000"/>
            </w:tcBorders>
            <w:shd w:val="clear" w:color="auto" w:fill="FFFFFF"/>
          </w:tcPr>
          <w:p w:rsidR="00687E43" w:rsidRPr="00747C0B" w:rsidRDefault="00687E43" w:rsidP="00FE72A0">
            <w:pPr>
              <w:pStyle w:val="CETBodytext"/>
              <w:ind w:right="-1"/>
              <w:rPr>
                <w:rFonts w:cs="Arial"/>
                <w:szCs w:val="18"/>
                <w:lang w:val="en-GB"/>
              </w:rPr>
            </w:pPr>
            <w:r>
              <w:rPr>
                <w:rFonts w:cs="Arial"/>
                <w:szCs w:val="18"/>
                <w:lang w:val="en-GB"/>
              </w:rPr>
              <w:t>WHO</w:t>
            </w:r>
          </w:p>
        </w:tc>
      </w:tr>
      <w:tr w:rsidR="00687E43" w:rsidRPr="00747C0B" w:rsidTr="00FE72A0">
        <w:tc>
          <w:tcPr>
            <w:tcW w:w="1843" w:type="dxa"/>
            <w:tcBorders>
              <w:top w:val="single" w:sz="12" w:space="0" w:color="008000"/>
              <w:bottom w:val="single" w:sz="6" w:space="0" w:color="008000"/>
            </w:tcBorders>
            <w:shd w:val="clear" w:color="auto" w:fill="FFFFFF"/>
          </w:tcPr>
          <w:p w:rsidR="00687E43" w:rsidRDefault="00687E43" w:rsidP="00FE72A0">
            <w:pPr>
              <w:pStyle w:val="CETBodytext"/>
              <w:rPr>
                <w:lang w:val="en-GB"/>
              </w:rPr>
            </w:pPr>
          </w:p>
        </w:tc>
        <w:tc>
          <w:tcPr>
            <w:tcW w:w="1276" w:type="dxa"/>
            <w:tcBorders>
              <w:top w:val="single" w:sz="12" w:space="0" w:color="008000"/>
              <w:bottom w:val="single" w:sz="6" w:space="0" w:color="008000"/>
            </w:tcBorders>
            <w:shd w:val="clear" w:color="auto" w:fill="FFFFFF"/>
          </w:tcPr>
          <w:p w:rsidR="00687E43" w:rsidRDefault="00687E43" w:rsidP="00FE72A0">
            <w:pPr>
              <w:pStyle w:val="CETBodytext"/>
              <w:rPr>
                <w:lang w:val="en-GB"/>
              </w:rPr>
            </w:pPr>
          </w:p>
        </w:tc>
        <w:tc>
          <w:tcPr>
            <w:tcW w:w="850" w:type="dxa"/>
            <w:tcBorders>
              <w:top w:val="single" w:sz="12" w:space="0" w:color="008000"/>
              <w:bottom w:val="single" w:sz="6" w:space="0" w:color="008000"/>
            </w:tcBorders>
            <w:shd w:val="clear" w:color="auto" w:fill="FFFFFF"/>
          </w:tcPr>
          <w:p w:rsidR="00687E43" w:rsidRDefault="00687E43" w:rsidP="00FE72A0">
            <w:pPr>
              <w:pStyle w:val="CETBodytext"/>
              <w:rPr>
                <w:lang w:val="en-GB"/>
              </w:rPr>
            </w:pPr>
          </w:p>
        </w:tc>
        <w:tc>
          <w:tcPr>
            <w:tcW w:w="851" w:type="dxa"/>
            <w:tcBorders>
              <w:top w:val="single" w:sz="12" w:space="0" w:color="008000"/>
              <w:bottom w:val="single" w:sz="6" w:space="0" w:color="008000"/>
            </w:tcBorders>
            <w:shd w:val="clear" w:color="auto" w:fill="FFFFFF"/>
          </w:tcPr>
          <w:p w:rsidR="00687E43" w:rsidRPr="00747C0B" w:rsidRDefault="00687E43" w:rsidP="00FE72A0">
            <w:pPr>
              <w:pStyle w:val="CETBodytext"/>
              <w:ind w:right="-1"/>
              <w:rPr>
                <w:rFonts w:cs="Arial"/>
                <w:szCs w:val="18"/>
                <w:lang w:val="en-GB"/>
              </w:rPr>
            </w:pPr>
          </w:p>
        </w:tc>
      </w:tr>
      <w:tr w:rsidR="00687E43" w:rsidRPr="00747C0B" w:rsidTr="00FE72A0">
        <w:tc>
          <w:tcPr>
            <w:tcW w:w="1843" w:type="dxa"/>
            <w:shd w:val="clear" w:color="auto" w:fill="FFFFFF"/>
          </w:tcPr>
          <w:p w:rsidR="00687E43" w:rsidRPr="00ED36A2" w:rsidRDefault="00687E43" w:rsidP="00FE72A0">
            <w:pPr>
              <w:pStyle w:val="CETBodytext"/>
              <w:rPr>
                <w:lang w:val="en-GB"/>
              </w:rPr>
            </w:pPr>
            <w:r>
              <w:rPr>
                <w:lang w:val="en-GB"/>
              </w:rPr>
              <w:t>Cr (mg/L)</w:t>
            </w:r>
          </w:p>
        </w:tc>
        <w:tc>
          <w:tcPr>
            <w:tcW w:w="1276" w:type="dxa"/>
            <w:shd w:val="clear" w:color="auto" w:fill="FFFFFF"/>
          </w:tcPr>
          <w:p w:rsidR="00687E43" w:rsidRPr="00747C0B" w:rsidRDefault="00687E43" w:rsidP="00FE72A0">
            <w:pPr>
              <w:pStyle w:val="CETBodytext"/>
              <w:rPr>
                <w:lang w:val="en-GB"/>
              </w:rPr>
            </w:pPr>
            <w:r>
              <w:rPr>
                <w:lang w:val="en-GB"/>
              </w:rPr>
              <w:t>23.5</w:t>
            </w:r>
          </w:p>
        </w:tc>
        <w:tc>
          <w:tcPr>
            <w:tcW w:w="850" w:type="dxa"/>
            <w:shd w:val="clear" w:color="auto" w:fill="FFFFFF"/>
          </w:tcPr>
          <w:p w:rsidR="00687E43" w:rsidRPr="00747C0B" w:rsidRDefault="009A0330" w:rsidP="00FE72A0">
            <w:pPr>
              <w:pStyle w:val="CETBodytext"/>
              <w:rPr>
                <w:lang w:val="en-GB"/>
              </w:rPr>
            </w:pPr>
            <w:r>
              <w:rPr>
                <w:lang w:val="en-GB"/>
              </w:rPr>
              <w:t>3.42</w:t>
            </w:r>
          </w:p>
        </w:tc>
        <w:tc>
          <w:tcPr>
            <w:tcW w:w="851" w:type="dxa"/>
            <w:shd w:val="clear" w:color="auto" w:fill="FFFFFF"/>
          </w:tcPr>
          <w:p w:rsidR="00687E43" w:rsidRPr="00747C0B" w:rsidRDefault="00687E43" w:rsidP="00FE72A0">
            <w:pPr>
              <w:pStyle w:val="CETBodytext"/>
              <w:ind w:right="-1"/>
              <w:rPr>
                <w:rFonts w:cs="Arial"/>
                <w:szCs w:val="18"/>
                <w:lang w:val="en-GB"/>
              </w:rPr>
            </w:pPr>
            <w:r>
              <w:rPr>
                <w:rFonts w:cs="Arial"/>
                <w:szCs w:val="18"/>
                <w:lang w:val="en-GB"/>
              </w:rPr>
              <w:t>0.05</w:t>
            </w:r>
          </w:p>
        </w:tc>
      </w:tr>
      <w:tr w:rsidR="00687E43" w:rsidRPr="00747C0B" w:rsidTr="007C47E2">
        <w:tc>
          <w:tcPr>
            <w:tcW w:w="1843" w:type="dxa"/>
            <w:shd w:val="clear" w:color="auto" w:fill="FFFFFF"/>
          </w:tcPr>
          <w:p w:rsidR="00687E43" w:rsidRDefault="00687E43" w:rsidP="007C47E2">
            <w:pPr>
              <w:pStyle w:val="CETBodytext"/>
              <w:ind w:right="-1"/>
              <w:rPr>
                <w:rFonts w:cs="Arial"/>
                <w:szCs w:val="18"/>
                <w:lang w:val="en-GB"/>
              </w:rPr>
            </w:pPr>
            <w:r>
              <w:rPr>
                <w:rFonts w:cs="Arial"/>
                <w:szCs w:val="18"/>
                <w:lang w:val="en-GB"/>
              </w:rPr>
              <w:t>Cd (mg/L)</w:t>
            </w:r>
          </w:p>
        </w:tc>
        <w:tc>
          <w:tcPr>
            <w:tcW w:w="1276" w:type="dxa"/>
            <w:shd w:val="clear" w:color="auto" w:fill="FFFFFF"/>
          </w:tcPr>
          <w:p w:rsidR="00687E43" w:rsidRPr="00747C0B" w:rsidRDefault="00687E43" w:rsidP="007C47E2">
            <w:pPr>
              <w:pStyle w:val="CETBodytext"/>
              <w:ind w:right="-1"/>
              <w:rPr>
                <w:rFonts w:cs="Arial"/>
                <w:szCs w:val="18"/>
                <w:lang w:val="en-GB"/>
              </w:rPr>
            </w:pPr>
            <w:r>
              <w:rPr>
                <w:rFonts w:cs="Arial"/>
                <w:szCs w:val="18"/>
                <w:lang w:val="en-GB"/>
              </w:rPr>
              <w:t>0.142</w:t>
            </w:r>
          </w:p>
        </w:tc>
        <w:tc>
          <w:tcPr>
            <w:tcW w:w="850" w:type="dxa"/>
            <w:shd w:val="clear" w:color="auto" w:fill="FFFFFF"/>
          </w:tcPr>
          <w:p w:rsidR="00687E43" w:rsidRPr="00747C0B" w:rsidRDefault="009A0330" w:rsidP="007C47E2">
            <w:pPr>
              <w:pStyle w:val="CETBodytext"/>
              <w:ind w:right="-1"/>
              <w:rPr>
                <w:rFonts w:cs="Arial"/>
                <w:szCs w:val="18"/>
                <w:lang w:val="en-GB"/>
              </w:rPr>
            </w:pPr>
            <w:r>
              <w:rPr>
                <w:rFonts w:cs="Arial"/>
                <w:szCs w:val="18"/>
                <w:lang w:val="en-GB"/>
              </w:rPr>
              <w:t>0.051</w:t>
            </w:r>
          </w:p>
        </w:tc>
        <w:tc>
          <w:tcPr>
            <w:tcW w:w="851" w:type="dxa"/>
            <w:shd w:val="clear" w:color="auto" w:fill="FFFFFF"/>
          </w:tcPr>
          <w:p w:rsidR="00687E43" w:rsidRPr="00747C0B" w:rsidRDefault="00687E43" w:rsidP="007C47E2">
            <w:pPr>
              <w:pStyle w:val="CETBodytext"/>
              <w:ind w:right="-1"/>
              <w:rPr>
                <w:rFonts w:cs="Arial"/>
                <w:szCs w:val="18"/>
                <w:lang w:val="en-GB"/>
              </w:rPr>
            </w:pPr>
            <w:r>
              <w:rPr>
                <w:rFonts w:cs="Arial"/>
                <w:szCs w:val="18"/>
                <w:lang w:val="en-GB"/>
              </w:rPr>
              <w:t>0.03</w:t>
            </w:r>
          </w:p>
        </w:tc>
      </w:tr>
      <w:tr w:rsidR="00687E43" w:rsidRPr="00747C0B" w:rsidTr="007C47E2">
        <w:tc>
          <w:tcPr>
            <w:tcW w:w="1843" w:type="dxa"/>
            <w:shd w:val="clear" w:color="auto" w:fill="FFFFFF"/>
          </w:tcPr>
          <w:p w:rsidR="00687E43" w:rsidRDefault="00687E43" w:rsidP="007C47E2">
            <w:pPr>
              <w:pStyle w:val="CETBodytext"/>
              <w:ind w:right="-1"/>
              <w:rPr>
                <w:rFonts w:cs="Arial"/>
                <w:szCs w:val="18"/>
                <w:lang w:val="en-GB"/>
              </w:rPr>
            </w:pPr>
            <w:r>
              <w:rPr>
                <w:rFonts w:cs="Arial"/>
                <w:szCs w:val="18"/>
                <w:lang w:val="en-GB"/>
              </w:rPr>
              <w:t>Zn (mg/L)</w:t>
            </w:r>
          </w:p>
        </w:tc>
        <w:tc>
          <w:tcPr>
            <w:tcW w:w="1276" w:type="dxa"/>
            <w:shd w:val="clear" w:color="auto" w:fill="FFFFFF"/>
          </w:tcPr>
          <w:p w:rsidR="00687E43" w:rsidRPr="00747C0B" w:rsidRDefault="00687E43" w:rsidP="007C47E2">
            <w:pPr>
              <w:pStyle w:val="CETBodytext"/>
              <w:ind w:right="-1"/>
              <w:rPr>
                <w:rFonts w:cs="Arial"/>
                <w:szCs w:val="18"/>
                <w:lang w:val="en-GB"/>
              </w:rPr>
            </w:pPr>
            <w:r>
              <w:rPr>
                <w:rFonts w:cs="Arial"/>
                <w:szCs w:val="18"/>
                <w:lang w:val="en-GB"/>
              </w:rPr>
              <w:t>5.671</w:t>
            </w:r>
          </w:p>
        </w:tc>
        <w:tc>
          <w:tcPr>
            <w:tcW w:w="850" w:type="dxa"/>
            <w:shd w:val="clear" w:color="auto" w:fill="FFFFFF"/>
          </w:tcPr>
          <w:p w:rsidR="00687E43" w:rsidRPr="00747C0B" w:rsidRDefault="00CC04F7" w:rsidP="007C47E2">
            <w:pPr>
              <w:pStyle w:val="CETBodytext"/>
              <w:ind w:right="-1"/>
              <w:rPr>
                <w:rFonts w:cs="Arial"/>
                <w:szCs w:val="18"/>
                <w:lang w:val="en-GB"/>
              </w:rPr>
            </w:pPr>
            <w:r>
              <w:rPr>
                <w:rFonts w:cs="Arial"/>
                <w:szCs w:val="18"/>
                <w:lang w:val="en-GB"/>
              </w:rPr>
              <w:t>1.578</w:t>
            </w:r>
          </w:p>
        </w:tc>
        <w:tc>
          <w:tcPr>
            <w:tcW w:w="851" w:type="dxa"/>
            <w:shd w:val="clear" w:color="auto" w:fill="FFFFFF"/>
          </w:tcPr>
          <w:p w:rsidR="00687E43" w:rsidRPr="00747C0B" w:rsidRDefault="00114F57" w:rsidP="007C47E2">
            <w:pPr>
              <w:pStyle w:val="CETBodytext"/>
              <w:ind w:right="-1"/>
              <w:rPr>
                <w:rFonts w:cs="Arial"/>
                <w:szCs w:val="18"/>
                <w:lang w:val="en-GB"/>
              </w:rPr>
            </w:pPr>
            <w:r>
              <w:rPr>
                <w:rFonts w:cs="Arial"/>
                <w:szCs w:val="18"/>
                <w:lang w:val="en-GB"/>
              </w:rPr>
              <w:t>5.00</w:t>
            </w:r>
          </w:p>
        </w:tc>
      </w:tr>
      <w:tr w:rsidR="00687E43" w:rsidRPr="00747C0B" w:rsidTr="007C47E2">
        <w:tc>
          <w:tcPr>
            <w:tcW w:w="1843" w:type="dxa"/>
            <w:shd w:val="clear" w:color="auto" w:fill="FFFFFF"/>
          </w:tcPr>
          <w:p w:rsidR="00687E43" w:rsidRDefault="00CC04F7" w:rsidP="007C47E2">
            <w:pPr>
              <w:pStyle w:val="CETBodytext"/>
              <w:ind w:right="-1"/>
              <w:rPr>
                <w:rFonts w:cs="Arial"/>
                <w:szCs w:val="18"/>
                <w:lang w:val="en-GB"/>
              </w:rPr>
            </w:pPr>
            <w:r>
              <w:rPr>
                <w:rFonts w:cs="Arial"/>
                <w:szCs w:val="18"/>
                <w:lang w:val="en-GB"/>
              </w:rPr>
              <w:t>Ni</w:t>
            </w:r>
            <w:r w:rsidR="00687E43">
              <w:rPr>
                <w:rFonts w:cs="Arial"/>
                <w:szCs w:val="18"/>
                <w:lang w:val="en-GB"/>
              </w:rPr>
              <w:t xml:space="preserve"> (mg/L)</w:t>
            </w:r>
          </w:p>
        </w:tc>
        <w:tc>
          <w:tcPr>
            <w:tcW w:w="1276" w:type="dxa"/>
            <w:shd w:val="clear" w:color="auto" w:fill="FFFFFF"/>
          </w:tcPr>
          <w:p w:rsidR="00687E43" w:rsidRPr="00747C0B" w:rsidRDefault="00114F57" w:rsidP="007C47E2">
            <w:pPr>
              <w:pStyle w:val="CETBodytext"/>
              <w:ind w:right="-1"/>
              <w:rPr>
                <w:rFonts w:cs="Arial"/>
                <w:szCs w:val="18"/>
                <w:lang w:val="en-GB"/>
              </w:rPr>
            </w:pPr>
            <w:r>
              <w:rPr>
                <w:rFonts w:cs="Arial"/>
                <w:szCs w:val="18"/>
                <w:lang w:val="en-GB"/>
              </w:rPr>
              <w:t>1</w:t>
            </w:r>
            <w:r w:rsidR="00AF6DD6">
              <w:rPr>
                <w:rFonts w:cs="Arial"/>
                <w:szCs w:val="18"/>
                <w:lang w:val="en-GB"/>
              </w:rPr>
              <w:t>.234</w:t>
            </w:r>
          </w:p>
        </w:tc>
        <w:tc>
          <w:tcPr>
            <w:tcW w:w="850" w:type="dxa"/>
            <w:shd w:val="clear" w:color="auto" w:fill="FFFFFF"/>
          </w:tcPr>
          <w:p w:rsidR="00687E43" w:rsidRPr="00747C0B" w:rsidRDefault="00CC04F7" w:rsidP="007C47E2">
            <w:pPr>
              <w:pStyle w:val="CETBodytext"/>
              <w:ind w:right="-1"/>
              <w:rPr>
                <w:rFonts w:cs="Arial"/>
                <w:szCs w:val="18"/>
                <w:lang w:val="en-GB"/>
              </w:rPr>
            </w:pPr>
            <w:r>
              <w:rPr>
                <w:rFonts w:cs="Arial"/>
                <w:szCs w:val="18"/>
                <w:lang w:val="en-GB"/>
              </w:rPr>
              <w:t>0.053</w:t>
            </w:r>
          </w:p>
        </w:tc>
        <w:tc>
          <w:tcPr>
            <w:tcW w:w="851" w:type="dxa"/>
            <w:shd w:val="clear" w:color="auto" w:fill="FFFFFF"/>
          </w:tcPr>
          <w:p w:rsidR="00687E43" w:rsidRPr="00747C0B" w:rsidRDefault="00114F57" w:rsidP="007C47E2">
            <w:pPr>
              <w:pStyle w:val="CETBodytext"/>
              <w:ind w:right="-1"/>
              <w:rPr>
                <w:rFonts w:cs="Arial"/>
                <w:szCs w:val="18"/>
                <w:lang w:val="en-GB"/>
              </w:rPr>
            </w:pPr>
            <w:r>
              <w:rPr>
                <w:rFonts w:cs="Arial"/>
                <w:szCs w:val="18"/>
                <w:lang w:val="en-GB"/>
              </w:rPr>
              <w:t>1.00</w:t>
            </w:r>
          </w:p>
        </w:tc>
      </w:tr>
      <w:tr w:rsidR="00687E43" w:rsidRPr="00747C0B" w:rsidTr="007C47E2">
        <w:tc>
          <w:tcPr>
            <w:tcW w:w="1843" w:type="dxa"/>
            <w:shd w:val="clear" w:color="auto" w:fill="FFFFFF"/>
          </w:tcPr>
          <w:p w:rsidR="00687E43" w:rsidRDefault="00687E43" w:rsidP="007C47E2">
            <w:pPr>
              <w:pStyle w:val="CETBodytext"/>
              <w:ind w:right="-1"/>
              <w:rPr>
                <w:rFonts w:cs="Arial"/>
                <w:szCs w:val="18"/>
                <w:lang w:val="en-GB"/>
              </w:rPr>
            </w:pPr>
            <w:r>
              <w:rPr>
                <w:rFonts w:cs="Arial"/>
                <w:szCs w:val="18"/>
                <w:lang w:val="en-GB"/>
              </w:rPr>
              <w:t>Pb (mg/L)</w:t>
            </w:r>
          </w:p>
        </w:tc>
        <w:tc>
          <w:tcPr>
            <w:tcW w:w="1276" w:type="dxa"/>
            <w:shd w:val="clear" w:color="auto" w:fill="FFFFFF"/>
          </w:tcPr>
          <w:p w:rsidR="00687E43" w:rsidRPr="00747C0B" w:rsidRDefault="00687E43" w:rsidP="007C47E2">
            <w:pPr>
              <w:pStyle w:val="CETBodytext"/>
              <w:ind w:right="-1"/>
              <w:rPr>
                <w:rFonts w:cs="Arial"/>
                <w:szCs w:val="18"/>
                <w:lang w:val="en-GB"/>
              </w:rPr>
            </w:pPr>
            <w:r>
              <w:rPr>
                <w:rFonts w:cs="Arial"/>
                <w:szCs w:val="18"/>
                <w:lang w:val="en-GB"/>
              </w:rPr>
              <w:t>0.254</w:t>
            </w:r>
          </w:p>
        </w:tc>
        <w:tc>
          <w:tcPr>
            <w:tcW w:w="850" w:type="dxa"/>
            <w:shd w:val="clear" w:color="auto" w:fill="FFFFFF"/>
          </w:tcPr>
          <w:p w:rsidR="00687E43" w:rsidRPr="00747C0B" w:rsidRDefault="00AF6DD6" w:rsidP="007C47E2">
            <w:pPr>
              <w:pStyle w:val="CETBodytext"/>
              <w:ind w:right="-1"/>
              <w:rPr>
                <w:rFonts w:cs="Arial"/>
                <w:szCs w:val="18"/>
                <w:lang w:val="en-GB"/>
              </w:rPr>
            </w:pPr>
            <w:r>
              <w:rPr>
                <w:rFonts w:cs="Arial"/>
                <w:szCs w:val="18"/>
                <w:lang w:val="en-GB"/>
              </w:rPr>
              <w:t>0.0</w:t>
            </w:r>
            <w:r w:rsidR="00EA5645">
              <w:rPr>
                <w:rFonts w:cs="Arial"/>
                <w:szCs w:val="18"/>
                <w:lang w:val="en-GB"/>
              </w:rPr>
              <w:t>52</w:t>
            </w:r>
          </w:p>
        </w:tc>
        <w:tc>
          <w:tcPr>
            <w:tcW w:w="851" w:type="dxa"/>
            <w:shd w:val="clear" w:color="auto" w:fill="FFFFFF"/>
          </w:tcPr>
          <w:p w:rsidR="00687E43" w:rsidRPr="00747C0B" w:rsidRDefault="00687E43" w:rsidP="007C47E2">
            <w:pPr>
              <w:pStyle w:val="CETBodytext"/>
              <w:ind w:right="-1"/>
              <w:rPr>
                <w:rFonts w:cs="Arial"/>
                <w:szCs w:val="18"/>
                <w:lang w:val="en-GB"/>
              </w:rPr>
            </w:pPr>
            <w:r>
              <w:rPr>
                <w:rFonts w:cs="Arial"/>
                <w:szCs w:val="18"/>
                <w:lang w:val="en-GB"/>
              </w:rPr>
              <w:t>0.03</w:t>
            </w:r>
          </w:p>
        </w:tc>
      </w:tr>
      <w:tr w:rsidR="00687E43" w:rsidRPr="00747C0B" w:rsidTr="007C47E2">
        <w:tc>
          <w:tcPr>
            <w:tcW w:w="1843" w:type="dxa"/>
            <w:shd w:val="clear" w:color="auto" w:fill="FFFFFF"/>
          </w:tcPr>
          <w:p w:rsidR="00687E43" w:rsidRDefault="00687E43" w:rsidP="007C47E2">
            <w:pPr>
              <w:pStyle w:val="CETBodytext"/>
              <w:ind w:right="-1"/>
              <w:rPr>
                <w:rFonts w:cs="Arial"/>
                <w:szCs w:val="18"/>
                <w:lang w:val="en-GB"/>
              </w:rPr>
            </w:pPr>
            <w:r>
              <w:rPr>
                <w:rFonts w:cs="Arial"/>
                <w:szCs w:val="18"/>
                <w:lang w:val="en-GB"/>
              </w:rPr>
              <w:t>As (mg/L)</w:t>
            </w:r>
          </w:p>
        </w:tc>
        <w:tc>
          <w:tcPr>
            <w:tcW w:w="1276" w:type="dxa"/>
            <w:shd w:val="clear" w:color="auto" w:fill="FFFFFF"/>
          </w:tcPr>
          <w:p w:rsidR="00687E43" w:rsidRPr="00747C0B" w:rsidRDefault="00687E43" w:rsidP="007C47E2">
            <w:pPr>
              <w:pStyle w:val="CETBodytext"/>
              <w:ind w:right="-1"/>
              <w:rPr>
                <w:rFonts w:cs="Arial"/>
                <w:szCs w:val="18"/>
                <w:lang w:val="en-GB"/>
              </w:rPr>
            </w:pPr>
            <w:r>
              <w:rPr>
                <w:rFonts w:cs="Arial"/>
                <w:szCs w:val="18"/>
                <w:lang w:val="en-GB"/>
              </w:rPr>
              <w:t>0.018</w:t>
            </w:r>
          </w:p>
        </w:tc>
        <w:tc>
          <w:tcPr>
            <w:tcW w:w="850" w:type="dxa"/>
            <w:shd w:val="clear" w:color="auto" w:fill="FFFFFF"/>
          </w:tcPr>
          <w:p w:rsidR="00687E43" w:rsidRPr="00747C0B" w:rsidRDefault="00EA5645" w:rsidP="007C47E2">
            <w:pPr>
              <w:pStyle w:val="CETBodytext"/>
              <w:ind w:right="-1"/>
              <w:rPr>
                <w:rFonts w:cs="Arial"/>
                <w:szCs w:val="18"/>
                <w:lang w:val="en-GB"/>
              </w:rPr>
            </w:pPr>
            <w:r>
              <w:rPr>
                <w:rFonts w:cs="Arial"/>
                <w:szCs w:val="18"/>
                <w:lang w:val="en-GB"/>
              </w:rPr>
              <w:t>0.002</w:t>
            </w:r>
          </w:p>
        </w:tc>
        <w:tc>
          <w:tcPr>
            <w:tcW w:w="851" w:type="dxa"/>
            <w:shd w:val="clear" w:color="auto" w:fill="FFFFFF"/>
          </w:tcPr>
          <w:p w:rsidR="00687E43" w:rsidRPr="00747C0B" w:rsidRDefault="00687E43" w:rsidP="007C47E2">
            <w:pPr>
              <w:pStyle w:val="CETBodytext"/>
              <w:ind w:right="-1"/>
              <w:rPr>
                <w:rFonts w:cs="Arial"/>
                <w:szCs w:val="18"/>
                <w:lang w:val="en-GB"/>
              </w:rPr>
            </w:pPr>
          </w:p>
        </w:tc>
      </w:tr>
    </w:tbl>
    <w:p w:rsidR="00630684" w:rsidRPr="00747C0B" w:rsidRDefault="00630684" w:rsidP="00630684">
      <w:pPr>
        <w:pStyle w:val="CETHeading1"/>
        <w:rPr>
          <w:lang w:val="en-GB"/>
        </w:rPr>
      </w:pPr>
      <w:r w:rsidRPr="00747C0B">
        <w:rPr>
          <w:lang w:val="en-GB"/>
        </w:rPr>
        <w:t>Conclusions</w:t>
      </w:r>
    </w:p>
    <w:p w:rsidR="00CC04F7" w:rsidRPr="00747C0B" w:rsidRDefault="00CC04F7" w:rsidP="00BC4878">
      <w:pPr>
        <w:pStyle w:val="CETBodytext"/>
        <w:rPr>
          <w:lang w:val="en-GB"/>
        </w:rPr>
      </w:pPr>
      <w:r w:rsidRPr="00065079">
        <w:rPr>
          <w:shd w:val="clear" w:color="auto" w:fill="FFFFFF"/>
          <w:lang w:val="en-GB"/>
        </w:rPr>
        <w:t xml:space="preserve">The findings revealed that the minerals in the effluent brewery wastewater contained high levels of cadmium, exceeding the WHO limit of 0.03 mg/L. Zinc (1.578 mg/L) and nickel (0.053 mg/L) concentrations were both within WHO limits of 5.0 mg/L and 1.0 mg/L, respectively. All of the minerals in the effluent were significantly reduced after treatment with Scenedesmus sp. As a result, during the exponential growth period, biomass production increased in tandem with </w:t>
      </w:r>
      <w:r>
        <w:rPr>
          <w:shd w:val="clear" w:color="auto" w:fill="FFFFFF"/>
          <w:lang w:val="en-GB"/>
        </w:rPr>
        <w:t>proportional lipid accumulation</w:t>
      </w:r>
      <w:r w:rsidRPr="00747C0B">
        <w:rPr>
          <w:shd w:val="clear" w:color="auto" w:fill="FFFFFF"/>
          <w:lang w:val="en-GB"/>
        </w:rPr>
        <w:t>.</w:t>
      </w:r>
      <w:r w:rsidRPr="00747C0B">
        <w:rPr>
          <w:lang w:val="en-GB"/>
        </w:rPr>
        <w:t xml:space="preserve"> </w:t>
      </w:r>
    </w:p>
    <w:p w:rsidR="00323B88" w:rsidRPr="009A0330" w:rsidRDefault="00323B88" w:rsidP="00114F57">
      <w:pPr>
        <w:pStyle w:val="CETheadingx"/>
      </w:pPr>
      <w:r w:rsidRPr="009A0330">
        <w:lastRenderedPageBreak/>
        <w:t>Author</w:t>
      </w:r>
      <w:r w:rsidR="00FE72A0" w:rsidRPr="009A0330">
        <w:t>s’</w:t>
      </w:r>
      <w:r w:rsidRPr="009A0330">
        <w:t xml:space="preserve"> contributions</w:t>
      </w:r>
    </w:p>
    <w:p w:rsidR="00323B88" w:rsidRPr="00323B88" w:rsidRDefault="00323B88" w:rsidP="00BC4878">
      <w:pPr>
        <w:pStyle w:val="CETAcknowledgementstitle"/>
        <w:jc w:val="both"/>
        <w:rPr>
          <w:b w:val="0"/>
        </w:rPr>
      </w:pPr>
      <w:r w:rsidRPr="00323B88">
        <w:rPr>
          <w:b w:val="0"/>
        </w:rPr>
        <w:t xml:space="preserve">The study was conceived and designed by </w:t>
      </w:r>
      <w:r>
        <w:rPr>
          <w:b w:val="0"/>
        </w:rPr>
        <w:t>DTK and MC</w:t>
      </w:r>
      <w:r w:rsidRPr="00323B88">
        <w:rPr>
          <w:b w:val="0"/>
        </w:rPr>
        <w:t xml:space="preserve">. Experiments were performed by </w:t>
      </w:r>
      <w:r>
        <w:rPr>
          <w:b w:val="0"/>
        </w:rPr>
        <w:t>DTK</w:t>
      </w:r>
      <w:r w:rsidRPr="00323B88">
        <w:rPr>
          <w:b w:val="0"/>
        </w:rPr>
        <w:t xml:space="preserve">. The data were analysed and interpreted by </w:t>
      </w:r>
      <w:r>
        <w:rPr>
          <w:b w:val="0"/>
        </w:rPr>
        <w:t>DTK</w:t>
      </w:r>
      <w:r w:rsidRPr="00323B88">
        <w:rPr>
          <w:b w:val="0"/>
        </w:rPr>
        <w:t xml:space="preserve">. Drafting and critical revision of </w:t>
      </w:r>
      <w:r w:rsidR="00C155F0">
        <w:rPr>
          <w:b w:val="0"/>
        </w:rPr>
        <w:t xml:space="preserve">the </w:t>
      </w:r>
      <w:r w:rsidRPr="00323B88">
        <w:rPr>
          <w:b w:val="0"/>
        </w:rPr>
        <w:t xml:space="preserve">manuscript were done by </w:t>
      </w:r>
      <w:r>
        <w:rPr>
          <w:b w:val="0"/>
        </w:rPr>
        <w:t>DTK and MC</w:t>
      </w:r>
      <w:r w:rsidRPr="00323B88">
        <w:rPr>
          <w:b w:val="0"/>
        </w:rPr>
        <w:t xml:space="preserve">. </w:t>
      </w:r>
    </w:p>
    <w:p w:rsidR="00630684" w:rsidRPr="00747C0B" w:rsidRDefault="00630684" w:rsidP="00630684">
      <w:pPr>
        <w:pStyle w:val="CETAcknowledgementstitle"/>
      </w:pPr>
      <w:r w:rsidRPr="00747C0B">
        <w:t>Acknowledgements</w:t>
      </w:r>
    </w:p>
    <w:p w:rsidR="0008498A" w:rsidRDefault="00EA5645" w:rsidP="00630684">
      <w:pPr>
        <w:pStyle w:val="CETBodytext"/>
        <w:rPr>
          <w:lang w:val="en-GB"/>
        </w:rPr>
      </w:pPr>
      <w:r>
        <w:rPr>
          <w:lang w:val="en-GB"/>
        </w:rPr>
        <w:t xml:space="preserve">The authors appreciate </w:t>
      </w:r>
      <w:r w:rsidR="0008498A">
        <w:rPr>
          <w:lang w:val="en-GB"/>
        </w:rPr>
        <w:t>NRF BRICS (BRIC 190321424123)</w:t>
      </w:r>
      <w:r>
        <w:rPr>
          <w:lang w:val="en-GB"/>
        </w:rPr>
        <w:t xml:space="preserve"> for funding this research.</w:t>
      </w:r>
    </w:p>
    <w:p w:rsidR="00F777F9" w:rsidRDefault="00F777F9" w:rsidP="009A0330">
      <w:pPr>
        <w:pStyle w:val="CETheadingx"/>
      </w:pPr>
      <w:r w:rsidRPr="00F777F9">
        <w:t xml:space="preserve">Conflict of interest </w:t>
      </w:r>
    </w:p>
    <w:p w:rsidR="00F777F9" w:rsidRPr="00747C0B" w:rsidRDefault="00F777F9" w:rsidP="00630684">
      <w:pPr>
        <w:pStyle w:val="CETBodytext"/>
        <w:rPr>
          <w:lang w:val="en-GB"/>
        </w:rPr>
      </w:pPr>
      <w:r w:rsidRPr="00F777F9">
        <w:rPr>
          <w:lang w:val="en-GB"/>
        </w:rPr>
        <w:t>The authors declare that they have no conflict of interest.</w:t>
      </w:r>
    </w:p>
    <w:p w:rsidR="00630684" w:rsidRPr="00747C0B" w:rsidRDefault="00630684" w:rsidP="00630684">
      <w:pPr>
        <w:pStyle w:val="CETReference"/>
        <w:rPr>
          <w:sz w:val="20"/>
        </w:rPr>
      </w:pPr>
      <w:r w:rsidRPr="00747C0B">
        <w:rPr>
          <w:sz w:val="20"/>
        </w:rPr>
        <w:t>References</w:t>
      </w:r>
    </w:p>
    <w:p w:rsidR="0024286E" w:rsidRDefault="0024286E" w:rsidP="00FF6C22">
      <w:pPr>
        <w:tabs>
          <w:tab w:val="clear" w:pos="7100"/>
        </w:tabs>
        <w:autoSpaceDE w:val="0"/>
        <w:autoSpaceDN w:val="0"/>
        <w:adjustRightInd w:val="0"/>
        <w:spacing w:line="240" w:lineRule="auto"/>
        <w:ind w:left="720" w:hanging="720"/>
        <w:jc w:val="left"/>
        <w:rPr>
          <w:rFonts w:eastAsiaTheme="minorHAnsi" w:cs="Arial"/>
          <w:szCs w:val="18"/>
          <w:lang w:val="en-US"/>
        </w:rPr>
      </w:pPr>
      <w:r w:rsidRPr="0024286E">
        <w:rPr>
          <w:rFonts w:eastAsiaTheme="minorHAnsi" w:cs="Arial"/>
          <w:szCs w:val="18"/>
          <w:lang w:val="en-US"/>
        </w:rPr>
        <w:t xml:space="preserve">Abdel-Raouf, N., A. A. Al-Homaidan, and I. B. Ibraheem. 2012. 'Microalgae and wastewater treatment', </w:t>
      </w:r>
      <w:r w:rsidRPr="0024286E">
        <w:rPr>
          <w:rFonts w:eastAsiaTheme="minorHAnsi" w:cs="Arial"/>
          <w:i/>
          <w:iCs/>
          <w:szCs w:val="18"/>
          <w:lang w:val="en-US"/>
        </w:rPr>
        <w:t>Saudi J Biol Sci</w:t>
      </w:r>
      <w:r w:rsidRPr="0024286E">
        <w:rPr>
          <w:rFonts w:eastAsiaTheme="minorHAnsi" w:cs="Arial"/>
          <w:szCs w:val="18"/>
          <w:lang w:val="en-US"/>
        </w:rPr>
        <w:t>, 19: 257-75.</w:t>
      </w:r>
    </w:p>
    <w:p w:rsidR="00DC4472" w:rsidRDefault="00DC4472" w:rsidP="00FF6C22">
      <w:pPr>
        <w:pStyle w:val="EndNoteBibliography"/>
        <w:spacing w:before="0" w:after="0"/>
        <w:ind w:left="720" w:hanging="720"/>
      </w:pPr>
      <w:bookmarkStart w:id="1" w:name="_ENREF_1"/>
      <w:r w:rsidRPr="006446C2">
        <w:t xml:space="preserve">Abdo, Sayeda M., Entesar Ahmed, Sanaa Abo El-Enin, Rawheya S. El Din, Guzine El Diwani, and Gamila Ali. 2014. 'Qualitative and quantitative determination of lipid content in microalgae for biofuel production', </w:t>
      </w:r>
      <w:r w:rsidRPr="006446C2">
        <w:rPr>
          <w:i/>
        </w:rPr>
        <w:t>Journal of Algal Biomass Utilization</w:t>
      </w:r>
      <w:r w:rsidRPr="006446C2">
        <w:t>, 5: 23- 28.</w:t>
      </w:r>
      <w:bookmarkEnd w:id="1"/>
    </w:p>
    <w:p w:rsidR="00DC4472" w:rsidRPr="00641897" w:rsidRDefault="00DC4472" w:rsidP="00DC4472">
      <w:pPr>
        <w:tabs>
          <w:tab w:val="clear" w:pos="7100"/>
        </w:tabs>
        <w:autoSpaceDE w:val="0"/>
        <w:autoSpaceDN w:val="0"/>
        <w:adjustRightInd w:val="0"/>
        <w:spacing w:line="240" w:lineRule="auto"/>
        <w:ind w:left="720" w:hanging="720"/>
        <w:jc w:val="left"/>
        <w:rPr>
          <w:rFonts w:eastAsiaTheme="minorHAnsi" w:cs="Arial"/>
          <w:szCs w:val="18"/>
          <w:lang w:val="en-US"/>
        </w:rPr>
      </w:pPr>
      <w:r w:rsidRPr="00641897">
        <w:rPr>
          <w:rFonts w:eastAsiaTheme="minorHAnsi" w:cs="Arial"/>
          <w:szCs w:val="18"/>
          <w:lang w:val="en-US"/>
        </w:rPr>
        <w:t xml:space="preserve">Afkar, E., Ababna, H., &amp; Fathi, A. A. (2010). Toxicological Response of the Green Alga Chlorella vulgaris, to Some Heavy Metals. </w:t>
      </w:r>
      <w:r w:rsidRPr="00641897">
        <w:rPr>
          <w:rFonts w:eastAsiaTheme="minorHAnsi" w:cs="Arial"/>
          <w:i/>
          <w:iCs/>
          <w:szCs w:val="18"/>
          <w:lang w:val="en-US"/>
        </w:rPr>
        <w:t>American Journal of Environmental Sciences, 6</w:t>
      </w:r>
      <w:r w:rsidRPr="00641897">
        <w:rPr>
          <w:rFonts w:eastAsiaTheme="minorHAnsi" w:cs="Arial"/>
          <w:szCs w:val="18"/>
          <w:lang w:val="en-US"/>
        </w:rPr>
        <w:t>(3), 230-237. doi:10.3844/ajessp.2010.230.237</w:t>
      </w:r>
    </w:p>
    <w:p w:rsidR="0012774A" w:rsidRPr="0012774A" w:rsidRDefault="0012774A" w:rsidP="0012774A">
      <w:pPr>
        <w:tabs>
          <w:tab w:val="clear" w:pos="7100"/>
        </w:tabs>
        <w:autoSpaceDE w:val="0"/>
        <w:autoSpaceDN w:val="0"/>
        <w:adjustRightInd w:val="0"/>
        <w:spacing w:line="240" w:lineRule="auto"/>
        <w:ind w:left="720" w:hanging="720"/>
        <w:jc w:val="left"/>
        <w:rPr>
          <w:rFonts w:eastAsiaTheme="minorHAnsi" w:cs="Arial"/>
          <w:szCs w:val="18"/>
          <w:lang w:val="en-US"/>
        </w:rPr>
      </w:pPr>
      <w:r w:rsidRPr="0012774A">
        <w:rPr>
          <w:rFonts w:eastAsiaTheme="minorHAnsi" w:cs="Arial"/>
          <w:szCs w:val="18"/>
          <w:lang w:val="en-US"/>
        </w:rPr>
        <w:t xml:space="preserve">Ammary, B. Y. (2004). Nutrients requirements in biological industrial wastewater treatment. </w:t>
      </w:r>
      <w:r w:rsidRPr="0012774A">
        <w:rPr>
          <w:rFonts w:eastAsiaTheme="minorHAnsi" w:cs="Arial"/>
          <w:i/>
          <w:iCs/>
          <w:szCs w:val="18"/>
          <w:lang w:val="en-US"/>
        </w:rPr>
        <w:t>African Journal of Biotechnology, 3</w:t>
      </w:r>
      <w:r w:rsidRPr="0012774A">
        <w:rPr>
          <w:rFonts w:eastAsiaTheme="minorHAnsi" w:cs="Arial"/>
          <w:szCs w:val="18"/>
          <w:lang w:val="en-US"/>
        </w:rPr>
        <w:t>(4), 236-238. doi:10.5897/AJB2004.000-2042</w:t>
      </w:r>
    </w:p>
    <w:p w:rsidR="00E44752" w:rsidRPr="00E44752" w:rsidRDefault="00E44752" w:rsidP="00E44752">
      <w:pPr>
        <w:tabs>
          <w:tab w:val="clear" w:pos="7100"/>
        </w:tabs>
        <w:autoSpaceDE w:val="0"/>
        <w:autoSpaceDN w:val="0"/>
        <w:adjustRightInd w:val="0"/>
        <w:spacing w:line="240" w:lineRule="auto"/>
        <w:ind w:left="720" w:hanging="720"/>
        <w:jc w:val="left"/>
        <w:rPr>
          <w:rFonts w:eastAsiaTheme="minorHAnsi" w:cs="Arial"/>
          <w:szCs w:val="18"/>
          <w:lang w:val="en-US"/>
        </w:rPr>
      </w:pPr>
      <w:r w:rsidRPr="00E44752">
        <w:rPr>
          <w:rFonts w:eastAsiaTheme="minorHAnsi" w:cs="Arial"/>
          <w:szCs w:val="18"/>
          <w:lang w:val="en-US"/>
        </w:rPr>
        <w:t xml:space="preserve">Armah, E. K., Chetty, M., Adedeji, J. A., Kukwa, D. T., Mutsvene, B., Shabangu, K. P., &amp; Bakare, B. F. (2020). Emerging Trends in Wastewater Treatment Technologies: The Current Perspective. In </w:t>
      </w:r>
      <w:r w:rsidRPr="00E44752">
        <w:rPr>
          <w:rFonts w:eastAsiaTheme="minorHAnsi" w:cs="Arial"/>
          <w:i/>
          <w:iCs/>
          <w:szCs w:val="18"/>
          <w:lang w:val="en-US"/>
        </w:rPr>
        <w:t>Wastewater Treatment</w:t>
      </w:r>
      <w:r w:rsidRPr="00E44752">
        <w:rPr>
          <w:rFonts w:eastAsiaTheme="minorHAnsi" w:cs="Arial"/>
          <w:szCs w:val="18"/>
          <w:lang w:val="en-US"/>
        </w:rPr>
        <w:t>: IntechOpen.</w:t>
      </w:r>
    </w:p>
    <w:p w:rsidR="000631CA" w:rsidRPr="000631CA" w:rsidRDefault="005C1393" w:rsidP="00BC4878">
      <w:pPr>
        <w:tabs>
          <w:tab w:val="clear" w:pos="7100"/>
        </w:tabs>
        <w:autoSpaceDE w:val="0"/>
        <w:autoSpaceDN w:val="0"/>
        <w:adjustRightInd w:val="0"/>
        <w:spacing w:line="240" w:lineRule="auto"/>
        <w:ind w:left="720" w:hanging="720"/>
        <w:rPr>
          <w:rFonts w:eastAsiaTheme="minorHAnsi" w:cs="Arial"/>
          <w:szCs w:val="18"/>
          <w:lang w:val="en-US"/>
        </w:rPr>
      </w:pPr>
      <w:r>
        <w:rPr>
          <w:rFonts w:eastAsiaTheme="minorHAnsi" w:cs="Arial"/>
          <w:szCs w:val="18"/>
          <w:lang w:val="en-US"/>
        </w:rPr>
        <w:t>Duygu</w:t>
      </w:r>
      <w:r w:rsidR="000631CA" w:rsidRPr="000631CA">
        <w:rPr>
          <w:rFonts w:eastAsiaTheme="minorHAnsi" w:cs="Arial"/>
          <w:szCs w:val="18"/>
          <w:lang w:val="en-US"/>
        </w:rPr>
        <w:t xml:space="preserve">, D. Y. (2019). Growth Kinetics of Scenedesmus obliquus Strains in Different Nutrient Media. </w:t>
      </w:r>
      <w:r w:rsidR="000631CA" w:rsidRPr="000631CA">
        <w:rPr>
          <w:rFonts w:eastAsiaTheme="minorHAnsi" w:cs="Arial"/>
          <w:i/>
          <w:iCs/>
          <w:szCs w:val="18"/>
          <w:lang w:val="en-US"/>
        </w:rPr>
        <w:t>LIMNOFISH-Journal of Limnology and Freshwater Fisheries Research 5</w:t>
      </w:r>
      <w:r w:rsidR="000631CA" w:rsidRPr="000631CA">
        <w:rPr>
          <w:rFonts w:eastAsiaTheme="minorHAnsi" w:cs="Arial"/>
          <w:szCs w:val="18"/>
          <w:lang w:val="en-US"/>
        </w:rPr>
        <w:t>(2), 95-103. doi:10.17216/LimnoFish.514166</w:t>
      </w:r>
    </w:p>
    <w:p w:rsidR="00EB094C" w:rsidRPr="00836124" w:rsidRDefault="00EB094C" w:rsidP="00BC4878">
      <w:pPr>
        <w:tabs>
          <w:tab w:val="clear" w:pos="7100"/>
        </w:tabs>
        <w:autoSpaceDE w:val="0"/>
        <w:autoSpaceDN w:val="0"/>
        <w:adjustRightInd w:val="0"/>
        <w:spacing w:line="240" w:lineRule="auto"/>
        <w:ind w:left="720" w:hanging="720"/>
        <w:rPr>
          <w:rFonts w:eastAsiaTheme="minorHAnsi" w:cs="Arial"/>
          <w:szCs w:val="18"/>
          <w:lang w:val="en-US"/>
        </w:rPr>
      </w:pPr>
      <w:r w:rsidRPr="00836124">
        <w:rPr>
          <w:rFonts w:eastAsiaTheme="minorHAnsi" w:cs="Arial"/>
          <w:szCs w:val="18"/>
          <w:lang w:val="en-US"/>
        </w:rPr>
        <w:t>Hey, Tobias. 2016. 'Municipal wastewater treatment by microsieving, microfiltration and forward osmosis Concepts and potentials', Lund University.</w:t>
      </w:r>
    </w:p>
    <w:p w:rsidR="00A41D33" w:rsidRPr="00A41D33" w:rsidRDefault="00A41D33" w:rsidP="00BC4878">
      <w:pPr>
        <w:tabs>
          <w:tab w:val="clear" w:pos="7100"/>
        </w:tabs>
        <w:autoSpaceDE w:val="0"/>
        <w:autoSpaceDN w:val="0"/>
        <w:adjustRightInd w:val="0"/>
        <w:spacing w:line="240" w:lineRule="auto"/>
        <w:ind w:left="720" w:hanging="720"/>
        <w:rPr>
          <w:rFonts w:eastAsiaTheme="minorHAnsi" w:cs="Arial"/>
          <w:szCs w:val="18"/>
          <w:lang w:val="en-US"/>
        </w:rPr>
      </w:pPr>
      <w:r w:rsidRPr="00A41D33">
        <w:rPr>
          <w:rFonts w:eastAsiaTheme="minorHAnsi" w:cs="Arial"/>
          <w:szCs w:val="18"/>
          <w:lang w:val="en-US"/>
        </w:rPr>
        <w:t xml:space="preserve">Khan, S., Shamshad, I., Waqas, M., Nawab, J., &amp; Ming, L. (2017). Remediating industrial wastewater containing potentially toxic elements with four freshwater algae. </w:t>
      </w:r>
      <w:r w:rsidRPr="00A41D33">
        <w:rPr>
          <w:rFonts w:eastAsiaTheme="minorHAnsi" w:cs="Arial"/>
          <w:i/>
          <w:iCs/>
          <w:szCs w:val="18"/>
          <w:lang w:val="en-US"/>
        </w:rPr>
        <w:t>Ecological Engineering, 102</w:t>
      </w:r>
      <w:r w:rsidRPr="00A41D33">
        <w:rPr>
          <w:rFonts w:eastAsiaTheme="minorHAnsi" w:cs="Arial"/>
          <w:szCs w:val="18"/>
          <w:lang w:val="en-US"/>
        </w:rPr>
        <w:t>, 536-541. doi:10.1016/j.ecoleng.2017.02.038</w:t>
      </w:r>
    </w:p>
    <w:p w:rsidR="00DE502E" w:rsidRDefault="00F067A4" w:rsidP="00DC4472">
      <w:pPr>
        <w:pStyle w:val="EndNoteBibliography"/>
        <w:spacing w:before="0" w:after="0"/>
        <w:ind w:left="720" w:hanging="720"/>
        <w:rPr>
          <w:szCs w:val="18"/>
        </w:rPr>
      </w:pPr>
      <w:r w:rsidRPr="00F067A4">
        <w:rPr>
          <w:szCs w:val="18"/>
          <w:lang w:val="en-GB"/>
        </w:rPr>
        <w:fldChar w:fldCharType="begin"/>
      </w:r>
      <w:r w:rsidRPr="00F067A4">
        <w:rPr>
          <w:szCs w:val="18"/>
          <w:lang w:val="en-GB"/>
        </w:rPr>
        <w:instrText xml:space="preserve"> ADDIN EN.REFLIST </w:instrText>
      </w:r>
      <w:r w:rsidRPr="00F067A4">
        <w:rPr>
          <w:szCs w:val="18"/>
          <w:lang w:val="en-GB"/>
        </w:rPr>
        <w:fldChar w:fldCharType="separate"/>
      </w:r>
      <w:r w:rsidR="00DE502E" w:rsidRPr="00F963AC">
        <w:rPr>
          <w:szCs w:val="18"/>
        </w:rPr>
        <w:t xml:space="preserve">Mandal, M. K., Saikia, P., Chanu, N. K., &amp; Chaurasia, N. (2019). Modulation of lipid content and lipid profile by supplementation of iron, zinc, and molybdenum in indigenous microalgae. </w:t>
      </w:r>
      <w:r w:rsidR="00DE502E" w:rsidRPr="00F963AC">
        <w:rPr>
          <w:i/>
          <w:iCs/>
          <w:szCs w:val="18"/>
        </w:rPr>
        <w:t>Environ Sci Pollut Res Int, 26</w:t>
      </w:r>
      <w:r w:rsidR="00DE502E" w:rsidRPr="00F963AC">
        <w:rPr>
          <w:szCs w:val="18"/>
        </w:rPr>
        <w:t>(20), 20815-20828. doi:10.1007/s11356-019-05065-6</w:t>
      </w:r>
    </w:p>
    <w:p w:rsidR="00DC4472" w:rsidRPr="00E916BA" w:rsidRDefault="00DC4472" w:rsidP="00BC4878">
      <w:pPr>
        <w:tabs>
          <w:tab w:val="clear" w:pos="7100"/>
        </w:tabs>
        <w:autoSpaceDE w:val="0"/>
        <w:autoSpaceDN w:val="0"/>
        <w:adjustRightInd w:val="0"/>
        <w:spacing w:line="240" w:lineRule="auto"/>
        <w:ind w:left="720" w:hanging="720"/>
        <w:rPr>
          <w:rFonts w:eastAsiaTheme="minorHAnsi" w:cs="Arial"/>
          <w:szCs w:val="18"/>
          <w:lang w:val="en-US"/>
        </w:rPr>
      </w:pPr>
      <w:r w:rsidRPr="00E916BA">
        <w:rPr>
          <w:rFonts w:eastAsiaTheme="minorHAnsi" w:cs="Arial"/>
          <w:szCs w:val="18"/>
          <w:lang w:val="en-US"/>
        </w:rPr>
        <w:t xml:space="preserve">Mohan, S. Venkata, M.V. Rohit, P. Chiranjeevi, Rashmi Chandra, and B. Navaneeth. 2015. 'Heterotrophic microalgae cultivation to synergize biodiesel production with waste remediation: progress and perspectives', </w:t>
      </w:r>
      <w:r w:rsidRPr="00E916BA">
        <w:rPr>
          <w:rFonts w:eastAsiaTheme="minorHAnsi" w:cs="Arial"/>
          <w:i/>
          <w:iCs/>
          <w:szCs w:val="18"/>
          <w:lang w:val="en-US"/>
        </w:rPr>
        <w:t>Bioresour Technol</w:t>
      </w:r>
      <w:r w:rsidRPr="00E916BA">
        <w:rPr>
          <w:rFonts w:eastAsiaTheme="minorHAnsi" w:cs="Arial"/>
          <w:szCs w:val="18"/>
          <w:lang w:val="en-US"/>
        </w:rPr>
        <w:t>, 184: 169-78.</w:t>
      </w:r>
    </w:p>
    <w:p w:rsidR="00EF3858" w:rsidRPr="00EF3858" w:rsidRDefault="00EF3858" w:rsidP="00BC4878">
      <w:pPr>
        <w:tabs>
          <w:tab w:val="clear" w:pos="7100"/>
        </w:tabs>
        <w:autoSpaceDE w:val="0"/>
        <w:autoSpaceDN w:val="0"/>
        <w:adjustRightInd w:val="0"/>
        <w:spacing w:line="240" w:lineRule="auto"/>
        <w:ind w:left="720" w:hanging="720"/>
        <w:rPr>
          <w:rFonts w:eastAsiaTheme="minorHAnsi" w:cs="Arial"/>
          <w:szCs w:val="18"/>
          <w:lang w:val="en-US"/>
        </w:rPr>
      </w:pPr>
      <w:r w:rsidRPr="00EF3858">
        <w:rPr>
          <w:rFonts w:eastAsiaTheme="minorHAnsi" w:cs="Arial"/>
          <w:szCs w:val="18"/>
          <w:lang w:val="en-US"/>
        </w:rPr>
        <w:t xml:space="preserve">Rai, L. C., Gaurx, J. P., &amp; Kumar, H. D. (1981). Phycology and Heavy Metal Pollution. </w:t>
      </w:r>
      <w:r w:rsidRPr="00EF3858">
        <w:rPr>
          <w:rFonts w:eastAsiaTheme="minorHAnsi" w:cs="Arial"/>
          <w:i/>
          <w:iCs/>
          <w:szCs w:val="18"/>
          <w:lang w:val="en-US"/>
        </w:rPr>
        <w:t>Biol. Rev, 56</w:t>
      </w:r>
      <w:r w:rsidRPr="00EF3858">
        <w:rPr>
          <w:rFonts w:eastAsiaTheme="minorHAnsi" w:cs="Arial"/>
          <w:szCs w:val="18"/>
          <w:lang w:val="en-US"/>
        </w:rPr>
        <w:t>, 99-151. doi:10.1111/j.1469-185X.1981.tb00345.x</w:t>
      </w:r>
    </w:p>
    <w:p w:rsidR="006446C2" w:rsidRPr="006446C2" w:rsidRDefault="006446C2" w:rsidP="00DC4472">
      <w:pPr>
        <w:pStyle w:val="EndNoteBibliography"/>
        <w:spacing w:before="0" w:after="0"/>
        <w:ind w:left="720" w:hanging="720"/>
      </w:pPr>
      <w:bookmarkStart w:id="2" w:name="_ENREF_2"/>
      <w:r w:rsidRPr="006446C2">
        <w:t xml:space="preserve">Roux, Jean-Maxime, Hadrien Lamotte, and Jean-Luc Achard. 2017. 'An Overview of Microalgae Lipid Extraction in a Biorefinery Framework', </w:t>
      </w:r>
      <w:r w:rsidRPr="006446C2">
        <w:rPr>
          <w:i/>
        </w:rPr>
        <w:t>Energy Procedia</w:t>
      </w:r>
      <w:r w:rsidRPr="006446C2">
        <w:t>, 112: 680-88.</w:t>
      </w:r>
      <w:bookmarkEnd w:id="2"/>
    </w:p>
    <w:p w:rsidR="006446C2" w:rsidRDefault="006446C2" w:rsidP="00DC4472">
      <w:pPr>
        <w:pStyle w:val="EndNoteBibliography"/>
        <w:spacing w:before="0" w:after="0"/>
        <w:ind w:left="720" w:hanging="720"/>
      </w:pPr>
      <w:bookmarkStart w:id="3" w:name="_ENREF_3"/>
      <w:r w:rsidRPr="006446C2">
        <w:t xml:space="preserve">Sibi, G., Vishaka Shetty, and Keyuri Mokashi. 2016. 'Enhanced lipid productivity approaches in microalgae as an alternate for fossil fuels – A review', </w:t>
      </w:r>
      <w:r w:rsidRPr="006446C2">
        <w:rPr>
          <w:i/>
        </w:rPr>
        <w:t>Journal of the Energy Institute</w:t>
      </w:r>
      <w:r w:rsidRPr="006446C2">
        <w:t>, 89: 330-34.</w:t>
      </w:r>
      <w:bookmarkEnd w:id="3"/>
    </w:p>
    <w:p w:rsidR="00721534" w:rsidRPr="00721534" w:rsidRDefault="00721534" w:rsidP="00BC4878">
      <w:pPr>
        <w:tabs>
          <w:tab w:val="clear" w:pos="7100"/>
        </w:tabs>
        <w:autoSpaceDE w:val="0"/>
        <w:autoSpaceDN w:val="0"/>
        <w:adjustRightInd w:val="0"/>
        <w:spacing w:line="240" w:lineRule="auto"/>
        <w:ind w:left="720" w:hanging="720"/>
        <w:rPr>
          <w:rFonts w:eastAsiaTheme="minorHAnsi" w:cs="Arial"/>
          <w:szCs w:val="18"/>
          <w:lang w:val="en-US"/>
        </w:rPr>
      </w:pPr>
      <w:r w:rsidRPr="00721534">
        <w:rPr>
          <w:rFonts w:eastAsiaTheme="minorHAnsi" w:cs="Arial"/>
          <w:szCs w:val="18"/>
          <w:lang w:val="en-US"/>
        </w:rPr>
        <w:t xml:space="preserve">Sluiter, A., Hames, B., Ruiz, R., Scarlata, C., Sluiter, J., Templeton, D., &amp; Crocker, D. (2012). </w:t>
      </w:r>
      <w:r w:rsidRPr="00721534">
        <w:rPr>
          <w:rFonts w:eastAsiaTheme="minorHAnsi" w:cs="Arial"/>
          <w:i/>
          <w:iCs/>
          <w:szCs w:val="18"/>
          <w:lang w:val="en-US"/>
        </w:rPr>
        <w:t>Determination of Structural Carbohydrates and Lignin in Biomass</w:t>
      </w:r>
      <w:r w:rsidRPr="00721534">
        <w:rPr>
          <w:rFonts w:eastAsiaTheme="minorHAnsi" w:cs="Arial"/>
          <w:szCs w:val="18"/>
          <w:lang w:val="en-US"/>
        </w:rPr>
        <w:t xml:space="preserve"> (NREL/TP-510-42618). Retrieved from Colorado, USA: https://www.nrel.gov/docs/gen/fy13/42618.pdf</w:t>
      </w:r>
    </w:p>
    <w:p w:rsidR="007D1437" w:rsidRPr="007D1437" w:rsidRDefault="007D1437" w:rsidP="00BC4878">
      <w:pPr>
        <w:tabs>
          <w:tab w:val="clear" w:pos="7100"/>
        </w:tabs>
        <w:autoSpaceDE w:val="0"/>
        <w:autoSpaceDN w:val="0"/>
        <w:adjustRightInd w:val="0"/>
        <w:spacing w:line="240" w:lineRule="auto"/>
        <w:ind w:left="720" w:hanging="720"/>
        <w:rPr>
          <w:rFonts w:eastAsiaTheme="minorHAnsi" w:cs="Arial"/>
          <w:szCs w:val="18"/>
          <w:lang w:val="en-US"/>
        </w:rPr>
      </w:pPr>
      <w:r w:rsidRPr="007D1437">
        <w:rPr>
          <w:rFonts w:eastAsiaTheme="minorHAnsi" w:cs="Arial"/>
          <w:szCs w:val="18"/>
          <w:lang w:val="en-US"/>
        </w:rPr>
        <w:t xml:space="preserve">Sivaramakrishnan, R., Suresh, S., Pugazhendhi, A., Mercy Nisha Pauline, J., &amp; Incharoensakdi, A. (2020). Response of Scenedesmus sp. to microwave treatment: Enhancement of lipid, exopolysaccharide and biomass production. </w:t>
      </w:r>
      <w:r w:rsidRPr="007D1437">
        <w:rPr>
          <w:rFonts w:eastAsiaTheme="minorHAnsi" w:cs="Arial"/>
          <w:i/>
          <w:iCs/>
          <w:szCs w:val="18"/>
          <w:lang w:val="en-US"/>
        </w:rPr>
        <w:t>Bioresour Technol, 312</w:t>
      </w:r>
      <w:r w:rsidRPr="007D1437">
        <w:rPr>
          <w:rFonts w:eastAsiaTheme="minorHAnsi" w:cs="Arial"/>
          <w:szCs w:val="18"/>
          <w:lang w:val="en-US"/>
        </w:rPr>
        <w:t>, 123562. doi:10.1016/j.biortech.2020.123562</w:t>
      </w:r>
    </w:p>
    <w:p w:rsidR="006446C2" w:rsidRDefault="006446C2" w:rsidP="00DC4472">
      <w:pPr>
        <w:pStyle w:val="EndNoteBibliography"/>
        <w:spacing w:before="0" w:after="0"/>
        <w:ind w:left="720" w:hanging="720"/>
      </w:pPr>
      <w:bookmarkStart w:id="4" w:name="_ENREF_4"/>
      <w:r w:rsidRPr="006446C2">
        <w:t xml:space="preserve">Tan, Xiao-Bo, Xian-Chao Zhao, Ya-Lei Zhang, Yue-Yun Zhou, Li-Bin Yang, and Wen-Wen Zhang. 2018. 'Enhanced lipid and biomass production using alcohol wastewater as carbon source for Chlorella pyrenoidosa cultivation in anaerobically digested starch wastewater in outdoors', </w:t>
      </w:r>
      <w:r w:rsidRPr="006446C2">
        <w:rPr>
          <w:i/>
        </w:rPr>
        <w:t>Bioresource Technology</w:t>
      </w:r>
      <w:r w:rsidRPr="006446C2">
        <w:t>, 247: 784-93.</w:t>
      </w:r>
      <w:bookmarkEnd w:id="4"/>
    </w:p>
    <w:p w:rsidR="00F963AC" w:rsidRPr="00F963AC" w:rsidRDefault="00F963AC" w:rsidP="00BC4878">
      <w:pPr>
        <w:tabs>
          <w:tab w:val="clear" w:pos="7100"/>
        </w:tabs>
        <w:autoSpaceDE w:val="0"/>
        <w:autoSpaceDN w:val="0"/>
        <w:adjustRightInd w:val="0"/>
        <w:spacing w:line="240" w:lineRule="auto"/>
        <w:ind w:left="720" w:hanging="720"/>
        <w:rPr>
          <w:rFonts w:eastAsiaTheme="minorHAnsi" w:cs="Arial"/>
          <w:szCs w:val="18"/>
          <w:lang w:val="en-US"/>
        </w:rPr>
      </w:pPr>
      <w:r w:rsidRPr="00F963AC">
        <w:rPr>
          <w:rFonts w:eastAsiaTheme="minorHAnsi" w:cs="Arial"/>
          <w:szCs w:val="18"/>
          <w:lang w:val="en-US"/>
        </w:rPr>
        <w:t xml:space="preserve">Wong, K. H., &amp; Cheung, P. C. K. (2000). Nutritional evaluation of some subtropical red and green seaweeds Part I Ð proximate composition, amino acid pro®les and some physico-chemical properties. </w:t>
      </w:r>
      <w:r w:rsidRPr="00F963AC">
        <w:rPr>
          <w:rFonts w:eastAsiaTheme="minorHAnsi" w:cs="Arial"/>
          <w:i/>
          <w:iCs/>
          <w:szCs w:val="18"/>
          <w:lang w:val="en-US"/>
        </w:rPr>
        <w:t>Food Chemistry, 71</w:t>
      </w:r>
      <w:r w:rsidRPr="00F963AC">
        <w:rPr>
          <w:rFonts w:eastAsiaTheme="minorHAnsi" w:cs="Arial"/>
          <w:szCs w:val="18"/>
          <w:lang w:val="en-US"/>
        </w:rPr>
        <w:t>, 475-482. doi:10.1016/S0308-8146(00)00175-8</w:t>
      </w:r>
    </w:p>
    <w:p w:rsidR="00E916BA" w:rsidRPr="00E916BA" w:rsidRDefault="00F067A4" w:rsidP="00AB7DFC">
      <w:pPr>
        <w:tabs>
          <w:tab w:val="clear" w:pos="7100"/>
        </w:tabs>
        <w:autoSpaceDE w:val="0"/>
        <w:autoSpaceDN w:val="0"/>
        <w:adjustRightInd w:val="0"/>
        <w:spacing w:line="240" w:lineRule="auto"/>
        <w:jc w:val="left"/>
        <w:rPr>
          <w:rFonts w:cs="Arial"/>
          <w:szCs w:val="18"/>
        </w:rPr>
      </w:pPr>
      <w:r w:rsidRPr="00F067A4">
        <w:rPr>
          <w:rFonts w:cs="Arial"/>
          <w:szCs w:val="18"/>
        </w:rPr>
        <w:fldChar w:fldCharType="end"/>
      </w:r>
    </w:p>
    <w:sectPr w:rsidR="00E916BA" w:rsidRPr="00E916BA" w:rsidSect="00630684">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P6960">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217E"/>
    <w:multiLevelType w:val="multilevel"/>
    <w:tmpl w:val="F17228D6"/>
    <w:lvl w:ilvl="0">
      <w:start w:val="1"/>
      <w:numFmt w:val="decimal"/>
      <w:suff w:val="space"/>
      <w:lvlText w:val="Chapter %1"/>
      <w:lvlJc w:val="left"/>
      <w:pPr>
        <w:ind w:left="426"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DIxNTAysDS1NDVU0lEKTi0uzszPAymwqAUAbA1oRywAAAA="/>
    <w:docVar w:name="EN.InstantFormat" w:val="&lt;ENInstantFormat&gt;&lt;Enabled&gt;1&lt;/Enabled&gt;&lt;ScanUnformatted&gt;1&lt;/ScanUnformatted&gt;&lt;ScanChanges&gt;1&lt;/ScanChanges&gt;&lt;Suspended&gt;1&lt;/Suspended&gt;&lt;/ENInstantFormat&gt;"/>
    <w:docVar w:name="EN.Layout" w:val="&lt;ENLayout&gt;&lt;Style&gt;MHRA (Author-Date)&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v0dfwzrr5tsaesertpqpwpfz95p0wwfdefw5&quot;&gt;My EndNote Library&lt;record-ids&gt;&lt;item&gt;24&lt;/item&gt;&lt;item&gt;114&lt;/item&gt;&lt;item&gt;142&lt;/item&gt;&lt;item&gt;189&lt;/item&gt;&lt;item&gt;226&lt;/item&gt;&lt;item&gt;415&lt;/item&gt;&lt;item&gt;798&lt;/item&gt;&lt;item&gt;817&lt;/item&gt;&lt;/record-ids&gt;&lt;/item&gt;&lt;/Libraries&gt;"/>
  </w:docVars>
  <w:rsids>
    <w:rsidRoot w:val="00630684"/>
    <w:rsid w:val="00005DAE"/>
    <w:rsid w:val="0002391C"/>
    <w:rsid w:val="00026029"/>
    <w:rsid w:val="00027B91"/>
    <w:rsid w:val="00030513"/>
    <w:rsid w:val="00045815"/>
    <w:rsid w:val="000631CA"/>
    <w:rsid w:val="00065079"/>
    <w:rsid w:val="00070650"/>
    <w:rsid w:val="0008027E"/>
    <w:rsid w:val="0008498A"/>
    <w:rsid w:val="00086885"/>
    <w:rsid w:val="00086895"/>
    <w:rsid w:val="00090A2E"/>
    <w:rsid w:val="000A1FB9"/>
    <w:rsid w:val="000A79C8"/>
    <w:rsid w:val="000B14B7"/>
    <w:rsid w:val="000B3E98"/>
    <w:rsid w:val="000D03B7"/>
    <w:rsid w:val="000F54A0"/>
    <w:rsid w:val="001049F4"/>
    <w:rsid w:val="001056B3"/>
    <w:rsid w:val="001142C8"/>
    <w:rsid w:val="00114F57"/>
    <w:rsid w:val="0012774A"/>
    <w:rsid w:val="00131125"/>
    <w:rsid w:val="00161C38"/>
    <w:rsid w:val="0016296D"/>
    <w:rsid w:val="00175EA8"/>
    <w:rsid w:val="001802F5"/>
    <w:rsid w:val="001A2229"/>
    <w:rsid w:val="001A764B"/>
    <w:rsid w:val="001A7854"/>
    <w:rsid w:val="001B0CF6"/>
    <w:rsid w:val="001B757A"/>
    <w:rsid w:val="001C145E"/>
    <w:rsid w:val="001E21B3"/>
    <w:rsid w:val="001F328F"/>
    <w:rsid w:val="00205512"/>
    <w:rsid w:val="00205B5D"/>
    <w:rsid w:val="00223B09"/>
    <w:rsid w:val="0023247E"/>
    <w:rsid w:val="00232F83"/>
    <w:rsid w:val="00237A17"/>
    <w:rsid w:val="00237F01"/>
    <w:rsid w:val="0024286E"/>
    <w:rsid w:val="002444EB"/>
    <w:rsid w:val="002469BE"/>
    <w:rsid w:val="00250C7C"/>
    <w:rsid w:val="0025555C"/>
    <w:rsid w:val="002A0046"/>
    <w:rsid w:val="002B0775"/>
    <w:rsid w:val="0030210A"/>
    <w:rsid w:val="00323B88"/>
    <w:rsid w:val="0032602A"/>
    <w:rsid w:val="00335874"/>
    <w:rsid w:val="00343E15"/>
    <w:rsid w:val="00352439"/>
    <w:rsid w:val="00380442"/>
    <w:rsid w:val="003910AB"/>
    <w:rsid w:val="003B1772"/>
    <w:rsid w:val="003C0742"/>
    <w:rsid w:val="003E30FF"/>
    <w:rsid w:val="003E7408"/>
    <w:rsid w:val="003F39FF"/>
    <w:rsid w:val="003F5F1E"/>
    <w:rsid w:val="003F731C"/>
    <w:rsid w:val="00436DA6"/>
    <w:rsid w:val="004555F7"/>
    <w:rsid w:val="00464E09"/>
    <w:rsid w:val="00474505"/>
    <w:rsid w:val="00474D32"/>
    <w:rsid w:val="00476C78"/>
    <w:rsid w:val="00491AE4"/>
    <w:rsid w:val="00492DC6"/>
    <w:rsid w:val="004D6D7A"/>
    <w:rsid w:val="004E4615"/>
    <w:rsid w:val="004E7CAC"/>
    <w:rsid w:val="004F5085"/>
    <w:rsid w:val="005066E5"/>
    <w:rsid w:val="00514C7E"/>
    <w:rsid w:val="0052380C"/>
    <w:rsid w:val="005270E1"/>
    <w:rsid w:val="0055529B"/>
    <w:rsid w:val="0056279A"/>
    <w:rsid w:val="0056422F"/>
    <w:rsid w:val="00566225"/>
    <w:rsid w:val="00576884"/>
    <w:rsid w:val="00585084"/>
    <w:rsid w:val="005969C6"/>
    <w:rsid w:val="005A1FC4"/>
    <w:rsid w:val="005A21C8"/>
    <w:rsid w:val="005A60D4"/>
    <w:rsid w:val="005B44A0"/>
    <w:rsid w:val="005C1393"/>
    <w:rsid w:val="005C3A31"/>
    <w:rsid w:val="005D013C"/>
    <w:rsid w:val="005D63C9"/>
    <w:rsid w:val="005E0918"/>
    <w:rsid w:val="005F72DC"/>
    <w:rsid w:val="006210CF"/>
    <w:rsid w:val="00630684"/>
    <w:rsid w:val="00633E30"/>
    <w:rsid w:val="006407A5"/>
    <w:rsid w:val="00641897"/>
    <w:rsid w:val="006446C2"/>
    <w:rsid w:val="00657C60"/>
    <w:rsid w:val="00682FF5"/>
    <w:rsid w:val="00687E43"/>
    <w:rsid w:val="006A0E42"/>
    <w:rsid w:val="006A60EF"/>
    <w:rsid w:val="006A6EA5"/>
    <w:rsid w:val="006B3874"/>
    <w:rsid w:val="006B7D6C"/>
    <w:rsid w:val="006C61BD"/>
    <w:rsid w:val="006E044C"/>
    <w:rsid w:val="006E310D"/>
    <w:rsid w:val="006F1767"/>
    <w:rsid w:val="006F4C98"/>
    <w:rsid w:val="00700EAA"/>
    <w:rsid w:val="00710870"/>
    <w:rsid w:val="00712909"/>
    <w:rsid w:val="00721534"/>
    <w:rsid w:val="00747C0B"/>
    <w:rsid w:val="007635DC"/>
    <w:rsid w:val="007741BF"/>
    <w:rsid w:val="00777C90"/>
    <w:rsid w:val="00782087"/>
    <w:rsid w:val="007859E6"/>
    <w:rsid w:val="007900FE"/>
    <w:rsid w:val="0079175F"/>
    <w:rsid w:val="007A674B"/>
    <w:rsid w:val="007B1724"/>
    <w:rsid w:val="007C47E2"/>
    <w:rsid w:val="007C7079"/>
    <w:rsid w:val="007D1437"/>
    <w:rsid w:val="007D7AFB"/>
    <w:rsid w:val="007F09CF"/>
    <w:rsid w:val="007F414F"/>
    <w:rsid w:val="007F5C44"/>
    <w:rsid w:val="007F71B9"/>
    <w:rsid w:val="007F76BE"/>
    <w:rsid w:val="008047F0"/>
    <w:rsid w:val="00833DBF"/>
    <w:rsid w:val="00836124"/>
    <w:rsid w:val="008452DA"/>
    <w:rsid w:val="008524A4"/>
    <w:rsid w:val="008779E7"/>
    <w:rsid w:val="008850C8"/>
    <w:rsid w:val="008A15AC"/>
    <w:rsid w:val="008A7D6E"/>
    <w:rsid w:val="008C51F3"/>
    <w:rsid w:val="008E386B"/>
    <w:rsid w:val="008E3E71"/>
    <w:rsid w:val="008E4D65"/>
    <w:rsid w:val="008F2B43"/>
    <w:rsid w:val="008F2BF1"/>
    <w:rsid w:val="009058E7"/>
    <w:rsid w:val="00914848"/>
    <w:rsid w:val="00915CB8"/>
    <w:rsid w:val="009226F4"/>
    <w:rsid w:val="00950CE0"/>
    <w:rsid w:val="00954914"/>
    <w:rsid w:val="009634CC"/>
    <w:rsid w:val="009851F3"/>
    <w:rsid w:val="00985CB7"/>
    <w:rsid w:val="009A0330"/>
    <w:rsid w:val="009B4DBD"/>
    <w:rsid w:val="009D107D"/>
    <w:rsid w:val="009E3BEB"/>
    <w:rsid w:val="00A02C8D"/>
    <w:rsid w:val="00A07494"/>
    <w:rsid w:val="00A154CE"/>
    <w:rsid w:val="00A15B8A"/>
    <w:rsid w:val="00A1616F"/>
    <w:rsid w:val="00A41D33"/>
    <w:rsid w:val="00A46D9E"/>
    <w:rsid w:val="00A56741"/>
    <w:rsid w:val="00A91C2A"/>
    <w:rsid w:val="00A936B8"/>
    <w:rsid w:val="00AA1C52"/>
    <w:rsid w:val="00AA4BAE"/>
    <w:rsid w:val="00AB3202"/>
    <w:rsid w:val="00AB3EA7"/>
    <w:rsid w:val="00AB4BC9"/>
    <w:rsid w:val="00AB7DFC"/>
    <w:rsid w:val="00AC7E79"/>
    <w:rsid w:val="00AD1AD4"/>
    <w:rsid w:val="00AD1F83"/>
    <w:rsid w:val="00AE6E02"/>
    <w:rsid w:val="00AF271C"/>
    <w:rsid w:val="00AF5183"/>
    <w:rsid w:val="00AF6DD6"/>
    <w:rsid w:val="00B110B8"/>
    <w:rsid w:val="00B13285"/>
    <w:rsid w:val="00B25514"/>
    <w:rsid w:val="00B31124"/>
    <w:rsid w:val="00B44A59"/>
    <w:rsid w:val="00B55064"/>
    <w:rsid w:val="00B57852"/>
    <w:rsid w:val="00B62F70"/>
    <w:rsid w:val="00B67A58"/>
    <w:rsid w:val="00B7270D"/>
    <w:rsid w:val="00B828B3"/>
    <w:rsid w:val="00B85BCC"/>
    <w:rsid w:val="00B94F05"/>
    <w:rsid w:val="00B95957"/>
    <w:rsid w:val="00B96003"/>
    <w:rsid w:val="00BA073A"/>
    <w:rsid w:val="00BA0A7A"/>
    <w:rsid w:val="00BB085F"/>
    <w:rsid w:val="00BC1150"/>
    <w:rsid w:val="00BC4878"/>
    <w:rsid w:val="00BC7AA7"/>
    <w:rsid w:val="00C1182A"/>
    <w:rsid w:val="00C12189"/>
    <w:rsid w:val="00C13DBD"/>
    <w:rsid w:val="00C155F0"/>
    <w:rsid w:val="00C27AB5"/>
    <w:rsid w:val="00C770DA"/>
    <w:rsid w:val="00C92CC6"/>
    <w:rsid w:val="00CB3986"/>
    <w:rsid w:val="00CC04F7"/>
    <w:rsid w:val="00CC2969"/>
    <w:rsid w:val="00CD266A"/>
    <w:rsid w:val="00CD2955"/>
    <w:rsid w:val="00CF4399"/>
    <w:rsid w:val="00D32A26"/>
    <w:rsid w:val="00D37263"/>
    <w:rsid w:val="00D63FA5"/>
    <w:rsid w:val="00D649E1"/>
    <w:rsid w:val="00D76049"/>
    <w:rsid w:val="00DB1667"/>
    <w:rsid w:val="00DB1854"/>
    <w:rsid w:val="00DC1C01"/>
    <w:rsid w:val="00DC4472"/>
    <w:rsid w:val="00DC7894"/>
    <w:rsid w:val="00DD299A"/>
    <w:rsid w:val="00DD6989"/>
    <w:rsid w:val="00DE3927"/>
    <w:rsid w:val="00DE4C90"/>
    <w:rsid w:val="00DE502E"/>
    <w:rsid w:val="00DE67A5"/>
    <w:rsid w:val="00DE7696"/>
    <w:rsid w:val="00DF1D94"/>
    <w:rsid w:val="00E066EA"/>
    <w:rsid w:val="00E366A0"/>
    <w:rsid w:val="00E44752"/>
    <w:rsid w:val="00E4579A"/>
    <w:rsid w:val="00E55C0A"/>
    <w:rsid w:val="00E57FAE"/>
    <w:rsid w:val="00E72646"/>
    <w:rsid w:val="00E7463F"/>
    <w:rsid w:val="00E76AE4"/>
    <w:rsid w:val="00E81150"/>
    <w:rsid w:val="00E84578"/>
    <w:rsid w:val="00E916BA"/>
    <w:rsid w:val="00E91F23"/>
    <w:rsid w:val="00E95F10"/>
    <w:rsid w:val="00EA5645"/>
    <w:rsid w:val="00EA7567"/>
    <w:rsid w:val="00EB094C"/>
    <w:rsid w:val="00EB59A4"/>
    <w:rsid w:val="00EB637D"/>
    <w:rsid w:val="00EC39B8"/>
    <w:rsid w:val="00EC3CC5"/>
    <w:rsid w:val="00ED27A1"/>
    <w:rsid w:val="00ED36A2"/>
    <w:rsid w:val="00EE0E0B"/>
    <w:rsid w:val="00EE17B4"/>
    <w:rsid w:val="00EF1E3F"/>
    <w:rsid w:val="00EF3858"/>
    <w:rsid w:val="00F067A4"/>
    <w:rsid w:val="00F1473F"/>
    <w:rsid w:val="00F54848"/>
    <w:rsid w:val="00F70FA6"/>
    <w:rsid w:val="00F719F4"/>
    <w:rsid w:val="00F777F9"/>
    <w:rsid w:val="00F77B8B"/>
    <w:rsid w:val="00F963AC"/>
    <w:rsid w:val="00FB2DE3"/>
    <w:rsid w:val="00FD7E84"/>
    <w:rsid w:val="00FE72A0"/>
    <w:rsid w:val="00FF05BD"/>
    <w:rsid w:val="00FF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D616"/>
  <w15:chartTrackingRefBased/>
  <w15:docId w15:val="{C0980195-9803-4B2C-80AB-75076B13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30684"/>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630684"/>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rsid w:val="00D649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684"/>
    <w:rPr>
      <w:rFonts w:ascii="Arial" w:eastAsia="Times New Roman" w:hAnsi="Arial" w:cs="Times New Roman"/>
      <w:b/>
      <w:sz w:val="20"/>
      <w:szCs w:val="20"/>
      <w:lang w:val="en-GB"/>
    </w:rPr>
  </w:style>
  <w:style w:type="paragraph" w:customStyle="1" w:styleId="CETAuthors">
    <w:name w:val="CET Authors"/>
    <w:basedOn w:val="CETBodytext"/>
    <w:link w:val="CETAuthorsCarattere"/>
    <w:qFormat/>
    <w:rsid w:val="00630684"/>
    <w:pPr>
      <w:keepNext/>
      <w:suppressAutoHyphens/>
      <w:spacing w:after="120"/>
    </w:pPr>
    <w:rPr>
      <w:noProof/>
      <w:sz w:val="24"/>
      <w:lang w:val="en-GB"/>
    </w:rPr>
  </w:style>
  <w:style w:type="paragraph" w:customStyle="1" w:styleId="CETTitle">
    <w:name w:val="CET Title"/>
    <w:next w:val="CETAuthors"/>
    <w:link w:val="CETTitleCarattere"/>
    <w:rsid w:val="00630684"/>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630684"/>
    <w:rPr>
      <w:rFonts w:ascii="Arial" w:eastAsia="Times New Roman" w:hAnsi="Arial" w:cs="Times New Roman"/>
      <w:noProof/>
      <w:sz w:val="24"/>
      <w:szCs w:val="20"/>
      <w:lang w:val="en-GB"/>
    </w:rPr>
  </w:style>
  <w:style w:type="character" w:customStyle="1" w:styleId="CETTitleCarattere">
    <w:name w:val="CET Title Carattere"/>
    <w:link w:val="CETTitle"/>
    <w:rsid w:val="00630684"/>
    <w:rPr>
      <w:rFonts w:ascii="Arial" w:eastAsia="Times New Roman" w:hAnsi="Arial" w:cs="Times New Roman"/>
      <w:sz w:val="32"/>
      <w:szCs w:val="20"/>
      <w:lang w:val="en-GB"/>
    </w:rPr>
  </w:style>
  <w:style w:type="paragraph" w:customStyle="1" w:styleId="CETHeading1">
    <w:name w:val="CET Heading1"/>
    <w:next w:val="CETBodytext"/>
    <w:qFormat/>
    <w:rsid w:val="00630684"/>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7859E6"/>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9A0330"/>
    <w:pPr>
      <w:keepNext/>
      <w:suppressAutoHyphens/>
      <w:spacing w:before="120" w:after="120" w:line="240" w:lineRule="auto"/>
    </w:pPr>
    <w:rPr>
      <w:rFonts w:ascii="Arial" w:eastAsia="Times New Roman" w:hAnsi="Arial" w:cs="Times New Roman"/>
      <w:b/>
      <w:sz w:val="18"/>
      <w:szCs w:val="20"/>
    </w:rPr>
  </w:style>
  <w:style w:type="paragraph" w:customStyle="1" w:styleId="CETAddress">
    <w:name w:val="CET Address"/>
    <w:link w:val="CETAddressCarattere"/>
    <w:qFormat/>
    <w:rsid w:val="00630684"/>
    <w:pPr>
      <w:keepNext/>
      <w:suppressAutoHyphens/>
      <w:spacing w:after="0" w:line="276" w:lineRule="auto"/>
      <w:contextualSpacing/>
    </w:pPr>
    <w:rPr>
      <w:rFonts w:ascii="Arial" w:eastAsia="Times New Roman" w:hAnsi="Arial" w:cs="Times New Roman"/>
      <w:noProof/>
      <w:sz w:val="16"/>
      <w:szCs w:val="20"/>
      <w:lang w:val="en-GB"/>
    </w:rPr>
  </w:style>
  <w:style w:type="table" w:styleId="TableSimple1">
    <w:name w:val="Table Simple 1"/>
    <w:basedOn w:val="TableNormal"/>
    <w:semiHidden/>
    <w:rsid w:val="00630684"/>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7859E6"/>
    <w:rPr>
      <w:rFonts w:ascii="Arial" w:eastAsia="Times New Roman" w:hAnsi="Arial" w:cs="Times New Roman"/>
      <w:sz w:val="18"/>
      <w:szCs w:val="20"/>
    </w:rPr>
  </w:style>
  <w:style w:type="paragraph" w:customStyle="1" w:styleId="CETReference">
    <w:name w:val="CET Reference"/>
    <w:qFormat/>
    <w:rsid w:val="00630684"/>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630684"/>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A0330"/>
    <w:rPr>
      <w:rFonts w:ascii="Arial" w:eastAsia="Times New Roman" w:hAnsi="Arial" w:cs="Times New Roman"/>
      <w:b/>
      <w:sz w:val="18"/>
      <w:szCs w:val="20"/>
    </w:rPr>
  </w:style>
  <w:style w:type="character" w:customStyle="1" w:styleId="CETCaptionCarattere">
    <w:name w:val="CET Caption Carattere"/>
    <w:link w:val="CETCaption"/>
    <w:rsid w:val="00630684"/>
    <w:rPr>
      <w:rFonts w:ascii="Arial" w:eastAsia="Times New Roman" w:hAnsi="Arial" w:cs="Times New Roman"/>
      <w:i/>
      <w:sz w:val="18"/>
      <w:szCs w:val="20"/>
      <w:lang w:val="en-GB"/>
    </w:rPr>
  </w:style>
  <w:style w:type="paragraph" w:customStyle="1" w:styleId="CETemail">
    <w:name w:val="CET email"/>
    <w:next w:val="CETBodytext"/>
    <w:rsid w:val="00630684"/>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630684"/>
    <w:rPr>
      <w:rFonts w:ascii="Arial" w:eastAsia="Times New Roman" w:hAnsi="Arial" w:cs="Times New Roman"/>
      <w:noProof/>
      <w:sz w:val="16"/>
      <w:szCs w:val="20"/>
      <w:lang w:val="en-GB"/>
    </w:rPr>
  </w:style>
  <w:style w:type="paragraph" w:customStyle="1" w:styleId="CETnumberingbullets">
    <w:name w:val="CET numbering (bullets)"/>
    <w:rsid w:val="00630684"/>
    <w:pPr>
      <w:numPr>
        <w:numId w:val="2"/>
      </w:numPr>
      <w:spacing w:after="0" w:line="264" w:lineRule="auto"/>
    </w:pPr>
    <w:rPr>
      <w:rFonts w:ascii="Arial" w:eastAsia="Times New Roman" w:hAnsi="Arial" w:cs="Times New Roman"/>
      <w:sz w:val="18"/>
      <w:szCs w:val="20"/>
      <w:lang w:val="en-GB"/>
    </w:rPr>
  </w:style>
  <w:style w:type="paragraph" w:customStyle="1" w:styleId="CETListbullets">
    <w:name w:val="CET List bullets"/>
    <w:qFormat/>
    <w:rsid w:val="00630684"/>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30684"/>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30684"/>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30684"/>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30684"/>
    <w:pPr>
      <w:spacing w:before="120" w:after="120"/>
      <w:jc w:val="left"/>
    </w:pPr>
    <w:rPr>
      <w:lang w:val="en-GB"/>
    </w:rPr>
  </w:style>
  <w:style w:type="character" w:customStyle="1" w:styleId="stack">
    <w:name w:val="stack"/>
    <w:basedOn w:val="DefaultParagraphFont"/>
    <w:rsid w:val="005B44A0"/>
  </w:style>
  <w:style w:type="paragraph" w:styleId="ListParagraph">
    <w:name w:val="List Paragraph"/>
    <w:basedOn w:val="Normal"/>
    <w:uiPriority w:val="34"/>
    <w:qFormat/>
    <w:rsid w:val="005B44A0"/>
    <w:pPr>
      <w:ind w:left="720"/>
      <w:contextualSpacing/>
    </w:pPr>
  </w:style>
  <w:style w:type="character" w:styleId="PlaceholderText">
    <w:name w:val="Placeholder Text"/>
    <w:basedOn w:val="DefaultParagraphFont"/>
    <w:uiPriority w:val="99"/>
    <w:semiHidden/>
    <w:rsid w:val="00F77B8B"/>
    <w:rPr>
      <w:color w:val="808080"/>
    </w:rPr>
  </w:style>
  <w:style w:type="character" w:customStyle="1" w:styleId="Heading2Char">
    <w:name w:val="Heading 2 Char"/>
    <w:basedOn w:val="DefaultParagraphFont"/>
    <w:link w:val="Heading2"/>
    <w:uiPriority w:val="9"/>
    <w:rsid w:val="00D649E1"/>
    <w:rPr>
      <w:rFonts w:asciiTheme="majorHAnsi" w:eastAsiaTheme="majorEastAsia" w:hAnsiTheme="majorHAnsi" w:cstheme="majorBidi"/>
      <w:color w:val="2E74B5" w:themeColor="accent1" w:themeShade="BF"/>
      <w:sz w:val="26"/>
      <w:szCs w:val="26"/>
      <w:lang w:val="en-GB"/>
    </w:rPr>
  </w:style>
  <w:style w:type="paragraph" w:customStyle="1" w:styleId="EndNoteBibliography">
    <w:name w:val="EndNote Bibliography"/>
    <w:basedOn w:val="Normal"/>
    <w:link w:val="EndNoteBibliographyChar"/>
    <w:rsid w:val="005E0918"/>
    <w:pPr>
      <w:tabs>
        <w:tab w:val="clear" w:pos="7100"/>
      </w:tabs>
      <w:spacing w:before="120" w:after="120" w:line="240" w:lineRule="auto"/>
    </w:pPr>
    <w:rPr>
      <w:rFonts w:eastAsiaTheme="minorHAnsi" w:cs="Arial"/>
      <w:noProof/>
      <w:szCs w:val="22"/>
      <w:lang w:val="en-US"/>
    </w:rPr>
  </w:style>
  <w:style w:type="character" w:customStyle="1" w:styleId="EndNoteBibliographyChar">
    <w:name w:val="EndNote Bibliography Char"/>
    <w:basedOn w:val="DefaultParagraphFont"/>
    <w:link w:val="EndNoteBibliography"/>
    <w:rsid w:val="005E0918"/>
    <w:rPr>
      <w:rFonts w:ascii="Arial" w:hAnsi="Arial" w:cs="Arial"/>
      <w:noProof/>
      <w:sz w:val="18"/>
    </w:rPr>
  </w:style>
  <w:style w:type="paragraph" w:customStyle="1" w:styleId="EndNoteBibliographyTitle">
    <w:name w:val="EndNote Bibliography Title"/>
    <w:basedOn w:val="Normal"/>
    <w:link w:val="EndNoteBibliographyTitleChar"/>
    <w:rsid w:val="00DB1667"/>
    <w:pPr>
      <w:jc w:val="center"/>
    </w:pPr>
    <w:rPr>
      <w:rFonts w:cs="Arial"/>
      <w:noProof/>
      <w:lang w:val="en-US"/>
    </w:rPr>
  </w:style>
  <w:style w:type="character" w:customStyle="1" w:styleId="EndNoteBibliographyTitleChar">
    <w:name w:val="EndNote Bibliography Title Char"/>
    <w:basedOn w:val="CETBodytextCarattere"/>
    <w:link w:val="EndNoteBibliographyTitle"/>
    <w:rsid w:val="00DB1667"/>
    <w:rPr>
      <w:rFonts w:ascii="Arial" w:eastAsia="Times New Roman" w:hAnsi="Arial" w:cs="Arial"/>
      <w:noProof/>
      <w:sz w:val="18"/>
      <w:szCs w:val="20"/>
    </w:rPr>
  </w:style>
  <w:style w:type="character" w:styleId="Hyperlink">
    <w:name w:val="Hyperlink"/>
    <w:basedOn w:val="DefaultParagraphFont"/>
    <w:uiPriority w:val="99"/>
    <w:unhideWhenUsed/>
    <w:rsid w:val="00DB1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BELO\Documents\Donald\Wastewater%20treatment%20using%20algar\Thesis%202020\Algae%20cultivation%20in%20Industrial%20Wastewater%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BELO\Documents\Donald\Wastewater%20treatment%20using%20algar\Thesis%202020\Progress%20Report\Thesis%20Update%202021\Algae%20cultivation%20in%20Industrial%20Wastewat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4917869624014"/>
          <c:y val="6.1145080600333516E-2"/>
          <c:w val="0.8281901956124974"/>
          <c:h val="0.69283547727740247"/>
        </c:manualLayout>
      </c:layout>
      <c:barChart>
        <c:barDir val="col"/>
        <c:grouping val="clustered"/>
        <c:varyColors val="0"/>
        <c:ser>
          <c:idx val="0"/>
          <c:order val="0"/>
          <c:tx>
            <c:strRef>
              <c:f>'Paper 2 Data - PRES20'!$C$114</c:f>
              <c:strCache>
                <c:ptCount val="1"/>
                <c:pt idx="0">
                  <c:v>NO3-(mg/L)</c:v>
                </c:pt>
              </c:strCache>
            </c:strRef>
          </c:tx>
          <c:spPr>
            <a:solidFill>
              <a:schemeClr val="accent1"/>
            </a:solidFill>
            <a:ln w="19050">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'Paper 2 Data - PRES20'!$B$115:$B$126</c:f>
              <c:numCache>
                <c:formatCode>General</c:formatCode>
                <c:ptCount val="12"/>
                <c:pt idx="0">
                  <c:v>1.7090000000000001E-2</c:v>
                </c:pt>
                <c:pt idx="1">
                  <c:v>3.6606E-2</c:v>
                </c:pt>
                <c:pt idx="2">
                  <c:v>7.5063999999999992E-2</c:v>
                </c:pt>
                <c:pt idx="3">
                  <c:v>0.16058999999999998</c:v>
                </c:pt>
                <c:pt idx="4">
                  <c:v>0.23865399999999998</c:v>
                </c:pt>
                <c:pt idx="5">
                  <c:v>0.28112999999999999</c:v>
                </c:pt>
                <c:pt idx="6">
                  <c:v>0.30523800000000001</c:v>
                </c:pt>
                <c:pt idx="7">
                  <c:v>0.31269999999999998</c:v>
                </c:pt>
                <c:pt idx="8">
                  <c:v>0.31729200000000002</c:v>
                </c:pt>
                <c:pt idx="9">
                  <c:v>0.32991999999999994</c:v>
                </c:pt>
                <c:pt idx="10">
                  <c:v>0.34426999999999996</c:v>
                </c:pt>
                <c:pt idx="11">
                  <c:v>0.35287999999999997</c:v>
                </c:pt>
              </c:numCache>
            </c:numRef>
          </c:cat>
          <c:val>
            <c:numRef>
              <c:f>'Paper 2 Data - PRES20'!$C$115:$C$126</c:f>
              <c:numCache>
                <c:formatCode>General</c:formatCode>
                <c:ptCount val="12"/>
                <c:pt idx="0">
                  <c:v>1.57</c:v>
                </c:pt>
                <c:pt idx="1">
                  <c:v>1.76</c:v>
                </c:pt>
                <c:pt idx="2">
                  <c:v>2.09</c:v>
                </c:pt>
                <c:pt idx="3">
                  <c:v>2.69</c:v>
                </c:pt>
                <c:pt idx="4">
                  <c:v>2.93</c:v>
                </c:pt>
                <c:pt idx="5">
                  <c:v>3.08</c:v>
                </c:pt>
                <c:pt idx="6">
                  <c:v>3.57</c:v>
                </c:pt>
                <c:pt idx="7">
                  <c:v>3.88</c:v>
                </c:pt>
                <c:pt idx="8">
                  <c:v>4.0599999999999996</c:v>
                </c:pt>
                <c:pt idx="9">
                  <c:v>4.3499999999999996</c:v>
                </c:pt>
                <c:pt idx="10">
                  <c:v>4.5</c:v>
                </c:pt>
                <c:pt idx="11">
                  <c:v>5.25</c:v>
                </c:pt>
              </c:numCache>
            </c:numRef>
          </c:val>
          <c:extLst>
            <c:ext xmlns:c16="http://schemas.microsoft.com/office/drawing/2014/chart" uri="{C3380CC4-5D6E-409C-BE32-E72D297353CC}">
              <c16:uniqueId val="{00000000-611E-45E0-BD81-3935BD197E97}"/>
            </c:ext>
          </c:extLst>
        </c:ser>
        <c:ser>
          <c:idx val="1"/>
          <c:order val="1"/>
          <c:tx>
            <c:strRef>
              <c:f>'Paper 2 Data - PRES20'!$D$114</c:f>
              <c:strCache>
                <c:ptCount val="1"/>
                <c:pt idx="0">
                  <c:v>PO43-(mg/L)</c:v>
                </c:pt>
              </c:strCache>
            </c:strRef>
          </c:tx>
          <c:spPr>
            <a:solidFill>
              <a:schemeClr val="accent2"/>
            </a:solidFill>
            <a:ln w="19050">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'Paper 2 Data - PRES20'!$B$115:$B$126</c:f>
              <c:numCache>
                <c:formatCode>General</c:formatCode>
                <c:ptCount val="12"/>
                <c:pt idx="0">
                  <c:v>1.7090000000000001E-2</c:v>
                </c:pt>
                <c:pt idx="1">
                  <c:v>3.6606E-2</c:v>
                </c:pt>
                <c:pt idx="2">
                  <c:v>7.5063999999999992E-2</c:v>
                </c:pt>
                <c:pt idx="3">
                  <c:v>0.16058999999999998</c:v>
                </c:pt>
                <c:pt idx="4">
                  <c:v>0.23865399999999998</c:v>
                </c:pt>
                <c:pt idx="5">
                  <c:v>0.28112999999999999</c:v>
                </c:pt>
                <c:pt idx="6">
                  <c:v>0.30523800000000001</c:v>
                </c:pt>
                <c:pt idx="7">
                  <c:v>0.31269999999999998</c:v>
                </c:pt>
                <c:pt idx="8">
                  <c:v>0.31729200000000002</c:v>
                </c:pt>
                <c:pt idx="9">
                  <c:v>0.32991999999999994</c:v>
                </c:pt>
                <c:pt idx="10">
                  <c:v>0.34426999999999996</c:v>
                </c:pt>
                <c:pt idx="11">
                  <c:v>0.35287999999999997</c:v>
                </c:pt>
              </c:numCache>
            </c:numRef>
          </c:cat>
          <c:val>
            <c:numRef>
              <c:f>'Paper 2 Data - PRES20'!$D$115:$D$126</c:f>
              <c:numCache>
                <c:formatCode>General</c:formatCode>
                <c:ptCount val="12"/>
                <c:pt idx="0">
                  <c:v>1.32</c:v>
                </c:pt>
                <c:pt idx="1">
                  <c:v>0.63</c:v>
                </c:pt>
                <c:pt idx="2">
                  <c:v>1.68</c:v>
                </c:pt>
                <c:pt idx="3">
                  <c:v>2.12</c:v>
                </c:pt>
                <c:pt idx="4">
                  <c:v>2.5099999999999998</c:v>
                </c:pt>
                <c:pt idx="5">
                  <c:v>2.82</c:v>
                </c:pt>
                <c:pt idx="6">
                  <c:v>3.03</c:v>
                </c:pt>
                <c:pt idx="7">
                  <c:v>3.41</c:v>
                </c:pt>
                <c:pt idx="8">
                  <c:v>3.62</c:v>
                </c:pt>
                <c:pt idx="9">
                  <c:v>3.84</c:v>
                </c:pt>
                <c:pt idx="10">
                  <c:v>4.0199999999999996</c:v>
                </c:pt>
                <c:pt idx="11">
                  <c:v>4.21</c:v>
                </c:pt>
              </c:numCache>
            </c:numRef>
          </c:val>
          <c:extLst>
            <c:ext xmlns:c16="http://schemas.microsoft.com/office/drawing/2014/chart" uri="{C3380CC4-5D6E-409C-BE32-E72D297353CC}">
              <c16:uniqueId val="{00000001-611E-45E0-BD81-3935BD197E97}"/>
            </c:ext>
          </c:extLst>
        </c:ser>
        <c:ser>
          <c:idx val="2"/>
          <c:order val="2"/>
          <c:tx>
            <c:strRef>
              <c:f>'Paper 2 Data - PRES20'!$E$114</c:f>
              <c:strCache>
                <c:ptCount val="1"/>
                <c:pt idx="0">
                  <c:v>Lipid (mg)</c:v>
                </c:pt>
              </c:strCache>
            </c:strRef>
          </c:tx>
          <c:spPr>
            <a:solidFill>
              <a:schemeClr val="accent3"/>
            </a:solidFill>
            <a:ln w="19050">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'Paper 2 Data - PRES20'!$B$115:$B$126</c:f>
              <c:numCache>
                <c:formatCode>General</c:formatCode>
                <c:ptCount val="12"/>
                <c:pt idx="0">
                  <c:v>1.7090000000000001E-2</c:v>
                </c:pt>
                <c:pt idx="1">
                  <c:v>3.6606E-2</c:v>
                </c:pt>
                <c:pt idx="2">
                  <c:v>7.5063999999999992E-2</c:v>
                </c:pt>
                <c:pt idx="3">
                  <c:v>0.16058999999999998</c:v>
                </c:pt>
                <c:pt idx="4">
                  <c:v>0.23865399999999998</c:v>
                </c:pt>
                <c:pt idx="5">
                  <c:v>0.28112999999999999</c:v>
                </c:pt>
                <c:pt idx="6">
                  <c:v>0.30523800000000001</c:v>
                </c:pt>
                <c:pt idx="7">
                  <c:v>0.31269999999999998</c:v>
                </c:pt>
                <c:pt idx="8">
                  <c:v>0.31729200000000002</c:v>
                </c:pt>
                <c:pt idx="9">
                  <c:v>0.32991999999999994</c:v>
                </c:pt>
                <c:pt idx="10">
                  <c:v>0.34426999999999996</c:v>
                </c:pt>
                <c:pt idx="11">
                  <c:v>0.35287999999999997</c:v>
                </c:pt>
              </c:numCache>
            </c:numRef>
          </c:cat>
          <c:val>
            <c:numRef>
              <c:f>'Paper 2 Data - PRES20'!$E$115:$E$126</c:f>
              <c:numCache>
                <c:formatCode>General</c:formatCode>
                <c:ptCount val="12"/>
                <c:pt idx="0">
                  <c:v>3.8E-3</c:v>
                </c:pt>
                <c:pt idx="1">
                  <c:v>7.3000000000000001E-3</c:v>
                </c:pt>
                <c:pt idx="2">
                  <c:v>1.8499999999999999E-2</c:v>
                </c:pt>
                <c:pt idx="3">
                  <c:v>4.5100000000000001E-2</c:v>
                </c:pt>
                <c:pt idx="4">
                  <c:v>7.7600000000000002E-2</c:v>
                </c:pt>
                <c:pt idx="5">
                  <c:v>0.1023</c:v>
                </c:pt>
                <c:pt idx="6">
                  <c:v>0.1273</c:v>
                </c:pt>
                <c:pt idx="7">
                  <c:v>0.1195</c:v>
                </c:pt>
                <c:pt idx="8">
                  <c:v>0.14879999999999999</c:v>
                </c:pt>
                <c:pt idx="9">
                  <c:v>0.15939999999999999</c:v>
                </c:pt>
                <c:pt idx="10">
                  <c:v>0.1759</c:v>
                </c:pt>
                <c:pt idx="11">
                  <c:v>0.19620000000000001</c:v>
                </c:pt>
              </c:numCache>
            </c:numRef>
          </c:val>
          <c:extLst>
            <c:ext xmlns:c16="http://schemas.microsoft.com/office/drawing/2014/chart" uri="{C3380CC4-5D6E-409C-BE32-E72D297353CC}">
              <c16:uniqueId val="{00000002-611E-45E0-BD81-3935BD197E97}"/>
            </c:ext>
          </c:extLst>
        </c:ser>
        <c:dLbls>
          <c:showLegendKey val="0"/>
          <c:showVal val="0"/>
          <c:showCatName val="0"/>
          <c:showSerName val="0"/>
          <c:showPercent val="0"/>
          <c:showBubbleSize val="0"/>
        </c:dLbls>
        <c:gapWidth val="150"/>
        <c:axId val="982847247"/>
        <c:axId val="982860559"/>
      </c:barChart>
      <c:catAx>
        <c:axId val="98284724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Biomass production (g/L)</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out"/>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82860559"/>
        <c:crosses val="autoZero"/>
        <c:auto val="1"/>
        <c:lblAlgn val="ctr"/>
        <c:lblOffset val="100"/>
        <c:tickMarkSkip val="1"/>
        <c:noMultiLvlLbl val="0"/>
      </c:catAx>
      <c:valAx>
        <c:axId val="982860559"/>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Substrate removal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in"/>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82847247"/>
        <c:crosses val="autoZero"/>
        <c:crossBetween val="between"/>
      </c:valAx>
      <c:spPr>
        <a:noFill/>
        <a:ln>
          <a:noFill/>
        </a:ln>
        <a:effectLst/>
      </c:spPr>
    </c:plotArea>
    <c:legend>
      <c:legendPos val="b"/>
      <c:layout>
        <c:manualLayout>
          <c:xMode val="edge"/>
          <c:yMode val="edge"/>
          <c:x val="0.15131745757250406"/>
          <c:y val="7.9282015818061671E-2"/>
          <c:w val="0.20549475065616801"/>
          <c:h val="0.212384806065908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83712175296973"/>
          <c:y val="7.2607260726072612E-2"/>
          <c:w val="0.66853493158556432"/>
          <c:h val="0.64750292352069849"/>
        </c:manualLayout>
      </c:layout>
      <c:scatterChart>
        <c:scatterStyle val="smoothMarker"/>
        <c:varyColors val="0"/>
        <c:ser>
          <c:idx val="0"/>
          <c:order val="0"/>
          <c:tx>
            <c:strRef>
              <c:f>'PhD Objective 2'!$B$39</c:f>
              <c:strCache>
                <c:ptCount val="1"/>
                <c:pt idx="0">
                  <c:v>Run 1</c:v>
                </c:pt>
              </c:strCache>
            </c:strRef>
          </c:tx>
          <c:spPr>
            <a:ln w="19050" cap="rnd">
              <a:solidFill>
                <a:schemeClr val="accent2"/>
              </a:solidFill>
              <a:round/>
            </a:ln>
            <a:effectLst/>
          </c:spPr>
          <c:marker>
            <c:symbol val="none"/>
          </c:marker>
          <c:dLbls>
            <c:dLbl>
              <c:idx val="22"/>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10-4C71-BFCC-2DDA2D8F9C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'PhD Objective 2'!$A$40:$A$62</c:f>
              <c:numCache>
                <c:formatCode>General</c:formatCode>
                <c:ptCount val="23"/>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xVal>
          <c:yVal>
            <c:numRef>
              <c:f>'PhD Objective 2'!$B$40:$B$62</c:f>
              <c:numCache>
                <c:formatCode>General</c:formatCode>
                <c:ptCount val="23"/>
                <c:pt idx="0">
                  <c:v>1.4E-2</c:v>
                </c:pt>
                <c:pt idx="1">
                  <c:v>1.9E-2</c:v>
                </c:pt>
                <c:pt idx="2">
                  <c:v>2.7E-2</c:v>
                </c:pt>
                <c:pt idx="3">
                  <c:v>4.9000000000000002E-2</c:v>
                </c:pt>
                <c:pt idx="4">
                  <c:v>1.4999999999999999E-2</c:v>
                </c:pt>
                <c:pt idx="5">
                  <c:v>3.7999999999999999E-2</c:v>
                </c:pt>
                <c:pt idx="6">
                  <c:v>3.5999999999999997E-2</c:v>
                </c:pt>
                <c:pt idx="7">
                  <c:v>3.7999999999999999E-2</c:v>
                </c:pt>
                <c:pt idx="8">
                  <c:v>1.2E-2</c:v>
                </c:pt>
                <c:pt idx="9">
                  <c:v>0.23899999999999999</c:v>
                </c:pt>
                <c:pt idx="10">
                  <c:v>0.246</c:v>
                </c:pt>
                <c:pt idx="11">
                  <c:v>0.249</c:v>
                </c:pt>
                <c:pt idx="12">
                  <c:v>0.253</c:v>
                </c:pt>
                <c:pt idx="13">
                  <c:v>0.30199999999999999</c:v>
                </c:pt>
                <c:pt idx="14">
                  <c:v>0.41199999999999998</c:v>
                </c:pt>
                <c:pt idx="15">
                  <c:v>0.51400000000000001</c:v>
                </c:pt>
                <c:pt idx="16">
                  <c:v>0.56299999999999994</c:v>
                </c:pt>
                <c:pt idx="17">
                  <c:v>0.621</c:v>
                </c:pt>
                <c:pt idx="18">
                  <c:v>0.63200000000000001</c:v>
                </c:pt>
                <c:pt idx="19">
                  <c:v>0.64300000000000002</c:v>
                </c:pt>
                <c:pt idx="20">
                  <c:v>0.66200000000000003</c:v>
                </c:pt>
                <c:pt idx="21">
                  <c:v>0.68799999999999994</c:v>
                </c:pt>
              </c:numCache>
            </c:numRef>
          </c:yVal>
          <c:smooth val="1"/>
          <c:extLst>
            <c:ext xmlns:c16="http://schemas.microsoft.com/office/drawing/2014/chart" uri="{C3380CC4-5D6E-409C-BE32-E72D297353CC}">
              <c16:uniqueId val="{00000001-AE10-4C71-BFCC-2DDA2D8F9C00}"/>
            </c:ext>
          </c:extLst>
        </c:ser>
        <c:ser>
          <c:idx val="1"/>
          <c:order val="1"/>
          <c:tx>
            <c:strRef>
              <c:f>'PhD Objective 2'!$C$39</c:f>
              <c:strCache>
                <c:ptCount val="1"/>
                <c:pt idx="0">
                  <c:v>Run 2</c:v>
                </c:pt>
              </c:strCache>
            </c:strRef>
          </c:tx>
          <c:spPr>
            <a:ln w="19050" cap="rnd">
              <a:solidFill>
                <a:schemeClr val="accent4"/>
              </a:solidFill>
              <a:round/>
            </a:ln>
            <a:effectLst/>
          </c:spPr>
          <c:marker>
            <c:symbol val="none"/>
          </c:marker>
          <c:dLbls>
            <c:dLbl>
              <c:idx val="22"/>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10-4C71-BFCC-2DDA2D8F9C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'PhD Objective 2'!$A$40:$A$62</c:f>
              <c:numCache>
                <c:formatCode>General</c:formatCode>
                <c:ptCount val="23"/>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xVal>
          <c:yVal>
            <c:numRef>
              <c:f>'PhD Objective 2'!$C$40:$C$62</c:f>
              <c:numCache>
                <c:formatCode>General</c:formatCode>
                <c:ptCount val="23"/>
                <c:pt idx="0">
                  <c:v>0.13600000000000001</c:v>
                </c:pt>
                <c:pt idx="1">
                  <c:v>0.14099999999999999</c:v>
                </c:pt>
                <c:pt idx="2">
                  <c:v>0.16300000000000001</c:v>
                </c:pt>
                <c:pt idx="3">
                  <c:v>0.158</c:v>
                </c:pt>
                <c:pt idx="4">
                  <c:v>0.28499999999999998</c:v>
                </c:pt>
                <c:pt idx="5">
                  <c:v>0.38100000000000001</c:v>
                </c:pt>
                <c:pt idx="6">
                  <c:v>0.42099999999999999</c:v>
                </c:pt>
                <c:pt idx="7">
                  <c:v>0.432</c:v>
                </c:pt>
                <c:pt idx="8">
                  <c:v>0.45700000000000002</c:v>
                </c:pt>
                <c:pt idx="9">
                  <c:v>0.46800000000000003</c:v>
                </c:pt>
                <c:pt idx="10">
                  <c:v>0.47299999999999998</c:v>
                </c:pt>
                <c:pt idx="11">
                  <c:v>0.48599999999999999</c:v>
                </c:pt>
                <c:pt idx="12">
                  <c:v>0.495</c:v>
                </c:pt>
                <c:pt idx="13">
                  <c:v>0.497</c:v>
                </c:pt>
                <c:pt idx="14">
                  <c:v>0.54300000000000004</c:v>
                </c:pt>
                <c:pt idx="15">
                  <c:v>0.56499999999999995</c:v>
                </c:pt>
                <c:pt idx="16">
                  <c:v>0.56100000000000005</c:v>
                </c:pt>
                <c:pt idx="17">
                  <c:v>0.57999999999999996</c:v>
                </c:pt>
                <c:pt idx="18">
                  <c:v>0.58499999999999996</c:v>
                </c:pt>
                <c:pt idx="19">
                  <c:v>0.60499999999999998</c:v>
                </c:pt>
                <c:pt idx="20">
                  <c:v>0.60699999999999998</c:v>
                </c:pt>
                <c:pt idx="21">
                  <c:v>0.62</c:v>
                </c:pt>
              </c:numCache>
            </c:numRef>
          </c:yVal>
          <c:smooth val="1"/>
          <c:extLst>
            <c:ext xmlns:c16="http://schemas.microsoft.com/office/drawing/2014/chart" uri="{C3380CC4-5D6E-409C-BE32-E72D297353CC}">
              <c16:uniqueId val="{00000003-AE10-4C71-BFCC-2DDA2D8F9C00}"/>
            </c:ext>
          </c:extLst>
        </c:ser>
        <c:ser>
          <c:idx val="2"/>
          <c:order val="2"/>
          <c:tx>
            <c:strRef>
              <c:f>'PhD Objective 2'!$D$39</c:f>
              <c:strCache>
                <c:ptCount val="1"/>
                <c:pt idx="0">
                  <c:v>Run 3</c:v>
                </c:pt>
              </c:strCache>
            </c:strRef>
          </c:tx>
          <c:spPr>
            <a:ln w="19050" cap="rnd">
              <a:solidFill>
                <a:schemeClr val="accent6"/>
              </a:solidFill>
              <a:round/>
            </a:ln>
            <a:effectLst/>
          </c:spPr>
          <c:marker>
            <c:symbol val="none"/>
          </c:marker>
          <c:dLbls>
            <c:dLbl>
              <c:idx val="22"/>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10-4C71-BFCC-2DDA2D8F9C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'PhD Objective 2'!$A$40:$A$62</c:f>
              <c:numCache>
                <c:formatCode>General</c:formatCode>
                <c:ptCount val="23"/>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xVal>
          <c:yVal>
            <c:numRef>
              <c:f>'PhD Objective 2'!$D$40:$D$62</c:f>
              <c:numCache>
                <c:formatCode>General</c:formatCode>
                <c:ptCount val="23"/>
                <c:pt idx="0">
                  <c:v>8.8999999999999996E-2</c:v>
                </c:pt>
                <c:pt idx="1">
                  <c:v>8.6999999999999994E-2</c:v>
                </c:pt>
                <c:pt idx="2">
                  <c:v>8.5000000000000006E-2</c:v>
                </c:pt>
                <c:pt idx="3">
                  <c:v>8.4000000000000005E-2</c:v>
                </c:pt>
                <c:pt idx="4">
                  <c:v>8.2000000000000003E-2</c:v>
                </c:pt>
                <c:pt idx="5">
                  <c:v>8.3000000000000004E-2</c:v>
                </c:pt>
                <c:pt idx="6">
                  <c:v>8.5000000000000006E-2</c:v>
                </c:pt>
                <c:pt idx="7">
                  <c:v>8.5999999999999993E-2</c:v>
                </c:pt>
                <c:pt idx="8">
                  <c:v>8.6999999999999994E-2</c:v>
                </c:pt>
                <c:pt idx="9">
                  <c:v>8.5000000000000006E-2</c:v>
                </c:pt>
                <c:pt idx="10">
                  <c:v>8.3000000000000004E-2</c:v>
                </c:pt>
                <c:pt idx="11">
                  <c:v>0.08</c:v>
                </c:pt>
                <c:pt idx="12">
                  <c:v>7.9000000000000001E-2</c:v>
                </c:pt>
              </c:numCache>
            </c:numRef>
          </c:yVal>
          <c:smooth val="1"/>
          <c:extLst>
            <c:ext xmlns:c16="http://schemas.microsoft.com/office/drawing/2014/chart" uri="{C3380CC4-5D6E-409C-BE32-E72D297353CC}">
              <c16:uniqueId val="{00000005-AE10-4C71-BFCC-2DDA2D8F9C00}"/>
            </c:ext>
          </c:extLst>
        </c:ser>
        <c:ser>
          <c:idx val="3"/>
          <c:order val="3"/>
          <c:tx>
            <c:strRef>
              <c:f>'PhD Objective 2'!$E$39</c:f>
              <c:strCache>
                <c:ptCount val="1"/>
                <c:pt idx="0">
                  <c:v>Run 4</c:v>
                </c:pt>
              </c:strCache>
            </c:strRef>
          </c:tx>
          <c:spPr>
            <a:ln w="19050" cap="rnd">
              <a:solidFill>
                <a:schemeClr val="accent2">
                  <a:lumMod val="60000"/>
                </a:schemeClr>
              </a:solidFill>
              <a:round/>
            </a:ln>
            <a:effectLst/>
          </c:spPr>
          <c:marker>
            <c:symbol val="none"/>
          </c:marker>
          <c:dLbls>
            <c:dLbl>
              <c:idx val="22"/>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10-4C71-BFCC-2DDA2D8F9C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'PhD Objective 2'!$A$40:$A$62</c:f>
              <c:numCache>
                <c:formatCode>General</c:formatCode>
                <c:ptCount val="23"/>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xVal>
          <c:yVal>
            <c:numRef>
              <c:f>'PhD Objective 2'!$E$40:$E$62</c:f>
              <c:numCache>
                <c:formatCode>General</c:formatCode>
                <c:ptCount val="23"/>
                <c:pt idx="0">
                  <c:v>3.7999999999999999E-2</c:v>
                </c:pt>
                <c:pt idx="1">
                  <c:v>4.2999999999999997E-2</c:v>
                </c:pt>
                <c:pt idx="2">
                  <c:v>4.8000000000000001E-2</c:v>
                </c:pt>
                <c:pt idx="3">
                  <c:v>0.05</c:v>
                </c:pt>
                <c:pt idx="4">
                  <c:v>4.8000000000000001E-2</c:v>
                </c:pt>
                <c:pt idx="5">
                  <c:v>4.4999999999999998E-2</c:v>
                </c:pt>
                <c:pt idx="6">
                  <c:v>4.5999999999999999E-2</c:v>
                </c:pt>
                <c:pt idx="7">
                  <c:v>5.5E-2</c:v>
                </c:pt>
                <c:pt idx="8">
                  <c:v>0.10299999999999999</c:v>
                </c:pt>
                <c:pt idx="9">
                  <c:v>0.182</c:v>
                </c:pt>
                <c:pt idx="10">
                  <c:v>0.23799999999999999</c:v>
                </c:pt>
                <c:pt idx="11">
                  <c:v>0.27600000000000002</c:v>
                </c:pt>
                <c:pt idx="12">
                  <c:v>0.315</c:v>
                </c:pt>
                <c:pt idx="13">
                  <c:v>0.38700000000000001</c:v>
                </c:pt>
                <c:pt idx="14">
                  <c:v>0.42599999999999999</c:v>
                </c:pt>
                <c:pt idx="15">
                  <c:v>0.45800000000000002</c:v>
                </c:pt>
                <c:pt idx="16">
                  <c:v>0.54300000000000004</c:v>
                </c:pt>
                <c:pt idx="17">
                  <c:v>0.57899999999999996</c:v>
                </c:pt>
                <c:pt idx="18">
                  <c:v>0.68100000000000005</c:v>
                </c:pt>
                <c:pt idx="19">
                  <c:v>0.69199999999999995</c:v>
                </c:pt>
                <c:pt idx="20">
                  <c:v>0.76900000000000002</c:v>
                </c:pt>
                <c:pt idx="21">
                  <c:v>0.79200000000000004</c:v>
                </c:pt>
              </c:numCache>
            </c:numRef>
          </c:yVal>
          <c:smooth val="1"/>
          <c:extLst>
            <c:ext xmlns:c16="http://schemas.microsoft.com/office/drawing/2014/chart" uri="{C3380CC4-5D6E-409C-BE32-E72D297353CC}">
              <c16:uniqueId val="{00000007-AE10-4C71-BFCC-2DDA2D8F9C00}"/>
            </c:ext>
          </c:extLst>
        </c:ser>
        <c:dLbls>
          <c:showLegendKey val="0"/>
          <c:showVal val="0"/>
          <c:showCatName val="0"/>
          <c:showSerName val="0"/>
          <c:showPercent val="0"/>
          <c:showBubbleSize val="0"/>
        </c:dLbls>
        <c:axId val="764938304"/>
        <c:axId val="764932896"/>
      </c:scatterChart>
      <c:valAx>
        <c:axId val="764938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Incubation time, 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932896"/>
        <c:crosses val="autoZero"/>
        <c:crossBetween val="midCat"/>
      </c:valAx>
      <c:valAx>
        <c:axId val="7649328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Optical Density (at 680 nm)</a:t>
                </a:r>
              </a:p>
            </c:rich>
          </c:tx>
          <c:overlay val="0"/>
          <c:spPr>
            <a:noFill/>
            <a:ln>
              <a:solidFill>
                <a:schemeClr val="bg1"/>
              </a:solid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938304"/>
        <c:crosses val="autoZero"/>
        <c:crossBetween val="midCat"/>
      </c:valAx>
      <c:spPr>
        <a:noFill/>
        <a:ln>
          <a:noFill/>
        </a:ln>
        <a:effectLst/>
      </c:spPr>
    </c:plotArea>
    <c:legend>
      <c:legendPos val="r"/>
      <c:layout>
        <c:manualLayout>
          <c:xMode val="edge"/>
          <c:yMode val="edge"/>
          <c:x val="0.65844950495739107"/>
          <c:y val="0.13989768477957451"/>
          <c:w val="0.28475623983534559"/>
          <c:h val="0.455999905841366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2760-97C2-4AF2-AE83-D444EC90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13405</TotalTime>
  <Pages>6</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Kukwa</dc:creator>
  <cp:keywords/>
  <dc:description/>
  <cp:lastModifiedBy>Donald Kukwa</cp:lastModifiedBy>
  <cp:revision>6</cp:revision>
  <dcterms:created xsi:type="dcterms:W3CDTF">2022-06-20T01:16:00Z</dcterms:created>
  <dcterms:modified xsi:type="dcterms:W3CDTF">2022-07-29T01:26:00Z</dcterms:modified>
</cp:coreProperties>
</file>