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C83BD3">
        <w:trPr>
          <w:trHeight w:val="852"/>
          <w:jc w:val="center"/>
        </w:trPr>
        <w:tc>
          <w:tcPr>
            <w:tcW w:w="6940" w:type="dxa"/>
            <w:vMerge w:val="restart"/>
            <w:tcBorders>
              <w:right w:val="single" w:sz="4" w:space="0" w:color="auto"/>
            </w:tcBorders>
          </w:tcPr>
          <w:p w14:paraId="38C3D2BA" w14:textId="345269A8" w:rsidR="000A03B2" w:rsidRPr="00B57B36" w:rsidRDefault="00B91891" w:rsidP="002C117D">
            <w:pPr>
              <w:tabs>
                <w:tab w:val="left" w:pos="-108"/>
              </w:tabs>
              <w:ind w:left="-108"/>
              <w:rPr>
                <w:rFonts w:cs="Arial"/>
                <w:b/>
                <w:bCs/>
                <w:i/>
                <w:iCs/>
                <w:color w:val="000066"/>
                <w:sz w:val="12"/>
                <w:szCs w:val="12"/>
                <w:lang w:eastAsia="it-IT"/>
              </w:rPr>
            </w:pPr>
            <w:r>
              <w:rPr>
                <w:rFonts w:ascii="AdvP6960" w:hAnsi="AdvP6960" w:cs="AdvP6960"/>
                <w:color w:val="241F20"/>
                <w:szCs w:val="18"/>
                <w:lang w:eastAsia="it-IT"/>
              </w:rPr>
              <w:t xml:space="preserve">   </w:t>
            </w:r>
            <w:r w:rsidR="002C117D">
              <w:rPr>
                <w:rFonts w:ascii="AdvP6960" w:hAnsi="AdvP6960" w:cs="AdvP6960"/>
                <w:color w:val="241F20"/>
                <w:szCs w:val="18"/>
                <w:lang w:eastAsia="it-IT"/>
              </w:rPr>
              <w:t>-</w:t>
            </w:r>
            <w:r w:rsidR="000A03B2" w:rsidRPr="00B57B36">
              <w:rPr>
                <w:rFonts w:ascii="AdvP6960" w:hAnsi="AdvP6960" w:cs="AdvP6960"/>
                <w:noProof/>
                <w:color w:val="241F20"/>
                <w:szCs w:val="18"/>
                <w:lang w:val="en-ZA" w:eastAsia="en-ZA"/>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000A03B2" w:rsidRPr="00B57B36">
              <w:rPr>
                <w:rFonts w:ascii="AdvP6960" w:hAnsi="AdvP6960" w:cs="AdvP6960"/>
                <w:color w:val="241F20"/>
                <w:szCs w:val="18"/>
                <w:lang w:eastAsia="it-IT"/>
              </w:rPr>
              <w:t xml:space="preserve"> </w:t>
            </w:r>
            <w:r w:rsidR="000A03B2" w:rsidRPr="00B57B36">
              <w:rPr>
                <w:rFonts w:cs="Arial"/>
                <w:b/>
                <w:bCs/>
                <w:i/>
                <w:iCs/>
                <w:color w:val="000066"/>
                <w:sz w:val="24"/>
                <w:szCs w:val="24"/>
                <w:lang w:eastAsia="it-IT"/>
              </w:rPr>
              <w:t>CHEMICAL ENGINEERING</w:t>
            </w:r>
            <w:r w:rsidR="000A03B2" w:rsidRPr="00B57B36">
              <w:rPr>
                <w:rFonts w:cs="Arial"/>
                <w:b/>
                <w:bCs/>
                <w:i/>
                <w:iCs/>
                <w:color w:val="0033FF"/>
                <w:sz w:val="24"/>
                <w:szCs w:val="24"/>
                <w:lang w:eastAsia="it-IT"/>
              </w:rPr>
              <w:t xml:space="preserve"> </w:t>
            </w:r>
            <w:r w:rsidR="000A03B2" w:rsidRPr="00B57B36">
              <w:rPr>
                <w:rFonts w:cs="Arial"/>
                <w:b/>
                <w:bCs/>
                <w:i/>
                <w:iCs/>
                <w:color w:val="666666"/>
                <w:sz w:val="24"/>
                <w:szCs w:val="24"/>
                <w:lang w:eastAsia="it-IT"/>
              </w:rPr>
              <w:t>TRANSACTIONS</w:t>
            </w:r>
            <w:r w:rsidR="000A03B2" w:rsidRPr="00B57B36">
              <w:rPr>
                <w:color w:val="333333"/>
                <w:sz w:val="24"/>
                <w:szCs w:val="24"/>
                <w:lang w:eastAsia="it-IT"/>
              </w:rPr>
              <w:t xml:space="preserve"> </w:t>
            </w:r>
            <w:r w:rsidR="000A03B2"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ZA" w:eastAsia="en-ZA"/>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C83BD3">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C83BD3">
        <w:trPr>
          <w:trHeight w:val="68"/>
          <w:jc w:val="center"/>
        </w:trPr>
        <w:tc>
          <w:tcPr>
            <w:tcW w:w="8782"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David Bogle,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6C14B0A7" w14:textId="1C3A87C0" w:rsidR="00C83BD3" w:rsidRDefault="00C83BD3" w:rsidP="00B57E6F">
      <w:pPr>
        <w:pStyle w:val="CETAuthors"/>
        <w:rPr>
          <w:noProof w:val="0"/>
          <w:sz w:val="32"/>
        </w:rPr>
      </w:pPr>
      <w:r w:rsidRPr="00C83BD3">
        <w:rPr>
          <w:noProof w:val="0"/>
          <w:sz w:val="32"/>
        </w:rPr>
        <w:t>Eco-friendly r</w:t>
      </w:r>
      <w:r w:rsidR="002E4965">
        <w:rPr>
          <w:noProof w:val="0"/>
          <w:sz w:val="32"/>
        </w:rPr>
        <w:t xml:space="preserve">emoval of </w:t>
      </w:r>
      <w:r w:rsidR="002E4965" w:rsidRPr="002E4965">
        <w:rPr>
          <w:noProof w:val="0"/>
          <w:sz w:val="32"/>
        </w:rPr>
        <w:t xml:space="preserve">methylene blue </w:t>
      </w:r>
      <w:r w:rsidRPr="00C83BD3">
        <w:rPr>
          <w:noProof w:val="0"/>
          <w:sz w:val="32"/>
        </w:rPr>
        <w:t xml:space="preserve">from aqueous medium using low </w:t>
      </w:r>
      <w:r>
        <w:rPr>
          <w:noProof w:val="0"/>
          <w:sz w:val="32"/>
        </w:rPr>
        <w:t xml:space="preserve">cost sawdust-biochar adsorbent. </w:t>
      </w:r>
    </w:p>
    <w:p w14:paraId="0488FED2" w14:textId="5119F68F" w:rsidR="00B57E6F" w:rsidRPr="00B57B36" w:rsidRDefault="00C83BD3" w:rsidP="00B57E6F">
      <w:pPr>
        <w:pStyle w:val="CETAuthors"/>
      </w:pPr>
      <w:r w:rsidRPr="00C83BD3">
        <w:t>Emmanuel O. Ichipi</w:t>
      </w:r>
      <w:r w:rsidRPr="00C83BD3">
        <w:rPr>
          <w:vertAlign w:val="superscript"/>
        </w:rPr>
        <w:t>a</w:t>
      </w:r>
      <w:r w:rsidRPr="00C83BD3">
        <w:t>*, Shepherd M. Tichapondwa</w:t>
      </w:r>
      <w:r w:rsidRPr="00C83BD3">
        <w:rPr>
          <w:vertAlign w:val="superscript"/>
        </w:rPr>
        <w:t>b</w:t>
      </w:r>
      <w:r w:rsidRPr="00C83BD3">
        <w:t>, Evans M. N. Chirwa</w:t>
      </w:r>
      <w:r w:rsidRPr="00C83BD3">
        <w:rPr>
          <w:vertAlign w:val="superscript"/>
        </w:rPr>
        <w:t>b</w:t>
      </w:r>
    </w:p>
    <w:p w14:paraId="6B2D21B3" w14:textId="529ACA38" w:rsidR="00B57E6F" w:rsidRPr="00B57B36" w:rsidRDefault="00B57E6F" w:rsidP="00B57E6F">
      <w:pPr>
        <w:pStyle w:val="CETAddress"/>
      </w:pPr>
      <w:r w:rsidRPr="00B57B36">
        <w:rPr>
          <w:vertAlign w:val="superscript"/>
        </w:rPr>
        <w:t>a</w:t>
      </w:r>
      <w:r w:rsidR="00C83BD3" w:rsidRPr="00C83BD3">
        <w:t>Water Utilisation and Environmental Engineering Division</w:t>
      </w:r>
    </w:p>
    <w:p w14:paraId="3D72B0B0" w14:textId="39F126BD" w:rsidR="00B57E6F" w:rsidRPr="00B57B36" w:rsidRDefault="00B57E6F" w:rsidP="00B57E6F">
      <w:pPr>
        <w:pStyle w:val="CETAddress"/>
      </w:pPr>
      <w:r w:rsidRPr="00B57B36">
        <w:rPr>
          <w:vertAlign w:val="superscript"/>
        </w:rPr>
        <w:t>b</w:t>
      </w:r>
      <w:r w:rsidR="00C83BD3" w:rsidRPr="00C83BD3">
        <w:t xml:space="preserve"> Department of Chemical Engineering, University of Pretoria, Pretoria 0002.</w:t>
      </w:r>
      <w:r w:rsidRPr="00B57B36">
        <w:t xml:space="preserve"> </w:t>
      </w:r>
    </w:p>
    <w:p w14:paraId="73F1267A" w14:textId="0184DBD5" w:rsidR="00B57E6F" w:rsidRPr="00B57B36" w:rsidRDefault="00B57E6F" w:rsidP="00B57E6F">
      <w:pPr>
        <w:pStyle w:val="CETemail"/>
      </w:pPr>
      <w:r>
        <w:t xml:space="preserve"> </w:t>
      </w:r>
      <w:r w:rsidR="00C83BD3" w:rsidRPr="00C83BD3">
        <w:t>Email: u17227870@tuks.co.za</w:t>
      </w:r>
    </w:p>
    <w:p w14:paraId="04B319EE" w14:textId="787257C7" w:rsidR="00600535" w:rsidRPr="00B57B36" w:rsidRDefault="00E446E0" w:rsidP="00600535">
      <w:pPr>
        <w:pStyle w:val="CETBodytext"/>
        <w:rPr>
          <w:lang w:val="en-GB"/>
        </w:rPr>
      </w:pPr>
      <w:bookmarkStart w:id="0" w:name="_Hlk495475023"/>
      <w:r w:rsidRPr="00E446E0">
        <w:rPr>
          <w:lang w:val="en-GB"/>
        </w:rPr>
        <w:t xml:space="preserve">This study reports on the facile synthesis and viability of sawdust-derived-biochar adsorbent for the effective removal of </w:t>
      </w:r>
      <w:r w:rsidR="002E4965" w:rsidRPr="00E446E0">
        <w:rPr>
          <w:lang w:val="en-GB"/>
        </w:rPr>
        <w:t xml:space="preserve">methylene blue </w:t>
      </w:r>
      <w:r w:rsidR="002E4965">
        <w:rPr>
          <w:lang w:val="en-GB"/>
        </w:rPr>
        <w:t>dye pollutant</w:t>
      </w:r>
      <w:r w:rsidRPr="00E446E0">
        <w:rPr>
          <w:lang w:val="en-GB"/>
        </w:rPr>
        <w:t xml:space="preserve"> from aqueous medium. The crystallinity, morpholog</w:t>
      </w:r>
      <w:r w:rsidR="007B5561">
        <w:rPr>
          <w:lang w:val="en-GB"/>
        </w:rPr>
        <w:t>y</w:t>
      </w:r>
      <w:r w:rsidRPr="00E446E0">
        <w:rPr>
          <w:lang w:val="en-GB"/>
        </w:rPr>
        <w:t xml:space="preserve"> and </w:t>
      </w:r>
      <w:r w:rsidR="007B5561">
        <w:rPr>
          <w:lang w:val="en-GB"/>
        </w:rPr>
        <w:t>surface functional group</w:t>
      </w:r>
      <w:r w:rsidRPr="00E446E0">
        <w:rPr>
          <w:lang w:val="en-GB"/>
        </w:rPr>
        <w:t xml:space="preserve">s of the synthesised materials were determined using XRD, SEM and </w:t>
      </w:r>
      <w:r w:rsidRPr="005318BC">
        <w:rPr>
          <w:lang w:val="en-GB"/>
        </w:rPr>
        <w:t>FTIR</w:t>
      </w:r>
      <w:r w:rsidRPr="00E446E0">
        <w:rPr>
          <w:lang w:val="en-GB"/>
        </w:rPr>
        <w:t xml:space="preserve"> characterisation techniques. The adsorption efficiency of saw</w:t>
      </w:r>
      <w:r w:rsidR="007B5561">
        <w:rPr>
          <w:lang w:val="en-GB"/>
        </w:rPr>
        <w:t>dust biochar was investigated by observing</w:t>
      </w:r>
      <w:r w:rsidRPr="00E446E0">
        <w:rPr>
          <w:lang w:val="en-GB"/>
        </w:rPr>
        <w:t xml:space="preserve"> the removal of methylene blue </w:t>
      </w:r>
      <w:r w:rsidR="007B5561">
        <w:rPr>
          <w:lang w:val="en-GB"/>
        </w:rPr>
        <w:t xml:space="preserve">dye </w:t>
      </w:r>
      <w:r w:rsidRPr="00E446E0">
        <w:rPr>
          <w:lang w:val="en-GB"/>
        </w:rPr>
        <w:t xml:space="preserve">(MB) </w:t>
      </w:r>
      <w:r w:rsidR="007B5561">
        <w:rPr>
          <w:lang w:val="en-GB"/>
        </w:rPr>
        <w:t xml:space="preserve">from an aqueous system </w:t>
      </w:r>
      <w:r w:rsidRPr="00E446E0">
        <w:rPr>
          <w:lang w:val="en-GB"/>
        </w:rPr>
        <w:t>while varying</w:t>
      </w:r>
      <w:r w:rsidR="007B5561">
        <w:rPr>
          <w:lang w:val="en-GB"/>
        </w:rPr>
        <w:t xml:space="preserve"> process</w:t>
      </w:r>
      <w:r w:rsidRPr="00E446E0">
        <w:rPr>
          <w:lang w:val="en-GB"/>
        </w:rPr>
        <w:t xml:space="preserve"> parameters like the adsorbent loading and initial concentration. Results showed that the sawdust biochar ach</w:t>
      </w:r>
      <w:r>
        <w:rPr>
          <w:lang w:val="en-GB"/>
        </w:rPr>
        <w:t>ieved remarkable removal of 98</w:t>
      </w:r>
      <w:r w:rsidR="002363D1">
        <w:rPr>
          <w:lang w:val="en-GB"/>
        </w:rPr>
        <w:t>.7</w:t>
      </w:r>
      <w:r w:rsidRPr="00E446E0">
        <w:rPr>
          <w:lang w:val="en-GB"/>
        </w:rPr>
        <w:t xml:space="preserve"> % MB in 90 minutes and a complete removal after 120 minutes. The </w:t>
      </w:r>
      <w:r w:rsidR="007B5561">
        <w:rPr>
          <w:lang w:val="en-GB"/>
        </w:rPr>
        <w:t>adsorption kinetics</w:t>
      </w:r>
      <w:r w:rsidR="007B5561" w:rsidRPr="007B5561">
        <w:t xml:space="preserve"> </w:t>
      </w:r>
      <w:r w:rsidR="007B5561" w:rsidRPr="007B5561">
        <w:rPr>
          <w:lang w:val="en-GB"/>
        </w:rPr>
        <w:t>were best described by the</w:t>
      </w:r>
      <w:r w:rsidR="007B5561">
        <w:rPr>
          <w:lang w:val="en-GB"/>
        </w:rPr>
        <w:t xml:space="preserve"> </w:t>
      </w:r>
      <w:r>
        <w:rPr>
          <w:lang w:val="en-GB"/>
        </w:rPr>
        <w:t xml:space="preserve">pseudo-first-order kinetics model </w:t>
      </w:r>
      <w:r w:rsidR="007B5561">
        <w:rPr>
          <w:lang w:val="en-GB"/>
        </w:rPr>
        <w:t xml:space="preserve">and </w:t>
      </w:r>
      <w:r>
        <w:rPr>
          <w:lang w:val="en-GB"/>
        </w:rPr>
        <w:t xml:space="preserve">had </w:t>
      </w:r>
      <w:r w:rsidR="007B5561">
        <w:rPr>
          <w:lang w:val="en-GB"/>
        </w:rPr>
        <w:t>a</w:t>
      </w:r>
      <w:r w:rsidRPr="00E446E0">
        <w:rPr>
          <w:lang w:val="en-GB"/>
        </w:rPr>
        <w:t xml:space="preserve"> R</w:t>
      </w:r>
      <w:r w:rsidRPr="00E446E0">
        <w:rPr>
          <w:vertAlign w:val="superscript"/>
          <w:lang w:val="en-GB"/>
        </w:rPr>
        <w:t>2</w:t>
      </w:r>
      <w:r w:rsidR="007B5561">
        <w:rPr>
          <w:lang w:val="en-GB"/>
        </w:rPr>
        <w:t xml:space="preserve"> value</w:t>
      </w:r>
      <w:r w:rsidRPr="00E446E0">
        <w:rPr>
          <w:lang w:val="en-GB"/>
        </w:rPr>
        <w:t xml:space="preserve"> higher than 0.97</w:t>
      </w:r>
      <w:r w:rsidR="007B5561">
        <w:rPr>
          <w:lang w:val="en-GB"/>
        </w:rPr>
        <w:t>.</w:t>
      </w:r>
      <w:r>
        <w:rPr>
          <w:lang w:val="en-GB"/>
        </w:rPr>
        <w:t xml:space="preserve"> </w:t>
      </w:r>
      <w:r w:rsidR="007B5561">
        <w:rPr>
          <w:lang w:val="en-GB"/>
        </w:rPr>
        <w:t xml:space="preserve">Additionally, the </w:t>
      </w:r>
      <w:r w:rsidR="007B5561" w:rsidRPr="007B5561">
        <w:rPr>
          <w:lang w:val="en-GB"/>
        </w:rPr>
        <w:t xml:space="preserve">Langmuir adsorption isotherm model, which points to monolayer adsorption, fit the results best and showed the material to have an adsorption capacity of </w:t>
      </w:r>
      <w:r w:rsidR="00A25652">
        <w:rPr>
          <w:lang w:val="en-GB"/>
        </w:rPr>
        <w:t>151.3</w:t>
      </w:r>
      <w:r w:rsidR="007B5561" w:rsidRPr="007B5561">
        <w:rPr>
          <w:lang w:val="en-GB"/>
        </w:rPr>
        <w:t xml:space="preserve"> mg/g.</w:t>
      </w:r>
      <w:r w:rsidR="007B5561">
        <w:rPr>
          <w:lang w:val="en-GB"/>
        </w:rPr>
        <w:t xml:space="preserve"> </w:t>
      </w:r>
      <w:r w:rsidRPr="00E446E0">
        <w:rPr>
          <w:lang w:val="en-GB"/>
        </w:rPr>
        <w:t xml:space="preserve">Finally, the results obtained from this study depicts the efficiency of sawdust biochar </w:t>
      </w:r>
      <w:r w:rsidR="00BE7A0B">
        <w:rPr>
          <w:lang w:val="en-GB"/>
        </w:rPr>
        <w:t>in</w:t>
      </w:r>
      <w:r w:rsidRPr="00E446E0">
        <w:rPr>
          <w:lang w:val="en-GB"/>
        </w:rPr>
        <w:t xml:space="preserve"> the removal of organic dye and points a way forward in achieving zero pollution and a toxic-free environment.</w:t>
      </w:r>
    </w:p>
    <w:bookmarkEnd w:id="0"/>
    <w:p w14:paraId="476B2F2E" w14:textId="77777777" w:rsidR="00600535" w:rsidRPr="00B57B36" w:rsidRDefault="00600535" w:rsidP="00600535">
      <w:pPr>
        <w:pStyle w:val="CETHeading1"/>
        <w:rPr>
          <w:lang w:val="en-GB"/>
        </w:rPr>
      </w:pPr>
      <w:r w:rsidRPr="00B57B36">
        <w:rPr>
          <w:lang w:val="en-GB"/>
        </w:rPr>
        <w:t>Introduction</w:t>
      </w:r>
    </w:p>
    <w:p w14:paraId="08C6B720" w14:textId="50FDFD31" w:rsidR="00F07C39" w:rsidRPr="00F07C39" w:rsidRDefault="00F07C39" w:rsidP="00F07C39">
      <w:pPr>
        <w:pStyle w:val="CETBodytext"/>
        <w:rPr>
          <w:lang w:val="en-GB"/>
        </w:rPr>
      </w:pPr>
      <w:r w:rsidRPr="00F07C39">
        <w:rPr>
          <w:lang w:val="en-GB"/>
        </w:rPr>
        <w:t>Over the years, widespread attention h</w:t>
      </w:r>
      <w:r w:rsidR="007B5561">
        <w:rPr>
          <w:lang w:val="en-GB"/>
        </w:rPr>
        <w:t>as</w:t>
      </w:r>
      <w:r w:rsidRPr="00F07C39">
        <w:rPr>
          <w:lang w:val="en-GB"/>
        </w:rPr>
        <w:t xml:space="preserve"> being paid to the removal of organic colorants (dyes) from wastewater due to their toxic and harmful effects to ecosystem and its environment. Dyes (Azo and reactive) are </w:t>
      </w:r>
      <w:r w:rsidR="00B0043B">
        <w:rPr>
          <w:lang w:val="en-GB"/>
        </w:rPr>
        <w:t xml:space="preserve">additives </w:t>
      </w:r>
      <w:r w:rsidRPr="00F07C39">
        <w:rPr>
          <w:lang w:val="en-GB"/>
        </w:rPr>
        <w:t xml:space="preserve">used in several industries like food, textile, leather, paper and printing of colourful merchandises </w:t>
      </w:r>
      <w:r w:rsidR="00BE7A0B">
        <w:rPr>
          <w:lang w:val="en-GB"/>
        </w:rPr>
        <w:fldChar w:fldCharType="begin"/>
      </w:r>
      <w:r w:rsidR="00BE7A0B">
        <w:rPr>
          <w:lang w:val="en-GB"/>
        </w:rPr>
        <w:instrText xml:space="preserve"> ADDIN EN.CITE &lt;EndNote&gt;&lt;Cite&gt;&lt;Author&gt;Yusuf&lt;/Author&gt;&lt;Year&gt;2019&lt;/Year&gt;&lt;RecNum&gt;408&lt;/RecNum&gt;&lt;DisplayText&gt;(Yusuf, 2019)&lt;/DisplayText&gt;&lt;record&gt;&lt;rec-number&gt;408&lt;/rec-number&gt;&lt;foreign-keys&gt;&lt;key app="EN" db-id="55awztvege50ahe0zeo59vpw9ps9esdtstp0" timestamp="1654754151"&gt;408&lt;/key&gt;&lt;/foreign-keys&gt;&lt;ref-type name="Journal Article"&gt;17&lt;/ref-type&gt;&lt;contributors&gt;&lt;authors&gt;&lt;author&gt;Yusuf, Mohd&lt;/author&gt;&lt;/authors&gt;&lt;/contributors&gt;&lt;titles&gt;&lt;title&gt;Synthetic dyes: a threat to the environment and water ecosystem&lt;/title&gt;&lt;secondary-title&gt;Textiles and clothing&lt;/secondary-title&gt;&lt;/titles&gt;&lt;periodical&gt;&lt;full-title&gt;Textiles and clothing&lt;/full-title&gt;&lt;/periodical&gt;&lt;pages&gt;11-26&lt;/pages&gt;&lt;dates&gt;&lt;year&gt;2019&lt;/year&gt;&lt;/dates&gt;&lt;urls&gt;&lt;/urls&gt;&lt;/record&gt;&lt;/Cite&gt;&lt;/EndNote&gt;</w:instrText>
      </w:r>
      <w:r w:rsidR="00BE7A0B">
        <w:rPr>
          <w:lang w:val="en-GB"/>
        </w:rPr>
        <w:fldChar w:fldCharType="separate"/>
      </w:r>
      <w:r w:rsidR="00BE7A0B">
        <w:rPr>
          <w:noProof/>
          <w:lang w:val="en-GB"/>
        </w:rPr>
        <w:t>(Yusuf, 2019)</w:t>
      </w:r>
      <w:r w:rsidR="00BE7A0B">
        <w:rPr>
          <w:lang w:val="en-GB"/>
        </w:rPr>
        <w:fldChar w:fldCharType="end"/>
      </w:r>
      <w:r w:rsidRPr="00F07C39">
        <w:rPr>
          <w:lang w:val="en-GB"/>
        </w:rPr>
        <w:t xml:space="preserve">. </w:t>
      </w:r>
      <w:r w:rsidRPr="00B0043B">
        <w:rPr>
          <w:lang w:val="en-GB"/>
        </w:rPr>
        <w:t xml:space="preserve">Dyes are </w:t>
      </w:r>
      <w:r w:rsidR="00013F93">
        <w:rPr>
          <w:lang w:val="en-GB"/>
        </w:rPr>
        <w:t>highly soluble,</w:t>
      </w:r>
      <w:r w:rsidRPr="00B0043B">
        <w:rPr>
          <w:lang w:val="en-GB"/>
        </w:rPr>
        <w:t xml:space="preserve"> </w:t>
      </w:r>
      <w:r w:rsidR="00013F93" w:rsidRPr="00B0043B">
        <w:rPr>
          <w:lang w:val="en-GB"/>
        </w:rPr>
        <w:t xml:space="preserve">non-biodegradable </w:t>
      </w:r>
      <w:r w:rsidR="00013F93">
        <w:rPr>
          <w:lang w:val="en-GB"/>
        </w:rPr>
        <w:t xml:space="preserve">and </w:t>
      </w:r>
      <w:r w:rsidRPr="00B0043B">
        <w:rPr>
          <w:lang w:val="en-GB"/>
        </w:rPr>
        <w:t xml:space="preserve">toxic pollutants that can cause </w:t>
      </w:r>
      <w:r w:rsidR="00821D5D" w:rsidRPr="00B0043B">
        <w:rPr>
          <w:lang w:val="en-GB"/>
        </w:rPr>
        <w:t>severe</w:t>
      </w:r>
      <w:r w:rsidRPr="00B0043B">
        <w:rPr>
          <w:lang w:val="en-GB"/>
        </w:rPr>
        <w:t xml:space="preserve"> damage</w:t>
      </w:r>
      <w:r w:rsidR="003D1E6C">
        <w:rPr>
          <w:lang w:val="en-GB"/>
        </w:rPr>
        <w:t xml:space="preserve">s when exposed to the ecosystem. </w:t>
      </w:r>
      <w:r w:rsidRPr="00B0043B">
        <w:rPr>
          <w:lang w:val="en-GB"/>
        </w:rPr>
        <w:t xml:space="preserve">The introduction of </w:t>
      </w:r>
      <w:r w:rsidR="00821D5D" w:rsidRPr="00B0043B">
        <w:rPr>
          <w:lang w:val="en-GB"/>
        </w:rPr>
        <w:t>dye pollutants in water bodies i</w:t>
      </w:r>
      <w:r w:rsidRPr="00B0043B">
        <w:rPr>
          <w:lang w:val="en-GB"/>
        </w:rPr>
        <w:t>ncreases the chro</w:t>
      </w:r>
      <w:r w:rsidR="00821D5D" w:rsidRPr="00B0043B">
        <w:rPr>
          <w:lang w:val="en-GB"/>
        </w:rPr>
        <w:t>ma level and consequently blocking</w:t>
      </w:r>
      <w:r w:rsidRPr="00B0043B">
        <w:rPr>
          <w:lang w:val="en-GB"/>
        </w:rPr>
        <w:t xml:space="preserve"> the penetration of sunlight needed by aquatic life for dissolved oxygen </w:t>
      </w:r>
      <w:r w:rsidR="00BE7A0B" w:rsidRPr="00B0043B">
        <w:rPr>
          <w:lang w:val="en-GB"/>
        </w:rPr>
        <w:fldChar w:fldCharType="begin"/>
      </w:r>
      <w:r w:rsidR="00BE7A0B" w:rsidRPr="00B0043B">
        <w:rPr>
          <w:lang w:val="en-GB"/>
        </w:rPr>
        <w:instrText xml:space="preserve"> ADDIN EN.CITE &lt;EndNote&gt;&lt;Cite&gt;&lt;Author&gt;Franca&lt;/Author&gt;&lt;Year&gt;2020&lt;/Year&gt;&lt;RecNum&gt;412&lt;/RecNum&gt;&lt;DisplayText&gt;(Franca et al., 2020)&lt;/DisplayText&gt;&lt;record&gt;&lt;rec-number&gt;412&lt;/rec-number&gt;&lt;foreign-keys&gt;&lt;key app="EN" db-id="55awztvege50ahe0zeo59vpw9ps9esdtstp0" timestamp="1654754486"&gt;412&lt;/key&gt;&lt;/foreign-keys&gt;&lt;ref-type name="Journal Article"&gt;17&lt;/ref-type&gt;&lt;contributors&gt;&lt;authors&gt;&lt;author&gt;Franca, Rita Dias Guardão&lt;/author&gt;&lt;author&gt;Pinheiro, Helena Maria&lt;/author&gt;&lt;author&gt;Lourenço, Nídia Dana&lt;/author&gt;&lt;/authors&gt;&lt;/contributors&gt;&lt;titles&gt;&lt;title&gt;Recent developments in textile wastewater biotreatment: dye metabolite fate, aerobic granular sludge systems and engineered nanoparticles&lt;/title&gt;&lt;secondary-title&gt;Reviews in Environmental Science and Bio/Technology&lt;/secondary-title&gt;&lt;/titles&gt;&lt;periodical&gt;&lt;full-title&gt;Reviews in Environmental Science and Bio/Technology&lt;/full-title&gt;&lt;/periodical&gt;&lt;pages&gt;149-190&lt;/pages&gt;&lt;volume&gt;19&lt;/volume&gt;&lt;number&gt;1&lt;/number&gt;&lt;dates&gt;&lt;year&gt;2020&lt;/year&gt;&lt;/dates&gt;&lt;isbn&gt;1572-9826&lt;/isbn&gt;&lt;urls&gt;&lt;/urls&gt;&lt;/record&gt;&lt;/Cite&gt;&lt;/EndNote&gt;</w:instrText>
      </w:r>
      <w:r w:rsidR="00BE7A0B" w:rsidRPr="00B0043B">
        <w:rPr>
          <w:lang w:val="en-GB"/>
        </w:rPr>
        <w:fldChar w:fldCharType="separate"/>
      </w:r>
      <w:r w:rsidR="00BE7A0B" w:rsidRPr="00B0043B">
        <w:rPr>
          <w:noProof/>
          <w:lang w:val="en-GB"/>
        </w:rPr>
        <w:t>(Franca et al., 2020)</w:t>
      </w:r>
      <w:r w:rsidR="00BE7A0B" w:rsidRPr="00B0043B">
        <w:rPr>
          <w:lang w:val="en-GB"/>
        </w:rPr>
        <w:fldChar w:fldCharType="end"/>
      </w:r>
      <w:r w:rsidRPr="00B0043B">
        <w:rPr>
          <w:lang w:val="en-GB"/>
        </w:rPr>
        <w:t xml:space="preserve">. In the soil, dye pollutants combat and kill microbes, which are vital nutrients for plant germination </w:t>
      </w:r>
      <w:r w:rsidR="00BE7A0B" w:rsidRPr="00B0043B">
        <w:rPr>
          <w:lang w:val="en-GB"/>
        </w:rPr>
        <w:fldChar w:fldCharType="begin"/>
      </w:r>
      <w:r w:rsidR="00BE7A0B" w:rsidRPr="00B0043B">
        <w:rPr>
          <w:lang w:val="en-GB"/>
        </w:rPr>
        <w:instrText xml:space="preserve"> ADDIN EN.CITE &lt;EndNote&gt;&lt;Cite&gt;&lt;Author&gt;Yusuf&lt;/Author&gt;&lt;Year&gt;2019&lt;/Year&gt;&lt;RecNum&gt;408&lt;/RecNum&gt;&lt;DisplayText&gt;(Yusuf, 2019)&lt;/DisplayText&gt;&lt;record&gt;&lt;rec-number&gt;408&lt;/rec-number&gt;&lt;foreign-keys&gt;&lt;key app="EN" db-id="55awztvege50ahe0zeo59vpw9ps9esdtstp0" timestamp="1654754151"&gt;408&lt;/key&gt;&lt;/foreign-keys&gt;&lt;ref-type name="Journal Article"&gt;17&lt;/ref-type&gt;&lt;contributors&gt;&lt;authors&gt;&lt;author&gt;Yusuf, Mohd&lt;/author&gt;&lt;/authors&gt;&lt;/contributors&gt;&lt;titles&gt;&lt;title&gt;Synthetic dyes: a threat to the environment and water ecosystem&lt;/title&gt;&lt;secondary-title&gt;Textiles and clothing&lt;/secondary-title&gt;&lt;/titles&gt;&lt;periodical&gt;&lt;full-title&gt;Textiles and clothing&lt;/full-title&gt;&lt;/periodical&gt;&lt;pages&gt;11-26&lt;/pages&gt;&lt;dates&gt;&lt;year&gt;2019&lt;/year&gt;&lt;/dates&gt;&lt;urls&gt;&lt;/urls&gt;&lt;/record&gt;&lt;/Cite&gt;&lt;/EndNote&gt;</w:instrText>
      </w:r>
      <w:r w:rsidR="00BE7A0B" w:rsidRPr="00B0043B">
        <w:rPr>
          <w:lang w:val="en-GB"/>
        </w:rPr>
        <w:fldChar w:fldCharType="separate"/>
      </w:r>
      <w:r w:rsidR="00BE7A0B" w:rsidRPr="00B0043B">
        <w:rPr>
          <w:noProof/>
          <w:lang w:val="en-GB"/>
        </w:rPr>
        <w:t>(Yusuf, 2019)</w:t>
      </w:r>
      <w:r w:rsidR="00BE7A0B" w:rsidRPr="00B0043B">
        <w:rPr>
          <w:lang w:val="en-GB"/>
        </w:rPr>
        <w:fldChar w:fldCharType="end"/>
      </w:r>
      <w:r w:rsidR="008E6E9B" w:rsidRPr="00B0043B">
        <w:rPr>
          <w:lang w:val="en-GB"/>
        </w:rPr>
        <w:t xml:space="preserve">. </w:t>
      </w:r>
      <w:r w:rsidRPr="00B0043B">
        <w:rPr>
          <w:lang w:val="en-GB"/>
        </w:rPr>
        <w:t xml:space="preserve">Toxic effects of dye exposure to humans include irritation of the eyes and skin, dermatitis, conjunctivitis, occupational asthma and many other allergic reactions </w:t>
      </w:r>
      <w:r w:rsidR="008E6E9B" w:rsidRPr="00B0043B">
        <w:rPr>
          <w:lang w:val="en-GB"/>
        </w:rPr>
        <w:fldChar w:fldCharType="begin"/>
      </w:r>
      <w:r w:rsidR="008E6E9B" w:rsidRPr="00B0043B">
        <w:rPr>
          <w:lang w:val="en-GB"/>
        </w:rPr>
        <w:instrText xml:space="preserve"> ADDIN EN.CITE &lt;EndNote&gt;&lt;Cite&gt;&lt;Author&gt;Chung&lt;/Author&gt;&lt;Year&gt;2016&lt;/Year&gt;&lt;RecNum&gt;413&lt;/RecNum&gt;&lt;DisplayText&gt;(Chung, 2016)&lt;/DisplayText&gt;&lt;record&gt;&lt;rec-number&gt;413&lt;/rec-number&gt;&lt;foreign-keys&gt;&lt;key app="EN" db-id="55awztvege50ahe0zeo59vpw9ps9esdtstp0" timestamp="1654754622"&gt;413&lt;/key&gt;&lt;/foreign-keys&gt;&lt;ref-type name="Journal Article"&gt;17&lt;/ref-type&gt;&lt;contributors&gt;&lt;authors&gt;&lt;author&gt;Chung, King-Thom&lt;/author&gt;&lt;/authors&gt;&lt;/contributors&gt;&lt;titles&gt;&lt;title&gt;Azo dyes and human health: a review&lt;/title&gt;&lt;secondary-title&gt;Journal of Environmental Science and Health, Part C&lt;/secondary-title&gt;&lt;/titles&gt;&lt;periodical&gt;&lt;full-title&gt;Journal of Environmental Science and Health, Part C&lt;/full-title&gt;&lt;/periodical&gt;&lt;pages&gt;233-261&lt;/pages&gt;&lt;volume&gt;34&lt;/volume&gt;&lt;number&gt;4&lt;/number&gt;&lt;dates&gt;&lt;year&gt;2016&lt;/year&gt;&lt;/dates&gt;&lt;isbn&gt;1059-0501&lt;/isbn&gt;&lt;urls&gt;&lt;/urls&gt;&lt;/record&gt;&lt;/Cite&gt;&lt;/EndNote&gt;</w:instrText>
      </w:r>
      <w:r w:rsidR="008E6E9B" w:rsidRPr="00B0043B">
        <w:rPr>
          <w:lang w:val="en-GB"/>
        </w:rPr>
        <w:fldChar w:fldCharType="separate"/>
      </w:r>
      <w:r w:rsidR="008E6E9B" w:rsidRPr="00B0043B">
        <w:rPr>
          <w:noProof/>
          <w:lang w:val="en-GB"/>
        </w:rPr>
        <w:t>(Chung, 2016)</w:t>
      </w:r>
      <w:r w:rsidR="008E6E9B" w:rsidRPr="00B0043B">
        <w:rPr>
          <w:lang w:val="en-GB"/>
        </w:rPr>
        <w:fldChar w:fldCharType="end"/>
      </w:r>
      <w:r w:rsidRPr="00B0043B">
        <w:rPr>
          <w:lang w:val="en-GB"/>
        </w:rPr>
        <w:t>.  Hence, it is essential to find treatment strategies aimed at an efficient removal this toxic organic dye recalcitrant from water for the sustainability of the ecosystem and its surrounding environment.</w:t>
      </w:r>
      <w:r w:rsidRPr="00F07C39">
        <w:rPr>
          <w:lang w:val="en-GB"/>
        </w:rPr>
        <w:t xml:space="preserve"> </w:t>
      </w:r>
    </w:p>
    <w:p w14:paraId="1AED3853" w14:textId="10708091" w:rsidR="00600535" w:rsidRPr="009B1215" w:rsidRDefault="00F07C39" w:rsidP="009B1215">
      <w:pPr>
        <w:pStyle w:val="CETBodytext"/>
        <w:rPr>
          <w:lang w:val="en-GB"/>
        </w:rPr>
      </w:pPr>
      <w:r w:rsidRPr="00F07C39">
        <w:rPr>
          <w:lang w:val="en-GB"/>
        </w:rPr>
        <w:t xml:space="preserve">Among many wastewater treatment technologies, adsorption has been regarded as a facile and efficient method for the elimination of a </w:t>
      </w:r>
      <w:r w:rsidR="003D1E6C">
        <w:rPr>
          <w:lang w:val="en-GB"/>
        </w:rPr>
        <w:t>wide range of organic colorants.</w:t>
      </w:r>
      <w:r w:rsidRPr="00F07C39">
        <w:rPr>
          <w:lang w:val="en-GB"/>
        </w:rPr>
        <w:t xml:space="preserve">The removal of dye pollutants by Adsorption has been widely adopted attributing to its cheap operational cost and process simplicity </w:t>
      </w:r>
      <w:r w:rsidR="007B249B">
        <w:rPr>
          <w:lang w:val="en-GB"/>
        </w:rPr>
        <w:fldChar w:fldCharType="begin"/>
      </w:r>
      <w:r w:rsidR="007B249B">
        <w:rPr>
          <w:lang w:val="en-GB"/>
        </w:rPr>
        <w:instrText xml:space="preserve"> ADDIN EN.CITE &lt;EndNote&gt;&lt;Cite&gt;&lt;Author&gt;Franca&lt;/Author&gt;&lt;Year&gt;2020&lt;/Year&gt;&lt;RecNum&gt;412&lt;/RecNum&gt;&lt;DisplayText&gt;(Franca et al., 2020)&lt;/DisplayText&gt;&lt;record&gt;&lt;rec-number&gt;412&lt;/rec-number&gt;&lt;foreign-keys&gt;&lt;key app="EN" db-id="55awztvege50ahe0zeo59vpw9ps9esdtstp0" timestamp="1654754486"&gt;412&lt;/key&gt;&lt;/foreign-keys&gt;&lt;ref-type name="Journal Article"&gt;17&lt;/ref-type&gt;&lt;contributors&gt;&lt;authors&gt;&lt;author&gt;Franca, Rita Dias Guardão&lt;/author&gt;&lt;author&gt;Pinheiro, Helena Maria&lt;/author&gt;&lt;author&gt;Lourenço, Nídia Dana&lt;/author&gt;&lt;/authors&gt;&lt;/contributors&gt;&lt;titles&gt;&lt;title&gt;Recent developments in textile wastewater biotreatment: dye metabolite fate, aerobic granular sludge systems and engineered nanoparticles&lt;/title&gt;&lt;secondary-title&gt;Reviews in Environmental Science and Bio/Technology&lt;/secondary-title&gt;&lt;/titles&gt;&lt;periodical&gt;&lt;full-title&gt;Reviews in Environmental Science and Bio/Technology&lt;/full-title&gt;&lt;/periodical&gt;&lt;pages&gt;149-190&lt;/pages&gt;&lt;volume&gt;19&lt;/volume&gt;&lt;number&gt;1&lt;/number&gt;&lt;dates&gt;&lt;year&gt;2020&lt;/year&gt;&lt;/dates&gt;&lt;isbn&gt;1572-9826&lt;/isbn&gt;&lt;urls&gt;&lt;/urls&gt;&lt;/record&gt;&lt;/Cite&gt;&lt;/EndNote&gt;</w:instrText>
      </w:r>
      <w:r w:rsidR="007B249B">
        <w:rPr>
          <w:lang w:val="en-GB"/>
        </w:rPr>
        <w:fldChar w:fldCharType="separate"/>
      </w:r>
      <w:r w:rsidR="007B249B">
        <w:rPr>
          <w:noProof/>
          <w:lang w:val="en-GB"/>
        </w:rPr>
        <w:t>(Franca et al., 2020)</w:t>
      </w:r>
      <w:r w:rsidR="007B249B">
        <w:rPr>
          <w:lang w:val="en-GB"/>
        </w:rPr>
        <w:fldChar w:fldCharType="end"/>
      </w:r>
      <w:r w:rsidR="007B249B">
        <w:rPr>
          <w:lang w:val="en-GB"/>
        </w:rPr>
        <w:t xml:space="preserve">. </w:t>
      </w:r>
      <w:r w:rsidRPr="00F07C39">
        <w:rPr>
          <w:lang w:val="en-GB"/>
        </w:rPr>
        <w:t xml:space="preserve">Activated carbon and other carbon-based materials have proven to be very efficient adsorbents due highly active surface and pore areas </w:t>
      </w:r>
      <w:r w:rsidR="008E6E9B">
        <w:rPr>
          <w:lang w:val="en-GB"/>
        </w:rPr>
        <w:fldChar w:fldCharType="begin"/>
      </w:r>
      <w:r w:rsidR="008E6E9B">
        <w:rPr>
          <w:lang w:val="en-GB"/>
        </w:rPr>
        <w:instrText xml:space="preserve"> ADDIN EN.CITE &lt;EndNote&gt;&lt;Cite&gt;&lt;Author&gt;Creamer&lt;/Author&gt;&lt;Year&gt;2016&lt;/Year&gt;&lt;RecNum&gt;416&lt;/RecNum&gt;&lt;DisplayText&gt;(Creamer and Gao, 2016)&lt;/DisplayText&gt;&lt;record&gt;&lt;rec-number&gt;416&lt;/rec-number&gt;&lt;foreign-keys&gt;&lt;key app="EN" db-id="55awztvege50ahe0zeo59vpw9ps9esdtstp0" timestamp="1654754863"&gt;416&lt;/key&gt;&lt;/foreign-keys&gt;&lt;ref-type name="Journal Article"&gt;17&lt;/ref-type&gt;&lt;contributors&gt;&lt;authors&gt;&lt;author&gt;Creamer, Anne Elise&lt;/author&gt;&lt;author&gt;Gao, Bin&lt;/author&gt;&lt;/authors&gt;&lt;/contributors&gt;&lt;titles&gt;&lt;title&gt;Carbon-based adsorbents for postcombustion CO2 capture: a critical review&lt;/title&gt;&lt;secondary-title&gt;Environmental science &amp;amp; technology&lt;/secondary-title&gt;&lt;/titles&gt;&lt;periodical&gt;&lt;full-title&gt;Environmental Science &amp;amp; Technology&lt;/full-title&gt;&lt;/periodical&gt;&lt;pages&gt;7276-7289&lt;/pages&gt;&lt;volume&gt;50&lt;/volume&gt;&lt;number&gt;14&lt;/number&gt;&lt;dates&gt;&lt;year&gt;2016&lt;/year&gt;&lt;/dates&gt;&lt;isbn&gt;0013-936X&lt;/isbn&gt;&lt;urls&gt;&lt;/urls&gt;&lt;/record&gt;&lt;/Cite&gt;&lt;/EndNote&gt;</w:instrText>
      </w:r>
      <w:r w:rsidR="008E6E9B">
        <w:rPr>
          <w:lang w:val="en-GB"/>
        </w:rPr>
        <w:fldChar w:fldCharType="separate"/>
      </w:r>
      <w:r w:rsidR="008E6E9B">
        <w:rPr>
          <w:noProof/>
          <w:lang w:val="en-GB"/>
        </w:rPr>
        <w:t>(Creamer and Gao, 2016)</w:t>
      </w:r>
      <w:r w:rsidR="008E6E9B">
        <w:rPr>
          <w:lang w:val="en-GB"/>
        </w:rPr>
        <w:fldChar w:fldCharType="end"/>
      </w:r>
      <w:r w:rsidRPr="00F07C39">
        <w:rPr>
          <w:lang w:val="en-GB"/>
        </w:rPr>
        <w:t xml:space="preserve">. Biochar is a carbonaceous charcoal material produced from the thermochemical decomposition of organic waste biomass. Based on their natural source, biochar from agricultural biomass, animal and organic wastes are considered techno-economically feasible and environmentally friendly adsorbent materials </w:t>
      </w:r>
      <w:r w:rsidR="008E6E9B">
        <w:rPr>
          <w:lang w:val="en-GB"/>
        </w:rPr>
        <w:fldChar w:fldCharType="begin"/>
      </w:r>
      <w:r w:rsidR="008E6E9B">
        <w:rPr>
          <w:lang w:val="en-GB"/>
        </w:rPr>
        <w:instrText xml:space="preserve"> ADDIN EN.CITE &lt;EndNote&gt;&lt;Cite&gt;&lt;Author&gt;Srivatsav&lt;/Author&gt;&lt;Year&gt;2020&lt;/Year&gt;&lt;RecNum&gt;418&lt;/RecNum&gt;&lt;DisplayText&gt;(Srivatsav et al., 2020)&lt;/DisplayText&gt;&lt;record&gt;&lt;rec-number&gt;418&lt;/rec-number&gt;&lt;foreign-keys&gt;&lt;key app="EN" db-id="55awztvege50ahe0zeo59vpw9ps9esdtstp0" timestamp="1654754986"&gt;418&lt;/key&gt;&lt;/foreign-keys&gt;&lt;ref-type name="Journal Article"&gt;17&lt;/ref-type&gt;&lt;contributors&gt;&lt;authors&gt;&lt;author&gt;Srivatsav, Prithvi&lt;/author&gt;&lt;author&gt;Bhargav, Bhaskar Sriharsha&lt;/author&gt;&lt;author&gt;Shanmugasundaram, Vignesh&lt;/author&gt;&lt;author&gt;Arun, Jayaseelan&lt;/author&gt;&lt;author&gt;Gopinath, Kannappan Panchamoorthy&lt;/author&gt;&lt;author&gt;Bhatnagar, Amit&lt;/author&gt;&lt;/authors&gt;&lt;/contributors&gt;&lt;titles&gt;&lt;title&gt;Biochar as an eco-friendly and economical adsorbent for the removal of colorants (dyes) from aqueous environment: A review&lt;/title&gt;&lt;secondary-title&gt;Water&lt;/secondary-title&gt;&lt;/titles&gt;&lt;periodical&gt;&lt;full-title&gt;Water&lt;/full-title&gt;&lt;/periodical&gt;&lt;pages&gt;3561&lt;/pages&gt;&lt;volume&gt;12&lt;/volume&gt;&lt;number&gt;12&lt;/number&gt;&lt;dates&gt;&lt;year&gt;2020&lt;/year&gt;&lt;/dates&gt;&lt;urls&gt;&lt;/urls&gt;&lt;/record&gt;&lt;/Cite&gt;&lt;/EndNote&gt;</w:instrText>
      </w:r>
      <w:r w:rsidR="008E6E9B">
        <w:rPr>
          <w:lang w:val="en-GB"/>
        </w:rPr>
        <w:fldChar w:fldCharType="separate"/>
      </w:r>
      <w:r w:rsidR="008E6E9B">
        <w:rPr>
          <w:noProof/>
          <w:lang w:val="en-GB"/>
        </w:rPr>
        <w:t>(Srivatsav et al., 2020)</w:t>
      </w:r>
      <w:r w:rsidR="008E6E9B">
        <w:rPr>
          <w:lang w:val="en-GB"/>
        </w:rPr>
        <w:fldChar w:fldCharType="end"/>
      </w:r>
      <w:r w:rsidRPr="00F07C39">
        <w:rPr>
          <w:lang w:val="en-GB"/>
        </w:rPr>
        <w:t xml:space="preserve">. Studies have reported the effectiveness of dye removal using biochar derived from various biomass precursors such as crop straw, plant residues, animal waste, domestic wastes, food leftovers, bagasse, forestry wastes etc. </w:t>
      </w:r>
      <w:r w:rsidR="008E6E9B">
        <w:rPr>
          <w:lang w:val="en-GB"/>
        </w:rPr>
        <w:fldChar w:fldCharType="begin"/>
      </w:r>
      <w:r w:rsidR="008E6E9B">
        <w:rPr>
          <w:lang w:val="en-GB"/>
        </w:rPr>
        <w:instrText xml:space="preserve"> ADDIN EN.CITE &lt;EndNote&gt;&lt;Cite&gt;&lt;Author&gt;Srivatsav&lt;/Author&gt;&lt;Year&gt;2020&lt;/Year&gt;&lt;RecNum&gt;418&lt;/RecNum&gt;&lt;DisplayText&gt;(Srivatsav et al., 2020)&lt;/DisplayText&gt;&lt;record&gt;&lt;rec-number&gt;418&lt;/rec-number&gt;&lt;foreign-keys&gt;&lt;key app="EN" db-id="55awztvege50ahe0zeo59vpw9ps9esdtstp0" timestamp="1654754986"&gt;418&lt;/key&gt;&lt;/foreign-keys&gt;&lt;ref-type name="Journal Article"&gt;17&lt;/ref-type&gt;&lt;contributors&gt;&lt;authors&gt;&lt;author&gt;Srivatsav, Prithvi&lt;/author&gt;&lt;author&gt;Bhargav, Bhaskar Sriharsha&lt;/author&gt;&lt;author&gt;Shanmugasundaram, Vignesh&lt;/author&gt;&lt;author&gt;Arun, Jayaseelan&lt;/author&gt;&lt;author&gt;Gopinath, Kannappan Panchamoorthy&lt;/author&gt;&lt;author&gt;Bhatnagar, Amit&lt;/author&gt;&lt;/authors&gt;&lt;/contributors&gt;&lt;titles&gt;&lt;title&gt;Biochar as an eco-friendly and economical adsorbent for the removal of colorants (dyes) from aqueous environment: A review&lt;/title&gt;&lt;secondary-title&gt;Water&lt;/secondary-title&gt;&lt;/titles&gt;&lt;periodical&gt;&lt;full-title&gt;Water&lt;/full-title&gt;&lt;/periodical&gt;&lt;pages&gt;3561&lt;/pages&gt;&lt;volume&gt;12&lt;/volume&gt;&lt;number&gt;12&lt;/number&gt;&lt;dates&gt;&lt;year&gt;2020&lt;/year&gt;&lt;/dates&gt;&lt;urls&gt;&lt;/urls&gt;&lt;/record&gt;&lt;/Cite&gt;&lt;/EndNote&gt;</w:instrText>
      </w:r>
      <w:r w:rsidR="008E6E9B">
        <w:rPr>
          <w:lang w:val="en-GB"/>
        </w:rPr>
        <w:fldChar w:fldCharType="separate"/>
      </w:r>
      <w:r w:rsidR="008E6E9B">
        <w:rPr>
          <w:noProof/>
          <w:lang w:val="en-GB"/>
        </w:rPr>
        <w:t>(Srivatsav et al., 2020)</w:t>
      </w:r>
      <w:r w:rsidR="008E6E9B">
        <w:rPr>
          <w:lang w:val="en-GB"/>
        </w:rPr>
        <w:fldChar w:fldCharType="end"/>
      </w:r>
      <w:r w:rsidRPr="00F07C39">
        <w:rPr>
          <w:lang w:val="en-GB"/>
        </w:rPr>
        <w:t xml:space="preserve">. The availability, cost and environmental hazard are important factors to be considered in the selection of a biochar precursor. Additionally, the development of “low-cost” biochar adsorbent requires a green facile synthesis process and abundance </w:t>
      </w:r>
      <w:r w:rsidR="00821D5D">
        <w:rPr>
          <w:lang w:val="en-GB"/>
        </w:rPr>
        <w:t xml:space="preserve">of the precursor </w:t>
      </w:r>
      <w:r w:rsidRPr="00F07C39">
        <w:rPr>
          <w:lang w:val="en-GB"/>
        </w:rPr>
        <w:t xml:space="preserve">in nature. </w:t>
      </w:r>
      <w:r w:rsidR="00013F93">
        <w:rPr>
          <w:lang w:val="en-GB"/>
        </w:rPr>
        <w:t>The valori</w:t>
      </w:r>
      <w:r w:rsidR="00013F93" w:rsidRPr="00F07C39">
        <w:rPr>
          <w:lang w:val="en-GB"/>
        </w:rPr>
        <w:t xml:space="preserve">zation of sawdust waste for wastewater treatment is </w:t>
      </w:r>
      <w:r w:rsidR="00013F93">
        <w:rPr>
          <w:lang w:val="en-GB"/>
        </w:rPr>
        <w:t>regarded</w:t>
      </w:r>
      <w:r w:rsidR="00013F93" w:rsidRPr="00F07C39">
        <w:rPr>
          <w:lang w:val="en-GB"/>
        </w:rPr>
        <w:t xml:space="preserve"> as </w:t>
      </w:r>
      <w:r w:rsidR="00013F93">
        <w:rPr>
          <w:lang w:val="en-GB"/>
        </w:rPr>
        <w:t>an effective form of waste management</w:t>
      </w:r>
      <w:r w:rsidR="00013F93" w:rsidRPr="00F07C39">
        <w:rPr>
          <w:lang w:val="en-GB"/>
        </w:rPr>
        <w:t xml:space="preserve"> and a quota contribution towards achieving a green, cl</w:t>
      </w:r>
      <w:r w:rsidR="00013F93">
        <w:rPr>
          <w:lang w:val="en-GB"/>
        </w:rPr>
        <w:t>ean and sustainable environment</w:t>
      </w:r>
      <w:r w:rsidR="007B249B">
        <w:rPr>
          <w:lang w:val="en-GB"/>
        </w:rPr>
        <w:t xml:space="preserve"> </w:t>
      </w:r>
      <w:r w:rsidR="007B249B">
        <w:rPr>
          <w:lang w:val="en-GB"/>
        </w:rPr>
        <w:fldChar w:fldCharType="begin"/>
      </w:r>
      <w:r w:rsidR="007B249B">
        <w:rPr>
          <w:lang w:val="en-GB"/>
        </w:rPr>
        <w:instrText xml:space="preserve"> ADDIN EN.CITE &lt;EndNote&gt;&lt;Cite&gt;&lt;Author&gt;Adegoke&lt;/Author&gt;&lt;Year&gt;2022&lt;/Year&gt;&lt;RecNum&gt;419&lt;/RecNum&gt;&lt;DisplayText&gt;(Adegoke et al., 2022)&lt;/DisplayText&gt;&lt;record&gt;&lt;rec-number&gt;419&lt;/rec-number&gt;&lt;foreign-keys&gt;&lt;key app="EN" db-id="55awztvege50ahe0zeo59vpw9ps9esdtstp0" timestamp="1654755128"&gt;419&lt;/key&gt;&lt;/foreign-keys&gt;&lt;ref-type name="Journal Article"&gt;17&lt;/ref-type&gt;&lt;contributors&gt;&lt;authors&gt;&lt;author&gt;Adegoke, Kayode Adesina&lt;/author&gt;&lt;author&gt;Adesina, Oreoluwa Ololade&lt;/author&gt;&lt;author&gt;Okon-Akan, Omolabake Abiodun&lt;/author&gt;&lt;author&gt;Adegoke, Oyeladun Rhoda&lt;/author&gt;&lt;author&gt;Olabintan, Abdullahi Biodun&lt;/author&gt;&lt;author&gt;Ajala, Oluwaseyi Aderemi&lt;/author&gt;&lt;author&gt;Olagoke, Halimat&lt;/author&gt;&lt;author&gt;Maxakato, Nobanathi Wendy&lt;/author&gt;&lt;author&gt;Bello, Olugbenga Solomon&lt;/author&gt;&lt;/authors&gt;&lt;/contributors&gt;&lt;titles&gt;&lt;title&gt;Sawdust-biomass based materials for sequestration of organic/inorganic pollutants and potential for engineering applications&lt;/title&gt;&lt;secondary-title&gt;Current Research in Green and Sustainable Chemistry&lt;/secondary-title&gt;&lt;/titles&gt;&lt;periodical&gt;&lt;full-title&gt;Current Research in Green and Sustainable Chemistry&lt;/full-title&gt;&lt;/periodical&gt;&lt;pages&gt;100274&lt;/pages&gt;&lt;dates&gt;&lt;year&gt;2022&lt;/year&gt;&lt;/dates&gt;&lt;isbn&gt;2666-0865&lt;/isbn&gt;&lt;urls&gt;&lt;/urls&gt;&lt;/record&gt;&lt;/Cite&gt;&lt;/EndNote&gt;</w:instrText>
      </w:r>
      <w:r w:rsidR="007B249B">
        <w:rPr>
          <w:lang w:val="en-GB"/>
        </w:rPr>
        <w:fldChar w:fldCharType="separate"/>
      </w:r>
      <w:r w:rsidR="007B249B">
        <w:rPr>
          <w:noProof/>
          <w:lang w:val="en-GB"/>
        </w:rPr>
        <w:t>(Adegoke et al., 2022)</w:t>
      </w:r>
      <w:r w:rsidR="007B249B">
        <w:rPr>
          <w:lang w:val="en-GB"/>
        </w:rPr>
        <w:fldChar w:fldCharType="end"/>
      </w:r>
      <w:r w:rsidR="00013F93">
        <w:rPr>
          <w:lang w:val="en-GB"/>
        </w:rPr>
        <w:t>.</w:t>
      </w:r>
      <w:r w:rsidR="00013F93" w:rsidRPr="00F07C39">
        <w:rPr>
          <w:lang w:val="en-GB"/>
        </w:rPr>
        <w:t xml:space="preserve"> </w:t>
      </w:r>
      <w:r w:rsidRPr="00F07C39">
        <w:rPr>
          <w:lang w:val="en-GB"/>
        </w:rPr>
        <w:t xml:space="preserve">Sawdust is a common global waste material that is abundantly generated from the production and utilization of wood. They are </w:t>
      </w:r>
      <w:r w:rsidR="00821D5D">
        <w:rPr>
          <w:lang w:val="en-GB"/>
        </w:rPr>
        <w:t xml:space="preserve">sometimes discarded </w:t>
      </w:r>
      <w:r w:rsidRPr="00F07C39">
        <w:rPr>
          <w:lang w:val="en-GB"/>
        </w:rPr>
        <w:t xml:space="preserve">inappropriately in uncontrolled environment, thereby contributing largely to the problem of environmental pollution </w:t>
      </w:r>
      <w:r w:rsidR="008E6E9B">
        <w:rPr>
          <w:lang w:val="en-GB"/>
        </w:rPr>
        <w:fldChar w:fldCharType="begin"/>
      </w:r>
      <w:r w:rsidR="008E6E9B">
        <w:rPr>
          <w:lang w:val="en-GB"/>
        </w:rPr>
        <w:instrText xml:space="preserve"> ADDIN EN.CITE &lt;EndNote&gt;&lt;Cite&gt;&lt;Author&gt;Zhang&lt;/Author&gt;&lt;Year&gt;2018&lt;/Year&gt;&lt;RecNum&gt;420&lt;/RecNum&gt;&lt;DisplayText&gt;(Zhang et al., 2018)&lt;/DisplayText&gt;&lt;record&gt;&lt;rec-number&gt;420&lt;/rec-number&gt;&lt;foreign-keys&gt;&lt;key app="EN" db-id="55awztvege50ahe0zeo59vpw9ps9esdtstp0" timestamp="1654755223"&gt;420&lt;/key&gt;&lt;/foreign-keys&gt;&lt;ref-type name="Journal Article"&gt;17&lt;/ref-type&gt;&lt;contributors&gt;&lt;authors&gt;&lt;author&gt;Zhang, Xiaojuan&lt;/author&gt;&lt;author&gt;Zhang, Lei&lt;/author&gt;&lt;author&gt;Li, Aimin&lt;/author&gt;&lt;/authors&gt;&lt;/contributors&gt;&lt;titles&gt;&lt;title&gt;Eucalyptus sawdust derived biochar generated by combining the hydrothermal carbonization and low concentration KOH modification for hexavalent chromium removal&lt;/title&gt;&lt;secondary-title&gt;Journal of Environmental Management&lt;/secondary-title&gt;&lt;/titles&gt;&lt;periodical&gt;&lt;full-title&gt;Journal of Environmental Management&lt;/full-title&gt;&lt;/periodical&gt;&lt;pages&gt;989-998&lt;/pages&gt;&lt;volume&gt;206&lt;/volume&gt;&lt;dates&gt;&lt;year&gt;2018&lt;/year&gt;&lt;/dates&gt;&lt;isbn&gt;0301-4797&lt;/isbn&gt;&lt;urls&gt;&lt;/urls&gt;&lt;/record&gt;&lt;/Cite&gt;&lt;/EndNote&gt;</w:instrText>
      </w:r>
      <w:r w:rsidR="008E6E9B">
        <w:rPr>
          <w:lang w:val="en-GB"/>
        </w:rPr>
        <w:fldChar w:fldCharType="separate"/>
      </w:r>
      <w:r w:rsidR="008E6E9B">
        <w:rPr>
          <w:noProof/>
          <w:lang w:val="en-GB"/>
        </w:rPr>
        <w:t xml:space="preserve">(Zhang et al., </w:t>
      </w:r>
      <w:r w:rsidR="008E6E9B">
        <w:rPr>
          <w:noProof/>
          <w:lang w:val="en-GB"/>
        </w:rPr>
        <w:lastRenderedPageBreak/>
        <w:t>2018)</w:t>
      </w:r>
      <w:r w:rsidR="008E6E9B">
        <w:rPr>
          <w:lang w:val="en-GB"/>
        </w:rPr>
        <w:fldChar w:fldCharType="end"/>
      </w:r>
      <w:r w:rsidR="00D0094D">
        <w:rPr>
          <w:lang w:val="en-GB"/>
        </w:rPr>
        <w:t xml:space="preserve">. </w:t>
      </w:r>
      <w:r w:rsidRPr="00F07C39">
        <w:rPr>
          <w:lang w:val="en-GB"/>
        </w:rPr>
        <w:t>The main constituents of sawdust are hemicellulose, cellulose and lignin</w:t>
      </w:r>
      <w:r w:rsidR="006F2AFE">
        <w:rPr>
          <w:lang w:val="en-GB"/>
        </w:rPr>
        <w:t xml:space="preserve"> </w:t>
      </w:r>
      <w:r w:rsidR="006F2AFE">
        <w:rPr>
          <w:lang w:val="en-GB"/>
        </w:rPr>
        <w:fldChar w:fldCharType="begin"/>
      </w:r>
      <w:r w:rsidR="006F2AFE">
        <w:rPr>
          <w:lang w:val="en-GB"/>
        </w:rPr>
        <w:instrText xml:space="preserve"> ADDIN EN.CITE &lt;EndNote&gt;&lt;Cite&gt;&lt;Author&gt;Le Tan&lt;/Author&gt;&lt;Year&gt;2021&lt;/Year&gt;&lt;RecNum&gt;452&lt;/RecNum&gt;&lt;DisplayText&gt;(Le Tan et al., 2021)&lt;/DisplayText&gt;&lt;record&gt;&lt;rec-number&gt;452&lt;/rec-number&gt;&lt;foreign-keys&gt;&lt;key app="EN" db-id="55awztvege50ahe0zeo59vpw9ps9esdtstp0" timestamp="1657544501"&gt;452&lt;/key&gt;&lt;/foreign-keys&gt;&lt;ref-type name="Journal Article"&gt;17&lt;/ref-type&gt;&lt;contributors&gt;&lt;authors&gt;&lt;author&gt;Le Tan, Nhan Tu&lt;/author&gt;&lt;author&gt;Dam, Quang Phuoc&lt;/author&gt;&lt;author&gt;Mai, Thanh Phong&lt;/author&gt;&lt;author&gt;Nguyen, Dinh Quan&lt;/author&gt;&lt;/authors&gt;&lt;/contributors&gt;&lt;titles&gt;&lt;title&gt;The Combination of Acidic and Alkaline Pretreatment for a Lignocellulose Material in Simultaneous Saccharification and Fermentation (SSF) Process&lt;/title&gt;&lt;secondary-title&gt;Chemical Engineering Transactions&lt;/secondary-title&gt;&lt;/titles&gt;&lt;periodical&gt;&lt;full-title&gt;Chemical Engineering Transactions&lt;/full-title&gt;&lt;/periodical&gt;&lt;pages&gt;43-48&lt;/pages&gt;&lt;volume&gt;89&lt;/volume&gt;&lt;dates&gt;&lt;year&gt;2021&lt;/year&gt;&lt;/dates&gt;&lt;isbn&gt;2283-9216&lt;/isbn&gt;&lt;urls&gt;&lt;/urls&gt;&lt;/record&gt;&lt;/Cite&gt;&lt;/EndNote&gt;</w:instrText>
      </w:r>
      <w:r w:rsidR="006F2AFE">
        <w:rPr>
          <w:lang w:val="en-GB"/>
        </w:rPr>
        <w:fldChar w:fldCharType="separate"/>
      </w:r>
      <w:r w:rsidR="006F2AFE">
        <w:rPr>
          <w:noProof/>
          <w:lang w:val="en-GB"/>
        </w:rPr>
        <w:t>(Le Tan et al., 2021)</w:t>
      </w:r>
      <w:r w:rsidR="006F2AFE">
        <w:rPr>
          <w:lang w:val="en-GB"/>
        </w:rPr>
        <w:fldChar w:fldCharType="end"/>
      </w:r>
      <w:r w:rsidRPr="00F07C39">
        <w:rPr>
          <w:lang w:val="en-GB"/>
        </w:rPr>
        <w:t>.</w:t>
      </w:r>
      <w:r w:rsidR="003D1E6C">
        <w:rPr>
          <w:lang w:val="en-GB"/>
        </w:rPr>
        <w:t xml:space="preserve"> P</w:t>
      </w:r>
      <w:r w:rsidR="00D0094D">
        <w:rPr>
          <w:lang w:val="en-GB"/>
        </w:rPr>
        <w:t>roduction of b</w:t>
      </w:r>
      <w:r w:rsidRPr="00F07C39">
        <w:rPr>
          <w:lang w:val="en-GB"/>
        </w:rPr>
        <w:t xml:space="preserve">iochar </w:t>
      </w:r>
      <w:r w:rsidR="00CF7A14">
        <w:rPr>
          <w:lang w:val="en-GB"/>
        </w:rPr>
        <w:t xml:space="preserve">mainly </w:t>
      </w:r>
      <w:r w:rsidRPr="00F07C39">
        <w:rPr>
          <w:lang w:val="en-GB"/>
        </w:rPr>
        <w:t>involves modif</w:t>
      </w:r>
      <w:r w:rsidR="00D0094D">
        <w:rPr>
          <w:lang w:val="en-GB"/>
        </w:rPr>
        <w:t xml:space="preserve">ying the precursor </w:t>
      </w:r>
      <w:r w:rsidRPr="00F07C39">
        <w:rPr>
          <w:lang w:val="en-GB"/>
        </w:rPr>
        <w:t>via acidic and alkali treatments to enhance its adsorptive properties</w:t>
      </w:r>
      <w:r w:rsidR="006F2AFE">
        <w:rPr>
          <w:lang w:val="en-GB"/>
        </w:rPr>
        <w:t xml:space="preserve"> </w:t>
      </w:r>
      <w:r w:rsidR="006F2AFE">
        <w:rPr>
          <w:lang w:val="en-GB"/>
        </w:rPr>
        <w:fldChar w:fldCharType="begin"/>
      </w:r>
      <w:r w:rsidR="006F2AFE">
        <w:rPr>
          <w:lang w:val="en-GB"/>
        </w:rPr>
        <w:instrText xml:space="preserve"> ADDIN EN.CITE &lt;EndNote&gt;&lt;Cite&gt;&lt;Author&gt;Shimanskaya&lt;/Author&gt;&lt;Year&gt;2018&lt;/Year&gt;&lt;RecNum&gt;453&lt;/RecNum&gt;&lt;DisplayText&gt;(Shimanskaya et al., 2018)&lt;/DisplayText&gt;&lt;record&gt;&lt;rec-number&gt;453&lt;/rec-number&gt;&lt;foreign-keys&gt;&lt;key app="EN" db-id="55awztvege50ahe0zeo59vpw9ps9esdtstp0" timestamp="1657544981"&gt;453&lt;/key&gt;&lt;/foreign-keys&gt;&lt;ref-type name="Journal Article"&gt;17&lt;/ref-type&gt;&lt;contributors&gt;&lt;authors&gt;&lt;author&gt;Shimanskaya, Elena I&lt;/author&gt;&lt;author&gt;Rebrov, Evgeniy&lt;/author&gt;&lt;author&gt;Filatova, Anastasiya E&lt;/author&gt;&lt;author&gt;Matveeva, Valentina&lt;/author&gt;&lt;author&gt;Sulman, Mikhail G&lt;/author&gt;&lt;author&gt;Sulman, Aleksandrina M&lt;/author&gt;&lt;/authors&gt;&lt;/contributors&gt;&lt;titles&gt;&lt;title&gt;Catalytic hydrogenolysis of different types of lignin obtained from sawdust softwood&lt;/title&gt;&lt;secondary-title&gt;Chemical Engineering Transactions&lt;/secondary-title&gt;&lt;/titles&gt;&lt;periodical&gt;&lt;full-title&gt;Chemical Engineering Transactions&lt;/full-title&gt;&lt;/periodical&gt;&lt;pages&gt;361-366&lt;/pages&gt;&lt;volume&gt;70&lt;/volume&gt;&lt;dates&gt;&lt;year&gt;2018&lt;/year&gt;&lt;/dates&gt;&lt;isbn&gt;2283-9216&lt;/isbn&gt;&lt;urls&gt;&lt;/urls&gt;&lt;/record&gt;&lt;/Cite&gt;&lt;/EndNote&gt;</w:instrText>
      </w:r>
      <w:r w:rsidR="006F2AFE">
        <w:rPr>
          <w:lang w:val="en-GB"/>
        </w:rPr>
        <w:fldChar w:fldCharType="separate"/>
      </w:r>
      <w:r w:rsidR="006F2AFE">
        <w:rPr>
          <w:noProof/>
          <w:lang w:val="en-GB"/>
        </w:rPr>
        <w:t>(Shimanskaya et al., 2018)</w:t>
      </w:r>
      <w:r w:rsidR="006F2AFE">
        <w:rPr>
          <w:lang w:val="en-GB"/>
        </w:rPr>
        <w:fldChar w:fldCharType="end"/>
      </w:r>
      <w:r w:rsidRPr="00F07C39">
        <w:rPr>
          <w:lang w:val="en-GB"/>
        </w:rPr>
        <w:t xml:space="preserve">. In this study, </w:t>
      </w:r>
      <w:r>
        <w:rPr>
          <w:lang w:val="en-GB"/>
        </w:rPr>
        <w:t>sawdust biochar</w:t>
      </w:r>
      <w:r w:rsidRPr="00F07C39">
        <w:rPr>
          <w:lang w:val="en-GB"/>
        </w:rPr>
        <w:t xml:space="preserve"> was </w:t>
      </w:r>
      <w:r>
        <w:rPr>
          <w:lang w:val="en-GB"/>
        </w:rPr>
        <w:t>prepared</w:t>
      </w:r>
      <w:r w:rsidRPr="00F07C39">
        <w:rPr>
          <w:lang w:val="en-GB"/>
        </w:rPr>
        <w:t xml:space="preserve"> using a </w:t>
      </w:r>
      <w:r>
        <w:rPr>
          <w:lang w:val="en-GB"/>
        </w:rPr>
        <w:t>chemical activation method, characterised by</w:t>
      </w:r>
      <w:r w:rsidRPr="00F07C39">
        <w:rPr>
          <w:lang w:val="en-GB"/>
        </w:rPr>
        <w:t xml:space="preserve"> various techniques</w:t>
      </w:r>
      <w:r>
        <w:rPr>
          <w:lang w:val="en-GB"/>
        </w:rPr>
        <w:t xml:space="preserve"> and applied in the removal of methylene blue dye pollutant</w:t>
      </w:r>
      <w:r w:rsidRPr="00F07C39">
        <w:rPr>
          <w:lang w:val="en-GB"/>
        </w:rPr>
        <w:t xml:space="preserve">. The main purpose of this work is to develop </w:t>
      </w:r>
      <w:r w:rsidR="009B1215">
        <w:rPr>
          <w:lang w:val="en-GB"/>
        </w:rPr>
        <w:t>a highly efficient adsorbent that can remove organic dye pollutants from water</w:t>
      </w:r>
      <w:r w:rsidR="00D0094D">
        <w:rPr>
          <w:lang w:val="en-GB"/>
        </w:rPr>
        <w:t xml:space="preserve"> using sawdust as a base material</w:t>
      </w:r>
      <w:r w:rsidRPr="00F07C39">
        <w:rPr>
          <w:lang w:val="en-GB"/>
        </w:rPr>
        <w:t xml:space="preserve">. </w:t>
      </w:r>
    </w:p>
    <w:p w14:paraId="5741900F" w14:textId="58647842" w:rsidR="00453E24" w:rsidRDefault="009B1215" w:rsidP="009B1215">
      <w:pPr>
        <w:pStyle w:val="CETHeading1"/>
      </w:pPr>
      <w:r w:rsidRPr="009B1215">
        <w:t>Materials and Methods</w:t>
      </w:r>
    </w:p>
    <w:p w14:paraId="0636B784" w14:textId="5B872109" w:rsidR="00453E24" w:rsidRDefault="009B1215" w:rsidP="009B1215">
      <w:pPr>
        <w:pStyle w:val="CETheadingx"/>
      </w:pPr>
      <w:r w:rsidRPr="009B1215">
        <w:t>Materials</w:t>
      </w:r>
    </w:p>
    <w:p w14:paraId="7C2B0064" w14:textId="4F2C77F8" w:rsidR="00453E24" w:rsidRDefault="009B1215" w:rsidP="00453E24">
      <w:pPr>
        <w:pStyle w:val="CETBodytext"/>
      </w:pPr>
      <w:r w:rsidRPr="009B1215">
        <w:t>Sawdust waste was collected from a wood processing workshop at the University of Pretoria (South Campus), S</w:t>
      </w:r>
      <w:r w:rsidR="00D0094D">
        <w:t>outh Africa. Sodium hydroxide, sodium hypochlorite, s</w:t>
      </w:r>
      <w:r w:rsidRPr="009B1215">
        <w:t xml:space="preserve">ulphuric acid </w:t>
      </w:r>
      <w:r w:rsidR="00D0094D">
        <w:t>and m</w:t>
      </w:r>
      <w:r>
        <w:t xml:space="preserve">ethylene blue dye were </w:t>
      </w:r>
      <w:r w:rsidRPr="009B1215">
        <w:t>purchased from Sigma-Aldrich (Merck), South Africa. All these chemicals and reagents were used as obtained without any modification or further purification. Deionized water was used throughout the experiment and in preparation of 1 g/L of MB stock solutions.</w:t>
      </w:r>
    </w:p>
    <w:p w14:paraId="7197DD89" w14:textId="5431746F" w:rsidR="009B1215" w:rsidRPr="009B1215" w:rsidRDefault="009B1215" w:rsidP="009B1215">
      <w:pPr>
        <w:pStyle w:val="CETheadingx"/>
      </w:pPr>
      <w:r w:rsidRPr="009B1215">
        <w:t>Synthesis of Adsorbent material</w:t>
      </w:r>
    </w:p>
    <w:p w14:paraId="26C58B5B" w14:textId="23DAB71C" w:rsidR="00BD3FB7" w:rsidRDefault="009B1215" w:rsidP="00BD3FB7">
      <w:pPr>
        <w:pStyle w:val="CETBodytext"/>
        <w:spacing w:before="240" w:after="240"/>
        <w:rPr>
          <w:lang w:val="en-GB"/>
        </w:rPr>
      </w:pPr>
      <w:r w:rsidRPr="009B1215">
        <w:rPr>
          <w:lang w:val="en-GB"/>
        </w:rPr>
        <w:t>Sawdust biochar was prepared through a chemical activation method, which involved an alkali pre-treatment, bleaching and acid hydrolysis. First, 25 g of the raw sawdust was boiled in deionized water for 30 minutes to remove the hemicellulose constituent. This was followed by an alkali treatment with 500 mL of 2.0 M NaOH under magnetic stirring for 2 hours at 100 °C. The mixture was rinsed with warm water followed by bleaching for 1 hour to remove all impurities using 5 % w/v of NaOCl</w:t>
      </w:r>
      <w:r w:rsidRPr="009B1215">
        <w:rPr>
          <w:vertAlign w:val="subscript"/>
          <w:lang w:val="en-GB"/>
        </w:rPr>
        <w:t>2</w:t>
      </w:r>
      <w:r w:rsidRPr="009B1215">
        <w:rPr>
          <w:lang w:val="en-GB"/>
        </w:rPr>
        <w:t xml:space="preserve"> at a 1:20 residual to bleach ratio.  Approximately 20 g/L of the purified residual sawdust was impregnated with 64 % w/w of H</w:t>
      </w:r>
      <w:r w:rsidRPr="003F219E">
        <w:rPr>
          <w:vertAlign w:val="subscript"/>
          <w:lang w:val="en-GB"/>
        </w:rPr>
        <w:t>2</w:t>
      </w:r>
      <w:r w:rsidRPr="009B1215">
        <w:rPr>
          <w:lang w:val="en-GB"/>
        </w:rPr>
        <w:t>SO</w:t>
      </w:r>
      <w:r w:rsidRPr="003F219E">
        <w:rPr>
          <w:vertAlign w:val="subscript"/>
          <w:lang w:val="en-GB"/>
        </w:rPr>
        <w:t>4</w:t>
      </w:r>
      <w:r w:rsidRPr="009B1215">
        <w:rPr>
          <w:lang w:val="en-GB"/>
        </w:rPr>
        <w:t xml:space="preserve">, which acts as the dehydrating chemical agent for the formation of pores in the biochar. The mixture was sonicated for 2 hours at 60 °C to ensure that acid hydrolysis reaction had occurred, after which, it was diluted with deionized water to stop the reaction. The suspension was washed several times with hot water, each time centrifuged at 12000 rpm for 20 minutes to remove the unreacted chemicals and by-products. Finally, the </w:t>
      </w:r>
      <w:r w:rsidR="003F219E">
        <w:rPr>
          <w:lang w:val="en-GB"/>
        </w:rPr>
        <w:t xml:space="preserve">decanted </w:t>
      </w:r>
      <w:r w:rsidRPr="009B1215">
        <w:rPr>
          <w:lang w:val="en-GB"/>
        </w:rPr>
        <w:t>residual was dried in an oven at 70 °C overnight to form a highly efficient sawdust biochar adsorbent.</w:t>
      </w:r>
      <w:r>
        <w:rPr>
          <w:lang w:val="en-GB"/>
        </w:rPr>
        <w:t xml:space="preserve"> </w:t>
      </w:r>
      <w:r w:rsidRPr="009B1215">
        <w:rPr>
          <w:lang w:val="en-GB"/>
        </w:rPr>
        <w:t>A pictorial summary of the synthesis procedure</w:t>
      </w:r>
      <w:r w:rsidR="00BD3FB7">
        <w:rPr>
          <w:lang w:val="en-GB"/>
        </w:rPr>
        <w:t xml:space="preserve"> for sawdust-biochar</w:t>
      </w:r>
      <w:r w:rsidRPr="009B1215">
        <w:rPr>
          <w:lang w:val="en-GB"/>
        </w:rPr>
        <w:t xml:space="preserve"> is illustrated in Fig</w:t>
      </w:r>
      <w:r w:rsidR="00BD3FB7">
        <w:rPr>
          <w:lang w:val="en-GB"/>
        </w:rPr>
        <w:t>ure</w:t>
      </w:r>
      <w:r w:rsidRPr="009B1215">
        <w:rPr>
          <w:lang w:val="en-GB"/>
        </w:rPr>
        <w:t xml:space="preserve"> 1.</w:t>
      </w:r>
    </w:p>
    <w:p w14:paraId="7C6D1821" w14:textId="77777777" w:rsidR="003F219E" w:rsidRDefault="003F219E" w:rsidP="003F219E">
      <w:pPr>
        <w:pStyle w:val="CETBodytext"/>
        <w:keepNext/>
        <w:spacing w:after="240"/>
      </w:pPr>
      <w:r>
        <w:rPr>
          <w:noProof/>
          <w:lang w:val="en-ZA" w:eastAsia="en-ZA"/>
        </w:rPr>
        <w:drawing>
          <wp:inline distT="0" distB="0" distL="0" distR="0" wp14:anchorId="24E67DF6" wp14:editId="25B39629">
            <wp:extent cx="3379622" cy="2669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4590" cy="2831443"/>
                    </a:xfrm>
                    <a:prstGeom prst="rect">
                      <a:avLst/>
                    </a:prstGeom>
                    <a:noFill/>
                  </pic:spPr>
                </pic:pic>
              </a:graphicData>
            </a:graphic>
          </wp:inline>
        </w:drawing>
      </w:r>
    </w:p>
    <w:p w14:paraId="3F9E9369" w14:textId="5D8EF3BF" w:rsidR="003F219E" w:rsidRDefault="003F219E" w:rsidP="003F219E">
      <w:pPr>
        <w:pStyle w:val="CETCaption"/>
      </w:pPr>
      <w:r>
        <w:t xml:space="preserve">Figure </w:t>
      </w:r>
      <w:r>
        <w:fldChar w:fldCharType="begin"/>
      </w:r>
      <w:r>
        <w:instrText xml:space="preserve"> SEQ Figure \* ARABIC </w:instrText>
      </w:r>
      <w:r>
        <w:fldChar w:fldCharType="separate"/>
      </w:r>
      <w:r w:rsidR="00635187">
        <w:rPr>
          <w:noProof/>
        </w:rPr>
        <w:t>1</w:t>
      </w:r>
      <w:r>
        <w:fldChar w:fldCharType="end"/>
      </w:r>
      <w:r w:rsidR="000C2B00">
        <w:t>: A p</w:t>
      </w:r>
      <w:r>
        <w:t>ictorial preparation steps for sawdust-biochar.</w:t>
      </w:r>
    </w:p>
    <w:p w14:paraId="3AB3BFD4" w14:textId="333C3D83" w:rsidR="009B1215" w:rsidRDefault="009B1215" w:rsidP="009B1215">
      <w:pPr>
        <w:pStyle w:val="CETheadingx"/>
      </w:pPr>
      <w:r w:rsidRPr="009B1215">
        <w:t>Characterisation Techniques</w:t>
      </w:r>
    </w:p>
    <w:p w14:paraId="2910AC73" w14:textId="64B587B3" w:rsidR="009B1215" w:rsidRDefault="009B1215" w:rsidP="009B1215">
      <w:pPr>
        <w:pStyle w:val="CETBodytext"/>
      </w:pPr>
      <w:r w:rsidRPr="009B1215">
        <w:t>A XRD powder analysis was conducted using a PANalytical X’Pert Pro powder diffractometer in θ–θ configuration with Fe filtered Co-Kα radiation (ʎ =1.789 Å). The crystallography of the materials was obtained by choosing the best–matching standards from the ICSD database, using X’Pert Highscore plus software.  The surface morphology images were taken on a Zeiss Ultra PLUS FEG SEM installed with an Oxford instruments detector and AZtec 3.0 software SP1.</w:t>
      </w:r>
      <w:r w:rsidR="00CF7A14">
        <w:t xml:space="preserve"> </w:t>
      </w:r>
      <w:r w:rsidR="00CF7A14" w:rsidRPr="00D0094D">
        <w:t>A PerkinElmer 100 FTIR spectrometer, MIRacle Zn/Se instrument was used to identify the chemical and functional groups present in the sample. The spectra scan were detected within a wavelength range from 4000 to 400 cm</w:t>
      </w:r>
      <w:r w:rsidR="00CF7A14" w:rsidRPr="00D0094D">
        <w:rPr>
          <w:vertAlign w:val="superscript"/>
        </w:rPr>
        <w:t>-1</w:t>
      </w:r>
      <w:r w:rsidR="00CF7A14" w:rsidRPr="00D0094D">
        <w:t>.</w:t>
      </w:r>
    </w:p>
    <w:p w14:paraId="29DA9C14" w14:textId="6D052267" w:rsidR="00CE6A27" w:rsidRDefault="00CE6A27" w:rsidP="00CE6A27">
      <w:pPr>
        <w:pStyle w:val="CETheadingx"/>
      </w:pPr>
      <w:r w:rsidRPr="00CE6A27">
        <w:lastRenderedPageBreak/>
        <w:t>Batch Adsorption Studies: Analytical method, Kinetic and Isotherm</w:t>
      </w:r>
    </w:p>
    <w:p w14:paraId="54E1671F" w14:textId="7337C406" w:rsidR="00CE6A27" w:rsidRDefault="0028239A" w:rsidP="00CE6A27">
      <w:pPr>
        <w:pStyle w:val="CETBodytext"/>
      </w:pPr>
      <w:r>
        <w:t xml:space="preserve">The stock solution of MB dye was </w:t>
      </w:r>
      <w:r w:rsidR="00D0094D">
        <w:t>prepared</w:t>
      </w:r>
      <w:r>
        <w:t xml:space="preserve"> by dissolving a pre-calculated amount of the dye powder in deionized water. </w:t>
      </w:r>
      <w:r w:rsidR="00CE6A27">
        <w:t>Batch adsorption experiments were carried out on</w:t>
      </w:r>
      <w:r w:rsidR="00D0094D">
        <w:t xml:space="preserve"> various</w:t>
      </w:r>
      <w:r w:rsidR="00CE6A27">
        <w:t xml:space="preserve"> methylene blu</w:t>
      </w:r>
      <w:r w:rsidR="00CF7A14">
        <w:t>e dye concentrations and</w:t>
      </w:r>
      <w:r w:rsidR="00CE6A27">
        <w:t xml:space="preserve"> sawdust biochar</w:t>
      </w:r>
      <w:r w:rsidR="00D0094D">
        <w:t xml:space="preserve"> loadings</w:t>
      </w:r>
      <w:r w:rsidR="00CE6A27">
        <w:t xml:space="preserve"> in a 400 mL beaker. The mixture was magnetically stirred at 200 rpm under room temperature conditions for 90 minutes. Samples were withdrawn at every 15 minutes time intervals and analysed using a </w:t>
      </w:r>
      <w:r w:rsidR="00E1362F">
        <w:t xml:space="preserve">BioChrom WPA lightwave II </w:t>
      </w:r>
      <w:r w:rsidR="00CE6A27">
        <w:t>UV-Visible Spectrophotometer</w:t>
      </w:r>
      <w:r w:rsidR="00D0094D">
        <w:t xml:space="preserve"> </w:t>
      </w:r>
      <w:r w:rsidR="00CE6A27">
        <w:t>measured at absorbance wavelength (λ</w:t>
      </w:r>
      <w:r w:rsidR="00CE6A27" w:rsidRPr="00CE6A27">
        <w:rPr>
          <w:vertAlign w:val="subscript"/>
        </w:rPr>
        <w:t>max</w:t>
      </w:r>
      <w:r w:rsidR="00CE6A27">
        <w:t xml:space="preserve">) </w:t>
      </w:r>
      <w:r w:rsidR="00CF7A14">
        <w:t>of 663 nm. Adsorbent dosages (</w:t>
      </w:r>
      <w:r w:rsidR="00CE6A27">
        <w:t>0.1, 0.25, 0.5, 0.75, 0.9 g/L) and initi</w:t>
      </w:r>
      <w:r w:rsidR="00CF7A14">
        <w:t>al dye concentration levels (</w:t>
      </w:r>
      <w:r w:rsidR="00CE6A27">
        <w:t>5, 10, 15, 20 ppm) were varied to determine the optimum adsorption parameter. The adsorbent MB uptake was calculated using the expression:</w:t>
      </w:r>
    </w:p>
    <w:p w14:paraId="663DE740" w14:textId="7D7EB054" w:rsidR="00CE6A27" w:rsidRDefault="00CE6A27" w:rsidP="00CE6A27">
      <w:pPr>
        <w:pStyle w:val="CETEquation"/>
      </w:pPr>
      <m:oMath>
        <m:r>
          <w:rPr>
            <w:rFonts w:ascii="Cambria Math" w:hAnsi="Cambria Math" w:cs="Arial"/>
            <w:sz w:val="24"/>
            <w:szCs w:val="24"/>
          </w:rPr>
          <m:t xml:space="preserve">q= </m:t>
        </m:r>
        <m:f>
          <m:fPr>
            <m:ctrlPr>
              <w:rPr>
                <w:rFonts w:ascii="Cambria Math" w:hAnsi="Cambria Math" w:cs="Arial"/>
                <w:i/>
                <w:sz w:val="24"/>
                <w:szCs w:val="24"/>
                <w:lang w:val="en-ZA"/>
              </w:rPr>
            </m:ctrlPr>
          </m:fPr>
          <m:num>
            <m:d>
              <m:dPr>
                <m:ctrlPr>
                  <w:rPr>
                    <w:rFonts w:ascii="Cambria Math" w:hAnsi="Cambria Math" w:cs="Arial"/>
                    <w:i/>
                    <w:sz w:val="24"/>
                    <w:szCs w:val="24"/>
                    <w:lang w:val="en-ZA"/>
                  </w:rPr>
                </m:ctrlPr>
              </m:dPr>
              <m:e>
                <m:sSub>
                  <m:sSubPr>
                    <m:ctrlPr>
                      <w:rPr>
                        <w:rFonts w:ascii="Cambria Math" w:hAnsi="Cambria Math" w:cs="Arial"/>
                        <w:i/>
                        <w:sz w:val="24"/>
                        <w:szCs w:val="24"/>
                        <w:lang w:val="en-ZA"/>
                      </w:rPr>
                    </m:ctrlPr>
                  </m:sSubPr>
                  <m:e>
                    <m:r>
                      <w:rPr>
                        <w:rFonts w:ascii="Cambria Math" w:hAnsi="Cambria Math" w:cs="Arial"/>
                        <w:sz w:val="24"/>
                        <w:szCs w:val="24"/>
                      </w:rPr>
                      <m:t>C</m:t>
                    </m:r>
                  </m:e>
                  <m:sub>
                    <m:r>
                      <w:rPr>
                        <w:rFonts w:ascii="Cambria Math" w:hAnsi="Cambria Math" w:cs="Arial"/>
                        <w:sz w:val="24"/>
                        <w:szCs w:val="24"/>
                      </w:rPr>
                      <m:t>i</m:t>
                    </m:r>
                  </m:sub>
                </m:sSub>
                <m:r>
                  <w:rPr>
                    <w:rFonts w:ascii="Cambria Math" w:hAnsi="Cambria Math" w:cs="Arial"/>
                    <w:sz w:val="24"/>
                    <w:szCs w:val="24"/>
                  </w:rPr>
                  <m:t>-</m:t>
                </m:r>
                <m:sSub>
                  <m:sSubPr>
                    <m:ctrlPr>
                      <w:rPr>
                        <w:rFonts w:ascii="Cambria Math" w:hAnsi="Cambria Math" w:cs="Arial"/>
                        <w:i/>
                        <w:sz w:val="24"/>
                        <w:szCs w:val="24"/>
                        <w:lang w:val="en-ZA"/>
                      </w:rPr>
                    </m:ctrlPr>
                  </m:sSubPr>
                  <m:e>
                    <m:r>
                      <w:rPr>
                        <w:rFonts w:ascii="Cambria Math" w:hAnsi="Cambria Math" w:cs="Arial"/>
                        <w:sz w:val="24"/>
                        <w:szCs w:val="24"/>
                      </w:rPr>
                      <m:t>C</m:t>
                    </m:r>
                  </m:e>
                  <m:sub>
                    <m:r>
                      <w:rPr>
                        <w:rFonts w:ascii="Cambria Math" w:hAnsi="Cambria Math" w:cs="Arial"/>
                        <w:sz w:val="24"/>
                        <w:szCs w:val="24"/>
                      </w:rPr>
                      <m:t>0</m:t>
                    </m:r>
                  </m:sub>
                </m:sSub>
              </m:e>
            </m:d>
            <m:r>
              <w:rPr>
                <w:rFonts w:ascii="Cambria Math" w:hAnsi="Cambria Math" w:cs="Arial"/>
                <w:sz w:val="24"/>
                <w:szCs w:val="24"/>
              </w:rPr>
              <m:t>V</m:t>
            </m:r>
          </m:num>
          <m:den>
            <m:r>
              <w:rPr>
                <w:rFonts w:ascii="Cambria Math" w:hAnsi="Cambria Math" w:cs="Arial"/>
                <w:sz w:val="24"/>
                <w:szCs w:val="24"/>
              </w:rPr>
              <m:t>M</m:t>
            </m:r>
          </m:den>
        </m:f>
      </m:oMath>
      <w:r>
        <w:t xml:space="preserve">                                                                                                                                                  (1)</w:t>
      </w:r>
    </w:p>
    <w:p w14:paraId="6FDD7E07" w14:textId="77777777" w:rsidR="00CE6A27" w:rsidRDefault="00CE6A27" w:rsidP="00CE6A27">
      <w:pPr>
        <w:pStyle w:val="CETBodytext"/>
      </w:pPr>
      <w:r>
        <w:t>Where q is the amount of dye uptake by the adsorbent (mg/g), C</w:t>
      </w:r>
      <w:r w:rsidRPr="00CE6A27">
        <w:rPr>
          <w:vertAlign w:val="subscript"/>
        </w:rPr>
        <w:t xml:space="preserve">i </w:t>
      </w:r>
      <w:r>
        <w:t>and C</w:t>
      </w:r>
      <w:r w:rsidRPr="00CE6A27">
        <w:rPr>
          <w:vertAlign w:val="subscript"/>
        </w:rPr>
        <w:t>0</w:t>
      </w:r>
      <w:r>
        <w:t xml:space="preserve"> are the initial and final MB dye concentration respectively, V is the volume of the dye solution (100 mL) and M is the mass of adsorbent (g). </w:t>
      </w:r>
    </w:p>
    <w:p w14:paraId="7A214E9E" w14:textId="77777777" w:rsidR="00CE6A27" w:rsidRDefault="00CE6A27" w:rsidP="00CE6A27">
      <w:pPr>
        <w:pStyle w:val="CETBodytext"/>
      </w:pPr>
    </w:p>
    <w:p w14:paraId="1F38D572" w14:textId="76281101" w:rsidR="00CE6A27" w:rsidRDefault="00CE6A27" w:rsidP="00CE6A27">
      <w:pPr>
        <w:pStyle w:val="CETBodytext"/>
      </w:pPr>
      <w:r>
        <w:t>The percentage dye removal obtained from each batch experiment was calculated using the expression:</w:t>
      </w:r>
    </w:p>
    <w:p w14:paraId="6261367A" w14:textId="0582634C" w:rsidR="00CE6A27" w:rsidRDefault="00CE6A27" w:rsidP="00CE6A27">
      <w:pPr>
        <w:pStyle w:val="CETEquation"/>
      </w:pPr>
      <m:oMath>
        <m:r>
          <w:rPr>
            <w:rFonts w:ascii="Cambria Math" w:hAnsi="Cambria Math"/>
            <w:sz w:val="24"/>
            <w:szCs w:val="24"/>
            <w:lang w:val="en-ZA"/>
          </w:rPr>
          <m:t>%</m:t>
        </m:r>
        <m:sSub>
          <m:sSubPr>
            <m:ctrlPr>
              <w:rPr>
                <w:rFonts w:ascii="Cambria Math" w:hAnsi="Cambria Math"/>
                <w:i/>
                <w:sz w:val="24"/>
                <w:szCs w:val="24"/>
                <w:lang w:val="en-ZA"/>
              </w:rPr>
            </m:ctrlPr>
          </m:sSubPr>
          <m:e>
            <m:r>
              <w:rPr>
                <w:rFonts w:ascii="Cambria Math" w:hAnsi="Cambria Math"/>
                <w:sz w:val="24"/>
                <w:szCs w:val="24"/>
                <w:lang w:val="en-ZA"/>
              </w:rPr>
              <m:t>D</m:t>
            </m:r>
          </m:e>
          <m:sub>
            <m:r>
              <w:rPr>
                <w:rFonts w:ascii="Cambria Math" w:hAnsi="Cambria Math"/>
                <w:sz w:val="24"/>
                <w:szCs w:val="24"/>
                <w:lang w:val="en-ZA"/>
              </w:rPr>
              <m:t>Removal</m:t>
            </m:r>
          </m:sub>
        </m:sSub>
        <m:r>
          <w:rPr>
            <w:rFonts w:ascii="Cambria Math" w:hAnsi="Cambria Math"/>
            <w:sz w:val="24"/>
            <w:szCs w:val="24"/>
            <w:lang w:val="en-ZA"/>
          </w:rPr>
          <m:t xml:space="preserve">= </m:t>
        </m:r>
        <m:f>
          <m:fPr>
            <m:ctrlPr>
              <w:rPr>
                <w:rFonts w:ascii="Cambria Math" w:hAnsi="Cambria Math"/>
                <w:i/>
                <w:sz w:val="24"/>
                <w:szCs w:val="24"/>
                <w:lang w:val="en-ZA"/>
              </w:rPr>
            </m:ctrlPr>
          </m:fPr>
          <m:num>
            <m:d>
              <m:dPr>
                <m:ctrlPr>
                  <w:rPr>
                    <w:rFonts w:ascii="Cambria Math" w:hAnsi="Cambria Math"/>
                    <w:i/>
                    <w:sz w:val="24"/>
                    <w:szCs w:val="24"/>
                    <w:lang w:val="en-ZA"/>
                  </w:rPr>
                </m:ctrlPr>
              </m:dPr>
              <m:e>
                <m:sSub>
                  <m:sSubPr>
                    <m:ctrlPr>
                      <w:rPr>
                        <w:rFonts w:ascii="Cambria Math" w:hAnsi="Cambria Math"/>
                        <w:i/>
                        <w:sz w:val="24"/>
                        <w:szCs w:val="24"/>
                        <w:lang w:val="en-ZA"/>
                      </w:rPr>
                    </m:ctrlPr>
                  </m:sSubPr>
                  <m:e>
                    <m:r>
                      <w:rPr>
                        <w:rFonts w:ascii="Cambria Math" w:hAnsi="Cambria Math"/>
                        <w:sz w:val="24"/>
                        <w:szCs w:val="24"/>
                        <w:lang w:val="en-ZA"/>
                      </w:rPr>
                      <m:t>C</m:t>
                    </m:r>
                  </m:e>
                  <m:sub>
                    <m:r>
                      <w:rPr>
                        <w:rFonts w:ascii="Cambria Math" w:hAnsi="Cambria Math"/>
                        <w:sz w:val="24"/>
                        <w:szCs w:val="24"/>
                        <w:lang w:val="en-ZA"/>
                      </w:rPr>
                      <m:t>i</m:t>
                    </m:r>
                  </m:sub>
                </m:sSub>
                <m:r>
                  <w:rPr>
                    <w:rFonts w:ascii="Cambria Math" w:hAnsi="Cambria Math"/>
                    <w:sz w:val="24"/>
                    <w:szCs w:val="24"/>
                    <w:lang w:val="en-ZA"/>
                  </w:rPr>
                  <m:t>-</m:t>
                </m:r>
                <m:sSub>
                  <m:sSubPr>
                    <m:ctrlPr>
                      <w:rPr>
                        <w:rFonts w:ascii="Cambria Math" w:hAnsi="Cambria Math"/>
                        <w:i/>
                        <w:sz w:val="24"/>
                        <w:szCs w:val="24"/>
                        <w:lang w:val="en-ZA"/>
                      </w:rPr>
                    </m:ctrlPr>
                  </m:sSubPr>
                  <m:e>
                    <m:r>
                      <w:rPr>
                        <w:rFonts w:ascii="Cambria Math" w:hAnsi="Cambria Math"/>
                        <w:sz w:val="24"/>
                        <w:szCs w:val="24"/>
                        <w:lang w:val="en-ZA"/>
                      </w:rPr>
                      <m:t>C</m:t>
                    </m:r>
                  </m:e>
                  <m:sub>
                    <m:r>
                      <w:rPr>
                        <w:rFonts w:ascii="Cambria Math" w:hAnsi="Cambria Math"/>
                        <w:sz w:val="24"/>
                        <w:szCs w:val="24"/>
                        <w:lang w:val="en-ZA"/>
                      </w:rPr>
                      <m:t>0</m:t>
                    </m:r>
                  </m:sub>
                </m:sSub>
              </m:e>
            </m:d>
          </m:num>
          <m:den>
            <m:sSub>
              <m:sSubPr>
                <m:ctrlPr>
                  <w:rPr>
                    <w:rFonts w:ascii="Cambria Math" w:hAnsi="Cambria Math"/>
                    <w:i/>
                    <w:sz w:val="24"/>
                    <w:szCs w:val="24"/>
                    <w:lang w:val="en-ZA"/>
                  </w:rPr>
                </m:ctrlPr>
              </m:sSubPr>
              <m:e>
                <m:r>
                  <w:rPr>
                    <w:rFonts w:ascii="Cambria Math" w:hAnsi="Cambria Math"/>
                    <w:sz w:val="24"/>
                    <w:szCs w:val="24"/>
                    <w:lang w:val="en-ZA"/>
                  </w:rPr>
                  <m:t>C</m:t>
                </m:r>
              </m:e>
              <m:sub>
                <m:r>
                  <w:rPr>
                    <w:rFonts w:ascii="Cambria Math" w:hAnsi="Cambria Math"/>
                    <w:sz w:val="24"/>
                    <w:szCs w:val="24"/>
                    <w:lang w:val="en-ZA"/>
                  </w:rPr>
                  <m:t>0</m:t>
                </m:r>
              </m:sub>
            </m:sSub>
          </m:den>
        </m:f>
        <m:r>
          <w:rPr>
            <w:rFonts w:ascii="Cambria Math" w:hAnsi="Cambria Math"/>
            <w:sz w:val="24"/>
            <w:szCs w:val="24"/>
            <w:lang w:val="en-ZA"/>
          </w:rPr>
          <m:t>×100</m:t>
        </m:r>
      </m:oMath>
      <w:r>
        <w:t>%                                                                                                                (2)</w:t>
      </w:r>
    </w:p>
    <w:p w14:paraId="7905AAAC" w14:textId="19543DE5" w:rsidR="00CE6A27" w:rsidRPr="00CE6A27" w:rsidRDefault="00D0094D" w:rsidP="00CE6A27">
      <w:pPr>
        <w:pStyle w:val="CETBodytext"/>
      </w:pPr>
      <w:r>
        <w:t>The kinetic</w:t>
      </w:r>
      <w:r w:rsidR="00CE6A27">
        <w:t xml:space="preserve"> constants were </w:t>
      </w:r>
      <w:r w:rsidR="000C2B00">
        <w:t>evaluated</w:t>
      </w:r>
      <w:r w:rsidR="00CE6A27">
        <w:t xml:space="preserve"> using pseudo-first</w:t>
      </w:r>
      <w:r>
        <w:t xml:space="preserve"> order and Langmuir </w:t>
      </w:r>
      <w:r w:rsidR="00CE6A27">
        <w:t>adsorption isotherm model was applied to study the adsorption capacity and surface property of the adsorbent.</w:t>
      </w:r>
    </w:p>
    <w:p w14:paraId="677EBFF0" w14:textId="42FD43FD" w:rsidR="00600535" w:rsidRPr="00B57B36" w:rsidRDefault="00CE6A27" w:rsidP="00CE6A27">
      <w:pPr>
        <w:pStyle w:val="CETHeading1"/>
      </w:pPr>
      <w:r w:rsidRPr="00CE6A27">
        <w:rPr>
          <w:lang w:val="en-GB"/>
        </w:rPr>
        <w:t>Results and Discussions</w:t>
      </w:r>
    </w:p>
    <w:p w14:paraId="04963A06" w14:textId="2FC9796C" w:rsidR="00600535" w:rsidRPr="00B57B36" w:rsidRDefault="00CE6A27" w:rsidP="00CE6A27">
      <w:pPr>
        <w:pStyle w:val="CETheadingx"/>
      </w:pPr>
      <w:r w:rsidRPr="00CE6A27">
        <w:t>Material Characterisation</w:t>
      </w:r>
    </w:p>
    <w:p w14:paraId="058B6527" w14:textId="060397AD" w:rsidR="00CE6A27" w:rsidRDefault="00CE6A27" w:rsidP="00703778">
      <w:pPr>
        <w:pStyle w:val="CETBodytext"/>
        <w:spacing w:after="240"/>
        <w:rPr>
          <w:lang w:val="en-GB"/>
        </w:rPr>
      </w:pPr>
      <w:r w:rsidRPr="00CE6A27">
        <w:rPr>
          <w:lang w:val="en-GB"/>
        </w:rPr>
        <w:t>The XRD diffraction patterns of raw sawdust and sawdust biochar in Fig</w:t>
      </w:r>
      <w:r w:rsidR="00CF7A14">
        <w:rPr>
          <w:lang w:val="en-GB"/>
        </w:rPr>
        <w:t>ure</w:t>
      </w:r>
      <w:r w:rsidRPr="00CE6A27">
        <w:rPr>
          <w:lang w:val="en-GB"/>
        </w:rPr>
        <w:t xml:space="preserve"> 2 indicates two distinct peaks at (101) and (002) at scanning angles (2θ), 18.2° and 26.2° respectively.  The </w:t>
      </w:r>
      <w:r w:rsidR="000A1C2F">
        <w:rPr>
          <w:lang w:val="en-GB"/>
        </w:rPr>
        <w:t xml:space="preserve">sharp </w:t>
      </w:r>
      <w:r w:rsidRPr="00CE6A27">
        <w:rPr>
          <w:lang w:val="en-GB"/>
        </w:rPr>
        <w:t>peaks of raw sawdust depicts</w:t>
      </w:r>
      <w:r w:rsidR="000A1C2F">
        <w:rPr>
          <w:lang w:val="en-GB"/>
        </w:rPr>
        <w:t xml:space="preserve"> the presence of crystalline cellulose</w:t>
      </w:r>
      <w:r w:rsidRPr="00CE6A27">
        <w:rPr>
          <w:lang w:val="en-GB"/>
        </w:rPr>
        <w:t xml:space="preserve"> but is noticed to have reduced in intensity for biochar due to the presence of carbon in </w:t>
      </w:r>
      <w:r w:rsidR="00CF7A14">
        <w:rPr>
          <w:lang w:val="en-GB"/>
        </w:rPr>
        <w:t xml:space="preserve">its </w:t>
      </w:r>
      <w:r w:rsidRPr="00CE6A27">
        <w:rPr>
          <w:lang w:val="en-GB"/>
        </w:rPr>
        <w:t>amorphous phase</w:t>
      </w:r>
      <w:r w:rsidR="00635187">
        <w:rPr>
          <w:lang w:val="en-GB"/>
        </w:rPr>
        <w:t xml:space="preserve"> and destruction of the cellulose component</w:t>
      </w:r>
      <w:r w:rsidRPr="00CE6A27">
        <w:rPr>
          <w:lang w:val="en-GB"/>
        </w:rPr>
        <w:t xml:space="preserve">. The broadening of biochar diffraction peak confirmed </w:t>
      </w:r>
      <w:r w:rsidR="003D1E6C">
        <w:rPr>
          <w:lang w:val="en-GB"/>
        </w:rPr>
        <w:t>a</w:t>
      </w:r>
      <w:r w:rsidRPr="00CE6A27">
        <w:rPr>
          <w:lang w:val="en-GB"/>
        </w:rPr>
        <w:t xml:space="preserve"> </w:t>
      </w:r>
      <w:r w:rsidR="00703778">
        <w:rPr>
          <w:lang w:val="en-GB"/>
        </w:rPr>
        <w:t>decrease</w:t>
      </w:r>
      <w:r w:rsidRPr="00CE6A27">
        <w:rPr>
          <w:lang w:val="en-GB"/>
        </w:rPr>
        <w:t xml:space="preserve"> </w:t>
      </w:r>
      <w:r w:rsidR="00703778">
        <w:rPr>
          <w:lang w:val="en-GB"/>
        </w:rPr>
        <w:t>in</w:t>
      </w:r>
      <w:r w:rsidRPr="00CE6A27">
        <w:rPr>
          <w:lang w:val="en-GB"/>
        </w:rPr>
        <w:t xml:space="preserve"> </w:t>
      </w:r>
      <w:r w:rsidR="003D1E6C">
        <w:rPr>
          <w:lang w:val="en-GB"/>
        </w:rPr>
        <w:t xml:space="preserve">its </w:t>
      </w:r>
      <w:r w:rsidRPr="00CE6A27">
        <w:rPr>
          <w:lang w:val="en-GB"/>
        </w:rPr>
        <w:t xml:space="preserve">crystallinity and presence of unidentified inorganic components </w:t>
      </w:r>
      <w:r w:rsidR="00CF7A14">
        <w:rPr>
          <w:lang w:val="en-GB"/>
        </w:rPr>
        <w:fldChar w:fldCharType="begin"/>
      </w:r>
      <w:r w:rsidR="00CF7A14">
        <w:rPr>
          <w:lang w:val="en-GB"/>
        </w:rPr>
        <w:instrText xml:space="preserve"> ADDIN EN.CITE &lt;EndNote&gt;&lt;Cite&gt;&lt;Author&gt;Chellappan&lt;/Author&gt;&lt;Year&gt;2018&lt;/Year&gt;&lt;RecNum&gt;422&lt;/RecNum&gt;&lt;DisplayText&gt;(Chellappan et al., 2018)&lt;/DisplayText&gt;&lt;record&gt;&lt;rec-number&gt;422&lt;/rec-number&gt;&lt;foreign-keys&gt;&lt;key app="EN" db-id="55awztvege50ahe0zeo59vpw9ps9esdtstp0" timestamp="1654755826"&gt;422&lt;/key&gt;&lt;/foreign-keys&gt;&lt;ref-type name="Journal Article"&gt;17&lt;/ref-type&gt;&lt;contributors&gt;&lt;authors&gt;&lt;author&gt;Chellappan, Suchith&lt;/author&gt;&lt;author&gt;Nair, Vaishakh&lt;/author&gt;&lt;author&gt;Sajith, V&lt;/author&gt;&lt;author&gt;Aparna, K&lt;/author&gt;&lt;/authors&gt;&lt;/contributors&gt;&lt;titles&gt;&lt;title&gt;Synthesis, optimization and characterization of biochar based catalyst from sawdust for simultaneous esterification and transesterification&lt;/title&gt;&lt;secondary-title&gt;Chinese journal of chemical engineering&lt;/secondary-title&gt;&lt;/titles&gt;&lt;periodical&gt;&lt;full-title&gt;Chinese journal of chemical engineering&lt;/full-title&gt;&lt;/periodical&gt;&lt;pages&gt;2654-2663&lt;/pages&gt;&lt;volume&gt;26&lt;/volume&gt;&lt;number&gt;12&lt;/number&gt;&lt;dates&gt;&lt;year&gt;2018&lt;/year&gt;&lt;/dates&gt;&lt;isbn&gt;1004-9541&lt;/isbn&gt;&lt;urls&gt;&lt;/urls&gt;&lt;/record&gt;&lt;/Cite&gt;&lt;/EndNote&gt;</w:instrText>
      </w:r>
      <w:r w:rsidR="00CF7A14">
        <w:rPr>
          <w:lang w:val="en-GB"/>
        </w:rPr>
        <w:fldChar w:fldCharType="separate"/>
      </w:r>
      <w:r w:rsidR="00CF7A14">
        <w:rPr>
          <w:noProof/>
          <w:lang w:val="en-GB"/>
        </w:rPr>
        <w:t>(Chellappan et al., 2018)</w:t>
      </w:r>
      <w:r w:rsidR="00CF7A14">
        <w:rPr>
          <w:lang w:val="en-GB"/>
        </w:rPr>
        <w:fldChar w:fldCharType="end"/>
      </w:r>
      <w:r w:rsidRPr="00CE6A27">
        <w:rPr>
          <w:lang w:val="en-GB"/>
        </w:rPr>
        <w:t xml:space="preserve">. </w:t>
      </w:r>
    </w:p>
    <w:p w14:paraId="07DB2EC9" w14:textId="77777777" w:rsidR="00476EE8" w:rsidRDefault="00476EE8" w:rsidP="00476EE8">
      <w:pPr>
        <w:pStyle w:val="CETBodytext"/>
        <w:keepNext/>
      </w:pPr>
      <w:bookmarkStart w:id="1" w:name="_GoBack"/>
      <w:r>
        <w:rPr>
          <w:noProof/>
          <w:lang w:val="en-ZA" w:eastAsia="en-ZA"/>
        </w:rPr>
        <w:drawing>
          <wp:inline distT="0" distB="0" distL="0" distR="0" wp14:anchorId="709F54C6" wp14:editId="648F861E">
            <wp:extent cx="3935095" cy="2582265"/>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3595" cy="2804394"/>
                    </a:xfrm>
                    <a:prstGeom prst="rect">
                      <a:avLst/>
                    </a:prstGeom>
                    <a:noFill/>
                  </pic:spPr>
                </pic:pic>
              </a:graphicData>
            </a:graphic>
          </wp:inline>
        </w:drawing>
      </w:r>
      <w:bookmarkEnd w:id="1"/>
    </w:p>
    <w:p w14:paraId="73C545D1" w14:textId="787E1011" w:rsidR="00476EE8" w:rsidRPr="00CE6A27" w:rsidRDefault="00476EE8" w:rsidP="00476EE8">
      <w:pPr>
        <w:pStyle w:val="CETCaption"/>
        <w:rPr>
          <w:noProof/>
        </w:rPr>
      </w:pPr>
      <w:r>
        <w:t xml:space="preserve">Figure </w:t>
      </w:r>
      <w:r>
        <w:fldChar w:fldCharType="begin"/>
      </w:r>
      <w:r>
        <w:instrText xml:space="preserve"> SEQ Figure \* ARABIC </w:instrText>
      </w:r>
      <w:r>
        <w:fldChar w:fldCharType="separate"/>
      </w:r>
      <w:r w:rsidR="00635187">
        <w:rPr>
          <w:noProof/>
        </w:rPr>
        <w:t>2</w:t>
      </w:r>
      <w:r>
        <w:fldChar w:fldCharType="end"/>
      </w:r>
      <w:r>
        <w:t>: XRD patterns for Raw Sawdust and Sawdust Biochar</w:t>
      </w:r>
      <w:r>
        <w:rPr>
          <w:noProof/>
        </w:rPr>
        <w:t>.</w:t>
      </w:r>
    </w:p>
    <w:p w14:paraId="123CB7DF" w14:textId="33B14286" w:rsidR="00600535" w:rsidRDefault="00CE6A27" w:rsidP="00476EE8">
      <w:pPr>
        <w:pStyle w:val="CETBodytext"/>
        <w:spacing w:after="240"/>
        <w:rPr>
          <w:lang w:val="en-GB"/>
        </w:rPr>
      </w:pPr>
      <w:r w:rsidRPr="00CE6A27">
        <w:rPr>
          <w:lang w:val="en-GB"/>
        </w:rPr>
        <w:t xml:space="preserve">The morphology of the materials was analysed by </w:t>
      </w:r>
      <w:r w:rsidR="00D8592F" w:rsidRPr="00CE6A27">
        <w:rPr>
          <w:lang w:val="en-GB"/>
        </w:rPr>
        <w:t>SEM, the captured images are presented in Fig</w:t>
      </w:r>
      <w:r w:rsidR="00BC10FF">
        <w:rPr>
          <w:lang w:val="en-GB"/>
        </w:rPr>
        <w:t>ure</w:t>
      </w:r>
      <w:r w:rsidR="00D8592F" w:rsidRPr="00CE6A27">
        <w:rPr>
          <w:lang w:val="en-GB"/>
        </w:rPr>
        <w:t xml:space="preserve"> 3a,</w:t>
      </w:r>
      <w:r w:rsidRPr="00CE6A27">
        <w:rPr>
          <w:lang w:val="en-GB"/>
        </w:rPr>
        <w:t xml:space="preserve"> and b. SEM images revealed particles agglomerated like a honeycomb with pores on the surface of the materials.  This material structure is likely attributed to the biological capillary skeleton of raw</w:t>
      </w:r>
      <w:r w:rsidR="003D1E6C">
        <w:rPr>
          <w:lang w:val="en-GB"/>
        </w:rPr>
        <w:t xml:space="preserve"> sawdust and carbonized biochar.</w:t>
      </w:r>
      <w:r w:rsidRPr="00CE6A27">
        <w:rPr>
          <w:lang w:val="en-GB"/>
        </w:rPr>
        <w:t xml:space="preserve"> However, </w:t>
      </w:r>
      <w:r w:rsidR="00C604A2">
        <w:rPr>
          <w:lang w:val="en-GB"/>
        </w:rPr>
        <w:t xml:space="preserve">sawdust biochar is observed to possess good particle and pore size distribution among other properties such as specific surface area and hydrophobicity compared to raw sawdust </w:t>
      </w:r>
      <w:r w:rsidR="00C604A2">
        <w:rPr>
          <w:lang w:val="en-GB"/>
        </w:rPr>
        <w:fldChar w:fldCharType="begin"/>
      </w:r>
      <w:r w:rsidR="00C604A2">
        <w:rPr>
          <w:lang w:val="en-GB"/>
        </w:rPr>
        <w:instrText xml:space="preserve"> ADDIN EN.CITE &lt;EndNote&gt;&lt;Cite&gt;&lt;Author&gt;Zakil&lt;/Author&gt;&lt;Year&gt;2021&lt;/Year&gt;&lt;RecNum&gt;454&lt;/RecNum&gt;&lt;DisplayText&gt;(Zakil et al., 2021)&lt;/DisplayText&gt;&lt;record&gt;&lt;rec-number&gt;454&lt;/rec-number&gt;&lt;foreign-keys&gt;&lt;key app="EN" db-id="55awztvege50ahe0zeo59vpw9ps9esdtstp0" timestamp="1657620740"&gt;454&lt;/key&gt;&lt;/foreign-keys&gt;&lt;ref-type name="Journal Article"&gt;17&lt;/ref-type&gt;&lt;contributors&gt;&lt;authors&gt;&lt;author&gt;Zakil, Fathie Ahmad&lt;/author&gt;&lt;author&gt;Sueb, Mohd Shafiq Mohd&lt;/author&gt;&lt;author&gt;Isha, Ruzinah&lt;/author&gt;&lt;author&gt;Kamaluddin, Siti Hajar&lt;/author&gt;&lt;/authors&gt;&lt;/contributors&gt;&lt;titles&gt;&lt;title&gt;Efficiency of Charcoal as Supporting Growth Material in Pleurotus Ostreatus Mushroom Cultivation on Various Agricultural Wastes Mixed with Rubber Tree Sawdust (SR)&lt;/title&gt;&lt;secondary-title&gt;Chemical Engineering Transactions&lt;/secondary-title&gt;&lt;/titles&gt;&lt;periodical&gt;&lt;full-title&gt;Chemical Engineering Transactions&lt;/full-title&gt;&lt;/periodical&gt;&lt;pages&gt;415-420&lt;/pages&gt;&lt;volume&gt;89&lt;/volume&gt;&lt;dates&gt;&lt;year&gt;2021&lt;/year&gt;&lt;/dates&gt;&lt;isbn&gt;2283-9216&lt;/isbn&gt;&lt;urls&gt;&lt;/urls&gt;&lt;/record&gt;&lt;/Cite&gt;&lt;/EndNote&gt;</w:instrText>
      </w:r>
      <w:r w:rsidR="00C604A2">
        <w:rPr>
          <w:lang w:val="en-GB"/>
        </w:rPr>
        <w:fldChar w:fldCharType="separate"/>
      </w:r>
      <w:r w:rsidR="00C604A2">
        <w:rPr>
          <w:noProof/>
          <w:lang w:val="en-GB"/>
        </w:rPr>
        <w:t>(Zakil et al., 2021)</w:t>
      </w:r>
      <w:r w:rsidR="00C604A2">
        <w:rPr>
          <w:lang w:val="en-GB"/>
        </w:rPr>
        <w:fldChar w:fldCharType="end"/>
      </w:r>
      <w:r w:rsidR="003D1E6C">
        <w:rPr>
          <w:lang w:val="en-GB"/>
        </w:rPr>
        <w:t>.</w:t>
      </w:r>
    </w:p>
    <w:p w14:paraId="2760FFE8" w14:textId="77777777" w:rsidR="00476EE8" w:rsidRDefault="00476EE8" w:rsidP="00476EE8">
      <w:pPr>
        <w:pStyle w:val="CETBodytext"/>
        <w:keepNext/>
        <w:spacing w:after="240"/>
      </w:pPr>
      <w:r>
        <w:rPr>
          <w:noProof/>
          <w:lang w:val="en-ZA" w:eastAsia="en-ZA"/>
        </w:rPr>
        <w:lastRenderedPageBreak/>
        <w:drawing>
          <wp:inline distT="0" distB="0" distL="0" distR="0" wp14:anchorId="1563B1DF" wp14:editId="0C5516EA">
            <wp:extent cx="3679958" cy="15654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7743" cy="1615559"/>
                    </a:xfrm>
                    <a:prstGeom prst="rect">
                      <a:avLst/>
                    </a:prstGeom>
                    <a:noFill/>
                  </pic:spPr>
                </pic:pic>
              </a:graphicData>
            </a:graphic>
          </wp:inline>
        </w:drawing>
      </w:r>
    </w:p>
    <w:p w14:paraId="5701FA0E" w14:textId="15664B58" w:rsidR="00476EE8" w:rsidRDefault="00476EE8" w:rsidP="00476EE8">
      <w:pPr>
        <w:pStyle w:val="CETCaption"/>
      </w:pPr>
      <w:r>
        <w:t xml:space="preserve">Figure </w:t>
      </w:r>
      <w:r>
        <w:fldChar w:fldCharType="begin"/>
      </w:r>
      <w:r>
        <w:instrText xml:space="preserve"> SEQ Figure \* ARABIC </w:instrText>
      </w:r>
      <w:r>
        <w:fldChar w:fldCharType="separate"/>
      </w:r>
      <w:r w:rsidR="00635187">
        <w:rPr>
          <w:noProof/>
        </w:rPr>
        <w:t>3</w:t>
      </w:r>
      <w:r>
        <w:fldChar w:fldCharType="end"/>
      </w:r>
      <w:r>
        <w:t>: SEM micrographs of (a) Raw Sawdust and (b) Sawdust Biochar.</w:t>
      </w:r>
    </w:p>
    <w:p w14:paraId="61FBE73F" w14:textId="5B6E97E7" w:rsidR="00BC10FF" w:rsidRPr="00EA07B6" w:rsidRDefault="00BC10FF" w:rsidP="00476EE8">
      <w:pPr>
        <w:pStyle w:val="CETCaption"/>
        <w:rPr>
          <w:i w:val="0"/>
        </w:rPr>
      </w:pPr>
      <w:r w:rsidRPr="003056F0">
        <w:rPr>
          <w:i w:val="0"/>
        </w:rPr>
        <w:t>FTIR analysis of the materials showed the presence of functional groups on their s</w:t>
      </w:r>
      <w:r w:rsidR="003056F0">
        <w:rPr>
          <w:i w:val="0"/>
        </w:rPr>
        <w:t xml:space="preserve">urfaces as seen in Figure 4. </w:t>
      </w:r>
      <w:r w:rsidRPr="003056F0">
        <w:rPr>
          <w:i w:val="0"/>
        </w:rPr>
        <w:t xml:space="preserve"> </w:t>
      </w:r>
      <w:r w:rsidR="003056F0">
        <w:rPr>
          <w:i w:val="0"/>
        </w:rPr>
        <w:t>The absorption peaks around 3</w:t>
      </w:r>
      <w:r w:rsidR="003056F0" w:rsidRPr="003056F0">
        <w:rPr>
          <w:i w:val="0"/>
        </w:rPr>
        <w:t>4</w:t>
      </w:r>
      <w:r w:rsidR="003056F0">
        <w:rPr>
          <w:i w:val="0"/>
        </w:rPr>
        <w:t>10 cm</w:t>
      </w:r>
      <w:r w:rsidR="003056F0" w:rsidRPr="003056F0">
        <w:rPr>
          <w:i w:val="0"/>
          <w:vertAlign w:val="superscript"/>
        </w:rPr>
        <w:t>-1</w:t>
      </w:r>
      <w:r w:rsidR="003056F0">
        <w:rPr>
          <w:i w:val="0"/>
        </w:rPr>
        <w:t xml:space="preserve"> is assigned to the -O</w:t>
      </w:r>
      <w:r w:rsidR="003056F0" w:rsidRPr="003056F0">
        <w:rPr>
          <w:i w:val="0"/>
        </w:rPr>
        <w:t xml:space="preserve">H stretching vibration of hydroxyl functional phenolic groups. The absorption band </w:t>
      </w:r>
      <w:r w:rsidR="003056F0">
        <w:rPr>
          <w:i w:val="0"/>
        </w:rPr>
        <w:t>at approximately 2</w:t>
      </w:r>
      <w:r w:rsidR="00EA07B6">
        <w:rPr>
          <w:i w:val="0"/>
        </w:rPr>
        <w:t>88</w:t>
      </w:r>
      <w:r w:rsidR="003056F0">
        <w:rPr>
          <w:i w:val="0"/>
        </w:rPr>
        <w:t>0 cm</w:t>
      </w:r>
      <w:r w:rsidR="003056F0" w:rsidRPr="003056F0">
        <w:rPr>
          <w:i w:val="0"/>
          <w:vertAlign w:val="superscript"/>
        </w:rPr>
        <w:t>-1</w:t>
      </w:r>
      <w:r w:rsidR="003056F0" w:rsidRPr="003056F0">
        <w:rPr>
          <w:i w:val="0"/>
        </w:rPr>
        <w:t xml:space="preserve"> corresponds to the C–H stretching vibration</w:t>
      </w:r>
      <w:r w:rsidR="00751B77">
        <w:rPr>
          <w:i w:val="0"/>
        </w:rPr>
        <w:t xml:space="preserve"> </w:t>
      </w:r>
      <w:r w:rsidR="00751B77" w:rsidRPr="00751B77">
        <w:rPr>
          <w:i w:val="0"/>
        </w:rPr>
        <w:t>in alkanes/alkyl groups</w:t>
      </w:r>
      <w:r w:rsidR="00EA07B6">
        <w:rPr>
          <w:i w:val="0"/>
        </w:rPr>
        <w:t xml:space="preserve"> suggesting the loss of aliphatic compounds</w:t>
      </w:r>
      <w:r w:rsidR="003056F0" w:rsidRPr="00751B77">
        <w:rPr>
          <w:i w:val="0"/>
        </w:rPr>
        <w:t>.</w:t>
      </w:r>
      <w:r w:rsidR="003056F0" w:rsidRPr="003056F0">
        <w:rPr>
          <w:i w:val="0"/>
        </w:rPr>
        <w:t xml:space="preserve"> The peak</w:t>
      </w:r>
      <w:r w:rsidR="003056F0">
        <w:rPr>
          <w:i w:val="0"/>
        </w:rPr>
        <w:t xml:space="preserve">s between at </w:t>
      </w:r>
      <w:r w:rsidR="00751B77">
        <w:rPr>
          <w:i w:val="0"/>
        </w:rPr>
        <w:t>155</w:t>
      </w:r>
      <w:r w:rsidR="00751B77" w:rsidRPr="003056F0">
        <w:rPr>
          <w:i w:val="0"/>
        </w:rPr>
        <w:t xml:space="preserve">4 </w:t>
      </w:r>
      <w:r w:rsidR="00751B77">
        <w:rPr>
          <w:i w:val="0"/>
        </w:rPr>
        <w:t>to</w:t>
      </w:r>
      <w:r w:rsidR="003056F0">
        <w:rPr>
          <w:i w:val="0"/>
        </w:rPr>
        <w:t xml:space="preserve"> 1364 cm</w:t>
      </w:r>
      <w:r w:rsidR="003056F0" w:rsidRPr="003056F0">
        <w:rPr>
          <w:i w:val="0"/>
          <w:vertAlign w:val="superscript"/>
        </w:rPr>
        <w:t>-1</w:t>
      </w:r>
      <w:r w:rsidR="003056F0" w:rsidRPr="003056F0">
        <w:rPr>
          <w:i w:val="0"/>
        </w:rPr>
        <w:t xml:space="preserve"> may be a</w:t>
      </w:r>
      <w:r w:rsidR="003056F0">
        <w:rPr>
          <w:i w:val="0"/>
        </w:rPr>
        <w:t>ssigned</w:t>
      </w:r>
      <w:r w:rsidR="003056F0" w:rsidRPr="003056F0">
        <w:rPr>
          <w:i w:val="0"/>
        </w:rPr>
        <w:t xml:space="preserve"> to a</w:t>
      </w:r>
      <w:r w:rsidR="003056F0">
        <w:rPr>
          <w:i w:val="0"/>
        </w:rPr>
        <w:t>n aromatic</w:t>
      </w:r>
      <w:r w:rsidR="003056F0" w:rsidRPr="003056F0">
        <w:rPr>
          <w:i w:val="0"/>
        </w:rPr>
        <w:t xml:space="preserve"> C=C stretching vibration </w:t>
      </w:r>
      <w:r w:rsidR="003056F0">
        <w:rPr>
          <w:i w:val="0"/>
        </w:rPr>
        <w:t xml:space="preserve">related to arykalkyl </w:t>
      </w:r>
      <w:r w:rsidR="003056F0" w:rsidRPr="00751B77">
        <w:rPr>
          <w:i w:val="0"/>
        </w:rPr>
        <w:t xml:space="preserve">ethers </w:t>
      </w:r>
      <w:r w:rsidR="00751B77" w:rsidRPr="00751B77">
        <w:rPr>
          <w:i w:val="0"/>
        </w:rPr>
        <w:t>(-OCH</w:t>
      </w:r>
      <w:r w:rsidR="00751B77" w:rsidRPr="00751B77">
        <w:rPr>
          <w:i w:val="0"/>
          <w:vertAlign w:val="subscript"/>
        </w:rPr>
        <w:t>3</w:t>
      </w:r>
      <w:r w:rsidR="00751B77" w:rsidRPr="00751B77">
        <w:rPr>
          <w:i w:val="0"/>
        </w:rPr>
        <w:t xml:space="preserve">). </w:t>
      </w:r>
      <w:r w:rsidR="003056F0" w:rsidRPr="00751B77">
        <w:rPr>
          <w:i w:val="0"/>
        </w:rPr>
        <w:t>The</w:t>
      </w:r>
      <w:r w:rsidR="003056F0" w:rsidRPr="003056F0">
        <w:rPr>
          <w:i w:val="0"/>
        </w:rPr>
        <w:t xml:space="preserve"> </w:t>
      </w:r>
      <w:r w:rsidR="00751B77">
        <w:rPr>
          <w:i w:val="0"/>
        </w:rPr>
        <w:t>signal around 1</w:t>
      </w:r>
      <w:r w:rsidR="003056F0" w:rsidRPr="003056F0">
        <w:rPr>
          <w:i w:val="0"/>
        </w:rPr>
        <w:t>0</w:t>
      </w:r>
      <w:r w:rsidR="00EA07B6">
        <w:rPr>
          <w:i w:val="0"/>
        </w:rPr>
        <w:t>5</w:t>
      </w:r>
      <w:r w:rsidR="00751B77">
        <w:rPr>
          <w:i w:val="0"/>
        </w:rPr>
        <w:t>8 cm</w:t>
      </w:r>
      <w:r w:rsidR="00751B77" w:rsidRPr="00751B77">
        <w:rPr>
          <w:i w:val="0"/>
          <w:vertAlign w:val="superscript"/>
        </w:rPr>
        <w:t>-</w:t>
      </w:r>
      <w:r w:rsidR="003056F0" w:rsidRPr="00751B77">
        <w:rPr>
          <w:i w:val="0"/>
          <w:vertAlign w:val="superscript"/>
        </w:rPr>
        <w:t>1</w:t>
      </w:r>
      <w:r w:rsidR="003056F0" w:rsidRPr="003056F0">
        <w:rPr>
          <w:i w:val="0"/>
        </w:rPr>
        <w:t xml:space="preserve"> could be attributed to –C–O–C– stretching vibrations of polysaccharides or from the </w:t>
      </w:r>
      <w:r w:rsidR="00751B77">
        <w:rPr>
          <w:i w:val="0"/>
        </w:rPr>
        <w:t xml:space="preserve">phenolic hydroxyl </w:t>
      </w:r>
      <w:r w:rsidR="003056F0" w:rsidRPr="003056F0">
        <w:rPr>
          <w:i w:val="0"/>
        </w:rPr>
        <w:t xml:space="preserve">bending vibration of –C–OH. </w:t>
      </w:r>
      <w:r w:rsidR="00EA07B6">
        <w:rPr>
          <w:i w:val="0"/>
        </w:rPr>
        <w:t>T</w:t>
      </w:r>
      <w:r w:rsidR="00EA07B6" w:rsidRPr="00EA07B6">
        <w:rPr>
          <w:i w:val="0"/>
        </w:rPr>
        <w:t xml:space="preserve">he </w:t>
      </w:r>
      <w:r w:rsidR="00EA07B6">
        <w:rPr>
          <w:i w:val="0"/>
        </w:rPr>
        <w:t xml:space="preserve">formation of pores in the biochar matrix is attributed to the loss of -OH and C-H functional groups. </w:t>
      </w:r>
      <w:r w:rsidRPr="003056F0">
        <w:rPr>
          <w:i w:val="0"/>
        </w:rPr>
        <w:t xml:space="preserve">Sawdust biochar is observed to </w:t>
      </w:r>
      <w:r w:rsidR="00115C1F">
        <w:rPr>
          <w:i w:val="0"/>
        </w:rPr>
        <w:t>have lost some acidic functional groups like phenol and carboxylic acid but equally gained basic functional groups like quinone and carbonyl</w:t>
      </w:r>
      <w:r w:rsidRPr="003056F0">
        <w:rPr>
          <w:i w:val="0"/>
        </w:rPr>
        <w:t xml:space="preserve">, which are responsible for </w:t>
      </w:r>
      <w:r w:rsidR="00115C1F">
        <w:rPr>
          <w:i w:val="0"/>
        </w:rPr>
        <w:t xml:space="preserve">a highly efficient adsorbent material </w:t>
      </w:r>
      <w:r w:rsidR="00115C1F">
        <w:rPr>
          <w:i w:val="0"/>
        </w:rPr>
        <w:fldChar w:fldCharType="begin"/>
      </w:r>
      <w:r w:rsidR="00115C1F">
        <w:rPr>
          <w:i w:val="0"/>
        </w:rPr>
        <w:instrText xml:space="preserve"> ADDIN EN.CITE &lt;EndNote&gt;&lt;Cite&gt;&lt;Author&gt;Shaaban&lt;/Author&gt;&lt;Year&gt;2013&lt;/Year&gt;&lt;RecNum&gt;457&lt;/RecNum&gt;&lt;DisplayText&gt;(Shaaban et al., 2013)&lt;/DisplayText&gt;&lt;record&gt;&lt;rec-number&gt;457&lt;/rec-number&gt;&lt;foreign-keys&gt;&lt;key app="EN" db-id="55awztvege50ahe0zeo59vpw9ps9esdtstp0" timestamp="1657642727"&gt;457&lt;/key&gt;&lt;/foreign-keys&gt;&lt;ref-type name="Journal Article"&gt;17&lt;/ref-type&gt;&lt;contributors&gt;&lt;authors&gt;&lt;author&gt;Shaaban, A.&lt;/author&gt;&lt;author&gt;Se, Sian-Meng&lt;/author&gt;&lt;author&gt;Mitan, Nona Merry M.&lt;/author&gt;&lt;author&gt;Dimin, M. F.&lt;/author&gt;&lt;/authors&gt;&lt;/contributors&gt;&lt;titles&gt;&lt;title&gt;Characterization of Biochar Derived from Rubber Wood Sawdust through Slow Pyrolysis on Surface Porosities and Functional Groups&lt;/title&gt;&lt;secondary-title&gt;Procedia Engineering&lt;/secondary-title&gt;&lt;/titles&gt;&lt;periodical&gt;&lt;full-title&gt;Procedia Engineering&lt;/full-title&gt;&lt;/periodical&gt;&lt;pages&gt;365-371&lt;/pages&gt;&lt;volume&gt;68&lt;/volume&gt;&lt;keywords&gt;&lt;keyword&gt;Biochar&lt;/keyword&gt;&lt;keyword&gt;slow pyrolysis&lt;/keyword&gt;&lt;keyword&gt;BET surface area&lt;/keyword&gt;&lt;keyword&gt;surface porosity&lt;/keyword&gt;&lt;keyword&gt;surface functional groups&lt;/keyword&gt;&lt;/keywords&gt;&lt;dates&gt;&lt;year&gt;2013&lt;/year&gt;&lt;pub-dates&gt;&lt;date&gt;2013/01/01/&lt;/date&gt;&lt;/pub-dates&gt;&lt;/dates&gt;&lt;isbn&gt;1877-7058&lt;/isbn&gt;&lt;urls&gt;&lt;related-urls&gt;&lt;url&gt;https://www.sciencedirect.com/science/article/pii/S187770581302047X&lt;/url&gt;&lt;/related-urls&gt;&lt;/urls&gt;&lt;electronic-resource-num&gt;https://doi.org/10.1016/j.proeng.2013.12.193&lt;/electronic-resource-num&gt;&lt;/record&gt;&lt;/Cite&gt;&lt;/EndNote&gt;</w:instrText>
      </w:r>
      <w:r w:rsidR="00115C1F">
        <w:rPr>
          <w:i w:val="0"/>
        </w:rPr>
        <w:fldChar w:fldCharType="separate"/>
      </w:r>
      <w:r w:rsidR="00115C1F">
        <w:rPr>
          <w:i w:val="0"/>
          <w:noProof/>
        </w:rPr>
        <w:t>(Shaaban et al., 2013)</w:t>
      </w:r>
      <w:r w:rsidR="00115C1F">
        <w:rPr>
          <w:i w:val="0"/>
        </w:rPr>
        <w:fldChar w:fldCharType="end"/>
      </w:r>
      <w:r w:rsidRPr="003056F0">
        <w:rPr>
          <w:i w:val="0"/>
        </w:rPr>
        <w:t>.</w:t>
      </w:r>
      <w:r>
        <w:rPr>
          <w:i w:val="0"/>
        </w:rPr>
        <w:t xml:space="preserve"> </w:t>
      </w:r>
    </w:p>
    <w:p w14:paraId="4CE3A794" w14:textId="518D6F4C" w:rsidR="003056F0" w:rsidRDefault="00F2063E" w:rsidP="003056F0">
      <w:pPr>
        <w:pStyle w:val="CETCaption"/>
        <w:keepNext/>
      </w:pPr>
      <w:r>
        <w:rPr>
          <w:noProof/>
          <w:lang w:val="en-ZA" w:eastAsia="en-ZA"/>
        </w:rPr>
        <w:drawing>
          <wp:inline distT="0" distB="0" distL="0" distR="0" wp14:anchorId="53798BF5" wp14:editId="1D0CF765">
            <wp:extent cx="3590238" cy="2179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708664" cy="2251836"/>
                    </a:xfrm>
                    <a:prstGeom prst="rect">
                      <a:avLst/>
                    </a:prstGeom>
                  </pic:spPr>
                </pic:pic>
              </a:graphicData>
            </a:graphic>
          </wp:inline>
        </w:drawing>
      </w:r>
    </w:p>
    <w:p w14:paraId="48E1596F" w14:textId="09D05124" w:rsidR="00B0043B" w:rsidRPr="00751B77" w:rsidRDefault="00635187" w:rsidP="00751B77">
      <w:pPr>
        <w:pStyle w:val="CETCaption"/>
        <w:keepNext/>
      </w:pPr>
      <w:r w:rsidRPr="003056F0">
        <w:t xml:space="preserve">Figure </w:t>
      </w:r>
      <w:r w:rsidRPr="003056F0">
        <w:fldChar w:fldCharType="begin"/>
      </w:r>
      <w:r w:rsidRPr="003056F0">
        <w:instrText xml:space="preserve"> SEQ Figure \* ARABIC </w:instrText>
      </w:r>
      <w:r w:rsidRPr="003056F0">
        <w:fldChar w:fldCharType="separate"/>
      </w:r>
      <w:r w:rsidRPr="003056F0">
        <w:t>4</w:t>
      </w:r>
      <w:r w:rsidRPr="003056F0">
        <w:fldChar w:fldCharType="end"/>
      </w:r>
      <w:r w:rsidRPr="003056F0">
        <w:t>: FTIR spectra of Raw Sawdust and Sawdust Biochar</w:t>
      </w:r>
    </w:p>
    <w:p w14:paraId="1F96CA21" w14:textId="018C12CD" w:rsidR="00600535" w:rsidRPr="00B57B36" w:rsidRDefault="00CE6A27" w:rsidP="00CE6A27">
      <w:pPr>
        <w:pStyle w:val="CETheadingx"/>
      </w:pPr>
      <w:r w:rsidRPr="00CE6A27">
        <w:t>Batch Adsorption Experiments</w:t>
      </w:r>
    </w:p>
    <w:p w14:paraId="34F5E9B6" w14:textId="15A24A12" w:rsidR="00476EE8" w:rsidRDefault="00C604A2" w:rsidP="00476EE8">
      <w:pPr>
        <w:pStyle w:val="CETBodytext"/>
        <w:spacing w:after="240"/>
        <w:rPr>
          <w:lang w:val="en-GB"/>
        </w:rPr>
      </w:pPr>
      <w:r w:rsidRPr="00703778">
        <w:rPr>
          <w:lang w:val="en-GB"/>
        </w:rPr>
        <w:t>Adsorption</w:t>
      </w:r>
      <w:r>
        <w:rPr>
          <w:lang w:val="en-GB"/>
        </w:rPr>
        <w:t xml:space="preserve"> efficiency correlates with surface area (porosity) and crystallinity such that a crystalline adsorbent would have less pores and active surface area </w:t>
      </w:r>
      <w:r>
        <w:rPr>
          <w:lang w:val="en-GB"/>
        </w:rPr>
        <w:fldChar w:fldCharType="begin"/>
      </w:r>
      <w:r>
        <w:rPr>
          <w:lang w:val="en-GB"/>
        </w:rPr>
        <w:instrText xml:space="preserve"> ADDIN EN.CITE &lt;EndNote&gt;&lt;Cite&gt;&lt;Author&gt;Wei&lt;/Author&gt;&lt;Year&gt;2015&lt;/Year&gt;&lt;RecNum&gt;456&lt;/RecNum&gt;&lt;DisplayText&gt;(Wei et al., 2015)&lt;/DisplayText&gt;&lt;record&gt;&lt;rec-number&gt;456&lt;/rec-number&gt;&lt;foreign-keys&gt;&lt;key app="EN" db-id="55awztvege50ahe0zeo59vpw9ps9esdtstp0" timestamp="1657639408"&gt;456&lt;/key&gt;&lt;/foreign-keys&gt;&lt;ref-type name="Journal Article"&gt;17&lt;/ref-type&gt;&lt;contributors&gt;&lt;authors&gt;&lt;author&gt;Wei, Wei&lt;/author&gt;&lt;author&gt;Yang, Lei&lt;/author&gt;&lt;author&gt;Zhong, Wenhui&lt;/author&gt;&lt;author&gt;Cui, Jing&lt;/author&gt;&lt;author&gt;Zhenggui, Wei&lt;/author&gt;&lt;/authors&gt;&lt;/contributors&gt;&lt;titles&gt;&lt;title&gt;Mechanism of enhanced humic acid removal from aqueous solution using poorly crystalline hydroxyapatite nanoparticles&lt;/title&gt;&lt;secondary-title&gt;Digest Journal of Nanomaterials and Biostructures&lt;/secondary-title&gt;&lt;/titles&gt;&lt;periodical&gt;&lt;full-title&gt;Digest Journal of Nanomaterials and Biostructures&lt;/full-title&gt;&lt;/periodical&gt;&lt;volume&gt;10&lt;/volume&gt;&lt;dates&gt;&lt;year&gt;2015&lt;/year&gt;&lt;pub-dates&gt;&lt;date&gt;06/01&lt;/date&gt;&lt;/pub-dates&gt;&lt;/dates&gt;&lt;urls&gt;&lt;/urls&gt;&lt;/record&gt;&lt;/Cite&gt;&lt;/EndNote&gt;</w:instrText>
      </w:r>
      <w:r>
        <w:rPr>
          <w:lang w:val="en-GB"/>
        </w:rPr>
        <w:fldChar w:fldCharType="separate"/>
      </w:r>
      <w:r>
        <w:rPr>
          <w:noProof/>
          <w:lang w:val="en-GB"/>
        </w:rPr>
        <w:t>(Wei et al., 2015)</w:t>
      </w:r>
      <w:r>
        <w:rPr>
          <w:lang w:val="en-GB"/>
        </w:rPr>
        <w:fldChar w:fldCharType="end"/>
      </w:r>
      <w:r>
        <w:rPr>
          <w:lang w:val="en-GB"/>
        </w:rPr>
        <w:t xml:space="preserve">. </w:t>
      </w:r>
      <w:r w:rsidR="00130EEC" w:rsidRPr="00456DF8">
        <w:rPr>
          <w:lang w:val="en-GB"/>
        </w:rPr>
        <w:t>In Figure 5a,</w:t>
      </w:r>
      <w:r w:rsidRPr="00456DF8">
        <w:rPr>
          <w:lang w:val="en-GB"/>
        </w:rPr>
        <w:t xml:space="preserve"> sawdust biochar with lower crystallinity as obtained by the XRD spectra had a higher adsorption performance than raw </w:t>
      </w:r>
      <w:r w:rsidR="00130EEC" w:rsidRPr="00456DF8">
        <w:rPr>
          <w:lang w:val="en-GB"/>
        </w:rPr>
        <w:t>sawdust.</w:t>
      </w:r>
      <w:r w:rsidR="00130EEC">
        <w:rPr>
          <w:lang w:val="en-GB"/>
        </w:rPr>
        <w:t xml:space="preserve"> The</w:t>
      </w:r>
      <w:r w:rsidR="003C4426">
        <w:rPr>
          <w:lang w:val="en-GB"/>
        </w:rPr>
        <w:t xml:space="preserve"> </w:t>
      </w:r>
      <w:r w:rsidR="00D8592F" w:rsidRPr="00D8592F">
        <w:rPr>
          <w:lang w:val="en-GB"/>
        </w:rPr>
        <w:t>dosage</w:t>
      </w:r>
      <w:r w:rsidR="002E5214">
        <w:rPr>
          <w:lang w:val="en-GB"/>
        </w:rPr>
        <w:t xml:space="preserve"> of sawdust biochar</w:t>
      </w:r>
      <w:r w:rsidR="00D8592F" w:rsidRPr="00D8592F">
        <w:rPr>
          <w:lang w:val="en-GB"/>
        </w:rPr>
        <w:t xml:space="preserve"> </w:t>
      </w:r>
      <w:r w:rsidR="00130EEC">
        <w:rPr>
          <w:lang w:val="en-GB"/>
        </w:rPr>
        <w:t>was</w:t>
      </w:r>
      <w:r w:rsidR="003C4426">
        <w:rPr>
          <w:lang w:val="en-GB"/>
        </w:rPr>
        <w:t xml:space="preserve"> varied to investigate the effect of </w:t>
      </w:r>
      <w:r w:rsidR="00130EEC" w:rsidRPr="00D8592F">
        <w:rPr>
          <w:lang w:val="en-GB"/>
        </w:rPr>
        <w:t xml:space="preserve">adsorbent </w:t>
      </w:r>
      <w:r w:rsidR="00130EEC">
        <w:rPr>
          <w:lang w:val="en-GB"/>
        </w:rPr>
        <w:t xml:space="preserve">loading in </w:t>
      </w:r>
      <w:r w:rsidR="00D8592F" w:rsidRPr="00D8592F">
        <w:rPr>
          <w:lang w:val="en-GB"/>
        </w:rPr>
        <w:t xml:space="preserve">removal </w:t>
      </w:r>
      <w:r w:rsidR="00130EEC">
        <w:rPr>
          <w:lang w:val="en-GB"/>
        </w:rPr>
        <w:t xml:space="preserve">efficiency of </w:t>
      </w:r>
      <w:r w:rsidR="00130EEC" w:rsidRPr="00D8592F">
        <w:rPr>
          <w:lang w:val="en-GB"/>
        </w:rPr>
        <w:t>MB</w:t>
      </w:r>
      <w:r w:rsidR="003C4426" w:rsidRPr="003C4426">
        <w:rPr>
          <w:lang w:val="en-GB"/>
        </w:rPr>
        <w:t xml:space="preserve"> </w:t>
      </w:r>
      <w:r w:rsidR="00D8592F" w:rsidRPr="00D8592F">
        <w:rPr>
          <w:lang w:val="en-GB"/>
        </w:rPr>
        <w:t xml:space="preserve">Maximum MB removal of 98.7 % was achieved at 0.5 g/L adsorbent loading. When the dosage was increased </w:t>
      </w:r>
      <w:r w:rsidR="000A1C2F">
        <w:rPr>
          <w:lang w:val="en-GB"/>
        </w:rPr>
        <w:t>to</w:t>
      </w:r>
      <w:r w:rsidR="00D8592F" w:rsidRPr="00D8592F">
        <w:rPr>
          <w:lang w:val="en-GB"/>
        </w:rPr>
        <w:t xml:space="preserve"> 0.9 g/L, there was no significant difference in efficiency. However, lower dosages of adsorbent at 0.25 g/L and 0.1 g/L achieved a low</w:t>
      </w:r>
      <w:r w:rsidR="00970362">
        <w:rPr>
          <w:lang w:val="en-GB"/>
        </w:rPr>
        <w:t xml:space="preserve">er removal efficiency of </w:t>
      </w:r>
      <w:r w:rsidR="00D8592F" w:rsidRPr="00D8592F">
        <w:rPr>
          <w:lang w:val="en-GB"/>
        </w:rPr>
        <w:t>89.9 %</w:t>
      </w:r>
      <w:r w:rsidR="00970362">
        <w:rPr>
          <w:lang w:val="en-GB"/>
        </w:rPr>
        <w:t xml:space="preserve"> and </w:t>
      </w:r>
      <w:r w:rsidR="000A1BBD">
        <w:rPr>
          <w:lang w:val="en-GB"/>
        </w:rPr>
        <w:t>77.8 %</w:t>
      </w:r>
      <w:r w:rsidR="00D8592F" w:rsidRPr="00D8592F">
        <w:rPr>
          <w:lang w:val="en-GB"/>
        </w:rPr>
        <w:t xml:space="preserve"> respectively. The improved performance of the adsorbent as the dosage was increased is attributed to the presence of more pores and adsorpti</w:t>
      </w:r>
      <w:r w:rsidR="00476EE8">
        <w:rPr>
          <w:lang w:val="en-GB"/>
        </w:rPr>
        <w:t xml:space="preserve">on sites </w:t>
      </w:r>
      <w:r w:rsidR="00BC10FF">
        <w:rPr>
          <w:lang w:val="en-GB"/>
        </w:rPr>
        <w:fldChar w:fldCharType="begin"/>
      </w:r>
      <w:r w:rsidR="00BC10FF">
        <w:rPr>
          <w:lang w:val="en-GB"/>
        </w:rPr>
        <w:instrText xml:space="preserve"> ADDIN EN.CITE &lt;EndNote&gt;&lt;Cite&gt;&lt;Author&gt;Zhang&lt;/Author&gt;&lt;Year&gt;2018&lt;/Year&gt;&lt;RecNum&gt;420&lt;/RecNum&gt;&lt;DisplayText&gt;(Zhang et al., 2018)&lt;/DisplayText&gt;&lt;record&gt;&lt;rec-number&gt;420&lt;/rec-number&gt;&lt;foreign-keys&gt;&lt;key app="EN" db-id="55awztvege50ahe0zeo59vpw9ps9esdtstp0" timestamp="1654755223"&gt;420&lt;/key&gt;&lt;/foreign-keys&gt;&lt;ref-type name="Journal Article"&gt;17&lt;/ref-type&gt;&lt;contributors&gt;&lt;authors&gt;&lt;author&gt;Zhang, Xiaojuan&lt;/author&gt;&lt;author&gt;Zhang, Lei&lt;/author&gt;&lt;author&gt;Li, Aimin&lt;/author&gt;&lt;/authors&gt;&lt;/contributors&gt;&lt;titles&gt;&lt;title&gt;Eucalyptus sawdust derived biochar generated by combining the hydrothermal carbonization and low concentration KOH modification for hexavalent chromium removal&lt;/title&gt;&lt;secondary-title&gt;Journal of Environmental Management&lt;/secondary-title&gt;&lt;/titles&gt;&lt;periodical&gt;&lt;full-title&gt;Journal of Environmental Management&lt;/full-title&gt;&lt;/periodical&gt;&lt;pages&gt;989-998&lt;/pages&gt;&lt;volume&gt;206&lt;/volume&gt;&lt;dates&gt;&lt;year&gt;2018&lt;/year&gt;&lt;/dates&gt;&lt;isbn&gt;0301-4797&lt;/isbn&gt;&lt;urls&gt;&lt;/urls&gt;&lt;/record&gt;&lt;/Cite&gt;&lt;/EndNote&gt;</w:instrText>
      </w:r>
      <w:r w:rsidR="00BC10FF">
        <w:rPr>
          <w:lang w:val="en-GB"/>
        </w:rPr>
        <w:fldChar w:fldCharType="separate"/>
      </w:r>
      <w:r w:rsidR="00BC10FF">
        <w:rPr>
          <w:noProof/>
          <w:lang w:val="en-GB"/>
        </w:rPr>
        <w:t>(Zhang et al., 2018)</w:t>
      </w:r>
      <w:r w:rsidR="00BC10FF">
        <w:rPr>
          <w:lang w:val="en-GB"/>
        </w:rPr>
        <w:fldChar w:fldCharType="end"/>
      </w:r>
      <w:r w:rsidR="00BC10FF">
        <w:rPr>
          <w:lang w:val="en-GB"/>
        </w:rPr>
        <w:t xml:space="preserve">. </w:t>
      </w:r>
      <w:r w:rsidR="003C4426">
        <w:rPr>
          <w:lang w:val="en-GB"/>
        </w:rPr>
        <w:t>According to</w:t>
      </w:r>
      <w:r w:rsidR="0096617B">
        <w:rPr>
          <w:lang w:val="en-GB"/>
        </w:rPr>
        <w:t xml:space="preserve"> </w:t>
      </w:r>
      <w:r w:rsidR="0096617B">
        <w:rPr>
          <w:lang w:val="en-GB"/>
        </w:rPr>
        <w:fldChar w:fldCharType="begin"/>
      </w:r>
      <w:r w:rsidR="0096617B">
        <w:rPr>
          <w:lang w:val="en-GB"/>
        </w:rPr>
        <w:instrText xml:space="preserve"> ADDIN EN.CITE &lt;EndNote&gt;&lt;Cite AuthorYear="1"&gt;&lt;Author&gt;Laing&lt;/Author&gt;&lt;Year&gt;1991&lt;/Year&gt;&lt;RecNum&gt;455&lt;/RecNum&gt;&lt;DisplayText&gt;Laing (1991)&lt;/DisplayText&gt;&lt;record&gt;&lt;rec-number&gt;455&lt;/rec-number&gt;&lt;foreign-keys&gt;&lt;key app="EN" db-id="55awztvege50ahe0zeo59vpw9ps9esdtstp0" timestamp="1657621445"&gt;455&lt;/key&gt;&lt;/foreign-keys&gt;&lt;ref-type name="Journal Article"&gt;17&lt;/ref-type&gt;&lt;contributors&gt;&lt;authors&gt;&lt;author&gt;Laing, IG&lt;/author&gt;&lt;/authors&gt;&lt;/contributors&gt;&lt;titles&gt;&lt;title&gt;The impact of effluent regulations on the dyeing industry&lt;/title&gt;&lt;secondary-title&gt;Review of Progress in Coloration and Related Topics&lt;/secondary-title&gt;&lt;/titles&gt;&lt;periodical&gt;&lt;full-title&gt;Review of Progress in Coloration and Related Topics&lt;/full-title&gt;&lt;/periodical&gt;&lt;pages&gt;56-71&lt;/pages&gt;&lt;volume&gt;21&lt;/volume&gt;&lt;number&gt;1&lt;/number&gt;&lt;dates&gt;&lt;year&gt;1991&lt;/year&gt;&lt;/dates&gt;&lt;isbn&gt;0557-9325&lt;/isbn&gt;&lt;urls&gt;&lt;/urls&gt;&lt;/record&gt;&lt;/Cite&gt;&lt;/EndNote&gt;</w:instrText>
      </w:r>
      <w:r w:rsidR="0096617B">
        <w:rPr>
          <w:lang w:val="en-GB"/>
        </w:rPr>
        <w:fldChar w:fldCharType="separate"/>
      </w:r>
      <w:r w:rsidR="0096617B">
        <w:rPr>
          <w:noProof/>
          <w:lang w:val="en-GB"/>
        </w:rPr>
        <w:t>Laing (1991)</w:t>
      </w:r>
      <w:r w:rsidR="0096617B">
        <w:rPr>
          <w:lang w:val="en-GB"/>
        </w:rPr>
        <w:fldChar w:fldCharType="end"/>
      </w:r>
      <w:r w:rsidR="003C4426">
        <w:rPr>
          <w:lang w:val="en-GB"/>
        </w:rPr>
        <w:t xml:space="preserve"> as much as 10 – 50 </w:t>
      </w:r>
      <w:r w:rsidR="0096617B">
        <w:rPr>
          <w:lang w:val="en-GB"/>
        </w:rPr>
        <w:t xml:space="preserve">mg/L of dye pollutants are present in textile effluent. </w:t>
      </w:r>
      <w:r w:rsidR="00BC10FF">
        <w:rPr>
          <w:lang w:val="en-GB"/>
        </w:rPr>
        <w:t>In Figure 5</w:t>
      </w:r>
      <w:r w:rsidR="00D8592F" w:rsidRPr="00D8592F">
        <w:rPr>
          <w:lang w:val="en-GB"/>
        </w:rPr>
        <w:t xml:space="preserve">b, a decrease in dye removal efficiency is observed with an increase in the initial MB concentration. The optimum adsorbent dose (0.5 g/L) is limited to a specific number of pores and active adsorption sites. When the adsorbent takes more pollutant molecules than it can accommodate, it becomes saturated and no further adsorption occurs. Whereas, at lower initial dye concentrations, there is adequate active sites for highly efficient adsorption of the pollutant </w:t>
      </w:r>
      <w:r w:rsidR="00BC10FF">
        <w:rPr>
          <w:lang w:val="en-GB"/>
        </w:rPr>
        <w:fldChar w:fldCharType="begin"/>
      </w:r>
      <w:r w:rsidR="00BC10FF">
        <w:rPr>
          <w:lang w:val="en-GB"/>
        </w:rPr>
        <w:instrText xml:space="preserve"> ADDIN EN.CITE &lt;EndNote&gt;&lt;Cite&gt;&lt;Author&gt;Nadeem&lt;/Author&gt;&lt;Year&gt;2019&lt;/Year&gt;&lt;RecNum&gt;424&lt;/RecNum&gt;&lt;DisplayText&gt;(Nadeem et al., 2019)&lt;/DisplayText&gt;&lt;record&gt;&lt;rec-number&gt;424&lt;/rec-number&gt;&lt;foreign-keys&gt;&lt;key app="EN" db-id="55awztvege50ahe0zeo59vpw9ps9esdtstp0" timestamp="1654756212"&gt;424&lt;/key&gt;&lt;/foreign-keys&gt;&lt;ref-type name="Journal Article"&gt;17&lt;/ref-type&gt;&lt;contributors&gt;&lt;authors&gt;&lt;author&gt;Nadeem, Farah&lt;/author&gt;&lt;author&gt;Jamil, Nadia&lt;/author&gt;&lt;author&gt;Moazzam, Amna&lt;/author&gt;&lt;author&gt;Ahmad, Sajid Rashid&lt;/author&gt;&lt;author&gt;Lateef, Ambreen&lt;/author&gt;&lt;author&gt;Khalid, Anam&lt;/author&gt;&lt;author&gt;Qadir, Abdul&lt;/author&gt;&lt;author&gt;Ali, Azhar&lt;/author&gt;&lt;author&gt;Munir, Soniya&lt;/author&gt;&lt;/authors&gt;&lt;/contributors&gt;&lt;titles&gt;&lt;title&gt;Synthesizing and characterizing Sawdust biochar/Fe3O4 nanocomposites and its potential application in textile wastewater treatment&lt;/title&gt;&lt;secondary-title&gt;Polish Journal of Environmental Studies&lt;/secondary-title&gt;&lt;/titles&gt;&lt;periodical&gt;&lt;full-title&gt;Polish Journal of Environmental Studies&lt;/full-title&gt;&lt;/periodical&gt;&lt;pages&gt;2311-2319&lt;/pages&gt;&lt;volume&gt;28&lt;/volume&gt;&lt;number&gt;4&lt;/number&gt;&lt;dates&gt;&lt;year&gt;2019&lt;/year&gt;&lt;/dates&gt;&lt;isbn&gt;1230-1485&lt;/isbn&gt;&lt;urls&gt;&lt;/urls&gt;&lt;/record&gt;&lt;/Cite&gt;&lt;/EndNote&gt;</w:instrText>
      </w:r>
      <w:r w:rsidR="00BC10FF">
        <w:rPr>
          <w:lang w:val="en-GB"/>
        </w:rPr>
        <w:fldChar w:fldCharType="separate"/>
      </w:r>
      <w:r w:rsidR="00BC10FF">
        <w:rPr>
          <w:noProof/>
          <w:lang w:val="en-GB"/>
        </w:rPr>
        <w:t>(Nadeem et al., 2019)</w:t>
      </w:r>
      <w:r w:rsidR="00BC10FF">
        <w:rPr>
          <w:lang w:val="en-GB"/>
        </w:rPr>
        <w:fldChar w:fldCharType="end"/>
      </w:r>
      <w:r w:rsidR="00D8592F" w:rsidRPr="00D8592F">
        <w:rPr>
          <w:lang w:val="en-GB"/>
        </w:rPr>
        <w:t xml:space="preserve">. From the results obtained, 0.5 g/L of the adsorbent had completely removed 5 ppm of MB after 75 minutes of </w:t>
      </w:r>
      <w:r w:rsidR="00476EE8">
        <w:rPr>
          <w:lang w:val="en-GB"/>
        </w:rPr>
        <w:t>contact time as se</w:t>
      </w:r>
      <w:r w:rsidR="00BC10FF">
        <w:rPr>
          <w:lang w:val="en-GB"/>
        </w:rPr>
        <w:t>en in Figure 5</w:t>
      </w:r>
      <w:r w:rsidR="00476EE8">
        <w:rPr>
          <w:lang w:val="en-GB"/>
        </w:rPr>
        <w:t>b.</w:t>
      </w:r>
    </w:p>
    <w:p w14:paraId="5FA99568" w14:textId="7A70C9CA" w:rsidR="00476EE8" w:rsidRDefault="00F22F88" w:rsidP="00476EE8">
      <w:pPr>
        <w:pStyle w:val="CETBodytext"/>
        <w:keepNext/>
        <w:spacing w:after="240"/>
      </w:pPr>
      <w:r>
        <w:rPr>
          <w:noProof/>
          <w:lang w:val="en-ZA" w:eastAsia="en-ZA"/>
        </w:rPr>
        <w:lastRenderedPageBreak/>
        <w:drawing>
          <wp:inline distT="0" distB="0" distL="0" distR="0" wp14:anchorId="40DFEE0D" wp14:editId="00EBAB42">
            <wp:extent cx="5490451" cy="216529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9159" cy="2196339"/>
                    </a:xfrm>
                    <a:prstGeom prst="rect">
                      <a:avLst/>
                    </a:prstGeom>
                    <a:noFill/>
                  </pic:spPr>
                </pic:pic>
              </a:graphicData>
            </a:graphic>
          </wp:inline>
        </w:drawing>
      </w:r>
    </w:p>
    <w:p w14:paraId="722B6779" w14:textId="79E0821C" w:rsidR="00D8592F" w:rsidRDefault="00476EE8" w:rsidP="00BC10FF">
      <w:pPr>
        <w:pStyle w:val="CETCaption"/>
      </w:pPr>
      <w:r>
        <w:t xml:space="preserve">Figure </w:t>
      </w:r>
      <w:r>
        <w:fldChar w:fldCharType="begin"/>
      </w:r>
      <w:r>
        <w:instrText xml:space="preserve"> SEQ Figure \* ARABIC </w:instrText>
      </w:r>
      <w:r>
        <w:fldChar w:fldCharType="separate"/>
      </w:r>
      <w:r w:rsidR="00635187">
        <w:rPr>
          <w:noProof/>
        </w:rPr>
        <w:t>5</w:t>
      </w:r>
      <w:r>
        <w:fldChar w:fldCharType="end"/>
      </w:r>
      <w:r>
        <w:t>: Effect of varying (a) adsorbent dosage of Sawdust Biochar and (b) initial concentration of MB dye.</w:t>
      </w:r>
    </w:p>
    <w:p w14:paraId="7382C781" w14:textId="7D6A0D01" w:rsidR="00600535" w:rsidRPr="00B57B36" w:rsidRDefault="00D8592F" w:rsidP="00D8592F">
      <w:pPr>
        <w:pStyle w:val="CETheadingx"/>
      </w:pPr>
      <w:r w:rsidRPr="00D8592F">
        <w:t>Adsorption Kinetic and Isotherm Models</w:t>
      </w:r>
    </w:p>
    <w:p w14:paraId="55653D1B" w14:textId="54457E17" w:rsidR="00D8592F" w:rsidRPr="00D8592F" w:rsidRDefault="00D8592F" w:rsidP="00D8592F">
      <w:pPr>
        <w:pStyle w:val="CETBodytext"/>
        <w:rPr>
          <w:lang w:val="en-GB"/>
        </w:rPr>
      </w:pPr>
      <w:r w:rsidRPr="00D8592F">
        <w:rPr>
          <w:lang w:val="en-GB"/>
        </w:rPr>
        <w:t>The adsorption kinetics and mechanism of MB removal was evaluated by fitting the experimental data to a pseudo-first-order equation and a Langmuir isotherm expressed in equation 3 and 4:</w:t>
      </w:r>
    </w:p>
    <w:p w14:paraId="27E60E93" w14:textId="3E6FCDAC" w:rsidR="00D8592F" w:rsidRPr="00D8592F" w:rsidRDefault="00D8592F" w:rsidP="00D8592F">
      <w:pPr>
        <w:pStyle w:val="CETEquation"/>
      </w:pPr>
      <m:oMath>
        <m:r>
          <w:rPr>
            <w:rFonts w:ascii="Cambria Math" w:eastAsiaTheme="minorHAnsi" w:hAnsi="Cambria Math" w:cstheme="minorBidi"/>
            <w:sz w:val="24"/>
            <w:szCs w:val="24"/>
            <w:lang w:val="en-ZA"/>
          </w:rPr>
          <m:t xml:space="preserve"> </m:t>
        </m:r>
        <m:sSub>
          <m:sSubPr>
            <m:ctrlPr>
              <w:rPr>
                <w:rFonts w:ascii="Cambria Math" w:hAnsi="Cambria Math"/>
                <w:i/>
                <w:sz w:val="24"/>
                <w:szCs w:val="24"/>
                <w:lang w:val="en-ZA"/>
              </w:rPr>
            </m:ctrlPr>
          </m:sSubPr>
          <m:e>
            <m:r>
              <w:rPr>
                <w:rFonts w:ascii="Cambria Math" w:hAnsi="Cambria Math"/>
                <w:sz w:val="24"/>
                <w:szCs w:val="24"/>
                <w:lang w:val="en-ZA"/>
              </w:rPr>
              <m:t>q</m:t>
            </m:r>
          </m:e>
          <m:sub>
            <m:r>
              <w:rPr>
                <w:rFonts w:ascii="Cambria Math" w:hAnsi="Cambria Math"/>
                <w:sz w:val="24"/>
                <w:szCs w:val="24"/>
                <w:lang w:val="en-ZA"/>
              </w:rPr>
              <m:t>t</m:t>
            </m:r>
          </m:sub>
        </m:sSub>
        <m:r>
          <w:rPr>
            <w:rFonts w:ascii="Cambria Math" w:hAnsi="Cambria Math"/>
            <w:sz w:val="24"/>
            <w:szCs w:val="24"/>
            <w:lang w:val="en-ZA"/>
          </w:rPr>
          <m:t>=</m:t>
        </m:r>
        <m:sSub>
          <m:sSubPr>
            <m:ctrlPr>
              <w:rPr>
                <w:rFonts w:ascii="Cambria Math" w:hAnsi="Cambria Math"/>
                <w:i/>
                <w:sz w:val="24"/>
                <w:szCs w:val="24"/>
                <w:lang w:val="en-ZA"/>
              </w:rPr>
            </m:ctrlPr>
          </m:sSubPr>
          <m:e>
            <m:r>
              <w:rPr>
                <w:rFonts w:ascii="Cambria Math" w:hAnsi="Cambria Math"/>
                <w:sz w:val="24"/>
                <w:szCs w:val="24"/>
                <w:lang w:val="en-ZA"/>
              </w:rPr>
              <m:t>q</m:t>
            </m:r>
          </m:e>
          <m:sub>
            <m:r>
              <w:rPr>
                <w:rFonts w:ascii="Cambria Math" w:hAnsi="Cambria Math"/>
                <w:sz w:val="24"/>
                <w:szCs w:val="24"/>
                <w:lang w:val="en-ZA"/>
              </w:rPr>
              <m:t>e</m:t>
            </m:r>
          </m:sub>
        </m:sSub>
        <m:d>
          <m:dPr>
            <m:ctrlPr>
              <w:rPr>
                <w:rFonts w:ascii="Cambria Math" w:hAnsi="Cambria Math"/>
                <w:i/>
                <w:sz w:val="24"/>
                <w:szCs w:val="24"/>
                <w:lang w:val="en-ZA"/>
              </w:rPr>
            </m:ctrlPr>
          </m:dPr>
          <m:e>
            <m:r>
              <w:rPr>
                <w:rFonts w:ascii="Cambria Math" w:hAnsi="Cambria Math"/>
                <w:sz w:val="24"/>
                <w:szCs w:val="24"/>
                <w:lang w:val="en-ZA"/>
              </w:rPr>
              <m:t>1-</m:t>
            </m:r>
            <m:sSup>
              <m:sSupPr>
                <m:ctrlPr>
                  <w:rPr>
                    <w:rFonts w:ascii="Cambria Math" w:hAnsi="Cambria Math"/>
                    <w:i/>
                    <w:sz w:val="24"/>
                    <w:szCs w:val="24"/>
                    <w:lang w:val="en-ZA"/>
                  </w:rPr>
                </m:ctrlPr>
              </m:sSupPr>
              <m:e>
                <m:r>
                  <w:rPr>
                    <w:rFonts w:ascii="Cambria Math" w:hAnsi="Cambria Math"/>
                    <w:sz w:val="24"/>
                    <w:szCs w:val="24"/>
                    <w:lang w:val="en-ZA"/>
                  </w:rPr>
                  <m:t>e</m:t>
                </m:r>
              </m:e>
              <m:sup>
                <m:sSub>
                  <m:sSubPr>
                    <m:ctrlPr>
                      <w:rPr>
                        <w:rFonts w:ascii="Cambria Math" w:hAnsi="Cambria Math"/>
                        <w:i/>
                        <w:sz w:val="24"/>
                        <w:szCs w:val="24"/>
                        <w:lang w:val="en-ZA"/>
                      </w:rPr>
                    </m:ctrlPr>
                  </m:sSubPr>
                  <m:e>
                    <m:r>
                      <w:rPr>
                        <w:rFonts w:ascii="Cambria Math" w:hAnsi="Cambria Math"/>
                        <w:sz w:val="24"/>
                        <w:szCs w:val="24"/>
                        <w:lang w:val="en-ZA"/>
                      </w:rPr>
                      <m:t>-k</m:t>
                    </m:r>
                  </m:e>
                  <m:sub>
                    <m:r>
                      <w:rPr>
                        <w:rFonts w:ascii="Cambria Math" w:hAnsi="Cambria Math"/>
                        <w:sz w:val="24"/>
                        <w:szCs w:val="24"/>
                        <w:lang w:val="en-ZA"/>
                      </w:rPr>
                      <m:t>1</m:t>
                    </m:r>
                  </m:sub>
                </m:sSub>
                <m:r>
                  <w:rPr>
                    <w:rFonts w:ascii="Cambria Math" w:hAnsi="Cambria Math"/>
                    <w:sz w:val="24"/>
                    <w:szCs w:val="24"/>
                    <w:lang w:val="en-ZA"/>
                  </w:rPr>
                  <m:t>t</m:t>
                </m:r>
              </m:sup>
            </m:sSup>
          </m:e>
        </m:d>
      </m:oMath>
      <w:r w:rsidRPr="00D8592F">
        <w:t xml:space="preserve">                                              </w:t>
      </w:r>
      <w:r>
        <w:t xml:space="preserve">     </w:t>
      </w:r>
      <w:r w:rsidRPr="00D8592F">
        <w:t xml:space="preserve">                                                                                (3)</w:t>
      </w:r>
    </w:p>
    <w:p w14:paraId="3FC9E81B" w14:textId="3CC6FC4E" w:rsidR="00D8592F" w:rsidRPr="00D8592F" w:rsidRDefault="00FE15C2" w:rsidP="00D8592F">
      <w:pPr>
        <w:pStyle w:val="CETEquation"/>
      </w:pPr>
      <m:oMath>
        <m:sSub>
          <m:sSubPr>
            <m:ctrlPr>
              <w:rPr>
                <w:rFonts w:ascii="Cambria Math" w:hAnsi="Cambria Math"/>
                <w:i/>
                <w:sz w:val="24"/>
                <w:szCs w:val="24"/>
                <w:lang w:val="en-ZA"/>
              </w:rPr>
            </m:ctrlPr>
          </m:sSubPr>
          <m:e>
            <m:r>
              <w:rPr>
                <w:rFonts w:ascii="Cambria Math" w:hAnsi="Cambria Math"/>
                <w:sz w:val="24"/>
                <w:szCs w:val="24"/>
                <w:lang w:val="en-ZA"/>
              </w:rPr>
              <m:t>q</m:t>
            </m:r>
          </m:e>
          <m:sub>
            <m:r>
              <w:rPr>
                <w:rFonts w:ascii="Cambria Math" w:hAnsi="Cambria Math"/>
                <w:sz w:val="24"/>
                <w:szCs w:val="24"/>
                <w:lang w:val="en-ZA"/>
              </w:rPr>
              <m:t>e</m:t>
            </m:r>
          </m:sub>
        </m:sSub>
        <m:r>
          <w:rPr>
            <w:rFonts w:ascii="Cambria Math" w:hAnsi="Cambria Math"/>
            <w:sz w:val="24"/>
            <w:szCs w:val="24"/>
            <w:lang w:val="en-ZA"/>
          </w:rPr>
          <m:t>=</m:t>
        </m:r>
        <m:f>
          <m:fPr>
            <m:ctrlPr>
              <w:rPr>
                <w:rFonts w:ascii="Cambria Math" w:hAnsi="Cambria Math"/>
                <w:i/>
                <w:sz w:val="24"/>
                <w:szCs w:val="24"/>
                <w:lang w:val="en-ZA"/>
              </w:rPr>
            </m:ctrlPr>
          </m:fPr>
          <m:num>
            <m:sSub>
              <m:sSubPr>
                <m:ctrlPr>
                  <w:rPr>
                    <w:rFonts w:ascii="Cambria Math" w:hAnsi="Cambria Math"/>
                    <w:i/>
                    <w:sz w:val="24"/>
                    <w:szCs w:val="24"/>
                    <w:lang w:val="en-ZA"/>
                  </w:rPr>
                </m:ctrlPr>
              </m:sSubPr>
              <m:e>
                <m:r>
                  <w:rPr>
                    <w:rFonts w:ascii="Cambria Math" w:hAnsi="Cambria Math"/>
                    <w:sz w:val="24"/>
                    <w:szCs w:val="24"/>
                    <w:lang w:val="en-ZA"/>
                  </w:rPr>
                  <m:t>q</m:t>
                </m:r>
              </m:e>
              <m:sub>
                <m:r>
                  <w:rPr>
                    <w:rFonts w:ascii="Cambria Math" w:hAnsi="Cambria Math"/>
                    <w:sz w:val="24"/>
                    <w:szCs w:val="24"/>
                    <w:lang w:val="en-ZA"/>
                  </w:rPr>
                  <m:t>max</m:t>
                </m:r>
              </m:sub>
            </m:sSub>
            <m:sSub>
              <m:sSubPr>
                <m:ctrlPr>
                  <w:rPr>
                    <w:rFonts w:ascii="Cambria Math" w:hAnsi="Cambria Math"/>
                    <w:i/>
                    <w:sz w:val="24"/>
                    <w:szCs w:val="24"/>
                    <w:lang w:val="en-ZA"/>
                  </w:rPr>
                </m:ctrlPr>
              </m:sSubPr>
              <m:e>
                <m:r>
                  <w:rPr>
                    <w:rFonts w:ascii="Cambria Math" w:hAnsi="Cambria Math"/>
                    <w:sz w:val="24"/>
                    <w:szCs w:val="24"/>
                    <w:lang w:val="en-ZA"/>
                  </w:rPr>
                  <m:t>k</m:t>
                </m:r>
              </m:e>
              <m:sub>
                <m:r>
                  <w:rPr>
                    <w:rFonts w:ascii="Cambria Math" w:hAnsi="Cambria Math"/>
                    <w:sz w:val="24"/>
                    <w:szCs w:val="24"/>
                    <w:lang w:val="en-ZA"/>
                  </w:rPr>
                  <m:t>L</m:t>
                </m:r>
              </m:sub>
            </m:sSub>
            <m:sSub>
              <m:sSubPr>
                <m:ctrlPr>
                  <w:rPr>
                    <w:rFonts w:ascii="Cambria Math" w:hAnsi="Cambria Math"/>
                    <w:i/>
                    <w:sz w:val="24"/>
                    <w:szCs w:val="24"/>
                    <w:lang w:val="en-ZA"/>
                  </w:rPr>
                </m:ctrlPr>
              </m:sSubPr>
              <m:e>
                <m:r>
                  <w:rPr>
                    <w:rFonts w:ascii="Cambria Math" w:hAnsi="Cambria Math"/>
                    <w:sz w:val="24"/>
                    <w:szCs w:val="24"/>
                    <w:lang w:val="en-ZA"/>
                  </w:rPr>
                  <m:t>C</m:t>
                </m:r>
              </m:e>
              <m:sub>
                <m:r>
                  <w:rPr>
                    <w:rFonts w:ascii="Cambria Math" w:hAnsi="Cambria Math"/>
                    <w:sz w:val="24"/>
                    <w:szCs w:val="24"/>
                    <w:lang w:val="en-ZA"/>
                  </w:rPr>
                  <m:t>e</m:t>
                </m:r>
              </m:sub>
            </m:sSub>
          </m:num>
          <m:den>
            <m:r>
              <w:rPr>
                <w:rFonts w:ascii="Cambria Math" w:hAnsi="Cambria Math"/>
                <w:sz w:val="24"/>
                <w:szCs w:val="24"/>
                <w:lang w:val="en-ZA"/>
              </w:rPr>
              <m:t>1+</m:t>
            </m:r>
            <m:sSub>
              <m:sSubPr>
                <m:ctrlPr>
                  <w:rPr>
                    <w:rFonts w:ascii="Cambria Math" w:hAnsi="Cambria Math"/>
                    <w:i/>
                    <w:sz w:val="24"/>
                    <w:szCs w:val="24"/>
                    <w:lang w:val="en-ZA"/>
                  </w:rPr>
                </m:ctrlPr>
              </m:sSubPr>
              <m:e>
                <m:r>
                  <w:rPr>
                    <w:rFonts w:ascii="Cambria Math" w:hAnsi="Cambria Math"/>
                    <w:sz w:val="24"/>
                    <w:szCs w:val="24"/>
                    <w:lang w:val="en-ZA"/>
                  </w:rPr>
                  <m:t>k</m:t>
                </m:r>
              </m:e>
              <m:sub>
                <m:r>
                  <w:rPr>
                    <w:rFonts w:ascii="Cambria Math" w:hAnsi="Cambria Math"/>
                    <w:sz w:val="24"/>
                    <w:szCs w:val="24"/>
                    <w:lang w:val="en-ZA"/>
                  </w:rPr>
                  <m:t>L</m:t>
                </m:r>
              </m:sub>
            </m:sSub>
            <m:sSub>
              <m:sSubPr>
                <m:ctrlPr>
                  <w:rPr>
                    <w:rFonts w:ascii="Cambria Math" w:hAnsi="Cambria Math"/>
                    <w:i/>
                    <w:sz w:val="24"/>
                    <w:szCs w:val="24"/>
                    <w:lang w:val="en-ZA"/>
                  </w:rPr>
                </m:ctrlPr>
              </m:sSubPr>
              <m:e>
                <m:r>
                  <w:rPr>
                    <w:rFonts w:ascii="Cambria Math" w:hAnsi="Cambria Math"/>
                    <w:sz w:val="24"/>
                    <w:szCs w:val="24"/>
                    <w:lang w:val="en-ZA"/>
                  </w:rPr>
                  <m:t>C</m:t>
                </m:r>
              </m:e>
              <m:sub>
                <m:r>
                  <w:rPr>
                    <w:rFonts w:ascii="Cambria Math" w:hAnsi="Cambria Math"/>
                    <w:sz w:val="24"/>
                    <w:szCs w:val="24"/>
                    <w:lang w:val="en-ZA"/>
                  </w:rPr>
                  <m:t>e</m:t>
                </m:r>
              </m:sub>
            </m:sSub>
          </m:den>
        </m:f>
      </m:oMath>
      <w:r w:rsidR="00D8592F">
        <w:t xml:space="preserve">                                                                                                                                              </w:t>
      </w:r>
      <w:r w:rsidR="00D8592F" w:rsidRPr="00D8592F">
        <w:t xml:space="preserve"> (4)</w:t>
      </w:r>
    </w:p>
    <w:p w14:paraId="6B40110C" w14:textId="2EF420C3" w:rsidR="0028239A" w:rsidRDefault="000C2B00" w:rsidP="00A25652">
      <w:pPr>
        <w:pStyle w:val="CETBodytext"/>
        <w:spacing w:after="240"/>
        <w:rPr>
          <w:lang w:val="en-GB"/>
        </w:rPr>
      </w:pPr>
      <w:r>
        <w:rPr>
          <w:lang w:val="en-GB"/>
        </w:rPr>
        <w:t>w</w:t>
      </w:r>
      <w:r w:rsidR="00D8592F" w:rsidRPr="00D8592F">
        <w:rPr>
          <w:lang w:val="en-GB"/>
        </w:rPr>
        <w:t>here q</w:t>
      </w:r>
      <w:r w:rsidR="00D8592F" w:rsidRPr="00D8592F">
        <w:rPr>
          <w:vertAlign w:val="subscript"/>
          <w:lang w:val="en-GB"/>
        </w:rPr>
        <w:t>e</w:t>
      </w:r>
      <w:r w:rsidR="00D8592F" w:rsidRPr="00D8592F">
        <w:rPr>
          <w:lang w:val="en-GB"/>
        </w:rPr>
        <w:t>, q</w:t>
      </w:r>
      <w:r w:rsidR="00D8592F" w:rsidRPr="00D8592F">
        <w:rPr>
          <w:vertAlign w:val="subscript"/>
          <w:lang w:val="en-GB"/>
        </w:rPr>
        <w:t>max</w:t>
      </w:r>
      <w:r w:rsidR="00D8592F" w:rsidRPr="00D8592F">
        <w:rPr>
          <w:lang w:val="en-GB"/>
        </w:rPr>
        <w:t xml:space="preserve"> and q</w:t>
      </w:r>
      <w:r w:rsidR="00D8592F" w:rsidRPr="00D8592F">
        <w:rPr>
          <w:vertAlign w:val="subscript"/>
          <w:lang w:val="en-GB"/>
        </w:rPr>
        <w:t xml:space="preserve">t </w:t>
      </w:r>
      <w:r w:rsidR="00D8592F" w:rsidRPr="00D8592F">
        <w:rPr>
          <w:lang w:val="en-GB"/>
        </w:rPr>
        <w:t xml:space="preserve">(mg/g) are the dye uptake of MB per unit mass of the adsorbent at equilibrium, at maximum adsorption capacity and at time, t respectively. </w:t>
      </w:r>
      <w:r w:rsidR="00A25652">
        <w:rPr>
          <w:lang w:val="en-GB"/>
        </w:rPr>
        <w:t>k</w:t>
      </w:r>
      <w:r w:rsidR="00A25652" w:rsidRPr="00A25652">
        <w:rPr>
          <w:vertAlign w:val="subscript"/>
          <w:lang w:val="en-GB"/>
        </w:rPr>
        <w:t>1</w:t>
      </w:r>
      <w:r w:rsidR="00A25652">
        <w:rPr>
          <w:lang w:val="en-GB"/>
        </w:rPr>
        <w:t xml:space="preserve"> is the adsorption rate constant (min </w:t>
      </w:r>
      <w:r w:rsidR="00A25652" w:rsidRPr="00207B87">
        <w:rPr>
          <w:vertAlign w:val="superscript"/>
          <w:lang w:val="en-GB"/>
        </w:rPr>
        <w:t>-1</w:t>
      </w:r>
      <w:r w:rsidR="00A25652">
        <w:rPr>
          <w:lang w:val="en-GB"/>
        </w:rPr>
        <w:t xml:space="preserve">), </w:t>
      </w:r>
      <w:r w:rsidR="00D8592F" w:rsidRPr="00D8592F">
        <w:rPr>
          <w:lang w:val="en-GB"/>
        </w:rPr>
        <w:t>k</w:t>
      </w:r>
      <w:r w:rsidR="00A25652">
        <w:rPr>
          <w:vertAlign w:val="subscript"/>
          <w:lang w:val="en-GB"/>
        </w:rPr>
        <w:t>L</w:t>
      </w:r>
      <w:r w:rsidR="00D8592F" w:rsidRPr="00D8592F">
        <w:rPr>
          <w:lang w:val="en-GB"/>
        </w:rPr>
        <w:t xml:space="preserve"> is the Langmuir rate constant</w:t>
      </w:r>
      <w:r w:rsidR="00A25652">
        <w:rPr>
          <w:lang w:val="en-GB"/>
        </w:rPr>
        <w:t xml:space="preserve"> </w:t>
      </w:r>
      <w:r w:rsidR="00A25652">
        <w:rPr>
          <w:rFonts w:cs="Arial"/>
          <w:szCs w:val="18"/>
          <w:lang w:val="en-GB"/>
        </w:rPr>
        <w:t>(L/mg)</w:t>
      </w:r>
      <w:r w:rsidR="00D8592F" w:rsidRPr="00D8592F">
        <w:rPr>
          <w:lang w:val="en-GB"/>
        </w:rPr>
        <w:t xml:space="preserve"> and C</w:t>
      </w:r>
      <w:r w:rsidR="00D8592F" w:rsidRPr="00D8592F">
        <w:rPr>
          <w:vertAlign w:val="subscript"/>
          <w:lang w:val="en-GB"/>
        </w:rPr>
        <w:t>e</w:t>
      </w:r>
      <w:r w:rsidR="00D8592F" w:rsidRPr="00D8592F">
        <w:rPr>
          <w:lang w:val="en-GB"/>
        </w:rPr>
        <w:t xml:space="preserve"> is the equilibrium dye concentration (ppm). </w:t>
      </w:r>
    </w:p>
    <w:p w14:paraId="599DEEA4" w14:textId="51A69463" w:rsidR="00D8592F" w:rsidRPr="00B57B36" w:rsidRDefault="00D8592F" w:rsidP="00D8592F">
      <w:pPr>
        <w:pStyle w:val="CETBodytext"/>
        <w:rPr>
          <w:lang w:val="en-GB"/>
        </w:rPr>
      </w:pPr>
      <w:r w:rsidRPr="00D8592F">
        <w:rPr>
          <w:lang w:val="en-GB"/>
        </w:rPr>
        <w:t>The pseudo-first-order kinetics model was applied to evaluate the performance of varying adsorbent dosages (0.1, 0.25, 0.5, 0.75 and 0.9 g/L) on the removal 10 ppm MB dye as shown in Table 1. The correlation coefficient R</w:t>
      </w:r>
      <w:r w:rsidRPr="00D8592F">
        <w:rPr>
          <w:vertAlign w:val="superscript"/>
          <w:lang w:val="en-GB"/>
        </w:rPr>
        <w:t>2</w:t>
      </w:r>
      <w:r w:rsidRPr="00D8592F">
        <w:rPr>
          <w:lang w:val="en-GB"/>
        </w:rPr>
        <w:t xml:space="preserve"> were higher than 0.97, which indicates that adsorption was well described by the pseudo-first-order kinetics model. The increase in rate constants k</w:t>
      </w:r>
      <w:r w:rsidRPr="00D8592F">
        <w:rPr>
          <w:vertAlign w:val="subscript"/>
          <w:lang w:val="en-GB"/>
        </w:rPr>
        <w:t>1</w:t>
      </w:r>
      <w:r w:rsidRPr="00D8592F">
        <w:rPr>
          <w:lang w:val="en-GB"/>
        </w:rPr>
        <w:t xml:space="preserve"> with increasing adsorbent loading is attributed to a good solid/liquid interface capacity between the adsorbent and dye pollutant due to the increased number of pores and surface active sites.</w:t>
      </w:r>
      <w:r w:rsidR="003E590D">
        <w:rPr>
          <w:lang w:val="en-GB"/>
        </w:rPr>
        <w:t xml:space="preserve"> </w:t>
      </w:r>
      <w:r w:rsidR="003E590D" w:rsidRPr="003E590D">
        <w:rPr>
          <w:lang w:val="en-GB"/>
        </w:rPr>
        <w:t>For example, as the dosage was increased from 0.1 g/L to 0.5 g/L the dye uptake</w:t>
      </w:r>
      <w:r w:rsidR="003E590D">
        <w:rPr>
          <w:lang w:val="en-GB"/>
        </w:rPr>
        <w:t xml:space="preserve"> (q</w:t>
      </w:r>
      <w:r w:rsidR="003E590D" w:rsidRPr="00207B87">
        <w:rPr>
          <w:vertAlign w:val="subscript"/>
          <w:lang w:val="en-GB"/>
        </w:rPr>
        <w:t>e</w:t>
      </w:r>
      <w:r w:rsidR="003E590D">
        <w:rPr>
          <w:lang w:val="en-GB"/>
        </w:rPr>
        <w:t>)</w:t>
      </w:r>
      <w:r w:rsidR="003E590D" w:rsidRPr="003E590D">
        <w:rPr>
          <w:lang w:val="en-GB"/>
        </w:rPr>
        <w:t xml:space="preserve"> increased from </w:t>
      </w:r>
      <w:r w:rsidR="003E590D">
        <w:rPr>
          <w:lang w:val="en-GB"/>
        </w:rPr>
        <w:t>49.12</w:t>
      </w:r>
      <w:r w:rsidR="003E590D" w:rsidRPr="003E590D">
        <w:rPr>
          <w:lang w:val="en-GB"/>
        </w:rPr>
        <w:t xml:space="preserve"> mg/g to </w:t>
      </w:r>
      <w:r w:rsidR="003E590D">
        <w:rPr>
          <w:lang w:val="en-GB"/>
        </w:rPr>
        <w:t>51.15</w:t>
      </w:r>
      <w:r w:rsidR="003E590D" w:rsidRPr="003E590D">
        <w:rPr>
          <w:lang w:val="en-GB"/>
        </w:rPr>
        <w:t xml:space="preserve"> mg/g</w:t>
      </w:r>
      <w:r w:rsidR="003E590D">
        <w:rPr>
          <w:lang w:val="en-GB"/>
        </w:rPr>
        <w:t>.</w:t>
      </w:r>
      <w:r w:rsidRPr="00D8592F">
        <w:rPr>
          <w:lang w:val="en-GB"/>
        </w:rPr>
        <w:t xml:space="preserve"> The experimental data of varying adsorbent dosages were found to follow the Langmuir adsorption isotherm model for heterogeneous adsorption surface reactions. The Langmuir isotherm suggests that adsorption occurs on monomolecular layer at the surface of the biochar by chemical adsorption without interacting with absorbed molecules of MB </w:t>
      </w:r>
      <w:r w:rsidR="000C7119">
        <w:rPr>
          <w:lang w:val="en-GB"/>
        </w:rPr>
        <w:fldChar w:fldCharType="begin"/>
      </w:r>
      <w:r w:rsidR="000C7119">
        <w:rPr>
          <w:lang w:val="en-GB"/>
        </w:rPr>
        <w:instrText xml:space="preserve"> ADDIN EN.CITE &lt;EndNote&gt;&lt;Cite&gt;&lt;Author&gt;Heraldy&lt;/Author&gt;&lt;Year&gt;2016&lt;/Year&gt;&lt;RecNum&gt;425&lt;/RecNum&gt;&lt;DisplayText&gt;(Heraldy et al., 2016)&lt;/DisplayText&gt;&lt;record&gt;&lt;rec-number&gt;425&lt;/rec-number&gt;&lt;foreign-keys&gt;&lt;key app="EN" db-id="55awztvege50ahe0zeo59vpw9ps9esdtstp0" timestamp="1654757573"&gt;425&lt;/key&gt;&lt;/foreign-keys&gt;&lt;ref-type name="Conference Proceedings"&gt;10&lt;/ref-type&gt;&lt;contributors&gt;&lt;authors&gt;&lt;author&gt;Heraldy, E&lt;/author&gt;&lt;author&gt;Hidayat, Y&lt;/author&gt;&lt;author&gt;Firdaus, M&lt;/author&gt;&lt;/authors&gt;&lt;/contributors&gt;&lt;titles&gt;&lt;title&gt;The langmuir isotherm adsorption equation: the monolayer approach&lt;/title&gt;&lt;secondary-title&gt;IOP Conference Series: Materials science and engineering&lt;/secondary-title&gt;&lt;/titles&gt;&lt;periodical&gt;&lt;full-title&gt;IOP Conference Series: Materials Science and Engineering&lt;/full-title&gt;&lt;/periodical&gt;&lt;pages&gt;012067&lt;/pages&gt;&lt;volume&gt;107&lt;/volume&gt;&lt;number&gt;1&lt;/number&gt;&lt;dates&gt;&lt;year&gt;2016&lt;/year&gt;&lt;/dates&gt;&lt;publisher&gt;IOP Publishing&lt;/publisher&gt;&lt;isbn&gt;1757-899X&lt;/isbn&gt;&lt;urls&gt;&lt;/urls&gt;&lt;/record&gt;&lt;/Cite&gt;&lt;/EndNote&gt;</w:instrText>
      </w:r>
      <w:r w:rsidR="000C7119">
        <w:rPr>
          <w:lang w:val="en-GB"/>
        </w:rPr>
        <w:fldChar w:fldCharType="separate"/>
      </w:r>
      <w:r w:rsidR="000C7119">
        <w:rPr>
          <w:noProof/>
          <w:lang w:val="en-GB"/>
        </w:rPr>
        <w:t>(Heraldy et al., 2016)</w:t>
      </w:r>
      <w:r w:rsidR="000C7119">
        <w:rPr>
          <w:lang w:val="en-GB"/>
        </w:rPr>
        <w:fldChar w:fldCharType="end"/>
      </w:r>
      <w:r w:rsidRPr="00D8592F">
        <w:rPr>
          <w:lang w:val="en-GB"/>
        </w:rPr>
        <w:t xml:space="preserve">. </w:t>
      </w:r>
      <w:r w:rsidR="005318BC">
        <w:rPr>
          <w:lang w:val="en-GB"/>
        </w:rPr>
        <w:t>However, a</w:t>
      </w:r>
      <w:r w:rsidR="00A25652">
        <w:rPr>
          <w:lang w:val="en-GB"/>
        </w:rPr>
        <w:t>t any</w:t>
      </w:r>
      <w:r w:rsidRPr="00D8592F">
        <w:rPr>
          <w:lang w:val="en-GB"/>
        </w:rPr>
        <w:t xml:space="preserve"> dosage</w:t>
      </w:r>
      <w:r w:rsidR="00A25652">
        <w:rPr>
          <w:lang w:val="en-GB"/>
        </w:rPr>
        <w:t xml:space="preserve"> of </w:t>
      </w:r>
      <w:r w:rsidR="003E590D">
        <w:rPr>
          <w:lang w:val="en-GB"/>
        </w:rPr>
        <w:t>adsorbent,</w:t>
      </w:r>
      <w:r w:rsidRPr="00D8592F">
        <w:rPr>
          <w:lang w:val="en-GB"/>
        </w:rPr>
        <w:t xml:space="preserve"> the </w:t>
      </w:r>
      <w:r w:rsidR="00A25652">
        <w:rPr>
          <w:lang w:val="en-GB"/>
        </w:rPr>
        <w:t xml:space="preserve">maximum monolayer </w:t>
      </w:r>
      <w:r w:rsidR="003E590D">
        <w:rPr>
          <w:lang w:val="en-GB"/>
        </w:rPr>
        <w:t>adsorption capacity (</w:t>
      </w:r>
      <w:r w:rsidR="003E590D">
        <w:rPr>
          <w:rFonts w:cs="Arial"/>
          <w:szCs w:val="18"/>
          <w:lang w:val="en-GB"/>
        </w:rPr>
        <w:t>q</w:t>
      </w:r>
      <w:r w:rsidR="003E590D" w:rsidRPr="00207B87">
        <w:rPr>
          <w:rFonts w:cs="Arial"/>
          <w:szCs w:val="18"/>
          <w:vertAlign w:val="subscript"/>
          <w:lang w:val="en-GB"/>
        </w:rPr>
        <w:t>m</w:t>
      </w:r>
      <w:r w:rsidR="003E590D">
        <w:rPr>
          <w:rFonts w:cs="Arial"/>
          <w:szCs w:val="18"/>
          <w:vertAlign w:val="subscript"/>
          <w:lang w:val="en-GB"/>
        </w:rPr>
        <w:t>ax</w:t>
      </w:r>
      <w:r w:rsidR="003E590D">
        <w:rPr>
          <w:rFonts w:cs="Arial"/>
          <w:szCs w:val="18"/>
          <w:lang w:val="en-GB"/>
        </w:rPr>
        <w:t>)</w:t>
      </w:r>
      <w:r w:rsidR="003E590D">
        <w:rPr>
          <w:lang w:val="en-GB"/>
        </w:rPr>
        <w:t xml:space="preserve"> was estimated to be 151.3 mg/g </w:t>
      </w:r>
      <w:r w:rsidRPr="00D8592F">
        <w:rPr>
          <w:lang w:val="en-GB"/>
        </w:rPr>
        <w:t>as seen in Table 1.</w:t>
      </w:r>
    </w:p>
    <w:p w14:paraId="6A5167CF" w14:textId="1F0EC7ED" w:rsidR="00600535" w:rsidRPr="00B57B36" w:rsidRDefault="00600535" w:rsidP="00600535">
      <w:pPr>
        <w:pStyle w:val="CETTabletitle"/>
      </w:pPr>
      <w:r w:rsidRPr="00B57B36">
        <w:t xml:space="preserve">Table 1: </w:t>
      </w:r>
      <w:r w:rsidR="00B33432" w:rsidRPr="00B33432">
        <w:t>Kinetic constants and fitting parameters of MB dye adsorption on Sawdust Biochar</w:t>
      </w:r>
    </w:p>
    <w:tbl>
      <w:tblPr>
        <w:tblW w:w="7206"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05"/>
        <w:gridCol w:w="725"/>
        <w:gridCol w:w="1312"/>
        <w:gridCol w:w="679"/>
        <w:gridCol w:w="340"/>
        <w:gridCol w:w="1131"/>
        <w:gridCol w:w="1245"/>
        <w:gridCol w:w="869"/>
      </w:tblGrid>
      <w:tr w:rsidR="00D8592F" w:rsidRPr="00B57B36" w14:paraId="6D483DCC" w14:textId="77777777" w:rsidTr="00B33432">
        <w:trPr>
          <w:trHeight w:val="276"/>
        </w:trPr>
        <w:tc>
          <w:tcPr>
            <w:tcW w:w="905" w:type="dxa"/>
            <w:vMerge w:val="restart"/>
            <w:tcBorders>
              <w:top w:val="single" w:sz="12" w:space="0" w:color="008000"/>
            </w:tcBorders>
            <w:shd w:val="clear" w:color="auto" w:fill="FFFFFF"/>
          </w:tcPr>
          <w:p w14:paraId="55D1DB8C" w14:textId="77777777" w:rsidR="00D8592F" w:rsidRPr="00B57B36" w:rsidRDefault="00D8592F" w:rsidP="004630B6">
            <w:pPr>
              <w:pStyle w:val="CETBodytext"/>
              <w:jc w:val="center"/>
              <w:rPr>
                <w:lang w:val="en-GB"/>
              </w:rPr>
            </w:pPr>
            <w:r>
              <w:rPr>
                <w:lang w:val="en-GB"/>
              </w:rPr>
              <w:t>Adsorbent Dose</w:t>
            </w:r>
          </w:p>
        </w:tc>
        <w:tc>
          <w:tcPr>
            <w:tcW w:w="2716" w:type="dxa"/>
            <w:gridSpan w:val="3"/>
            <w:tcBorders>
              <w:top w:val="single" w:sz="12" w:space="0" w:color="008000"/>
              <w:bottom w:val="single" w:sz="6" w:space="0" w:color="008000"/>
            </w:tcBorders>
            <w:shd w:val="clear" w:color="auto" w:fill="FFFFFF"/>
          </w:tcPr>
          <w:p w14:paraId="6EE07860" w14:textId="77777777" w:rsidR="00D8592F" w:rsidRPr="00B57B36" w:rsidRDefault="00D8592F" w:rsidP="004630B6">
            <w:pPr>
              <w:pStyle w:val="CETBodytext"/>
              <w:ind w:right="-1"/>
              <w:jc w:val="center"/>
              <w:rPr>
                <w:rFonts w:cs="Arial"/>
                <w:szCs w:val="18"/>
                <w:lang w:val="en-GB"/>
              </w:rPr>
            </w:pPr>
            <w:r>
              <w:rPr>
                <w:lang w:val="en-GB"/>
              </w:rPr>
              <w:t>Pseudo-first-order</w:t>
            </w:r>
          </w:p>
        </w:tc>
        <w:tc>
          <w:tcPr>
            <w:tcW w:w="340" w:type="dxa"/>
            <w:tcBorders>
              <w:top w:val="single" w:sz="12" w:space="0" w:color="008000"/>
              <w:bottom w:val="single" w:sz="6" w:space="0" w:color="008000"/>
            </w:tcBorders>
            <w:shd w:val="clear" w:color="auto" w:fill="FFFFFF"/>
          </w:tcPr>
          <w:p w14:paraId="3476F802" w14:textId="77777777" w:rsidR="00D8592F" w:rsidRDefault="00D8592F" w:rsidP="004630B6">
            <w:pPr>
              <w:pStyle w:val="CETBodytext"/>
              <w:ind w:right="-1"/>
              <w:jc w:val="center"/>
              <w:rPr>
                <w:rFonts w:cs="Arial"/>
                <w:szCs w:val="18"/>
                <w:lang w:val="en-GB"/>
              </w:rPr>
            </w:pPr>
          </w:p>
        </w:tc>
        <w:tc>
          <w:tcPr>
            <w:tcW w:w="3245" w:type="dxa"/>
            <w:gridSpan w:val="3"/>
            <w:tcBorders>
              <w:top w:val="single" w:sz="12" w:space="0" w:color="008000"/>
              <w:bottom w:val="single" w:sz="6" w:space="0" w:color="008000"/>
            </w:tcBorders>
            <w:shd w:val="clear" w:color="auto" w:fill="FFFFFF"/>
          </w:tcPr>
          <w:p w14:paraId="53152564" w14:textId="77777777" w:rsidR="00D8592F" w:rsidRPr="00B57B36" w:rsidRDefault="00D8592F" w:rsidP="004630B6">
            <w:pPr>
              <w:pStyle w:val="CETBodytext"/>
              <w:ind w:right="-1"/>
              <w:jc w:val="center"/>
              <w:rPr>
                <w:rFonts w:cs="Arial"/>
                <w:szCs w:val="18"/>
                <w:lang w:val="en-GB"/>
              </w:rPr>
            </w:pPr>
            <w:r>
              <w:rPr>
                <w:rFonts w:cs="Arial"/>
                <w:szCs w:val="18"/>
                <w:lang w:val="en-GB"/>
              </w:rPr>
              <w:t>Langmuir Isotherm</w:t>
            </w:r>
          </w:p>
        </w:tc>
      </w:tr>
      <w:tr w:rsidR="00D8592F" w:rsidRPr="00B57B36" w14:paraId="38BC991A" w14:textId="77777777" w:rsidTr="00B33432">
        <w:trPr>
          <w:trHeight w:val="276"/>
        </w:trPr>
        <w:tc>
          <w:tcPr>
            <w:tcW w:w="905" w:type="dxa"/>
            <w:vMerge/>
            <w:tcBorders>
              <w:bottom w:val="single" w:sz="6" w:space="0" w:color="008000"/>
            </w:tcBorders>
            <w:shd w:val="clear" w:color="auto" w:fill="FFFFFF"/>
          </w:tcPr>
          <w:p w14:paraId="0777BE76" w14:textId="77777777" w:rsidR="00D8592F" w:rsidRDefault="00D8592F" w:rsidP="004630B6">
            <w:pPr>
              <w:pStyle w:val="CETBodytext"/>
              <w:jc w:val="center"/>
              <w:rPr>
                <w:lang w:val="en-GB"/>
              </w:rPr>
            </w:pPr>
          </w:p>
        </w:tc>
        <w:tc>
          <w:tcPr>
            <w:tcW w:w="725" w:type="dxa"/>
            <w:tcBorders>
              <w:top w:val="single" w:sz="12" w:space="0" w:color="008000"/>
              <w:bottom w:val="single" w:sz="6" w:space="0" w:color="008000"/>
            </w:tcBorders>
            <w:shd w:val="clear" w:color="auto" w:fill="FFFFFF"/>
          </w:tcPr>
          <w:p w14:paraId="17D27861" w14:textId="77777777" w:rsidR="00D8592F" w:rsidRDefault="00D8592F" w:rsidP="004630B6">
            <w:pPr>
              <w:pStyle w:val="CETBodytext"/>
              <w:jc w:val="center"/>
              <w:rPr>
                <w:lang w:val="en-GB"/>
              </w:rPr>
            </w:pPr>
            <w:r>
              <w:rPr>
                <w:lang w:val="en-GB"/>
              </w:rPr>
              <w:t>q</w:t>
            </w:r>
            <w:r w:rsidRPr="00207B87">
              <w:rPr>
                <w:vertAlign w:val="subscript"/>
                <w:lang w:val="en-GB"/>
              </w:rPr>
              <w:t>e</w:t>
            </w:r>
            <w:r>
              <w:rPr>
                <w:lang w:val="en-GB"/>
              </w:rPr>
              <w:t xml:space="preserve"> (mg/g)</w:t>
            </w:r>
          </w:p>
        </w:tc>
        <w:tc>
          <w:tcPr>
            <w:tcW w:w="1312" w:type="dxa"/>
            <w:tcBorders>
              <w:top w:val="single" w:sz="12" w:space="0" w:color="008000"/>
              <w:bottom w:val="single" w:sz="6" w:space="0" w:color="008000"/>
            </w:tcBorders>
            <w:shd w:val="clear" w:color="auto" w:fill="FFFFFF"/>
          </w:tcPr>
          <w:p w14:paraId="0060EDF8" w14:textId="77777777" w:rsidR="00D8592F" w:rsidRPr="00B57B36" w:rsidRDefault="00D8592F" w:rsidP="004630B6">
            <w:pPr>
              <w:pStyle w:val="CETBodytext"/>
              <w:jc w:val="center"/>
              <w:rPr>
                <w:lang w:val="en-GB"/>
              </w:rPr>
            </w:pPr>
            <w:r>
              <w:rPr>
                <w:lang w:val="en-GB"/>
              </w:rPr>
              <w:t>k</w:t>
            </w:r>
            <w:r w:rsidRPr="00207B87">
              <w:rPr>
                <w:vertAlign w:val="subscript"/>
                <w:lang w:val="en-GB"/>
              </w:rPr>
              <w:t>1</w:t>
            </w:r>
            <w:r>
              <w:rPr>
                <w:lang w:val="en-GB"/>
              </w:rPr>
              <w:t xml:space="preserve"> (min </w:t>
            </w:r>
            <w:r w:rsidRPr="00207B87">
              <w:rPr>
                <w:vertAlign w:val="superscript"/>
                <w:lang w:val="en-GB"/>
              </w:rPr>
              <w:t>-1</w:t>
            </w:r>
            <w:r>
              <w:rPr>
                <w:lang w:val="en-GB"/>
              </w:rPr>
              <w:t>)</w:t>
            </w:r>
          </w:p>
        </w:tc>
        <w:tc>
          <w:tcPr>
            <w:tcW w:w="678" w:type="dxa"/>
            <w:tcBorders>
              <w:top w:val="single" w:sz="12" w:space="0" w:color="008000"/>
              <w:bottom w:val="single" w:sz="6" w:space="0" w:color="008000"/>
            </w:tcBorders>
            <w:shd w:val="clear" w:color="auto" w:fill="FFFFFF"/>
          </w:tcPr>
          <w:p w14:paraId="2195F692" w14:textId="77777777" w:rsidR="00D8592F" w:rsidRPr="00B57B36" w:rsidRDefault="00D8592F" w:rsidP="004630B6">
            <w:pPr>
              <w:pStyle w:val="CETBodytext"/>
              <w:ind w:right="-1"/>
              <w:jc w:val="center"/>
              <w:rPr>
                <w:rFonts w:cs="Arial"/>
                <w:szCs w:val="18"/>
                <w:lang w:val="en-GB"/>
              </w:rPr>
            </w:pPr>
            <w:r>
              <w:rPr>
                <w:rFonts w:cs="Arial"/>
                <w:szCs w:val="18"/>
                <w:lang w:val="en-GB"/>
              </w:rPr>
              <w:t>R</w:t>
            </w:r>
            <w:r w:rsidRPr="00207B87">
              <w:rPr>
                <w:rFonts w:cs="Arial"/>
                <w:szCs w:val="18"/>
                <w:vertAlign w:val="superscript"/>
                <w:lang w:val="en-GB"/>
              </w:rPr>
              <w:t>2</w:t>
            </w:r>
          </w:p>
        </w:tc>
        <w:tc>
          <w:tcPr>
            <w:tcW w:w="340" w:type="dxa"/>
            <w:tcBorders>
              <w:top w:val="single" w:sz="12" w:space="0" w:color="008000"/>
              <w:bottom w:val="single" w:sz="6" w:space="0" w:color="008000"/>
            </w:tcBorders>
            <w:shd w:val="clear" w:color="auto" w:fill="FFFFFF"/>
          </w:tcPr>
          <w:p w14:paraId="112110B7" w14:textId="77777777" w:rsidR="00D8592F" w:rsidRDefault="00D8592F" w:rsidP="004630B6">
            <w:pPr>
              <w:pStyle w:val="CETBodytext"/>
              <w:ind w:right="-1"/>
              <w:jc w:val="center"/>
              <w:rPr>
                <w:rFonts w:cs="Arial"/>
                <w:szCs w:val="18"/>
                <w:lang w:val="en-GB"/>
              </w:rPr>
            </w:pPr>
          </w:p>
        </w:tc>
        <w:tc>
          <w:tcPr>
            <w:tcW w:w="1131" w:type="dxa"/>
            <w:tcBorders>
              <w:top w:val="single" w:sz="12" w:space="0" w:color="008000"/>
              <w:bottom w:val="single" w:sz="6" w:space="0" w:color="008000"/>
            </w:tcBorders>
            <w:shd w:val="clear" w:color="auto" w:fill="FFFFFF"/>
          </w:tcPr>
          <w:p w14:paraId="3C8AFDE5" w14:textId="3DBEBC76" w:rsidR="00D8592F" w:rsidRPr="00B57B36" w:rsidRDefault="00D8592F" w:rsidP="004630B6">
            <w:pPr>
              <w:pStyle w:val="CETBodytext"/>
              <w:ind w:right="-1"/>
              <w:jc w:val="center"/>
              <w:rPr>
                <w:rFonts w:cs="Arial"/>
                <w:szCs w:val="18"/>
                <w:lang w:val="en-GB"/>
              </w:rPr>
            </w:pPr>
            <w:r>
              <w:rPr>
                <w:rFonts w:cs="Arial"/>
                <w:szCs w:val="18"/>
                <w:lang w:val="en-GB"/>
              </w:rPr>
              <w:t>q</w:t>
            </w:r>
            <w:r w:rsidRPr="00207B87">
              <w:rPr>
                <w:rFonts w:cs="Arial"/>
                <w:szCs w:val="18"/>
                <w:vertAlign w:val="subscript"/>
                <w:lang w:val="en-GB"/>
              </w:rPr>
              <w:t>m</w:t>
            </w:r>
            <w:r w:rsidR="003E590D">
              <w:rPr>
                <w:rFonts w:cs="Arial"/>
                <w:szCs w:val="18"/>
                <w:vertAlign w:val="subscript"/>
                <w:lang w:val="en-GB"/>
              </w:rPr>
              <w:t>ax</w:t>
            </w:r>
            <w:r>
              <w:rPr>
                <w:rFonts w:cs="Arial"/>
                <w:szCs w:val="18"/>
                <w:lang w:val="en-GB"/>
              </w:rPr>
              <w:t xml:space="preserve"> (mg/g) </w:t>
            </w:r>
          </w:p>
        </w:tc>
        <w:tc>
          <w:tcPr>
            <w:tcW w:w="1245" w:type="dxa"/>
            <w:tcBorders>
              <w:top w:val="single" w:sz="12" w:space="0" w:color="008000"/>
              <w:bottom w:val="single" w:sz="6" w:space="0" w:color="008000"/>
            </w:tcBorders>
            <w:shd w:val="clear" w:color="auto" w:fill="FFFFFF"/>
          </w:tcPr>
          <w:p w14:paraId="3B3B039F" w14:textId="378EF3DF" w:rsidR="00D8592F" w:rsidRPr="00B57B36" w:rsidRDefault="00A25652" w:rsidP="004630B6">
            <w:pPr>
              <w:pStyle w:val="CETBodytext"/>
              <w:ind w:right="-1"/>
              <w:jc w:val="center"/>
              <w:rPr>
                <w:rFonts w:cs="Arial"/>
                <w:szCs w:val="18"/>
                <w:lang w:val="en-GB"/>
              </w:rPr>
            </w:pPr>
            <w:r>
              <w:rPr>
                <w:rFonts w:cs="Arial"/>
                <w:szCs w:val="18"/>
                <w:lang w:val="en-GB"/>
              </w:rPr>
              <w:t>k</w:t>
            </w:r>
            <w:r>
              <w:rPr>
                <w:rFonts w:cs="Arial"/>
                <w:szCs w:val="18"/>
                <w:vertAlign w:val="subscript"/>
                <w:lang w:val="en-GB"/>
              </w:rPr>
              <w:t>L</w:t>
            </w:r>
            <w:r w:rsidR="00D8592F">
              <w:rPr>
                <w:rFonts w:cs="Arial"/>
                <w:szCs w:val="18"/>
                <w:lang w:val="en-GB"/>
              </w:rPr>
              <w:t xml:space="preserve"> (L/mg)</w:t>
            </w:r>
          </w:p>
        </w:tc>
        <w:tc>
          <w:tcPr>
            <w:tcW w:w="868" w:type="dxa"/>
            <w:tcBorders>
              <w:top w:val="single" w:sz="12" w:space="0" w:color="008000"/>
              <w:bottom w:val="single" w:sz="6" w:space="0" w:color="008000"/>
            </w:tcBorders>
            <w:shd w:val="clear" w:color="auto" w:fill="FFFFFF"/>
          </w:tcPr>
          <w:p w14:paraId="6206C4E6" w14:textId="77777777" w:rsidR="00D8592F" w:rsidRPr="00B57B36" w:rsidRDefault="00D8592F" w:rsidP="004630B6">
            <w:pPr>
              <w:pStyle w:val="CETBodytext"/>
              <w:ind w:right="-1"/>
              <w:jc w:val="center"/>
              <w:rPr>
                <w:rFonts w:cs="Arial"/>
                <w:szCs w:val="18"/>
                <w:lang w:val="en-GB"/>
              </w:rPr>
            </w:pPr>
            <w:r>
              <w:rPr>
                <w:rFonts w:cs="Arial"/>
                <w:szCs w:val="18"/>
                <w:lang w:val="en-GB"/>
              </w:rPr>
              <w:t>R</w:t>
            </w:r>
            <w:r w:rsidRPr="00207B87">
              <w:rPr>
                <w:rFonts w:cs="Arial"/>
                <w:szCs w:val="18"/>
                <w:vertAlign w:val="superscript"/>
                <w:lang w:val="en-GB"/>
              </w:rPr>
              <w:t>2</w:t>
            </w:r>
          </w:p>
        </w:tc>
      </w:tr>
      <w:tr w:rsidR="00D8592F" w:rsidRPr="00B57B36" w14:paraId="6F91D03A" w14:textId="77777777" w:rsidTr="00B33432">
        <w:trPr>
          <w:trHeight w:val="276"/>
        </w:trPr>
        <w:tc>
          <w:tcPr>
            <w:tcW w:w="905" w:type="dxa"/>
            <w:shd w:val="clear" w:color="auto" w:fill="FFFFFF"/>
          </w:tcPr>
          <w:p w14:paraId="364A435A" w14:textId="77777777" w:rsidR="00D8592F" w:rsidRPr="00B57B36" w:rsidRDefault="00D8592F" w:rsidP="004630B6">
            <w:pPr>
              <w:pStyle w:val="CETBodytext"/>
              <w:jc w:val="center"/>
              <w:rPr>
                <w:lang w:val="en-GB"/>
              </w:rPr>
            </w:pPr>
            <w:r>
              <w:rPr>
                <w:lang w:val="en-GB"/>
              </w:rPr>
              <w:t>0.1</w:t>
            </w:r>
          </w:p>
        </w:tc>
        <w:tc>
          <w:tcPr>
            <w:tcW w:w="725" w:type="dxa"/>
            <w:shd w:val="clear" w:color="auto" w:fill="FFFFFF"/>
          </w:tcPr>
          <w:p w14:paraId="5A06A36B" w14:textId="77777777" w:rsidR="00D8592F" w:rsidRPr="00B57B36" w:rsidRDefault="00D8592F" w:rsidP="004630B6">
            <w:pPr>
              <w:pStyle w:val="CETBodytext"/>
              <w:jc w:val="center"/>
              <w:rPr>
                <w:lang w:val="en-GB"/>
              </w:rPr>
            </w:pPr>
            <w:r>
              <w:rPr>
                <w:lang w:val="en-GB"/>
              </w:rPr>
              <w:t>49.12</w:t>
            </w:r>
          </w:p>
        </w:tc>
        <w:tc>
          <w:tcPr>
            <w:tcW w:w="1312" w:type="dxa"/>
            <w:shd w:val="clear" w:color="auto" w:fill="FFFFFF"/>
          </w:tcPr>
          <w:p w14:paraId="4BB823E6" w14:textId="77777777" w:rsidR="00D8592F" w:rsidRPr="00B57B36" w:rsidRDefault="00D8592F" w:rsidP="004630B6">
            <w:pPr>
              <w:pStyle w:val="CETBodytext"/>
              <w:jc w:val="center"/>
              <w:rPr>
                <w:lang w:val="en-GB"/>
              </w:rPr>
            </w:pPr>
            <w:r>
              <w:rPr>
                <w:lang w:val="en-GB"/>
              </w:rPr>
              <w:t>0.00034</w:t>
            </w:r>
          </w:p>
        </w:tc>
        <w:tc>
          <w:tcPr>
            <w:tcW w:w="678" w:type="dxa"/>
            <w:shd w:val="clear" w:color="auto" w:fill="FFFFFF"/>
          </w:tcPr>
          <w:p w14:paraId="72461B33" w14:textId="77777777" w:rsidR="00D8592F" w:rsidRPr="00B57B36" w:rsidRDefault="00D8592F" w:rsidP="004630B6">
            <w:pPr>
              <w:pStyle w:val="CETBodytext"/>
              <w:ind w:right="-1"/>
              <w:jc w:val="center"/>
              <w:rPr>
                <w:rFonts w:cs="Arial"/>
                <w:szCs w:val="18"/>
                <w:lang w:val="en-GB"/>
              </w:rPr>
            </w:pPr>
            <w:r>
              <w:rPr>
                <w:rFonts w:cs="Arial"/>
                <w:szCs w:val="18"/>
                <w:lang w:val="en-GB"/>
              </w:rPr>
              <w:t>0.9763</w:t>
            </w:r>
          </w:p>
        </w:tc>
        <w:tc>
          <w:tcPr>
            <w:tcW w:w="340" w:type="dxa"/>
            <w:shd w:val="clear" w:color="auto" w:fill="FFFFFF"/>
          </w:tcPr>
          <w:p w14:paraId="068E5BE8" w14:textId="77777777" w:rsidR="00D8592F" w:rsidRDefault="00D8592F" w:rsidP="004630B6">
            <w:pPr>
              <w:pStyle w:val="CETBodytext"/>
              <w:ind w:right="-1"/>
              <w:jc w:val="center"/>
              <w:rPr>
                <w:rFonts w:cs="Arial"/>
                <w:szCs w:val="18"/>
                <w:lang w:val="en-GB"/>
              </w:rPr>
            </w:pPr>
          </w:p>
        </w:tc>
        <w:tc>
          <w:tcPr>
            <w:tcW w:w="1131" w:type="dxa"/>
            <w:shd w:val="clear" w:color="auto" w:fill="FFFFFF"/>
          </w:tcPr>
          <w:p w14:paraId="1E6887CF" w14:textId="788C22EC" w:rsidR="00D8592F" w:rsidRPr="00B57B36" w:rsidRDefault="00A25652" w:rsidP="004630B6">
            <w:pPr>
              <w:pStyle w:val="CETBodytext"/>
              <w:ind w:right="-1"/>
              <w:jc w:val="center"/>
              <w:rPr>
                <w:rFonts w:cs="Arial"/>
                <w:szCs w:val="18"/>
                <w:lang w:val="en-GB"/>
              </w:rPr>
            </w:pPr>
            <w:r>
              <w:rPr>
                <w:rFonts w:cs="Arial"/>
                <w:szCs w:val="18"/>
                <w:lang w:val="en-GB"/>
              </w:rPr>
              <w:t>-</w:t>
            </w:r>
          </w:p>
        </w:tc>
        <w:tc>
          <w:tcPr>
            <w:tcW w:w="1245" w:type="dxa"/>
            <w:shd w:val="clear" w:color="auto" w:fill="FFFFFF"/>
          </w:tcPr>
          <w:p w14:paraId="2B2ED057" w14:textId="77777777" w:rsidR="00D8592F" w:rsidRPr="00B57B36" w:rsidRDefault="00D8592F" w:rsidP="004630B6">
            <w:pPr>
              <w:pStyle w:val="CETBodytext"/>
              <w:ind w:right="-1"/>
              <w:jc w:val="center"/>
              <w:rPr>
                <w:rFonts w:cs="Arial"/>
                <w:szCs w:val="18"/>
                <w:lang w:val="en-GB"/>
              </w:rPr>
            </w:pPr>
            <w:r>
              <w:rPr>
                <w:rFonts w:cs="Arial"/>
                <w:szCs w:val="18"/>
                <w:lang w:val="en-GB"/>
              </w:rPr>
              <w:t>0.053</w:t>
            </w:r>
          </w:p>
        </w:tc>
        <w:tc>
          <w:tcPr>
            <w:tcW w:w="868" w:type="dxa"/>
            <w:shd w:val="clear" w:color="auto" w:fill="FFFFFF"/>
          </w:tcPr>
          <w:p w14:paraId="3DFB5FAA" w14:textId="77777777" w:rsidR="00D8592F" w:rsidRPr="00B57B36" w:rsidRDefault="00D8592F" w:rsidP="004630B6">
            <w:pPr>
              <w:pStyle w:val="CETBodytext"/>
              <w:ind w:right="-1"/>
              <w:jc w:val="center"/>
              <w:rPr>
                <w:rFonts w:cs="Arial"/>
                <w:szCs w:val="18"/>
                <w:lang w:val="en-GB"/>
              </w:rPr>
            </w:pPr>
            <w:r>
              <w:rPr>
                <w:rFonts w:cs="Arial"/>
                <w:szCs w:val="18"/>
                <w:lang w:val="en-GB"/>
              </w:rPr>
              <w:t>0.79</w:t>
            </w:r>
          </w:p>
        </w:tc>
      </w:tr>
      <w:tr w:rsidR="00D8592F" w:rsidRPr="00B57B36" w14:paraId="4D6D27C9" w14:textId="77777777" w:rsidTr="00B33432">
        <w:trPr>
          <w:trHeight w:val="294"/>
        </w:trPr>
        <w:tc>
          <w:tcPr>
            <w:tcW w:w="905" w:type="dxa"/>
            <w:shd w:val="clear" w:color="auto" w:fill="FFFFFF"/>
          </w:tcPr>
          <w:p w14:paraId="47EE283F" w14:textId="77777777" w:rsidR="00D8592F" w:rsidRPr="00B57B36" w:rsidRDefault="00D8592F" w:rsidP="004630B6">
            <w:pPr>
              <w:pStyle w:val="CETBodytext"/>
              <w:jc w:val="center"/>
              <w:rPr>
                <w:lang w:val="en-GB"/>
              </w:rPr>
            </w:pPr>
            <w:r>
              <w:rPr>
                <w:lang w:val="en-GB"/>
              </w:rPr>
              <w:t>0.25</w:t>
            </w:r>
          </w:p>
        </w:tc>
        <w:tc>
          <w:tcPr>
            <w:tcW w:w="725" w:type="dxa"/>
            <w:shd w:val="clear" w:color="auto" w:fill="FFFFFF"/>
          </w:tcPr>
          <w:p w14:paraId="168AD760" w14:textId="77777777" w:rsidR="00D8592F" w:rsidRPr="00B57B36" w:rsidRDefault="00D8592F" w:rsidP="004630B6">
            <w:pPr>
              <w:pStyle w:val="CETBodytext"/>
              <w:jc w:val="center"/>
              <w:rPr>
                <w:lang w:val="en-GB"/>
              </w:rPr>
            </w:pPr>
            <w:r>
              <w:rPr>
                <w:lang w:val="en-GB"/>
              </w:rPr>
              <w:t>50.33</w:t>
            </w:r>
          </w:p>
        </w:tc>
        <w:tc>
          <w:tcPr>
            <w:tcW w:w="1312" w:type="dxa"/>
            <w:shd w:val="clear" w:color="auto" w:fill="FFFFFF"/>
          </w:tcPr>
          <w:p w14:paraId="67753339" w14:textId="77777777" w:rsidR="00D8592F" w:rsidRPr="00B57B36" w:rsidRDefault="00D8592F" w:rsidP="004630B6">
            <w:pPr>
              <w:pStyle w:val="CETBodytext"/>
              <w:jc w:val="center"/>
              <w:rPr>
                <w:lang w:val="en-GB"/>
              </w:rPr>
            </w:pPr>
            <w:r>
              <w:rPr>
                <w:lang w:val="en-GB"/>
              </w:rPr>
              <w:t>0.00183</w:t>
            </w:r>
          </w:p>
        </w:tc>
        <w:tc>
          <w:tcPr>
            <w:tcW w:w="678" w:type="dxa"/>
            <w:shd w:val="clear" w:color="auto" w:fill="FFFFFF"/>
          </w:tcPr>
          <w:p w14:paraId="163AF823" w14:textId="77777777" w:rsidR="00D8592F" w:rsidRPr="00B57B36" w:rsidRDefault="00D8592F" w:rsidP="004630B6">
            <w:pPr>
              <w:pStyle w:val="CETBodytext"/>
              <w:ind w:right="-1"/>
              <w:jc w:val="center"/>
              <w:rPr>
                <w:rFonts w:cs="Arial"/>
                <w:szCs w:val="18"/>
                <w:lang w:val="en-GB"/>
              </w:rPr>
            </w:pPr>
            <w:r>
              <w:rPr>
                <w:rFonts w:cs="Arial"/>
                <w:szCs w:val="18"/>
                <w:lang w:val="en-GB"/>
              </w:rPr>
              <w:t>0.9782</w:t>
            </w:r>
          </w:p>
        </w:tc>
        <w:tc>
          <w:tcPr>
            <w:tcW w:w="340" w:type="dxa"/>
            <w:shd w:val="clear" w:color="auto" w:fill="FFFFFF"/>
          </w:tcPr>
          <w:p w14:paraId="6F4E15CD" w14:textId="77777777" w:rsidR="00D8592F" w:rsidRDefault="00D8592F" w:rsidP="004630B6">
            <w:pPr>
              <w:pStyle w:val="CETBodytext"/>
              <w:ind w:right="-1"/>
              <w:jc w:val="center"/>
              <w:rPr>
                <w:rFonts w:cs="Arial"/>
                <w:szCs w:val="18"/>
                <w:lang w:val="en-GB"/>
              </w:rPr>
            </w:pPr>
          </w:p>
        </w:tc>
        <w:tc>
          <w:tcPr>
            <w:tcW w:w="1131" w:type="dxa"/>
            <w:shd w:val="clear" w:color="auto" w:fill="FFFFFF"/>
          </w:tcPr>
          <w:p w14:paraId="21A7576E" w14:textId="366BDA75" w:rsidR="00D8592F" w:rsidRPr="00B57B36" w:rsidRDefault="00A25652" w:rsidP="004630B6">
            <w:pPr>
              <w:pStyle w:val="CETBodytext"/>
              <w:ind w:right="-1"/>
              <w:jc w:val="center"/>
              <w:rPr>
                <w:rFonts w:cs="Arial"/>
                <w:szCs w:val="18"/>
                <w:lang w:val="en-GB"/>
              </w:rPr>
            </w:pPr>
            <w:r>
              <w:rPr>
                <w:rFonts w:cs="Arial"/>
                <w:szCs w:val="18"/>
                <w:lang w:val="en-GB"/>
              </w:rPr>
              <w:t>-</w:t>
            </w:r>
          </w:p>
        </w:tc>
        <w:tc>
          <w:tcPr>
            <w:tcW w:w="1245" w:type="dxa"/>
            <w:shd w:val="clear" w:color="auto" w:fill="FFFFFF"/>
          </w:tcPr>
          <w:p w14:paraId="2BD1D77A" w14:textId="77777777" w:rsidR="00D8592F" w:rsidRPr="00B57B36" w:rsidRDefault="00D8592F" w:rsidP="004630B6">
            <w:pPr>
              <w:pStyle w:val="CETBodytext"/>
              <w:ind w:right="-1"/>
              <w:jc w:val="center"/>
              <w:rPr>
                <w:rFonts w:cs="Arial"/>
                <w:szCs w:val="18"/>
                <w:lang w:val="en-GB"/>
              </w:rPr>
            </w:pPr>
            <w:r>
              <w:rPr>
                <w:rFonts w:cs="Arial"/>
                <w:szCs w:val="18"/>
                <w:lang w:val="en-GB"/>
              </w:rPr>
              <w:t>0.048</w:t>
            </w:r>
          </w:p>
        </w:tc>
        <w:tc>
          <w:tcPr>
            <w:tcW w:w="868" w:type="dxa"/>
            <w:shd w:val="clear" w:color="auto" w:fill="FFFFFF"/>
          </w:tcPr>
          <w:p w14:paraId="2C4425DC" w14:textId="77777777" w:rsidR="00D8592F" w:rsidRPr="00B57B36" w:rsidRDefault="00D8592F" w:rsidP="004630B6">
            <w:pPr>
              <w:pStyle w:val="CETBodytext"/>
              <w:ind w:right="-1"/>
              <w:jc w:val="center"/>
              <w:rPr>
                <w:rFonts w:cs="Arial"/>
                <w:szCs w:val="18"/>
                <w:lang w:val="en-GB"/>
              </w:rPr>
            </w:pPr>
            <w:r>
              <w:rPr>
                <w:rFonts w:cs="Arial"/>
                <w:szCs w:val="18"/>
                <w:lang w:val="en-GB"/>
              </w:rPr>
              <w:t>0.87</w:t>
            </w:r>
          </w:p>
        </w:tc>
      </w:tr>
      <w:tr w:rsidR="00D8592F" w:rsidRPr="00B57B36" w14:paraId="49065219" w14:textId="77777777" w:rsidTr="00B33432">
        <w:trPr>
          <w:trHeight w:val="276"/>
        </w:trPr>
        <w:tc>
          <w:tcPr>
            <w:tcW w:w="905" w:type="dxa"/>
            <w:shd w:val="clear" w:color="auto" w:fill="FFFFFF"/>
          </w:tcPr>
          <w:p w14:paraId="6F9C3311" w14:textId="77777777" w:rsidR="00D8592F" w:rsidRPr="00B57B36" w:rsidRDefault="00D8592F" w:rsidP="004630B6">
            <w:pPr>
              <w:pStyle w:val="CETBodytext"/>
              <w:jc w:val="center"/>
              <w:rPr>
                <w:lang w:val="en-GB"/>
              </w:rPr>
            </w:pPr>
            <w:r>
              <w:rPr>
                <w:lang w:val="en-GB"/>
              </w:rPr>
              <w:t>0.5</w:t>
            </w:r>
          </w:p>
        </w:tc>
        <w:tc>
          <w:tcPr>
            <w:tcW w:w="725" w:type="dxa"/>
            <w:shd w:val="clear" w:color="auto" w:fill="FFFFFF"/>
          </w:tcPr>
          <w:p w14:paraId="56600657" w14:textId="77777777" w:rsidR="00D8592F" w:rsidRPr="00B57B36" w:rsidRDefault="00D8592F" w:rsidP="004630B6">
            <w:pPr>
              <w:pStyle w:val="CETBodytext"/>
              <w:jc w:val="center"/>
              <w:rPr>
                <w:lang w:val="en-GB"/>
              </w:rPr>
            </w:pPr>
            <w:r>
              <w:rPr>
                <w:lang w:val="en-GB"/>
              </w:rPr>
              <w:t>50.64</w:t>
            </w:r>
          </w:p>
        </w:tc>
        <w:tc>
          <w:tcPr>
            <w:tcW w:w="1312" w:type="dxa"/>
            <w:shd w:val="clear" w:color="auto" w:fill="FFFFFF"/>
          </w:tcPr>
          <w:p w14:paraId="3CE0187D" w14:textId="77777777" w:rsidR="00D8592F" w:rsidRPr="00B57B36" w:rsidRDefault="00D8592F" w:rsidP="004630B6">
            <w:pPr>
              <w:pStyle w:val="CETBodytext"/>
              <w:jc w:val="center"/>
              <w:rPr>
                <w:lang w:val="en-GB"/>
              </w:rPr>
            </w:pPr>
            <w:r>
              <w:rPr>
                <w:lang w:val="en-GB"/>
              </w:rPr>
              <w:t>0.00645</w:t>
            </w:r>
          </w:p>
        </w:tc>
        <w:tc>
          <w:tcPr>
            <w:tcW w:w="678" w:type="dxa"/>
            <w:shd w:val="clear" w:color="auto" w:fill="FFFFFF"/>
          </w:tcPr>
          <w:p w14:paraId="7C1847ED" w14:textId="77777777" w:rsidR="00D8592F" w:rsidRPr="00B57B36" w:rsidRDefault="00D8592F" w:rsidP="004630B6">
            <w:pPr>
              <w:pStyle w:val="CETBodytext"/>
              <w:ind w:right="-1"/>
              <w:jc w:val="center"/>
              <w:rPr>
                <w:rFonts w:cs="Arial"/>
                <w:szCs w:val="18"/>
                <w:lang w:val="en-GB"/>
              </w:rPr>
            </w:pPr>
            <w:r>
              <w:rPr>
                <w:rFonts w:cs="Arial"/>
                <w:szCs w:val="18"/>
                <w:lang w:val="en-GB"/>
              </w:rPr>
              <w:t>0.9843</w:t>
            </w:r>
          </w:p>
        </w:tc>
        <w:tc>
          <w:tcPr>
            <w:tcW w:w="340" w:type="dxa"/>
            <w:shd w:val="clear" w:color="auto" w:fill="FFFFFF"/>
          </w:tcPr>
          <w:p w14:paraId="4A8C4B1B" w14:textId="77777777" w:rsidR="00D8592F" w:rsidRDefault="00D8592F" w:rsidP="004630B6">
            <w:pPr>
              <w:pStyle w:val="CETBodytext"/>
              <w:ind w:right="-1"/>
              <w:jc w:val="center"/>
              <w:rPr>
                <w:rFonts w:cs="Arial"/>
                <w:szCs w:val="18"/>
                <w:lang w:val="en-GB"/>
              </w:rPr>
            </w:pPr>
          </w:p>
        </w:tc>
        <w:tc>
          <w:tcPr>
            <w:tcW w:w="1131" w:type="dxa"/>
            <w:shd w:val="clear" w:color="auto" w:fill="FFFFFF"/>
          </w:tcPr>
          <w:p w14:paraId="032A15F7" w14:textId="77777777" w:rsidR="00D8592F" w:rsidRPr="00B57B36" w:rsidRDefault="00D8592F" w:rsidP="004630B6">
            <w:pPr>
              <w:pStyle w:val="CETBodytext"/>
              <w:ind w:right="-1"/>
              <w:jc w:val="center"/>
              <w:rPr>
                <w:rFonts w:cs="Arial"/>
                <w:szCs w:val="18"/>
                <w:lang w:val="en-GB"/>
              </w:rPr>
            </w:pPr>
            <w:r>
              <w:rPr>
                <w:rFonts w:cs="Arial"/>
                <w:szCs w:val="18"/>
                <w:lang w:val="en-GB"/>
              </w:rPr>
              <w:t>151.3</w:t>
            </w:r>
          </w:p>
        </w:tc>
        <w:tc>
          <w:tcPr>
            <w:tcW w:w="1245" w:type="dxa"/>
            <w:shd w:val="clear" w:color="auto" w:fill="FFFFFF"/>
          </w:tcPr>
          <w:p w14:paraId="00995F54" w14:textId="77777777" w:rsidR="00D8592F" w:rsidRPr="00B57B36" w:rsidRDefault="00D8592F" w:rsidP="004630B6">
            <w:pPr>
              <w:pStyle w:val="CETBodytext"/>
              <w:ind w:right="-1"/>
              <w:jc w:val="center"/>
              <w:rPr>
                <w:rFonts w:cs="Arial"/>
                <w:szCs w:val="18"/>
                <w:lang w:val="en-GB"/>
              </w:rPr>
            </w:pPr>
            <w:r>
              <w:rPr>
                <w:rFonts w:cs="Arial"/>
                <w:szCs w:val="18"/>
                <w:lang w:val="en-GB"/>
              </w:rPr>
              <w:t>0.023</w:t>
            </w:r>
          </w:p>
        </w:tc>
        <w:tc>
          <w:tcPr>
            <w:tcW w:w="868" w:type="dxa"/>
            <w:shd w:val="clear" w:color="auto" w:fill="FFFFFF"/>
          </w:tcPr>
          <w:p w14:paraId="16EACEA5" w14:textId="77777777" w:rsidR="00D8592F" w:rsidRPr="00B57B36" w:rsidRDefault="00D8592F" w:rsidP="004630B6">
            <w:pPr>
              <w:pStyle w:val="CETBodytext"/>
              <w:ind w:right="-1"/>
              <w:jc w:val="center"/>
              <w:rPr>
                <w:rFonts w:cs="Arial"/>
                <w:szCs w:val="18"/>
                <w:lang w:val="en-GB"/>
              </w:rPr>
            </w:pPr>
            <w:r>
              <w:rPr>
                <w:rFonts w:cs="Arial"/>
                <w:szCs w:val="18"/>
                <w:lang w:val="en-GB"/>
              </w:rPr>
              <w:t>0.90</w:t>
            </w:r>
          </w:p>
        </w:tc>
      </w:tr>
      <w:tr w:rsidR="00D8592F" w:rsidRPr="00B57B36" w14:paraId="7B693408" w14:textId="77777777" w:rsidTr="00B33432">
        <w:trPr>
          <w:trHeight w:val="276"/>
        </w:trPr>
        <w:tc>
          <w:tcPr>
            <w:tcW w:w="905" w:type="dxa"/>
            <w:shd w:val="clear" w:color="auto" w:fill="FFFFFF"/>
          </w:tcPr>
          <w:p w14:paraId="12885EB6" w14:textId="77777777" w:rsidR="00D8592F" w:rsidRDefault="00D8592F" w:rsidP="004630B6">
            <w:pPr>
              <w:pStyle w:val="CETBodytext"/>
              <w:ind w:right="-1"/>
              <w:jc w:val="center"/>
              <w:rPr>
                <w:rFonts w:cs="Arial"/>
                <w:szCs w:val="18"/>
                <w:lang w:val="en-GB"/>
              </w:rPr>
            </w:pPr>
            <w:r>
              <w:rPr>
                <w:rFonts w:cs="Arial"/>
                <w:szCs w:val="18"/>
                <w:lang w:val="en-GB"/>
              </w:rPr>
              <w:t>0.75</w:t>
            </w:r>
          </w:p>
        </w:tc>
        <w:tc>
          <w:tcPr>
            <w:tcW w:w="725" w:type="dxa"/>
            <w:shd w:val="clear" w:color="auto" w:fill="FFFFFF"/>
          </w:tcPr>
          <w:p w14:paraId="14A618B4" w14:textId="77777777" w:rsidR="00D8592F" w:rsidRPr="00B57B36" w:rsidRDefault="00D8592F" w:rsidP="004630B6">
            <w:pPr>
              <w:pStyle w:val="CETBodytext"/>
              <w:ind w:right="-1"/>
              <w:jc w:val="center"/>
              <w:rPr>
                <w:rFonts w:cs="Arial"/>
                <w:szCs w:val="18"/>
                <w:lang w:val="en-GB"/>
              </w:rPr>
            </w:pPr>
            <w:r>
              <w:rPr>
                <w:rFonts w:cs="Arial"/>
                <w:szCs w:val="18"/>
                <w:lang w:val="en-GB"/>
              </w:rPr>
              <w:t>50.92</w:t>
            </w:r>
          </w:p>
        </w:tc>
        <w:tc>
          <w:tcPr>
            <w:tcW w:w="1312" w:type="dxa"/>
            <w:shd w:val="clear" w:color="auto" w:fill="FFFFFF"/>
          </w:tcPr>
          <w:p w14:paraId="430E67CA" w14:textId="77777777" w:rsidR="00D8592F" w:rsidRPr="00B57B36" w:rsidRDefault="00D8592F" w:rsidP="004630B6">
            <w:pPr>
              <w:pStyle w:val="CETBodytext"/>
              <w:ind w:right="-1"/>
              <w:jc w:val="center"/>
              <w:rPr>
                <w:rFonts w:cs="Arial"/>
                <w:szCs w:val="18"/>
                <w:lang w:val="en-GB"/>
              </w:rPr>
            </w:pPr>
            <w:r>
              <w:rPr>
                <w:rFonts w:cs="Arial"/>
                <w:szCs w:val="18"/>
                <w:lang w:val="en-GB"/>
              </w:rPr>
              <w:t>0.01125</w:t>
            </w:r>
          </w:p>
        </w:tc>
        <w:tc>
          <w:tcPr>
            <w:tcW w:w="678" w:type="dxa"/>
            <w:shd w:val="clear" w:color="auto" w:fill="FFFFFF"/>
          </w:tcPr>
          <w:p w14:paraId="1AB08547" w14:textId="77777777" w:rsidR="00D8592F" w:rsidRPr="00B57B36" w:rsidRDefault="00D8592F" w:rsidP="004630B6">
            <w:pPr>
              <w:pStyle w:val="CETBodytext"/>
              <w:ind w:right="-1"/>
              <w:jc w:val="center"/>
              <w:rPr>
                <w:rFonts w:cs="Arial"/>
                <w:szCs w:val="18"/>
                <w:lang w:val="en-GB"/>
              </w:rPr>
            </w:pPr>
            <w:r>
              <w:rPr>
                <w:rFonts w:cs="Arial"/>
                <w:szCs w:val="18"/>
                <w:lang w:val="en-GB"/>
              </w:rPr>
              <w:t>0.9826</w:t>
            </w:r>
          </w:p>
        </w:tc>
        <w:tc>
          <w:tcPr>
            <w:tcW w:w="340" w:type="dxa"/>
            <w:shd w:val="clear" w:color="auto" w:fill="FFFFFF"/>
          </w:tcPr>
          <w:p w14:paraId="00F5C6EB" w14:textId="77777777" w:rsidR="00D8592F" w:rsidRDefault="00D8592F" w:rsidP="004630B6">
            <w:pPr>
              <w:pStyle w:val="CETBodytext"/>
              <w:ind w:right="-1"/>
              <w:jc w:val="center"/>
              <w:rPr>
                <w:rFonts w:cs="Arial"/>
                <w:szCs w:val="18"/>
                <w:lang w:val="en-GB"/>
              </w:rPr>
            </w:pPr>
          </w:p>
        </w:tc>
        <w:tc>
          <w:tcPr>
            <w:tcW w:w="1131" w:type="dxa"/>
            <w:shd w:val="clear" w:color="auto" w:fill="FFFFFF"/>
          </w:tcPr>
          <w:p w14:paraId="6FDCDBD7" w14:textId="212775BB" w:rsidR="00D8592F" w:rsidRPr="00B57B36" w:rsidRDefault="00A25652" w:rsidP="004630B6">
            <w:pPr>
              <w:pStyle w:val="CETBodytext"/>
              <w:ind w:right="-1"/>
              <w:jc w:val="center"/>
              <w:rPr>
                <w:rFonts w:cs="Arial"/>
                <w:szCs w:val="18"/>
                <w:lang w:val="en-GB"/>
              </w:rPr>
            </w:pPr>
            <w:r>
              <w:rPr>
                <w:rFonts w:cs="Arial"/>
                <w:szCs w:val="18"/>
                <w:lang w:val="en-GB"/>
              </w:rPr>
              <w:t>-</w:t>
            </w:r>
          </w:p>
        </w:tc>
        <w:tc>
          <w:tcPr>
            <w:tcW w:w="1245" w:type="dxa"/>
            <w:shd w:val="clear" w:color="auto" w:fill="FFFFFF"/>
          </w:tcPr>
          <w:p w14:paraId="06EAC956" w14:textId="77777777" w:rsidR="00D8592F" w:rsidRPr="00B57B36" w:rsidRDefault="00D8592F" w:rsidP="004630B6">
            <w:pPr>
              <w:pStyle w:val="CETBodytext"/>
              <w:ind w:right="-1"/>
              <w:jc w:val="center"/>
              <w:rPr>
                <w:rFonts w:cs="Arial"/>
                <w:szCs w:val="18"/>
                <w:lang w:val="en-GB"/>
              </w:rPr>
            </w:pPr>
            <w:r>
              <w:rPr>
                <w:rFonts w:cs="Arial"/>
                <w:szCs w:val="18"/>
                <w:lang w:val="en-GB"/>
              </w:rPr>
              <w:t>0.017</w:t>
            </w:r>
          </w:p>
        </w:tc>
        <w:tc>
          <w:tcPr>
            <w:tcW w:w="868" w:type="dxa"/>
            <w:shd w:val="clear" w:color="auto" w:fill="FFFFFF"/>
          </w:tcPr>
          <w:p w14:paraId="783A9B6A" w14:textId="77777777" w:rsidR="00D8592F" w:rsidRPr="00B57B36" w:rsidRDefault="00D8592F" w:rsidP="004630B6">
            <w:pPr>
              <w:pStyle w:val="CETBodytext"/>
              <w:ind w:right="-1"/>
              <w:jc w:val="center"/>
              <w:rPr>
                <w:rFonts w:cs="Arial"/>
                <w:szCs w:val="18"/>
                <w:lang w:val="en-GB"/>
              </w:rPr>
            </w:pPr>
            <w:r>
              <w:rPr>
                <w:rFonts w:cs="Arial"/>
                <w:szCs w:val="18"/>
                <w:lang w:val="en-GB"/>
              </w:rPr>
              <w:t>0.95</w:t>
            </w:r>
          </w:p>
        </w:tc>
      </w:tr>
      <w:tr w:rsidR="00D8592F" w:rsidRPr="00B57B36" w14:paraId="2AB8E5CD" w14:textId="77777777" w:rsidTr="00B33432">
        <w:trPr>
          <w:trHeight w:val="276"/>
        </w:trPr>
        <w:tc>
          <w:tcPr>
            <w:tcW w:w="905" w:type="dxa"/>
            <w:shd w:val="clear" w:color="auto" w:fill="FFFFFF"/>
          </w:tcPr>
          <w:p w14:paraId="0DFE00EF" w14:textId="77777777" w:rsidR="00D8592F" w:rsidRPr="00B57B36" w:rsidRDefault="00D8592F" w:rsidP="004630B6">
            <w:pPr>
              <w:pStyle w:val="CETBodytext"/>
              <w:ind w:right="-1"/>
              <w:jc w:val="center"/>
              <w:rPr>
                <w:rFonts w:cs="Arial"/>
                <w:szCs w:val="18"/>
                <w:lang w:val="en-GB"/>
              </w:rPr>
            </w:pPr>
            <w:r>
              <w:rPr>
                <w:rFonts w:cs="Arial"/>
                <w:szCs w:val="18"/>
                <w:lang w:val="en-GB"/>
              </w:rPr>
              <w:t>0.9</w:t>
            </w:r>
          </w:p>
        </w:tc>
        <w:tc>
          <w:tcPr>
            <w:tcW w:w="725" w:type="dxa"/>
            <w:shd w:val="clear" w:color="auto" w:fill="FFFFFF"/>
          </w:tcPr>
          <w:p w14:paraId="64768532" w14:textId="77777777" w:rsidR="00D8592F" w:rsidRPr="00B57B36" w:rsidRDefault="00D8592F" w:rsidP="004630B6">
            <w:pPr>
              <w:pStyle w:val="CETBodytext"/>
              <w:ind w:right="-1"/>
              <w:jc w:val="center"/>
              <w:rPr>
                <w:rFonts w:cs="Arial"/>
                <w:szCs w:val="18"/>
                <w:lang w:val="en-GB"/>
              </w:rPr>
            </w:pPr>
            <w:r>
              <w:rPr>
                <w:rFonts w:cs="Arial"/>
                <w:szCs w:val="18"/>
                <w:lang w:val="en-GB"/>
              </w:rPr>
              <w:t>51.15</w:t>
            </w:r>
          </w:p>
        </w:tc>
        <w:tc>
          <w:tcPr>
            <w:tcW w:w="1312" w:type="dxa"/>
            <w:shd w:val="clear" w:color="auto" w:fill="FFFFFF"/>
          </w:tcPr>
          <w:p w14:paraId="31E0CE18" w14:textId="77777777" w:rsidR="00D8592F" w:rsidRPr="00B57B36" w:rsidRDefault="00D8592F" w:rsidP="004630B6">
            <w:pPr>
              <w:pStyle w:val="CETBodytext"/>
              <w:ind w:right="-1"/>
              <w:jc w:val="center"/>
              <w:rPr>
                <w:rFonts w:cs="Arial"/>
                <w:szCs w:val="18"/>
                <w:lang w:val="en-GB"/>
              </w:rPr>
            </w:pPr>
            <w:r>
              <w:rPr>
                <w:rFonts w:cs="Arial"/>
                <w:szCs w:val="18"/>
                <w:lang w:val="en-GB"/>
              </w:rPr>
              <w:t>0.01361</w:t>
            </w:r>
          </w:p>
        </w:tc>
        <w:tc>
          <w:tcPr>
            <w:tcW w:w="678" w:type="dxa"/>
            <w:shd w:val="clear" w:color="auto" w:fill="FFFFFF"/>
          </w:tcPr>
          <w:p w14:paraId="184F3D06" w14:textId="77777777" w:rsidR="00D8592F" w:rsidRPr="00B57B36" w:rsidRDefault="00D8592F" w:rsidP="004630B6">
            <w:pPr>
              <w:pStyle w:val="CETBodytext"/>
              <w:ind w:right="-1"/>
              <w:jc w:val="center"/>
              <w:rPr>
                <w:rFonts w:cs="Arial"/>
                <w:szCs w:val="18"/>
                <w:lang w:val="en-GB"/>
              </w:rPr>
            </w:pPr>
            <w:r>
              <w:rPr>
                <w:rFonts w:cs="Arial"/>
                <w:szCs w:val="18"/>
                <w:lang w:val="en-GB"/>
              </w:rPr>
              <w:t>0.9913</w:t>
            </w:r>
          </w:p>
        </w:tc>
        <w:tc>
          <w:tcPr>
            <w:tcW w:w="340" w:type="dxa"/>
            <w:shd w:val="clear" w:color="auto" w:fill="FFFFFF"/>
          </w:tcPr>
          <w:p w14:paraId="32E4BB8A" w14:textId="77777777" w:rsidR="00D8592F" w:rsidRDefault="00D8592F" w:rsidP="004630B6">
            <w:pPr>
              <w:pStyle w:val="CETBodytext"/>
              <w:ind w:right="-1"/>
              <w:jc w:val="center"/>
              <w:rPr>
                <w:rFonts w:cs="Arial"/>
                <w:szCs w:val="18"/>
                <w:lang w:val="en-GB"/>
              </w:rPr>
            </w:pPr>
          </w:p>
        </w:tc>
        <w:tc>
          <w:tcPr>
            <w:tcW w:w="1131" w:type="dxa"/>
            <w:shd w:val="clear" w:color="auto" w:fill="FFFFFF"/>
          </w:tcPr>
          <w:p w14:paraId="0BFB64FE" w14:textId="791E3B49" w:rsidR="00D8592F" w:rsidRPr="00B57B36" w:rsidRDefault="00A25652" w:rsidP="004630B6">
            <w:pPr>
              <w:pStyle w:val="CETBodytext"/>
              <w:ind w:right="-1"/>
              <w:jc w:val="center"/>
              <w:rPr>
                <w:rFonts w:cs="Arial"/>
                <w:szCs w:val="18"/>
                <w:lang w:val="en-GB"/>
              </w:rPr>
            </w:pPr>
            <w:r>
              <w:rPr>
                <w:rFonts w:cs="Arial"/>
                <w:szCs w:val="18"/>
                <w:lang w:val="en-GB"/>
              </w:rPr>
              <w:t>-</w:t>
            </w:r>
          </w:p>
        </w:tc>
        <w:tc>
          <w:tcPr>
            <w:tcW w:w="1245" w:type="dxa"/>
            <w:shd w:val="clear" w:color="auto" w:fill="FFFFFF"/>
          </w:tcPr>
          <w:p w14:paraId="465E1F2B" w14:textId="77777777" w:rsidR="00D8592F" w:rsidRPr="00B57B36" w:rsidRDefault="00D8592F" w:rsidP="004630B6">
            <w:pPr>
              <w:pStyle w:val="CETBodytext"/>
              <w:ind w:right="-1"/>
              <w:jc w:val="center"/>
              <w:rPr>
                <w:rFonts w:cs="Arial"/>
                <w:szCs w:val="18"/>
                <w:lang w:val="en-GB"/>
              </w:rPr>
            </w:pPr>
            <w:r>
              <w:rPr>
                <w:rFonts w:cs="Arial"/>
                <w:szCs w:val="18"/>
                <w:lang w:val="en-GB"/>
              </w:rPr>
              <w:t>0.013</w:t>
            </w:r>
          </w:p>
        </w:tc>
        <w:tc>
          <w:tcPr>
            <w:tcW w:w="868" w:type="dxa"/>
            <w:shd w:val="clear" w:color="auto" w:fill="FFFFFF"/>
          </w:tcPr>
          <w:p w14:paraId="23DE859F" w14:textId="77777777" w:rsidR="00D8592F" w:rsidRPr="00B57B36" w:rsidRDefault="00D8592F" w:rsidP="004630B6">
            <w:pPr>
              <w:pStyle w:val="CETBodytext"/>
              <w:ind w:right="-1"/>
              <w:jc w:val="center"/>
              <w:rPr>
                <w:rFonts w:cs="Arial"/>
                <w:szCs w:val="18"/>
                <w:lang w:val="en-GB"/>
              </w:rPr>
            </w:pPr>
            <w:r>
              <w:rPr>
                <w:rFonts w:cs="Arial"/>
                <w:szCs w:val="18"/>
                <w:lang w:val="en-GB"/>
              </w:rPr>
              <w:t>0.99</w:t>
            </w:r>
          </w:p>
        </w:tc>
      </w:tr>
    </w:tbl>
    <w:p w14:paraId="2BAE4078" w14:textId="11C26D18" w:rsidR="000C2B00" w:rsidRPr="00B57B36" w:rsidRDefault="000C2B00" w:rsidP="00B0043B">
      <w:pPr>
        <w:pStyle w:val="CETHeading1"/>
        <w:rPr>
          <w:lang w:val="en-GB"/>
        </w:rPr>
      </w:pPr>
      <w:r w:rsidRPr="00B57B36">
        <w:rPr>
          <w:lang w:val="en-GB"/>
        </w:rPr>
        <w:t>Conclusions</w:t>
      </w:r>
    </w:p>
    <w:p w14:paraId="54C4BCDB" w14:textId="56158CF0" w:rsidR="00327166" w:rsidRDefault="00360FA1" w:rsidP="00F2063E">
      <w:pPr>
        <w:pStyle w:val="CETBodytext"/>
        <w:rPr>
          <w:lang w:val="en-GB"/>
        </w:rPr>
      </w:pPr>
      <w:r>
        <w:rPr>
          <w:lang w:val="en-GB"/>
        </w:rPr>
        <w:t>The preparation of</w:t>
      </w:r>
      <w:r w:rsidR="002363D1">
        <w:rPr>
          <w:lang w:val="en-GB"/>
        </w:rPr>
        <w:t xml:space="preserve"> biochar</w:t>
      </w:r>
      <w:r>
        <w:rPr>
          <w:lang w:val="en-GB"/>
        </w:rPr>
        <w:t xml:space="preserve"> from raw sawdust</w:t>
      </w:r>
      <w:r w:rsidR="002363D1">
        <w:rPr>
          <w:lang w:val="en-GB"/>
        </w:rPr>
        <w:t xml:space="preserve"> via a chemical activation method involving alkali treatment, bleaching and acid hydrolysis is an efficient method for the production of high-performance adsorbent for dye removal. </w:t>
      </w:r>
      <w:r>
        <w:rPr>
          <w:lang w:val="en-GB"/>
        </w:rPr>
        <w:t>The physico</w:t>
      </w:r>
      <w:r w:rsidR="0028239A" w:rsidRPr="0028239A">
        <w:rPr>
          <w:lang w:val="en-GB"/>
        </w:rPr>
        <w:t xml:space="preserve">chemical properties of </w:t>
      </w:r>
      <w:r>
        <w:rPr>
          <w:lang w:val="en-GB"/>
        </w:rPr>
        <w:t>the prepared biochar showed improvement in surface area, creation of pores</w:t>
      </w:r>
      <w:r w:rsidR="00115C1F">
        <w:rPr>
          <w:lang w:val="en-GB"/>
        </w:rPr>
        <w:t xml:space="preserve">, </w:t>
      </w:r>
      <w:r>
        <w:rPr>
          <w:lang w:val="en-GB"/>
        </w:rPr>
        <w:t>br</w:t>
      </w:r>
      <w:r w:rsidR="00456DF8">
        <w:rPr>
          <w:lang w:val="en-GB"/>
        </w:rPr>
        <w:t>eakdown of its crystallinity and</w:t>
      </w:r>
      <w:r>
        <w:rPr>
          <w:lang w:val="en-GB"/>
        </w:rPr>
        <w:t xml:space="preserve"> acidic functional groups </w:t>
      </w:r>
      <w:r w:rsidR="00115C1F">
        <w:rPr>
          <w:lang w:val="en-GB"/>
        </w:rPr>
        <w:t xml:space="preserve">which </w:t>
      </w:r>
      <w:r>
        <w:rPr>
          <w:lang w:val="en-GB"/>
        </w:rPr>
        <w:t>were attributed to its enhance</w:t>
      </w:r>
      <w:r w:rsidR="00456DF8">
        <w:rPr>
          <w:lang w:val="en-GB"/>
        </w:rPr>
        <w:t>d</w:t>
      </w:r>
      <w:r>
        <w:rPr>
          <w:lang w:val="en-GB"/>
        </w:rPr>
        <w:t xml:space="preserve"> </w:t>
      </w:r>
      <w:r>
        <w:rPr>
          <w:lang w:val="en-GB"/>
        </w:rPr>
        <w:lastRenderedPageBreak/>
        <w:t>adsorption activity. O</w:t>
      </w:r>
      <w:r w:rsidR="002363D1">
        <w:rPr>
          <w:lang w:val="en-GB"/>
        </w:rPr>
        <w:t xml:space="preserve">ptimum adsorbent dosage and initial dye concentration was </w:t>
      </w:r>
      <w:r>
        <w:rPr>
          <w:lang w:val="en-GB"/>
        </w:rPr>
        <w:t xml:space="preserve">found to be </w:t>
      </w:r>
      <w:r w:rsidR="002363D1">
        <w:rPr>
          <w:lang w:val="en-GB"/>
        </w:rPr>
        <w:t>0.5 g/L and 10 ppm respectively. Experiments showed that at the optimum conditions, sawdust-biochar exhibited an excellent dye adsorption capacity (q</w:t>
      </w:r>
      <w:r w:rsidR="005318BC">
        <w:rPr>
          <w:vertAlign w:val="subscript"/>
          <w:lang w:val="en-GB"/>
        </w:rPr>
        <w:t>max</w:t>
      </w:r>
      <w:r w:rsidR="002363D1">
        <w:rPr>
          <w:vertAlign w:val="subscript"/>
          <w:lang w:val="en-GB"/>
        </w:rPr>
        <w:t xml:space="preserve"> = </w:t>
      </w:r>
      <w:r w:rsidR="005318BC">
        <w:rPr>
          <w:lang w:val="en-GB"/>
        </w:rPr>
        <w:t>151.3</w:t>
      </w:r>
      <w:r w:rsidR="002363D1" w:rsidRPr="002363D1">
        <w:rPr>
          <w:lang w:val="en-GB"/>
        </w:rPr>
        <w:t xml:space="preserve"> mg/g)</w:t>
      </w:r>
      <w:r w:rsidR="002363D1">
        <w:rPr>
          <w:lang w:val="en-GB"/>
        </w:rPr>
        <w:t xml:space="preserve"> by removing 98.7 % of methylene blue from water.</w:t>
      </w:r>
      <w:r w:rsidR="0028239A">
        <w:rPr>
          <w:lang w:val="en-GB"/>
        </w:rPr>
        <w:t xml:space="preserve"> Adsorption kinetics and isotherm models suggested that the</w:t>
      </w:r>
      <w:r w:rsidR="00DB2627">
        <w:rPr>
          <w:lang w:val="en-GB"/>
        </w:rPr>
        <w:t xml:space="preserve"> spontaneous</w:t>
      </w:r>
      <w:r w:rsidR="0028239A">
        <w:rPr>
          <w:lang w:val="en-GB"/>
        </w:rPr>
        <w:t xml:space="preserve"> </w:t>
      </w:r>
      <w:r w:rsidR="00DB2627">
        <w:rPr>
          <w:lang w:val="en-GB"/>
        </w:rPr>
        <w:t xml:space="preserve">chemisorption between the solid/liquid interface was responsible for an efficient </w:t>
      </w:r>
      <w:r w:rsidR="0028239A">
        <w:rPr>
          <w:lang w:val="en-GB"/>
        </w:rPr>
        <w:t>adsorption mechan</w:t>
      </w:r>
      <w:r w:rsidR="00DB2627">
        <w:rPr>
          <w:lang w:val="en-GB"/>
        </w:rPr>
        <w:t>ism. Recovery, regeneration and recycling of sawdust biochar is a prominent niche in the study of adsorbent materials. Future studies on the removal</w:t>
      </w:r>
      <w:r w:rsidR="006D2E61">
        <w:rPr>
          <w:lang w:val="en-GB"/>
        </w:rPr>
        <w:t xml:space="preserve"> of dye pollutants using waste-derived-biochar is recommended as the issue of dye-contaminated water is a global concern.</w:t>
      </w:r>
    </w:p>
    <w:p w14:paraId="039ACB02" w14:textId="31A78215" w:rsidR="00BE7A0B" w:rsidRDefault="00600535" w:rsidP="00F2063E">
      <w:pPr>
        <w:pStyle w:val="CETHeading1"/>
      </w:pPr>
      <w:r w:rsidRPr="00B57B36">
        <w:t>References</w:t>
      </w:r>
    </w:p>
    <w:p w14:paraId="29856673" w14:textId="21420B79" w:rsidR="003D1E6C" w:rsidRPr="003D1E6C" w:rsidRDefault="00BE7A0B" w:rsidP="003D1E6C">
      <w:pPr>
        <w:pStyle w:val="EndNoteBibliography"/>
        <w:ind w:left="720" w:hanging="720"/>
      </w:pPr>
      <w:r w:rsidRPr="007B249B">
        <w:rPr>
          <w:sz w:val="18"/>
          <w:szCs w:val="18"/>
        </w:rPr>
        <w:fldChar w:fldCharType="begin"/>
      </w:r>
      <w:r w:rsidRPr="007B249B">
        <w:rPr>
          <w:sz w:val="18"/>
          <w:szCs w:val="18"/>
        </w:rPr>
        <w:instrText xml:space="preserve"> ADDIN EN.REFLIST </w:instrText>
      </w:r>
      <w:r w:rsidRPr="007B249B">
        <w:rPr>
          <w:sz w:val="18"/>
          <w:szCs w:val="18"/>
        </w:rPr>
        <w:fldChar w:fldCharType="separate"/>
      </w:r>
      <w:r w:rsidR="00456DF8" w:rsidRPr="003D1E6C">
        <w:t xml:space="preserve">Adegoke, K. A., Adesina, O. O., Okon-Akan, O. A., Adegoke, O. R., Olabintan, A. B., Ajala, O. A., Olagoke, H., Maxakato, N. W. &amp; Bello, O. S. 2022. Sawdust-Biomass Based Materials For Sequestration Of Organic/Inorganic Pollutants And Potential For Engineering Applications. </w:t>
      </w:r>
      <w:r w:rsidR="00456DF8" w:rsidRPr="003D1E6C">
        <w:rPr>
          <w:i/>
        </w:rPr>
        <w:t>Current Research In Green And Sustainable Chemistry</w:t>
      </w:r>
      <w:r w:rsidR="00456DF8" w:rsidRPr="003D1E6C">
        <w:rPr>
          <w:b/>
        </w:rPr>
        <w:t>,</w:t>
      </w:r>
      <w:r w:rsidR="00456DF8" w:rsidRPr="003D1E6C">
        <w:t xml:space="preserve"> 100274.</w:t>
      </w:r>
    </w:p>
    <w:p w14:paraId="309512D4" w14:textId="5CB0577D" w:rsidR="003D1E6C" w:rsidRPr="003D1E6C" w:rsidRDefault="00456DF8" w:rsidP="003D1E6C">
      <w:pPr>
        <w:pStyle w:val="EndNoteBibliography"/>
        <w:ind w:left="720" w:hanging="720"/>
      </w:pPr>
      <w:r w:rsidRPr="003D1E6C">
        <w:t xml:space="preserve">Chellappan, S., Nair, V., Sajith, V. &amp; Aparna, K. 2018. Synthesis, Optimization And Characterization Of Biochar Based Catalyst From Sawdust For Simultaneous Esterification And Transesterification. </w:t>
      </w:r>
      <w:r w:rsidRPr="003D1E6C">
        <w:rPr>
          <w:i/>
        </w:rPr>
        <w:t>Chinese Journal Of Chemical Engineering,</w:t>
      </w:r>
      <w:r w:rsidRPr="003D1E6C">
        <w:t xml:space="preserve"> 26</w:t>
      </w:r>
      <w:r w:rsidRPr="003D1E6C">
        <w:rPr>
          <w:b/>
        </w:rPr>
        <w:t>,</w:t>
      </w:r>
      <w:r w:rsidRPr="003D1E6C">
        <w:t xml:space="preserve"> 2654-2663.</w:t>
      </w:r>
    </w:p>
    <w:p w14:paraId="37077AF4" w14:textId="53FBD212" w:rsidR="003D1E6C" w:rsidRPr="003D1E6C" w:rsidRDefault="00456DF8" w:rsidP="003D1E6C">
      <w:pPr>
        <w:pStyle w:val="EndNoteBibliography"/>
        <w:ind w:left="720" w:hanging="720"/>
      </w:pPr>
      <w:r w:rsidRPr="003D1E6C">
        <w:t xml:space="preserve">Chung, K.-T. 2016. Azo Dyes And Human Health: A Review. </w:t>
      </w:r>
      <w:r w:rsidRPr="003D1E6C">
        <w:rPr>
          <w:i/>
        </w:rPr>
        <w:t>Journal Of Environmental Science And Health, Part C,</w:t>
      </w:r>
      <w:r w:rsidRPr="003D1E6C">
        <w:t xml:space="preserve"> 34</w:t>
      </w:r>
      <w:r w:rsidRPr="003D1E6C">
        <w:rPr>
          <w:b/>
        </w:rPr>
        <w:t>,</w:t>
      </w:r>
      <w:r w:rsidRPr="003D1E6C">
        <w:t xml:space="preserve"> 233-261.</w:t>
      </w:r>
    </w:p>
    <w:p w14:paraId="35EF5755" w14:textId="170C32EB" w:rsidR="003D1E6C" w:rsidRPr="003D1E6C" w:rsidRDefault="00456DF8" w:rsidP="003D1E6C">
      <w:pPr>
        <w:pStyle w:val="EndNoteBibliography"/>
        <w:ind w:left="720" w:hanging="720"/>
      </w:pPr>
      <w:r w:rsidRPr="003D1E6C">
        <w:t xml:space="preserve">Creamer, A. E. &amp; Gao, B. 2016. Carbon-Based Adsorbents For Postcombustion Co2 Capture: A Critical Review. </w:t>
      </w:r>
      <w:r w:rsidRPr="003D1E6C">
        <w:rPr>
          <w:i/>
        </w:rPr>
        <w:t>Environmental Science &amp; Technology,</w:t>
      </w:r>
      <w:r w:rsidRPr="003D1E6C">
        <w:t xml:space="preserve"> 50</w:t>
      </w:r>
      <w:r w:rsidRPr="003D1E6C">
        <w:rPr>
          <w:b/>
        </w:rPr>
        <w:t>,</w:t>
      </w:r>
      <w:r w:rsidRPr="003D1E6C">
        <w:t xml:space="preserve"> 7276-7289.</w:t>
      </w:r>
    </w:p>
    <w:p w14:paraId="3F76DBBF" w14:textId="74C9FA7C" w:rsidR="003D1E6C" w:rsidRPr="003D1E6C" w:rsidRDefault="00456DF8" w:rsidP="003D1E6C">
      <w:pPr>
        <w:pStyle w:val="EndNoteBibliography"/>
        <w:ind w:left="720" w:hanging="720"/>
      </w:pPr>
      <w:r w:rsidRPr="003D1E6C">
        <w:t xml:space="preserve">Franca, R. D. G., Pinheiro, H. M. &amp; Lourenço, N. D. 2020. Recent Developments In Textile Wastewater Biotreatment: Dye Metabolite Fate, Aerobic Granular Sludge Systems And Engineered Nanoparticles. </w:t>
      </w:r>
      <w:r w:rsidRPr="003D1E6C">
        <w:rPr>
          <w:i/>
        </w:rPr>
        <w:t>Reviews In Environmental Science And Bio/Technology,</w:t>
      </w:r>
      <w:r w:rsidRPr="003D1E6C">
        <w:t xml:space="preserve"> 19</w:t>
      </w:r>
      <w:r w:rsidRPr="003D1E6C">
        <w:rPr>
          <w:b/>
        </w:rPr>
        <w:t>,</w:t>
      </w:r>
      <w:r w:rsidRPr="003D1E6C">
        <w:t xml:space="preserve"> 149-190.</w:t>
      </w:r>
    </w:p>
    <w:p w14:paraId="0380A266" w14:textId="677F2875" w:rsidR="003D1E6C" w:rsidRPr="003D1E6C" w:rsidRDefault="00456DF8" w:rsidP="003D1E6C">
      <w:pPr>
        <w:pStyle w:val="EndNoteBibliography"/>
        <w:ind w:left="720" w:hanging="720"/>
      </w:pPr>
      <w:r w:rsidRPr="003D1E6C">
        <w:t>Heraldy, E., Hidayat, Y. &amp; Firdaus, M. The Langmuir Isotherm Adsorption Equation: The Monolayer Approach.  Iop Conference Series: Materials Science And Engineering, 2016. Iop Publishing, 012067.</w:t>
      </w:r>
    </w:p>
    <w:p w14:paraId="3135F21D" w14:textId="7DF160F8" w:rsidR="003D1E6C" w:rsidRPr="003D1E6C" w:rsidRDefault="00456DF8" w:rsidP="003D1E6C">
      <w:pPr>
        <w:pStyle w:val="EndNoteBibliography"/>
        <w:ind w:left="720" w:hanging="720"/>
      </w:pPr>
      <w:r w:rsidRPr="003D1E6C">
        <w:t xml:space="preserve">Laing, I. 1991. The Impact Of Effluent Regulations On The Dyeing Industry. </w:t>
      </w:r>
      <w:r w:rsidRPr="003D1E6C">
        <w:rPr>
          <w:i/>
        </w:rPr>
        <w:t>Review Of Progress In Coloration And Related Topics,</w:t>
      </w:r>
      <w:r w:rsidRPr="003D1E6C">
        <w:t xml:space="preserve"> 21</w:t>
      </w:r>
      <w:r w:rsidRPr="003D1E6C">
        <w:rPr>
          <w:b/>
        </w:rPr>
        <w:t>,</w:t>
      </w:r>
      <w:r w:rsidRPr="003D1E6C">
        <w:t xml:space="preserve"> 56-71.</w:t>
      </w:r>
    </w:p>
    <w:p w14:paraId="125C44B6" w14:textId="6CF7D358" w:rsidR="003D1E6C" w:rsidRPr="003D1E6C" w:rsidRDefault="00456DF8" w:rsidP="003D1E6C">
      <w:pPr>
        <w:pStyle w:val="EndNoteBibliography"/>
        <w:ind w:left="720" w:hanging="720"/>
      </w:pPr>
      <w:r w:rsidRPr="003D1E6C">
        <w:t xml:space="preserve">Le Tan, N. T., Dam, Q. P., Mai, T. P. &amp; Nguyen, D. Q. 2021. The Combination Of Acidic And Alkaline Pretreatment For A Lignocellulose Material In Simultaneous Saccharification And Fermentation (Ssf) Process. </w:t>
      </w:r>
      <w:r w:rsidRPr="003D1E6C">
        <w:rPr>
          <w:i/>
        </w:rPr>
        <w:t>Chemical Engineering Transactions,</w:t>
      </w:r>
      <w:r w:rsidRPr="003D1E6C">
        <w:t xml:space="preserve"> 89</w:t>
      </w:r>
      <w:r w:rsidRPr="003D1E6C">
        <w:rPr>
          <w:b/>
        </w:rPr>
        <w:t>,</w:t>
      </w:r>
      <w:r w:rsidRPr="003D1E6C">
        <w:t xml:space="preserve"> 43-48.</w:t>
      </w:r>
    </w:p>
    <w:p w14:paraId="1319F5B2" w14:textId="14D95E5B" w:rsidR="003D1E6C" w:rsidRPr="003D1E6C" w:rsidRDefault="00456DF8" w:rsidP="003D1E6C">
      <w:pPr>
        <w:pStyle w:val="EndNoteBibliography"/>
        <w:ind w:left="720" w:hanging="720"/>
      </w:pPr>
      <w:r w:rsidRPr="003D1E6C">
        <w:t xml:space="preserve">Nadeem, F., Jamil, N., Moazzam, A., Ahmad, S. R., Lateef, A., Khalid, A., Qadir, A., Ali, A. &amp; Munir, S. 2019. Synthesizing And Characterizing Sawdust Biochar/Fe3o4 Nanocomposites And Its Potential Application In Textile Wastewater Treatment. </w:t>
      </w:r>
      <w:r w:rsidRPr="003D1E6C">
        <w:rPr>
          <w:i/>
        </w:rPr>
        <w:t>Polish Journal Of Environmental Studies,</w:t>
      </w:r>
      <w:r w:rsidRPr="003D1E6C">
        <w:t xml:space="preserve"> 28</w:t>
      </w:r>
      <w:r w:rsidRPr="003D1E6C">
        <w:rPr>
          <w:b/>
        </w:rPr>
        <w:t>,</w:t>
      </w:r>
      <w:r w:rsidRPr="003D1E6C">
        <w:t xml:space="preserve"> 2311-2319.</w:t>
      </w:r>
    </w:p>
    <w:p w14:paraId="3C3B2AC1" w14:textId="0990189A" w:rsidR="003D1E6C" w:rsidRPr="003D1E6C" w:rsidRDefault="00456DF8" w:rsidP="003D1E6C">
      <w:pPr>
        <w:pStyle w:val="EndNoteBibliography"/>
        <w:ind w:left="720" w:hanging="720"/>
      </w:pPr>
      <w:r w:rsidRPr="003D1E6C">
        <w:t xml:space="preserve">Shaaban, A., Se, S.-M., Mitan, N. M. M. &amp; Dimin, M. F. 2013. Characterization Of Biochar Derived From Rubber Wood Sawdust Through Slow Pyrolysis On Surface Porosities And Functional Groups. </w:t>
      </w:r>
      <w:r w:rsidRPr="003D1E6C">
        <w:rPr>
          <w:i/>
        </w:rPr>
        <w:t>Procedia Engineering,</w:t>
      </w:r>
      <w:r w:rsidRPr="003D1E6C">
        <w:t xml:space="preserve"> 68</w:t>
      </w:r>
      <w:r w:rsidRPr="003D1E6C">
        <w:rPr>
          <w:b/>
        </w:rPr>
        <w:t>,</w:t>
      </w:r>
      <w:r w:rsidRPr="003D1E6C">
        <w:t xml:space="preserve"> 365-371.</w:t>
      </w:r>
    </w:p>
    <w:p w14:paraId="1CFEE176" w14:textId="7E7D6DA4" w:rsidR="003D1E6C" w:rsidRPr="003D1E6C" w:rsidRDefault="00456DF8" w:rsidP="003D1E6C">
      <w:pPr>
        <w:pStyle w:val="EndNoteBibliography"/>
        <w:ind w:left="720" w:hanging="720"/>
      </w:pPr>
      <w:r w:rsidRPr="003D1E6C">
        <w:t xml:space="preserve">Shimanskaya, E. I., Rebrov, E., Filatova, A. E., Matveeva, V., Sulman, M. G. &amp; Sulman, A. M. 2018. Catalytic Hydrogenolysis Of Different Types Of Lignin Obtained From Sawdust Softwood. </w:t>
      </w:r>
      <w:r w:rsidRPr="003D1E6C">
        <w:rPr>
          <w:i/>
        </w:rPr>
        <w:t>Chemical Engineering Transactions,</w:t>
      </w:r>
      <w:r w:rsidRPr="003D1E6C">
        <w:t xml:space="preserve"> 70</w:t>
      </w:r>
      <w:r w:rsidRPr="003D1E6C">
        <w:rPr>
          <w:b/>
        </w:rPr>
        <w:t>,</w:t>
      </w:r>
      <w:r w:rsidRPr="003D1E6C">
        <w:t xml:space="preserve"> 361-366.</w:t>
      </w:r>
    </w:p>
    <w:p w14:paraId="178E5FD0" w14:textId="5C6A532C" w:rsidR="003D1E6C" w:rsidRPr="003D1E6C" w:rsidRDefault="00456DF8" w:rsidP="003D1E6C">
      <w:pPr>
        <w:pStyle w:val="EndNoteBibliography"/>
        <w:ind w:left="720" w:hanging="720"/>
      </w:pPr>
      <w:r w:rsidRPr="003D1E6C">
        <w:t xml:space="preserve">Srivatsav, P., Bhargav, B. S., Shanmugasundaram, V., Arun, J., Gopinath, K. P. &amp; Bhatnagar, A. 2020. Biochar As An Eco-Friendly And Economical Adsorbent For The Removal Of Colorants (Dyes) From Aqueous Environment: A Review. </w:t>
      </w:r>
      <w:r w:rsidRPr="003D1E6C">
        <w:rPr>
          <w:i/>
        </w:rPr>
        <w:t>Water,</w:t>
      </w:r>
      <w:r w:rsidRPr="003D1E6C">
        <w:t xml:space="preserve"> 12</w:t>
      </w:r>
      <w:r w:rsidRPr="003D1E6C">
        <w:rPr>
          <w:b/>
        </w:rPr>
        <w:t>,</w:t>
      </w:r>
      <w:r w:rsidRPr="003D1E6C">
        <w:t xml:space="preserve"> 3561.</w:t>
      </w:r>
    </w:p>
    <w:p w14:paraId="6ED6CDE7" w14:textId="6466338D" w:rsidR="003D1E6C" w:rsidRPr="003D1E6C" w:rsidRDefault="00456DF8" w:rsidP="003D1E6C">
      <w:pPr>
        <w:pStyle w:val="EndNoteBibliography"/>
        <w:ind w:left="720" w:hanging="720"/>
      </w:pPr>
      <w:r w:rsidRPr="003D1E6C">
        <w:t xml:space="preserve">Wei, W., Yang, L., Zhong, W., Cui, J. &amp; Zhenggui, W. 2015. Mechanism Of Enhanced Humic Acid Removal From Aqueous Solution Using Poorly Crystalline Hydroxyapatite Nanoparticles. </w:t>
      </w:r>
      <w:r w:rsidRPr="003D1E6C">
        <w:rPr>
          <w:i/>
        </w:rPr>
        <w:t>Digest Journal Of Nanomaterials And Biostructures,</w:t>
      </w:r>
      <w:r w:rsidRPr="003D1E6C">
        <w:t xml:space="preserve"> 10.</w:t>
      </w:r>
    </w:p>
    <w:p w14:paraId="1B5357B4" w14:textId="7B7D3A6C" w:rsidR="003D1E6C" w:rsidRPr="003D1E6C" w:rsidRDefault="00456DF8" w:rsidP="003D1E6C">
      <w:pPr>
        <w:pStyle w:val="EndNoteBibliography"/>
        <w:ind w:left="720" w:hanging="720"/>
      </w:pPr>
      <w:r w:rsidRPr="003D1E6C">
        <w:t xml:space="preserve">Yusuf, M. 2019. Synthetic Dyes: A Threat To The Environment And Water Ecosystem. </w:t>
      </w:r>
      <w:r w:rsidRPr="003D1E6C">
        <w:rPr>
          <w:i/>
        </w:rPr>
        <w:t>Textiles And Clothing</w:t>
      </w:r>
      <w:r w:rsidRPr="003D1E6C">
        <w:rPr>
          <w:b/>
        </w:rPr>
        <w:t>,</w:t>
      </w:r>
      <w:r w:rsidRPr="003D1E6C">
        <w:t xml:space="preserve"> 11-26.</w:t>
      </w:r>
    </w:p>
    <w:p w14:paraId="48397830" w14:textId="793277CC" w:rsidR="003D1E6C" w:rsidRPr="003D1E6C" w:rsidRDefault="00456DF8" w:rsidP="003D1E6C">
      <w:pPr>
        <w:pStyle w:val="EndNoteBibliography"/>
        <w:ind w:left="720" w:hanging="720"/>
      </w:pPr>
      <w:r w:rsidRPr="003D1E6C">
        <w:t xml:space="preserve">Zakil, F. A., Sueb, M. S. M., Isha, R. &amp; Kamaluddin, S. H. 2021. Efficiency Of Charcoal As Supporting Growth Material In Pleurotus Ostreatus Mushroom Cultivation On Various Agricultural Wastes Mixed With Rubber Tree Sawdust (Sr). </w:t>
      </w:r>
      <w:r w:rsidRPr="003D1E6C">
        <w:rPr>
          <w:i/>
        </w:rPr>
        <w:t>Chemical Engineering Transactions,</w:t>
      </w:r>
      <w:r w:rsidRPr="003D1E6C">
        <w:t xml:space="preserve"> 89</w:t>
      </w:r>
      <w:r w:rsidRPr="003D1E6C">
        <w:rPr>
          <w:b/>
        </w:rPr>
        <w:t>,</w:t>
      </w:r>
      <w:r w:rsidRPr="003D1E6C">
        <w:t xml:space="preserve"> 415-420.</w:t>
      </w:r>
    </w:p>
    <w:p w14:paraId="40E0A4BD" w14:textId="5A32C7B3" w:rsidR="003D1E6C" w:rsidRPr="003D1E6C" w:rsidRDefault="00456DF8" w:rsidP="003D1E6C">
      <w:pPr>
        <w:pStyle w:val="EndNoteBibliography"/>
        <w:ind w:left="720" w:hanging="720"/>
      </w:pPr>
      <w:r w:rsidRPr="003D1E6C">
        <w:t xml:space="preserve">Zhang, X., Zhang, L. &amp; Li, A. 2018. Eucalyptus Sawdust Derived Biochar Generated By Combining The Hydrothermal Carbonization And Low Concentration Koh Modification For Hexavalent Chromium Removal. </w:t>
      </w:r>
      <w:r w:rsidRPr="003D1E6C">
        <w:rPr>
          <w:i/>
        </w:rPr>
        <w:t>Journal Of Environmental Management,</w:t>
      </w:r>
      <w:r w:rsidRPr="003D1E6C">
        <w:t xml:space="preserve"> 206</w:t>
      </w:r>
      <w:r w:rsidRPr="003D1E6C">
        <w:rPr>
          <w:b/>
        </w:rPr>
        <w:t>,</w:t>
      </w:r>
      <w:r w:rsidRPr="003D1E6C">
        <w:t xml:space="preserve"> 989-998.</w:t>
      </w:r>
    </w:p>
    <w:p w14:paraId="19C4FC68" w14:textId="1B314B7C" w:rsidR="004628D2" w:rsidRPr="00013F93" w:rsidRDefault="00BE7A0B" w:rsidP="007B249B">
      <w:pPr>
        <w:pStyle w:val="CETReferencetext"/>
        <w:spacing w:line="276" w:lineRule="auto"/>
        <w:ind w:left="0" w:firstLine="0"/>
        <w:rPr>
          <w:szCs w:val="18"/>
        </w:rPr>
      </w:pPr>
      <w:r w:rsidRPr="007B249B">
        <w:rPr>
          <w:szCs w:val="18"/>
        </w:rPr>
        <w:fldChar w:fldCharType="end"/>
      </w:r>
    </w:p>
    <w:sectPr w:rsidR="004628D2" w:rsidRPr="00013F93" w:rsidSect="00456DF8">
      <w:type w:val="continuous"/>
      <w:pgSz w:w="11906" w:h="16838" w:code="9"/>
      <w:pgMar w:top="1276"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56F15" w14:textId="77777777" w:rsidR="00FE15C2" w:rsidRDefault="00FE15C2" w:rsidP="004F5E36">
      <w:r>
        <w:separator/>
      </w:r>
    </w:p>
  </w:endnote>
  <w:endnote w:type="continuationSeparator" w:id="0">
    <w:p w14:paraId="7282983E" w14:textId="77777777" w:rsidR="00FE15C2" w:rsidRDefault="00FE15C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8C0A8" w14:textId="77777777" w:rsidR="00FE15C2" w:rsidRDefault="00FE15C2" w:rsidP="004F5E36">
      <w:r>
        <w:separator/>
      </w:r>
    </w:p>
  </w:footnote>
  <w:footnote w:type="continuationSeparator" w:id="0">
    <w:p w14:paraId="568284DD" w14:textId="77777777" w:rsidR="00FE15C2" w:rsidRDefault="00FE15C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BED0DEA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5awztvege50ahe0zeo59vpw9ps9esdtstp0&quot;&gt;My EndNote Library&lt;record-ids&gt;&lt;item&gt;408&lt;/item&gt;&lt;item&gt;412&lt;/item&gt;&lt;item&gt;413&lt;/item&gt;&lt;item&gt;416&lt;/item&gt;&lt;item&gt;418&lt;/item&gt;&lt;item&gt;419&lt;/item&gt;&lt;item&gt;420&lt;/item&gt;&lt;item&gt;422&lt;/item&gt;&lt;item&gt;424&lt;/item&gt;&lt;item&gt;425&lt;/item&gt;&lt;item&gt;452&lt;/item&gt;&lt;item&gt;453&lt;/item&gt;&lt;item&gt;454&lt;/item&gt;&lt;item&gt;455&lt;/item&gt;&lt;item&gt;456&lt;/item&gt;&lt;item&gt;457&lt;/item&gt;&lt;/record-ids&gt;&lt;/item&gt;&lt;/Libraries&gt;"/>
  </w:docVars>
  <w:rsids>
    <w:rsidRoot w:val="000E414A"/>
    <w:rsid w:val="000027C0"/>
    <w:rsid w:val="000052FB"/>
    <w:rsid w:val="000101ED"/>
    <w:rsid w:val="000117CB"/>
    <w:rsid w:val="00013F93"/>
    <w:rsid w:val="000307B5"/>
    <w:rsid w:val="0003148D"/>
    <w:rsid w:val="00031EEC"/>
    <w:rsid w:val="00051566"/>
    <w:rsid w:val="00062A9A"/>
    <w:rsid w:val="00065058"/>
    <w:rsid w:val="00086C39"/>
    <w:rsid w:val="000A03B2"/>
    <w:rsid w:val="000A1BBD"/>
    <w:rsid w:val="000A1C2F"/>
    <w:rsid w:val="000C2B00"/>
    <w:rsid w:val="000C7119"/>
    <w:rsid w:val="000D0268"/>
    <w:rsid w:val="000D34BE"/>
    <w:rsid w:val="000E102F"/>
    <w:rsid w:val="000E36F1"/>
    <w:rsid w:val="000E3A73"/>
    <w:rsid w:val="000E414A"/>
    <w:rsid w:val="000F093C"/>
    <w:rsid w:val="000F787B"/>
    <w:rsid w:val="001138C9"/>
    <w:rsid w:val="00115C1F"/>
    <w:rsid w:val="0012091F"/>
    <w:rsid w:val="00126BC2"/>
    <w:rsid w:val="001308B6"/>
    <w:rsid w:val="00130EEC"/>
    <w:rsid w:val="0013121F"/>
    <w:rsid w:val="00131FE6"/>
    <w:rsid w:val="0013263F"/>
    <w:rsid w:val="001331DF"/>
    <w:rsid w:val="00134DE4"/>
    <w:rsid w:val="0014034D"/>
    <w:rsid w:val="00144D16"/>
    <w:rsid w:val="00150E59"/>
    <w:rsid w:val="00152DE3"/>
    <w:rsid w:val="001617D8"/>
    <w:rsid w:val="00164CF9"/>
    <w:rsid w:val="001667A6"/>
    <w:rsid w:val="00184AD6"/>
    <w:rsid w:val="001A4AF7"/>
    <w:rsid w:val="001B0349"/>
    <w:rsid w:val="001B1E93"/>
    <w:rsid w:val="001B65C1"/>
    <w:rsid w:val="001C684B"/>
    <w:rsid w:val="001D0CFB"/>
    <w:rsid w:val="001D21AF"/>
    <w:rsid w:val="001D53FC"/>
    <w:rsid w:val="001F42A5"/>
    <w:rsid w:val="001F7B9D"/>
    <w:rsid w:val="00201C93"/>
    <w:rsid w:val="0022044E"/>
    <w:rsid w:val="002224B4"/>
    <w:rsid w:val="002363D1"/>
    <w:rsid w:val="002447EF"/>
    <w:rsid w:val="00251550"/>
    <w:rsid w:val="00252606"/>
    <w:rsid w:val="00263B05"/>
    <w:rsid w:val="0027221A"/>
    <w:rsid w:val="00275B61"/>
    <w:rsid w:val="00280FAF"/>
    <w:rsid w:val="0028239A"/>
    <w:rsid w:val="00282656"/>
    <w:rsid w:val="00296B83"/>
    <w:rsid w:val="002B4015"/>
    <w:rsid w:val="002B78CE"/>
    <w:rsid w:val="002C117D"/>
    <w:rsid w:val="002C2FB6"/>
    <w:rsid w:val="002E4965"/>
    <w:rsid w:val="002E5214"/>
    <w:rsid w:val="002E5FA7"/>
    <w:rsid w:val="002F3309"/>
    <w:rsid w:val="003008CE"/>
    <w:rsid w:val="003009B7"/>
    <w:rsid w:val="00300E56"/>
    <w:rsid w:val="0030469C"/>
    <w:rsid w:val="003056F0"/>
    <w:rsid w:val="00321CA6"/>
    <w:rsid w:val="00323763"/>
    <w:rsid w:val="00327166"/>
    <w:rsid w:val="00334C09"/>
    <w:rsid w:val="00347A4D"/>
    <w:rsid w:val="00360FA1"/>
    <w:rsid w:val="003723D4"/>
    <w:rsid w:val="00381905"/>
    <w:rsid w:val="00384CC8"/>
    <w:rsid w:val="003871FD"/>
    <w:rsid w:val="003A1E30"/>
    <w:rsid w:val="003A2829"/>
    <w:rsid w:val="003A5814"/>
    <w:rsid w:val="003A7D1C"/>
    <w:rsid w:val="003B304B"/>
    <w:rsid w:val="003B3146"/>
    <w:rsid w:val="003C4426"/>
    <w:rsid w:val="003D1E6C"/>
    <w:rsid w:val="003E590D"/>
    <w:rsid w:val="003F015E"/>
    <w:rsid w:val="003F219E"/>
    <w:rsid w:val="00400414"/>
    <w:rsid w:val="00402CDB"/>
    <w:rsid w:val="0041446B"/>
    <w:rsid w:val="0044071E"/>
    <w:rsid w:val="0044329C"/>
    <w:rsid w:val="00453E24"/>
    <w:rsid w:val="00456DF8"/>
    <w:rsid w:val="00457456"/>
    <w:rsid w:val="004577FE"/>
    <w:rsid w:val="00457B9C"/>
    <w:rsid w:val="0046164A"/>
    <w:rsid w:val="004628D2"/>
    <w:rsid w:val="00462DCD"/>
    <w:rsid w:val="004648AD"/>
    <w:rsid w:val="004703A9"/>
    <w:rsid w:val="004760DE"/>
    <w:rsid w:val="004763D7"/>
    <w:rsid w:val="00476EE8"/>
    <w:rsid w:val="004A004E"/>
    <w:rsid w:val="004A24CF"/>
    <w:rsid w:val="004B2CB5"/>
    <w:rsid w:val="004C3D1D"/>
    <w:rsid w:val="004C3D84"/>
    <w:rsid w:val="004C7913"/>
    <w:rsid w:val="004E4DD6"/>
    <w:rsid w:val="004E5AE7"/>
    <w:rsid w:val="004F5E36"/>
    <w:rsid w:val="00507B47"/>
    <w:rsid w:val="00507BEF"/>
    <w:rsid w:val="00507CC9"/>
    <w:rsid w:val="005119A5"/>
    <w:rsid w:val="0052136A"/>
    <w:rsid w:val="005278B7"/>
    <w:rsid w:val="005318BC"/>
    <w:rsid w:val="00532016"/>
    <w:rsid w:val="005346C8"/>
    <w:rsid w:val="00543E7D"/>
    <w:rsid w:val="00547A68"/>
    <w:rsid w:val="005531C9"/>
    <w:rsid w:val="00570C43"/>
    <w:rsid w:val="005773FC"/>
    <w:rsid w:val="005B2110"/>
    <w:rsid w:val="005B61E6"/>
    <w:rsid w:val="005C77E1"/>
    <w:rsid w:val="005D668A"/>
    <w:rsid w:val="005D6A2F"/>
    <w:rsid w:val="005E1A82"/>
    <w:rsid w:val="005E794C"/>
    <w:rsid w:val="005F0A28"/>
    <w:rsid w:val="005F0E5E"/>
    <w:rsid w:val="00600535"/>
    <w:rsid w:val="00610CD6"/>
    <w:rsid w:val="00620DEE"/>
    <w:rsid w:val="00621F92"/>
    <w:rsid w:val="0062280A"/>
    <w:rsid w:val="00625639"/>
    <w:rsid w:val="00627836"/>
    <w:rsid w:val="00631B33"/>
    <w:rsid w:val="00635187"/>
    <w:rsid w:val="0064184D"/>
    <w:rsid w:val="006422CC"/>
    <w:rsid w:val="00660E3E"/>
    <w:rsid w:val="00662E74"/>
    <w:rsid w:val="00667480"/>
    <w:rsid w:val="00680C23"/>
    <w:rsid w:val="00683EFF"/>
    <w:rsid w:val="00693766"/>
    <w:rsid w:val="006A1D1D"/>
    <w:rsid w:val="006A3281"/>
    <w:rsid w:val="006B4888"/>
    <w:rsid w:val="006C2E45"/>
    <w:rsid w:val="006C359C"/>
    <w:rsid w:val="006C5579"/>
    <w:rsid w:val="006D2899"/>
    <w:rsid w:val="006D2E61"/>
    <w:rsid w:val="006D6E8B"/>
    <w:rsid w:val="006E737D"/>
    <w:rsid w:val="006E7854"/>
    <w:rsid w:val="006F2AFE"/>
    <w:rsid w:val="00702927"/>
    <w:rsid w:val="00703778"/>
    <w:rsid w:val="00713973"/>
    <w:rsid w:val="00720A24"/>
    <w:rsid w:val="00732386"/>
    <w:rsid w:val="0073514D"/>
    <w:rsid w:val="007447F3"/>
    <w:rsid w:val="00751B77"/>
    <w:rsid w:val="0075499F"/>
    <w:rsid w:val="007661C8"/>
    <w:rsid w:val="0077098D"/>
    <w:rsid w:val="007931FA"/>
    <w:rsid w:val="007A4861"/>
    <w:rsid w:val="007A7BBA"/>
    <w:rsid w:val="007B0C50"/>
    <w:rsid w:val="007B249B"/>
    <w:rsid w:val="007B48F9"/>
    <w:rsid w:val="007B5561"/>
    <w:rsid w:val="007C1A43"/>
    <w:rsid w:val="0080013E"/>
    <w:rsid w:val="00813288"/>
    <w:rsid w:val="008168FC"/>
    <w:rsid w:val="00821D5D"/>
    <w:rsid w:val="00830996"/>
    <w:rsid w:val="008345F1"/>
    <w:rsid w:val="00844C9E"/>
    <w:rsid w:val="00865B07"/>
    <w:rsid w:val="008667EA"/>
    <w:rsid w:val="0087637F"/>
    <w:rsid w:val="00892AD5"/>
    <w:rsid w:val="008A1512"/>
    <w:rsid w:val="008D32B9"/>
    <w:rsid w:val="008D433B"/>
    <w:rsid w:val="008D4A16"/>
    <w:rsid w:val="008E566E"/>
    <w:rsid w:val="008E6E9B"/>
    <w:rsid w:val="0090161A"/>
    <w:rsid w:val="00901EB6"/>
    <w:rsid w:val="00904C62"/>
    <w:rsid w:val="00922BA8"/>
    <w:rsid w:val="00924DAC"/>
    <w:rsid w:val="00927058"/>
    <w:rsid w:val="00942750"/>
    <w:rsid w:val="009450CE"/>
    <w:rsid w:val="00947179"/>
    <w:rsid w:val="0095164B"/>
    <w:rsid w:val="00954090"/>
    <w:rsid w:val="009573E7"/>
    <w:rsid w:val="00963E05"/>
    <w:rsid w:val="00964A45"/>
    <w:rsid w:val="0096617B"/>
    <w:rsid w:val="00967843"/>
    <w:rsid w:val="00967D54"/>
    <w:rsid w:val="00970362"/>
    <w:rsid w:val="00971028"/>
    <w:rsid w:val="00993B84"/>
    <w:rsid w:val="00996483"/>
    <w:rsid w:val="00996F5A"/>
    <w:rsid w:val="009B041A"/>
    <w:rsid w:val="009B1215"/>
    <w:rsid w:val="009C37C3"/>
    <w:rsid w:val="009C5AC9"/>
    <w:rsid w:val="009C7C86"/>
    <w:rsid w:val="009D2FF7"/>
    <w:rsid w:val="009E6DBA"/>
    <w:rsid w:val="009E7884"/>
    <w:rsid w:val="009E788A"/>
    <w:rsid w:val="009F0E08"/>
    <w:rsid w:val="00A07B61"/>
    <w:rsid w:val="00A1763D"/>
    <w:rsid w:val="00A17CEC"/>
    <w:rsid w:val="00A25652"/>
    <w:rsid w:val="00A27EF0"/>
    <w:rsid w:val="00A31360"/>
    <w:rsid w:val="00A42361"/>
    <w:rsid w:val="00A50B20"/>
    <w:rsid w:val="00A51390"/>
    <w:rsid w:val="00A60D13"/>
    <w:rsid w:val="00A7223D"/>
    <w:rsid w:val="00A72745"/>
    <w:rsid w:val="00A76EFC"/>
    <w:rsid w:val="00A91010"/>
    <w:rsid w:val="00A97F29"/>
    <w:rsid w:val="00AA702E"/>
    <w:rsid w:val="00AB0964"/>
    <w:rsid w:val="00AB5011"/>
    <w:rsid w:val="00AC0E57"/>
    <w:rsid w:val="00AC7368"/>
    <w:rsid w:val="00AD16B9"/>
    <w:rsid w:val="00AE377D"/>
    <w:rsid w:val="00AF0EBA"/>
    <w:rsid w:val="00B0043B"/>
    <w:rsid w:val="00B02C8A"/>
    <w:rsid w:val="00B17FBD"/>
    <w:rsid w:val="00B315A6"/>
    <w:rsid w:val="00B31813"/>
    <w:rsid w:val="00B33365"/>
    <w:rsid w:val="00B33432"/>
    <w:rsid w:val="00B57B36"/>
    <w:rsid w:val="00B57E6F"/>
    <w:rsid w:val="00B71F6F"/>
    <w:rsid w:val="00B75F00"/>
    <w:rsid w:val="00B8686D"/>
    <w:rsid w:val="00B91891"/>
    <w:rsid w:val="00B93F69"/>
    <w:rsid w:val="00BB1DDC"/>
    <w:rsid w:val="00BC10FF"/>
    <w:rsid w:val="00BC30C9"/>
    <w:rsid w:val="00BD077D"/>
    <w:rsid w:val="00BD3FB7"/>
    <w:rsid w:val="00BE3E58"/>
    <w:rsid w:val="00BE7A0B"/>
    <w:rsid w:val="00C01616"/>
    <w:rsid w:val="00C0162B"/>
    <w:rsid w:val="00C068ED"/>
    <w:rsid w:val="00C22E0C"/>
    <w:rsid w:val="00C345B1"/>
    <w:rsid w:val="00C40142"/>
    <w:rsid w:val="00C51602"/>
    <w:rsid w:val="00C52C3C"/>
    <w:rsid w:val="00C57182"/>
    <w:rsid w:val="00C57863"/>
    <w:rsid w:val="00C604A2"/>
    <w:rsid w:val="00C640AF"/>
    <w:rsid w:val="00C655FD"/>
    <w:rsid w:val="00C75407"/>
    <w:rsid w:val="00C83BD3"/>
    <w:rsid w:val="00C870A8"/>
    <w:rsid w:val="00C94434"/>
    <w:rsid w:val="00CA0D75"/>
    <w:rsid w:val="00CA1C95"/>
    <w:rsid w:val="00CA5A9C"/>
    <w:rsid w:val="00CC4C20"/>
    <w:rsid w:val="00CD3517"/>
    <w:rsid w:val="00CD5FE2"/>
    <w:rsid w:val="00CE6A27"/>
    <w:rsid w:val="00CE7C68"/>
    <w:rsid w:val="00CF7A14"/>
    <w:rsid w:val="00D0094D"/>
    <w:rsid w:val="00D02B4C"/>
    <w:rsid w:val="00D040C4"/>
    <w:rsid w:val="00D16537"/>
    <w:rsid w:val="00D20AD1"/>
    <w:rsid w:val="00D46B7E"/>
    <w:rsid w:val="00D57C84"/>
    <w:rsid w:val="00D6057D"/>
    <w:rsid w:val="00D71640"/>
    <w:rsid w:val="00D836C5"/>
    <w:rsid w:val="00D84576"/>
    <w:rsid w:val="00D8592F"/>
    <w:rsid w:val="00D90AAE"/>
    <w:rsid w:val="00DA1399"/>
    <w:rsid w:val="00DA24C6"/>
    <w:rsid w:val="00DA4D7B"/>
    <w:rsid w:val="00DB2627"/>
    <w:rsid w:val="00DD271C"/>
    <w:rsid w:val="00DE264A"/>
    <w:rsid w:val="00DF5072"/>
    <w:rsid w:val="00E02D18"/>
    <w:rsid w:val="00E041E7"/>
    <w:rsid w:val="00E1362F"/>
    <w:rsid w:val="00E15B6B"/>
    <w:rsid w:val="00E23CA1"/>
    <w:rsid w:val="00E409A8"/>
    <w:rsid w:val="00E446E0"/>
    <w:rsid w:val="00E50C12"/>
    <w:rsid w:val="00E65B91"/>
    <w:rsid w:val="00E7209D"/>
    <w:rsid w:val="00E72EAD"/>
    <w:rsid w:val="00E77223"/>
    <w:rsid w:val="00E8528B"/>
    <w:rsid w:val="00E85B94"/>
    <w:rsid w:val="00E978D0"/>
    <w:rsid w:val="00EA07B6"/>
    <w:rsid w:val="00EA4613"/>
    <w:rsid w:val="00EA7F91"/>
    <w:rsid w:val="00EB1523"/>
    <w:rsid w:val="00EC0E49"/>
    <w:rsid w:val="00EC101F"/>
    <w:rsid w:val="00EC1D9F"/>
    <w:rsid w:val="00EE0131"/>
    <w:rsid w:val="00EE17B0"/>
    <w:rsid w:val="00EF06D9"/>
    <w:rsid w:val="00F07C39"/>
    <w:rsid w:val="00F2063E"/>
    <w:rsid w:val="00F22F88"/>
    <w:rsid w:val="00F24A09"/>
    <w:rsid w:val="00F30C64"/>
    <w:rsid w:val="00F32BA2"/>
    <w:rsid w:val="00F32CDB"/>
    <w:rsid w:val="00F3474E"/>
    <w:rsid w:val="00F565FE"/>
    <w:rsid w:val="00F63A70"/>
    <w:rsid w:val="00F7534E"/>
    <w:rsid w:val="00FA1802"/>
    <w:rsid w:val="00FA21D0"/>
    <w:rsid w:val="00FA5F5F"/>
    <w:rsid w:val="00FB730C"/>
    <w:rsid w:val="00FC2695"/>
    <w:rsid w:val="00FC3E03"/>
    <w:rsid w:val="00FC3FC1"/>
    <w:rsid w:val="00FD1356"/>
    <w:rsid w:val="00FE15C2"/>
    <w:rsid w:val="00FE69F1"/>
    <w:rsid w:val="00FF4C2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9B1215"/>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9B1215"/>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paragraph" w:customStyle="1" w:styleId="EndNoteBibliographyTitle">
    <w:name w:val="EndNote Bibliography Title"/>
    <w:basedOn w:val="Normal"/>
    <w:link w:val="EndNoteBibliographyTitleChar"/>
    <w:rsid w:val="00BE7A0B"/>
    <w:pPr>
      <w:jc w:val="center"/>
    </w:pPr>
    <w:rPr>
      <w:rFonts w:cs="Arial"/>
      <w:noProof/>
      <w:sz w:val="20"/>
      <w:lang w:val="en-US"/>
    </w:rPr>
  </w:style>
  <w:style w:type="character" w:customStyle="1" w:styleId="EndNoteBibliographyTitleChar">
    <w:name w:val="EndNote Bibliography Title Char"/>
    <w:basedOn w:val="CETBodytextCarattere"/>
    <w:link w:val="EndNoteBibliographyTitle"/>
    <w:rsid w:val="00BE7A0B"/>
    <w:rPr>
      <w:rFonts w:ascii="Arial" w:eastAsia="Times New Roman" w:hAnsi="Arial" w:cs="Arial"/>
      <w:noProof/>
      <w:sz w:val="20"/>
      <w:szCs w:val="20"/>
      <w:lang w:val="en-US"/>
    </w:rPr>
  </w:style>
  <w:style w:type="paragraph" w:customStyle="1" w:styleId="EndNoteBibliography">
    <w:name w:val="EndNote Bibliography"/>
    <w:basedOn w:val="Normal"/>
    <w:link w:val="EndNoteBibliographyChar"/>
    <w:rsid w:val="00BE7A0B"/>
    <w:pPr>
      <w:spacing w:line="240" w:lineRule="auto"/>
      <w:jc w:val="left"/>
    </w:pPr>
    <w:rPr>
      <w:rFonts w:cs="Arial"/>
      <w:noProof/>
      <w:sz w:val="20"/>
      <w:lang w:val="en-US"/>
    </w:rPr>
  </w:style>
  <w:style w:type="character" w:customStyle="1" w:styleId="EndNoteBibliographyChar">
    <w:name w:val="EndNote Bibliography Char"/>
    <w:basedOn w:val="CETBodytextCarattere"/>
    <w:link w:val="EndNoteBibliography"/>
    <w:rsid w:val="00BE7A0B"/>
    <w:rPr>
      <w:rFonts w:ascii="Arial" w:eastAsia="Times New Roman" w:hAnsi="Arial" w:cs="Arial"/>
      <w:noProo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6AA18BE-6432-4425-B6F3-5F77267C9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6107</Words>
  <Characters>34811</Characters>
  <Application>Microsoft Office Word</Application>
  <DocSecurity>0</DocSecurity>
  <Lines>290</Lines>
  <Paragraphs>81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40837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Mr. EO Ichipi</cp:lastModifiedBy>
  <cp:revision>4</cp:revision>
  <cp:lastPrinted>2015-05-12T18:31:00Z</cp:lastPrinted>
  <dcterms:created xsi:type="dcterms:W3CDTF">2022-07-14T11:53:00Z</dcterms:created>
  <dcterms:modified xsi:type="dcterms:W3CDTF">2022-07-15T07:49:00Z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