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fr-FR" w:eastAsia="fr-F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fr-FR" w:eastAsia="fr-F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4C3D84" w:rsidRPr="00A7223D">
              <w:rPr>
                <w:sz w:val="14"/>
                <w:szCs w:val="14"/>
                <w:lang w:val="it-IT"/>
              </w:rPr>
              <w:t>David Bogle, Flavio Manenti, Piero Salatino</w:t>
            </w:r>
          </w:p>
          <w:p w14:paraId="1B0F1814" w14:textId="17CEC68E"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8D4A16">
              <w:rPr>
                <w:rFonts w:ascii="Tahoma" w:hAnsi="Tahoma" w:cs="Tahoma"/>
                <w:sz w:val="14"/>
                <w:szCs w:val="14"/>
              </w:rPr>
              <w:t>5</w:t>
            </w:r>
            <w:r w:rsidR="00D46B7E">
              <w:rPr>
                <w:rFonts w:ascii="Tahoma" w:hAnsi="Tahoma" w:cs="Tahoma"/>
                <w:sz w:val="14"/>
                <w:szCs w:val="14"/>
              </w:rPr>
              <w:t>-</w:t>
            </w:r>
            <w:r w:rsidR="008D4A16">
              <w:rPr>
                <w:rFonts w:ascii="Tahoma" w:hAnsi="Tahoma" w:cs="Tahoma"/>
                <w:sz w:val="14"/>
                <w:szCs w:val="14"/>
              </w:rPr>
              <w:t>2</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765D9251" w:rsidR="00E978D0" w:rsidRPr="00B57B36" w:rsidRDefault="001A7E5D" w:rsidP="00E978D0">
      <w:pPr>
        <w:pStyle w:val="CETTitle"/>
      </w:pPr>
      <w:r>
        <w:t>Effect of composition variability of a syngas in a spark ignition engine: an experimental study</w:t>
      </w:r>
    </w:p>
    <w:p w14:paraId="0488FED2" w14:textId="740FF5CA" w:rsidR="00B57E6F" w:rsidRPr="000C01DA" w:rsidRDefault="001A7E5D" w:rsidP="00B57E6F">
      <w:pPr>
        <w:pStyle w:val="CETAuthors"/>
        <w:rPr>
          <w:lang w:val="es-ES"/>
        </w:rPr>
      </w:pPr>
      <w:r w:rsidRPr="000C01DA">
        <w:rPr>
          <w:lang w:val="es-ES"/>
        </w:rPr>
        <w:t>Y. Sehili</w:t>
      </w:r>
      <w:r w:rsidR="00B57E6F" w:rsidRPr="000C01DA">
        <w:rPr>
          <w:vertAlign w:val="superscript"/>
          <w:lang w:val="es-ES"/>
        </w:rPr>
        <w:t>a</w:t>
      </w:r>
      <w:r w:rsidR="00B57E6F" w:rsidRPr="000C01DA">
        <w:rPr>
          <w:lang w:val="es-ES"/>
        </w:rPr>
        <w:t xml:space="preserve">, </w:t>
      </w:r>
      <w:r w:rsidRPr="000C01DA">
        <w:rPr>
          <w:lang w:val="es-ES"/>
        </w:rPr>
        <w:t>K. Loubar</w:t>
      </w:r>
      <w:r w:rsidRPr="000C01DA">
        <w:rPr>
          <w:vertAlign w:val="superscript"/>
          <w:lang w:val="es-ES"/>
        </w:rPr>
        <w:t>a</w:t>
      </w:r>
      <w:r w:rsidR="00B57E6F" w:rsidRPr="000C01DA">
        <w:rPr>
          <w:vertAlign w:val="superscript"/>
          <w:lang w:val="es-ES"/>
        </w:rPr>
        <w:t>,</w:t>
      </w:r>
      <w:r w:rsidR="00B57E6F" w:rsidRPr="000C01DA">
        <w:rPr>
          <w:lang w:val="es-ES"/>
        </w:rPr>
        <w:t xml:space="preserve">*, </w:t>
      </w:r>
      <w:r w:rsidRPr="000C01DA">
        <w:rPr>
          <w:lang w:val="es-ES"/>
        </w:rPr>
        <w:t>L. Tarabet</w:t>
      </w:r>
      <w:r w:rsidRPr="000C01DA">
        <w:rPr>
          <w:vertAlign w:val="superscript"/>
          <w:lang w:val="es-ES"/>
        </w:rPr>
        <w:t>b</w:t>
      </w:r>
      <w:r w:rsidRPr="000C01DA">
        <w:rPr>
          <w:lang w:val="es-ES"/>
        </w:rPr>
        <w:t>, M. Cerdoun</w:t>
      </w:r>
      <w:r w:rsidRPr="000C01DA">
        <w:rPr>
          <w:vertAlign w:val="superscript"/>
          <w:lang w:val="es-ES"/>
        </w:rPr>
        <w:t>b</w:t>
      </w:r>
      <w:r w:rsidRPr="000C01DA">
        <w:rPr>
          <w:lang w:val="es-ES"/>
        </w:rPr>
        <w:t>, C. Lacroix</w:t>
      </w:r>
      <w:r w:rsidRPr="000C01DA">
        <w:rPr>
          <w:vertAlign w:val="superscript"/>
          <w:lang w:val="es-ES"/>
        </w:rPr>
        <w:t>a</w:t>
      </w:r>
    </w:p>
    <w:p w14:paraId="6B2D21B3" w14:textId="2C264A4D" w:rsidR="00B57E6F" w:rsidRPr="001A7E5D" w:rsidRDefault="00B437E7" w:rsidP="001A7E5D">
      <w:pPr>
        <w:pStyle w:val="CETAddress"/>
      </w:pPr>
      <w:r w:rsidRPr="00B57B36">
        <w:rPr>
          <w:vertAlign w:val="superscript"/>
        </w:rPr>
        <w:t>a</w:t>
      </w:r>
      <w:r w:rsidR="001A7E5D" w:rsidRPr="001A7E5D">
        <w:t>GEPEA, UMR 6144 DSEE, IMT Atlantique, 44307 Nantes, France</w:t>
      </w:r>
    </w:p>
    <w:p w14:paraId="3D72B0B0" w14:textId="38D1E305" w:rsidR="00B57E6F" w:rsidRPr="001A7E5D" w:rsidRDefault="00B437E7" w:rsidP="001A7E5D">
      <w:pPr>
        <w:pStyle w:val="CETAddress"/>
      </w:pPr>
      <w:r>
        <w:rPr>
          <w:vertAlign w:val="superscript"/>
        </w:rPr>
        <w:t>b</w:t>
      </w:r>
      <w:r w:rsidR="001A7E5D" w:rsidRPr="001A7E5D">
        <w:t>LES Laboratory, EMP, Algiers, Algeria</w:t>
      </w:r>
    </w:p>
    <w:p w14:paraId="5971F9E5" w14:textId="530DB4D4" w:rsidR="006E79C7" w:rsidRPr="00B437E7" w:rsidRDefault="00B57E6F" w:rsidP="006E79C7">
      <w:pPr>
        <w:pStyle w:val="CETemail"/>
        <w:rPr>
          <w:lang w:val="en-US"/>
        </w:rPr>
      </w:pPr>
      <w:r w:rsidRPr="00B437E7">
        <w:rPr>
          <w:lang w:val="en-US"/>
        </w:rPr>
        <w:t xml:space="preserve"> </w:t>
      </w:r>
      <w:r w:rsidR="001A7E5D" w:rsidRPr="00B437E7">
        <w:rPr>
          <w:lang w:val="en-US"/>
        </w:rPr>
        <w:t>khaled.loubar@imt-atlantique.fr</w:t>
      </w:r>
      <w:bookmarkStart w:id="0" w:name="_Hlk90202575"/>
      <w:bookmarkStart w:id="1" w:name="_Hlk90227768"/>
    </w:p>
    <w:p w14:paraId="654A333A" w14:textId="1D762B90" w:rsidR="006E79C7" w:rsidRPr="00166C66" w:rsidRDefault="006E79C7" w:rsidP="00867065">
      <w:pPr>
        <w:pStyle w:val="CETemail"/>
        <w:jc w:val="both"/>
        <w:rPr>
          <w:sz w:val="18"/>
          <w:szCs w:val="22"/>
          <w:lang w:val="en-US"/>
        </w:rPr>
      </w:pPr>
      <w:r w:rsidRPr="00166C66">
        <w:rPr>
          <w:sz w:val="18"/>
          <w:szCs w:val="22"/>
        </w:rPr>
        <w:t xml:space="preserve">The waste derived syngas allows the recovering of its energy using conventional technologies of energy production like internal combustion engines. However, its major drawback is its low calorific value and low stoichiometric air fuel ratio leading to higher specific fuel consumption and difficulties when using injection mode due to the required long injection duration. Recently, many studies aimed to improve the calorific value of the syngas, either by enriching it with methane or by optimizing the production techniques and the used feedstock like the refused derived fuel (RDF). Syngas produced by the pyrolysis of RDF is a methane rich syngas (40-60%) with a relatively high calorific value and stoichiometric air fuel ratio. </w:t>
      </w:r>
      <w:bookmarkStart w:id="2" w:name="_Hlk90232936"/>
      <w:r w:rsidRPr="00166C66">
        <w:rPr>
          <w:sz w:val="18"/>
          <w:szCs w:val="22"/>
        </w:rPr>
        <w:t>This work is an experimental study on the combustion, performance and emissions of this type of syngas in spark ignition engine taking into consideration its composition variability. Pure methane was also tested and is considered as a reference fuel for comparison. The results show a faster and smoother combustion of syngas, lower emissions of total hydrocarbons, and higher emissions of nitrogen oxides and carbon monoxide. Beside, syngas improved the brake thermal efficiency while still maintaining higher brake specific fuel consumption with respect to methane</w:t>
      </w:r>
      <w:bookmarkEnd w:id="2"/>
      <w:r w:rsidRPr="00166C66">
        <w:rPr>
          <w:sz w:val="18"/>
          <w:szCs w:val="22"/>
        </w:rPr>
        <w:t xml:space="preserve">. </w:t>
      </w:r>
      <w:bookmarkEnd w:id="0"/>
    </w:p>
    <w:bookmarkEnd w:id="1"/>
    <w:p w14:paraId="476B2F2E" w14:textId="12C8C426" w:rsidR="00600535" w:rsidRDefault="00600535" w:rsidP="00600535">
      <w:pPr>
        <w:pStyle w:val="CETHeading1"/>
        <w:rPr>
          <w:lang w:val="en-GB"/>
        </w:rPr>
      </w:pPr>
      <w:r w:rsidRPr="00B57B36">
        <w:rPr>
          <w:lang w:val="en-GB"/>
        </w:rPr>
        <w:t>Introduction</w:t>
      </w:r>
    </w:p>
    <w:p w14:paraId="609B8B02" w14:textId="64A8BD45" w:rsidR="006E79C7" w:rsidRPr="001676F4" w:rsidRDefault="006E79C7" w:rsidP="000C01DA">
      <w:pPr>
        <w:spacing w:after="200"/>
      </w:pPr>
      <w:r>
        <w:tab/>
        <w:t xml:space="preserve">          </w:t>
      </w:r>
      <w:r w:rsidRPr="001676F4">
        <w:t xml:space="preserve">According to the </w:t>
      </w:r>
      <w:r w:rsidRPr="006E79C7">
        <w:rPr>
          <w:i/>
          <w:iCs/>
        </w:rPr>
        <w:t xml:space="preserve">International Energy Outlook </w:t>
      </w:r>
      <w:r w:rsidRPr="001676F4">
        <w:t>the world will encounter a significant growth in the worldwide energy demand over the 28-year period from 2012 to 2040, so that the total world consumption of marketed energy is expected to expand by 48% during this period. This growth is accompanied by environmental constraints following Kyoto protocol 1997 and lately COP21 in 2015.</w:t>
      </w:r>
    </w:p>
    <w:p w14:paraId="642C4615" w14:textId="19FE2889" w:rsidR="006E79C7" w:rsidRPr="008129A1" w:rsidRDefault="00FE7A90" w:rsidP="006E79C7">
      <w:pPr>
        <w:pStyle w:val="Paragraphedeliste"/>
        <w:spacing w:after="200"/>
        <w:ind w:left="0"/>
      </w:pPr>
      <w:r>
        <w:t xml:space="preserve">          </w:t>
      </w:r>
      <w:r w:rsidR="006E79C7">
        <w:t xml:space="preserve">Many </w:t>
      </w:r>
      <w:r w:rsidR="000C01DA">
        <w:t>researchers</w:t>
      </w:r>
      <w:r w:rsidR="006E79C7">
        <w:t xml:space="preserve"> </w:t>
      </w:r>
      <w:r w:rsidR="006E79C7" w:rsidRPr="008129A1">
        <w:t xml:space="preserve">have studied the application of </w:t>
      </w:r>
      <w:r w:rsidR="003F140E" w:rsidRPr="008129A1">
        <w:t>syngas</w:t>
      </w:r>
      <w:r w:rsidR="006E79C7" w:rsidRPr="008129A1">
        <w:t xml:space="preserve"> in engines </w:t>
      </w:r>
      <w:r w:rsidR="00631A98">
        <w:t>(Fiore</w:t>
      </w:r>
      <w:r w:rsidR="00AA3681">
        <w:t xml:space="preserve"> et al,</w:t>
      </w:r>
      <w:r w:rsidR="00631A98">
        <w:t xml:space="preserve"> 2020)</w:t>
      </w:r>
      <w:r w:rsidR="006E79C7" w:rsidRPr="008129A1">
        <w:t xml:space="preserve">. It can be used as a dual fuel of diesel-syngas in the compression ignition engine </w:t>
      </w:r>
      <w:r w:rsidR="00AA3681">
        <w:t>(Ramalingam et al, 2019)</w:t>
      </w:r>
      <w:r w:rsidR="006E79C7" w:rsidRPr="008129A1">
        <w:t xml:space="preserve">, in the spark-ignition engine </w:t>
      </w:r>
      <w:r w:rsidR="00AA3681">
        <w:t>(Nadalet and Przybyla, 2018)</w:t>
      </w:r>
      <w:r w:rsidR="006E79C7" w:rsidRPr="008129A1">
        <w:t xml:space="preserve">, and also in the HCCI engine </w:t>
      </w:r>
      <w:r w:rsidR="00AA3681">
        <w:t>(Wiemann, 2018).</w:t>
      </w:r>
    </w:p>
    <w:p w14:paraId="11897F74" w14:textId="4EB3E617" w:rsidR="006E79C7" w:rsidRPr="008129A1" w:rsidRDefault="00567FB1" w:rsidP="000C01DA">
      <w:pPr>
        <w:pStyle w:val="Paragraphedeliste"/>
        <w:spacing w:after="200"/>
        <w:ind w:left="0"/>
      </w:pPr>
      <w:r>
        <w:t xml:space="preserve">          </w:t>
      </w:r>
      <w:r w:rsidR="003F140E" w:rsidRPr="008129A1">
        <w:t>Syngas</w:t>
      </w:r>
      <w:r w:rsidR="006E79C7" w:rsidRPr="008129A1">
        <w:t xml:space="preserve"> is a </w:t>
      </w:r>
      <w:r w:rsidR="003F140E" w:rsidRPr="008129A1">
        <w:t>promising</w:t>
      </w:r>
      <w:r w:rsidR="006E79C7" w:rsidRPr="008129A1">
        <w:t xml:space="preserve"> fuel for internal combustion engines because it can be efficiently and cleanly </w:t>
      </w:r>
      <w:r w:rsidR="003F140E" w:rsidRPr="008129A1">
        <w:t>burned</w:t>
      </w:r>
      <w:r w:rsidR="006E79C7" w:rsidRPr="008129A1">
        <w:t xml:space="preserve"> (Verhelst et al</w:t>
      </w:r>
      <w:r w:rsidR="00AA3681">
        <w:t>,2018</w:t>
      </w:r>
      <w:r w:rsidR="006E79C7" w:rsidRPr="008129A1">
        <w:t xml:space="preserve">). In addition, </w:t>
      </w:r>
      <w:r w:rsidR="003F140E" w:rsidRPr="008129A1">
        <w:t>syngas</w:t>
      </w:r>
      <w:r w:rsidR="006E79C7" w:rsidRPr="008129A1">
        <w:t xml:space="preserve"> is used as energy carrier for transportation vehicles (Jaspers et al</w:t>
      </w:r>
      <w:r w:rsidR="00AA3681">
        <w:t>, 2021</w:t>
      </w:r>
      <w:r w:rsidR="006E79C7" w:rsidRPr="008129A1">
        <w:t xml:space="preserve">). It can be used in either spark-ignition engines or compression-ignition </w:t>
      </w:r>
      <w:r w:rsidR="003F140E" w:rsidRPr="008129A1">
        <w:t>engine</w:t>
      </w:r>
      <w:r w:rsidR="000C01DA">
        <w:t>s</w:t>
      </w:r>
      <w:r w:rsidR="006E79C7" w:rsidRPr="008129A1">
        <w:t xml:space="preserve">, burning either pure methanol directly or a blend of methanol with gasoline or </w:t>
      </w:r>
      <w:r w:rsidR="003F140E" w:rsidRPr="008129A1">
        <w:t>diesel</w:t>
      </w:r>
      <w:r w:rsidR="006E79C7" w:rsidRPr="008129A1">
        <w:t xml:space="preserve"> (Li et al</w:t>
      </w:r>
      <w:r w:rsidR="00AA3681">
        <w:t>, 2021</w:t>
      </w:r>
      <w:r w:rsidR="006E79C7" w:rsidRPr="008129A1">
        <w:t xml:space="preserve">). To improve the thermal efficiency of the engine, the method of blending </w:t>
      </w:r>
      <w:r w:rsidR="003F140E" w:rsidRPr="008129A1">
        <w:t>methanol</w:t>
      </w:r>
      <w:r w:rsidR="006E79C7" w:rsidRPr="008129A1">
        <w:t xml:space="preserve"> with dissociated methanol gas was proposed (Xie</w:t>
      </w:r>
      <w:r w:rsidR="00AA3681">
        <w:t>, 2016)</w:t>
      </w:r>
      <w:r w:rsidR="009D32B8">
        <w:t xml:space="preserve"> and later </w:t>
      </w:r>
      <w:r w:rsidR="00AA3681">
        <w:t>(</w:t>
      </w:r>
      <w:r w:rsidR="006E79C7" w:rsidRPr="008129A1">
        <w:t>Wen</w:t>
      </w:r>
      <w:r w:rsidR="00AA3681">
        <w:t>, 2018</w:t>
      </w:r>
      <w:r w:rsidR="006E79C7" w:rsidRPr="008129A1">
        <w:t>).</w:t>
      </w:r>
    </w:p>
    <w:p w14:paraId="77185DD9" w14:textId="182B4673" w:rsidR="006E79C7" w:rsidRPr="001676F4" w:rsidRDefault="006E79C7" w:rsidP="006E79C7">
      <w:pPr>
        <w:pStyle w:val="Paragraphedeliste"/>
        <w:spacing w:after="200"/>
        <w:ind w:left="0"/>
      </w:pPr>
      <w:r>
        <w:t xml:space="preserve">          </w:t>
      </w:r>
      <w:r w:rsidRPr="008129A1">
        <w:t>The effect of H</w:t>
      </w:r>
      <w:r w:rsidRPr="006E79C7">
        <w:rPr>
          <w:vertAlign w:val="subscript"/>
        </w:rPr>
        <w:t>2</w:t>
      </w:r>
      <w:r w:rsidRPr="008129A1">
        <w:t xml:space="preserve">/CO ratio has been studied by </w:t>
      </w:r>
      <w:r w:rsidR="009D32B8">
        <w:t>(</w:t>
      </w:r>
      <w:r w:rsidRPr="008129A1">
        <w:t>Bika</w:t>
      </w:r>
      <w:r w:rsidR="009D32B8">
        <w:t>, 2010)</w:t>
      </w:r>
      <w:r w:rsidRPr="008129A1">
        <w:t>. A 50% H</w:t>
      </w:r>
      <w:r w:rsidRPr="006E79C7">
        <w:rPr>
          <w:vertAlign w:val="subscript"/>
        </w:rPr>
        <w:t>2</w:t>
      </w:r>
      <w:r w:rsidRPr="008129A1">
        <w:t xml:space="preserve"> / 50% CO mixture has been reported to have the advantage in terms of efficiency (32%) and combustion stability (COV (IMEP) less than 10% for all operations compared to other H</w:t>
      </w:r>
      <w:r w:rsidRPr="006E79C7">
        <w:rPr>
          <w:vertAlign w:val="subscript"/>
        </w:rPr>
        <w:t>2</w:t>
      </w:r>
      <w:r w:rsidRPr="008129A1">
        <w:t xml:space="preserve">/CO mixtures. Also, </w:t>
      </w:r>
      <w:r w:rsidR="009D32B8">
        <w:t>(</w:t>
      </w:r>
      <w:r w:rsidRPr="008129A1">
        <w:t>Shivapuji</w:t>
      </w:r>
      <w:r w:rsidR="009D32B8">
        <w:t xml:space="preserve"> et al, 2015)</w:t>
      </w:r>
      <w:r w:rsidRPr="008129A1">
        <w:t xml:space="preserve"> investigated the influence of the fuel hydrogen fraction on syngas </w:t>
      </w:r>
      <w:r w:rsidR="00B437E7" w:rsidRPr="008129A1">
        <w:t>fuelled</w:t>
      </w:r>
      <w:r w:rsidR="000C01DA">
        <w:t xml:space="preserve"> SI engine. The study showed</w:t>
      </w:r>
      <w:r w:rsidRPr="008129A1">
        <w:t xml:space="preserve"> that the adiabatic flame temperature and the flame laminar speed increase with the hydrogen fraction leading</w:t>
      </w:r>
      <w:r w:rsidRPr="001676F4">
        <w:t xml:space="preserve"> to higher convective heat flux. The cooling load is about 10 ± 3% higher than the typical higher hydrocarbon cooling load. As a consequence, the brake thermal efficiency that increases initially with hydrogen reduces at higher hydrogen levels. </w:t>
      </w:r>
    </w:p>
    <w:p w14:paraId="7CD54F9B" w14:textId="2B3F089B" w:rsidR="006E79C7" w:rsidRPr="001676F4" w:rsidRDefault="006E79C7" w:rsidP="006E79C7">
      <w:pPr>
        <w:pStyle w:val="Paragraphedeliste"/>
        <w:spacing w:after="200"/>
        <w:ind w:left="0"/>
      </w:pPr>
      <w:r>
        <w:lastRenderedPageBreak/>
        <w:t xml:space="preserve">          </w:t>
      </w:r>
      <w:r w:rsidR="009D32B8">
        <w:t>(</w:t>
      </w:r>
      <w:r w:rsidRPr="001676F4">
        <w:t xml:space="preserve">Hagos et </w:t>
      </w:r>
      <w:r w:rsidRPr="008129A1">
        <w:t>al</w:t>
      </w:r>
      <w:r w:rsidR="009D32B8">
        <w:t>, 2015)</w:t>
      </w:r>
      <w:r w:rsidRPr="008129A1">
        <w:t xml:space="preserve"> investigated</w:t>
      </w:r>
      <w:r w:rsidRPr="001676F4">
        <w:t xml:space="preserve"> the methane enrichment of a H</w:t>
      </w:r>
      <w:r w:rsidRPr="006E79C7">
        <w:rPr>
          <w:vertAlign w:val="subscript"/>
        </w:rPr>
        <w:t>2</w:t>
      </w:r>
      <w:r w:rsidRPr="001676F4">
        <w:t>/CO syngas by 20%. Wider operation range of load was observed compared to H</w:t>
      </w:r>
      <w:r w:rsidRPr="006E79C7">
        <w:rPr>
          <w:vertAlign w:val="subscript"/>
        </w:rPr>
        <w:t>2</w:t>
      </w:r>
      <w:r w:rsidRPr="001676F4">
        <w:t>/CO syngas with a little effect on the brake emissions of CO, NOx, and THC.</w:t>
      </w:r>
    </w:p>
    <w:p w14:paraId="3B199CA7" w14:textId="6A7316AF" w:rsidR="006E79C7" w:rsidRPr="006E79C7" w:rsidRDefault="006E79C7" w:rsidP="000C01DA">
      <w:pPr>
        <w:pStyle w:val="Paragraphedeliste"/>
        <w:ind w:left="0"/>
      </w:pPr>
      <w:r>
        <w:t xml:space="preserve">          </w:t>
      </w:r>
      <w:r w:rsidRPr="001676F4">
        <w:t xml:space="preserve">The objective of the current work is to show that RDF based syngas is a </w:t>
      </w:r>
      <w:r w:rsidR="000C01DA">
        <w:t>reliable</w:t>
      </w:r>
      <w:r w:rsidRPr="001676F4">
        <w:t xml:space="preserve"> alternative fuel for SI engines with minor modifications despite its composition variability. The combustion characteristics, performance and emissions of different syngas compositions are to be studied under different loads </w:t>
      </w:r>
      <w:r>
        <w:t>at a constant speed of 1500 rpm.</w:t>
      </w:r>
    </w:p>
    <w:p w14:paraId="5741900F" w14:textId="2A4180F9" w:rsidR="00453E24" w:rsidRDefault="000C01DA" w:rsidP="000C01DA">
      <w:pPr>
        <w:pStyle w:val="CETHeading1"/>
      </w:pPr>
      <w:r>
        <w:t>Experimental procedure</w:t>
      </w:r>
    </w:p>
    <w:p w14:paraId="380A47CA" w14:textId="63FE29E9" w:rsidR="00232472" w:rsidRPr="00232472" w:rsidRDefault="00232472" w:rsidP="000C01DA">
      <w:pPr>
        <w:pStyle w:val="CETBodytext"/>
      </w:pPr>
      <w:r>
        <w:t>I</w:t>
      </w:r>
      <w:r w:rsidRPr="00232472">
        <w:t xml:space="preserve">n the following </w:t>
      </w:r>
      <w:r w:rsidR="000C01DA">
        <w:t>section</w:t>
      </w:r>
      <w:r w:rsidRPr="00232472">
        <w:t xml:space="preserve">, the experimental </w:t>
      </w:r>
      <w:r w:rsidR="000C01DA">
        <w:t>procedure</w:t>
      </w:r>
      <w:r w:rsidRPr="00232472">
        <w:t xml:space="preserve"> is detailed, </w:t>
      </w:r>
      <w:r w:rsidR="000C01DA">
        <w:t>and</w:t>
      </w:r>
      <w:r w:rsidRPr="00232472">
        <w:t xml:space="preserve"> the different inputs are </w:t>
      </w:r>
      <w:r w:rsidR="000C01DA">
        <w:t>explained</w:t>
      </w:r>
      <w:r>
        <w:t>.</w:t>
      </w:r>
    </w:p>
    <w:p w14:paraId="0636B784" w14:textId="614FE5EC" w:rsidR="00453E24" w:rsidRDefault="00567FB1" w:rsidP="000C01DA">
      <w:pPr>
        <w:pStyle w:val="CETheadingx"/>
      </w:pPr>
      <w:r>
        <w:t xml:space="preserve">Engine test and </w:t>
      </w:r>
      <w:r w:rsidR="000C01DA">
        <w:t>methods</w:t>
      </w:r>
    </w:p>
    <w:p w14:paraId="71C73462" w14:textId="52F42E3B" w:rsidR="00BB0009" w:rsidRDefault="00BB0009" w:rsidP="00BB0009">
      <w:pPr>
        <w:pStyle w:val="Paragraphedeliste"/>
        <w:ind w:left="0"/>
      </w:pPr>
      <w:r>
        <w:t xml:space="preserve">          A</w:t>
      </w:r>
      <w:r w:rsidRPr="001676F4">
        <w:t xml:space="preserve"> single cylinder AVL 5401 SCRE stationary research engine is employed for this study. The engine initially works on indirect injection of gasoline. Its specifications are </w:t>
      </w:r>
      <w:r>
        <w:t>given in T</w:t>
      </w:r>
      <w:r w:rsidRPr="001676F4">
        <w:t xml:space="preserve">able 1. It is mounted on a test bench and </w:t>
      </w:r>
      <w:r>
        <w:t>connected to</w:t>
      </w:r>
      <w:r w:rsidRPr="001676F4">
        <w:t xml:space="preserve"> an eddy current dynamometer D2T DE 220, which also allows to control the torque and speed. An electronic control unit (ECU) is implemented with a control interface via PC INCA and was installed to regulate the ig</w:t>
      </w:r>
      <w:r w:rsidR="000C01DA">
        <w:t>nition advance and the gas flow</w:t>
      </w:r>
      <w:r w:rsidRPr="001676F4">
        <w:t xml:space="preserve">rate as a function of the inlet air pressure and the engine speed. The experimental setup </w:t>
      </w:r>
      <w:r>
        <w:t>of the test engine is shown in F</w:t>
      </w:r>
      <w:r w:rsidRPr="001676F4">
        <w:t>igure 1.</w:t>
      </w:r>
    </w:p>
    <w:p w14:paraId="6EE1C525" w14:textId="0958C575" w:rsidR="008B7923" w:rsidRDefault="008B7923" w:rsidP="008B7923">
      <w:pPr>
        <w:pStyle w:val="CETTabletitle"/>
      </w:pPr>
      <w:r>
        <w:t xml:space="preserve">Table </w:t>
      </w:r>
      <w:r>
        <w:fldChar w:fldCharType="begin"/>
      </w:r>
      <w:r>
        <w:instrText xml:space="preserve"> SEQ Table \* ARABIC </w:instrText>
      </w:r>
      <w:r>
        <w:fldChar w:fldCharType="separate"/>
      </w:r>
      <w:r w:rsidR="0081128C">
        <w:rPr>
          <w:noProof/>
        </w:rPr>
        <w:t>1</w:t>
      </w:r>
      <w:r>
        <w:fldChar w:fldCharType="end"/>
      </w:r>
      <w:r>
        <w:t>: Engine specifications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2977"/>
      </w:tblGrid>
      <w:tr w:rsidR="00BB0009" w:rsidRPr="00B57B36" w14:paraId="1901C3FE" w14:textId="77777777" w:rsidTr="000C01DA">
        <w:tc>
          <w:tcPr>
            <w:tcW w:w="2552" w:type="dxa"/>
            <w:tcBorders>
              <w:top w:val="single" w:sz="12" w:space="0" w:color="008000"/>
              <w:bottom w:val="single" w:sz="6" w:space="0" w:color="008000"/>
            </w:tcBorders>
            <w:shd w:val="clear" w:color="auto" w:fill="FFFFFF"/>
          </w:tcPr>
          <w:p w14:paraId="23377385" w14:textId="4169FACC" w:rsidR="00BB0009" w:rsidRPr="00B57B36" w:rsidRDefault="00BB0009" w:rsidP="00040A0B">
            <w:pPr>
              <w:pStyle w:val="CETBodytext"/>
              <w:rPr>
                <w:lang w:val="en-GB"/>
              </w:rPr>
            </w:pPr>
            <w:r w:rsidRPr="00BC043D">
              <w:rPr>
                <w:sz w:val="16"/>
              </w:rPr>
              <w:t>General detail</w:t>
            </w:r>
            <w:r>
              <w:rPr>
                <w:sz w:val="16"/>
              </w:rPr>
              <w:t>s</w:t>
            </w:r>
          </w:p>
        </w:tc>
        <w:tc>
          <w:tcPr>
            <w:tcW w:w="2977" w:type="dxa"/>
            <w:tcBorders>
              <w:top w:val="single" w:sz="12" w:space="0" w:color="008000"/>
              <w:bottom w:val="single" w:sz="6" w:space="0" w:color="008000"/>
            </w:tcBorders>
            <w:shd w:val="clear" w:color="auto" w:fill="FFFFFF"/>
          </w:tcPr>
          <w:p w14:paraId="215788CA" w14:textId="74A8EE23" w:rsidR="00BB0009" w:rsidRPr="00BB0009" w:rsidRDefault="00BB0009" w:rsidP="00BB0009">
            <w:pPr>
              <w:rPr>
                <w:sz w:val="16"/>
              </w:rPr>
            </w:pPr>
            <w:r w:rsidRPr="00BC043D">
              <w:rPr>
                <w:sz w:val="16"/>
              </w:rPr>
              <w:t>Single cylinder, Spark ignition</w:t>
            </w:r>
            <w:r>
              <w:rPr>
                <w:sz w:val="16"/>
              </w:rPr>
              <w:t xml:space="preserve"> </w:t>
            </w:r>
            <w:r w:rsidRPr="00BC043D">
              <w:rPr>
                <w:sz w:val="16"/>
              </w:rPr>
              <w:t>4-Stroke, naturally aspirated</w:t>
            </w:r>
          </w:p>
        </w:tc>
      </w:tr>
      <w:tr w:rsidR="00BB0009" w:rsidRPr="00B57B36" w14:paraId="2869D69D" w14:textId="77777777" w:rsidTr="000C01DA">
        <w:tc>
          <w:tcPr>
            <w:tcW w:w="2552" w:type="dxa"/>
            <w:shd w:val="clear" w:color="auto" w:fill="FFFFFF"/>
            <w:vAlign w:val="center"/>
          </w:tcPr>
          <w:p w14:paraId="73C8A5FC" w14:textId="2E7B2B9F" w:rsidR="00BB0009" w:rsidRPr="00BC42BC" w:rsidRDefault="00BB0009" w:rsidP="00BB0009">
            <w:pPr>
              <w:pStyle w:val="CETBodytext"/>
              <w:rPr>
                <w:sz w:val="16"/>
                <w:szCs w:val="16"/>
                <w:lang w:val="en-GB"/>
              </w:rPr>
            </w:pPr>
            <w:r w:rsidRPr="00BC42BC">
              <w:rPr>
                <w:sz w:val="16"/>
                <w:szCs w:val="16"/>
              </w:rPr>
              <w:t>Cooling system</w:t>
            </w:r>
          </w:p>
        </w:tc>
        <w:tc>
          <w:tcPr>
            <w:tcW w:w="2977" w:type="dxa"/>
            <w:shd w:val="clear" w:color="auto" w:fill="FFFFFF"/>
            <w:vAlign w:val="center"/>
          </w:tcPr>
          <w:p w14:paraId="7394B605" w14:textId="46454FBF" w:rsidR="00BB0009" w:rsidRPr="00BC42BC" w:rsidRDefault="00BB0009" w:rsidP="00BB0009">
            <w:pPr>
              <w:pStyle w:val="CETBodytext"/>
              <w:rPr>
                <w:sz w:val="16"/>
                <w:szCs w:val="16"/>
                <w:lang w:val="en-GB"/>
              </w:rPr>
            </w:pPr>
            <w:r w:rsidRPr="00BC42BC">
              <w:rPr>
                <w:sz w:val="16"/>
                <w:szCs w:val="16"/>
              </w:rPr>
              <w:t>Closed circuit water cooling</w:t>
            </w:r>
          </w:p>
        </w:tc>
      </w:tr>
      <w:tr w:rsidR="00BB0009" w:rsidRPr="00B57B36" w14:paraId="795FBF64" w14:textId="77777777" w:rsidTr="000C01DA">
        <w:tc>
          <w:tcPr>
            <w:tcW w:w="2552" w:type="dxa"/>
            <w:shd w:val="clear" w:color="auto" w:fill="FFFFFF"/>
            <w:vAlign w:val="center"/>
          </w:tcPr>
          <w:p w14:paraId="7F5B0C70" w14:textId="6C113C2F" w:rsidR="00BB0009" w:rsidRPr="00BC42BC" w:rsidRDefault="00BB0009" w:rsidP="00BB0009">
            <w:pPr>
              <w:pStyle w:val="CETBodytext"/>
              <w:ind w:right="-1"/>
              <w:rPr>
                <w:rFonts w:cs="Arial"/>
                <w:sz w:val="16"/>
                <w:szCs w:val="16"/>
                <w:lang w:val="en-GB"/>
              </w:rPr>
            </w:pPr>
            <w:r w:rsidRPr="00BC42BC">
              <w:rPr>
                <w:sz w:val="16"/>
                <w:szCs w:val="16"/>
              </w:rPr>
              <w:t>Displaced volume</w:t>
            </w:r>
          </w:p>
        </w:tc>
        <w:tc>
          <w:tcPr>
            <w:tcW w:w="2977" w:type="dxa"/>
            <w:shd w:val="clear" w:color="auto" w:fill="FFFFFF"/>
            <w:vAlign w:val="center"/>
          </w:tcPr>
          <w:p w14:paraId="62F928DC" w14:textId="6C3EC332" w:rsidR="00BB0009" w:rsidRPr="00BC42BC" w:rsidRDefault="00BB0009" w:rsidP="00BB0009">
            <w:pPr>
              <w:pStyle w:val="CETBodytext"/>
              <w:ind w:right="-1"/>
              <w:rPr>
                <w:rFonts w:cs="Arial"/>
                <w:sz w:val="16"/>
                <w:szCs w:val="16"/>
                <w:lang w:val="en-GB"/>
              </w:rPr>
            </w:pPr>
            <w:r w:rsidRPr="00BC42BC">
              <w:rPr>
                <w:sz w:val="16"/>
                <w:szCs w:val="16"/>
                <w:lang w:val="fr-FR"/>
              </w:rPr>
              <w:t>499.6</w:t>
            </w:r>
            <w:r w:rsidRPr="00BC42BC">
              <w:rPr>
                <w:sz w:val="16"/>
                <w:szCs w:val="16"/>
              </w:rPr>
              <w:t xml:space="preserve"> cc</w:t>
            </w:r>
          </w:p>
        </w:tc>
      </w:tr>
      <w:tr w:rsidR="00BB0009" w:rsidRPr="00B57B36" w14:paraId="23939387" w14:textId="77777777" w:rsidTr="000C01DA">
        <w:tc>
          <w:tcPr>
            <w:tcW w:w="2552" w:type="dxa"/>
            <w:shd w:val="clear" w:color="auto" w:fill="FFFFFF"/>
            <w:vAlign w:val="center"/>
          </w:tcPr>
          <w:p w14:paraId="2DCC35AC" w14:textId="3ED33333" w:rsidR="00BB0009" w:rsidRPr="00BC42BC" w:rsidRDefault="00BB0009" w:rsidP="00BB0009">
            <w:pPr>
              <w:pStyle w:val="CETBodytext"/>
              <w:ind w:right="-1"/>
              <w:rPr>
                <w:rFonts w:cs="Arial"/>
                <w:sz w:val="16"/>
                <w:szCs w:val="16"/>
                <w:lang w:val="en-GB"/>
              </w:rPr>
            </w:pPr>
            <w:r w:rsidRPr="00BC42BC">
              <w:rPr>
                <w:sz w:val="16"/>
                <w:szCs w:val="16"/>
                <w:lang w:val="fr-FR"/>
              </w:rPr>
              <w:t xml:space="preserve">Bore x </w:t>
            </w:r>
            <w:r w:rsidRPr="00BC42BC">
              <w:rPr>
                <w:sz w:val="16"/>
                <w:szCs w:val="16"/>
              </w:rPr>
              <w:t>Stroke</w:t>
            </w:r>
          </w:p>
        </w:tc>
        <w:tc>
          <w:tcPr>
            <w:tcW w:w="2977" w:type="dxa"/>
            <w:shd w:val="clear" w:color="auto" w:fill="FFFFFF"/>
            <w:vAlign w:val="center"/>
          </w:tcPr>
          <w:p w14:paraId="0E33D590" w14:textId="476003DE" w:rsidR="00BB0009" w:rsidRPr="00BC42BC" w:rsidRDefault="00BB0009" w:rsidP="00BB0009">
            <w:pPr>
              <w:pStyle w:val="CETBodytext"/>
              <w:ind w:right="-1"/>
              <w:rPr>
                <w:rFonts w:cs="Arial"/>
                <w:sz w:val="16"/>
                <w:szCs w:val="16"/>
                <w:lang w:val="en-GB"/>
              </w:rPr>
            </w:pPr>
            <w:r w:rsidRPr="00BC42BC">
              <w:rPr>
                <w:sz w:val="16"/>
                <w:szCs w:val="16"/>
              </w:rPr>
              <w:t>86 mm x 86 mm</w:t>
            </w:r>
          </w:p>
        </w:tc>
      </w:tr>
      <w:tr w:rsidR="00BB0009" w:rsidRPr="00B57B36" w14:paraId="75191BB3" w14:textId="77777777" w:rsidTr="000C01DA">
        <w:tc>
          <w:tcPr>
            <w:tcW w:w="2552" w:type="dxa"/>
            <w:shd w:val="clear" w:color="auto" w:fill="FFFFFF"/>
            <w:vAlign w:val="center"/>
          </w:tcPr>
          <w:p w14:paraId="70E032AD" w14:textId="49813B68" w:rsidR="00BB0009" w:rsidRPr="00BC42BC" w:rsidRDefault="00BB0009" w:rsidP="00BB0009">
            <w:pPr>
              <w:pStyle w:val="CETBodytext"/>
              <w:ind w:right="-1"/>
              <w:rPr>
                <w:rFonts w:cs="Arial"/>
                <w:sz w:val="16"/>
                <w:szCs w:val="16"/>
                <w:lang w:val="en-GB"/>
              </w:rPr>
            </w:pPr>
            <w:r w:rsidRPr="00BC42BC">
              <w:rPr>
                <w:sz w:val="16"/>
                <w:szCs w:val="16"/>
              </w:rPr>
              <w:t>Rated power output</w:t>
            </w:r>
          </w:p>
        </w:tc>
        <w:tc>
          <w:tcPr>
            <w:tcW w:w="2977" w:type="dxa"/>
            <w:shd w:val="clear" w:color="auto" w:fill="FFFFFF"/>
            <w:vAlign w:val="center"/>
          </w:tcPr>
          <w:p w14:paraId="6404F8A1" w14:textId="7DD0E3DD" w:rsidR="00BB0009" w:rsidRPr="00BC42BC" w:rsidRDefault="00BB0009" w:rsidP="00BB0009">
            <w:pPr>
              <w:pStyle w:val="CETBodytext"/>
              <w:ind w:right="-1"/>
              <w:rPr>
                <w:rFonts w:cs="Arial"/>
                <w:sz w:val="16"/>
                <w:szCs w:val="16"/>
                <w:lang w:val="en-GB"/>
              </w:rPr>
            </w:pPr>
            <w:r w:rsidRPr="00BC42BC">
              <w:rPr>
                <w:sz w:val="16"/>
                <w:szCs w:val="16"/>
              </w:rPr>
              <w:t>25 kW @ 6000 rpm</w:t>
            </w:r>
          </w:p>
        </w:tc>
      </w:tr>
      <w:tr w:rsidR="00BB0009" w:rsidRPr="00B57B36" w14:paraId="31609185" w14:textId="77777777" w:rsidTr="000C01DA">
        <w:tc>
          <w:tcPr>
            <w:tcW w:w="2552" w:type="dxa"/>
            <w:shd w:val="clear" w:color="auto" w:fill="FFFFFF"/>
            <w:vAlign w:val="center"/>
          </w:tcPr>
          <w:p w14:paraId="5F489364" w14:textId="51C28261" w:rsidR="00BB0009" w:rsidRPr="00BC42BC" w:rsidRDefault="00BB0009" w:rsidP="00BB0009">
            <w:pPr>
              <w:pStyle w:val="CETBodytext"/>
              <w:ind w:right="-1"/>
              <w:rPr>
                <w:rFonts w:cs="Arial"/>
                <w:sz w:val="16"/>
                <w:szCs w:val="16"/>
                <w:lang w:val="en-GB"/>
              </w:rPr>
            </w:pPr>
            <w:r w:rsidRPr="00BC42BC">
              <w:rPr>
                <w:sz w:val="16"/>
                <w:szCs w:val="16"/>
              </w:rPr>
              <w:t>Compression ratio</w:t>
            </w:r>
          </w:p>
        </w:tc>
        <w:tc>
          <w:tcPr>
            <w:tcW w:w="2977" w:type="dxa"/>
            <w:shd w:val="clear" w:color="auto" w:fill="FFFFFF"/>
            <w:vAlign w:val="center"/>
          </w:tcPr>
          <w:p w14:paraId="7E4B5CC9" w14:textId="2E10AF10" w:rsidR="00BB0009" w:rsidRPr="00BC42BC" w:rsidRDefault="00BB0009" w:rsidP="00BB0009">
            <w:pPr>
              <w:pStyle w:val="CETBodytext"/>
              <w:ind w:right="-1"/>
              <w:rPr>
                <w:rFonts w:cs="Arial"/>
                <w:sz w:val="16"/>
                <w:szCs w:val="16"/>
                <w:lang w:val="en-GB"/>
              </w:rPr>
            </w:pPr>
            <w:r w:rsidRPr="00BC42BC">
              <w:rPr>
                <w:sz w:val="16"/>
                <w:szCs w:val="16"/>
              </w:rPr>
              <w:t>10.5:1</w:t>
            </w:r>
          </w:p>
        </w:tc>
      </w:tr>
      <w:tr w:rsidR="00BB0009" w:rsidRPr="00B57B36" w14:paraId="0A222E0D" w14:textId="77777777" w:rsidTr="000C01DA">
        <w:tc>
          <w:tcPr>
            <w:tcW w:w="2552" w:type="dxa"/>
            <w:shd w:val="clear" w:color="auto" w:fill="FFFFFF"/>
            <w:vAlign w:val="center"/>
          </w:tcPr>
          <w:p w14:paraId="60BB7468" w14:textId="5118BAE6" w:rsidR="00BB0009" w:rsidRPr="00BC42BC" w:rsidRDefault="00BB0009" w:rsidP="00BB0009">
            <w:pPr>
              <w:pStyle w:val="CETBodytext"/>
              <w:ind w:right="-1"/>
              <w:rPr>
                <w:rFonts w:cs="Arial"/>
                <w:sz w:val="16"/>
                <w:szCs w:val="16"/>
                <w:lang w:val="en-GB"/>
              </w:rPr>
            </w:pPr>
            <w:r w:rsidRPr="00BC42BC">
              <w:rPr>
                <w:sz w:val="16"/>
                <w:szCs w:val="16"/>
              </w:rPr>
              <w:t>Exhaust Valve Open</w:t>
            </w:r>
          </w:p>
        </w:tc>
        <w:tc>
          <w:tcPr>
            <w:tcW w:w="2977" w:type="dxa"/>
            <w:shd w:val="clear" w:color="auto" w:fill="FFFFFF"/>
            <w:vAlign w:val="center"/>
          </w:tcPr>
          <w:p w14:paraId="126D9280" w14:textId="3CC6EB56" w:rsidR="00BB0009" w:rsidRPr="00BC42BC" w:rsidRDefault="00BB0009" w:rsidP="00BB0009">
            <w:pPr>
              <w:pStyle w:val="CETBodytext"/>
              <w:ind w:right="-1"/>
              <w:rPr>
                <w:rFonts w:cs="Arial"/>
                <w:sz w:val="16"/>
                <w:szCs w:val="16"/>
                <w:lang w:val="en-GB"/>
              </w:rPr>
            </w:pPr>
            <w:r w:rsidRPr="00BC42BC">
              <w:rPr>
                <w:sz w:val="16"/>
                <w:szCs w:val="16"/>
              </w:rPr>
              <w:t>74° BTDC</w:t>
            </w:r>
          </w:p>
        </w:tc>
      </w:tr>
      <w:tr w:rsidR="00BB0009" w:rsidRPr="00B57B36" w14:paraId="3B203DD9" w14:textId="77777777" w:rsidTr="000C01DA">
        <w:tc>
          <w:tcPr>
            <w:tcW w:w="2552" w:type="dxa"/>
            <w:shd w:val="clear" w:color="auto" w:fill="FFFFFF"/>
            <w:vAlign w:val="center"/>
          </w:tcPr>
          <w:p w14:paraId="6D2F4D1C" w14:textId="363F1DA8" w:rsidR="00BB0009" w:rsidRPr="00BC42BC" w:rsidRDefault="00BB0009" w:rsidP="00BB0009">
            <w:pPr>
              <w:pStyle w:val="CETBodytext"/>
              <w:ind w:right="-1"/>
              <w:rPr>
                <w:rFonts w:cs="Arial"/>
                <w:sz w:val="16"/>
                <w:szCs w:val="16"/>
                <w:lang w:val="en-GB"/>
              </w:rPr>
            </w:pPr>
            <w:r w:rsidRPr="00BC42BC">
              <w:rPr>
                <w:sz w:val="16"/>
                <w:szCs w:val="16"/>
              </w:rPr>
              <w:t>Exhaust Valve Close</w:t>
            </w:r>
          </w:p>
        </w:tc>
        <w:tc>
          <w:tcPr>
            <w:tcW w:w="2977" w:type="dxa"/>
            <w:shd w:val="clear" w:color="auto" w:fill="FFFFFF"/>
            <w:vAlign w:val="center"/>
          </w:tcPr>
          <w:p w14:paraId="4AAE2F7F" w14:textId="2E618096" w:rsidR="00BB0009" w:rsidRPr="00BC42BC" w:rsidRDefault="00BB0009" w:rsidP="00BB0009">
            <w:pPr>
              <w:pStyle w:val="CETBodytext"/>
              <w:ind w:right="-1"/>
              <w:rPr>
                <w:rFonts w:cs="Arial"/>
                <w:sz w:val="16"/>
                <w:szCs w:val="16"/>
                <w:lang w:val="en-GB"/>
              </w:rPr>
            </w:pPr>
            <w:r w:rsidRPr="00BC42BC">
              <w:rPr>
                <w:sz w:val="16"/>
                <w:szCs w:val="16"/>
              </w:rPr>
              <w:t xml:space="preserve">14° ATDC </w:t>
            </w:r>
          </w:p>
        </w:tc>
      </w:tr>
      <w:tr w:rsidR="00BB0009" w:rsidRPr="00B57B36" w14:paraId="3DA08170" w14:textId="77777777" w:rsidTr="000C01DA">
        <w:tc>
          <w:tcPr>
            <w:tcW w:w="2552" w:type="dxa"/>
            <w:shd w:val="clear" w:color="auto" w:fill="FFFFFF"/>
            <w:vAlign w:val="center"/>
          </w:tcPr>
          <w:p w14:paraId="5EF18B57" w14:textId="6D8ECA10" w:rsidR="00BB0009" w:rsidRPr="00BC42BC" w:rsidRDefault="00BB0009" w:rsidP="00BB0009">
            <w:pPr>
              <w:pStyle w:val="CETBodytext"/>
              <w:ind w:right="-1"/>
              <w:rPr>
                <w:rFonts w:cs="Arial"/>
                <w:sz w:val="16"/>
                <w:szCs w:val="16"/>
                <w:lang w:val="en-GB"/>
              </w:rPr>
            </w:pPr>
            <w:r w:rsidRPr="00BC42BC">
              <w:rPr>
                <w:sz w:val="16"/>
                <w:szCs w:val="16"/>
              </w:rPr>
              <w:t>Inlet Valve Open</w:t>
            </w:r>
          </w:p>
        </w:tc>
        <w:tc>
          <w:tcPr>
            <w:tcW w:w="2977" w:type="dxa"/>
            <w:shd w:val="clear" w:color="auto" w:fill="FFFFFF"/>
            <w:vAlign w:val="center"/>
          </w:tcPr>
          <w:p w14:paraId="737B7CD1" w14:textId="54E4B8D7" w:rsidR="00BB0009" w:rsidRPr="00BC42BC" w:rsidRDefault="00BB0009" w:rsidP="00BB0009">
            <w:pPr>
              <w:pStyle w:val="CETBodytext"/>
              <w:ind w:right="-1"/>
              <w:rPr>
                <w:rFonts w:cs="Arial"/>
                <w:sz w:val="16"/>
                <w:szCs w:val="16"/>
                <w:lang w:val="en-GB"/>
              </w:rPr>
            </w:pPr>
            <w:r w:rsidRPr="00BC42BC">
              <w:rPr>
                <w:sz w:val="16"/>
                <w:szCs w:val="16"/>
              </w:rPr>
              <w:t>34</w:t>
            </w:r>
            <w:r w:rsidR="00B437E7" w:rsidRPr="00BC42BC">
              <w:rPr>
                <w:sz w:val="16"/>
                <w:szCs w:val="16"/>
              </w:rPr>
              <w:t>° BTDC</w:t>
            </w:r>
          </w:p>
        </w:tc>
      </w:tr>
      <w:tr w:rsidR="00BB0009" w:rsidRPr="00B57B36" w14:paraId="461C30B3" w14:textId="77777777" w:rsidTr="000C01DA">
        <w:tc>
          <w:tcPr>
            <w:tcW w:w="2552" w:type="dxa"/>
            <w:shd w:val="clear" w:color="auto" w:fill="FFFFFF"/>
            <w:vAlign w:val="center"/>
          </w:tcPr>
          <w:p w14:paraId="51927004" w14:textId="5E7859AA" w:rsidR="00BB0009" w:rsidRPr="00BC42BC" w:rsidRDefault="00BB0009" w:rsidP="00BB0009">
            <w:pPr>
              <w:pStyle w:val="CETBodytext"/>
              <w:ind w:right="-1"/>
              <w:rPr>
                <w:rFonts w:cs="Arial"/>
                <w:sz w:val="16"/>
                <w:szCs w:val="16"/>
                <w:lang w:val="en-GB"/>
              </w:rPr>
            </w:pPr>
            <w:r w:rsidRPr="00BC42BC">
              <w:rPr>
                <w:sz w:val="16"/>
                <w:szCs w:val="16"/>
              </w:rPr>
              <w:t>Inlet Valve Close</w:t>
            </w:r>
          </w:p>
        </w:tc>
        <w:tc>
          <w:tcPr>
            <w:tcW w:w="2977" w:type="dxa"/>
            <w:shd w:val="clear" w:color="auto" w:fill="FFFFFF"/>
            <w:vAlign w:val="center"/>
          </w:tcPr>
          <w:p w14:paraId="79E035F2" w14:textId="62ABB3CF" w:rsidR="00BB0009" w:rsidRPr="00BC42BC" w:rsidRDefault="00BB0009" w:rsidP="00BB0009">
            <w:pPr>
              <w:pStyle w:val="CETBodytext"/>
              <w:ind w:right="-1"/>
              <w:rPr>
                <w:rFonts w:cs="Arial"/>
                <w:sz w:val="16"/>
                <w:szCs w:val="16"/>
                <w:lang w:val="en-GB"/>
              </w:rPr>
            </w:pPr>
            <w:r w:rsidRPr="00BC42BC">
              <w:rPr>
                <w:sz w:val="16"/>
                <w:szCs w:val="16"/>
              </w:rPr>
              <w:t>54</w:t>
            </w:r>
            <w:r w:rsidR="00B437E7" w:rsidRPr="00BC42BC">
              <w:rPr>
                <w:sz w:val="16"/>
                <w:szCs w:val="16"/>
              </w:rPr>
              <w:t>° ATDC</w:t>
            </w:r>
          </w:p>
        </w:tc>
      </w:tr>
    </w:tbl>
    <w:p w14:paraId="1FF7CFC5" w14:textId="00900ED3" w:rsidR="008B7923" w:rsidRDefault="00867065" w:rsidP="00D07D61">
      <w:pPr>
        <w:pStyle w:val="CETCaption"/>
      </w:pPr>
      <w:r w:rsidRPr="00867065">
        <w:rPr>
          <w:noProof/>
          <w:lang w:val="fr-FR" w:eastAsia="fr-FR"/>
        </w:rPr>
        <w:drawing>
          <wp:inline distT="0" distB="0" distL="0" distR="0" wp14:anchorId="63A98694" wp14:editId="5AE0256F">
            <wp:extent cx="5129027" cy="1440000"/>
            <wp:effectExtent l="0" t="0" r="0" b="8255"/>
            <wp:docPr id="26" name="Picture 25">
              <a:extLst xmlns:a="http://schemas.openxmlformats.org/drawingml/2006/main">
                <a:ext uri="{FF2B5EF4-FFF2-40B4-BE49-F238E27FC236}">
                  <a16:creationId xmlns:a16="http://schemas.microsoft.com/office/drawing/2014/main" id="{E4F8CEAA-10C6-9D7E-98F0-089A4BEA9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4F8CEAA-10C6-9D7E-98F0-089A4BEA9418}"/>
                        </a:ext>
                      </a:extLst>
                    </pic:cNvPr>
                    <pic:cNvPicPr>
                      <a:picLocks noChangeAspect="1"/>
                    </pic:cNvPicPr>
                  </pic:nvPicPr>
                  <pic:blipFill>
                    <a:blip r:embed="rId10"/>
                    <a:stretch>
                      <a:fillRect/>
                    </a:stretch>
                  </pic:blipFill>
                  <pic:spPr>
                    <a:xfrm>
                      <a:off x="0" y="0"/>
                      <a:ext cx="5129027" cy="1440000"/>
                    </a:xfrm>
                    <a:prstGeom prst="rect">
                      <a:avLst/>
                    </a:prstGeom>
                  </pic:spPr>
                </pic:pic>
              </a:graphicData>
            </a:graphic>
          </wp:inline>
        </w:drawing>
      </w:r>
    </w:p>
    <w:p w14:paraId="56B7FA5C" w14:textId="41E18895" w:rsidR="00D746E2" w:rsidRDefault="008B7923" w:rsidP="00D07D61">
      <w:pPr>
        <w:pStyle w:val="CETCaption"/>
      </w:pPr>
      <w:r>
        <w:t xml:space="preserve">Figure </w:t>
      </w:r>
      <w:r>
        <w:fldChar w:fldCharType="begin"/>
      </w:r>
      <w:r>
        <w:instrText xml:space="preserve"> SEQ Figure \* ARABIC </w:instrText>
      </w:r>
      <w:r>
        <w:fldChar w:fldCharType="separate"/>
      </w:r>
      <w:r w:rsidR="00330B3A">
        <w:rPr>
          <w:noProof/>
        </w:rPr>
        <w:t>1</w:t>
      </w:r>
      <w:r>
        <w:fldChar w:fldCharType="end"/>
      </w:r>
      <w:r>
        <w:t>: Schematic of the experimental setup</w:t>
      </w:r>
    </w:p>
    <w:p w14:paraId="088CF258" w14:textId="7CE6AEBE" w:rsidR="00D746E2" w:rsidRDefault="00D746E2" w:rsidP="00D746E2">
      <w:pPr>
        <w:pStyle w:val="Paragraphedeliste"/>
        <w:ind w:left="0"/>
      </w:pPr>
      <w:r>
        <w:t xml:space="preserve">          </w:t>
      </w:r>
      <w:r w:rsidRPr="008C5EF1">
        <w:t>The fuel composition is entered in the LabView program by specifying the percentage of each gas. In this study, seven gases are used to create various syngas compositions: CH</w:t>
      </w:r>
      <w:r w:rsidRPr="00D746E2">
        <w:rPr>
          <w:vertAlign w:val="subscript"/>
        </w:rPr>
        <w:t>4</w:t>
      </w:r>
      <w:r w:rsidRPr="008C5EF1">
        <w:t>, C</w:t>
      </w:r>
      <w:r w:rsidRPr="00D746E2">
        <w:rPr>
          <w:vertAlign w:val="subscript"/>
        </w:rPr>
        <w:t>2</w:t>
      </w:r>
      <w:r w:rsidRPr="008C5EF1">
        <w:t>H</w:t>
      </w:r>
      <w:r w:rsidRPr="00D746E2">
        <w:rPr>
          <w:vertAlign w:val="subscript"/>
        </w:rPr>
        <w:t>6</w:t>
      </w:r>
      <w:r w:rsidRPr="008C5EF1">
        <w:t>, C</w:t>
      </w:r>
      <w:r w:rsidRPr="00D746E2">
        <w:rPr>
          <w:vertAlign w:val="subscript"/>
        </w:rPr>
        <w:t>3</w:t>
      </w:r>
      <w:r w:rsidRPr="008C5EF1">
        <w:t>H</w:t>
      </w:r>
      <w:r w:rsidRPr="00D746E2">
        <w:rPr>
          <w:vertAlign w:val="subscript"/>
        </w:rPr>
        <w:t>8</w:t>
      </w:r>
      <w:r w:rsidRPr="008C5EF1">
        <w:t>, C</w:t>
      </w:r>
      <w:r w:rsidRPr="00D746E2">
        <w:rPr>
          <w:vertAlign w:val="subscript"/>
        </w:rPr>
        <w:t>4</w:t>
      </w:r>
      <w:r w:rsidRPr="008C5EF1">
        <w:t>H</w:t>
      </w:r>
      <w:r w:rsidRPr="00D746E2">
        <w:rPr>
          <w:vertAlign w:val="subscript"/>
        </w:rPr>
        <w:t>10</w:t>
      </w:r>
      <w:r w:rsidRPr="008C5EF1">
        <w:t>, CO</w:t>
      </w:r>
      <w:r w:rsidRPr="00D746E2">
        <w:rPr>
          <w:vertAlign w:val="subscript"/>
        </w:rPr>
        <w:t>2</w:t>
      </w:r>
      <w:r w:rsidRPr="008C5EF1">
        <w:t>, H</w:t>
      </w:r>
      <w:r w:rsidRPr="00D746E2">
        <w:rPr>
          <w:vertAlign w:val="subscript"/>
        </w:rPr>
        <w:t>2</w:t>
      </w:r>
      <w:r w:rsidRPr="008C5EF1">
        <w:t xml:space="preserve"> and CO. All gases are supplied from pressurized bottles through successive pressure regulators that are intended to reduce the pressure of each gas from 150 bars in the main tanks to 6 bars in the mixing rail. The intake air flow is measured by a flow meter IN-FLOW F-106AI. It is placed upstream of a buffer capacity for attenuating the pressure oscillations propagating in the intake line. The required gas flow is </w:t>
      </w:r>
      <w:r w:rsidRPr="00435C4C">
        <w:t xml:space="preserve">controlled </w:t>
      </w:r>
      <w:r w:rsidRPr="008C5EF1">
        <w:t>according to a predefined map of equivalence ratio which takes the air flow as an input. The required flow of each gas is then calculated, and delivered to the mixing rail via five Brooks 5850S mass flow controllers with an accuracy of ±0.1% full scale. A mass flow meter EL-FLOW F-112AC placed after the mixing rail is used to measure the produced gas flow.</w:t>
      </w:r>
    </w:p>
    <w:p w14:paraId="18BAFA6F" w14:textId="11078B03" w:rsidR="00453E24" w:rsidRPr="00B57B36" w:rsidRDefault="00D746E2" w:rsidP="00453E24">
      <w:pPr>
        <w:pStyle w:val="CETheadingx"/>
      </w:pPr>
      <w:r>
        <w:t>Syngas used in the experiments</w:t>
      </w:r>
    </w:p>
    <w:p w14:paraId="615BCC83" w14:textId="1F832D09" w:rsidR="0081128C" w:rsidRDefault="00D746E2" w:rsidP="00153B5D">
      <w:pPr>
        <w:pStyle w:val="Paragraphedeliste"/>
        <w:ind w:left="0"/>
      </w:pPr>
      <w:r>
        <w:t xml:space="preserve">          </w:t>
      </w:r>
      <w:r w:rsidRPr="008C5EF1">
        <w:t xml:space="preserve">The </w:t>
      </w:r>
      <w:r w:rsidR="00153B5D" w:rsidRPr="00153B5D">
        <w:t xml:space="preserve">composition of the gases </w:t>
      </w:r>
      <w:r w:rsidR="004F67B7" w:rsidRPr="00153B5D">
        <w:t>is</w:t>
      </w:r>
      <w:r w:rsidR="00153B5D" w:rsidRPr="00153B5D">
        <w:t xml:space="preserve"> taken f</w:t>
      </w:r>
      <w:r w:rsidR="00153B5D">
        <w:t>rom the RDF pyrolysis experiments carried out at lab-scale reactor</w:t>
      </w:r>
      <w:r w:rsidRPr="008C5EF1">
        <w:t xml:space="preserve">. RDF is mostly composed of heavy hydrocarbons. Throughout the pyrolysis process, these hydrocarbons start </w:t>
      </w:r>
      <w:r w:rsidRPr="008C5EF1">
        <w:lastRenderedPageBreak/>
        <w:t>to break down into small chains to form lighter ones and eventually methane. Therefore, RDF based syngas is a methane rich syngas which gives it higher stoichiometric air-fuel ratio and higher calorific value. The remaining non-cracked hydrocarbons are mostly of second order (C</w:t>
      </w:r>
      <w:r w:rsidRPr="00D746E2">
        <w:rPr>
          <w:vertAlign w:val="subscript"/>
        </w:rPr>
        <w:t>2</w:t>
      </w:r>
      <w:r w:rsidRPr="008C5EF1">
        <w:t>H</w:t>
      </w:r>
      <w:r w:rsidRPr="00D746E2">
        <w:rPr>
          <w:vertAlign w:val="subscript"/>
        </w:rPr>
        <w:t>4</w:t>
      </w:r>
      <w:r w:rsidRPr="008C5EF1">
        <w:t xml:space="preserve"> and C</w:t>
      </w:r>
      <w:r w:rsidRPr="00D746E2">
        <w:rPr>
          <w:vertAlign w:val="subscript"/>
        </w:rPr>
        <w:t>2</w:t>
      </w:r>
      <w:r w:rsidRPr="008C5EF1">
        <w:t>H</w:t>
      </w:r>
      <w:r w:rsidRPr="00D746E2">
        <w:rPr>
          <w:vertAlign w:val="subscript"/>
        </w:rPr>
        <w:t>6</w:t>
      </w:r>
      <w:r w:rsidRPr="008C5EF1">
        <w:t xml:space="preserve">), and then third and fourth order hydrocarbons depending on the residence time and the temperature involved. Most of the times only methane is produced with a negligible percentage of higher order hydrocarbons. Table </w:t>
      </w:r>
      <w:r>
        <w:t>2</w:t>
      </w:r>
      <w:r w:rsidRPr="008C5EF1">
        <w:t xml:space="preserve"> and </w:t>
      </w:r>
      <w:r>
        <w:t>3</w:t>
      </w:r>
      <w:r w:rsidRPr="008C5EF1">
        <w:t xml:space="preserve"> shows the compositions and characteristics of the used syngas respectively</w:t>
      </w:r>
      <w:r>
        <w:t>:</w:t>
      </w:r>
    </w:p>
    <w:p w14:paraId="19C1BA20" w14:textId="4B3FDD41" w:rsidR="0081128C" w:rsidRDefault="0081128C" w:rsidP="00D07D61">
      <w:pPr>
        <w:pStyle w:val="CETTabletitle"/>
      </w:pPr>
      <w:r>
        <w:t xml:space="preserve">Table </w:t>
      </w:r>
      <w:r>
        <w:fldChar w:fldCharType="begin"/>
      </w:r>
      <w:r>
        <w:instrText xml:space="preserve"> SEQ Table \* ARABIC </w:instrText>
      </w:r>
      <w:r>
        <w:fldChar w:fldCharType="separate"/>
      </w:r>
      <w:r>
        <w:rPr>
          <w:noProof/>
        </w:rPr>
        <w:t>2</w:t>
      </w:r>
      <w:r>
        <w:fldChar w:fldCharType="end"/>
      </w:r>
      <w:r>
        <w:t xml:space="preserve"> </w:t>
      </w:r>
      <w:r w:rsidRPr="00DF51C5">
        <w:t>Compositions of the used syngas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709"/>
        <w:gridCol w:w="709"/>
        <w:gridCol w:w="708"/>
        <w:gridCol w:w="709"/>
        <w:gridCol w:w="709"/>
      </w:tblGrid>
      <w:tr w:rsidR="0081128C" w:rsidRPr="00B57B36" w14:paraId="4AE92AB2" w14:textId="77777777" w:rsidTr="00E42980">
        <w:tc>
          <w:tcPr>
            <w:tcW w:w="1276" w:type="dxa"/>
            <w:tcBorders>
              <w:top w:val="single" w:sz="12" w:space="0" w:color="008000"/>
              <w:bottom w:val="single" w:sz="6" w:space="0" w:color="008000"/>
            </w:tcBorders>
            <w:shd w:val="clear" w:color="auto" w:fill="FFFFFF"/>
            <w:vAlign w:val="center"/>
          </w:tcPr>
          <w:p w14:paraId="380E0CC1" w14:textId="77777777" w:rsidR="0081128C" w:rsidRPr="00B57B36" w:rsidRDefault="0081128C" w:rsidP="00040A0B">
            <w:pPr>
              <w:pStyle w:val="CETBodytext"/>
              <w:rPr>
                <w:lang w:val="en-GB"/>
              </w:rPr>
            </w:pPr>
            <w:r w:rsidRPr="00BC043D">
              <w:rPr>
                <w:b/>
                <w:bCs/>
              </w:rPr>
              <w:t>Gas</w:t>
            </w:r>
          </w:p>
        </w:tc>
        <w:tc>
          <w:tcPr>
            <w:tcW w:w="709" w:type="dxa"/>
            <w:tcBorders>
              <w:top w:val="single" w:sz="12" w:space="0" w:color="008000"/>
              <w:bottom w:val="single" w:sz="6" w:space="0" w:color="008000"/>
            </w:tcBorders>
            <w:shd w:val="clear" w:color="auto" w:fill="FFFFFF"/>
            <w:vAlign w:val="center"/>
          </w:tcPr>
          <w:p w14:paraId="0E0C2B9F" w14:textId="77777777" w:rsidR="0081128C" w:rsidRPr="00BB0009" w:rsidRDefault="0081128C" w:rsidP="00E42980">
            <w:pPr>
              <w:jc w:val="center"/>
              <w:rPr>
                <w:sz w:val="16"/>
              </w:rPr>
            </w:pPr>
            <w:r w:rsidRPr="00BC043D">
              <w:rPr>
                <w:b/>
                <w:bCs/>
              </w:rPr>
              <w:t>SG1</w:t>
            </w:r>
          </w:p>
        </w:tc>
        <w:tc>
          <w:tcPr>
            <w:tcW w:w="709" w:type="dxa"/>
            <w:tcBorders>
              <w:top w:val="single" w:sz="12" w:space="0" w:color="008000"/>
              <w:bottom w:val="single" w:sz="6" w:space="0" w:color="008000"/>
            </w:tcBorders>
            <w:shd w:val="clear" w:color="auto" w:fill="FFFFFF"/>
            <w:vAlign w:val="center"/>
          </w:tcPr>
          <w:p w14:paraId="03F22EA2" w14:textId="77777777" w:rsidR="0081128C" w:rsidRDefault="0081128C" w:rsidP="00E42980">
            <w:pPr>
              <w:jc w:val="center"/>
              <w:rPr>
                <w:sz w:val="16"/>
              </w:rPr>
            </w:pPr>
            <w:r w:rsidRPr="00BC043D">
              <w:rPr>
                <w:b/>
                <w:bCs/>
              </w:rPr>
              <w:t>SG2</w:t>
            </w:r>
          </w:p>
        </w:tc>
        <w:tc>
          <w:tcPr>
            <w:tcW w:w="708" w:type="dxa"/>
            <w:tcBorders>
              <w:top w:val="single" w:sz="12" w:space="0" w:color="008000"/>
              <w:bottom w:val="single" w:sz="6" w:space="0" w:color="008000"/>
            </w:tcBorders>
            <w:shd w:val="clear" w:color="auto" w:fill="FFFFFF"/>
            <w:vAlign w:val="center"/>
          </w:tcPr>
          <w:p w14:paraId="7CF3B558" w14:textId="77777777" w:rsidR="0081128C" w:rsidRDefault="0081128C" w:rsidP="00E42980">
            <w:pPr>
              <w:jc w:val="center"/>
              <w:rPr>
                <w:sz w:val="16"/>
              </w:rPr>
            </w:pPr>
            <w:r w:rsidRPr="00BC043D">
              <w:rPr>
                <w:b/>
                <w:bCs/>
              </w:rPr>
              <w:t>SG3</w:t>
            </w:r>
          </w:p>
        </w:tc>
        <w:tc>
          <w:tcPr>
            <w:tcW w:w="709" w:type="dxa"/>
            <w:tcBorders>
              <w:top w:val="single" w:sz="12" w:space="0" w:color="008000"/>
              <w:bottom w:val="single" w:sz="6" w:space="0" w:color="008000"/>
            </w:tcBorders>
            <w:shd w:val="clear" w:color="auto" w:fill="FFFFFF"/>
            <w:vAlign w:val="center"/>
          </w:tcPr>
          <w:p w14:paraId="2C80EF86" w14:textId="77777777" w:rsidR="0081128C" w:rsidRDefault="0081128C" w:rsidP="00E42980">
            <w:pPr>
              <w:jc w:val="center"/>
              <w:rPr>
                <w:sz w:val="16"/>
              </w:rPr>
            </w:pPr>
            <w:r w:rsidRPr="00BC043D">
              <w:rPr>
                <w:b/>
                <w:bCs/>
              </w:rPr>
              <w:t>SG4</w:t>
            </w:r>
          </w:p>
        </w:tc>
        <w:tc>
          <w:tcPr>
            <w:tcW w:w="709" w:type="dxa"/>
            <w:tcBorders>
              <w:top w:val="single" w:sz="12" w:space="0" w:color="008000"/>
              <w:bottom w:val="single" w:sz="6" w:space="0" w:color="008000"/>
            </w:tcBorders>
            <w:shd w:val="clear" w:color="auto" w:fill="FFFFFF"/>
            <w:vAlign w:val="center"/>
          </w:tcPr>
          <w:p w14:paraId="6971B993" w14:textId="77777777" w:rsidR="0081128C" w:rsidRDefault="0081128C" w:rsidP="00E42980">
            <w:pPr>
              <w:jc w:val="center"/>
              <w:rPr>
                <w:sz w:val="16"/>
              </w:rPr>
            </w:pPr>
            <w:r w:rsidRPr="00BC043D">
              <w:rPr>
                <w:b/>
                <w:bCs/>
              </w:rPr>
              <w:t>CH</w:t>
            </w:r>
            <w:r w:rsidRPr="00BC043D">
              <w:rPr>
                <w:b/>
                <w:bCs/>
                <w:vertAlign w:val="subscript"/>
              </w:rPr>
              <w:t>4</w:t>
            </w:r>
          </w:p>
        </w:tc>
      </w:tr>
      <w:tr w:rsidR="0081128C" w:rsidRPr="00B57B36" w14:paraId="12E5393D" w14:textId="77777777" w:rsidTr="00E42980">
        <w:tc>
          <w:tcPr>
            <w:tcW w:w="1276" w:type="dxa"/>
            <w:shd w:val="clear" w:color="auto" w:fill="FFFFFF"/>
            <w:vAlign w:val="center"/>
          </w:tcPr>
          <w:p w14:paraId="6E17D6E3" w14:textId="77777777" w:rsidR="0081128C" w:rsidRPr="00B57B36" w:rsidRDefault="0081128C" w:rsidP="00040A0B">
            <w:pPr>
              <w:pStyle w:val="CETBodytext"/>
              <w:rPr>
                <w:lang w:val="en-GB"/>
              </w:rPr>
            </w:pPr>
            <w:r w:rsidRPr="00BC043D">
              <w:rPr>
                <w:sz w:val="16"/>
              </w:rPr>
              <w:t>CH</w:t>
            </w:r>
            <w:r w:rsidRPr="00BC043D">
              <w:rPr>
                <w:sz w:val="16"/>
                <w:vertAlign w:val="subscript"/>
              </w:rPr>
              <w:t>4</w:t>
            </w:r>
            <w:r w:rsidRPr="00BC043D">
              <w:rPr>
                <w:sz w:val="16"/>
              </w:rPr>
              <w:t xml:space="preserve"> (%)</w:t>
            </w:r>
          </w:p>
        </w:tc>
        <w:tc>
          <w:tcPr>
            <w:tcW w:w="709" w:type="dxa"/>
            <w:shd w:val="clear" w:color="auto" w:fill="FFFFFF"/>
            <w:vAlign w:val="center"/>
          </w:tcPr>
          <w:p w14:paraId="239BB5B5" w14:textId="77777777" w:rsidR="0081128C" w:rsidRPr="00B57B36" w:rsidRDefault="0081128C" w:rsidP="00E42980">
            <w:pPr>
              <w:pStyle w:val="CETBodytext"/>
              <w:jc w:val="center"/>
              <w:rPr>
                <w:lang w:val="en-GB"/>
              </w:rPr>
            </w:pPr>
            <w:r w:rsidRPr="00BC043D">
              <w:rPr>
                <w:sz w:val="16"/>
              </w:rPr>
              <w:t>48.84</w:t>
            </w:r>
          </w:p>
        </w:tc>
        <w:tc>
          <w:tcPr>
            <w:tcW w:w="709" w:type="dxa"/>
            <w:shd w:val="clear" w:color="auto" w:fill="FFFFFF"/>
            <w:vAlign w:val="center"/>
          </w:tcPr>
          <w:p w14:paraId="2796A251" w14:textId="77777777" w:rsidR="0081128C" w:rsidRPr="00BC043D" w:rsidRDefault="0081128C" w:rsidP="00E42980">
            <w:pPr>
              <w:pStyle w:val="CETBodytext"/>
              <w:jc w:val="center"/>
              <w:rPr>
                <w:sz w:val="16"/>
              </w:rPr>
            </w:pPr>
            <w:r w:rsidRPr="00BC043D">
              <w:rPr>
                <w:sz w:val="16"/>
              </w:rPr>
              <w:t>54.70</w:t>
            </w:r>
          </w:p>
        </w:tc>
        <w:tc>
          <w:tcPr>
            <w:tcW w:w="708" w:type="dxa"/>
            <w:shd w:val="clear" w:color="auto" w:fill="FFFFFF"/>
            <w:vAlign w:val="center"/>
          </w:tcPr>
          <w:p w14:paraId="58DDD4CA" w14:textId="77777777" w:rsidR="0081128C" w:rsidRPr="00BC043D" w:rsidRDefault="0081128C" w:rsidP="00E42980">
            <w:pPr>
              <w:pStyle w:val="CETBodytext"/>
              <w:jc w:val="center"/>
              <w:rPr>
                <w:sz w:val="16"/>
              </w:rPr>
            </w:pPr>
            <w:r w:rsidRPr="00BC043D">
              <w:rPr>
                <w:sz w:val="16"/>
              </w:rPr>
              <w:t>24.12</w:t>
            </w:r>
          </w:p>
        </w:tc>
        <w:tc>
          <w:tcPr>
            <w:tcW w:w="709" w:type="dxa"/>
            <w:shd w:val="clear" w:color="auto" w:fill="FFFFFF"/>
            <w:vAlign w:val="center"/>
          </w:tcPr>
          <w:p w14:paraId="513941A4" w14:textId="77777777" w:rsidR="0081128C" w:rsidRPr="00BC043D" w:rsidRDefault="0081128C" w:rsidP="00E42980">
            <w:pPr>
              <w:pStyle w:val="CETBodytext"/>
              <w:jc w:val="center"/>
              <w:rPr>
                <w:sz w:val="16"/>
              </w:rPr>
            </w:pPr>
            <w:r w:rsidRPr="00BC043D">
              <w:rPr>
                <w:sz w:val="16"/>
              </w:rPr>
              <w:t>50</w:t>
            </w:r>
          </w:p>
        </w:tc>
        <w:tc>
          <w:tcPr>
            <w:tcW w:w="709" w:type="dxa"/>
            <w:shd w:val="clear" w:color="auto" w:fill="FFFFFF"/>
            <w:vAlign w:val="center"/>
          </w:tcPr>
          <w:p w14:paraId="1C981EE0" w14:textId="77777777" w:rsidR="0081128C" w:rsidRPr="00BC043D" w:rsidRDefault="0081128C" w:rsidP="00E42980">
            <w:pPr>
              <w:pStyle w:val="CETBodytext"/>
              <w:jc w:val="center"/>
              <w:rPr>
                <w:sz w:val="16"/>
              </w:rPr>
            </w:pPr>
            <w:r w:rsidRPr="00BC043D">
              <w:rPr>
                <w:sz w:val="16"/>
              </w:rPr>
              <w:t>100</w:t>
            </w:r>
          </w:p>
        </w:tc>
      </w:tr>
      <w:tr w:rsidR="0081128C" w:rsidRPr="00B57B36" w14:paraId="485B5FC4" w14:textId="77777777" w:rsidTr="00E42980">
        <w:tc>
          <w:tcPr>
            <w:tcW w:w="1276" w:type="dxa"/>
            <w:shd w:val="clear" w:color="auto" w:fill="FFFFFF"/>
            <w:vAlign w:val="center"/>
          </w:tcPr>
          <w:p w14:paraId="7ED1A608" w14:textId="77777777" w:rsidR="0081128C" w:rsidRPr="00B57B36" w:rsidRDefault="0081128C" w:rsidP="00040A0B">
            <w:pPr>
              <w:pStyle w:val="CETBodytext"/>
              <w:ind w:right="-1"/>
              <w:rPr>
                <w:rFonts w:cs="Arial"/>
                <w:szCs w:val="18"/>
                <w:lang w:val="en-GB"/>
              </w:rPr>
            </w:pPr>
            <w:r w:rsidRPr="00BC043D">
              <w:rPr>
                <w:sz w:val="16"/>
              </w:rPr>
              <w:t>CO (%)</w:t>
            </w:r>
          </w:p>
        </w:tc>
        <w:tc>
          <w:tcPr>
            <w:tcW w:w="709" w:type="dxa"/>
            <w:shd w:val="clear" w:color="auto" w:fill="FFFFFF"/>
            <w:vAlign w:val="center"/>
          </w:tcPr>
          <w:p w14:paraId="4BDB8F0B" w14:textId="77777777" w:rsidR="0081128C" w:rsidRPr="00B57B36" w:rsidRDefault="0081128C" w:rsidP="00E42980">
            <w:pPr>
              <w:pStyle w:val="CETBodytext"/>
              <w:ind w:right="-1"/>
              <w:jc w:val="center"/>
              <w:rPr>
                <w:rFonts w:cs="Arial"/>
                <w:szCs w:val="18"/>
                <w:lang w:val="en-GB"/>
              </w:rPr>
            </w:pPr>
            <w:r w:rsidRPr="00BC043D">
              <w:rPr>
                <w:sz w:val="16"/>
              </w:rPr>
              <w:t>23.38</w:t>
            </w:r>
          </w:p>
        </w:tc>
        <w:tc>
          <w:tcPr>
            <w:tcW w:w="709" w:type="dxa"/>
            <w:shd w:val="clear" w:color="auto" w:fill="FFFFFF"/>
            <w:vAlign w:val="center"/>
          </w:tcPr>
          <w:p w14:paraId="410B88DD" w14:textId="77777777" w:rsidR="0081128C" w:rsidRPr="00BC043D" w:rsidRDefault="0081128C" w:rsidP="00E42980">
            <w:pPr>
              <w:pStyle w:val="CETBodytext"/>
              <w:ind w:right="-1"/>
              <w:jc w:val="center"/>
              <w:rPr>
                <w:lang w:val="fr-FR"/>
              </w:rPr>
            </w:pPr>
            <w:r w:rsidRPr="00BC043D">
              <w:rPr>
                <w:sz w:val="16"/>
              </w:rPr>
              <w:t>19.06</w:t>
            </w:r>
          </w:p>
        </w:tc>
        <w:tc>
          <w:tcPr>
            <w:tcW w:w="708" w:type="dxa"/>
            <w:shd w:val="clear" w:color="auto" w:fill="FFFFFF"/>
            <w:vAlign w:val="center"/>
          </w:tcPr>
          <w:p w14:paraId="728E6764" w14:textId="77777777" w:rsidR="0081128C" w:rsidRPr="00BC043D" w:rsidRDefault="0081128C" w:rsidP="00E42980">
            <w:pPr>
              <w:pStyle w:val="CETBodytext"/>
              <w:ind w:right="-1"/>
              <w:jc w:val="center"/>
              <w:rPr>
                <w:lang w:val="fr-FR"/>
              </w:rPr>
            </w:pPr>
            <w:r w:rsidRPr="00BC043D">
              <w:rPr>
                <w:sz w:val="16"/>
              </w:rPr>
              <w:t>19.32</w:t>
            </w:r>
          </w:p>
        </w:tc>
        <w:tc>
          <w:tcPr>
            <w:tcW w:w="709" w:type="dxa"/>
            <w:shd w:val="clear" w:color="auto" w:fill="FFFFFF"/>
            <w:vAlign w:val="center"/>
          </w:tcPr>
          <w:p w14:paraId="5C2150C0" w14:textId="77777777" w:rsidR="0081128C" w:rsidRPr="00BC043D" w:rsidRDefault="0081128C" w:rsidP="00E42980">
            <w:pPr>
              <w:pStyle w:val="CETBodytext"/>
              <w:ind w:right="-1"/>
              <w:jc w:val="center"/>
              <w:rPr>
                <w:lang w:val="fr-FR"/>
              </w:rPr>
            </w:pPr>
            <w:r w:rsidRPr="00BC043D">
              <w:rPr>
                <w:sz w:val="16"/>
              </w:rPr>
              <w:t>23</w:t>
            </w:r>
          </w:p>
        </w:tc>
        <w:tc>
          <w:tcPr>
            <w:tcW w:w="709" w:type="dxa"/>
            <w:shd w:val="clear" w:color="auto" w:fill="FFFFFF"/>
            <w:vAlign w:val="center"/>
          </w:tcPr>
          <w:p w14:paraId="0523C579" w14:textId="77777777" w:rsidR="0081128C" w:rsidRPr="00BC043D" w:rsidRDefault="0081128C" w:rsidP="00E42980">
            <w:pPr>
              <w:pStyle w:val="CETBodytext"/>
              <w:ind w:right="-1"/>
              <w:jc w:val="center"/>
              <w:rPr>
                <w:lang w:val="fr-FR"/>
              </w:rPr>
            </w:pPr>
            <w:r w:rsidRPr="00BC043D">
              <w:rPr>
                <w:sz w:val="16"/>
              </w:rPr>
              <w:t>0</w:t>
            </w:r>
          </w:p>
        </w:tc>
      </w:tr>
      <w:tr w:rsidR="0081128C" w:rsidRPr="00B57B36" w14:paraId="6418B75A" w14:textId="77777777" w:rsidTr="00E42980">
        <w:tc>
          <w:tcPr>
            <w:tcW w:w="1276" w:type="dxa"/>
            <w:shd w:val="clear" w:color="auto" w:fill="FFFFFF"/>
            <w:vAlign w:val="center"/>
          </w:tcPr>
          <w:p w14:paraId="7475AD81" w14:textId="77777777" w:rsidR="0081128C" w:rsidRPr="00B57B36" w:rsidRDefault="0081128C" w:rsidP="00040A0B">
            <w:pPr>
              <w:pStyle w:val="CETBodytext"/>
              <w:ind w:right="-1"/>
              <w:rPr>
                <w:rFonts w:cs="Arial"/>
                <w:szCs w:val="18"/>
                <w:lang w:val="en-GB"/>
              </w:rPr>
            </w:pPr>
            <w:r w:rsidRPr="00BC043D">
              <w:rPr>
                <w:sz w:val="16"/>
              </w:rPr>
              <w:t>CO</w:t>
            </w:r>
            <w:r w:rsidRPr="00BC043D">
              <w:rPr>
                <w:sz w:val="16"/>
                <w:vertAlign w:val="subscript"/>
              </w:rPr>
              <w:t>2</w:t>
            </w:r>
            <w:r w:rsidRPr="00BC043D">
              <w:rPr>
                <w:sz w:val="16"/>
              </w:rPr>
              <w:t xml:space="preserve"> (%)</w:t>
            </w:r>
          </w:p>
        </w:tc>
        <w:tc>
          <w:tcPr>
            <w:tcW w:w="709" w:type="dxa"/>
            <w:shd w:val="clear" w:color="auto" w:fill="FFFFFF"/>
            <w:vAlign w:val="center"/>
          </w:tcPr>
          <w:p w14:paraId="618E1CC1" w14:textId="77777777" w:rsidR="0081128C" w:rsidRPr="00B57B36" w:rsidRDefault="0081128C" w:rsidP="00E42980">
            <w:pPr>
              <w:pStyle w:val="CETBodytext"/>
              <w:ind w:right="-1"/>
              <w:jc w:val="center"/>
              <w:rPr>
                <w:rFonts w:cs="Arial"/>
                <w:szCs w:val="18"/>
                <w:lang w:val="en-GB"/>
              </w:rPr>
            </w:pPr>
            <w:r w:rsidRPr="00BC043D">
              <w:rPr>
                <w:sz w:val="16"/>
              </w:rPr>
              <w:t>13.49</w:t>
            </w:r>
          </w:p>
        </w:tc>
        <w:tc>
          <w:tcPr>
            <w:tcW w:w="709" w:type="dxa"/>
            <w:shd w:val="clear" w:color="auto" w:fill="FFFFFF"/>
            <w:vAlign w:val="center"/>
          </w:tcPr>
          <w:p w14:paraId="23F211B9" w14:textId="77777777" w:rsidR="0081128C" w:rsidRDefault="0081128C" w:rsidP="00E42980">
            <w:pPr>
              <w:pStyle w:val="CETBodytext"/>
              <w:ind w:right="-1"/>
              <w:jc w:val="center"/>
            </w:pPr>
            <w:r w:rsidRPr="00BC043D">
              <w:rPr>
                <w:sz w:val="16"/>
              </w:rPr>
              <w:t>12.71</w:t>
            </w:r>
          </w:p>
        </w:tc>
        <w:tc>
          <w:tcPr>
            <w:tcW w:w="708" w:type="dxa"/>
            <w:shd w:val="clear" w:color="auto" w:fill="FFFFFF"/>
            <w:vAlign w:val="center"/>
          </w:tcPr>
          <w:p w14:paraId="189EB87B" w14:textId="77777777" w:rsidR="0081128C" w:rsidRDefault="0081128C" w:rsidP="00E42980">
            <w:pPr>
              <w:pStyle w:val="CETBodytext"/>
              <w:ind w:right="-1"/>
              <w:jc w:val="center"/>
            </w:pPr>
            <w:r w:rsidRPr="00BC043D">
              <w:rPr>
                <w:sz w:val="16"/>
              </w:rPr>
              <w:t>14.19</w:t>
            </w:r>
          </w:p>
        </w:tc>
        <w:tc>
          <w:tcPr>
            <w:tcW w:w="709" w:type="dxa"/>
            <w:shd w:val="clear" w:color="auto" w:fill="FFFFFF"/>
            <w:vAlign w:val="center"/>
          </w:tcPr>
          <w:p w14:paraId="1C180B18" w14:textId="77777777" w:rsidR="0081128C" w:rsidRDefault="0081128C" w:rsidP="00E42980">
            <w:pPr>
              <w:pStyle w:val="CETBodytext"/>
              <w:ind w:right="-1"/>
              <w:jc w:val="center"/>
            </w:pPr>
            <w:r w:rsidRPr="00BC043D">
              <w:rPr>
                <w:sz w:val="16"/>
              </w:rPr>
              <w:t>7</w:t>
            </w:r>
          </w:p>
        </w:tc>
        <w:tc>
          <w:tcPr>
            <w:tcW w:w="709" w:type="dxa"/>
            <w:shd w:val="clear" w:color="auto" w:fill="FFFFFF"/>
            <w:vAlign w:val="center"/>
          </w:tcPr>
          <w:p w14:paraId="616E6B56" w14:textId="77777777" w:rsidR="0081128C" w:rsidRDefault="0081128C" w:rsidP="00E42980">
            <w:pPr>
              <w:pStyle w:val="CETBodytext"/>
              <w:ind w:right="-1"/>
              <w:jc w:val="center"/>
            </w:pPr>
            <w:r w:rsidRPr="00BC043D">
              <w:rPr>
                <w:sz w:val="16"/>
              </w:rPr>
              <w:t>0</w:t>
            </w:r>
          </w:p>
        </w:tc>
      </w:tr>
      <w:tr w:rsidR="0081128C" w:rsidRPr="00B57B36" w14:paraId="49E95636" w14:textId="77777777" w:rsidTr="00E42980">
        <w:tc>
          <w:tcPr>
            <w:tcW w:w="1276" w:type="dxa"/>
            <w:shd w:val="clear" w:color="auto" w:fill="FFFFFF"/>
            <w:vAlign w:val="center"/>
          </w:tcPr>
          <w:p w14:paraId="233EF43A" w14:textId="77777777" w:rsidR="0081128C" w:rsidRPr="00B57B36" w:rsidRDefault="0081128C" w:rsidP="00040A0B">
            <w:pPr>
              <w:pStyle w:val="CETBodytext"/>
              <w:ind w:right="-1"/>
              <w:rPr>
                <w:rFonts w:cs="Arial"/>
                <w:szCs w:val="18"/>
                <w:lang w:val="en-GB"/>
              </w:rPr>
            </w:pPr>
            <w:r w:rsidRPr="00BC043D">
              <w:rPr>
                <w:sz w:val="16"/>
              </w:rPr>
              <w:t>H</w:t>
            </w:r>
            <w:r w:rsidRPr="00BC043D">
              <w:rPr>
                <w:sz w:val="16"/>
                <w:vertAlign w:val="subscript"/>
              </w:rPr>
              <w:t>2</w:t>
            </w:r>
            <w:r w:rsidRPr="00BC043D">
              <w:rPr>
                <w:sz w:val="16"/>
              </w:rPr>
              <w:t xml:space="preserve"> (%)</w:t>
            </w:r>
          </w:p>
        </w:tc>
        <w:tc>
          <w:tcPr>
            <w:tcW w:w="709" w:type="dxa"/>
            <w:shd w:val="clear" w:color="auto" w:fill="FFFFFF"/>
            <w:vAlign w:val="center"/>
          </w:tcPr>
          <w:p w14:paraId="412C2A90" w14:textId="77777777" w:rsidR="0081128C" w:rsidRPr="00B57B36" w:rsidRDefault="0081128C" w:rsidP="00E42980">
            <w:pPr>
              <w:pStyle w:val="CETBodytext"/>
              <w:ind w:right="-1"/>
              <w:jc w:val="center"/>
              <w:rPr>
                <w:rFonts w:cs="Arial"/>
                <w:szCs w:val="18"/>
                <w:lang w:val="en-GB"/>
              </w:rPr>
            </w:pPr>
            <w:r w:rsidRPr="00BC043D">
              <w:rPr>
                <w:sz w:val="16"/>
              </w:rPr>
              <w:t>12.71</w:t>
            </w:r>
          </w:p>
        </w:tc>
        <w:tc>
          <w:tcPr>
            <w:tcW w:w="709" w:type="dxa"/>
            <w:shd w:val="clear" w:color="auto" w:fill="FFFFFF"/>
            <w:vAlign w:val="center"/>
          </w:tcPr>
          <w:p w14:paraId="5669B9D1" w14:textId="77777777" w:rsidR="0081128C" w:rsidRPr="00BC043D" w:rsidRDefault="0081128C" w:rsidP="00E42980">
            <w:pPr>
              <w:pStyle w:val="CETBodytext"/>
              <w:ind w:right="-1"/>
              <w:jc w:val="center"/>
              <w:rPr>
                <w:sz w:val="16"/>
              </w:rPr>
            </w:pPr>
            <w:r w:rsidRPr="00BC043D">
              <w:rPr>
                <w:sz w:val="16"/>
              </w:rPr>
              <w:t>8.53</w:t>
            </w:r>
          </w:p>
        </w:tc>
        <w:tc>
          <w:tcPr>
            <w:tcW w:w="708" w:type="dxa"/>
            <w:shd w:val="clear" w:color="auto" w:fill="FFFFFF"/>
            <w:vAlign w:val="center"/>
          </w:tcPr>
          <w:p w14:paraId="310A6928" w14:textId="77777777" w:rsidR="0081128C" w:rsidRPr="00BC043D" w:rsidRDefault="0081128C" w:rsidP="00E42980">
            <w:pPr>
              <w:pStyle w:val="CETBodytext"/>
              <w:ind w:right="-1"/>
              <w:jc w:val="center"/>
              <w:rPr>
                <w:sz w:val="16"/>
              </w:rPr>
            </w:pPr>
            <w:r w:rsidRPr="00BC043D">
              <w:rPr>
                <w:sz w:val="16"/>
              </w:rPr>
              <w:t>14.76</w:t>
            </w:r>
          </w:p>
        </w:tc>
        <w:tc>
          <w:tcPr>
            <w:tcW w:w="709" w:type="dxa"/>
            <w:shd w:val="clear" w:color="auto" w:fill="FFFFFF"/>
            <w:vAlign w:val="center"/>
          </w:tcPr>
          <w:p w14:paraId="77710263" w14:textId="77777777" w:rsidR="0081128C" w:rsidRPr="00BC043D" w:rsidRDefault="0081128C" w:rsidP="00E42980">
            <w:pPr>
              <w:pStyle w:val="CETBodytext"/>
              <w:ind w:right="-1"/>
              <w:jc w:val="center"/>
              <w:rPr>
                <w:sz w:val="16"/>
              </w:rPr>
            </w:pPr>
            <w:r w:rsidRPr="00BC043D">
              <w:rPr>
                <w:sz w:val="16"/>
              </w:rPr>
              <w:t>20</w:t>
            </w:r>
          </w:p>
        </w:tc>
        <w:tc>
          <w:tcPr>
            <w:tcW w:w="709" w:type="dxa"/>
            <w:shd w:val="clear" w:color="auto" w:fill="FFFFFF"/>
            <w:vAlign w:val="center"/>
          </w:tcPr>
          <w:p w14:paraId="45758E85" w14:textId="77777777" w:rsidR="0081128C" w:rsidRPr="00BC043D" w:rsidRDefault="0081128C" w:rsidP="00E42980">
            <w:pPr>
              <w:pStyle w:val="CETBodytext"/>
              <w:ind w:right="-1"/>
              <w:jc w:val="center"/>
              <w:rPr>
                <w:sz w:val="16"/>
              </w:rPr>
            </w:pPr>
            <w:r w:rsidRPr="00BC043D">
              <w:rPr>
                <w:sz w:val="16"/>
              </w:rPr>
              <w:t>0</w:t>
            </w:r>
          </w:p>
        </w:tc>
      </w:tr>
      <w:tr w:rsidR="0081128C" w:rsidRPr="00B57B36" w14:paraId="55A5A4D6" w14:textId="77777777" w:rsidTr="00E42980">
        <w:tc>
          <w:tcPr>
            <w:tcW w:w="1276" w:type="dxa"/>
            <w:shd w:val="clear" w:color="auto" w:fill="FFFFFF"/>
            <w:vAlign w:val="center"/>
          </w:tcPr>
          <w:p w14:paraId="179D43EA" w14:textId="77777777" w:rsidR="0081128C" w:rsidRPr="00B57B36" w:rsidRDefault="0081128C" w:rsidP="00040A0B">
            <w:pPr>
              <w:pStyle w:val="CETBodytext"/>
              <w:ind w:right="-1"/>
              <w:rPr>
                <w:rFonts w:cs="Arial"/>
                <w:szCs w:val="18"/>
                <w:lang w:val="en-GB"/>
              </w:rPr>
            </w:pPr>
            <w:r w:rsidRPr="00BC043D">
              <w:rPr>
                <w:sz w:val="16"/>
              </w:rPr>
              <w:t>C</w:t>
            </w:r>
            <w:r w:rsidRPr="00BC043D">
              <w:rPr>
                <w:sz w:val="16"/>
                <w:vertAlign w:val="subscript"/>
              </w:rPr>
              <w:t>2</w:t>
            </w:r>
            <w:r w:rsidRPr="00BC043D">
              <w:rPr>
                <w:sz w:val="16"/>
              </w:rPr>
              <w:t>H</w:t>
            </w:r>
            <w:r w:rsidRPr="00BC043D">
              <w:rPr>
                <w:sz w:val="16"/>
                <w:vertAlign w:val="subscript"/>
              </w:rPr>
              <w:t>6</w:t>
            </w:r>
            <w:r w:rsidRPr="00BC043D">
              <w:rPr>
                <w:sz w:val="16"/>
              </w:rPr>
              <w:t xml:space="preserve"> (%)</w:t>
            </w:r>
          </w:p>
        </w:tc>
        <w:tc>
          <w:tcPr>
            <w:tcW w:w="709" w:type="dxa"/>
            <w:shd w:val="clear" w:color="auto" w:fill="FFFFFF"/>
            <w:vAlign w:val="center"/>
          </w:tcPr>
          <w:p w14:paraId="074329E0" w14:textId="77777777" w:rsidR="0081128C" w:rsidRPr="00B57B36" w:rsidRDefault="0081128C" w:rsidP="00E42980">
            <w:pPr>
              <w:pStyle w:val="CETBodytext"/>
              <w:ind w:right="-1"/>
              <w:jc w:val="center"/>
              <w:rPr>
                <w:rFonts w:cs="Arial"/>
                <w:szCs w:val="18"/>
                <w:lang w:val="en-GB"/>
              </w:rPr>
            </w:pPr>
            <w:r w:rsidRPr="00BC043D">
              <w:rPr>
                <w:sz w:val="16"/>
              </w:rPr>
              <w:t>1.58</w:t>
            </w:r>
          </w:p>
        </w:tc>
        <w:tc>
          <w:tcPr>
            <w:tcW w:w="709" w:type="dxa"/>
            <w:shd w:val="clear" w:color="auto" w:fill="FFFFFF"/>
            <w:vAlign w:val="center"/>
          </w:tcPr>
          <w:p w14:paraId="36AA1CE4" w14:textId="77777777" w:rsidR="0081128C" w:rsidRPr="00C625DA" w:rsidRDefault="0081128C" w:rsidP="00E42980">
            <w:pPr>
              <w:pStyle w:val="CETBodytext"/>
              <w:ind w:right="-1"/>
              <w:jc w:val="center"/>
            </w:pPr>
            <w:r w:rsidRPr="00BC043D">
              <w:rPr>
                <w:sz w:val="16"/>
              </w:rPr>
              <w:t>5</w:t>
            </w:r>
          </w:p>
        </w:tc>
        <w:tc>
          <w:tcPr>
            <w:tcW w:w="708" w:type="dxa"/>
            <w:shd w:val="clear" w:color="auto" w:fill="FFFFFF"/>
            <w:vAlign w:val="center"/>
          </w:tcPr>
          <w:p w14:paraId="3723183E" w14:textId="77777777" w:rsidR="0081128C" w:rsidRPr="00C625DA" w:rsidRDefault="0081128C" w:rsidP="00E42980">
            <w:pPr>
              <w:pStyle w:val="CETBodytext"/>
              <w:ind w:right="-1"/>
              <w:jc w:val="center"/>
            </w:pPr>
            <w:r w:rsidRPr="00BC043D">
              <w:rPr>
                <w:sz w:val="16"/>
              </w:rPr>
              <w:t>16.59</w:t>
            </w:r>
          </w:p>
        </w:tc>
        <w:tc>
          <w:tcPr>
            <w:tcW w:w="709" w:type="dxa"/>
            <w:shd w:val="clear" w:color="auto" w:fill="FFFFFF"/>
            <w:vAlign w:val="center"/>
          </w:tcPr>
          <w:p w14:paraId="5865CBF4" w14:textId="77777777" w:rsidR="0081128C" w:rsidRPr="00C625DA" w:rsidRDefault="0081128C" w:rsidP="00E42980">
            <w:pPr>
              <w:pStyle w:val="CETBodytext"/>
              <w:ind w:right="-1"/>
              <w:jc w:val="center"/>
            </w:pPr>
            <w:r w:rsidRPr="00BC043D">
              <w:rPr>
                <w:sz w:val="16"/>
              </w:rPr>
              <w:t>0</w:t>
            </w:r>
          </w:p>
        </w:tc>
        <w:tc>
          <w:tcPr>
            <w:tcW w:w="709" w:type="dxa"/>
            <w:shd w:val="clear" w:color="auto" w:fill="FFFFFF"/>
            <w:vAlign w:val="center"/>
          </w:tcPr>
          <w:p w14:paraId="544E29C7" w14:textId="77777777" w:rsidR="0081128C" w:rsidRPr="00C625DA" w:rsidRDefault="0081128C" w:rsidP="00E42980">
            <w:pPr>
              <w:pStyle w:val="CETBodytext"/>
              <w:ind w:right="-1"/>
              <w:jc w:val="center"/>
            </w:pPr>
            <w:r w:rsidRPr="00BC043D">
              <w:rPr>
                <w:sz w:val="16"/>
              </w:rPr>
              <w:t>0</w:t>
            </w:r>
          </w:p>
        </w:tc>
      </w:tr>
      <w:tr w:rsidR="0081128C" w:rsidRPr="00B57B36" w14:paraId="74F60DC0" w14:textId="77777777" w:rsidTr="00E42980">
        <w:tc>
          <w:tcPr>
            <w:tcW w:w="1276" w:type="dxa"/>
            <w:shd w:val="clear" w:color="auto" w:fill="FFFFFF"/>
            <w:vAlign w:val="center"/>
          </w:tcPr>
          <w:p w14:paraId="4EB19503" w14:textId="77777777" w:rsidR="0081128C" w:rsidRPr="00B57B36" w:rsidRDefault="0081128C" w:rsidP="00040A0B">
            <w:pPr>
              <w:pStyle w:val="CETBodytext"/>
              <w:ind w:right="-1"/>
              <w:rPr>
                <w:rFonts w:cs="Arial"/>
                <w:szCs w:val="18"/>
                <w:lang w:val="en-GB"/>
              </w:rPr>
            </w:pPr>
            <w:r w:rsidRPr="00BC043D">
              <w:rPr>
                <w:sz w:val="16"/>
              </w:rPr>
              <w:t>C</w:t>
            </w:r>
            <w:r w:rsidRPr="00BC043D">
              <w:rPr>
                <w:sz w:val="16"/>
                <w:vertAlign w:val="subscript"/>
              </w:rPr>
              <w:t>3</w:t>
            </w:r>
            <w:r w:rsidRPr="00BC043D">
              <w:rPr>
                <w:sz w:val="16"/>
              </w:rPr>
              <w:t>H</w:t>
            </w:r>
            <w:r w:rsidRPr="00BC043D">
              <w:rPr>
                <w:sz w:val="16"/>
                <w:vertAlign w:val="subscript"/>
              </w:rPr>
              <w:t>8</w:t>
            </w:r>
            <w:r w:rsidRPr="00BC043D">
              <w:rPr>
                <w:sz w:val="16"/>
              </w:rPr>
              <w:t xml:space="preserve"> (%)</w:t>
            </w:r>
          </w:p>
        </w:tc>
        <w:tc>
          <w:tcPr>
            <w:tcW w:w="709" w:type="dxa"/>
            <w:shd w:val="clear" w:color="auto" w:fill="FFFFFF"/>
            <w:vAlign w:val="center"/>
          </w:tcPr>
          <w:p w14:paraId="0DAE63D1" w14:textId="77777777" w:rsidR="0081128C" w:rsidRPr="00B57B36" w:rsidRDefault="0081128C" w:rsidP="00E42980">
            <w:pPr>
              <w:pStyle w:val="CETBodytext"/>
              <w:ind w:right="-1"/>
              <w:jc w:val="center"/>
              <w:rPr>
                <w:rFonts w:cs="Arial"/>
                <w:szCs w:val="18"/>
                <w:lang w:val="en-GB"/>
              </w:rPr>
            </w:pPr>
            <w:r w:rsidRPr="00BC043D">
              <w:rPr>
                <w:sz w:val="16"/>
              </w:rPr>
              <w:t>0</w:t>
            </w:r>
          </w:p>
        </w:tc>
        <w:tc>
          <w:tcPr>
            <w:tcW w:w="709" w:type="dxa"/>
            <w:shd w:val="clear" w:color="auto" w:fill="FFFFFF"/>
            <w:vAlign w:val="center"/>
          </w:tcPr>
          <w:p w14:paraId="76380697" w14:textId="77777777" w:rsidR="0081128C" w:rsidRDefault="0081128C" w:rsidP="00E42980">
            <w:pPr>
              <w:pStyle w:val="CETBodytext"/>
              <w:ind w:right="-1"/>
              <w:jc w:val="center"/>
            </w:pPr>
            <w:r w:rsidRPr="00BC043D">
              <w:rPr>
                <w:sz w:val="16"/>
              </w:rPr>
              <w:t>0</w:t>
            </w:r>
          </w:p>
        </w:tc>
        <w:tc>
          <w:tcPr>
            <w:tcW w:w="708" w:type="dxa"/>
            <w:shd w:val="clear" w:color="auto" w:fill="FFFFFF"/>
            <w:vAlign w:val="center"/>
          </w:tcPr>
          <w:p w14:paraId="5E61BB80" w14:textId="77777777" w:rsidR="0081128C" w:rsidRDefault="0081128C" w:rsidP="00E42980">
            <w:pPr>
              <w:pStyle w:val="CETBodytext"/>
              <w:ind w:right="-1"/>
              <w:jc w:val="center"/>
            </w:pPr>
            <w:r w:rsidRPr="00BC043D">
              <w:rPr>
                <w:sz w:val="16"/>
              </w:rPr>
              <w:t>7.41</w:t>
            </w:r>
          </w:p>
        </w:tc>
        <w:tc>
          <w:tcPr>
            <w:tcW w:w="709" w:type="dxa"/>
            <w:shd w:val="clear" w:color="auto" w:fill="FFFFFF"/>
            <w:vAlign w:val="center"/>
          </w:tcPr>
          <w:p w14:paraId="66630606" w14:textId="77777777" w:rsidR="0081128C" w:rsidRDefault="0081128C" w:rsidP="00E42980">
            <w:pPr>
              <w:pStyle w:val="CETBodytext"/>
              <w:ind w:right="-1"/>
              <w:jc w:val="center"/>
            </w:pPr>
            <w:r w:rsidRPr="00BC043D">
              <w:rPr>
                <w:sz w:val="16"/>
              </w:rPr>
              <w:t>0</w:t>
            </w:r>
          </w:p>
        </w:tc>
        <w:tc>
          <w:tcPr>
            <w:tcW w:w="709" w:type="dxa"/>
            <w:shd w:val="clear" w:color="auto" w:fill="FFFFFF"/>
            <w:vAlign w:val="center"/>
          </w:tcPr>
          <w:p w14:paraId="7FEAFCED" w14:textId="77777777" w:rsidR="0081128C" w:rsidRDefault="0081128C" w:rsidP="00E42980">
            <w:pPr>
              <w:pStyle w:val="CETBodytext"/>
              <w:ind w:right="-1"/>
              <w:jc w:val="center"/>
            </w:pPr>
            <w:r w:rsidRPr="00BC043D">
              <w:rPr>
                <w:sz w:val="16"/>
              </w:rPr>
              <w:t>0</w:t>
            </w:r>
          </w:p>
        </w:tc>
      </w:tr>
      <w:tr w:rsidR="0081128C" w:rsidRPr="00B57B36" w14:paraId="280D5266" w14:textId="77777777" w:rsidTr="00E42980">
        <w:tc>
          <w:tcPr>
            <w:tcW w:w="1276" w:type="dxa"/>
            <w:shd w:val="clear" w:color="auto" w:fill="FFFFFF"/>
            <w:vAlign w:val="center"/>
          </w:tcPr>
          <w:p w14:paraId="1E7A701E" w14:textId="77777777" w:rsidR="0081128C" w:rsidRPr="00B57B36" w:rsidRDefault="0081128C" w:rsidP="00040A0B">
            <w:pPr>
              <w:pStyle w:val="CETBodytext"/>
              <w:ind w:right="-1"/>
              <w:rPr>
                <w:rFonts w:cs="Arial"/>
                <w:szCs w:val="18"/>
                <w:lang w:val="en-GB"/>
              </w:rPr>
            </w:pPr>
            <w:r w:rsidRPr="00BC043D">
              <w:rPr>
                <w:sz w:val="16"/>
              </w:rPr>
              <w:t>C</w:t>
            </w:r>
            <w:r w:rsidRPr="00BC043D">
              <w:rPr>
                <w:sz w:val="16"/>
                <w:vertAlign w:val="subscript"/>
              </w:rPr>
              <w:t>4</w:t>
            </w:r>
            <w:r w:rsidRPr="00BC043D">
              <w:rPr>
                <w:sz w:val="16"/>
              </w:rPr>
              <w:t>H</w:t>
            </w:r>
            <w:r w:rsidRPr="00BC043D">
              <w:rPr>
                <w:sz w:val="16"/>
                <w:vertAlign w:val="subscript"/>
              </w:rPr>
              <w:t>10</w:t>
            </w:r>
            <w:r w:rsidRPr="00BC043D">
              <w:rPr>
                <w:sz w:val="16"/>
              </w:rPr>
              <w:t xml:space="preserve"> (%)</w:t>
            </w:r>
          </w:p>
        </w:tc>
        <w:tc>
          <w:tcPr>
            <w:tcW w:w="709" w:type="dxa"/>
            <w:shd w:val="clear" w:color="auto" w:fill="FFFFFF"/>
            <w:vAlign w:val="center"/>
          </w:tcPr>
          <w:p w14:paraId="5A2C01FE" w14:textId="77777777" w:rsidR="0081128C" w:rsidRPr="00B57B36" w:rsidRDefault="0081128C" w:rsidP="00E42980">
            <w:pPr>
              <w:pStyle w:val="CETBodytext"/>
              <w:ind w:right="-1"/>
              <w:jc w:val="center"/>
              <w:rPr>
                <w:rFonts w:cs="Arial"/>
                <w:szCs w:val="18"/>
                <w:lang w:val="en-GB"/>
              </w:rPr>
            </w:pPr>
            <w:r w:rsidRPr="00BC043D">
              <w:rPr>
                <w:sz w:val="16"/>
              </w:rPr>
              <w:t>0</w:t>
            </w:r>
          </w:p>
        </w:tc>
        <w:tc>
          <w:tcPr>
            <w:tcW w:w="709" w:type="dxa"/>
            <w:shd w:val="clear" w:color="auto" w:fill="FFFFFF"/>
            <w:vAlign w:val="center"/>
          </w:tcPr>
          <w:p w14:paraId="655557F8" w14:textId="77777777" w:rsidR="0081128C" w:rsidRDefault="0081128C" w:rsidP="00E42980">
            <w:pPr>
              <w:pStyle w:val="CETBodytext"/>
              <w:ind w:right="-1"/>
              <w:jc w:val="center"/>
            </w:pPr>
            <w:r w:rsidRPr="00BC043D">
              <w:rPr>
                <w:sz w:val="16"/>
              </w:rPr>
              <w:t>0</w:t>
            </w:r>
          </w:p>
        </w:tc>
        <w:tc>
          <w:tcPr>
            <w:tcW w:w="708" w:type="dxa"/>
            <w:shd w:val="clear" w:color="auto" w:fill="FFFFFF"/>
            <w:vAlign w:val="center"/>
          </w:tcPr>
          <w:p w14:paraId="161CB81D" w14:textId="099C472E" w:rsidR="0081128C" w:rsidRDefault="00E42980" w:rsidP="00E42980">
            <w:pPr>
              <w:pStyle w:val="CETBodytext"/>
              <w:ind w:right="-1"/>
              <w:jc w:val="center"/>
            </w:pPr>
            <w:r>
              <w:rPr>
                <w:sz w:val="16"/>
              </w:rPr>
              <w:t>3.6</w:t>
            </w:r>
            <w:r w:rsidR="0081128C" w:rsidRPr="00BC043D">
              <w:rPr>
                <w:sz w:val="16"/>
              </w:rPr>
              <w:t>1</w:t>
            </w:r>
          </w:p>
        </w:tc>
        <w:tc>
          <w:tcPr>
            <w:tcW w:w="709" w:type="dxa"/>
            <w:shd w:val="clear" w:color="auto" w:fill="FFFFFF"/>
            <w:vAlign w:val="center"/>
          </w:tcPr>
          <w:p w14:paraId="66CFDD0A" w14:textId="77777777" w:rsidR="0081128C" w:rsidRDefault="0081128C" w:rsidP="00E42980">
            <w:pPr>
              <w:pStyle w:val="CETBodytext"/>
              <w:ind w:right="-1"/>
              <w:jc w:val="center"/>
            </w:pPr>
            <w:r w:rsidRPr="00BC043D">
              <w:rPr>
                <w:sz w:val="16"/>
              </w:rPr>
              <w:t>0</w:t>
            </w:r>
          </w:p>
        </w:tc>
        <w:tc>
          <w:tcPr>
            <w:tcW w:w="709" w:type="dxa"/>
            <w:shd w:val="clear" w:color="auto" w:fill="FFFFFF"/>
            <w:vAlign w:val="center"/>
          </w:tcPr>
          <w:p w14:paraId="4F5FC4CA" w14:textId="77777777" w:rsidR="0081128C" w:rsidRDefault="0081128C" w:rsidP="00E42980">
            <w:pPr>
              <w:pStyle w:val="CETBodytext"/>
              <w:ind w:right="-1"/>
              <w:jc w:val="center"/>
            </w:pPr>
            <w:r w:rsidRPr="00BC043D">
              <w:rPr>
                <w:sz w:val="16"/>
              </w:rPr>
              <w:t>0</w:t>
            </w:r>
          </w:p>
        </w:tc>
      </w:tr>
    </w:tbl>
    <w:p w14:paraId="163C6CD5" w14:textId="26A0B731" w:rsidR="0081128C" w:rsidRDefault="0081128C" w:rsidP="00D07D61">
      <w:pPr>
        <w:pStyle w:val="CETTabletitle"/>
      </w:pPr>
      <w:r>
        <w:t xml:space="preserve">Table </w:t>
      </w:r>
      <w:r>
        <w:fldChar w:fldCharType="begin"/>
      </w:r>
      <w:r>
        <w:instrText xml:space="preserve"> SEQ Table \* ARABIC </w:instrText>
      </w:r>
      <w:r>
        <w:fldChar w:fldCharType="separate"/>
      </w:r>
      <w:r>
        <w:rPr>
          <w:noProof/>
        </w:rPr>
        <w:t>3</w:t>
      </w:r>
      <w:r>
        <w:fldChar w:fldCharType="end"/>
      </w:r>
      <w:r>
        <w:t xml:space="preserve"> </w:t>
      </w:r>
      <w:r w:rsidRPr="00C60FBB">
        <w:t>Characteristics of the used syngas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709"/>
        <w:gridCol w:w="283"/>
        <w:gridCol w:w="851"/>
        <w:gridCol w:w="141"/>
        <w:gridCol w:w="851"/>
        <w:gridCol w:w="141"/>
        <w:gridCol w:w="993"/>
        <w:gridCol w:w="993"/>
      </w:tblGrid>
      <w:tr w:rsidR="0081128C" w:rsidRPr="00B57B36" w14:paraId="4ACB0647" w14:textId="77777777" w:rsidTr="00E42980">
        <w:tc>
          <w:tcPr>
            <w:tcW w:w="1985" w:type="dxa"/>
            <w:tcBorders>
              <w:top w:val="single" w:sz="12" w:space="0" w:color="008000"/>
              <w:bottom w:val="single" w:sz="6" w:space="0" w:color="008000"/>
            </w:tcBorders>
            <w:shd w:val="clear" w:color="auto" w:fill="FFFFFF"/>
            <w:vAlign w:val="center"/>
          </w:tcPr>
          <w:p w14:paraId="2727F17C" w14:textId="77777777" w:rsidR="0081128C" w:rsidRPr="00B57B36" w:rsidRDefault="0081128C" w:rsidP="00040A0B">
            <w:pPr>
              <w:pStyle w:val="CETBodytext"/>
              <w:rPr>
                <w:lang w:val="en-GB"/>
              </w:rPr>
            </w:pPr>
            <w:r w:rsidRPr="00BC043D">
              <w:rPr>
                <w:b/>
                <w:bCs/>
              </w:rPr>
              <w:t>Gas</w:t>
            </w:r>
          </w:p>
        </w:tc>
        <w:tc>
          <w:tcPr>
            <w:tcW w:w="992" w:type="dxa"/>
            <w:gridSpan w:val="2"/>
            <w:tcBorders>
              <w:top w:val="single" w:sz="12" w:space="0" w:color="008000"/>
              <w:bottom w:val="single" w:sz="6" w:space="0" w:color="008000"/>
            </w:tcBorders>
            <w:shd w:val="clear" w:color="auto" w:fill="FFFFFF"/>
            <w:vAlign w:val="center"/>
          </w:tcPr>
          <w:p w14:paraId="4267EE2D" w14:textId="77777777" w:rsidR="0081128C" w:rsidRPr="00BB0009" w:rsidRDefault="0081128C" w:rsidP="00FE10D9">
            <w:pPr>
              <w:jc w:val="center"/>
              <w:rPr>
                <w:sz w:val="16"/>
              </w:rPr>
            </w:pPr>
            <w:r w:rsidRPr="00BC043D">
              <w:rPr>
                <w:b/>
                <w:bCs/>
              </w:rPr>
              <w:t>SG1</w:t>
            </w:r>
          </w:p>
        </w:tc>
        <w:tc>
          <w:tcPr>
            <w:tcW w:w="992" w:type="dxa"/>
            <w:gridSpan w:val="2"/>
            <w:tcBorders>
              <w:top w:val="single" w:sz="12" w:space="0" w:color="008000"/>
              <w:bottom w:val="single" w:sz="6" w:space="0" w:color="008000"/>
            </w:tcBorders>
            <w:shd w:val="clear" w:color="auto" w:fill="FFFFFF"/>
            <w:vAlign w:val="center"/>
          </w:tcPr>
          <w:p w14:paraId="2828FCCE" w14:textId="77777777" w:rsidR="0081128C" w:rsidRDefault="0081128C" w:rsidP="00FE10D9">
            <w:pPr>
              <w:jc w:val="center"/>
              <w:rPr>
                <w:sz w:val="16"/>
              </w:rPr>
            </w:pPr>
            <w:r w:rsidRPr="00BC043D">
              <w:rPr>
                <w:b/>
                <w:bCs/>
              </w:rPr>
              <w:t>SG2</w:t>
            </w:r>
          </w:p>
        </w:tc>
        <w:tc>
          <w:tcPr>
            <w:tcW w:w="992" w:type="dxa"/>
            <w:gridSpan w:val="2"/>
            <w:tcBorders>
              <w:top w:val="single" w:sz="12" w:space="0" w:color="008000"/>
              <w:bottom w:val="single" w:sz="6" w:space="0" w:color="008000"/>
            </w:tcBorders>
            <w:shd w:val="clear" w:color="auto" w:fill="FFFFFF"/>
            <w:vAlign w:val="center"/>
          </w:tcPr>
          <w:p w14:paraId="4777371D" w14:textId="77777777" w:rsidR="0081128C" w:rsidRDefault="0081128C" w:rsidP="00FE10D9">
            <w:pPr>
              <w:jc w:val="center"/>
              <w:rPr>
                <w:sz w:val="16"/>
              </w:rPr>
            </w:pPr>
            <w:r w:rsidRPr="00BC043D">
              <w:rPr>
                <w:b/>
                <w:bCs/>
              </w:rPr>
              <w:t>SG3</w:t>
            </w:r>
          </w:p>
        </w:tc>
        <w:tc>
          <w:tcPr>
            <w:tcW w:w="992" w:type="dxa"/>
            <w:tcBorders>
              <w:top w:val="single" w:sz="12" w:space="0" w:color="008000"/>
              <w:bottom w:val="single" w:sz="6" w:space="0" w:color="008000"/>
            </w:tcBorders>
            <w:shd w:val="clear" w:color="auto" w:fill="FFFFFF"/>
            <w:vAlign w:val="center"/>
          </w:tcPr>
          <w:p w14:paraId="438A29ED" w14:textId="77777777" w:rsidR="0081128C" w:rsidRDefault="0081128C" w:rsidP="00FE10D9">
            <w:pPr>
              <w:jc w:val="center"/>
              <w:rPr>
                <w:sz w:val="16"/>
              </w:rPr>
            </w:pPr>
            <w:r w:rsidRPr="00BC043D">
              <w:rPr>
                <w:b/>
                <w:bCs/>
              </w:rPr>
              <w:t>SG4</w:t>
            </w:r>
          </w:p>
        </w:tc>
        <w:tc>
          <w:tcPr>
            <w:tcW w:w="993" w:type="dxa"/>
            <w:tcBorders>
              <w:top w:val="single" w:sz="12" w:space="0" w:color="008000"/>
              <w:bottom w:val="single" w:sz="6" w:space="0" w:color="008000"/>
            </w:tcBorders>
            <w:shd w:val="clear" w:color="auto" w:fill="FFFFFF"/>
            <w:vAlign w:val="center"/>
          </w:tcPr>
          <w:p w14:paraId="2677537F" w14:textId="77777777" w:rsidR="0081128C" w:rsidRDefault="0081128C" w:rsidP="00FE10D9">
            <w:pPr>
              <w:jc w:val="center"/>
              <w:rPr>
                <w:sz w:val="16"/>
              </w:rPr>
            </w:pPr>
            <w:r w:rsidRPr="00BC043D">
              <w:rPr>
                <w:b/>
                <w:bCs/>
              </w:rPr>
              <w:t>CH</w:t>
            </w:r>
            <w:r w:rsidRPr="00BC043D">
              <w:rPr>
                <w:b/>
                <w:bCs/>
                <w:vertAlign w:val="subscript"/>
              </w:rPr>
              <w:t>4</w:t>
            </w:r>
          </w:p>
        </w:tc>
      </w:tr>
      <w:tr w:rsidR="0081128C" w:rsidRPr="00B57B36" w14:paraId="1D2E7E6D" w14:textId="77777777" w:rsidTr="00E42980">
        <w:tc>
          <w:tcPr>
            <w:tcW w:w="1985" w:type="dxa"/>
            <w:shd w:val="clear" w:color="auto" w:fill="FFFFFF"/>
            <w:vAlign w:val="center"/>
          </w:tcPr>
          <w:p w14:paraId="69BCB525" w14:textId="1BA72A41" w:rsidR="0081128C" w:rsidRPr="00B57B36" w:rsidRDefault="0081128C" w:rsidP="00040A0B">
            <w:pPr>
              <w:pStyle w:val="CETBodytext"/>
              <w:jc w:val="left"/>
              <w:rPr>
                <w:lang w:val="en-GB"/>
              </w:rPr>
            </w:pPr>
            <w:r w:rsidRPr="00BC043D">
              <w:rPr>
                <w:sz w:val="16"/>
              </w:rPr>
              <w:t>Density (</w:t>
            </w:r>
            <w:r w:rsidR="00C40D8F">
              <w:rPr>
                <w:sz w:val="16"/>
              </w:rPr>
              <w:t>k</w:t>
            </w:r>
            <w:r w:rsidRPr="00BC043D">
              <w:rPr>
                <w:sz w:val="16"/>
              </w:rPr>
              <w:t>g/m3) @STP</w:t>
            </w:r>
          </w:p>
        </w:tc>
        <w:tc>
          <w:tcPr>
            <w:tcW w:w="992" w:type="dxa"/>
            <w:gridSpan w:val="2"/>
            <w:shd w:val="clear" w:color="auto" w:fill="FFFFFF"/>
            <w:vAlign w:val="center"/>
          </w:tcPr>
          <w:p w14:paraId="077E471A" w14:textId="77777777" w:rsidR="0081128C" w:rsidRPr="00B57B36" w:rsidRDefault="0081128C" w:rsidP="00FE10D9">
            <w:pPr>
              <w:pStyle w:val="CETBodytext"/>
              <w:jc w:val="center"/>
              <w:rPr>
                <w:lang w:val="en-GB"/>
              </w:rPr>
            </w:pPr>
            <w:r w:rsidRPr="00BC043D">
              <w:rPr>
                <w:sz w:val="16"/>
              </w:rPr>
              <w:t>0.935</w:t>
            </w:r>
          </w:p>
        </w:tc>
        <w:tc>
          <w:tcPr>
            <w:tcW w:w="992" w:type="dxa"/>
            <w:gridSpan w:val="2"/>
            <w:shd w:val="clear" w:color="auto" w:fill="FFFFFF"/>
            <w:vAlign w:val="center"/>
          </w:tcPr>
          <w:p w14:paraId="127A7130" w14:textId="77777777" w:rsidR="0081128C" w:rsidRPr="00BC043D" w:rsidRDefault="0081128C" w:rsidP="00FE10D9">
            <w:pPr>
              <w:pStyle w:val="CETBodytext"/>
              <w:jc w:val="center"/>
              <w:rPr>
                <w:sz w:val="16"/>
              </w:rPr>
            </w:pPr>
            <w:r w:rsidRPr="00BC043D">
              <w:rPr>
                <w:sz w:val="16"/>
              </w:rPr>
              <w:t>0.957</w:t>
            </w:r>
          </w:p>
        </w:tc>
        <w:tc>
          <w:tcPr>
            <w:tcW w:w="992" w:type="dxa"/>
            <w:gridSpan w:val="2"/>
            <w:shd w:val="clear" w:color="auto" w:fill="FFFFFF"/>
            <w:vAlign w:val="center"/>
          </w:tcPr>
          <w:p w14:paraId="7E54EF83" w14:textId="77777777" w:rsidR="0081128C" w:rsidRPr="00BC043D" w:rsidRDefault="0081128C" w:rsidP="00FE10D9">
            <w:pPr>
              <w:pStyle w:val="CETBodytext"/>
              <w:jc w:val="center"/>
              <w:rPr>
                <w:sz w:val="16"/>
              </w:rPr>
            </w:pPr>
            <w:r w:rsidRPr="00BC043D">
              <w:rPr>
                <w:sz w:val="16"/>
              </w:rPr>
              <w:t>1.16</w:t>
            </w:r>
          </w:p>
        </w:tc>
        <w:tc>
          <w:tcPr>
            <w:tcW w:w="992" w:type="dxa"/>
            <w:shd w:val="clear" w:color="auto" w:fill="FFFFFF"/>
            <w:vAlign w:val="center"/>
          </w:tcPr>
          <w:p w14:paraId="1B7573D2" w14:textId="77777777" w:rsidR="0081128C" w:rsidRPr="00BC043D" w:rsidRDefault="0081128C" w:rsidP="00FE10D9">
            <w:pPr>
              <w:pStyle w:val="CETBodytext"/>
              <w:jc w:val="center"/>
              <w:rPr>
                <w:sz w:val="16"/>
              </w:rPr>
            </w:pPr>
            <w:r w:rsidRPr="00BC043D">
              <w:rPr>
                <w:sz w:val="16"/>
              </w:rPr>
              <w:t>0.802</w:t>
            </w:r>
          </w:p>
        </w:tc>
        <w:tc>
          <w:tcPr>
            <w:tcW w:w="993" w:type="dxa"/>
            <w:shd w:val="clear" w:color="auto" w:fill="FFFFFF"/>
            <w:vAlign w:val="center"/>
          </w:tcPr>
          <w:p w14:paraId="03E90341" w14:textId="77777777" w:rsidR="0081128C" w:rsidRPr="00BC043D" w:rsidRDefault="0081128C" w:rsidP="00FE10D9">
            <w:pPr>
              <w:pStyle w:val="CETBodytext"/>
              <w:jc w:val="center"/>
              <w:rPr>
                <w:sz w:val="16"/>
              </w:rPr>
            </w:pPr>
            <w:r w:rsidRPr="00BC043D">
              <w:rPr>
                <w:sz w:val="16"/>
              </w:rPr>
              <w:t>0.717</w:t>
            </w:r>
          </w:p>
        </w:tc>
      </w:tr>
      <w:tr w:rsidR="0081128C" w:rsidRPr="00B57B36" w14:paraId="025A4D37" w14:textId="77777777" w:rsidTr="00E42980">
        <w:tc>
          <w:tcPr>
            <w:tcW w:w="1985" w:type="dxa"/>
            <w:shd w:val="clear" w:color="auto" w:fill="FFFFFF"/>
            <w:vAlign w:val="center"/>
          </w:tcPr>
          <w:p w14:paraId="1BB4DCB6" w14:textId="77777777" w:rsidR="0081128C" w:rsidRPr="00B57B36" w:rsidRDefault="0081128C" w:rsidP="00040A0B">
            <w:pPr>
              <w:pStyle w:val="CETBodytext"/>
              <w:ind w:right="-1"/>
              <w:jc w:val="left"/>
              <w:rPr>
                <w:rFonts w:cs="Arial"/>
                <w:szCs w:val="18"/>
                <w:lang w:val="en-GB"/>
              </w:rPr>
            </w:pPr>
            <w:r w:rsidRPr="00BC043D">
              <w:rPr>
                <w:sz w:val="16"/>
              </w:rPr>
              <w:t>Methane number</w:t>
            </w:r>
          </w:p>
        </w:tc>
        <w:tc>
          <w:tcPr>
            <w:tcW w:w="992" w:type="dxa"/>
            <w:gridSpan w:val="2"/>
            <w:shd w:val="clear" w:color="auto" w:fill="FFFFFF"/>
            <w:vAlign w:val="center"/>
          </w:tcPr>
          <w:p w14:paraId="0484060A" w14:textId="77777777" w:rsidR="0081128C" w:rsidRPr="00B57B36" w:rsidRDefault="0081128C" w:rsidP="00FE10D9">
            <w:pPr>
              <w:pStyle w:val="CETBodytext"/>
              <w:ind w:right="-1"/>
              <w:jc w:val="center"/>
              <w:rPr>
                <w:rFonts w:cs="Arial"/>
                <w:szCs w:val="18"/>
                <w:lang w:val="en-GB"/>
              </w:rPr>
            </w:pPr>
            <w:r w:rsidRPr="00BC043D">
              <w:rPr>
                <w:sz w:val="16"/>
              </w:rPr>
              <w:t>91.3</w:t>
            </w:r>
          </w:p>
        </w:tc>
        <w:tc>
          <w:tcPr>
            <w:tcW w:w="992" w:type="dxa"/>
            <w:gridSpan w:val="2"/>
            <w:shd w:val="clear" w:color="auto" w:fill="FFFFFF"/>
            <w:vAlign w:val="center"/>
          </w:tcPr>
          <w:p w14:paraId="57E871E4" w14:textId="77777777" w:rsidR="0081128C" w:rsidRPr="00BC043D" w:rsidRDefault="0081128C" w:rsidP="00FE10D9">
            <w:pPr>
              <w:pStyle w:val="CETBodytext"/>
              <w:ind w:right="-1"/>
              <w:jc w:val="center"/>
              <w:rPr>
                <w:lang w:val="fr-FR"/>
              </w:rPr>
            </w:pPr>
            <w:r w:rsidRPr="00BC043D">
              <w:rPr>
                <w:sz w:val="16"/>
              </w:rPr>
              <w:t>88.3</w:t>
            </w:r>
          </w:p>
        </w:tc>
        <w:tc>
          <w:tcPr>
            <w:tcW w:w="992" w:type="dxa"/>
            <w:gridSpan w:val="2"/>
            <w:shd w:val="clear" w:color="auto" w:fill="FFFFFF"/>
            <w:vAlign w:val="center"/>
          </w:tcPr>
          <w:p w14:paraId="0B6623E1" w14:textId="77777777" w:rsidR="0081128C" w:rsidRPr="00BC043D" w:rsidRDefault="0081128C" w:rsidP="00FE10D9">
            <w:pPr>
              <w:pStyle w:val="CETBodytext"/>
              <w:ind w:right="-1"/>
              <w:jc w:val="center"/>
              <w:rPr>
                <w:lang w:val="fr-FR"/>
              </w:rPr>
            </w:pPr>
            <w:r w:rsidRPr="00BC043D">
              <w:rPr>
                <w:sz w:val="16"/>
              </w:rPr>
              <w:t>58.6</w:t>
            </w:r>
          </w:p>
        </w:tc>
        <w:tc>
          <w:tcPr>
            <w:tcW w:w="992" w:type="dxa"/>
            <w:shd w:val="clear" w:color="auto" w:fill="FFFFFF"/>
            <w:vAlign w:val="center"/>
          </w:tcPr>
          <w:p w14:paraId="687B1F5D" w14:textId="77777777" w:rsidR="0081128C" w:rsidRPr="00BC043D" w:rsidRDefault="0081128C" w:rsidP="00FE10D9">
            <w:pPr>
              <w:pStyle w:val="CETBodytext"/>
              <w:ind w:right="-1"/>
              <w:jc w:val="center"/>
              <w:rPr>
                <w:lang w:val="fr-FR"/>
              </w:rPr>
            </w:pPr>
            <w:r w:rsidRPr="00BC043D">
              <w:rPr>
                <w:sz w:val="16"/>
              </w:rPr>
              <w:t>78.8</w:t>
            </w:r>
          </w:p>
        </w:tc>
        <w:tc>
          <w:tcPr>
            <w:tcW w:w="993" w:type="dxa"/>
            <w:shd w:val="clear" w:color="auto" w:fill="FFFFFF"/>
            <w:vAlign w:val="center"/>
          </w:tcPr>
          <w:p w14:paraId="566F2E91" w14:textId="77777777" w:rsidR="0081128C" w:rsidRPr="00BC043D" w:rsidRDefault="0081128C" w:rsidP="00FE10D9">
            <w:pPr>
              <w:pStyle w:val="CETBodytext"/>
              <w:ind w:right="-1"/>
              <w:jc w:val="center"/>
              <w:rPr>
                <w:lang w:val="fr-FR"/>
              </w:rPr>
            </w:pPr>
            <w:r w:rsidRPr="00BC043D">
              <w:rPr>
                <w:sz w:val="16"/>
              </w:rPr>
              <w:t>100</w:t>
            </w:r>
          </w:p>
        </w:tc>
      </w:tr>
      <w:tr w:rsidR="0081128C" w:rsidRPr="00B57B36" w14:paraId="41E7EEA9" w14:textId="77777777" w:rsidTr="00E42980">
        <w:tc>
          <w:tcPr>
            <w:tcW w:w="1985" w:type="dxa"/>
            <w:shd w:val="clear" w:color="auto" w:fill="FFFFFF"/>
            <w:vAlign w:val="center"/>
          </w:tcPr>
          <w:p w14:paraId="061F6696" w14:textId="7EF825FF" w:rsidR="0081128C" w:rsidRPr="00BC42BC" w:rsidRDefault="0081128C" w:rsidP="00BC42BC">
            <w:pPr>
              <w:contextualSpacing/>
              <w:jc w:val="left"/>
              <w:rPr>
                <w:sz w:val="16"/>
              </w:rPr>
            </w:pPr>
            <w:r w:rsidRPr="00BC043D">
              <w:rPr>
                <w:sz w:val="16"/>
              </w:rPr>
              <w:t xml:space="preserve">Flammability limits </w:t>
            </w:r>
          </w:p>
        </w:tc>
        <w:tc>
          <w:tcPr>
            <w:tcW w:w="992" w:type="dxa"/>
            <w:gridSpan w:val="2"/>
            <w:shd w:val="clear" w:color="auto" w:fill="FFFFFF"/>
            <w:vAlign w:val="center"/>
          </w:tcPr>
          <w:p w14:paraId="7DAF2E7A" w14:textId="77777777" w:rsidR="0081128C" w:rsidRPr="00B57B36" w:rsidRDefault="0081128C" w:rsidP="00FE10D9">
            <w:pPr>
              <w:pStyle w:val="CETBodytext"/>
              <w:ind w:right="-1"/>
              <w:jc w:val="center"/>
              <w:rPr>
                <w:rFonts w:cs="Arial"/>
                <w:szCs w:val="18"/>
                <w:lang w:val="en-GB"/>
              </w:rPr>
            </w:pPr>
            <w:r w:rsidRPr="00BC043D">
              <w:rPr>
                <w:sz w:val="16"/>
              </w:rPr>
              <w:t>0.39 - 1.82</w:t>
            </w:r>
          </w:p>
        </w:tc>
        <w:tc>
          <w:tcPr>
            <w:tcW w:w="992" w:type="dxa"/>
            <w:gridSpan w:val="2"/>
            <w:shd w:val="clear" w:color="auto" w:fill="FFFFFF"/>
            <w:vAlign w:val="center"/>
          </w:tcPr>
          <w:p w14:paraId="4497020B" w14:textId="77777777" w:rsidR="0081128C" w:rsidRDefault="0081128C" w:rsidP="00FE10D9">
            <w:pPr>
              <w:pStyle w:val="CETBodytext"/>
              <w:ind w:right="-1"/>
              <w:jc w:val="center"/>
            </w:pPr>
            <w:r w:rsidRPr="00BC043D">
              <w:rPr>
                <w:sz w:val="16"/>
              </w:rPr>
              <w:t>0.41 - 1.74</w:t>
            </w:r>
          </w:p>
        </w:tc>
        <w:tc>
          <w:tcPr>
            <w:tcW w:w="992" w:type="dxa"/>
            <w:gridSpan w:val="2"/>
            <w:shd w:val="clear" w:color="auto" w:fill="FFFFFF"/>
            <w:vAlign w:val="center"/>
          </w:tcPr>
          <w:p w14:paraId="7036466C" w14:textId="77777777" w:rsidR="0081128C" w:rsidRDefault="0081128C" w:rsidP="00FE10D9">
            <w:pPr>
              <w:pStyle w:val="CETBodytext"/>
              <w:ind w:right="-1"/>
              <w:jc w:val="center"/>
            </w:pPr>
            <w:r w:rsidRPr="00BC043D">
              <w:rPr>
                <w:sz w:val="16"/>
              </w:rPr>
              <w:t>0.46 - 2.3</w:t>
            </w:r>
          </w:p>
        </w:tc>
        <w:tc>
          <w:tcPr>
            <w:tcW w:w="992" w:type="dxa"/>
            <w:shd w:val="clear" w:color="auto" w:fill="FFFFFF"/>
            <w:vAlign w:val="center"/>
          </w:tcPr>
          <w:p w14:paraId="6D3882AF" w14:textId="77777777" w:rsidR="0081128C" w:rsidRDefault="0081128C" w:rsidP="00FE10D9">
            <w:pPr>
              <w:pStyle w:val="CETBodytext"/>
              <w:ind w:right="-1"/>
              <w:jc w:val="center"/>
            </w:pPr>
            <w:r w:rsidRPr="00BC043D">
              <w:rPr>
                <w:sz w:val="16"/>
              </w:rPr>
              <w:t>0.44 - 1.87</w:t>
            </w:r>
          </w:p>
        </w:tc>
        <w:tc>
          <w:tcPr>
            <w:tcW w:w="993" w:type="dxa"/>
            <w:shd w:val="clear" w:color="auto" w:fill="FFFFFF"/>
            <w:vAlign w:val="center"/>
          </w:tcPr>
          <w:p w14:paraId="2BFA71AE" w14:textId="77777777" w:rsidR="0081128C" w:rsidRDefault="0081128C" w:rsidP="00FE10D9">
            <w:pPr>
              <w:pStyle w:val="CETBodytext"/>
              <w:ind w:right="-1"/>
              <w:jc w:val="center"/>
            </w:pPr>
            <w:r w:rsidRPr="00BC043D">
              <w:rPr>
                <w:sz w:val="16"/>
              </w:rPr>
              <w:t>0.54 - 1.69</w:t>
            </w:r>
          </w:p>
        </w:tc>
      </w:tr>
      <w:tr w:rsidR="0081128C" w:rsidRPr="00B57B36" w14:paraId="68F3DEAD" w14:textId="77777777" w:rsidTr="00E42980">
        <w:tc>
          <w:tcPr>
            <w:tcW w:w="1985" w:type="dxa"/>
            <w:shd w:val="clear" w:color="auto" w:fill="FFFFFF"/>
            <w:vAlign w:val="center"/>
          </w:tcPr>
          <w:p w14:paraId="79BBAA0D" w14:textId="51BD37C3" w:rsidR="0081128C" w:rsidRPr="00B57B36" w:rsidRDefault="0081128C" w:rsidP="00BC42BC">
            <w:pPr>
              <w:pStyle w:val="CETBodytext"/>
              <w:ind w:right="-1"/>
              <w:jc w:val="left"/>
              <w:rPr>
                <w:rFonts w:cs="Arial"/>
                <w:szCs w:val="18"/>
                <w:lang w:val="en-GB"/>
              </w:rPr>
            </w:pPr>
            <w:r w:rsidRPr="00BC043D">
              <w:rPr>
                <w:sz w:val="16"/>
              </w:rPr>
              <w:t xml:space="preserve">Stoichiometric </w:t>
            </w:r>
            <w:r w:rsidR="00BC42BC">
              <w:rPr>
                <w:sz w:val="16"/>
              </w:rPr>
              <w:t>AFR</w:t>
            </w:r>
          </w:p>
        </w:tc>
        <w:tc>
          <w:tcPr>
            <w:tcW w:w="992" w:type="dxa"/>
            <w:gridSpan w:val="2"/>
            <w:shd w:val="clear" w:color="auto" w:fill="FFFFFF"/>
            <w:vAlign w:val="center"/>
          </w:tcPr>
          <w:p w14:paraId="2F779AB4" w14:textId="77777777" w:rsidR="0081128C" w:rsidRPr="00B57B36" w:rsidRDefault="0081128C" w:rsidP="00FE10D9">
            <w:pPr>
              <w:pStyle w:val="CETBodytext"/>
              <w:ind w:right="-1"/>
              <w:jc w:val="center"/>
              <w:rPr>
                <w:rFonts w:cs="Arial"/>
                <w:szCs w:val="18"/>
                <w:lang w:val="en-GB"/>
              </w:rPr>
            </w:pPr>
            <w:r w:rsidRPr="00BC043D">
              <w:rPr>
                <w:sz w:val="16"/>
              </w:rPr>
              <w:t>7.71</w:t>
            </w:r>
          </w:p>
        </w:tc>
        <w:tc>
          <w:tcPr>
            <w:tcW w:w="992" w:type="dxa"/>
            <w:gridSpan w:val="2"/>
            <w:shd w:val="clear" w:color="auto" w:fill="FFFFFF"/>
            <w:vAlign w:val="center"/>
          </w:tcPr>
          <w:p w14:paraId="1A76A71C" w14:textId="77777777" w:rsidR="0081128C" w:rsidRPr="00BC043D" w:rsidRDefault="0081128C" w:rsidP="00FE10D9">
            <w:pPr>
              <w:pStyle w:val="CETBodytext"/>
              <w:ind w:right="-1"/>
              <w:jc w:val="center"/>
              <w:rPr>
                <w:sz w:val="16"/>
              </w:rPr>
            </w:pPr>
            <w:r w:rsidRPr="00BC043D">
              <w:rPr>
                <w:sz w:val="16"/>
              </w:rPr>
              <w:t>9.02</w:t>
            </w:r>
          </w:p>
        </w:tc>
        <w:tc>
          <w:tcPr>
            <w:tcW w:w="992" w:type="dxa"/>
            <w:gridSpan w:val="2"/>
            <w:shd w:val="clear" w:color="auto" w:fill="FFFFFF"/>
            <w:vAlign w:val="center"/>
          </w:tcPr>
          <w:p w14:paraId="54F5AE18" w14:textId="77777777" w:rsidR="0081128C" w:rsidRPr="00BC043D" w:rsidRDefault="0081128C" w:rsidP="00FE10D9">
            <w:pPr>
              <w:pStyle w:val="CETBodytext"/>
              <w:ind w:right="-1"/>
              <w:jc w:val="center"/>
              <w:rPr>
                <w:sz w:val="16"/>
              </w:rPr>
            </w:pPr>
            <w:r w:rsidRPr="00BC043D">
              <w:rPr>
                <w:sz w:val="16"/>
              </w:rPr>
              <w:t>9.43</w:t>
            </w:r>
          </w:p>
        </w:tc>
        <w:tc>
          <w:tcPr>
            <w:tcW w:w="992" w:type="dxa"/>
            <w:shd w:val="clear" w:color="auto" w:fill="FFFFFF"/>
            <w:vAlign w:val="center"/>
          </w:tcPr>
          <w:p w14:paraId="7024AF26" w14:textId="77777777" w:rsidR="0081128C" w:rsidRPr="00BC043D" w:rsidRDefault="0081128C" w:rsidP="00FE10D9">
            <w:pPr>
              <w:pStyle w:val="CETBodytext"/>
              <w:ind w:right="-1"/>
              <w:jc w:val="center"/>
              <w:rPr>
                <w:sz w:val="16"/>
              </w:rPr>
            </w:pPr>
            <w:r w:rsidRPr="00BC043D">
              <w:rPr>
                <w:sz w:val="16"/>
              </w:rPr>
              <w:t>9.28</w:t>
            </w:r>
          </w:p>
        </w:tc>
        <w:tc>
          <w:tcPr>
            <w:tcW w:w="993" w:type="dxa"/>
            <w:shd w:val="clear" w:color="auto" w:fill="FFFFFF"/>
            <w:vAlign w:val="center"/>
          </w:tcPr>
          <w:p w14:paraId="4A603C3D" w14:textId="77777777" w:rsidR="0081128C" w:rsidRPr="00BC043D" w:rsidRDefault="0081128C" w:rsidP="00FE10D9">
            <w:pPr>
              <w:pStyle w:val="CETBodytext"/>
              <w:ind w:right="-1"/>
              <w:jc w:val="center"/>
              <w:rPr>
                <w:sz w:val="16"/>
              </w:rPr>
            </w:pPr>
            <w:r w:rsidRPr="00BC043D">
              <w:rPr>
                <w:sz w:val="16"/>
              </w:rPr>
              <w:t>17.09</w:t>
            </w:r>
          </w:p>
        </w:tc>
      </w:tr>
      <w:tr w:rsidR="0081128C" w:rsidRPr="00B57B36" w14:paraId="24CD058E" w14:textId="77777777" w:rsidTr="00E42980">
        <w:tc>
          <w:tcPr>
            <w:tcW w:w="1985" w:type="dxa"/>
            <w:shd w:val="clear" w:color="auto" w:fill="FFFFFF"/>
            <w:vAlign w:val="center"/>
          </w:tcPr>
          <w:p w14:paraId="6EB28FFA" w14:textId="3F3094A8" w:rsidR="0081128C" w:rsidRPr="00B57B36" w:rsidRDefault="0081128C" w:rsidP="00040A0B">
            <w:pPr>
              <w:pStyle w:val="CETBodytext"/>
              <w:ind w:right="-1"/>
              <w:jc w:val="left"/>
              <w:rPr>
                <w:rFonts w:cs="Arial"/>
                <w:szCs w:val="18"/>
                <w:lang w:val="en-GB"/>
              </w:rPr>
            </w:pPr>
            <w:r w:rsidRPr="00BC043D">
              <w:rPr>
                <w:sz w:val="16"/>
              </w:rPr>
              <w:t>LHV (</w:t>
            </w:r>
            <w:r w:rsidR="00C40D8F">
              <w:rPr>
                <w:sz w:val="16"/>
              </w:rPr>
              <w:t>k</w:t>
            </w:r>
            <w:r w:rsidRPr="00BC043D">
              <w:rPr>
                <w:sz w:val="16"/>
              </w:rPr>
              <w:t>J/kg)</w:t>
            </w:r>
          </w:p>
        </w:tc>
        <w:tc>
          <w:tcPr>
            <w:tcW w:w="709" w:type="dxa"/>
            <w:shd w:val="clear" w:color="auto" w:fill="FFFFFF"/>
            <w:vAlign w:val="center"/>
          </w:tcPr>
          <w:p w14:paraId="534A50B2" w14:textId="77777777" w:rsidR="0081128C" w:rsidRPr="00B57B36" w:rsidRDefault="0081128C" w:rsidP="00FE10D9">
            <w:pPr>
              <w:pStyle w:val="CETBodytext"/>
              <w:ind w:right="-1"/>
              <w:jc w:val="center"/>
              <w:rPr>
                <w:rFonts w:cs="Arial"/>
                <w:szCs w:val="18"/>
                <w:lang w:val="en-GB"/>
              </w:rPr>
            </w:pPr>
            <w:r w:rsidRPr="00BC043D">
              <w:rPr>
                <w:sz w:val="16"/>
              </w:rPr>
              <w:t>23768.6</w:t>
            </w:r>
          </w:p>
        </w:tc>
        <w:tc>
          <w:tcPr>
            <w:tcW w:w="1134" w:type="dxa"/>
            <w:gridSpan w:val="2"/>
            <w:shd w:val="clear" w:color="auto" w:fill="FFFFFF"/>
            <w:vAlign w:val="center"/>
          </w:tcPr>
          <w:p w14:paraId="6506A5A3" w14:textId="77777777" w:rsidR="0081128C" w:rsidRPr="00C625DA" w:rsidRDefault="0081128C" w:rsidP="00FE10D9">
            <w:pPr>
              <w:pStyle w:val="CETBodytext"/>
              <w:ind w:right="-1"/>
              <w:jc w:val="center"/>
            </w:pPr>
            <w:r w:rsidRPr="00BC043D">
              <w:rPr>
                <w:sz w:val="16"/>
              </w:rPr>
              <w:t>27384.8</w:t>
            </w:r>
          </w:p>
        </w:tc>
        <w:tc>
          <w:tcPr>
            <w:tcW w:w="992" w:type="dxa"/>
            <w:gridSpan w:val="2"/>
            <w:shd w:val="clear" w:color="auto" w:fill="FFFFFF"/>
            <w:vAlign w:val="center"/>
          </w:tcPr>
          <w:p w14:paraId="4B0D4A69" w14:textId="77777777" w:rsidR="0081128C" w:rsidRPr="00C625DA" w:rsidRDefault="0081128C" w:rsidP="00FE10D9">
            <w:pPr>
              <w:pStyle w:val="CETBodytext"/>
              <w:ind w:right="-1"/>
              <w:jc w:val="center"/>
            </w:pPr>
            <w:r w:rsidRPr="00BC043D">
              <w:rPr>
                <w:sz w:val="16"/>
              </w:rPr>
              <w:t>28878</w:t>
            </w:r>
          </w:p>
        </w:tc>
        <w:tc>
          <w:tcPr>
            <w:tcW w:w="1134" w:type="dxa"/>
            <w:gridSpan w:val="2"/>
            <w:shd w:val="clear" w:color="auto" w:fill="FFFFFF"/>
            <w:vAlign w:val="center"/>
          </w:tcPr>
          <w:p w14:paraId="57EC8312" w14:textId="77777777" w:rsidR="0081128C" w:rsidRPr="00C625DA" w:rsidRDefault="0081128C" w:rsidP="00FE10D9">
            <w:pPr>
              <w:pStyle w:val="CETBodytext"/>
              <w:ind w:right="-1"/>
              <w:jc w:val="center"/>
            </w:pPr>
            <w:r w:rsidRPr="00BC043D">
              <w:rPr>
                <w:sz w:val="16"/>
              </w:rPr>
              <w:t>28711.8</w:t>
            </w:r>
          </w:p>
        </w:tc>
        <w:tc>
          <w:tcPr>
            <w:tcW w:w="992" w:type="dxa"/>
            <w:shd w:val="clear" w:color="auto" w:fill="FFFFFF"/>
            <w:vAlign w:val="center"/>
          </w:tcPr>
          <w:p w14:paraId="276D3D15" w14:textId="77777777" w:rsidR="0081128C" w:rsidRPr="00C625DA" w:rsidRDefault="0081128C" w:rsidP="00FE10D9">
            <w:pPr>
              <w:pStyle w:val="CETBodytext"/>
              <w:ind w:right="-1"/>
              <w:jc w:val="center"/>
            </w:pPr>
            <w:r w:rsidRPr="00BC043D">
              <w:rPr>
                <w:sz w:val="16"/>
              </w:rPr>
              <w:t>50125.6</w:t>
            </w:r>
          </w:p>
        </w:tc>
      </w:tr>
    </w:tbl>
    <w:p w14:paraId="1013C577" w14:textId="73168766" w:rsidR="00423AC5" w:rsidRPr="007B0748" w:rsidRDefault="00423AC5" w:rsidP="00423AC5">
      <w:pPr>
        <w:pStyle w:val="CETheadingx"/>
      </w:pPr>
      <w:r>
        <w:t>Predefined engine maps</w:t>
      </w:r>
    </w:p>
    <w:p w14:paraId="0D516337" w14:textId="03F60AAD" w:rsidR="00423AC5" w:rsidRPr="007B0748" w:rsidRDefault="00423AC5" w:rsidP="00423AC5">
      <w:pPr>
        <w:pStyle w:val="Paragraphedeliste"/>
        <w:spacing w:after="200"/>
        <w:ind w:left="0"/>
      </w:pPr>
      <w:r>
        <w:t xml:space="preserve">          </w:t>
      </w:r>
      <w:r w:rsidRPr="007B0748">
        <w:t xml:space="preserve">Two maps were initially defined for the engine to operate efficiently despite the variation in the syngas composition: spark advance map and equivalence ratio map. </w:t>
      </w:r>
    </w:p>
    <w:p w14:paraId="0657F81F" w14:textId="241A3048" w:rsidR="00423AC5" w:rsidRPr="007B0748" w:rsidRDefault="00423AC5" w:rsidP="00423AC5">
      <w:pPr>
        <w:pStyle w:val="Paragraphedeliste"/>
        <w:ind w:left="0"/>
      </w:pPr>
      <w:r>
        <w:t xml:space="preserve">          </w:t>
      </w:r>
      <w:r w:rsidRPr="007B0748">
        <w:t xml:space="preserve">The power delivered by the engine is directly related to the spark advance. Advancing the spark to its optimal value improves the performance and generates higher power. However, this creates a </w:t>
      </w:r>
      <w:r w:rsidR="003F140E" w:rsidRPr="007B0748">
        <w:t>high-pressure</w:t>
      </w:r>
      <w:r w:rsidRPr="007B0748">
        <w:t xml:space="preserve"> environment where it is risky for some gases, with low methane numbers, to detonate and cause knock. The ignition advance was adjusted to the </w:t>
      </w:r>
      <w:r>
        <w:t xml:space="preserve">maximum brake torque (MBT) </w:t>
      </w:r>
      <w:r w:rsidRPr="007B0748">
        <w:t>timing of SG1 which has the highest methane number.</w:t>
      </w:r>
    </w:p>
    <w:p w14:paraId="1B399578" w14:textId="02182F8D" w:rsidR="00D61352" w:rsidRDefault="00423AC5" w:rsidP="00F75815">
      <w:pPr>
        <w:pStyle w:val="Paragraphedeliste"/>
        <w:ind w:left="0"/>
      </w:pPr>
      <w:r>
        <w:t xml:space="preserve">          </w:t>
      </w:r>
      <w:r w:rsidRPr="007B0748">
        <w:t xml:space="preserve">The gas flow rate is specified to each gas to follow a certain curve of equivalence ratio. The form of the curve must satisfy the stability of combustion at all loads. Under partial load conditions, the engine is able to operate with leaner mixtures providing good economy. At full load, the throttle is </w:t>
      </w:r>
      <w:r w:rsidR="00BC42BC">
        <w:t>set</w:t>
      </w:r>
      <w:r w:rsidRPr="007B0748">
        <w:t xml:space="preserve"> to its full</w:t>
      </w:r>
      <w:r w:rsidR="00F75815">
        <w:t>y open</w:t>
      </w:r>
      <w:r w:rsidR="00BC42BC">
        <w:t xml:space="preserve"> position (WOT)</w:t>
      </w:r>
      <w:r w:rsidRPr="007B0748">
        <w:t xml:space="preserve">, where the engine is </w:t>
      </w:r>
      <w:r w:rsidR="00F75815" w:rsidRPr="007B0748">
        <w:t>inquired</w:t>
      </w:r>
      <w:r w:rsidRPr="007B0748">
        <w:t xml:space="preserve"> to develop its maximum power, which requires enriching the mixture. Some experiments were done with all the fuels to specify limits for leaning and enriching the mixture. Experiments preformed with pure methane with</w:t>
      </w:r>
      <w:r w:rsidR="00F75815">
        <w:t xml:space="preserve"> an equivalence ratio</w:t>
      </w:r>
      <w:r w:rsidRPr="007B0748">
        <w:t xml:space="preserve"> </w:t>
      </w:r>
      <w:r w:rsidR="00F75815">
        <w:t>(</w:t>
      </w:r>
      <w:r w:rsidRPr="007B0748">
        <w:t>ɸ</w:t>
      </w:r>
      <w:r w:rsidR="00F75815">
        <w:t>)</w:t>
      </w:r>
      <w:r w:rsidRPr="007B0748">
        <w:t xml:space="preserve"> greater than 0.8 produced CO in the exhaust higher than 6000 ppm which is the saturating limit of the infra-red detector (MIR 2M). This result sets the maximum allowed limit of ɸ to be 0.8</w:t>
      </w:r>
      <w:r w:rsidRPr="006B26AE">
        <w:t>. SG1 was tested at low ɸ in the range of [0.52-0.6]. The instability of the combustion was obvious especially at low loads, as the COV of IMEP increased</w:t>
      </w:r>
      <w:r w:rsidRPr="007B0748">
        <w:t xml:space="preserve"> and high values of unburned HC and CO were detected. Experiments show better combustion of SG3 with higher range of ɸ [0.55-0.65], leaving lower amount of unburned CO and HC. SG2 and SG4 </w:t>
      </w:r>
      <w:r w:rsidR="00F75815">
        <w:t xml:space="preserve">gases </w:t>
      </w:r>
      <w:r w:rsidRPr="007B0748">
        <w:t>were also tested for ɸ [0.65-0.75] and [0.6-0.7] respectively. HC and CO emissions were also reduced compared to those of SG3, despite the fact that the initial content of hydrocarbons in SG2 and the initial value of CO in SG4 are higher than those of SG3. This indicates that better combustion with reduced CO and HC emissions is obtained as the equivalence ratio is increased. However, the only drawback is the increasing NOx emissions which require no further mixture enriching.  Therefore, the range of equivalence ratio was set to [0.65-0.75].</w:t>
      </w:r>
      <w:r w:rsidR="00C80B28">
        <w:t xml:space="preserve"> </w:t>
      </w:r>
      <w:r w:rsidRPr="007B0748">
        <w:t>The gas flow rate is then calculated by the following equation:</w:t>
      </w:r>
    </w:p>
    <w:p w14:paraId="12322B08" w14:textId="73369912" w:rsidR="00D61352" w:rsidRDefault="00E9146A" w:rsidP="00DD21CC">
      <w:pPr>
        <w:pStyle w:val="CETEquation"/>
      </w:pPr>
      <m:oMath>
        <m:sSub>
          <m:sSubPr>
            <m:ctrlPr>
              <w:rPr>
                <w:rFonts w:ascii="Cambria Math" w:hAnsi="Cambria Math" w:cs="Arial"/>
              </w:rPr>
            </m:ctrlPr>
          </m:sSubPr>
          <m:e>
            <m:r>
              <w:rPr>
                <w:rFonts w:ascii="Cambria Math" w:hAnsi="Cambria Math" w:cs="Arial"/>
              </w:rPr>
              <m:t>Q</m:t>
            </m:r>
          </m:e>
          <m:sub>
            <m:r>
              <w:rPr>
                <w:rFonts w:ascii="Cambria Math" w:hAnsi="Cambria Math" w:cs="Arial"/>
              </w:rPr>
              <m:t>gas</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1.204*</m:t>
            </m:r>
            <m:sSub>
              <m:sSubPr>
                <m:ctrlPr>
                  <w:rPr>
                    <w:rFonts w:ascii="Cambria Math" w:hAnsi="Cambria Math" w:cs="Arial"/>
                  </w:rPr>
                </m:ctrlPr>
              </m:sSubPr>
              <m:e>
                <m:r>
                  <w:rPr>
                    <w:rFonts w:ascii="Cambria Math" w:hAnsi="Cambria Math" w:cs="Arial"/>
                  </w:rPr>
                  <m:t>Q</m:t>
                </m:r>
              </m:e>
              <m:sub>
                <m:r>
                  <w:rPr>
                    <w:rFonts w:ascii="Cambria Math" w:hAnsi="Cambria Math" w:cs="Arial"/>
                  </w:rPr>
                  <m:t>air</m:t>
                </m:r>
              </m:sub>
            </m:sSub>
          </m:num>
          <m:den>
            <m:r>
              <m:rPr>
                <m:sty m:val="p"/>
              </m:rPr>
              <w:rPr>
                <w:rFonts w:ascii="Cambria Math" w:hAnsi="Cambria Math" w:cs="Arial"/>
              </w:rPr>
              <m:t>11.95*</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m:t>
                    </m:r>
                    <m:r>
                      <w:rPr>
                        <w:rFonts w:ascii="Cambria Math" w:hAnsi="Cambria Math" w:cs="Arial"/>
                      </w:rPr>
                      <m:t>CH</m:t>
                    </m:r>
                  </m:e>
                  <m:sub>
                    <m:r>
                      <m:rPr>
                        <m:sty m:val="p"/>
                      </m:rPr>
                      <w:rPr>
                        <w:rFonts w:ascii="Cambria Math" w:hAnsi="Cambria Math" w:cs="Arial"/>
                      </w:rPr>
                      <m:t>4</m:t>
                    </m:r>
                  </m:sub>
                </m:sSub>
              </m:e>
            </m:d>
            <m:r>
              <m:rPr>
                <m:sty m:val="p"/>
              </m:rPr>
              <w:rPr>
                <w:rFonts w:ascii="Cambria Math" w:hAnsi="Cambria Math" w:cs="Arial"/>
              </w:rPr>
              <m:t>+2.851*</m:t>
            </m:r>
            <m:d>
              <m:dPr>
                <m:ctrlPr>
                  <w:rPr>
                    <w:rFonts w:ascii="Cambria Math" w:hAnsi="Cambria Math" w:cs="Arial"/>
                  </w:rPr>
                </m:ctrlPr>
              </m:dPr>
              <m:e>
                <m:r>
                  <m:rPr>
                    <m:sty m:val="p"/>
                  </m:rPr>
                  <w:rPr>
                    <w:rFonts w:ascii="Cambria Math" w:hAnsi="Cambria Math" w:cs="Arial"/>
                  </w:rPr>
                  <m:t>%</m:t>
                </m:r>
                <m:r>
                  <w:rPr>
                    <w:rFonts w:ascii="Cambria Math" w:hAnsi="Cambria Math" w:cs="Arial"/>
                  </w:rPr>
                  <m:t>CO</m:t>
                </m:r>
              </m:e>
            </m:d>
            <m:r>
              <m:rPr>
                <m:sty m:val="p"/>
              </m:rPr>
              <w:rPr>
                <w:rFonts w:ascii="Cambria Math" w:hAnsi="Cambria Math" w:cs="Arial"/>
              </w:rPr>
              <m:t>+3.03*</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m:t>
                    </m:r>
                    <m:r>
                      <w:rPr>
                        <w:rFonts w:ascii="Cambria Math" w:hAnsi="Cambria Math" w:cs="Arial"/>
                      </w:rPr>
                      <m:t>H</m:t>
                    </m:r>
                  </m:e>
                  <m:sub>
                    <m:r>
                      <m:rPr>
                        <m:sty m:val="p"/>
                      </m:rPr>
                      <w:rPr>
                        <w:rFonts w:ascii="Cambria Math" w:hAnsi="Cambria Math" w:cs="Arial"/>
                      </w:rPr>
                      <m:t>2</m:t>
                    </m:r>
                  </m:sub>
                </m:sSub>
              </m:e>
            </m:d>
            <m:r>
              <m:rPr>
                <m:sty m:val="p"/>
              </m:rPr>
              <w:rPr>
                <w:rFonts w:ascii="Cambria Math" w:hAnsi="Cambria Math" w:cs="Arial"/>
              </w:rPr>
              <m:t>+20.174*</m:t>
            </m:r>
            <m:d>
              <m:dPr>
                <m:ctrlPr>
                  <w:rPr>
                    <w:rFonts w:ascii="Cambria Math" w:hAnsi="Cambria Math" w:cs="Arial"/>
                  </w:rPr>
                </m:ctrlPr>
              </m:dPr>
              <m:e>
                <m:r>
                  <m:rPr>
                    <m:sty m:val="p"/>
                  </m:rPr>
                  <w:rPr>
                    <w:rFonts w:ascii="Cambria Math" w:hAnsi="Cambria Math" w:cs="Arial"/>
                  </w:rPr>
                  <m:t>%</m:t>
                </m:r>
                <m:sSub>
                  <m:sSubPr>
                    <m:ctrlPr>
                      <w:rPr>
                        <w:rFonts w:ascii="Cambria Math" w:hAnsi="Cambria Math" w:cs="Arial"/>
                      </w:rPr>
                    </m:ctrlPr>
                  </m:sSubPr>
                  <m:e>
                    <m:r>
                      <w:rPr>
                        <w:rFonts w:ascii="Cambria Math" w:hAnsi="Cambria Math" w:cs="Arial"/>
                      </w:rPr>
                      <m:t>C</m:t>
                    </m:r>
                  </m:e>
                  <m:sub>
                    <m:r>
                      <m:rPr>
                        <m:sty m:val="p"/>
                      </m:rPr>
                      <w:rPr>
                        <w:rFonts w:ascii="Cambria Math" w:hAnsi="Cambria Math" w:cs="Arial"/>
                      </w:rPr>
                      <m:t>2</m:t>
                    </m:r>
                  </m:sub>
                </m:sSub>
                <m:sSub>
                  <m:sSubPr>
                    <m:ctrlPr>
                      <w:rPr>
                        <w:rFonts w:ascii="Cambria Math" w:hAnsi="Cambria Math" w:cs="Arial"/>
                      </w:rPr>
                    </m:ctrlPr>
                  </m:sSubPr>
                  <m:e>
                    <m:r>
                      <w:rPr>
                        <w:rFonts w:ascii="Cambria Math" w:hAnsi="Cambria Math" w:cs="Arial"/>
                      </w:rPr>
                      <m:t>H</m:t>
                    </m:r>
                  </m:e>
                  <m:sub>
                    <m:r>
                      <m:rPr>
                        <m:sty m:val="p"/>
                      </m:rPr>
                      <w:rPr>
                        <w:rFonts w:ascii="Cambria Math" w:hAnsi="Cambria Math" w:cs="Arial"/>
                      </w:rPr>
                      <m:t>6</m:t>
                    </m:r>
                  </m:sub>
                </m:sSub>
              </m:e>
            </m:d>
          </m:den>
        </m:f>
      </m:oMath>
      <w:r w:rsidR="00DD21CC">
        <w:t xml:space="preserve">                                                                               (1)</w:t>
      </w:r>
    </w:p>
    <w:p w14:paraId="677EBFF0" w14:textId="55A7F07C" w:rsidR="00600535" w:rsidRDefault="00DD21CC" w:rsidP="00600535">
      <w:pPr>
        <w:pStyle w:val="CETHeading1"/>
        <w:tabs>
          <w:tab w:val="clear" w:pos="360"/>
          <w:tab w:val="right" w:pos="7100"/>
        </w:tabs>
        <w:jc w:val="both"/>
        <w:rPr>
          <w:lang w:val="en-GB"/>
        </w:rPr>
      </w:pPr>
      <w:r>
        <w:rPr>
          <w:lang w:val="en-GB"/>
        </w:rPr>
        <w:t xml:space="preserve">Results </w:t>
      </w:r>
      <w:r w:rsidR="00C708D4">
        <w:rPr>
          <w:lang w:val="en-GB"/>
        </w:rPr>
        <w:t>and discussion</w:t>
      </w:r>
    </w:p>
    <w:p w14:paraId="26C1A183" w14:textId="63F371A3" w:rsidR="00232472" w:rsidRPr="00232472" w:rsidRDefault="00232472" w:rsidP="00F75815">
      <w:pPr>
        <w:pStyle w:val="CETBodytext"/>
        <w:rPr>
          <w:lang w:val="en-GB"/>
        </w:rPr>
      </w:pPr>
      <w:r>
        <w:rPr>
          <w:lang w:val="en-GB"/>
        </w:rPr>
        <w:t>T</w:t>
      </w:r>
      <w:r w:rsidRPr="00232472">
        <w:rPr>
          <w:lang w:val="en-GB"/>
        </w:rPr>
        <w:t xml:space="preserve">he following </w:t>
      </w:r>
      <w:r w:rsidR="00F75815">
        <w:rPr>
          <w:lang w:val="en-GB"/>
        </w:rPr>
        <w:t>section</w:t>
      </w:r>
      <w:r w:rsidRPr="00232472">
        <w:rPr>
          <w:lang w:val="en-GB"/>
        </w:rPr>
        <w:t xml:space="preserve"> summarizes the main characteristics of combustion</w:t>
      </w:r>
      <w:r>
        <w:rPr>
          <w:lang w:val="en-GB"/>
        </w:rPr>
        <w:t>.</w:t>
      </w:r>
    </w:p>
    <w:p w14:paraId="04963A06" w14:textId="154382E4" w:rsidR="00600535" w:rsidRPr="00B57B36" w:rsidRDefault="00C708D4" w:rsidP="00FA5F5F">
      <w:pPr>
        <w:pStyle w:val="CETheadingx"/>
      </w:pPr>
      <w:r>
        <w:lastRenderedPageBreak/>
        <w:t>Combustion characteristics</w:t>
      </w:r>
    </w:p>
    <w:p w14:paraId="6C84FC9C" w14:textId="6AB0845A" w:rsidR="00C708D4" w:rsidRDefault="00C708D4" w:rsidP="00C708D4">
      <w:pPr>
        <w:pStyle w:val="Paragraphedeliste"/>
        <w:tabs>
          <w:tab w:val="right" w:pos="4962"/>
        </w:tabs>
        <w:spacing w:after="200"/>
        <w:ind w:left="0"/>
      </w:pPr>
      <w:r>
        <w:t xml:space="preserve">          </w:t>
      </w:r>
      <w:r w:rsidRPr="006227C8">
        <w:t xml:space="preserve">Figure 2 presents the coefficient of variations of IMEP versus IMEP for the five gases tested. </w:t>
      </w:r>
      <w:r w:rsidRPr="006B26AE">
        <w:t>COV of IMEP quantifies variability in indicated work per cycle and the stability of combustion.</w:t>
      </w:r>
      <w:r w:rsidRPr="006227C8">
        <w:t xml:space="preserve"> This explains its increase at low loads where the combustion instability is higher due to the misfiring caused by the poor turbulence of the mixture and higher residual gases. All the fuels are shown to operate with COV (IMEP) less than 10%, which indicates good combustion stability. However, syngas is observed to operate with lower COV than pure methane at all loads, especially at low loads where pure methane shows a high sensitivity to load variation.</w:t>
      </w:r>
    </w:p>
    <w:p w14:paraId="394838CF" w14:textId="38A1385E" w:rsidR="00C708D4" w:rsidRDefault="00B139AD" w:rsidP="00C708D4">
      <w:pPr>
        <w:pStyle w:val="CETCaption"/>
        <w:keepNext/>
      </w:pPr>
      <w:r>
        <w:rPr>
          <w:noProof/>
          <w:lang w:val="fr-FR" w:eastAsia="fr-FR"/>
        </w:rPr>
        <w:drawing>
          <wp:inline distT="0" distB="0" distL="0" distR="0" wp14:anchorId="58165472" wp14:editId="0222E1FD">
            <wp:extent cx="1988820" cy="14395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9449" cy="1440000"/>
                    </a:xfrm>
                    <a:prstGeom prst="rect">
                      <a:avLst/>
                    </a:prstGeom>
                    <a:noFill/>
                  </pic:spPr>
                </pic:pic>
              </a:graphicData>
            </a:graphic>
          </wp:inline>
        </w:drawing>
      </w:r>
    </w:p>
    <w:p w14:paraId="3E005CE2" w14:textId="7EA0A884" w:rsidR="00C708D4" w:rsidRDefault="00C708D4" w:rsidP="00C708D4">
      <w:pPr>
        <w:pStyle w:val="CETCaption"/>
      </w:pPr>
      <w:r>
        <w:t xml:space="preserve">Figure </w:t>
      </w:r>
      <w:r>
        <w:fldChar w:fldCharType="begin"/>
      </w:r>
      <w:r>
        <w:instrText xml:space="preserve"> SEQ Figure \* ARABIC </w:instrText>
      </w:r>
      <w:r>
        <w:fldChar w:fldCharType="separate"/>
      </w:r>
      <w:r w:rsidR="00330B3A">
        <w:rPr>
          <w:noProof/>
        </w:rPr>
        <w:t>2</w:t>
      </w:r>
      <w:r>
        <w:fldChar w:fldCharType="end"/>
      </w:r>
      <w:r>
        <w:t xml:space="preserve"> </w:t>
      </w:r>
      <w:r w:rsidRPr="00C45F4B">
        <w:t>Coefficient of variations of IMEP versus IMEP</w:t>
      </w:r>
    </w:p>
    <w:p w14:paraId="7382C781" w14:textId="1E4F59C0" w:rsidR="00600535" w:rsidRPr="00B57B36" w:rsidRDefault="00C708D4" w:rsidP="005543DC">
      <w:pPr>
        <w:pStyle w:val="CETHeadingxx"/>
      </w:pPr>
      <w:r>
        <w:t>Initial flame development phase</w:t>
      </w:r>
    </w:p>
    <w:p w14:paraId="65563690" w14:textId="476F39FB" w:rsidR="00C708D4" w:rsidRDefault="00C708D4" w:rsidP="00FE10D9">
      <w:pPr>
        <w:pStyle w:val="Paragraphedeliste"/>
        <w:ind w:left="0"/>
      </w:pPr>
      <w:r>
        <w:t xml:space="preserve">          </w:t>
      </w:r>
      <w:r w:rsidRPr="004E38A5">
        <w:t>The combustion parameters indicate the higher reactivity of syngas compared to pure methane. This response can be attributed to the thermo-physical prop</w:t>
      </w:r>
      <w:bookmarkStart w:id="3" w:name="_GoBack"/>
      <w:bookmarkEnd w:id="3"/>
      <w:r w:rsidRPr="004E38A5">
        <w:t>erties of the syngas. The presence of hydrogen in the syngas decreases the minimum ignition energy required. Though, the spark energy remains constant for all the compositions leading to an increasing excess energy as the hydrogen content increases.</w:t>
      </w:r>
    </w:p>
    <w:p w14:paraId="32217FFD" w14:textId="77777777" w:rsidR="00B33EDC" w:rsidRDefault="006A7820" w:rsidP="00B51BD1">
      <w:pPr>
        <w:pStyle w:val="CETCaption"/>
      </w:pPr>
      <w:r w:rsidRPr="00EA3F57">
        <w:rPr>
          <w:noProof/>
          <w:lang w:val="fr-FR" w:eastAsia="fr-FR"/>
        </w:rPr>
        <w:drawing>
          <wp:inline distT="0" distB="0" distL="0" distR="0" wp14:anchorId="773518A5" wp14:editId="41613DAD">
            <wp:extent cx="3513821" cy="1440000"/>
            <wp:effectExtent l="0" t="0" r="0" b="8255"/>
            <wp:docPr id="4" name="Picture 8">
              <a:extLst xmlns:a="http://schemas.openxmlformats.org/drawingml/2006/main">
                <a:ext uri="{FF2B5EF4-FFF2-40B4-BE49-F238E27FC236}">
                  <a16:creationId xmlns:a16="http://schemas.microsoft.com/office/drawing/2014/main" id="{BBABC15F-7AB1-46BB-CDC9-98AEFDC87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BABC15F-7AB1-46BB-CDC9-98AEFDC87EBE}"/>
                        </a:ext>
                      </a:extLst>
                    </pic:cNvPr>
                    <pic:cNvPicPr>
                      <a:picLocks noChangeAspect="1"/>
                    </pic:cNvPicPr>
                  </pic:nvPicPr>
                  <pic:blipFill>
                    <a:blip r:embed="rId12"/>
                    <a:stretch>
                      <a:fillRect/>
                    </a:stretch>
                  </pic:blipFill>
                  <pic:spPr>
                    <a:xfrm>
                      <a:off x="0" y="0"/>
                      <a:ext cx="3513821" cy="1440000"/>
                    </a:xfrm>
                    <a:prstGeom prst="rect">
                      <a:avLst/>
                    </a:prstGeom>
                  </pic:spPr>
                </pic:pic>
              </a:graphicData>
            </a:graphic>
          </wp:inline>
        </w:drawing>
      </w:r>
    </w:p>
    <w:p w14:paraId="55E5C5FE" w14:textId="5763FE59" w:rsidR="00C708D4" w:rsidRDefault="00C708D4" w:rsidP="006A7820">
      <w:pPr>
        <w:pStyle w:val="CETCaption"/>
        <w:keepNext/>
      </w:pPr>
      <w:r w:rsidRPr="006A7820">
        <w:t xml:space="preserve">Figure </w:t>
      </w:r>
      <w:r w:rsidRPr="006A7820">
        <w:fldChar w:fldCharType="begin"/>
      </w:r>
      <w:r w:rsidRPr="006A7820">
        <w:instrText xml:space="preserve"> SEQ Figure \* ARABIC </w:instrText>
      </w:r>
      <w:r w:rsidRPr="006A7820">
        <w:fldChar w:fldCharType="separate"/>
      </w:r>
      <w:r w:rsidR="00330B3A" w:rsidRPr="006A7820">
        <w:t>3</w:t>
      </w:r>
      <w:r w:rsidRPr="006A7820">
        <w:fldChar w:fldCharType="end"/>
      </w:r>
      <w:r w:rsidRPr="006A7820">
        <w:t xml:space="preserve"> In-cylinder pressure</w:t>
      </w:r>
      <w:r w:rsidR="006A7820">
        <w:t xml:space="preserve"> (a) and Heat release rate (b)</w:t>
      </w:r>
    </w:p>
    <w:p w14:paraId="193643F2" w14:textId="43330A5F" w:rsidR="00C708D4" w:rsidRDefault="00C708D4" w:rsidP="00C708D4">
      <w:pPr>
        <w:pStyle w:val="CETHeadingxx"/>
      </w:pPr>
      <w:r>
        <w:t>Fast burn phase</w:t>
      </w:r>
    </w:p>
    <w:p w14:paraId="53356A46" w14:textId="3EAF2299" w:rsidR="005543DC" w:rsidRDefault="00C708D4" w:rsidP="00F75815">
      <w:r>
        <w:t xml:space="preserve">          </w:t>
      </w:r>
      <w:r w:rsidRPr="004E38A5">
        <w:t xml:space="preserve">The combustion </w:t>
      </w:r>
      <w:r w:rsidR="00C40D8F" w:rsidRPr="004E38A5">
        <w:t>behaviour</w:t>
      </w:r>
      <w:r w:rsidRPr="004E38A5">
        <w:t xml:space="preserve"> in the fast burn phase shown in Figure 3</w:t>
      </w:r>
      <w:r w:rsidR="00FA7028">
        <w:t xml:space="preserve"> </w:t>
      </w:r>
      <w:r w:rsidRPr="004E38A5">
        <w:t>indicates an advance in the combustion phasing of syngas compared to that of methane which is attributed to the enhanced mixture reactivity of syngas.  Pure methane has the lowest peak cylinder pressure of 40.49 bars at 15.5 °CA</w:t>
      </w:r>
      <w:r w:rsidR="00F75815">
        <w:t xml:space="preserve"> after top dead centre (</w:t>
      </w:r>
      <w:r w:rsidRPr="004E38A5">
        <w:t>ATDC</w:t>
      </w:r>
      <w:r w:rsidR="00F75815">
        <w:t>)</w:t>
      </w:r>
      <w:r w:rsidRPr="004E38A5">
        <w:t xml:space="preserve"> and the lowest peak heat release rate of 31.89 J/CA at 13°CA ATDC. </w:t>
      </w:r>
      <w:r w:rsidR="00F75815">
        <w:t>Moreover,</w:t>
      </w:r>
      <w:r w:rsidRPr="004E38A5">
        <w:t xml:space="preserve"> SG4 </w:t>
      </w:r>
      <w:r w:rsidR="002D7B76" w:rsidRPr="004E38A5">
        <w:t xml:space="preserve">has </w:t>
      </w:r>
      <w:r w:rsidRPr="004E38A5">
        <w:t>the highest peak cylinder pressure of 46.27 bars at 11.5 CA ATDC and the highest peak of heat release rate of 37.71 J/CA at 8.5 CA</w:t>
      </w:r>
      <w:r w:rsidR="002D7B76">
        <w:t>.</w:t>
      </w:r>
    </w:p>
    <w:p w14:paraId="46ECB85D" w14:textId="706D642E" w:rsidR="005543DC" w:rsidRDefault="005543DC" w:rsidP="005543DC">
      <w:pPr>
        <w:pStyle w:val="CETheadingx"/>
      </w:pPr>
      <w:r>
        <w:t>Engine performance</w:t>
      </w:r>
    </w:p>
    <w:p w14:paraId="1F7F1731" w14:textId="286FFBD7" w:rsidR="00072780" w:rsidRPr="00C4087E" w:rsidRDefault="005543DC" w:rsidP="005543DC">
      <w:pPr>
        <w:pStyle w:val="Paragraphedeliste"/>
        <w:spacing w:after="200"/>
        <w:ind w:left="0"/>
      </w:pPr>
      <w:r>
        <w:t xml:space="preserve">          </w:t>
      </w:r>
      <w:r w:rsidRPr="00C4087E">
        <w:t xml:space="preserve">Figures </w:t>
      </w:r>
      <w:r w:rsidR="00797EE9">
        <w:t>4a</w:t>
      </w:r>
      <w:r w:rsidRPr="00C4087E">
        <w:t xml:space="preserve"> and </w:t>
      </w:r>
      <w:r w:rsidR="00797EE9">
        <w:t>4b</w:t>
      </w:r>
      <w:r w:rsidRPr="00C4087E">
        <w:t xml:space="preserve"> show the variation of the brake thermal efficiency and </w:t>
      </w:r>
      <w:r w:rsidRPr="006B26AE">
        <w:t xml:space="preserve">the brake specific fuel consumption </w:t>
      </w:r>
      <w:r w:rsidR="00F75815">
        <w:t>(</w:t>
      </w:r>
      <w:r w:rsidRPr="006B26AE">
        <w:t>BSFC</w:t>
      </w:r>
      <w:r w:rsidR="00F75815">
        <w:t>)</w:t>
      </w:r>
      <w:r w:rsidRPr="006B26AE">
        <w:t>, respectively, fo</w:t>
      </w:r>
      <w:r w:rsidRPr="00C4087E">
        <w:t>r all compositions in terms of the brake power at 1500 rpm</w:t>
      </w:r>
      <w:r>
        <w:t xml:space="preserve"> at WOT conditions</w:t>
      </w:r>
      <w:r w:rsidRPr="00C4087E">
        <w:t xml:space="preserve">. The maximum engine power at this speed varies depending on the fuel used. Methane and SG3 allows the engine to produce a higher power than other compositions. A maximum thermal efficiency of 34.6% is obtained by the combustion of SG1 despite its lower calorific value, while acquiring the maximum BSFC at all loads shown in Figure </w:t>
      </w:r>
      <w:r w:rsidR="00FA7028">
        <w:t>4b</w:t>
      </w:r>
      <w:r w:rsidRPr="00C4087E">
        <w:t>. On the other hand, the minimum thermal efficiency is achieved by the combustion of methane, while having the minimum BSFC because of its higher stoichiometric AFR and calorific value.</w:t>
      </w:r>
    </w:p>
    <w:p w14:paraId="2040D0D1" w14:textId="77777777" w:rsidR="002D7B76" w:rsidRDefault="006A7820" w:rsidP="002D7B76">
      <w:pPr>
        <w:pStyle w:val="CETCaption"/>
        <w:rPr>
          <w:rStyle w:val="CETCaptionCarattere"/>
        </w:rPr>
      </w:pPr>
      <w:r w:rsidRPr="006A7820">
        <w:rPr>
          <w:noProof/>
          <w:lang w:val="fr-FR" w:eastAsia="fr-FR"/>
        </w:rPr>
        <w:lastRenderedPageBreak/>
        <w:drawing>
          <wp:inline distT="0" distB="0" distL="0" distR="0" wp14:anchorId="13547F66" wp14:editId="2C148B28">
            <wp:extent cx="3477130" cy="1440000"/>
            <wp:effectExtent l="0" t="0" r="0" b="8255"/>
            <wp:docPr id="15" name="Picture 14">
              <a:extLst xmlns:a="http://schemas.openxmlformats.org/drawingml/2006/main">
                <a:ext uri="{FF2B5EF4-FFF2-40B4-BE49-F238E27FC236}">
                  <a16:creationId xmlns:a16="http://schemas.microsoft.com/office/drawing/2014/main" id="{B31D4498-2FA9-7ACD-7F76-1264AB7AC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31D4498-2FA9-7ACD-7F76-1264AB7AC683}"/>
                        </a:ext>
                      </a:extLst>
                    </pic:cNvPr>
                    <pic:cNvPicPr>
                      <a:picLocks noChangeAspect="1"/>
                    </pic:cNvPicPr>
                  </pic:nvPicPr>
                  <pic:blipFill>
                    <a:blip r:embed="rId13"/>
                    <a:stretch>
                      <a:fillRect/>
                    </a:stretch>
                  </pic:blipFill>
                  <pic:spPr>
                    <a:xfrm>
                      <a:off x="0" y="0"/>
                      <a:ext cx="3477130" cy="1440000"/>
                    </a:xfrm>
                    <a:prstGeom prst="rect">
                      <a:avLst/>
                    </a:prstGeom>
                  </pic:spPr>
                </pic:pic>
              </a:graphicData>
            </a:graphic>
          </wp:inline>
        </w:drawing>
      </w:r>
    </w:p>
    <w:p w14:paraId="235C2F6E" w14:textId="7774B724" w:rsidR="00072780" w:rsidRPr="002D7B76" w:rsidRDefault="005543DC" w:rsidP="002D7B76">
      <w:pPr>
        <w:pStyle w:val="CETCaption"/>
      </w:pPr>
      <w:r w:rsidRPr="002D7B76">
        <w:t xml:space="preserve">Figure </w:t>
      </w:r>
      <w:r w:rsidR="00797EE9">
        <w:t>4</w:t>
      </w:r>
      <w:r w:rsidRPr="002D7B76">
        <w:t xml:space="preserve"> Brake thermal efficienc</w:t>
      </w:r>
      <w:r w:rsidR="00797EE9">
        <w:t>y (a) and brake specific fuel consumption (b)</w:t>
      </w:r>
      <w:r w:rsidRPr="002D7B76">
        <w:t xml:space="preserve"> versus power output</w:t>
      </w:r>
    </w:p>
    <w:p w14:paraId="3F7980CF" w14:textId="03AC1A29" w:rsidR="005543DC" w:rsidRDefault="005543DC" w:rsidP="00330B3A">
      <w:pPr>
        <w:pStyle w:val="CETheadingx"/>
      </w:pPr>
      <w:r>
        <w:t>Emission characteristics</w:t>
      </w:r>
    </w:p>
    <w:p w14:paraId="7C745143" w14:textId="11782DAD" w:rsidR="00232472" w:rsidRPr="00232472" w:rsidRDefault="00232472" w:rsidP="00F75815">
      <w:pPr>
        <w:pStyle w:val="CETBodytext"/>
      </w:pPr>
      <w:r>
        <w:t>T</w:t>
      </w:r>
      <w:r w:rsidRPr="00232472">
        <w:t xml:space="preserve">he following </w:t>
      </w:r>
      <w:r w:rsidR="00F75815">
        <w:t>section</w:t>
      </w:r>
      <w:r w:rsidRPr="00232472">
        <w:t xml:space="preserve"> summarizes the main </w:t>
      </w:r>
      <w:r w:rsidR="00F75815" w:rsidRPr="00232472">
        <w:t xml:space="preserve">results </w:t>
      </w:r>
      <w:r w:rsidR="00F75815">
        <w:t xml:space="preserve">about pollutant </w:t>
      </w:r>
      <w:r w:rsidRPr="00232472">
        <w:t>emission</w:t>
      </w:r>
      <w:r w:rsidR="00F75815">
        <w:t>s</w:t>
      </w:r>
      <w:r>
        <w:t>.</w:t>
      </w:r>
    </w:p>
    <w:p w14:paraId="5E495CC9" w14:textId="26744EDE" w:rsidR="005543DC" w:rsidRDefault="005543DC" w:rsidP="005543DC">
      <w:pPr>
        <w:pStyle w:val="CETHeadingxx"/>
      </w:pPr>
      <w:r>
        <w:t>Total hydrocarbons THC</w:t>
      </w:r>
    </w:p>
    <w:p w14:paraId="132A9D5F" w14:textId="79602EB5" w:rsidR="006F3F79" w:rsidRPr="002D7B76" w:rsidRDefault="0069024E" w:rsidP="006F3F79">
      <w:r>
        <w:rPr>
          <w:bCs/>
          <w:iCs/>
          <w:lang w:val="en-US"/>
        </w:rPr>
        <w:t xml:space="preserve">          </w:t>
      </w:r>
      <w:r w:rsidRPr="00C4087E">
        <w:t xml:space="preserve">Figure </w:t>
      </w:r>
      <w:r w:rsidR="00797EE9">
        <w:t>5</w:t>
      </w:r>
      <w:r w:rsidR="006250DC">
        <w:t>a</w:t>
      </w:r>
      <w:r w:rsidRPr="00C4087E">
        <w:t xml:space="preserve"> shows the THC emissions of all compositions as a function of the brake power at 1500 rpm. All fuels show a trend of increasing THC emissions at low loads because of the weak flame propagation and the incomplete combustion at these conditions. However, a sharp increase of THC emissions at low loads is observed for pure methane which seems to be more sensitive to load variation than syngas. </w:t>
      </w:r>
      <w:r w:rsidR="00C40D8F" w:rsidRPr="00C4087E">
        <w:t>Besides,</w:t>
      </w:r>
      <w:r w:rsidRPr="00C4087E">
        <w:t xml:space="preserve"> all compositions show lower THC emissions than pure methane by 38 % at intermediate and high loads. This result is attributed to the lower level of hydrocarbons initially contained in the syngas than methane</w:t>
      </w:r>
      <w:r w:rsidR="005D0484">
        <w:t>.</w:t>
      </w:r>
    </w:p>
    <w:p w14:paraId="755DCCCD" w14:textId="15C7B31E" w:rsidR="006F3F79" w:rsidRDefault="006250DC" w:rsidP="002D7B76">
      <w:pPr>
        <w:pStyle w:val="CETCaption"/>
      </w:pPr>
      <w:r w:rsidRPr="006250DC">
        <w:rPr>
          <w:noProof/>
          <w:lang w:val="fr-FR" w:eastAsia="fr-FR"/>
        </w:rPr>
        <w:drawing>
          <wp:inline distT="0" distB="0" distL="0" distR="0" wp14:anchorId="14C4FAC9" wp14:editId="63D59E33">
            <wp:extent cx="3626621" cy="1440000"/>
            <wp:effectExtent l="0" t="0" r="0" b="8255"/>
            <wp:docPr id="1" name="Picture 9">
              <a:extLst xmlns:a="http://schemas.openxmlformats.org/drawingml/2006/main">
                <a:ext uri="{FF2B5EF4-FFF2-40B4-BE49-F238E27FC236}">
                  <a16:creationId xmlns:a16="http://schemas.microsoft.com/office/drawing/2014/main" id="{B1E72602-2863-361A-E165-E0574F3B8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1E72602-2863-361A-E165-E0574F3B8231}"/>
                        </a:ext>
                      </a:extLst>
                    </pic:cNvPr>
                    <pic:cNvPicPr>
                      <a:picLocks noChangeAspect="1"/>
                    </pic:cNvPicPr>
                  </pic:nvPicPr>
                  <pic:blipFill>
                    <a:blip r:embed="rId14"/>
                    <a:stretch>
                      <a:fillRect/>
                    </a:stretch>
                  </pic:blipFill>
                  <pic:spPr>
                    <a:xfrm>
                      <a:off x="0" y="0"/>
                      <a:ext cx="3626621" cy="1440000"/>
                    </a:xfrm>
                    <a:prstGeom prst="rect">
                      <a:avLst/>
                    </a:prstGeom>
                  </pic:spPr>
                </pic:pic>
              </a:graphicData>
            </a:graphic>
          </wp:inline>
        </w:drawing>
      </w:r>
    </w:p>
    <w:p w14:paraId="6821BDF4" w14:textId="7A760B2E" w:rsidR="006F3F79" w:rsidRDefault="006F3F79" w:rsidP="0069024E">
      <w:pPr>
        <w:pStyle w:val="CETCaption"/>
      </w:pPr>
      <w:r>
        <w:t xml:space="preserve">Figure </w:t>
      </w:r>
      <w:r w:rsidR="00797EE9">
        <w:t>5</w:t>
      </w:r>
      <w:r>
        <w:t xml:space="preserve"> </w:t>
      </w:r>
      <w:r w:rsidRPr="00F275AB">
        <w:t>THC emissions</w:t>
      </w:r>
      <w:r w:rsidR="000C6F3B">
        <w:t xml:space="preserve"> (a) and CO emissions (b)</w:t>
      </w:r>
      <w:r w:rsidRPr="00F275AB">
        <w:t xml:space="preserve"> versus power output</w:t>
      </w:r>
    </w:p>
    <w:p w14:paraId="6E5E0F0A" w14:textId="77777777" w:rsidR="006250DC" w:rsidRDefault="006250DC" w:rsidP="006250DC">
      <w:pPr>
        <w:pStyle w:val="CETHeadingxx"/>
      </w:pPr>
      <w:r w:rsidRPr="00330B3A">
        <w:t>CO emissions</w:t>
      </w:r>
    </w:p>
    <w:p w14:paraId="774B6E95" w14:textId="0C805379" w:rsidR="000C6F3B" w:rsidRPr="00C4087E" w:rsidRDefault="006250DC" w:rsidP="000C6F3B">
      <w:pPr>
        <w:rPr>
          <w:bCs/>
          <w:iCs/>
        </w:rPr>
      </w:pPr>
      <w:r>
        <w:rPr>
          <w:bCs/>
          <w:iCs/>
        </w:rPr>
        <w:t xml:space="preserve">       </w:t>
      </w:r>
      <w:r w:rsidRPr="00AB54C4">
        <w:rPr>
          <w:bCs/>
          <w:iCs/>
        </w:rPr>
        <w:t>The decreasing trend of CO with the load is detected with all fuels</w:t>
      </w:r>
      <w:r>
        <w:rPr>
          <w:bCs/>
          <w:iCs/>
        </w:rPr>
        <w:t xml:space="preserve"> in Figure </w:t>
      </w:r>
      <w:r w:rsidR="000C6F3B">
        <w:rPr>
          <w:bCs/>
          <w:iCs/>
        </w:rPr>
        <w:t>5b</w:t>
      </w:r>
      <w:r>
        <w:rPr>
          <w:bCs/>
          <w:iCs/>
        </w:rPr>
        <w:t>.</w:t>
      </w:r>
      <w:r w:rsidR="000C6F3B">
        <w:rPr>
          <w:bCs/>
          <w:iCs/>
        </w:rPr>
        <w:t xml:space="preserve"> </w:t>
      </w:r>
      <w:r w:rsidR="000C6F3B" w:rsidRPr="00AB54C4">
        <w:rPr>
          <w:bCs/>
          <w:iCs/>
        </w:rPr>
        <w:t>It is observed that pure methane emits less CO than syngas. The CO emitted by syngas is basically the unburned CO fractions initially contained in the syngas due to the inhomogeneous distribution of the fuel in the chamber where some portions are too lean to burn completely. CO can also occur by the dissociation of CO</w:t>
      </w:r>
      <w:r w:rsidR="000C6F3B" w:rsidRPr="00750F8F">
        <w:rPr>
          <w:bCs/>
          <w:iCs/>
          <w:vertAlign w:val="subscript"/>
        </w:rPr>
        <w:t>2</w:t>
      </w:r>
      <w:r w:rsidR="000C6F3B" w:rsidRPr="00AB54C4">
        <w:rPr>
          <w:bCs/>
          <w:iCs/>
        </w:rPr>
        <w:t xml:space="preserve"> molecules (already formed in the cylinder or found in the fuel) under the action of high temperatures. </w:t>
      </w:r>
      <w:r w:rsidR="00F75815">
        <w:rPr>
          <w:bCs/>
          <w:iCs/>
        </w:rPr>
        <w:t xml:space="preserve">The results show that </w:t>
      </w:r>
      <w:r w:rsidR="000C6F3B" w:rsidRPr="00AB54C4">
        <w:rPr>
          <w:bCs/>
          <w:iCs/>
        </w:rPr>
        <w:t>SG1 and SG4 emit more CO followed by SG2 and SG3. This order corresponds to the order of the gases according to their CO content.</w:t>
      </w:r>
    </w:p>
    <w:p w14:paraId="72BE8E0C" w14:textId="25DC90F9" w:rsidR="00644BCF" w:rsidRDefault="00644BCF" w:rsidP="00644BCF">
      <w:pPr>
        <w:pStyle w:val="CETHeadingxx"/>
      </w:pPr>
      <w:r>
        <w:t>NO</w:t>
      </w:r>
      <w:r w:rsidRPr="00F75815">
        <w:rPr>
          <w:vertAlign w:val="subscript"/>
        </w:rPr>
        <w:t>x</w:t>
      </w:r>
      <w:r>
        <w:t xml:space="preserve"> emissions</w:t>
      </w:r>
    </w:p>
    <w:p w14:paraId="4B99FE38" w14:textId="43568466" w:rsidR="00EA3F57" w:rsidRPr="009E2277" w:rsidRDefault="00644BCF" w:rsidP="009E2277">
      <w:pPr>
        <w:spacing w:after="200"/>
        <w:rPr>
          <w:rStyle w:val="CETCaptionCarattere"/>
          <w:bCs/>
          <w:i w:val="0"/>
          <w:iCs/>
        </w:rPr>
      </w:pPr>
      <w:r>
        <w:rPr>
          <w:bCs/>
          <w:iCs/>
        </w:rPr>
        <w:t xml:space="preserve">          </w:t>
      </w:r>
      <w:r w:rsidRPr="00C4087E">
        <w:rPr>
          <w:bCs/>
          <w:iCs/>
        </w:rPr>
        <w:t>The brake specific emission of nitrogen oxides (NO</w:t>
      </w:r>
      <w:r w:rsidRPr="00AB54C4">
        <w:rPr>
          <w:bCs/>
          <w:iCs/>
          <w:vertAlign w:val="subscript"/>
        </w:rPr>
        <w:t>x</w:t>
      </w:r>
      <w:r w:rsidRPr="00C4087E">
        <w:rPr>
          <w:bCs/>
          <w:iCs/>
        </w:rPr>
        <w:t xml:space="preserve">) is given by the sum of that of nitric oxide </w:t>
      </w:r>
      <w:r w:rsidR="00FA7028" w:rsidRPr="00C4087E">
        <w:rPr>
          <w:bCs/>
          <w:iCs/>
        </w:rPr>
        <w:t>(</w:t>
      </w:r>
      <w:r w:rsidR="00F75815" w:rsidRPr="00C4087E">
        <w:rPr>
          <w:bCs/>
          <w:iCs/>
        </w:rPr>
        <w:t>NO</w:t>
      </w:r>
      <w:r w:rsidRPr="00C4087E">
        <w:rPr>
          <w:bCs/>
          <w:iCs/>
        </w:rPr>
        <w:t>) and nitrogen dioxide (</w:t>
      </w:r>
      <w:r w:rsidR="00F75815" w:rsidRPr="00C4087E">
        <w:rPr>
          <w:bCs/>
          <w:iCs/>
        </w:rPr>
        <w:t>NO</w:t>
      </w:r>
      <w:r w:rsidR="00F75815">
        <w:rPr>
          <w:bCs/>
          <w:iCs/>
          <w:vertAlign w:val="subscript"/>
        </w:rPr>
        <w:t>2</w:t>
      </w:r>
      <w:r w:rsidRPr="00C4087E">
        <w:rPr>
          <w:bCs/>
          <w:iCs/>
        </w:rPr>
        <w:t>). NO is produced during combustion and results from the oxidation of the atmospheric nitrogen following the Zeldovich mechanism</w:t>
      </w:r>
      <w:r w:rsidR="004F67B7" w:rsidRPr="004F67B7">
        <w:rPr>
          <w:rFonts w:cs="Arial"/>
          <w:color w:val="222222"/>
          <w:sz w:val="20"/>
          <w:shd w:val="clear" w:color="auto" w:fill="FFFFFF"/>
        </w:rPr>
        <w:t xml:space="preserve"> </w:t>
      </w:r>
      <w:r w:rsidR="004F67B7">
        <w:rPr>
          <w:rFonts w:cs="Arial"/>
          <w:color w:val="222222"/>
          <w:sz w:val="20"/>
          <w:shd w:val="clear" w:color="auto" w:fill="FFFFFF"/>
        </w:rPr>
        <w:t>(Zeldvich,1946)</w:t>
      </w:r>
      <w:r w:rsidRPr="00C4087E">
        <w:rPr>
          <w:bCs/>
          <w:iCs/>
        </w:rPr>
        <w:t xml:space="preserve">. </w:t>
      </w:r>
      <w:r w:rsidR="00A429D9">
        <w:rPr>
          <w:bCs/>
          <w:iCs/>
        </w:rPr>
        <w:t>A</w:t>
      </w:r>
      <w:r w:rsidR="00A429D9" w:rsidRPr="00A429D9">
        <w:rPr>
          <w:bCs/>
          <w:iCs/>
        </w:rPr>
        <w:t>ccording to the latter</w:t>
      </w:r>
      <w:r w:rsidRPr="00C4087E">
        <w:rPr>
          <w:bCs/>
          <w:iCs/>
        </w:rPr>
        <w:t xml:space="preserve">, NO formation requires the presence of oxygen and nitrogen at high temperatures. The temperature at which combustion occurs is a first consideration </w:t>
      </w:r>
      <w:r w:rsidR="00A429D9" w:rsidRPr="00C4087E">
        <w:rPr>
          <w:bCs/>
          <w:iCs/>
        </w:rPr>
        <w:t>in determining the NO</w:t>
      </w:r>
      <w:r w:rsidR="00A429D9" w:rsidRPr="00AB54C4">
        <w:rPr>
          <w:bCs/>
          <w:iCs/>
          <w:vertAlign w:val="subscript"/>
        </w:rPr>
        <w:t>x</w:t>
      </w:r>
      <w:r w:rsidR="00A429D9" w:rsidRPr="00C4087E">
        <w:rPr>
          <w:bCs/>
          <w:iCs/>
        </w:rPr>
        <w:t xml:space="preserve"> production.</w:t>
      </w:r>
      <w:r w:rsidR="00A429D9">
        <w:rPr>
          <w:bCs/>
          <w:iCs/>
        </w:rPr>
        <w:t xml:space="preserve"> </w:t>
      </w:r>
      <w:r w:rsidR="00A429D9" w:rsidRPr="00C4087E">
        <w:rPr>
          <w:bCs/>
          <w:iCs/>
        </w:rPr>
        <w:t xml:space="preserve">The adiabatic flame temperature curves of all compositions are consolidated in </w:t>
      </w:r>
      <w:r w:rsidR="00A429D9">
        <w:rPr>
          <w:bCs/>
          <w:iCs/>
        </w:rPr>
        <w:t>F</w:t>
      </w:r>
      <w:r w:rsidR="00A429D9" w:rsidRPr="00C4087E">
        <w:rPr>
          <w:bCs/>
          <w:iCs/>
        </w:rPr>
        <w:t xml:space="preserve">igure </w:t>
      </w:r>
      <w:r w:rsidR="00A429D9">
        <w:rPr>
          <w:bCs/>
          <w:iCs/>
        </w:rPr>
        <w:t>6b</w:t>
      </w:r>
      <w:r w:rsidR="00A429D9" w:rsidRPr="00C4087E">
        <w:rPr>
          <w:bCs/>
          <w:iCs/>
        </w:rPr>
        <w:t xml:space="preserve"> as a function of the brake power. The distribution of the temperature curves coincides perfectly with the distribution of NO</w:t>
      </w:r>
      <w:r w:rsidR="00A429D9" w:rsidRPr="00F75815">
        <w:rPr>
          <w:bCs/>
          <w:iCs/>
          <w:vertAlign w:val="subscript"/>
        </w:rPr>
        <w:t>x</w:t>
      </w:r>
      <w:r w:rsidR="00A429D9" w:rsidRPr="00C4087E">
        <w:rPr>
          <w:bCs/>
          <w:iCs/>
        </w:rPr>
        <w:t xml:space="preserve"> levels shown in Figure </w:t>
      </w:r>
      <w:r w:rsidR="00A429D9">
        <w:rPr>
          <w:bCs/>
          <w:iCs/>
        </w:rPr>
        <w:t>6a</w:t>
      </w:r>
      <w:r w:rsidR="00A429D9" w:rsidRPr="00C4087E">
        <w:rPr>
          <w:bCs/>
          <w:iCs/>
        </w:rPr>
        <w:t>. It can be noticed that pure methane emits less NOx than syngas due to the presence of hydrogen in the syngas which increase the adiabatic</w:t>
      </w:r>
      <w:r w:rsidR="00A429D9">
        <w:rPr>
          <w:bCs/>
          <w:iCs/>
        </w:rPr>
        <w:t xml:space="preserve"> flame temperature.</w:t>
      </w:r>
    </w:p>
    <w:p w14:paraId="4D9590F9" w14:textId="09D10063" w:rsidR="009E2277" w:rsidRDefault="009E2277" w:rsidP="00644BCF">
      <w:pPr>
        <w:keepNext/>
        <w:rPr>
          <w:rStyle w:val="CETCaptionCarattere"/>
        </w:rPr>
      </w:pPr>
      <w:r>
        <w:rPr>
          <w:rStyle w:val="CETCaptionCarattere"/>
          <w:noProof/>
          <w:lang w:val="fr-FR" w:eastAsia="fr-FR"/>
        </w:rPr>
        <w:lastRenderedPageBreak/>
        <w:drawing>
          <wp:inline distT="0" distB="0" distL="0" distR="0" wp14:anchorId="7614B6EC" wp14:editId="719A142F">
            <wp:extent cx="3613150" cy="1439545"/>
            <wp:effectExtent l="0" t="0" r="635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4293" cy="1440000"/>
                    </a:xfrm>
                    <a:prstGeom prst="rect">
                      <a:avLst/>
                    </a:prstGeom>
                    <a:noFill/>
                  </pic:spPr>
                </pic:pic>
              </a:graphicData>
            </a:graphic>
          </wp:inline>
        </w:drawing>
      </w:r>
    </w:p>
    <w:p w14:paraId="370327FC" w14:textId="77777777" w:rsidR="009E2277" w:rsidRDefault="009E2277" w:rsidP="00644BCF">
      <w:pPr>
        <w:keepNext/>
        <w:rPr>
          <w:rStyle w:val="CETCaptionCarattere"/>
        </w:rPr>
      </w:pPr>
    </w:p>
    <w:p w14:paraId="331023B3" w14:textId="7DE78C6D" w:rsidR="00644BCF" w:rsidRPr="00B33EDC" w:rsidRDefault="00644BCF" w:rsidP="00644BCF">
      <w:pPr>
        <w:keepNext/>
        <w:rPr>
          <w:i/>
        </w:rPr>
      </w:pPr>
      <w:r w:rsidRPr="00B33EDC">
        <w:rPr>
          <w:rStyle w:val="CETCaptionCarattere"/>
        </w:rPr>
        <w:t xml:space="preserve">Figure </w:t>
      </w:r>
      <w:r w:rsidR="00797EE9">
        <w:rPr>
          <w:rStyle w:val="CETCaptionCarattere"/>
        </w:rPr>
        <w:t>6</w:t>
      </w:r>
      <w:r w:rsidRPr="00B33EDC">
        <w:rPr>
          <w:rStyle w:val="CETCaptionCarattere"/>
        </w:rPr>
        <w:t xml:space="preserve"> NOx emissions</w:t>
      </w:r>
      <w:r w:rsidR="00797EE9">
        <w:rPr>
          <w:rStyle w:val="CETCaptionCarattere"/>
        </w:rPr>
        <w:t xml:space="preserve"> (a) and adiabatic flame temperature (b)</w:t>
      </w:r>
      <w:r w:rsidRPr="00B33EDC">
        <w:rPr>
          <w:rStyle w:val="CETCaptionCarattere"/>
        </w:rPr>
        <w:t xml:space="preserve"> versus power output</w:t>
      </w:r>
    </w:p>
    <w:p w14:paraId="68D26B83" w14:textId="77777777" w:rsidR="00600535" w:rsidRPr="00B57B36" w:rsidRDefault="00600535" w:rsidP="00600535">
      <w:pPr>
        <w:pStyle w:val="CETHeading1"/>
        <w:rPr>
          <w:lang w:val="en-GB"/>
        </w:rPr>
      </w:pPr>
      <w:r w:rsidRPr="00B57B36">
        <w:rPr>
          <w:lang w:val="en-GB"/>
        </w:rPr>
        <w:t>Conclusions</w:t>
      </w:r>
    </w:p>
    <w:p w14:paraId="56D1D504" w14:textId="6C1E6541" w:rsidR="00330B3A" w:rsidRDefault="00330B3A" w:rsidP="00330B3A">
      <w:pPr>
        <w:pStyle w:val="Paragraphedeliste"/>
        <w:ind w:left="0"/>
      </w:pPr>
      <w:r>
        <w:t xml:space="preserve">          </w:t>
      </w:r>
      <w:r w:rsidRPr="00321545">
        <w:t>Th</w:t>
      </w:r>
      <w:r>
        <w:t xml:space="preserve">e present </w:t>
      </w:r>
      <w:r w:rsidRPr="00321545">
        <w:t xml:space="preserve">work is </w:t>
      </w:r>
      <w:r>
        <w:t xml:space="preserve">based on </w:t>
      </w:r>
      <w:r w:rsidRPr="00321545">
        <w:t>an experimental study on the combustion, perform</w:t>
      </w:r>
      <w:r>
        <w:t>ance and emissions of a</w:t>
      </w:r>
      <w:r w:rsidRPr="00321545">
        <w:t xml:space="preserve"> syngas in spark ignition engine taking into consideration its composition variability. Pure methane was also tested and then considered as a reference of comparison. The results show a faster and smoother combustion of syngas, lower brake emissions of total hydrocarbons, and higher brake emissions of nitrogen oxides and carbon monoxide. </w:t>
      </w:r>
      <w:r w:rsidR="00C40D8F" w:rsidRPr="00321545">
        <w:t>Besides,</w:t>
      </w:r>
      <w:r w:rsidRPr="00321545">
        <w:t xml:space="preserve"> syngas improved the </w:t>
      </w:r>
      <w:r w:rsidRPr="006B26AE">
        <w:t xml:space="preserve">brake thermal efficiency while still maintaining higher </w:t>
      </w:r>
      <w:r>
        <w:t>b</w:t>
      </w:r>
      <w:r w:rsidRPr="006B26AE">
        <w:t>rake specific fuel consumption with respect to methane</w:t>
      </w:r>
      <w:r>
        <w:t xml:space="preserve">. </w:t>
      </w:r>
    </w:p>
    <w:p w14:paraId="15A994B8" w14:textId="7D37B561" w:rsidR="00BA5ECA" w:rsidRDefault="00280FAF" w:rsidP="00BA5ECA">
      <w:pPr>
        <w:pStyle w:val="CETHeadingxx"/>
      </w:pPr>
      <w:r>
        <w:t>Nomenclature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3658"/>
        <w:gridCol w:w="1693"/>
        <w:gridCol w:w="2665"/>
      </w:tblGrid>
      <w:tr w:rsidR="00BA5ECA" w:rsidRPr="00BA5ECA" w14:paraId="5522D98B" w14:textId="77777777" w:rsidTr="00BA5ECA">
        <w:tc>
          <w:tcPr>
            <w:tcW w:w="761" w:type="dxa"/>
          </w:tcPr>
          <w:p w14:paraId="73709051" w14:textId="2A238B46" w:rsidR="00BA5ECA" w:rsidRPr="00BA5ECA" w:rsidRDefault="00BA5ECA" w:rsidP="00BA5ECA">
            <w:pPr>
              <w:pStyle w:val="CETHeadingxx"/>
              <w:spacing w:before="0" w:after="0"/>
              <w:rPr>
                <w:b w:val="0"/>
                <w:bCs/>
                <w:sz w:val="20"/>
              </w:rPr>
            </w:pPr>
            <w:r w:rsidRPr="00BA5ECA">
              <w:rPr>
                <w:b w:val="0"/>
                <w:bCs/>
                <w:sz w:val="20"/>
              </w:rPr>
              <w:t>MBT</w:t>
            </w:r>
          </w:p>
        </w:tc>
        <w:tc>
          <w:tcPr>
            <w:tcW w:w="3658" w:type="dxa"/>
          </w:tcPr>
          <w:p w14:paraId="405D798C" w14:textId="060387FC" w:rsidR="00BA5ECA" w:rsidRPr="00BA5ECA" w:rsidRDefault="00BA5ECA" w:rsidP="00BA5ECA">
            <w:pPr>
              <w:pStyle w:val="CETHeadingxx"/>
              <w:spacing w:before="0" w:after="0"/>
              <w:rPr>
                <w:b w:val="0"/>
                <w:bCs/>
                <w:sz w:val="20"/>
              </w:rPr>
            </w:pPr>
            <w:r>
              <w:rPr>
                <w:b w:val="0"/>
                <w:bCs/>
                <w:sz w:val="20"/>
              </w:rPr>
              <w:t xml:space="preserve">: </w:t>
            </w:r>
            <w:r w:rsidRPr="00BA5ECA">
              <w:rPr>
                <w:b w:val="0"/>
                <w:bCs/>
                <w:sz w:val="20"/>
              </w:rPr>
              <w:t>Maximum Break Torque</w:t>
            </w:r>
          </w:p>
        </w:tc>
        <w:tc>
          <w:tcPr>
            <w:tcW w:w="1693" w:type="dxa"/>
          </w:tcPr>
          <w:p w14:paraId="5D0CCF17" w14:textId="28CDB37A" w:rsidR="00BA5ECA" w:rsidRPr="00BA5ECA" w:rsidRDefault="00BA5ECA" w:rsidP="00BA5ECA">
            <w:pPr>
              <w:pStyle w:val="CETHeadingxx"/>
              <w:spacing w:before="0" w:after="0"/>
              <w:jc w:val="right"/>
              <w:rPr>
                <w:b w:val="0"/>
                <w:bCs/>
                <w:sz w:val="20"/>
              </w:rPr>
            </w:pPr>
            <w:r w:rsidRPr="00BA5ECA">
              <w:rPr>
                <w:b w:val="0"/>
                <w:bCs/>
                <w:sz w:val="20"/>
              </w:rPr>
              <w:t>BTDC</w:t>
            </w:r>
          </w:p>
        </w:tc>
        <w:tc>
          <w:tcPr>
            <w:tcW w:w="2665" w:type="dxa"/>
          </w:tcPr>
          <w:p w14:paraId="4F71A063" w14:textId="7E006F05" w:rsidR="00BA5ECA" w:rsidRPr="00BA5ECA" w:rsidRDefault="00BA5ECA" w:rsidP="00BA5ECA">
            <w:pPr>
              <w:pStyle w:val="CETHeadingxx"/>
              <w:spacing w:before="0" w:after="0"/>
              <w:rPr>
                <w:b w:val="0"/>
                <w:bCs/>
                <w:sz w:val="20"/>
              </w:rPr>
            </w:pPr>
            <w:r>
              <w:rPr>
                <w:b w:val="0"/>
                <w:bCs/>
                <w:sz w:val="20"/>
              </w:rPr>
              <w:t xml:space="preserve">: </w:t>
            </w:r>
            <w:r w:rsidRPr="00BA5ECA">
              <w:rPr>
                <w:b w:val="0"/>
                <w:bCs/>
                <w:sz w:val="20"/>
              </w:rPr>
              <w:t>Before Top Dead Center</w:t>
            </w:r>
          </w:p>
        </w:tc>
      </w:tr>
      <w:tr w:rsidR="00BA5ECA" w:rsidRPr="00BA5ECA" w14:paraId="0F29584C" w14:textId="77777777" w:rsidTr="00BA5ECA">
        <w:tc>
          <w:tcPr>
            <w:tcW w:w="761" w:type="dxa"/>
          </w:tcPr>
          <w:p w14:paraId="350092B2" w14:textId="480E56A4" w:rsidR="00BA5ECA" w:rsidRPr="00BA5ECA" w:rsidRDefault="00BA5ECA" w:rsidP="00BA5ECA">
            <w:pPr>
              <w:pStyle w:val="CETHeadingxx"/>
              <w:spacing w:before="0" w:after="0"/>
              <w:rPr>
                <w:b w:val="0"/>
                <w:bCs/>
                <w:sz w:val="20"/>
              </w:rPr>
            </w:pPr>
            <w:r w:rsidRPr="00341C5A">
              <w:rPr>
                <w:b w:val="0"/>
                <w:sz w:val="20"/>
              </w:rPr>
              <w:t>IMEP</w:t>
            </w:r>
          </w:p>
        </w:tc>
        <w:tc>
          <w:tcPr>
            <w:tcW w:w="3658" w:type="dxa"/>
          </w:tcPr>
          <w:p w14:paraId="72089166" w14:textId="05D9193A" w:rsidR="00BA5ECA" w:rsidRPr="00BA5ECA" w:rsidRDefault="00BA5ECA" w:rsidP="00BA5ECA">
            <w:pPr>
              <w:pStyle w:val="CETHeadingxx"/>
              <w:spacing w:before="0" w:after="0"/>
              <w:rPr>
                <w:b w:val="0"/>
                <w:bCs/>
                <w:sz w:val="20"/>
              </w:rPr>
            </w:pPr>
            <w:r>
              <w:rPr>
                <w:rFonts w:eastAsia="SimSun"/>
                <w:b w:val="0"/>
              </w:rPr>
              <w:t xml:space="preserve">: </w:t>
            </w:r>
            <w:r w:rsidRPr="00341C5A">
              <w:rPr>
                <w:rFonts w:eastAsia="SimSun"/>
                <w:b w:val="0"/>
              </w:rPr>
              <w:t>Indicated Mean Effective Pressure</w:t>
            </w:r>
          </w:p>
        </w:tc>
        <w:tc>
          <w:tcPr>
            <w:tcW w:w="1693" w:type="dxa"/>
          </w:tcPr>
          <w:p w14:paraId="4DBEF4FC" w14:textId="698BBB05" w:rsidR="00BA5ECA" w:rsidRPr="00BA5ECA" w:rsidRDefault="00BA5ECA" w:rsidP="00BA5ECA">
            <w:pPr>
              <w:pStyle w:val="CETHeadingxx"/>
              <w:spacing w:before="0" w:after="0"/>
              <w:jc w:val="right"/>
              <w:rPr>
                <w:b w:val="0"/>
                <w:bCs/>
                <w:sz w:val="20"/>
              </w:rPr>
            </w:pPr>
            <w:r w:rsidRPr="00BA5ECA">
              <w:rPr>
                <w:b w:val="0"/>
                <w:bCs/>
                <w:sz w:val="20"/>
              </w:rPr>
              <w:t>Q</w:t>
            </w:r>
            <w:r w:rsidRPr="00BA5ECA">
              <w:rPr>
                <w:b w:val="0"/>
                <w:bCs/>
                <w:sz w:val="20"/>
                <w:vertAlign w:val="subscript"/>
              </w:rPr>
              <w:t>gas</w:t>
            </w:r>
          </w:p>
        </w:tc>
        <w:tc>
          <w:tcPr>
            <w:tcW w:w="2665" w:type="dxa"/>
          </w:tcPr>
          <w:p w14:paraId="31C935FF" w14:textId="6A25C94B" w:rsidR="00BA5ECA" w:rsidRPr="00BA5ECA" w:rsidRDefault="00BA5ECA" w:rsidP="00BA5ECA">
            <w:pPr>
              <w:pStyle w:val="CETHeadingxx"/>
              <w:spacing w:before="0" w:after="0"/>
              <w:rPr>
                <w:b w:val="0"/>
                <w:bCs/>
                <w:sz w:val="20"/>
              </w:rPr>
            </w:pPr>
            <w:r>
              <w:rPr>
                <w:b w:val="0"/>
                <w:bCs/>
                <w:sz w:val="20"/>
              </w:rPr>
              <w:t xml:space="preserve">: </w:t>
            </w:r>
            <w:r w:rsidRPr="00BA5ECA">
              <w:rPr>
                <w:b w:val="0"/>
                <w:bCs/>
                <w:sz w:val="20"/>
              </w:rPr>
              <w:t>Gas flow rate, nl/min</w:t>
            </w:r>
          </w:p>
        </w:tc>
      </w:tr>
      <w:tr w:rsidR="00BA5ECA" w:rsidRPr="00BA5ECA" w14:paraId="55B7C396" w14:textId="77777777" w:rsidTr="00BA5ECA">
        <w:tc>
          <w:tcPr>
            <w:tcW w:w="761" w:type="dxa"/>
          </w:tcPr>
          <w:p w14:paraId="402D1B39" w14:textId="643CFDDA" w:rsidR="00BA5ECA" w:rsidRPr="00BA5ECA" w:rsidRDefault="00BA5ECA" w:rsidP="00BA5ECA">
            <w:pPr>
              <w:pStyle w:val="CETHeadingxx"/>
              <w:spacing w:before="0" w:after="0"/>
              <w:rPr>
                <w:b w:val="0"/>
                <w:bCs/>
                <w:sz w:val="20"/>
              </w:rPr>
            </w:pPr>
            <w:r w:rsidRPr="00BA5ECA">
              <w:rPr>
                <w:b w:val="0"/>
                <w:bCs/>
                <w:sz w:val="20"/>
              </w:rPr>
              <w:t>ɸ</w:t>
            </w:r>
          </w:p>
        </w:tc>
        <w:tc>
          <w:tcPr>
            <w:tcW w:w="3658" w:type="dxa"/>
          </w:tcPr>
          <w:p w14:paraId="1D7A3BB7" w14:textId="254C9A29" w:rsidR="00BA5ECA" w:rsidRPr="00BA5ECA" w:rsidRDefault="00BA5ECA" w:rsidP="00BA5ECA">
            <w:pPr>
              <w:pStyle w:val="CETHeadingxx"/>
              <w:spacing w:before="0" w:after="0"/>
              <w:rPr>
                <w:b w:val="0"/>
                <w:bCs/>
                <w:sz w:val="20"/>
              </w:rPr>
            </w:pPr>
            <w:r>
              <w:rPr>
                <w:b w:val="0"/>
                <w:bCs/>
                <w:sz w:val="20"/>
              </w:rPr>
              <w:t xml:space="preserve">: </w:t>
            </w:r>
            <w:r w:rsidRPr="00BA5ECA">
              <w:rPr>
                <w:b w:val="0"/>
                <w:bCs/>
                <w:sz w:val="20"/>
              </w:rPr>
              <w:t>Equivalence ratio</w:t>
            </w:r>
          </w:p>
        </w:tc>
        <w:tc>
          <w:tcPr>
            <w:tcW w:w="1693" w:type="dxa"/>
          </w:tcPr>
          <w:p w14:paraId="7551A56F" w14:textId="33C1FC6E" w:rsidR="00BA5ECA" w:rsidRPr="00BA5ECA" w:rsidRDefault="00BA5ECA" w:rsidP="00BA5ECA">
            <w:pPr>
              <w:pStyle w:val="CETHeadingxx"/>
              <w:spacing w:before="0" w:after="0"/>
              <w:jc w:val="right"/>
              <w:rPr>
                <w:b w:val="0"/>
                <w:bCs/>
                <w:sz w:val="20"/>
              </w:rPr>
            </w:pPr>
            <w:r w:rsidRPr="00BA5ECA">
              <w:rPr>
                <w:b w:val="0"/>
                <w:bCs/>
                <w:sz w:val="20"/>
              </w:rPr>
              <w:t>Q</w:t>
            </w:r>
            <w:r>
              <w:rPr>
                <w:b w:val="0"/>
                <w:bCs/>
                <w:sz w:val="20"/>
                <w:vertAlign w:val="subscript"/>
              </w:rPr>
              <w:t>air</w:t>
            </w:r>
          </w:p>
        </w:tc>
        <w:tc>
          <w:tcPr>
            <w:tcW w:w="2665" w:type="dxa"/>
          </w:tcPr>
          <w:p w14:paraId="584477E0" w14:textId="5C11EC58" w:rsidR="00BA5ECA" w:rsidRPr="00BA5ECA" w:rsidRDefault="00BA5ECA" w:rsidP="00BA5ECA">
            <w:pPr>
              <w:pStyle w:val="CETHeadingxx"/>
              <w:spacing w:before="0" w:after="0"/>
              <w:rPr>
                <w:b w:val="0"/>
                <w:bCs/>
                <w:sz w:val="20"/>
              </w:rPr>
            </w:pPr>
            <w:r>
              <w:rPr>
                <w:b w:val="0"/>
                <w:bCs/>
                <w:sz w:val="20"/>
              </w:rPr>
              <w:t>: Air</w:t>
            </w:r>
            <w:r w:rsidRPr="00BA5ECA">
              <w:rPr>
                <w:b w:val="0"/>
                <w:bCs/>
                <w:sz w:val="20"/>
              </w:rPr>
              <w:t xml:space="preserve"> flow rate, nl/min</w:t>
            </w:r>
          </w:p>
        </w:tc>
      </w:tr>
      <w:tr w:rsidR="00BA5ECA" w:rsidRPr="00BA5ECA" w14:paraId="6369AD3F" w14:textId="77777777" w:rsidTr="00BA5ECA">
        <w:tc>
          <w:tcPr>
            <w:tcW w:w="761" w:type="dxa"/>
          </w:tcPr>
          <w:p w14:paraId="05D72AF6" w14:textId="22665EF7" w:rsidR="00BA5ECA" w:rsidRPr="00BA5ECA" w:rsidRDefault="00BA5ECA" w:rsidP="00BA5ECA">
            <w:pPr>
              <w:pStyle w:val="CETHeadingxx"/>
              <w:spacing w:before="0" w:after="0"/>
              <w:rPr>
                <w:b w:val="0"/>
                <w:bCs/>
                <w:sz w:val="20"/>
              </w:rPr>
            </w:pPr>
            <w:r w:rsidRPr="00BA5ECA">
              <w:rPr>
                <w:b w:val="0"/>
                <w:bCs/>
                <w:sz w:val="20"/>
              </w:rPr>
              <w:t>ATDC</w:t>
            </w:r>
          </w:p>
        </w:tc>
        <w:tc>
          <w:tcPr>
            <w:tcW w:w="3658" w:type="dxa"/>
          </w:tcPr>
          <w:p w14:paraId="2A97CE33" w14:textId="7ED6B6C2" w:rsidR="00BA5ECA" w:rsidRPr="00BA5ECA" w:rsidRDefault="00BA5ECA" w:rsidP="00BA5ECA">
            <w:pPr>
              <w:pStyle w:val="CETHeadingxx"/>
              <w:spacing w:before="0" w:after="0"/>
              <w:rPr>
                <w:b w:val="0"/>
                <w:bCs/>
                <w:sz w:val="20"/>
              </w:rPr>
            </w:pPr>
            <w:r>
              <w:rPr>
                <w:b w:val="0"/>
                <w:bCs/>
                <w:sz w:val="20"/>
              </w:rPr>
              <w:t xml:space="preserve">: </w:t>
            </w:r>
            <w:r w:rsidRPr="00BA5ECA">
              <w:rPr>
                <w:b w:val="0"/>
                <w:bCs/>
                <w:sz w:val="20"/>
              </w:rPr>
              <w:t>After Top Dead Center</w:t>
            </w:r>
          </w:p>
        </w:tc>
        <w:tc>
          <w:tcPr>
            <w:tcW w:w="1693" w:type="dxa"/>
          </w:tcPr>
          <w:p w14:paraId="1CCE4229" w14:textId="77777777" w:rsidR="00BA5ECA" w:rsidRPr="00BA5ECA" w:rsidRDefault="00BA5ECA" w:rsidP="00BA5ECA">
            <w:pPr>
              <w:pStyle w:val="CETHeadingxx"/>
              <w:spacing w:before="0" w:after="0"/>
              <w:rPr>
                <w:b w:val="0"/>
                <w:bCs/>
                <w:sz w:val="20"/>
              </w:rPr>
            </w:pPr>
          </w:p>
        </w:tc>
        <w:tc>
          <w:tcPr>
            <w:tcW w:w="2665" w:type="dxa"/>
          </w:tcPr>
          <w:p w14:paraId="2FCCEB3F" w14:textId="77777777" w:rsidR="00BA5ECA" w:rsidRPr="00BA5ECA" w:rsidRDefault="00BA5ECA" w:rsidP="00BA5ECA">
            <w:pPr>
              <w:pStyle w:val="CETHeadingxx"/>
              <w:spacing w:before="0" w:after="0"/>
              <w:rPr>
                <w:b w:val="0"/>
                <w:bCs/>
                <w:sz w:val="20"/>
              </w:rPr>
            </w:pPr>
          </w:p>
        </w:tc>
      </w:tr>
    </w:tbl>
    <w:p w14:paraId="13FD9829" w14:textId="77777777" w:rsidR="00BA5ECA" w:rsidRPr="00BA5ECA" w:rsidRDefault="00BA5ECA" w:rsidP="00BA5ECA">
      <w:pPr>
        <w:pStyle w:val="CETHeadingxx"/>
        <w:sectPr w:rsidR="00BA5ECA" w:rsidRPr="00BA5ECA" w:rsidSect="00B57E6F">
          <w:type w:val="continuous"/>
          <w:pgSz w:w="11906" w:h="16838" w:code="9"/>
          <w:pgMar w:top="1701" w:right="1418" w:bottom="1701" w:left="1701" w:header="1701" w:footer="0" w:gutter="0"/>
          <w:cols w:space="708"/>
          <w:formProt w:val="0"/>
          <w:titlePg/>
          <w:docGrid w:linePitch="360"/>
        </w:sectPr>
      </w:pPr>
    </w:p>
    <w:p w14:paraId="467E1EB4" w14:textId="1C8F1978" w:rsidR="00CA0368" w:rsidRDefault="00600535" w:rsidP="00D07D61">
      <w:pPr>
        <w:pStyle w:val="CETReference"/>
      </w:pPr>
      <w:r w:rsidRPr="00B57B36">
        <w:lastRenderedPageBreak/>
        <w:t>References</w:t>
      </w:r>
    </w:p>
    <w:p w14:paraId="3D8D6AEE" w14:textId="754C039A" w:rsidR="0075107D" w:rsidRDefault="00CA0368" w:rsidP="0075107D">
      <w:pPr>
        <w:pStyle w:val="CETReferencetext"/>
      </w:pPr>
      <w:r w:rsidRPr="006C3A63">
        <w:t>Anand</w:t>
      </w:r>
      <w:r>
        <w:t>,</w:t>
      </w:r>
      <w:r w:rsidRPr="006C3A63">
        <w:t xml:space="preserve"> M. Shivapuji</w:t>
      </w:r>
      <w:r>
        <w:t>, A.M.</w:t>
      </w:r>
      <w:r w:rsidRPr="006C3A63">
        <w:t>, Dasappa</w:t>
      </w:r>
      <w:r>
        <w:t xml:space="preserve">, </w:t>
      </w:r>
      <w:r w:rsidRPr="006C3A63">
        <w:t xml:space="preserve">S. </w:t>
      </w:r>
      <w:r w:rsidRPr="000E4E44">
        <w:t>"</w:t>
      </w:r>
      <w:r w:rsidRPr="006C3A63">
        <w:t>Influence of fuel hydrogen fraction on syngaz fueled SI engine: Fuel thermo-physical property analysis and in-cylinder experimental investigations</w:t>
      </w:r>
      <w:r>
        <w:t xml:space="preserve">, </w:t>
      </w:r>
      <w:r w:rsidRPr="000E4E44">
        <w:t>"</w:t>
      </w:r>
      <w:r w:rsidRPr="006C3A63">
        <w:t xml:space="preserve"> International Journal of Hydrogen Energy, 40, 10308-10328, 2015.</w:t>
      </w:r>
    </w:p>
    <w:p w14:paraId="0348E29B" w14:textId="5399E107" w:rsidR="00CA0368" w:rsidRDefault="00CA0368" w:rsidP="0075107D">
      <w:pPr>
        <w:pStyle w:val="CETReferencetext"/>
      </w:pPr>
      <w:r w:rsidRPr="0075107D">
        <w:t>Bika, A.S., "Synthesis Gas Use in Internal Combustion Engines</w:t>
      </w:r>
      <w:r w:rsidR="00F116F8" w:rsidRPr="0075107D">
        <w:t>» Ph.D.</w:t>
      </w:r>
      <w:r w:rsidRPr="0075107D">
        <w:t xml:space="preserve"> thesis, University of Minnesota. 2010</w:t>
      </w:r>
    </w:p>
    <w:p w14:paraId="5A29168B" w14:textId="05B393BB" w:rsidR="0075107D" w:rsidRDefault="00CA0368" w:rsidP="0075107D">
      <w:pPr>
        <w:pStyle w:val="CETReferencetext"/>
      </w:pPr>
      <w:r w:rsidRPr="006C3A63">
        <w:t>Hagos</w:t>
      </w:r>
      <w:r w:rsidRPr="000E4E44">
        <w:t xml:space="preserve">, </w:t>
      </w:r>
      <w:r>
        <w:t>F.Y.</w:t>
      </w:r>
      <w:r w:rsidR="00F116F8">
        <w:t xml:space="preserve">, </w:t>
      </w:r>
      <w:r w:rsidR="00F116F8" w:rsidRPr="000E4E44">
        <w:t>Rashid</w:t>
      </w:r>
      <w:r>
        <w:t>,</w:t>
      </w:r>
      <w:r w:rsidRPr="006C3A63">
        <w:t xml:space="preserve"> A.</w:t>
      </w:r>
      <w:r>
        <w:t>,</w:t>
      </w:r>
      <w:r w:rsidRPr="000E4E44">
        <w:t xml:space="preserve"> </w:t>
      </w:r>
      <w:r w:rsidRPr="006C3A63">
        <w:t>Aziz</w:t>
      </w:r>
      <w:r>
        <w:t>, A</w:t>
      </w:r>
      <w:r w:rsidRPr="000E4E44">
        <w:t>.</w:t>
      </w:r>
      <w:r w:rsidR="00F116F8" w:rsidRPr="000E4E44">
        <w:t>,</w:t>
      </w:r>
      <w:r w:rsidR="00F116F8">
        <w:t xml:space="preserve"> </w:t>
      </w:r>
      <w:r w:rsidR="00F116F8" w:rsidRPr="006C3A63">
        <w:t>Shaharin</w:t>
      </w:r>
      <w:r>
        <w:t>,</w:t>
      </w:r>
      <w:r w:rsidRPr="006C3A63">
        <w:t xml:space="preserve"> A.</w:t>
      </w:r>
      <w:r>
        <w:t>S.</w:t>
      </w:r>
      <w:r w:rsidRPr="006C3A63">
        <w:t xml:space="preserve"> </w:t>
      </w:r>
      <w:r w:rsidRPr="000E4E44">
        <w:t xml:space="preserve"> "</w:t>
      </w:r>
      <w:r w:rsidRPr="006C3A63">
        <w:rPr>
          <w:i/>
        </w:rPr>
        <w:t xml:space="preserve"> </w:t>
      </w:r>
      <w:r w:rsidRPr="006C3A63">
        <w:t>Methane enrichment of synga</w:t>
      </w:r>
      <w:r>
        <w:t>s</w:t>
      </w:r>
      <w:r w:rsidRPr="006C3A63">
        <w:t xml:space="preserve"> (H</w:t>
      </w:r>
      <w:r w:rsidRPr="00750F8F">
        <w:rPr>
          <w:vertAlign w:val="subscript"/>
        </w:rPr>
        <w:t>2</w:t>
      </w:r>
      <w:r w:rsidRPr="006C3A63">
        <w:t>/CO) in a spark-</w:t>
      </w:r>
      <w:r>
        <w:t xml:space="preserve">       </w:t>
      </w:r>
      <w:r w:rsidRPr="006C3A63">
        <w:t>ignition direct injection engine: Combustion, performance and emissions comparison with synga</w:t>
      </w:r>
      <w:r>
        <w:t>s</w:t>
      </w:r>
      <w:r w:rsidRPr="006C3A63">
        <w:t xml:space="preserve"> and Compressed Natural Gas</w:t>
      </w:r>
      <w:r w:rsidRPr="000E4E44">
        <w:t xml:space="preserve">," </w:t>
      </w:r>
      <w:r w:rsidRPr="006C3A63">
        <w:t>Energy 90</w:t>
      </w:r>
      <w:r>
        <w:t>, 2006 – 2015, 2015</w:t>
      </w:r>
      <w:r w:rsidR="0075107D">
        <w:t>.</w:t>
      </w:r>
    </w:p>
    <w:p w14:paraId="0D16D434" w14:textId="0DE5EAA9" w:rsidR="00CA0368" w:rsidRDefault="00CA0368" w:rsidP="0075107D">
      <w:pPr>
        <w:pStyle w:val="CETReferencetext"/>
        <w:rPr>
          <w:szCs w:val="24"/>
          <w:lang w:val="en-US"/>
        </w:rPr>
      </w:pPr>
      <w:r w:rsidRPr="00D71514">
        <w:rPr>
          <w:szCs w:val="24"/>
          <w:lang w:val="en-US"/>
        </w:rPr>
        <w:t>Jaspers, B. C., Kuo, P.-C., Amladi, A., van Neerbos, W., and Aravind, P. V. (2021). Negative CO</w:t>
      </w:r>
      <w:r w:rsidRPr="00750F8F">
        <w:rPr>
          <w:szCs w:val="24"/>
          <w:vertAlign w:val="subscript"/>
          <w:lang w:val="en-US"/>
        </w:rPr>
        <w:t>2</w:t>
      </w:r>
      <w:r w:rsidRPr="00D71514">
        <w:rPr>
          <w:szCs w:val="24"/>
          <w:lang w:val="en-US"/>
        </w:rPr>
        <w:t xml:space="preserve"> Emissions for Transportation. Front. Energ. Res. 9, 1–5. doi:10.3389/fenrg.2021.626538</w:t>
      </w:r>
    </w:p>
    <w:p w14:paraId="5441A090" w14:textId="043AE4E3" w:rsidR="00CA0368" w:rsidRPr="000C01DA" w:rsidRDefault="00CA0368" w:rsidP="0075107D">
      <w:pPr>
        <w:pStyle w:val="CETReferencetext"/>
        <w:rPr>
          <w:szCs w:val="24"/>
          <w:lang w:val="es-ES"/>
        </w:rPr>
      </w:pPr>
      <w:r w:rsidRPr="00D71514">
        <w:rPr>
          <w:szCs w:val="24"/>
          <w:lang w:val="en-US"/>
        </w:rPr>
        <w:t xml:space="preserve">Li, R., Wang, Z., Tang, C., and Meng, X. (2021). Study on Particulate Structure Characteristics of Diesel Engines Fueled with a Methanol/Biodiesel Blend. </w:t>
      </w:r>
      <w:r w:rsidRPr="000C01DA">
        <w:rPr>
          <w:szCs w:val="24"/>
          <w:lang w:val="es-ES"/>
        </w:rPr>
        <w:t xml:space="preserve">ACS Omega 6, 6081–6087. </w:t>
      </w:r>
      <w:r w:rsidR="00156786" w:rsidRPr="000C01DA">
        <w:rPr>
          <w:szCs w:val="24"/>
          <w:lang w:val="es-ES"/>
        </w:rPr>
        <w:t>doi :</w:t>
      </w:r>
      <w:r w:rsidRPr="000C01DA">
        <w:rPr>
          <w:szCs w:val="24"/>
          <w:lang w:val="es-ES"/>
        </w:rPr>
        <w:t>10.1021/acsomega.0c04371</w:t>
      </w:r>
    </w:p>
    <w:p w14:paraId="748E7662" w14:textId="19D2D07B" w:rsidR="00CA0368" w:rsidRDefault="00CA0368" w:rsidP="0075107D">
      <w:pPr>
        <w:pStyle w:val="CETReferencetext"/>
        <w:rPr>
          <w:szCs w:val="24"/>
          <w:lang w:val="en-US"/>
        </w:rPr>
      </w:pPr>
      <w:r w:rsidRPr="000C01DA">
        <w:rPr>
          <w:szCs w:val="24"/>
          <w:lang w:val="es-ES"/>
        </w:rPr>
        <w:t xml:space="preserve">M. Fiore, V. Magi, A. Viggiano. </w:t>
      </w:r>
      <w:r w:rsidRPr="00D71514">
        <w:rPr>
          <w:szCs w:val="24"/>
          <w:lang w:val="en-US"/>
        </w:rPr>
        <w:t>Internal combustion engines powered by syngas: a review. Appl Energy, 276 (2020), 10.1016/j.apenergy.2020.115415</w:t>
      </w:r>
    </w:p>
    <w:p w14:paraId="7A14D003" w14:textId="5888F95A" w:rsidR="00CA0368" w:rsidRDefault="00CA0368" w:rsidP="0075107D">
      <w:pPr>
        <w:pStyle w:val="CETReferencetext"/>
        <w:rPr>
          <w:szCs w:val="24"/>
          <w:lang w:val="en-US"/>
        </w:rPr>
      </w:pPr>
      <w:r w:rsidRPr="00D71514">
        <w:rPr>
          <w:szCs w:val="24"/>
          <w:lang w:val="en-US"/>
        </w:rPr>
        <w:t>S. Ramalingam, M. Ezhumalai, M. Govindasamy. Syngas: derived from biodiesel and its influence on CI engine. Energy, 189 (2019), 10.1016/j.energy.2019.11618</w:t>
      </w:r>
      <w:r w:rsidR="0075107D">
        <w:rPr>
          <w:szCs w:val="24"/>
          <w:lang w:val="en-US"/>
        </w:rPr>
        <w:t>9</w:t>
      </w:r>
    </w:p>
    <w:p w14:paraId="485E857E" w14:textId="33CCF2BD" w:rsidR="00CA0368" w:rsidRDefault="00CA0368" w:rsidP="0075107D">
      <w:pPr>
        <w:pStyle w:val="CETReferencetext"/>
        <w:rPr>
          <w:szCs w:val="24"/>
          <w:lang w:val="en-US"/>
        </w:rPr>
      </w:pPr>
      <w:r w:rsidRPr="00D71514">
        <w:rPr>
          <w:szCs w:val="24"/>
          <w:lang w:val="en-US"/>
        </w:rPr>
        <w:t>S. Wiemann, R. Hegner, B. Atakan, C. Schulz, S.A. Kaiser. Combined production of power and syngas in an internal combustion engine – experiments and simulations in SI and HCCI mode. Fuel, 215 (2018), pp. 40-45, 10.1016/j.fuel.2017.11.002</w:t>
      </w:r>
    </w:p>
    <w:p w14:paraId="678508E1" w14:textId="41752DD3" w:rsidR="0075107D" w:rsidRPr="00631A98" w:rsidRDefault="00CA0368" w:rsidP="0075107D">
      <w:pPr>
        <w:pStyle w:val="CETReferencetext"/>
        <w:rPr>
          <w:szCs w:val="24"/>
          <w:lang w:val="fr-FR"/>
        </w:rPr>
      </w:pPr>
      <w:r w:rsidRPr="00D71514">
        <w:rPr>
          <w:szCs w:val="24"/>
          <w:lang w:val="en-US"/>
        </w:rPr>
        <w:t xml:space="preserve">Verhelst, S., Turner, J. W., Sileghem, L., and Vancoillie, J. (2019). Methanol as a Fuel for Internal Combustion Engines. Prog. Energ. </w:t>
      </w:r>
      <w:r w:rsidRPr="00631A98">
        <w:rPr>
          <w:szCs w:val="24"/>
          <w:lang w:val="fr-FR"/>
        </w:rPr>
        <w:t xml:space="preserve">Combustion Sci. 70, 43–88. </w:t>
      </w:r>
      <w:r w:rsidR="00156786" w:rsidRPr="00631A98">
        <w:rPr>
          <w:szCs w:val="24"/>
          <w:lang w:val="fr-FR"/>
        </w:rPr>
        <w:t>doi :</w:t>
      </w:r>
      <w:r w:rsidRPr="00631A98">
        <w:rPr>
          <w:szCs w:val="24"/>
          <w:lang w:val="fr-FR"/>
        </w:rPr>
        <w:t>10.1016 j.pecs.2018.10.001</w:t>
      </w:r>
    </w:p>
    <w:p w14:paraId="3FD64C36" w14:textId="3498A61B" w:rsidR="0075107D" w:rsidRDefault="0075107D" w:rsidP="0075107D">
      <w:pPr>
        <w:pStyle w:val="CETReferencetext"/>
        <w:rPr>
          <w:szCs w:val="24"/>
          <w:lang w:val="en-US"/>
        </w:rPr>
      </w:pPr>
      <w:r w:rsidRPr="0075107D">
        <w:rPr>
          <w:szCs w:val="24"/>
          <w:lang w:val="fr-FR"/>
        </w:rPr>
        <w:t xml:space="preserve">W.C. Nadaleti, G. Przybyla. </w:t>
      </w:r>
      <w:r w:rsidRPr="00D71514">
        <w:rPr>
          <w:szCs w:val="24"/>
          <w:lang w:val="en-US"/>
        </w:rPr>
        <w:t xml:space="preserve">Emissions and performance of a spark-ignition gas engine generator operating with hydrogen-rich syngas, methane and biogas blends for application in southern Brazilian rice industries. Energy, 154 (2018), pp. 38-51, 10.1016 </w:t>
      </w:r>
      <w:r w:rsidR="00F116F8" w:rsidRPr="00D71514">
        <w:rPr>
          <w:szCs w:val="24"/>
          <w:lang w:val="en-US"/>
        </w:rPr>
        <w:t>j. energy</w:t>
      </w:r>
      <w:r w:rsidRPr="00D71514">
        <w:rPr>
          <w:szCs w:val="24"/>
          <w:lang w:val="en-US"/>
        </w:rPr>
        <w:t>.2018.04.046</w:t>
      </w:r>
    </w:p>
    <w:p w14:paraId="35BB0709" w14:textId="44408658" w:rsidR="0075107D" w:rsidRPr="0075107D" w:rsidRDefault="0075107D" w:rsidP="0075107D">
      <w:pPr>
        <w:pStyle w:val="CETReferencetext"/>
        <w:rPr>
          <w:lang w:val="en-US"/>
        </w:rPr>
      </w:pPr>
      <w:r w:rsidRPr="00D71514">
        <w:rPr>
          <w:lang w:val="en-US"/>
        </w:rPr>
        <w:t>Wen, X. (2018). Study on the Ignition Characteristics of Methanol Syngas. [dissertation/master's thesis]. Wuhan: Huazhong University of Science and Technology.</w:t>
      </w:r>
    </w:p>
    <w:p w14:paraId="127F0844" w14:textId="04EF9D8A" w:rsidR="004F67B7" w:rsidRDefault="0075107D" w:rsidP="004F67B7">
      <w:pPr>
        <w:pStyle w:val="CETReferencetext"/>
        <w:rPr>
          <w:szCs w:val="24"/>
          <w:lang w:val="en-US"/>
        </w:rPr>
      </w:pPr>
      <w:r w:rsidRPr="00D71514">
        <w:rPr>
          <w:szCs w:val="24"/>
          <w:lang w:val="en-US"/>
        </w:rPr>
        <w:t>Xie, M. (2016). Experimental Study on Mixed Combustion of Dissociated Methanol in SI Engine. [dissertation/master's thesis]. Wuhan: Huazhong University of Science and Technology.</w:t>
      </w:r>
    </w:p>
    <w:p w14:paraId="777B6044" w14:textId="2859D180" w:rsidR="004F67B7" w:rsidRPr="0075107D" w:rsidRDefault="004F67B7" w:rsidP="004F67B7">
      <w:pPr>
        <w:pStyle w:val="CETReferencetext"/>
        <w:rPr>
          <w:szCs w:val="24"/>
          <w:lang w:val="en-US"/>
        </w:rPr>
      </w:pPr>
      <w:r>
        <w:rPr>
          <w:rFonts w:cs="Arial"/>
          <w:color w:val="222222"/>
          <w:sz w:val="20"/>
          <w:shd w:val="clear" w:color="auto" w:fill="FFFFFF"/>
        </w:rPr>
        <w:t>Zeldvich, Y. B. (1946). The oxidation of nitrogen in combustion and explosions.</w:t>
      </w:r>
    </w:p>
    <w:sectPr w:rsidR="004F67B7" w:rsidRPr="0075107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CDEF7" w14:textId="77777777" w:rsidR="00E9146A" w:rsidRDefault="00E9146A" w:rsidP="004F5E36">
      <w:r>
        <w:separator/>
      </w:r>
    </w:p>
  </w:endnote>
  <w:endnote w:type="continuationSeparator" w:id="0">
    <w:p w14:paraId="0497E216" w14:textId="77777777" w:rsidR="00E9146A" w:rsidRDefault="00E9146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473F0" w14:textId="77777777" w:rsidR="00E9146A" w:rsidRDefault="00E9146A" w:rsidP="004F5E36">
      <w:r>
        <w:separator/>
      </w:r>
    </w:p>
  </w:footnote>
  <w:footnote w:type="continuationSeparator" w:id="0">
    <w:p w14:paraId="73665FD7" w14:textId="77777777" w:rsidR="00E9146A" w:rsidRDefault="00E9146A"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8044512"/>
    <w:multiLevelType w:val="multilevel"/>
    <w:tmpl w:val="46CA2122"/>
    <w:lvl w:ilvl="0">
      <w:start w:val="1"/>
      <w:numFmt w:val="decimal"/>
      <w:pStyle w:val="List-Ordered-Numeric"/>
      <w:lvlText w:val="%1."/>
      <w:lvlJc w:val="left"/>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62A9A"/>
    <w:rsid w:val="00065058"/>
    <w:rsid w:val="00072780"/>
    <w:rsid w:val="00081843"/>
    <w:rsid w:val="00086C39"/>
    <w:rsid w:val="000A03B2"/>
    <w:rsid w:val="000C01DA"/>
    <w:rsid w:val="000C6F3B"/>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53B5D"/>
    <w:rsid w:val="00156786"/>
    <w:rsid w:val="00164CF9"/>
    <w:rsid w:val="001667A6"/>
    <w:rsid w:val="00166C66"/>
    <w:rsid w:val="00184AD6"/>
    <w:rsid w:val="001A4AF7"/>
    <w:rsid w:val="001A7E5D"/>
    <w:rsid w:val="001B0349"/>
    <w:rsid w:val="001B1E93"/>
    <w:rsid w:val="001B65C1"/>
    <w:rsid w:val="001C684B"/>
    <w:rsid w:val="001D0CFB"/>
    <w:rsid w:val="001D21AF"/>
    <w:rsid w:val="001D53FC"/>
    <w:rsid w:val="001F42A5"/>
    <w:rsid w:val="001F7B9D"/>
    <w:rsid w:val="00201C93"/>
    <w:rsid w:val="0021147C"/>
    <w:rsid w:val="002224B4"/>
    <w:rsid w:val="00232472"/>
    <w:rsid w:val="002447EF"/>
    <w:rsid w:val="00250BB4"/>
    <w:rsid w:val="00251550"/>
    <w:rsid w:val="00263B05"/>
    <w:rsid w:val="0027221A"/>
    <w:rsid w:val="00275B61"/>
    <w:rsid w:val="00280FAF"/>
    <w:rsid w:val="00282656"/>
    <w:rsid w:val="00296B83"/>
    <w:rsid w:val="002B4015"/>
    <w:rsid w:val="002B78CE"/>
    <w:rsid w:val="002C2FB6"/>
    <w:rsid w:val="002D7B76"/>
    <w:rsid w:val="002E5FA7"/>
    <w:rsid w:val="002F3309"/>
    <w:rsid w:val="003008CE"/>
    <w:rsid w:val="003009B7"/>
    <w:rsid w:val="00300E56"/>
    <w:rsid w:val="0030469C"/>
    <w:rsid w:val="00321CA6"/>
    <w:rsid w:val="00323763"/>
    <w:rsid w:val="00330B3A"/>
    <w:rsid w:val="0033371E"/>
    <w:rsid w:val="00334C09"/>
    <w:rsid w:val="00341C5A"/>
    <w:rsid w:val="003723D4"/>
    <w:rsid w:val="00381905"/>
    <w:rsid w:val="00384CC8"/>
    <w:rsid w:val="003871FD"/>
    <w:rsid w:val="0039685B"/>
    <w:rsid w:val="003A1E30"/>
    <w:rsid w:val="003A2829"/>
    <w:rsid w:val="003A7D1C"/>
    <w:rsid w:val="003B304B"/>
    <w:rsid w:val="003B3146"/>
    <w:rsid w:val="003F015E"/>
    <w:rsid w:val="003F140E"/>
    <w:rsid w:val="00400414"/>
    <w:rsid w:val="0041446B"/>
    <w:rsid w:val="00423AC5"/>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4F67B7"/>
    <w:rsid w:val="00507B47"/>
    <w:rsid w:val="00507BEF"/>
    <w:rsid w:val="00507CC9"/>
    <w:rsid w:val="005119A5"/>
    <w:rsid w:val="005278B7"/>
    <w:rsid w:val="00532016"/>
    <w:rsid w:val="005346C8"/>
    <w:rsid w:val="005421B5"/>
    <w:rsid w:val="00543E7D"/>
    <w:rsid w:val="00547A68"/>
    <w:rsid w:val="005531C9"/>
    <w:rsid w:val="005543DC"/>
    <w:rsid w:val="00567FB1"/>
    <w:rsid w:val="00570C43"/>
    <w:rsid w:val="005B2110"/>
    <w:rsid w:val="005B61E6"/>
    <w:rsid w:val="005C77E1"/>
    <w:rsid w:val="005D0484"/>
    <w:rsid w:val="005D668A"/>
    <w:rsid w:val="005D6A2F"/>
    <w:rsid w:val="005E1A82"/>
    <w:rsid w:val="005E794C"/>
    <w:rsid w:val="005F0A28"/>
    <w:rsid w:val="005F0E5E"/>
    <w:rsid w:val="00600535"/>
    <w:rsid w:val="00610CD6"/>
    <w:rsid w:val="00620DEE"/>
    <w:rsid w:val="00621F92"/>
    <w:rsid w:val="0062280A"/>
    <w:rsid w:val="006250DC"/>
    <w:rsid w:val="00625639"/>
    <w:rsid w:val="00631A98"/>
    <w:rsid w:val="00631B33"/>
    <w:rsid w:val="0064184D"/>
    <w:rsid w:val="006422CC"/>
    <w:rsid w:val="00644BCF"/>
    <w:rsid w:val="0064512A"/>
    <w:rsid w:val="00660E3E"/>
    <w:rsid w:val="00661CA3"/>
    <w:rsid w:val="00662E74"/>
    <w:rsid w:val="00680C23"/>
    <w:rsid w:val="0069024E"/>
    <w:rsid w:val="00693766"/>
    <w:rsid w:val="006A3281"/>
    <w:rsid w:val="006A7820"/>
    <w:rsid w:val="006B4888"/>
    <w:rsid w:val="006C2E45"/>
    <w:rsid w:val="006C359C"/>
    <w:rsid w:val="006C5579"/>
    <w:rsid w:val="006D6E8B"/>
    <w:rsid w:val="006E737D"/>
    <w:rsid w:val="006E79C7"/>
    <w:rsid w:val="006F3F79"/>
    <w:rsid w:val="00713973"/>
    <w:rsid w:val="00720A24"/>
    <w:rsid w:val="00732386"/>
    <w:rsid w:val="00734CC3"/>
    <w:rsid w:val="0073514D"/>
    <w:rsid w:val="007447F3"/>
    <w:rsid w:val="00750E90"/>
    <w:rsid w:val="0075107D"/>
    <w:rsid w:val="0075499F"/>
    <w:rsid w:val="007661C8"/>
    <w:rsid w:val="0077098D"/>
    <w:rsid w:val="007931FA"/>
    <w:rsid w:val="00797EE9"/>
    <w:rsid w:val="007A4861"/>
    <w:rsid w:val="007A7BBA"/>
    <w:rsid w:val="007B0C50"/>
    <w:rsid w:val="007B10B1"/>
    <w:rsid w:val="007B48F9"/>
    <w:rsid w:val="007C1A43"/>
    <w:rsid w:val="0080013E"/>
    <w:rsid w:val="0081128C"/>
    <w:rsid w:val="00813288"/>
    <w:rsid w:val="008168FC"/>
    <w:rsid w:val="0082118E"/>
    <w:rsid w:val="00830996"/>
    <w:rsid w:val="008345F1"/>
    <w:rsid w:val="00865B07"/>
    <w:rsid w:val="008667EA"/>
    <w:rsid w:val="00867065"/>
    <w:rsid w:val="00867839"/>
    <w:rsid w:val="0087637F"/>
    <w:rsid w:val="00892AD5"/>
    <w:rsid w:val="008A1512"/>
    <w:rsid w:val="008B1DC6"/>
    <w:rsid w:val="008B7923"/>
    <w:rsid w:val="008C256C"/>
    <w:rsid w:val="008D32B9"/>
    <w:rsid w:val="008D433B"/>
    <w:rsid w:val="008D4A16"/>
    <w:rsid w:val="008E566E"/>
    <w:rsid w:val="008F421A"/>
    <w:rsid w:val="0090161A"/>
    <w:rsid w:val="00901EB6"/>
    <w:rsid w:val="00904C62"/>
    <w:rsid w:val="00922BA8"/>
    <w:rsid w:val="00924DAC"/>
    <w:rsid w:val="00927058"/>
    <w:rsid w:val="00942750"/>
    <w:rsid w:val="009450CE"/>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D32B8"/>
    <w:rsid w:val="009E2277"/>
    <w:rsid w:val="009E7884"/>
    <w:rsid w:val="009E788A"/>
    <w:rsid w:val="009F0E08"/>
    <w:rsid w:val="00A1763D"/>
    <w:rsid w:val="00A17CEC"/>
    <w:rsid w:val="00A27D9F"/>
    <w:rsid w:val="00A27EF0"/>
    <w:rsid w:val="00A42361"/>
    <w:rsid w:val="00A429D9"/>
    <w:rsid w:val="00A50B20"/>
    <w:rsid w:val="00A51390"/>
    <w:rsid w:val="00A60D13"/>
    <w:rsid w:val="00A7223D"/>
    <w:rsid w:val="00A72745"/>
    <w:rsid w:val="00A76EFC"/>
    <w:rsid w:val="00A91010"/>
    <w:rsid w:val="00A97F29"/>
    <w:rsid w:val="00AA3681"/>
    <w:rsid w:val="00AA702E"/>
    <w:rsid w:val="00AB0964"/>
    <w:rsid w:val="00AB33B6"/>
    <w:rsid w:val="00AB5011"/>
    <w:rsid w:val="00AC7368"/>
    <w:rsid w:val="00AD16B9"/>
    <w:rsid w:val="00AE377D"/>
    <w:rsid w:val="00AF0EBA"/>
    <w:rsid w:val="00B02C8A"/>
    <w:rsid w:val="00B051A3"/>
    <w:rsid w:val="00B139AD"/>
    <w:rsid w:val="00B17FBD"/>
    <w:rsid w:val="00B315A6"/>
    <w:rsid w:val="00B31813"/>
    <w:rsid w:val="00B33365"/>
    <w:rsid w:val="00B33EDC"/>
    <w:rsid w:val="00B417F3"/>
    <w:rsid w:val="00B437E7"/>
    <w:rsid w:val="00B449CA"/>
    <w:rsid w:val="00B51BD1"/>
    <w:rsid w:val="00B57B36"/>
    <w:rsid w:val="00B57E6F"/>
    <w:rsid w:val="00B8686D"/>
    <w:rsid w:val="00B93F69"/>
    <w:rsid w:val="00BA5ECA"/>
    <w:rsid w:val="00BB0009"/>
    <w:rsid w:val="00BB1DDC"/>
    <w:rsid w:val="00BB7740"/>
    <w:rsid w:val="00BC30C9"/>
    <w:rsid w:val="00BC42BC"/>
    <w:rsid w:val="00BD077D"/>
    <w:rsid w:val="00BE3E58"/>
    <w:rsid w:val="00C01616"/>
    <w:rsid w:val="00C0162B"/>
    <w:rsid w:val="00C068ED"/>
    <w:rsid w:val="00C22E0C"/>
    <w:rsid w:val="00C345B1"/>
    <w:rsid w:val="00C40142"/>
    <w:rsid w:val="00C40D8F"/>
    <w:rsid w:val="00C52C3C"/>
    <w:rsid w:val="00C57182"/>
    <w:rsid w:val="00C57863"/>
    <w:rsid w:val="00C640AF"/>
    <w:rsid w:val="00C655FD"/>
    <w:rsid w:val="00C708D4"/>
    <w:rsid w:val="00C75407"/>
    <w:rsid w:val="00C80B28"/>
    <w:rsid w:val="00C870A8"/>
    <w:rsid w:val="00C94434"/>
    <w:rsid w:val="00CA0368"/>
    <w:rsid w:val="00CA0D75"/>
    <w:rsid w:val="00CA1C95"/>
    <w:rsid w:val="00CA5A9C"/>
    <w:rsid w:val="00CC4C20"/>
    <w:rsid w:val="00CD3517"/>
    <w:rsid w:val="00CD5FE2"/>
    <w:rsid w:val="00CE7C68"/>
    <w:rsid w:val="00CF3778"/>
    <w:rsid w:val="00D0232D"/>
    <w:rsid w:val="00D02B4C"/>
    <w:rsid w:val="00D040C4"/>
    <w:rsid w:val="00D07D61"/>
    <w:rsid w:val="00D20AD1"/>
    <w:rsid w:val="00D46B7E"/>
    <w:rsid w:val="00D5388A"/>
    <w:rsid w:val="00D57C84"/>
    <w:rsid w:val="00D6057D"/>
    <w:rsid w:val="00D61352"/>
    <w:rsid w:val="00D71640"/>
    <w:rsid w:val="00D746E2"/>
    <w:rsid w:val="00D836C5"/>
    <w:rsid w:val="00D84576"/>
    <w:rsid w:val="00D9101E"/>
    <w:rsid w:val="00DA1399"/>
    <w:rsid w:val="00DA24C6"/>
    <w:rsid w:val="00DA4D7B"/>
    <w:rsid w:val="00DC3A3B"/>
    <w:rsid w:val="00DD21CC"/>
    <w:rsid w:val="00DD271C"/>
    <w:rsid w:val="00DE264A"/>
    <w:rsid w:val="00DF5072"/>
    <w:rsid w:val="00E02D18"/>
    <w:rsid w:val="00E041E7"/>
    <w:rsid w:val="00E23CA1"/>
    <w:rsid w:val="00E3619C"/>
    <w:rsid w:val="00E409A8"/>
    <w:rsid w:val="00E42980"/>
    <w:rsid w:val="00E50C12"/>
    <w:rsid w:val="00E65B91"/>
    <w:rsid w:val="00E7209D"/>
    <w:rsid w:val="00E72EAD"/>
    <w:rsid w:val="00E77223"/>
    <w:rsid w:val="00E8528B"/>
    <w:rsid w:val="00E85B94"/>
    <w:rsid w:val="00E9146A"/>
    <w:rsid w:val="00E978D0"/>
    <w:rsid w:val="00EA3F57"/>
    <w:rsid w:val="00EA4613"/>
    <w:rsid w:val="00EA7F91"/>
    <w:rsid w:val="00EB1523"/>
    <w:rsid w:val="00EC0E49"/>
    <w:rsid w:val="00EC101F"/>
    <w:rsid w:val="00EC1D9F"/>
    <w:rsid w:val="00EE0131"/>
    <w:rsid w:val="00EE17B0"/>
    <w:rsid w:val="00EF06D9"/>
    <w:rsid w:val="00F116F8"/>
    <w:rsid w:val="00F30C64"/>
    <w:rsid w:val="00F32BA2"/>
    <w:rsid w:val="00F32CDB"/>
    <w:rsid w:val="00F565FE"/>
    <w:rsid w:val="00F63A70"/>
    <w:rsid w:val="00F7534E"/>
    <w:rsid w:val="00F75815"/>
    <w:rsid w:val="00FA1802"/>
    <w:rsid w:val="00FA21D0"/>
    <w:rsid w:val="00FA5F5F"/>
    <w:rsid w:val="00FA7028"/>
    <w:rsid w:val="00FA744F"/>
    <w:rsid w:val="00FB491F"/>
    <w:rsid w:val="00FB730C"/>
    <w:rsid w:val="00FC2695"/>
    <w:rsid w:val="00FC3E03"/>
    <w:rsid w:val="00FC3FC1"/>
    <w:rsid w:val="00FE10D9"/>
    <w:rsid w:val="00FE7A9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styleId="Textedelespacerserv">
    <w:name w:val="Placeholder Text"/>
    <w:basedOn w:val="Policepardfaut"/>
    <w:uiPriority w:val="99"/>
    <w:semiHidden/>
    <w:rsid w:val="00D61352"/>
    <w:rPr>
      <w:color w:val="808080"/>
    </w:rPr>
  </w:style>
  <w:style w:type="paragraph" w:customStyle="1" w:styleId="Head1">
    <w:name w:val="Head1"/>
    <w:basedOn w:val="Normal"/>
    <w:qFormat/>
    <w:rsid w:val="00341C5A"/>
    <w:pPr>
      <w:keepNext/>
      <w:tabs>
        <w:tab w:val="clear" w:pos="7100"/>
      </w:tabs>
      <w:spacing w:after="240" w:line="240" w:lineRule="auto"/>
      <w:jc w:val="left"/>
    </w:pPr>
    <w:rPr>
      <w:rFonts w:ascii="Times New Roman" w:hAnsi="Times New Roman"/>
      <w:b/>
      <w:sz w:val="24"/>
      <w:szCs w:val="28"/>
      <w:lang w:val="en-US"/>
    </w:rPr>
  </w:style>
  <w:style w:type="paragraph" w:customStyle="1" w:styleId="Definition">
    <w:name w:val="Definition"/>
    <w:basedOn w:val="Normal"/>
    <w:next w:val="Normal"/>
    <w:qFormat/>
    <w:rsid w:val="00341C5A"/>
    <w:pPr>
      <w:tabs>
        <w:tab w:val="clear" w:pos="7100"/>
      </w:tabs>
      <w:spacing w:after="240" w:line="240" w:lineRule="auto"/>
      <w:ind w:left="720" w:right="720"/>
      <w:jc w:val="left"/>
    </w:pPr>
    <w:rPr>
      <w:rFonts w:ascii="Times New Roman" w:hAnsi="Times New Roman"/>
      <w:szCs w:val="24"/>
      <w:lang w:val="en-US"/>
    </w:rPr>
  </w:style>
  <w:style w:type="paragraph" w:customStyle="1" w:styleId="List-Ordered-Numeric">
    <w:name w:val="List-Ordered-Numeric"/>
    <w:basedOn w:val="Normal"/>
    <w:qFormat/>
    <w:rsid w:val="00CA0368"/>
    <w:pPr>
      <w:numPr>
        <w:numId w:val="24"/>
      </w:numPr>
      <w:tabs>
        <w:tab w:val="clear" w:pos="7100"/>
      </w:tabs>
      <w:spacing w:after="240" w:line="240" w:lineRule="auto"/>
      <w:contextualSpacing/>
      <w:jc w:val="left"/>
    </w:pPr>
    <w:rPr>
      <w:rFonts w:ascii="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0388E-3F28-405B-98AF-0EC1A369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2993</Words>
  <Characters>16467</Characters>
  <Application>Microsoft Office Word</Application>
  <DocSecurity>0</DocSecurity>
  <Lines>137</Lines>
  <Paragraphs>38</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KLO</cp:lastModifiedBy>
  <cp:revision>6</cp:revision>
  <cp:lastPrinted>2015-05-12T18:31:00Z</cp:lastPrinted>
  <dcterms:created xsi:type="dcterms:W3CDTF">2022-05-25T15:28:00Z</dcterms:created>
  <dcterms:modified xsi:type="dcterms:W3CDTF">2022-06-29T06:45:00Z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