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ABE30D6"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4C3D84">
              <w:rPr>
                <w:rFonts w:cs="Arial"/>
                <w:b/>
                <w:bCs/>
                <w:i/>
                <w:iCs/>
                <w:color w:val="000066"/>
                <w:sz w:val="22"/>
                <w:szCs w:val="22"/>
                <w:lang w:eastAsia="it-IT"/>
              </w:rPr>
              <w:t>6</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2E218E1D"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4C3D84" w:rsidRPr="00A7223D">
              <w:rPr>
                <w:sz w:val="14"/>
                <w:szCs w:val="14"/>
                <w:lang w:val="it-IT"/>
              </w:rPr>
              <w:t xml:space="preserve">David </w:t>
            </w:r>
            <w:proofErr w:type="spellStart"/>
            <w:r w:rsidR="004C3D84" w:rsidRPr="00A7223D">
              <w:rPr>
                <w:sz w:val="14"/>
                <w:szCs w:val="14"/>
                <w:lang w:val="it-IT"/>
              </w:rPr>
              <w:t>Bogle</w:t>
            </w:r>
            <w:proofErr w:type="spellEnd"/>
            <w:r w:rsidR="004C3D84" w:rsidRPr="00A7223D">
              <w:rPr>
                <w:sz w:val="14"/>
                <w:szCs w:val="14"/>
                <w:lang w:val="it-IT"/>
              </w:rPr>
              <w:t>, Flavio Manenti, Piero Salatino</w:t>
            </w:r>
          </w:p>
          <w:p w14:paraId="1B0F1814" w14:textId="17CEC68E"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8D4A16">
              <w:rPr>
                <w:rFonts w:ascii="Tahoma" w:hAnsi="Tahoma" w:cs="Tahoma"/>
                <w:sz w:val="14"/>
                <w:szCs w:val="14"/>
              </w:rPr>
              <w:t>5</w:t>
            </w:r>
            <w:r w:rsidR="00D46B7E">
              <w:rPr>
                <w:rFonts w:ascii="Tahoma" w:hAnsi="Tahoma" w:cs="Tahoma"/>
                <w:sz w:val="14"/>
                <w:szCs w:val="14"/>
              </w:rPr>
              <w:t>-</w:t>
            </w:r>
            <w:r w:rsidR="008D4A16">
              <w:rPr>
                <w:rFonts w:ascii="Tahoma" w:hAnsi="Tahoma" w:cs="Tahoma"/>
                <w:sz w:val="14"/>
                <w:szCs w:val="14"/>
              </w:rPr>
              <w:t>2</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2E667253" w14:textId="6A36BCD5" w:rsidR="00E978D0" w:rsidRPr="00BD7639" w:rsidRDefault="00BD7639" w:rsidP="00E978D0">
      <w:pPr>
        <w:pStyle w:val="CETTitle"/>
        <w:rPr>
          <w:lang w:val="en-US"/>
        </w:rPr>
      </w:pPr>
      <w:r>
        <w:t xml:space="preserve">Anaerobic </w:t>
      </w:r>
      <w:r w:rsidR="00D37576">
        <w:t>c</w:t>
      </w:r>
      <w:r>
        <w:t>o-Digestion Feedstock Blending Optimization</w:t>
      </w:r>
    </w:p>
    <w:p w14:paraId="0488FED2" w14:textId="778BC2BA" w:rsidR="00B57E6F" w:rsidRPr="00BD7639" w:rsidRDefault="00BD7639" w:rsidP="00B57E6F">
      <w:pPr>
        <w:pStyle w:val="CETAuthors"/>
        <w:rPr>
          <w:lang w:val="it-IT"/>
        </w:rPr>
      </w:pPr>
      <w:r w:rsidRPr="00BD7639">
        <w:rPr>
          <w:lang w:val="it-IT"/>
        </w:rPr>
        <w:t>Federico Moretta</w:t>
      </w:r>
      <w:r w:rsidR="00B57E6F" w:rsidRPr="00BD7639">
        <w:rPr>
          <w:lang w:val="it-IT"/>
        </w:rPr>
        <w:t xml:space="preserve">, </w:t>
      </w:r>
      <w:r w:rsidRPr="00BD7639">
        <w:rPr>
          <w:lang w:val="it-IT"/>
        </w:rPr>
        <w:t>Alessia Goracci</w:t>
      </w:r>
      <w:r w:rsidR="00B57E6F" w:rsidRPr="00BD7639">
        <w:rPr>
          <w:lang w:val="it-IT"/>
        </w:rPr>
        <w:t>,</w:t>
      </w:r>
      <w:r w:rsidRPr="00BD7639">
        <w:rPr>
          <w:lang w:val="it-IT"/>
        </w:rPr>
        <w:t xml:space="preserve"> Flavio Manenti, Giulia Bozzano</w:t>
      </w:r>
      <w:r>
        <w:rPr>
          <w:lang w:val="it-IT"/>
        </w:rPr>
        <w:t>*</w:t>
      </w:r>
    </w:p>
    <w:p w14:paraId="3D72B0B0" w14:textId="4E6DC9B3" w:rsidR="00B57E6F" w:rsidRPr="00BD7639" w:rsidRDefault="00BD7639" w:rsidP="00B57E6F">
      <w:pPr>
        <w:pStyle w:val="CETAddress"/>
        <w:rPr>
          <w:lang w:val="it-IT"/>
        </w:rPr>
      </w:pPr>
      <w:r w:rsidRPr="00BD7639">
        <w:rPr>
          <w:lang w:val="it-IT"/>
        </w:rPr>
        <w:t xml:space="preserve">Politecnico di Milano, </w:t>
      </w:r>
      <w:r>
        <w:rPr>
          <w:lang w:val="it-IT"/>
        </w:rPr>
        <w:t>piazza Leonardo da Vinci, 32, 20133, Milan (MI), Italy</w:t>
      </w:r>
      <w:r w:rsidR="00B57E6F" w:rsidRPr="00BD7639">
        <w:rPr>
          <w:lang w:val="it-IT"/>
        </w:rPr>
        <w:t xml:space="preserve"> </w:t>
      </w:r>
    </w:p>
    <w:p w14:paraId="505F0F1A" w14:textId="5CB6735E" w:rsidR="00D37576" w:rsidRDefault="00BD7639" w:rsidP="00D37576">
      <w:pPr>
        <w:pStyle w:val="CETemail"/>
      </w:pPr>
      <w:r>
        <w:t>giulia.bozzano@polimi.it</w:t>
      </w:r>
    </w:p>
    <w:p w14:paraId="681FD676" w14:textId="0C7F5094" w:rsidR="00D37576" w:rsidRDefault="00D37576" w:rsidP="00D37576">
      <w:pPr>
        <w:pStyle w:val="CETBodytext"/>
      </w:pPr>
      <w:r w:rsidRPr="00D37576">
        <w:t>Anaerobic Digestion represents an economically and environmentally friendly technology that allows the</w:t>
      </w:r>
      <w:r>
        <w:t xml:space="preserve"> </w:t>
      </w:r>
      <w:r w:rsidRPr="00D37576">
        <w:t>production of biogas starting from substrates made of waste (e.g., animal manure, agro-industrial and organic waste types, sludges) while also disposing and valorising them. Single substrate digestion frequently unexploits the true bacterial capacity, resulting in low methane production. On the other hand, it has been demonstrated that it might be significantly increased by combining two or more substrates, performing an anaerobic co-digestion. In the last years, many studies have been carried out to understand how different feedstocks interact with each other when put together. However, an easy-to-use and quick technology for the calculation of their optimal blending ratios doesn't exist in the literature, being able to estimate the optimal feedstock composition of co-digestion configurations. Consequently, this work aims to develop a tool that, by understanding how substrates should be combined, allows to obtain the highest possible methane yield. The high number of possible raw materials and the high variability of their composition depending on their source reflects the high complexity of the problem, leading to the creation of a wide database where data about commonly used substrates have been collected from literature. These data have been then analysed and exploited to build a data-driven optimization algorithm – elaborated using Python</w:t>
      </w:r>
      <w:r w:rsidRPr="00D37576">
        <w:rPr>
          <w:vertAlign w:val="superscript"/>
        </w:rPr>
        <w:t>TM</w:t>
      </w:r>
      <w:r w:rsidRPr="00D37576">
        <w:t xml:space="preserve"> programming language – that, through the maximization of an objective function, it can evaluate the optimal blending ratios of the substrates entering industrial batch and CSTR-based digesters. Furthermore, the model considers supply</w:t>
      </w:r>
      <w:r>
        <w:t>-</w:t>
      </w:r>
      <w:r w:rsidRPr="00D37576">
        <w:t>chain issues such as substrate availability and storage options to be more trustworthy in a wide range of industrial settings. Finally, the model was validated by comparing it to experimental batch tests published in the literature as well as industrial data provided by two Italian companies, yielding satisfactory and practical findings.</w:t>
      </w:r>
    </w:p>
    <w:p w14:paraId="476B2F2E" w14:textId="77777777" w:rsidR="00600535" w:rsidRPr="00B57B36" w:rsidRDefault="00600535" w:rsidP="00600535">
      <w:pPr>
        <w:pStyle w:val="CETHeading1"/>
        <w:rPr>
          <w:lang w:val="en-GB"/>
        </w:rPr>
      </w:pPr>
      <w:r w:rsidRPr="00B57B36">
        <w:rPr>
          <w:lang w:val="en-GB"/>
        </w:rPr>
        <w:t>Introduction</w:t>
      </w:r>
    </w:p>
    <w:p w14:paraId="27D976FC" w14:textId="5AC88AFD" w:rsidR="00D37576" w:rsidRPr="00E41380" w:rsidRDefault="00D37576" w:rsidP="00E41380">
      <w:pPr>
        <w:rPr>
          <w:color w:val="000000"/>
          <w:shd w:val="clear" w:color="auto" w:fill="FFFFFF"/>
        </w:rPr>
      </w:pPr>
      <w:r>
        <w:t xml:space="preserve">Anaerobic Digestion (AD) consists </w:t>
      </w:r>
      <w:r w:rsidR="003D15F4">
        <w:t>of</w:t>
      </w:r>
      <w:r>
        <w:t xml:space="preserve"> the spontaneous degradation of </w:t>
      </w:r>
      <w:r w:rsidR="003D15F4">
        <w:t>waste</w:t>
      </w:r>
      <w:r>
        <w:t xml:space="preserve"> through anaerobic bacteria, that in absence of oxygen </w:t>
      </w:r>
      <w:r w:rsidR="00A56F26">
        <w:t>convert</w:t>
      </w:r>
      <w:r>
        <w:t xml:space="preserve"> </w:t>
      </w:r>
      <w:r w:rsidR="00A56F26">
        <w:t>its</w:t>
      </w:r>
      <w:r>
        <w:t xml:space="preserve"> </w:t>
      </w:r>
      <w:r w:rsidR="00A56F26">
        <w:t>organic matter</w:t>
      </w:r>
      <w:r w:rsidR="001C6189">
        <w:t xml:space="preserve"> (OM)</w:t>
      </w:r>
      <w:r>
        <w:t xml:space="preserve"> into biogas – </w:t>
      </w:r>
      <w:r w:rsidR="00A56F26">
        <w:t xml:space="preserve">gas </w:t>
      </w:r>
      <w:r>
        <w:rPr>
          <w:rStyle w:val="normaltextrun"/>
          <w:color w:val="000000"/>
          <w:shd w:val="clear" w:color="auto" w:fill="FFFFFF"/>
        </w:rPr>
        <w:t>composed mainly of methane (50-70%) and carbon dioxide (30-50%) – and a liquid-solid residue called digestate</w:t>
      </w:r>
      <w:r w:rsidR="005D7699">
        <w:rPr>
          <w:rStyle w:val="normaltextrun"/>
          <w:color w:val="000000"/>
          <w:shd w:val="clear" w:color="auto" w:fill="FFFFFF"/>
        </w:rPr>
        <w:t>, which is then stabilized (</w:t>
      </w:r>
      <w:r w:rsidR="00416A78">
        <w:rPr>
          <w:rStyle w:val="normaltextrun"/>
          <w:color w:val="000000"/>
          <w:shd w:val="clear" w:color="auto" w:fill="FFFFFF"/>
        </w:rPr>
        <w:t xml:space="preserve">e.g., </w:t>
      </w:r>
      <w:r w:rsidR="005D7699">
        <w:rPr>
          <w:rStyle w:val="normaltextrun"/>
          <w:color w:val="000000"/>
          <w:shd w:val="clear" w:color="auto" w:fill="FFFFFF"/>
        </w:rPr>
        <w:t>bacteria depletion) and used as a fertilizer or soil additive</w:t>
      </w:r>
      <w:r w:rsidR="00416A78">
        <w:rPr>
          <w:rStyle w:val="normaltextrun"/>
          <w:color w:val="000000"/>
          <w:shd w:val="clear" w:color="auto" w:fill="FFFFFF"/>
        </w:rPr>
        <w:t xml:space="preserve"> </w:t>
      </w:r>
      <w:r w:rsidR="00416A78">
        <w:rPr>
          <w:rStyle w:val="normaltextrun"/>
          <w:color w:val="000000"/>
          <w:shd w:val="clear" w:color="auto" w:fill="FFFFFF"/>
        </w:rPr>
        <w:fldChar w:fldCharType="begin" w:fldLock="1"/>
      </w:r>
      <w:r w:rsidR="00416A78">
        <w:rPr>
          <w:rStyle w:val="normaltextrun"/>
          <w:color w:val="000000"/>
          <w:shd w:val="clear" w:color="auto" w:fill="FFFFFF"/>
        </w:rPr>
        <w:instrText>ADDIN CSL_CITATION {"citationItems":[{"id":"ITEM-1","itemData":{"DOI":"10.3390/en14185666","ISSN":"19961073","abstract":"Blood from livestock slaughtering imposes a high organic pollution load and risks. If it is discharged untreated to sewer systems, it increases the organic pollution load on wastewater treatment plants by 35–50%. This paper reviews blood anaerobic digestion. It analyzes the quantities, composition, methane potential reported, microbiology, biochemical pathways of blood protein degradation, environmental and health issues, and strategies suggested to manage them during livestock blood anaerobic digestion. Although challenging, anaerobic digestion of blood as a mono-substrate is possible if the culture-reactor system is controlled based on a complete characterization and understanding of the microbial community and its metabolic activities. Co-digestion of blood and other feedstock proceeds well if the mixtures are well designed. Generally, the specific methane yield from digesting blood alone ranges between zero and 0.45 m3 kg−1 protein, whereas for co-digesting blood and other substrates, the yield varies between 0.1 and 0.7 m3 kg−1 volatile solids. More research is required for microbiology and kinetics, the role of adsorbents, reactor configuration, and culture adaptation during anaerobic digestion of blood to better control the process.","author":[{"dropping-particle":"","family":"Nazifa","given":"Tasnia Hassan","non-dropping-particle":"","parse-names":false,"suffix":""},{"dropping-particle":"","family":"Cata Saady","given":"Noori M.","non-dropping-particle":"","parse-names":false,"suffix":""},{"dropping-particle":"","family":"Bazan","given":"Carlos","non-dropping-particle":"","parse-names":false,"suffix":""},{"dropping-particle":"","family":"Zendehboudi","given":"Sohrab","non-dropping-particle":"","parse-names":false,"suffix":""},{"dropping-particle":"","family":"Aftab","given":"Adnan","non-dropping-particle":"","parse-names":false,"suffix":""},{"dropping-particle":"","family":"Albayati","given":"Talib M.","non-dropping-particle":"","parse-names":false,"suffix":""}],"container-title":"Energies","id":"ITEM-1","issue":"18","issued":{"date-parts":[["2021","9","1"]]},"publisher":"MDPI","title":"Anaerobic digestion of blood from slaughtered livestock: A review","type":"article","volume":"14"},"uris":["http://www.mendeley.com/documents/?uuid=a151c159-132c-39c6-8d8f-b0e335422dd8"]},{"id":"ITEM-2","itemData":{"DOI":"10.1016/j.rser.2018.06.035","ISSN":"18790690","abstract":"Anaerobic digestion is increasingly used worldwide to generate energy from biogas, bringing significant economic and environmental benefits. In particular, in the European Union (EU), biogas can contribute significantly in several countries to reach the renewable energy targets. This study provides an assessment of the spatial distribution of the biogas potential of farm manure from livestock and poultry in Europe, which is a key issue for the location and economic performances of a bioenergy plant. Biogas estimates provided in this study are computed through a spatial analysis algorithm that uses data of livestock and poultry, manure production and collection, leading to the evaluation of the spatial distribution of biogas potential at 1 km spatial resolution. Following this analysis, the theoretical biogas potential of manure was estimated at 26 billion m3 biomethane in Europe (23 billion m3 biomethane in the EU) and the realistic biogas potential, counting on collectible manure, was assessed at 18 billion m3 biomethane in Europe (16 billion m3 biomethane in the EU). Several maps provide the suitable locations and capacity of manure-based biogas plants in two different scenarios. Between 13,866 and 19,482 biogas plants could be built in Europe, with a total installed capacity between 6144 MWe and 7145 MWe, and an average capacity between 315 kWe and 515 kWe.","author":[{"dropping-particle":"","family":"Scarlat","given":"Nicolae","non-dropping-particle":"","parse-names":false,"suffix":""},{"dropping-particle":"","family":"Fahl","given":"Fernando","non-dropping-particle":"","parse-names":false,"suffix":""},{"dropping-particle":"","family":"Dallemand","given":"Jean François","non-dropping-particle":"","parse-names":false,"suffix":""},{"dropping-particle":"","family":"Monforti","given":"Fabio","non-dropping-particle":"","parse-names":false,"suffix":""},{"dropping-particle":"","family":"Motola","given":"Vicenzo","non-dropping-particle":"","parse-names":false,"suffix":""}],"container-title":"Renewable and Sustainable Energy Reviews","id":"ITEM-2","issue":"June","issued":{"date-parts":[["2018"]]},"page":"915-930","publisher":"Elsevier Ltd","title":"A spatial analysis of biogas potential from manure in Europe","type":"article-journal","volume":"94"},"uris":["http://www.mendeley.com/documents/?uuid=827a7d91-b944-457f-9b48-26e3759f164b"]}],"mendeley":{"formattedCitation":"(Nazifa et al., 2021; Scarlat et al., 2018)","plainTextFormattedCitation":"(Nazifa et al., 2021; Scarlat et al., 2018)","previouslyFormattedCitation":"(Nazifa et al., 2021; Scarlat et al., 2018)"},"properties":{"noteIndex":0},"schema":"https://github.com/citation-style-language/schema/raw/master/csl-citation.json"}</w:instrText>
      </w:r>
      <w:r w:rsidR="00416A78">
        <w:rPr>
          <w:rStyle w:val="normaltextrun"/>
          <w:color w:val="000000"/>
          <w:shd w:val="clear" w:color="auto" w:fill="FFFFFF"/>
        </w:rPr>
        <w:fldChar w:fldCharType="separate"/>
      </w:r>
      <w:r w:rsidR="00416A78" w:rsidRPr="00416A78">
        <w:rPr>
          <w:rStyle w:val="normaltextrun"/>
          <w:noProof/>
          <w:color w:val="000000"/>
          <w:shd w:val="clear" w:color="auto" w:fill="FFFFFF"/>
        </w:rPr>
        <w:t>(Nazifa et al., 2021; Scarlat et al., 2018)</w:t>
      </w:r>
      <w:r w:rsidR="00416A78">
        <w:rPr>
          <w:rStyle w:val="normaltextrun"/>
          <w:color w:val="000000"/>
          <w:shd w:val="clear" w:color="auto" w:fill="FFFFFF"/>
        </w:rPr>
        <w:fldChar w:fldCharType="end"/>
      </w:r>
      <w:r>
        <w:rPr>
          <w:rStyle w:val="normaltextrun"/>
          <w:color w:val="000000"/>
          <w:shd w:val="clear" w:color="auto" w:fill="FFFFFF"/>
        </w:rPr>
        <w:t xml:space="preserve">. At industrial level, </w:t>
      </w:r>
      <w:r w:rsidR="007568A5">
        <w:rPr>
          <w:rStyle w:val="normaltextrun"/>
          <w:color w:val="000000"/>
          <w:shd w:val="clear" w:color="auto" w:fill="FFFFFF"/>
        </w:rPr>
        <w:t>AD</w:t>
      </w:r>
      <w:r>
        <w:rPr>
          <w:rStyle w:val="normaltextrun"/>
          <w:color w:val="000000"/>
          <w:shd w:val="clear" w:color="auto" w:fill="FFFFFF"/>
        </w:rPr>
        <w:t xml:space="preserve"> can be carried out through a discontinuous </w:t>
      </w:r>
      <w:r w:rsidR="00416A78">
        <w:rPr>
          <w:rStyle w:val="normaltextrun"/>
          <w:color w:val="000000"/>
          <w:shd w:val="clear" w:color="auto" w:fill="FFFFFF"/>
        </w:rPr>
        <w:t>or a</w:t>
      </w:r>
      <w:r>
        <w:rPr>
          <w:rStyle w:val="normaltextrun"/>
          <w:color w:val="000000"/>
          <w:shd w:val="clear" w:color="auto" w:fill="FFFFFF"/>
        </w:rPr>
        <w:t xml:space="preserve"> continuous </w:t>
      </w:r>
      <w:r w:rsidR="00416A78">
        <w:rPr>
          <w:rStyle w:val="normaltextrun"/>
          <w:color w:val="000000"/>
          <w:shd w:val="clear" w:color="auto" w:fill="FFFFFF"/>
        </w:rPr>
        <w:t>layout</w:t>
      </w:r>
      <w:r>
        <w:rPr>
          <w:rStyle w:val="normaltextrun"/>
          <w:color w:val="000000"/>
          <w:shd w:val="clear" w:color="auto" w:fill="FFFFFF"/>
        </w:rPr>
        <w:t>, and the efficiency of the process highly depend</w:t>
      </w:r>
      <w:r w:rsidR="007568A5">
        <w:rPr>
          <w:rStyle w:val="normaltextrun"/>
          <w:color w:val="000000"/>
          <w:shd w:val="clear" w:color="auto" w:fill="FFFFFF"/>
        </w:rPr>
        <w:t>s</w:t>
      </w:r>
      <w:r>
        <w:rPr>
          <w:rStyle w:val="normaltextrun"/>
          <w:color w:val="000000"/>
          <w:shd w:val="clear" w:color="auto" w:fill="FFFFFF"/>
        </w:rPr>
        <w:t xml:space="preserve"> on the operating conditions (e.g., </w:t>
      </w:r>
      <w:r w:rsidR="00A56F26">
        <w:rPr>
          <w:rStyle w:val="normaltextrun"/>
          <w:color w:val="000000"/>
          <w:shd w:val="clear" w:color="auto" w:fill="FFFFFF"/>
        </w:rPr>
        <w:t>t</w:t>
      </w:r>
      <w:r>
        <w:rPr>
          <w:rStyle w:val="normaltextrun"/>
          <w:color w:val="000000"/>
          <w:shd w:val="clear" w:color="auto" w:fill="FFFFFF"/>
        </w:rPr>
        <w:t>emperature) and on the nature of the Feedstock</w:t>
      </w:r>
      <w:r w:rsidR="00416A78">
        <w:rPr>
          <w:rStyle w:val="normaltextrun"/>
          <w:color w:val="000000"/>
          <w:shd w:val="clear" w:color="auto" w:fill="FFFFFF"/>
        </w:rPr>
        <w:t xml:space="preserve"> </w:t>
      </w:r>
      <w:r w:rsidR="00416A78">
        <w:rPr>
          <w:rStyle w:val="normaltextrun"/>
          <w:color w:val="000000"/>
          <w:shd w:val="clear" w:color="auto" w:fill="FFFFFF"/>
        </w:rPr>
        <w:fldChar w:fldCharType="begin" w:fldLock="1"/>
      </w:r>
      <w:r w:rsidR="00416A78">
        <w:rPr>
          <w:rStyle w:val="normaltextrun"/>
          <w:color w:val="000000"/>
          <w:shd w:val="clear" w:color="auto" w:fill="FFFFFF"/>
        </w:rPr>
        <w:instrText>ADDIN CSL_CITATION {"citationItems":[{"id":"ITEM-1","itemData":{"DOI":"10.1016/j.renene.2019.05.040","ISSN":"18790682","abstract":"With the rising population and affluence, the management of significantly increased quantity of municipal solid waste is reaching a critical level in almost all regions of the world. The organic fraction of municipal solid waste (OFMSW) has been recognised as a major contributor to climate change, human health risk and ecosystem imbalance. Anaerobic digestion of OFMSW is a reliable and attractive option to convert the complex organic materials into a clean and renewable source of energy. This manuscript begins by providing an overview of physical, chemical and compositional characteristics of OFMSW followed by the presentation of optimum environmental and operational conditions for anaerobic digestion performance, and discussions on the various pretreatment and other in-situ strategies to improve process performance. Future research should focus on reactor improvement, process optimisation and a rigorous life cycle assessment for deploying the pretreatment technology successfully at a commercial scale.","author":[{"dropping-particle":"","family":"Panigrahi","given":"Sagarika","non-dropping-particle":"","parse-names":false,"suffix":""},{"dropping-particle":"","family":"Dubey","given":"Brajesh K.","non-dropping-particle":"","parse-names":false,"suffix":""}],"container-title":"Renewable Energy","id":"ITEM-1","issued":{"date-parts":[["2019","12","1"]]},"page":"779-797","publisher":"Elsevier Ltd","title":"A critical review on operating parameters and strategies to improve the biogas yield from anaerobic digestion of organic fraction of municipal solid waste","type":"article","volume":"143"},"uris":["http://www.mendeley.com/documents/?uuid=dce66fa9-4a8d-3180-877d-3f785389ca11"]}],"mendeley":{"formattedCitation":"(Panigrahi and Dubey, 2019)","plainTextFormattedCitation":"(Panigrahi and Dubey, 2019)","previouslyFormattedCitation":"(Panigrahi and Dubey, 2019)"},"properties":{"noteIndex":0},"schema":"https://github.com/citation-style-language/schema/raw/master/csl-citation.json"}</w:instrText>
      </w:r>
      <w:r w:rsidR="00416A78">
        <w:rPr>
          <w:rStyle w:val="normaltextrun"/>
          <w:color w:val="000000"/>
          <w:shd w:val="clear" w:color="auto" w:fill="FFFFFF"/>
        </w:rPr>
        <w:fldChar w:fldCharType="separate"/>
      </w:r>
      <w:r w:rsidR="00416A78" w:rsidRPr="00416A78">
        <w:rPr>
          <w:rStyle w:val="normaltextrun"/>
          <w:noProof/>
          <w:color w:val="000000"/>
          <w:shd w:val="clear" w:color="auto" w:fill="FFFFFF"/>
        </w:rPr>
        <w:t>(Panigrahi and Dubey, 2019)</w:t>
      </w:r>
      <w:r w:rsidR="00416A78">
        <w:rPr>
          <w:rStyle w:val="normaltextrun"/>
          <w:color w:val="000000"/>
          <w:shd w:val="clear" w:color="auto" w:fill="FFFFFF"/>
        </w:rPr>
        <w:fldChar w:fldCharType="end"/>
      </w:r>
      <w:r>
        <w:rPr>
          <w:rStyle w:val="normaltextrun"/>
          <w:color w:val="000000"/>
          <w:shd w:val="clear" w:color="auto" w:fill="FFFFFF"/>
        </w:rPr>
        <w:t>.</w:t>
      </w:r>
      <w:r w:rsidR="007568A5">
        <w:rPr>
          <w:rStyle w:val="normaltextrun"/>
          <w:color w:val="000000"/>
          <w:shd w:val="clear" w:color="auto" w:fill="FFFFFF"/>
        </w:rPr>
        <w:t xml:space="preserve"> Furthermore,</w:t>
      </w:r>
      <w:r>
        <w:rPr>
          <w:rStyle w:val="normaltextrun"/>
          <w:color w:val="000000"/>
          <w:shd w:val="clear" w:color="auto" w:fill="FFFFFF"/>
        </w:rPr>
        <w:t xml:space="preserve"> </w:t>
      </w:r>
      <w:r w:rsidR="007568A5">
        <w:rPr>
          <w:color w:val="000000"/>
          <w:shd w:val="clear" w:color="auto" w:fill="FFFFFF"/>
        </w:rPr>
        <w:t>it is common knowledge</w:t>
      </w:r>
      <w:r w:rsidR="003326B6">
        <w:rPr>
          <w:color w:val="000000"/>
          <w:shd w:val="clear" w:color="auto" w:fill="FFFFFF"/>
        </w:rPr>
        <w:t xml:space="preserve"> </w:t>
      </w:r>
      <w:r w:rsidR="003326B6">
        <w:rPr>
          <w:color w:val="000000"/>
          <w:shd w:val="clear" w:color="auto" w:fill="FFFFFF"/>
        </w:rPr>
        <w:fldChar w:fldCharType="begin" w:fldLock="1"/>
      </w:r>
      <w:r w:rsidR="00416A78">
        <w:rPr>
          <w:color w:val="000000"/>
          <w:shd w:val="clear" w:color="auto" w:fill="FFFFFF"/>
        </w:rPr>
        <w:instrText>ADDIN CSL_CITATION {"citationItems":[{"id":"ITEM-1","itemData":{"DOI":"10.1016/j.biortech.2017.09.169","ISSN":"18732976","PMID":"29040857","abstract":"Biogas production potential of the three feedstocks fish ensilage, manure and whey was evaluated using biochemical methane potential (BMP) tests. Since anaerobic digestion of single substrates may be inefficient due to imbalances in the carbon-nitrogen ratio, degree of biodegradability and/or due to lack of nutrients needed by the microbial community, co-digestion of these substrates was also assessed, revealing synergistic effects and a particularly good effect of combining manure with fish ensilage. In this latter case, methane yields were up to 84% higher than the weighted average of the methane yields obtained with the individual substrates. The type of substrate was the dominating cause of variation in methane production rates and yields.","author":[{"dropping-particle":"","family":"Vivekanand","given":"Vivekanand","non-dropping-particle":"","parse-names":false,"suffix":""},{"dropping-particle":"","family":"Mulat","given":"Daniel Girma","non-dropping-particle":"","parse-names":false,"suffix":""},{"dropping-particle":"","family":"Eijsink","given":"Vincent G.H.","non-dropping-particle":"","parse-names":false,"suffix":""},{"dropping-particle":"","family":"Horn","given":"Svein J.","non-dropping-particle":"","parse-names":false,"suffix":""}],"container-title":"Bioresource Technology","id":"ITEM-1","issue":"July 2017","issued":{"date-parts":[["2018"]]},"page":"35-41","publisher":"Elsevier","title":"Synergistic effects of anaerobic co-digestion of whey, manure and fish ensilage","type":"article-journal","volume":"249"},"uris":["http://www.mendeley.com/documents/?uuid=70776d02-77fa-4691-bb35-bd8411f05dd4"]}],"mendeley":{"formattedCitation":"(Vivekanand et al., 2018)","plainTextFormattedCitation":"(Vivekanand et al., 2018)","previouslyFormattedCitation":"(Vivekanand et al., 2018)"},"properties":{"noteIndex":0},"schema":"https://github.com/citation-style-language/schema/raw/master/csl-citation.json"}</w:instrText>
      </w:r>
      <w:r w:rsidR="003326B6">
        <w:rPr>
          <w:color w:val="000000"/>
          <w:shd w:val="clear" w:color="auto" w:fill="FFFFFF"/>
        </w:rPr>
        <w:fldChar w:fldCharType="separate"/>
      </w:r>
      <w:r w:rsidR="003326B6" w:rsidRPr="003326B6">
        <w:rPr>
          <w:noProof/>
          <w:color w:val="000000"/>
          <w:shd w:val="clear" w:color="auto" w:fill="FFFFFF"/>
        </w:rPr>
        <w:t>(Vivekanand et al., 2018)</w:t>
      </w:r>
      <w:r w:rsidR="003326B6">
        <w:rPr>
          <w:color w:val="000000"/>
          <w:shd w:val="clear" w:color="auto" w:fill="FFFFFF"/>
        </w:rPr>
        <w:fldChar w:fldCharType="end"/>
      </w:r>
      <w:r>
        <w:rPr>
          <w:color w:val="000000"/>
          <w:shd w:val="clear" w:color="auto" w:fill="FFFFFF"/>
        </w:rPr>
        <w:t xml:space="preserve"> that AD of a single kind of </w:t>
      </w:r>
      <w:r w:rsidR="00416A78">
        <w:rPr>
          <w:color w:val="000000"/>
          <w:shd w:val="clear" w:color="auto" w:fill="FFFFFF"/>
        </w:rPr>
        <w:t xml:space="preserve">feedstock </w:t>
      </w:r>
      <w:r>
        <w:rPr>
          <w:szCs w:val="24"/>
        </w:rPr>
        <w:t xml:space="preserve">(e.g., animal manure, agro-industrial and organic waste types, sewage sludge) might lead to low methane yields due to inappropriate </w:t>
      </w:r>
      <w:r w:rsidR="00416A78">
        <w:rPr>
          <w:szCs w:val="24"/>
        </w:rPr>
        <w:t>characteristics</w:t>
      </w:r>
      <w:r>
        <w:rPr>
          <w:szCs w:val="24"/>
        </w:rPr>
        <w:t xml:space="preserve">, </w:t>
      </w:r>
      <w:r w:rsidR="00416A78">
        <w:rPr>
          <w:szCs w:val="24"/>
        </w:rPr>
        <w:t>such as</w:t>
      </w:r>
      <w:r>
        <w:rPr>
          <w:szCs w:val="24"/>
        </w:rPr>
        <w:t xml:space="preserve"> </w:t>
      </w:r>
      <w:r>
        <w:rPr>
          <w:rStyle w:val="normaltextrun"/>
          <w:color w:val="000000"/>
          <w:shd w:val="clear" w:color="auto" w:fill="FFFFFF"/>
        </w:rPr>
        <w:t>the lack of some nutrients</w:t>
      </w:r>
      <w:r w:rsidR="00416A78">
        <w:rPr>
          <w:rStyle w:val="normaltextrun"/>
          <w:color w:val="000000"/>
          <w:shd w:val="clear" w:color="auto" w:fill="FFFFFF"/>
        </w:rPr>
        <w:t xml:space="preserve"> (i.e., potassium, phosphorous)</w:t>
      </w:r>
      <w:r>
        <w:rPr>
          <w:szCs w:val="24"/>
        </w:rPr>
        <w:t xml:space="preserve">. To improve </w:t>
      </w:r>
      <w:r w:rsidR="0085653F">
        <w:rPr>
          <w:szCs w:val="24"/>
        </w:rPr>
        <w:t>it</w:t>
      </w:r>
      <w:r>
        <w:rPr>
          <w:szCs w:val="24"/>
        </w:rPr>
        <w:t xml:space="preserve">, co-Digestion (AcoD) can be exploited, </w:t>
      </w:r>
      <w:r w:rsidR="0085653F">
        <w:rPr>
          <w:rStyle w:val="normaltextrun"/>
          <w:color w:val="000000"/>
          <w:shd w:val="clear" w:color="auto" w:fill="FFFFFF"/>
        </w:rPr>
        <w:t>involving</w:t>
      </w:r>
      <w:r>
        <w:rPr>
          <w:rStyle w:val="normaltextrun"/>
          <w:color w:val="000000"/>
          <w:shd w:val="clear" w:color="auto" w:fill="FFFFFF"/>
        </w:rPr>
        <w:t xml:space="preserve"> the simultaneous</w:t>
      </w:r>
      <w:r w:rsidR="00F257C9">
        <w:rPr>
          <w:rStyle w:val="normaltextrun"/>
          <w:color w:val="000000"/>
          <w:shd w:val="clear" w:color="auto" w:fill="FFFFFF"/>
        </w:rPr>
        <w:t xml:space="preserve"> use</w:t>
      </w:r>
      <w:r>
        <w:rPr>
          <w:rStyle w:val="normaltextrun"/>
          <w:color w:val="000000"/>
          <w:shd w:val="clear" w:color="auto" w:fill="FFFFFF"/>
        </w:rPr>
        <w:t xml:space="preserve"> of multiple </w:t>
      </w:r>
      <w:r w:rsidR="0085653F">
        <w:rPr>
          <w:rStyle w:val="normaltextrun"/>
          <w:color w:val="000000"/>
          <w:shd w:val="clear" w:color="auto" w:fill="FFFFFF"/>
        </w:rPr>
        <w:t xml:space="preserve">feedstocks </w:t>
      </w:r>
      <w:r>
        <w:rPr>
          <w:rStyle w:val="normaltextrun"/>
          <w:color w:val="000000"/>
          <w:shd w:val="clear" w:color="auto" w:fill="FFFFFF"/>
        </w:rPr>
        <w:t xml:space="preserve">that show complementary </w:t>
      </w:r>
      <w:r w:rsidR="00640EB0">
        <w:rPr>
          <w:rStyle w:val="normaltextrun"/>
          <w:color w:val="000000"/>
          <w:shd w:val="clear" w:color="auto" w:fill="FFFFFF"/>
        </w:rPr>
        <w:t>properties</w:t>
      </w:r>
      <w:r>
        <w:rPr>
          <w:rStyle w:val="normaltextrun"/>
          <w:color w:val="000000"/>
          <w:shd w:val="clear" w:color="auto" w:fill="FFFFFF"/>
        </w:rPr>
        <w:t xml:space="preserve"> and </w:t>
      </w:r>
      <w:r w:rsidR="00640EB0">
        <w:rPr>
          <w:rStyle w:val="normaltextrun"/>
          <w:color w:val="000000"/>
          <w:shd w:val="clear" w:color="auto" w:fill="FFFFFF"/>
        </w:rPr>
        <w:t>obtaining</w:t>
      </w:r>
      <w:r>
        <w:rPr>
          <w:rStyle w:val="normaltextrun"/>
          <w:color w:val="000000"/>
          <w:shd w:val="clear" w:color="auto" w:fill="FFFFFF"/>
        </w:rPr>
        <w:t xml:space="preserve"> optimal feeding conditions </w:t>
      </w:r>
      <w:r w:rsidR="000C5F2D">
        <w:rPr>
          <w:rStyle w:val="normaltextrun"/>
          <w:color w:val="000000"/>
          <w:shd w:val="clear" w:color="auto" w:fill="FFFFFF"/>
        </w:rPr>
        <w:fldChar w:fldCharType="begin" w:fldLock="1"/>
      </w:r>
      <w:r w:rsidR="00D748FC">
        <w:rPr>
          <w:rStyle w:val="normaltextrun"/>
          <w:color w:val="000000"/>
          <w:shd w:val="clear" w:color="auto" w:fill="FFFFFF"/>
        </w:rPr>
        <w:instrText>ADDIN CSL_CITATION {"citationItems":[{"id":"ITEM-1","itemData":{"DOI":"10.1016/j.jclepro.2018.05.155","ISSN":"09596526","abstract":"The world is now seeking sources of renewable energy that are both economical and environmentally friendly. Purified biogas is one essential source of renewable energy that can act as a substitute for fossil fuels. Anaerobic digestion has been recognised as a biochemical method of biogas generation that can convert organic compounds into a sustainable source of energy. Anaerobic co-digestion, AcoD is considered a pragmatic method to resolve the difficulties related to substrate properties and system optimisation in single-substrate digestion processes. The present manuscript studied the research prospects and challenges of anaerobic co-digestion, and the contributions of different methods in biogas generation studies. With the increased use of anaerobic co-digestion, the complexity of the process also increases. Several mathematical models had been established to optimise the anaerobic co-digestion technique. The biological methane potential test is a preferred technique for measuring the biodegradability and decomposition rate of organic substances. Furthermore, various additives are now used to maximise methane production. The improvement and optimisation processes of biogas production still need to be investigated in greater detail. In developing countries like Malaysia, biogas production may be more economically feasible if the latest simulation and characterisation methods are used at the industrial scale. Finally, this review describes a design and development framework to incorporate various aspects to enhance biogas production.","author":[{"dropping-particle":"","family":"Siddique","given":"Md Nurul Islam","non-dropping-particle":"","parse-names":false,"suffix":""},{"dropping-particle":"","family":"Wahid","given":"Zularisam Ab","non-dropping-particle":"","parse-names":false,"suffix":""}],"container-title":"Journal of Cleaner Production","id":"ITEM-1","issued":{"date-parts":[["2018","9","1"]]},"page":"359-371","publisher":"Elsevier Ltd","title":"Achievements and perspectives of anaerobic co-digestion: A review","type":"article","volume":"194"},"uris":["http://www.mendeley.com/documents/?uuid=f805de04-c5d8-3bc8-9819-d823771bfb7c"]}],"mendeley":{"formattedCitation":"(Siddique and Wahid, 2018)","plainTextFormattedCitation":"(Siddique and Wahid, 2018)","previouslyFormattedCitation":"(Siddique and Wahid, 2018)"},"properties":{"noteIndex":0},"schema":"https://github.com/citation-style-language/schema/raw/master/csl-citation.json"}</w:instrText>
      </w:r>
      <w:r w:rsidR="000C5F2D">
        <w:rPr>
          <w:rStyle w:val="normaltextrun"/>
          <w:color w:val="000000"/>
          <w:shd w:val="clear" w:color="auto" w:fill="FFFFFF"/>
        </w:rPr>
        <w:fldChar w:fldCharType="separate"/>
      </w:r>
      <w:r w:rsidR="000C5F2D" w:rsidRPr="000C5F2D">
        <w:rPr>
          <w:rStyle w:val="normaltextrun"/>
          <w:noProof/>
          <w:color w:val="000000"/>
          <w:shd w:val="clear" w:color="auto" w:fill="FFFFFF"/>
        </w:rPr>
        <w:t>(Siddique and Wahid, 2018)</w:t>
      </w:r>
      <w:r w:rsidR="000C5F2D">
        <w:rPr>
          <w:rStyle w:val="normaltextrun"/>
          <w:color w:val="000000"/>
          <w:shd w:val="clear" w:color="auto" w:fill="FFFFFF"/>
        </w:rPr>
        <w:fldChar w:fldCharType="end"/>
      </w:r>
      <w:r>
        <w:rPr>
          <w:rStyle w:val="normaltextrun"/>
          <w:color w:val="000000"/>
          <w:shd w:val="clear" w:color="auto" w:fill="FFFFFF"/>
        </w:rPr>
        <w:t xml:space="preserve">. </w:t>
      </w:r>
      <w:r w:rsidR="00640EB0">
        <w:rPr>
          <w:rStyle w:val="normaltextrun"/>
          <w:color w:val="000000"/>
          <w:shd w:val="clear" w:color="auto" w:fill="FFFFFF"/>
        </w:rPr>
        <w:t>Consequently</w:t>
      </w:r>
      <w:r>
        <w:rPr>
          <w:rStyle w:val="normaltextrun"/>
          <w:color w:val="000000"/>
          <w:shd w:val="clear" w:color="auto" w:fill="FFFFFF"/>
        </w:rPr>
        <w:t xml:space="preserve">, methane yield and process stability can </w:t>
      </w:r>
      <w:r w:rsidR="00640EB0">
        <w:rPr>
          <w:rStyle w:val="normaltextrun"/>
          <w:color w:val="000000"/>
          <w:shd w:val="clear" w:color="auto" w:fill="FFFFFF"/>
        </w:rPr>
        <w:t xml:space="preserve">both </w:t>
      </w:r>
      <w:r>
        <w:rPr>
          <w:rStyle w:val="normaltextrun"/>
          <w:color w:val="000000"/>
          <w:shd w:val="clear" w:color="auto" w:fill="FFFFFF"/>
        </w:rPr>
        <w:t>be significantly improved, and synergistic effects may be observed too. On the other hand, an improper choice of co-substrates could lead to a system imbalance and create antagonistic effects. The aim of th</w:t>
      </w:r>
      <w:r w:rsidR="00640EB0">
        <w:rPr>
          <w:rStyle w:val="normaltextrun"/>
          <w:color w:val="000000"/>
          <w:shd w:val="clear" w:color="auto" w:fill="FFFFFF"/>
        </w:rPr>
        <w:t>is work</w:t>
      </w:r>
      <w:r>
        <w:rPr>
          <w:rStyle w:val="normaltextrun"/>
          <w:color w:val="000000"/>
          <w:shd w:val="clear" w:color="auto" w:fill="FFFFFF"/>
        </w:rPr>
        <w:t>, therefore, is to create a model able to predict the best blending conditions to maximize the methane yield.</w:t>
      </w:r>
    </w:p>
    <w:p w14:paraId="77B92627" w14:textId="127D8B92" w:rsidR="00E41380" w:rsidRDefault="00E41380" w:rsidP="00E41380">
      <w:pPr>
        <w:pStyle w:val="CETHeading1"/>
      </w:pPr>
      <w:r>
        <w:lastRenderedPageBreak/>
        <w:t>Feedstock’s parameter</w:t>
      </w:r>
    </w:p>
    <w:p w14:paraId="4D455732" w14:textId="6084359C" w:rsidR="000B7806" w:rsidRDefault="00640EB0" w:rsidP="00CB1192">
      <w:pPr>
        <w:pStyle w:val="CETBodytext"/>
      </w:pPr>
      <w:r>
        <w:t>To build a model that properly optimize the feedstock composition, it is important to focus on specific substrates properties, and t</w:t>
      </w:r>
      <w:r w:rsidR="00CB1192" w:rsidRPr="00CB1192">
        <w:t xml:space="preserve">he most relevant ones are the </w:t>
      </w:r>
      <w:r w:rsidR="007D4D96">
        <w:t>Carbon-Nitrogen (C/N)</w:t>
      </w:r>
      <w:r w:rsidR="00CB1192" w:rsidRPr="00CB1192">
        <w:t xml:space="preserve"> ratio and the Biodegradability (BD) of the substrates.</w:t>
      </w:r>
    </w:p>
    <w:p w14:paraId="2CBBC23F" w14:textId="2F5615A3" w:rsidR="000B7806" w:rsidRDefault="000B7806" w:rsidP="000B7806">
      <w:pPr>
        <w:pStyle w:val="CETheadingx"/>
      </w:pPr>
      <w:r>
        <w:t>Carbon-Nitrogen ratio</w:t>
      </w:r>
    </w:p>
    <w:p w14:paraId="69A6FD67" w14:textId="4BA7CFDF" w:rsidR="00D37576" w:rsidRPr="00CC0908" w:rsidRDefault="000B7806" w:rsidP="00600535">
      <w:pPr>
        <w:pStyle w:val="CETBodytext"/>
      </w:pPr>
      <w:r w:rsidRPr="000B7806">
        <w:rPr>
          <w:rStyle w:val="normaltextrun"/>
        </w:rPr>
        <w:t>The ratio between the organic carbon and nitrogen content is a parameter commonly used to characterize feedstock’s nutrients</w:t>
      </w:r>
      <w:r w:rsidRPr="000B7806">
        <w:t xml:space="preserve">. </w:t>
      </w:r>
      <w:r w:rsidRPr="000B7806">
        <w:rPr>
          <w:rStyle w:val="normaltextrun"/>
        </w:rPr>
        <w:t>To obtain good methane yields, it has been demonstrated that the C/N should be in a range between about 20 and 40: below this range  the degradation may cause an increase in ammonia concentration that could inhibit the digestion process by microbial growth impediment; on the other hand, above the range, the substrate results to be rich in carbon sources</w:t>
      </w:r>
      <w:r w:rsidR="00CC0908">
        <w:rPr>
          <w:rStyle w:val="normaltextrun"/>
        </w:rPr>
        <w:t xml:space="preserve"> (e.g., lignin, hemicellulose)</w:t>
      </w:r>
      <w:r w:rsidRPr="000B7806">
        <w:rPr>
          <w:rStyle w:val="normaltextrun"/>
        </w:rPr>
        <w:t>, leading to the production of high concentrations of VFAs, which are another cause of inhibition due to bacteria deactivation</w:t>
      </w:r>
      <w:r w:rsidR="00CC0908">
        <w:rPr>
          <w:rStyle w:val="normaltextrun"/>
        </w:rPr>
        <w:t xml:space="preserve"> </w:t>
      </w:r>
      <w:r w:rsidR="00CC0908">
        <w:rPr>
          <w:rStyle w:val="normaltextrun"/>
        </w:rPr>
        <w:fldChar w:fldCharType="begin" w:fldLock="1"/>
      </w:r>
      <w:r w:rsidR="00CC0908">
        <w:rPr>
          <w:rStyle w:val="normaltextrun"/>
        </w:rPr>
        <w:instrText>ADDIN CSL_CITATION {"citationItems":[{"id":"ITEM-1","itemData":{"DOI":"10.1016/j.ijhydene.2016.02.042","ISSN":"03603199","abstract":"In order to achieve high biogas yield and make clear the effects of carbon to nitrogen (C/N) ratio on digestion to further understand the co-digestion performance, this study investigated the high-solid anaerobic digestion (HSAD) of sorghum stem using urea to adjust its C/N ratio and the co-digestion of sorghum stem and cow manure. The HSAD of sorghum stem possessing high energy potential and high C/N ratio was easy to become acidified, even with addition of urea, leading to generation of plenty of hydrogen during the first 3 days of digestion. When the C/N ratio was adjusted to 25 with urea, the biogas yield was 413 mL/g VS, 26% higher than that of raw sorghum stem. With the C/N ratio of 25, the co-digestion of sorghum stem and cow manure generated the highest biogas yield of 478 mL/g VS. Co-digestion enabled stable pH value and high digestion efficiency and avoided extreme acidification. On one hand, the improvement on biogas production by co-digestion was partially attributed to the adjusted C/N ratio. On the other hand, trace elements in cow manure such as Fe, Ni, Zn, Ca, etc may also contribute to the enhancement in biogas production.","author":[{"dropping-particle":"","family":"Zhang","given":"Zhikai","non-dropping-particle":"","parse-names":false,"suffix":""},{"dropping-particle":"","family":"Zhang","given":"Guangyi","non-dropping-particle":"","parse-names":false,"suffix":""},{"dropping-particle":"","family":"Li","given":"Wangliang","non-dropping-particle":"","parse-names":false,"suffix":""},{"dropping-particle":"","family":"Li","given":"Chunxing","non-dropping-particle":"","parse-names":false,"suffix":""},{"dropping-particle":"","family":"Xu","given":"Guangwen","non-dropping-particle":"","parse-names":false,"suffix":""}],"container-title":"International Journal of Hydrogen Energy","id":"ITEM-1","issue":"21","issued":{"date-parts":[["2016","6","8"]]},"page":"9153-9158","publisher":"Elsevier Ltd","title":"Enhanced biogas production from sorghum stem by co-digestion with cow manure","type":"article-journal","volume":"41"},"uris":["http://www.mendeley.com/documents/?uuid=406bed33-393b-3797-a42d-0a9bf3a51503"]},{"id":"ITEM-2","itemData":{"DOI":"10.1016/j.renene.2019.10.124","ISSN":"18790682","abstract":"Biogas production from agricultural residue by anaerobic digestion is the most favourable option for providing sustainable energy and reducing the environmental pollution. The experimental methane potential of co-digested rice straw and food waste were measured for different carbon to nitrogen (C/N) ratios in 1 L anaerobic reactor. Co-digesting rice straw with food waste for C/N 25, 30 and 35 almost showed the similar methane yield 294.17 ± 3.78 mL/g-VSadded, with an increase of 134.53 mL/g-VSadded (71.09%) than mono-digestion. After optimizing the C/N ratio for co-digestion, interactive effect of initial pH and food/microorganism (F/M) ratio were also explored in this study using central composite design – response surface methodology (CCD-RSM). Results from the optimization study showed significant interaction, and validation experiment for optimum condition (C/N 30, pH 7.32, F/M 1.87) showed a methane yield of 323.78 mL/g-VSadded (94.41%), 166.54 mL/g-VSadded higher than the mono-digestion (control).","author":[{"dropping-particle":"","family":"Kainthola","given":"Jyoti","non-dropping-particle":"","parse-names":false,"suffix":""},{"dropping-particle":"","family":"Kalamdhad","given":"Ajay S.","non-dropping-particle":"","parse-names":false,"suffix":""},{"dropping-particle":"V.","family":"Goud","given":"Vaibhav","non-dropping-particle":"","parse-names":false,"suffix":""}],"container-title":"Renewable Energy","id":"ITEM-2","issued":{"date-parts":[["2020"]]},"page":"1352-1359","publisher":"Elsevier Ltd","title":"Optimization of process parameters for accelerated methane yield from anaerobic co-digestion of rice straw and food waste","type":"article-journal","volume":"149"},"uris":["http://www.mendeley.com/documents/?uuid=c8c8682c-3a19-4406-8f94-94c77d655899"]},{"id":"ITEM-3","itemData":{"abstract":"A BSTRA CT Anaerobic digestion of rice crop residues-husk and straw-was carried out in 190-1itre metallic digesters. One kilogram of rice straw yielded about 220 litres of biogas under batch digestion. However, rice husk did not perform well due to the high lignin content and unfavourble non-lignin-carbon to nitrogen ratio. A mixture of rice straw and cattle dung (1:1 dry weight basis) yielded 9.1% more gas than rice straw alone.","author":[{"dropping-particle":"","family":"Kalra","given":"M S","non-dropping-particle":"","parse-names":false,"suffix":""},{"dropping-particle":"","family":"Panwar","given":"J S","non-dropping-particle":"","parse-names":false,"suffix":""}],"container-title":"Agricultural Wastes","id":"ITEM-3","issued":{"date-parts":[["1986"]]},"number-of-pages":"263-269","title":"Anaerobic Digestion of Rice Crop Residues","type":"report","volume":"17"},"uris":["http://www.mendeley.com/documents/?uuid=f9d46238-365a-3bd9-84a1-f6ad93dd3d62"]}],"mendeley":{"formattedCitation":"(Kainthola et al., 2020; Kalra and Panwar, 1986; Zhang et al., 2016)","manualFormatting":"(Kainthola et al., 2020; Zhang et al., 2016)","plainTextFormattedCitation":"(Kainthola et al., 2020; Kalra and Panwar, 1986; Zhang et al., 2016)","previouslyFormattedCitation":"(Kainthola et al., 2020; Kalra and Panwar, 1986; Zhang et al., 2016)"},"properties":{"noteIndex":0},"schema":"https://github.com/citation-style-language/schema/raw/master/csl-citation.json"}</w:instrText>
      </w:r>
      <w:r w:rsidR="00CC0908">
        <w:rPr>
          <w:rStyle w:val="normaltextrun"/>
        </w:rPr>
        <w:fldChar w:fldCharType="separate"/>
      </w:r>
      <w:r w:rsidR="00CC0908" w:rsidRPr="00CC0908">
        <w:rPr>
          <w:rStyle w:val="normaltextrun"/>
          <w:noProof/>
        </w:rPr>
        <w:t>(Kainthola et al., 2020; Zhang et al., 2016)</w:t>
      </w:r>
      <w:r w:rsidR="00CC0908">
        <w:rPr>
          <w:rStyle w:val="normaltextrun"/>
        </w:rPr>
        <w:fldChar w:fldCharType="end"/>
      </w:r>
      <w:r w:rsidRPr="000B7806">
        <w:rPr>
          <w:rStyle w:val="normaltextrun"/>
        </w:rPr>
        <w:t>.</w:t>
      </w:r>
    </w:p>
    <w:p w14:paraId="2146C05D" w14:textId="68E2A834" w:rsidR="000B7806" w:rsidRDefault="000B7806" w:rsidP="000B7806">
      <w:pPr>
        <w:pStyle w:val="CETheadingx"/>
      </w:pPr>
      <w:r>
        <w:t>Biodegradability</w:t>
      </w:r>
    </w:p>
    <w:p w14:paraId="32F54ACD" w14:textId="2B15115D" w:rsidR="000B7806" w:rsidRDefault="000B7806" w:rsidP="000B7806">
      <w:r>
        <w:t xml:space="preserve">This parameter represents the degradable fraction of the substrate: </w:t>
      </w:r>
      <w:r w:rsidR="00CC0908">
        <w:rPr>
          <w:lang w:eastAsia="en-GB"/>
        </w:rPr>
        <w:t>the</w:t>
      </w:r>
      <w:r w:rsidRPr="2A746F91">
        <w:rPr>
          <w:lang w:eastAsia="en-GB"/>
        </w:rPr>
        <w:t xml:space="preserve"> organic fraction </w:t>
      </w:r>
      <w:r>
        <w:rPr>
          <w:lang w:eastAsia="en-GB"/>
        </w:rPr>
        <w:t>–</w:t>
      </w:r>
      <w:r w:rsidR="00CC0908">
        <w:rPr>
          <w:lang w:eastAsia="en-GB"/>
        </w:rPr>
        <w:t xml:space="preserve"> </w:t>
      </w:r>
      <w:r>
        <w:rPr>
          <w:lang w:eastAsia="en-GB"/>
        </w:rPr>
        <w:t xml:space="preserve">expressed as percentage </w:t>
      </w:r>
      <w:r w:rsidR="00CC0908">
        <w:rPr>
          <w:lang w:eastAsia="en-GB"/>
        </w:rPr>
        <w:t>V</w:t>
      </w:r>
      <w:r>
        <w:rPr>
          <w:lang w:eastAsia="en-GB"/>
        </w:rPr>
        <w:t xml:space="preserve">olatile </w:t>
      </w:r>
      <w:r w:rsidR="00CC0908">
        <w:rPr>
          <w:lang w:eastAsia="en-GB"/>
        </w:rPr>
        <w:t>S</w:t>
      </w:r>
      <w:r>
        <w:rPr>
          <w:lang w:eastAsia="en-GB"/>
        </w:rPr>
        <w:t>olids (VS</w:t>
      </w:r>
      <w:r w:rsidR="00B561F8">
        <w:rPr>
          <w:lang w:eastAsia="en-GB"/>
        </w:rPr>
        <w:t>)</w:t>
      </w:r>
      <w:r>
        <w:rPr>
          <w:lang w:eastAsia="en-GB"/>
        </w:rPr>
        <w:t xml:space="preserve"> – </w:t>
      </w:r>
      <w:r w:rsidRPr="2A746F91">
        <w:rPr>
          <w:lang w:eastAsia="en-GB"/>
        </w:rPr>
        <w:t xml:space="preserve">may be composed both </w:t>
      </w:r>
      <w:r>
        <w:rPr>
          <w:lang w:eastAsia="en-GB"/>
        </w:rPr>
        <w:t>of</w:t>
      </w:r>
      <w:r w:rsidRPr="2A746F91">
        <w:rPr>
          <w:lang w:eastAsia="en-GB"/>
        </w:rPr>
        <w:t xml:space="preserve"> readily degradable components and by hardly degradable </w:t>
      </w:r>
      <w:r>
        <w:rPr>
          <w:lang w:eastAsia="en-GB"/>
        </w:rPr>
        <w:t xml:space="preserve">compounds. </w:t>
      </w:r>
      <w:r w:rsidR="00CC0908">
        <w:rPr>
          <w:lang w:eastAsia="en-GB"/>
        </w:rPr>
        <w:t>M</w:t>
      </w:r>
      <w:r>
        <w:rPr>
          <w:lang w:eastAsia="en-GB"/>
        </w:rPr>
        <w:t xml:space="preserve">any definitions of </w:t>
      </w:r>
      <w:r w:rsidR="00CC0908">
        <w:rPr>
          <w:lang w:eastAsia="en-GB"/>
        </w:rPr>
        <w:t xml:space="preserve">biodegradability </w:t>
      </w:r>
      <w:r>
        <w:rPr>
          <w:lang w:eastAsia="en-GB"/>
        </w:rPr>
        <w:t xml:space="preserve">can be found, </w:t>
      </w:r>
      <w:r w:rsidR="00CC0908">
        <w:rPr>
          <w:lang w:eastAsia="en-GB"/>
        </w:rPr>
        <w:t>and one of the most important is</w:t>
      </w:r>
      <w:r>
        <w:rPr>
          <w:lang w:eastAsia="en-GB"/>
        </w:rPr>
        <w:t xml:space="preserve"> shown in </w:t>
      </w:r>
      <w:r w:rsidR="006942B8">
        <w:rPr>
          <w:lang w:eastAsia="en-GB"/>
        </w:rPr>
        <w:t>e</w:t>
      </w:r>
      <w:r>
        <w:rPr>
          <w:lang w:eastAsia="en-GB"/>
        </w:rPr>
        <w:t>quation</w:t>
      </w:r>
      <w:r w:rsidR="00887D5A">
        <w:rPr>
          <w:lang w:eastAsia="en-GB"/>
        </w:rPr>
        <w:t xml:space="preserve"> 1</w:t>
      </w:r>
      <w:r w:rsidR="001C6189">
        <w:rPr>
          <w:lang w:eastAsia="en-GB"/>
        </w:rPr>
        <w:t xml:space="preserve"> </w:t>
      </w:r>
      <w:r w:rsidR="001C6189">
        <w:rPr>
          <w:lang w:eastAsia="en-GB"/>
        </w:rPr>
        <w:fldChar w:fldCharType="begin" w:fldLock="1"/>
      </w:r>
      <w:r w:rsidR="00AB7118">
        <w:rPr>
          <w:lang w:eastAsia="en-GB"/>
        </w:rPr>
        <w:instrText>ADDIN CSL_CITATION {"citationItems":[{"id":"ITEM-1","itemData":{"DOI":"10.1016/j.biortech.2015.09.007","ISSN":"18732976","PMID":"26384658","abstract":"When properly designed, pretreatments may enhance the methane potential and/or anaerobic digestion rate, improving digester performance. This paper aims at providing some guidelines on the most appropriate pretreatments for the main feedstocks of biogas plants. Waste activated sludge was firstly investigated and implemented at full-scale, its thermal pretreatment with steam explosion being most recommended as it increases the methane potential and digestion rate, ensures sludge sanitation and the heat needed is produced on-site. Regarding fatty residues, saponification is preferred for enhancing their solubilisation and bioavailability. In the case of animal by-products, this pretreatment can be optimised to ensure sterilisation, solubilisation and to reduce inhibition linked to long chain fatty acids. With regards to lignocellulosic biomass, the first goal should be delignification, followed by hemicellulose and cellulose hydrolysis, alkali or biological (fungi) pretreatments being most promising. As far as microalgae are concerned, thermal pretreatment seems the most promising technique so far.","author":[{"dropping-particle":"","family":"Carrere","given":"Hélène","non-dropping-particle":"","parse-names":false,"suffix":""},{"dropping-particle":"","family":"Antonopoulou","given":"Georgia","non-dropping-particle":"","parse-names":false,"suffix":""},{"dropping-particle":"","family":"Affes","given":"Rim","non-dropping-particle":"","parse-names":false,"suffix":""},{"dropping-particle":"","family":"Passos","given":"Fabiana","non-dropping-particle":"","parse-names":false,"suffix":""},{"dropping-particle":"","family":"Battimelli","given":"Audrey","non-dropping-particle":"","parse-names":false,"suffix":""},{"dropping-particle":"","family":"Lyberatos","given":"Gerasimos","non-dropping-particle":"","parse-names":false,"suffix":""},{"dropping-particle":"","family":"Ferrer","given":"Ivet","non-dropping-particle":"","parse-names":false,"suffix":""}],"container-title":"Bioresource Technology","id":"ITEM-1","issued":{"date-parts":[["2016"]]},"page":"386-397","publisher":"Elsevier Ltd","title":"Review of feedstock pretreatment strategies for improved anaerobic digestion: From lab-scale research to full-scale application","type":"article-journal","volume":"199"},"uris":["http://www.mendeley.com/documents/?uuid=9bf671a4-08e2-4c81-afff-ed233258f5e4"]}],"mendeley":{"formattedCitation":"(Carrere et al., 2016)","plainTextFormattedCitation":"(Carrere et al., 2016)","previouslyFormattedCitation":"(Carrere et al., 2016)"},"properties":{"noteIndex":0},"schema":"https://github.com/citation-style-language/schema/raw/master/csl-citation.json"}</w:instrText>
      </w:r>
      <w:r w:rsidR="001C6189">
        <w:rPr>
          <w:lang w:eastAsia="en-GB"/>
        </w:rPr>
        <w:fldChar w:fldCharType="separate"/>
      </w:r>
      <w:r w:rsidR="001C6189" w:rsidRPr="001C6189">
        <w:rPr>
          <w:noProof/>
          <w:lang w:eastAsia="en-GB"/>
        </w:rPr>
        <w:t>(Carrere et al., 2016)</w:t>
      </w:r>
      <w:r w:rsidR="001C6189">
        <w:rPr>
          <w:lang w:eastAsia="en-GB"/>
        </w:rPr>
        <w:fldChar w:fldCharType="end"/>
      </w:r>
      <w:r>
        <w:rPr>
          <w:lang w:eastAsia="en-GB"/>
        </w:rPr>
        <w:t>.</w:t>
      </w:r>
    </w:p>
    <w:tbl>
      <w:tblPr>
        <w:tblW w:w="5000" w:type="pct"/>
        <w:tblLook w:val="04A0" w:firstRow="1" w:lastRow="0" w:firstColumn="1" w:lastColumn="0" w:noHBand="0" w:noVBand="1"/>
      </w:tblPr>
      <w:tblGrid>
        <w:gridCol w:w="7982"/>
        <w:gridCol w:w="805"/>
      </w:tblGrid>
      <w:tr w:rsidR="00811EAE" w:rsidRPr="00B57B36" w14:paraId="35F1F352" w14:textId="77777777" w:rsidTr="00416CA4">
        <w:tc>
          <w:tcPr>
            <w:tcW w:w="8188" w:type="dxa"/>
            <w:shd w:val="clear" w:color="auto" w:fill="auto"/>
            <w:vAlign w:val="center"/>
          </w:tcPr>
          <w:p w14:paraId="6CBFD356" w14:textId="5E5E7A93" w:rsidR="00811EAE" w:rsidRPr="00B57B36" w:rsidRDefault="00811EAE" w:rsidP="00416CA4">
            <w:pPr>
              <w:pStyle w:val="CETEquation"/>
            </w:pPr>
            <m:oMath>
              <m:r>
                <w:rPr>
                  <w:rFonts w:ascii="Cambria Math" w:hAnsi="Cambria Math"/>
                </w:rPr>
                <m:t>BD=</m:t>
              </m:r>
              <m:f>
                <m:fPr>
                  <m:ctrlPr>
                    <w:rPr>
                      <w:rFonts w:ascii="Cambria Math" w:hAnsi="Cambria Math"/>
                      <w:i/>
                    </w:rPr>
                  </m:ctrlPr>
                </m:fPr>
                <m:num>
                  <m:r>
                    <w:rPr>
                      <w:rFonts w:ascii="Cambria Math" w:hAnsi="Cambria Math"/>
                    </w:rPr>
                    <m:t>EBMP</m:t>
                  </m:r>
                </m:num>
                <m:den>
                  <m:r>
                    <w:rPr>
                      <w:rFonts w:ascii="Cambria Math" w:hAnsi="Cambria Math"/>
                    </w:rPr>
                    <m:t>TBMP</m:t>
                  </m:r>
                </m:den>
              </m:f>
            </m:oMath>
            <w:r>
              <w:t xml:space="preserve"> </w:t>
            </w:r>
          </w:p>
        </w:tc>
        <w:tc>
          <w:tcPr>
            <w:tcW w:w="815" w:type="dxa"/>
            <w:shd w:val="clear" w:color="auto" w:fill="auto"/>
            <w:vAlign w:val="center"/>
          </w:tcPr>
          <w:p w14:paraId="161B7205" w14:textId="77777777" w:rsidR="00811EAE" w:rsidRPr="00B57B36" w:rsidRDefault="00811EAE" w:rsidP="00416CA4">
            <w:pPr>
              <w:pStyle w:val="CETEquation"/>
              <w:jc w:val="right"/>
            </w:pPr>
            <w:r w:rsidRPr="00B57B36">
              <w:t>(1)</w:t>
            </w:r>
          </w:p>
        </w:tc>
      </w:tr>
    </w:tbl>
    <w:p w14:paraId="05A63EBB" w14:textId="6B4F7CFE" w:rsidR="000B7806" w:rsidRDefault="000B7806" w:rsidP="000B7806">
      <w:pPr>
        <w:pStyle w:val="Paragrafoelenco"/>
        <w:ind w:left="0"/>
        <w:rPr>
          <w:rFonts w:eastAsiaTheme="minorEastAsia"/>
          <w:lang w:eastAsia="en-GB"/>
        </w:rPr>
      </w:pPr>
      <w:r w:rsidRPr="000B7806">
        <w:rPr>
          <w:rFonts w:eastAsiaTheme="minorEastAsia"/>
        </w:rPr>
        <w:t xml:space="preserve">The </w:t>
      </w:r>
      <w:r w:rsidR="006942B8">
        <w:rPr>
          <w:rFonts w:eastAsiaTheme="minorEastAsia"/>
        </w:rPr>
        <w:t>TBMP</w:t>
      </w:r>
      <w:r w:rsidRPr="000B7806">
        <w:rPr>
          <w:rFonts w:eastAsiaTheme="minorEastAsia"/>
          <w:lang w:eastAsia="en-GB"/>
        </w:rPr>
        <w:t xml:space="preserve"> (measured in mL/g</w:t>
      </w:r>
      <w:r w:rsidRPr="00613B65">
        <w:rPr>
          <w:rFonts w:eastAsiaTheme="minorEastAsia"/>
          <w:vertAlign w:val="subscript"/>
          <w:lang w:eastAsia="en-GB"/>
        </w:rPr>
        <w:t>VS</w:t>
      </w:r>
      <w:r w:rsidRPr="000B7806">
        <w:rPr>
          <w:rFonts w:eastAsiaTheme="minorEastAsia"/>
          <w:lang w:eastAsia="en-GB"/>
        </w:rPr>
        <w:t xml:space="preserve">) is the Theoretical Biomethane Potential, that </w:t>
      </w:r>
      <w:r w:rsidR="001C6189">
        <w:rPr>
          <w:rFonts w:eastAsiaTheme="minorEastAsia"/>
          <w:lang w:eastAsia="en-GB"/>
        </w:rPr>
        <w:t>is</w:t>
      </w:r>
      <w:r w:rsidRPr="000B7806">
        <w:rPr>
          <w:rFonts w:eastAsiaTheme="minorEastAsia"/>
          <w:lang w:eastAsia="en-GB"/>
        </w:rPr>
        <w:t xml:space="preserve"> </w:t>
      </w:r>
      <w:r w:rsidR="001C6189">
        <w:rPr>
          <w:rFonts w:eastAsiaTheme="minorEastAsia"/>
          <w:lang w:eastAsia="en-GB"/>
        </w:rPr>
        <w:t xml:space="preserve">the </w:t>
      </w:r>
      <w:r>
        <w:rPr>
          <w:lang w:eastAsia="en-GB"/>
        </w:rPr>
        <w:t xml:space="preserve">theoretical methane yield that could be achieved if the </w:t>
      </w:r>
      <w:r w:rsidR="001C6189">
        <w:rPr>
          <w:lang w:eastAsia="en-GB"/>
        </w:rPr>
        <w:t>OM</w:t>
      </w:r>
      <w:r>
        <w:rPr>
          <w:lang w:eastAsia="en-GB"/>
        </w:rPr>
        <w:t xml:space="preserve"> would be completely degraded, </w:t>
      </w:r>
      <w:r w:rsidR="001C6189">
        <w:rPr>
          <w:lang w:eastAsia="en-GB"/>
        </w:rPr>
        <w:t>and it function of</w:t>
      </w:r>
      <w:r>
        <w:rPr>
          <w:lang w:eastAsia="en-GB"/>
        </w:rPr>
        <w:t xml:space="preserve"> its elemental composition. </w:t>
      </w:r>
      <w:r w:rsidR="001C6189">
        <w:rPr>
          <w:lang w:eastAsia="en-GB"/>
        </w:rPr>
        <w:t>By</w:t>
      </w:r>
      <w:r>
        <w:rPr>
          <w:lang w:eastAsia="en-GB"/>
        </w:rPr>
        <w:t xml:space="preserve"> express</w:t>
      </w:r>
      <w:r w:rsidR="001C6189">
        <w:rPr>
          <w:lang w:eastAsia="en-GB"/>
        </w:rPr>
        <w:t>ing</w:t>
      </w:r>
      <w:r>
        <w:rPr>
          <w:lang w:eastAsia="en-GB"/>
        </w:rPr>
        <w:t xml:space="preserve"> the </w:t>
      </w:r>
      <w:r w:rsidR="001C6189">
        <w:rPr>
          <w:lang w:eastAsia="en-GB"/>
        </w:rPr>
        <w:t>OM</w:t>
      </w:r>
      <w:r>
        <w:rPr>
          <w:lang w:eastAsia="en-GB"/>
        </w:rPr>
        <w:t xml:space="preserve"> with the chemical formula </w:t>
      </w:r>
      <m:oMath>
        <m:sSub>
          <m:sSubPr>
            <m:ctrlPr>
              <w:rPr>
                <w:rFonts w:ascii="Cambria Math" w:hAnsi="Cambria Math"/>
                <w:i/>
              </w:rPr>
            </m:ctrlPr>
          </m:sSubPr>
          <m:e>
            <m:r>
              <w:rPr>
                <w:rFonts w:ascii="Cambria Math" w:hAnsi="Cambria Math"/>
              </w:rPr>
              <m:t>C</m:t>
            </m:r>
          </m:e>
          <m:sub>
            <m:r>
              <w:rPr>
                <w:rFonts w:ascii="Cambria Math" w:hAnsi="Cambria Math"/>
              </w:rPr>
              <m:t>n</m:t>
            </m:r>
          </m:sub>
        </m:sSub>
        <m:sSub>
          <m:sSubPr>
            <m:ctrlPr>
              <w:rPr>
                <w:rFonts w:ascii="Cambria Math" w:hAnsi="Cambria Math"/>
                <w:i/>
              </w:rPr>
            </m:ctrlPr>
          </m:sSubPr>
          <m:e>
            <m:r>
              <w:rPr>
                <w:rFonts w:ascii="Cambria Math" w:hAnsi="Cambria Math"/>
              </w:rPr>
              <m:t>H</m:t>
            </m:r>
          </m:e>
          <m:sub>
            <m:r>
              <w:rPr>
                <w:rFonts w:ascii="Cambria Math" w:hAnsi="Cambria Math"/>
              </w:rPr>
              <m:t>a</m:t>
            </m:r>
          </m:sub>
        </m:sSub>
        <m:sSub>
          <m:sSubPr>
            <m:ctrlPr>
              <w:rPr>
                <w:rFonts w:ascii="Cambria Math" w:hAnsi="Cambria Math"/>
                <w:i/>
              </w:rPr>
            </m:ctrlPr>
          </m:sSubPr>
          <m:e>
            <m:r>
              <w:rPr>
                <w:rFonts w:ascii="Cambria Math" w:hAnsi="Cambria Math"/>
              </w:rPr>
              <m:t>O</m:t>
            </m:r>
          </m:e>
          <m:sub>
            <m:r>
              <w:rPr>
                <w:rFonts w:ascii="Cambria Math" w:hAnsi="Cambria Math"/>
              </w:rPr>
              <m:t>b</m:t>
            </m:r>
          </m:sub>
        </m:sSub>
        <m:sSub>
          <m:sSubPr>
            <m:ctrlPr>
              <w:rPr>
                <w:rFonts w:ascii="Cambria Math" w:hAnsi="Cambria Math"/>
                <w:i/>
              </w:rPr>
            </m:ctrlPr>
          </m:sSubPr>
          <m:e>
            <m:r>
              <w:rPr>
                <w:rFonts w:ascii="Cambria Math" w:hAnsi="Cambria Math"/>
              </w:rPr>
              <m:t>N</m:t>
            </m:r>
          </m:e>
          <m:sub>
            <m:r>
              <w:rPr>
                <w:rFonts w:ascii="Cambria Math" w:hAnsi="Cambria Math"/>
              </w:rPr>
              <m:t>c</m:t>
            </m:r>
          </m:sub>
        </m:sSub>
        <m:sSub>
          <m:sSubPr>
            <m:ctrlPr>
              <w:rPr>
                <w:rFonts w:ascii="Cambria Math" w:hAnsi="Cambria Math"/>
                <w:i/>
              </w:rPr>
            </m:ctrlPr>
          </m:sSubPr>
          <m:e>
            <m:r>
              <w:rPr>
                <w:rFonts w:ascii="Cambria Math" w:hAnsi="Cambria Math"/>
              </w:rPr>
              <m:t>S</m:t>
            </m:r>
          </m:e>
          <m:sub>
            <m:r>
              <w:rPr>
                <w:rFonts w:ascii="Cambria Math" w:hAnsi="Cambria Math"/>
              </w:rPr>
              <m:t>d</m:t>
            </m:r>
          </m:sub>
        </m:sSub>
      </m:oMath>
      <w:r w:rsidRPr="000B7806">
        <w:rPr>
          <w:rFonts w:eastAsiaTheme="minorEastAsia"/>
        </w:rPr>
        <w:t xml:space="preserve">, </w:t>
      </w:r>
      <w:r w:rsidR="00DC012F" w:rsidRPr="002241B5">
        <w:rPr>
          <w:rFonts w:eastAsiaTheme="minorEastAsia"/>
        </w:rPr>
        <w:t>where</w:t>
      </w:r>
      <w:r w:rsidR="00FF7727" w:rsidRPr="002241B5">
        <w:rPr>
          <w:rFonts w:eastAsiaTheme="minorEastAsia"/>
        </w:rPr>
        <w:t xml:space="preserve"> </w:t>
      </w:r>
      <w:r w:rsidR="00005F97" w:rsidRPr="002241B5">
        <w:rPr>
          <w:rFonts w:eastAsiaTheme="minorEastAsia"/>
        </w:rPr>
        <w:t xml:space="preserve">n, a, b, c and d are the number of atoms per mole of the relative specie in the </w:t>
      </w:r>
      <w:r w:rsidR="00D92BC0" w:rsidRPr="002241B5">
        <w:rPr>
          <w:rFonts w:eastAsiaTheme="minorEastAsia"/>
        </w:rPr>
        <w:t>formula</w:t>
      </w:r>
      <w:r w:rsidR="00D92BC0">
        <w:rPr>
          <w:rFonts w:eastAsiaTheme="minorEastAsia"/>
        </w:rPr>
        <w:t>,</w:t>
      </w:r>
      <w:r w:rsidR="000E65F6">
        <w:rPr>
          <w:rFonts w:eastAsiaTheme="minorEastAsia"/>
        </w:rPr>
        <w:t xml:space="preserve"> </w:t>
      </w:r>
      <w:r w:rsidRPr="000B7806">
        <w:rPr>
          <w:rFonts w:eastAsiaTheme="minorEastAsia"/>
        </w:rPr>
        <w:t>t</w:t>
      </w:r>
      <w:r>
        <w:rPr>
          <w:lang w:eastAsia="en-GB"/>
        </w:rPr>
        <w:t>h</w:t>
      </w:r>
      <w:r w:rsidR="006942B8">
        <w:rPr>
          <w:lang w:eastAsia="en-GB"/>
        </w:rPr>
        <w:t>e TBMP</w:t>
      </w:r>
      <w:r w:rsidRPr="000B7806">
        <w:rPr>
          <w:rFonts w:eastAsiaTheme="minorEastAsia"/>
          <w:lang w:eastAsia="en-GB"/>
        </w:rPr>
        <w:t xml:space="preserve"> </w:t>
      </w:r>
      <w:r w:rsidR="001C6189">
        <w:rPr>
          <w:rFonts w:eastAsiaTheme="minorEastAsia"/>
          <w:lang w:eastAsia="en-GB"/>
        </w:rPr>
        <w:t>ca ben evaluated</w:t>
      </w:r>
      <w:r w:rsidRPr="000B7806">
        <w:rPr>
          <w:rFonts w:eastAsiaTheme="minorEastAsia"/>
          <w:lang w:eastAsia="en-GB"/>
        </w:rPr>
        <w:t xml:space="preserve"> through </w:t>
      </w:r>
      <w:r w:rsidR="001C6189">
        <w:rPr>
          <w:rFonts w:eastAsiaTheme="minorEastAsia"/>
          <w:lang w:eastAsia="en-GB"/>
        </w:rPr>
        <w:t>the</w:t>
      </w:r>
      <w:r w:rsidRPr="000B7806">
        <w:rPr>
          <w:rFonts w:eastAsiaTheme="minorEastAsia"/>
          <w:lang w:eastAsia="en-GB"/>
        </w:rPr>
        <w:t xml:space="preserve"> modified Buswell formula </w:t>
      </w:r>
      <w:r w:rsidR="00D748FC">
        <w:rPr>
          <w:rFonts w:eastAsiaTheme="minorEastAsia"/>
          <w:lang w:eastAsia="en-GB"/>
        </w:rPr>
        <w:fldChar w:fldCharType="begin" w:fldLock="1"/>
      </w:r>
      <w:r w:rsidR="00D748FC">
        <w:rPr>
          <w:rFonts w:eastAsiaTheme="minorEastAsia"/>
          <w:lang w:eastAsia="en-GB"/>
        </w:rPr>
        <w:instrText>ADDIN CSL_CITATION {"citationItems":[{"id":"ITEM-1","itemData":{"DOI":"10.1016/j.foodres.2014.12.044","ISSN":"09639969","abstract":"An inventory of agri-food industry organic waste streams with potential for biogas production was carried out in a logistically viable area of Castilla y León (Spain). The potential for methane production from 23 wastes and their mixtures was evaluated theoretically and in laboratory batch assays. Obtained methane yields ranged from 290-725mLCH&lt;inf&gt;4&lt;/inf&gt;gVS&lt;sup&gt;-1&lt;/sup&gt;&lt;inf&gt;waste&lt;/inf&gt;, and the methane content in biogas ranged from 46-72% for raw wastes. The estimation of the regional fluxes of waste and methane potentials suggests anaerobic digestion in a centralized plant as a sustainable solution for the valorization of the organic wastes generated in this area, where up to 5% of the primary energy demand can be covered by the calculated total biogas energy potential. Sector-specific waste streams (livestock and agri-food industry) could cover up to 24% of regional total energy demand. Logistical aspects are critical in Castilla y León due to the high dispersion of the population and the industrial facilities.","author":[{"dropping-particle":"","family":"Hidalgo","given":"Dolores","non-dropping-particle":"","parse-names":false,"suffix":""},{"dropping-particle":"","family":"Martín-Marroquín","given":"Jesús M.","non-dropping-particle":"","parse-names":false,"suffix":""}],"container-title":"Food Research International","id":"ITEM-1","issued":{"date-parts":[["2015"]]},"page":"226-233","publisher":"Elsevier Ltd","title":"Biochemical methane potential of livestock and agri-food waste streams in the Castilla y León Region (Spain)","type":"article-journal","volume":"73"},"uris":["http://www.mendeley.com/documents/?uuid=f9f16345-a465-460c-b0bb-4867d1d889cc"]}],"mendeley":{"formattedCitation":"(Hidalgo and Martín-Marroquín, 2015)","plainTextFormattedCitation":"(Hidalgo and Martín-Marroquín, 2015)","previouslyFormattedCitation":"(Hidalgo and Martín-Marroquín, 2015)"},"properties":{"noteIndex":0},"schema":"https://github.com/citation-style-language/schema/raw/master/csl-citation.json"}</w:instrText>
      </w:r>
      <w:r w:rsidR="00D748FC">
        <w:rPr>
          <w:rFonts w:eastAsiaTheme="minorEastAsia"/>
          <w:lang w:eastAsia="en-GB"/>
        </w:rPr>
        <w:fldChar w:fldCharType="separate"/>
      </w:r>
      <w:r w:rsidR="00D748FC" w:rsidRPr="00D748FC">
        <w:rPr>
          <w:rFonts w:eastAsiaTheme="minorEastAsia"/>
          <w:noProof/>
          <w:lang w:eastAsia="en-GB"/>
        </w:rPr>
        <w:t>(Hidalgo and Martín-Marroquín, 2015)</w:t>
      </w:r>
      <w:r w:rsidR="00D748FC">
        <w:rPr>
          <w:rFonts w:eastAsiaTheme="minorEastAsia"/>
          <w:lang w:eastAsia="en-GB"/>
        </w:rPr>
        <w:fldChar w:fldCharType="end"/>
      </w:r>
      <w:r w:rsidR="00D748FC">
        <w:rPr>
          <w:rFonts w:eastAsiaTheme="minorEastAsia"/>
          <w:lang w:eastAsia="en-GB"/>
        </w:rPr>
        <w:t>:</w:t>
      </w:r>
    </w:p>
    <w:tbl>
      <w:tblPr>
        <w:tblW w:w="5000" w:type="pct"/>
        <w:tblLook w:val="04A0" w:firstRow="1" w:lastRow="0" w:firstColumn="1" w:lastColumn="0" w:noHBand="0" w:noVBand="1"/>
      </w:tblPr>
      <w:tblGrid>
        <w:gridCol w:w="7984"/>
        <w:gridCol w:w="803"/>
      </w:tblGrid>
      <w:tr w:rsidR="00811EAE" w:rsidRPr="00B57B36" w14:paraId="55DD3B02" w14:textId="77777777" w:rsidTr="00416CA4">
        <w:tc>
          <w:tcPr>
            <w:tcW w:w="8188" w:type="dxa"/>
            <w:shd w:val="clear" w:color="auto" w:fill="auto"/>
            <w:vAlign w:val="center"/>
          </w:tcPr>
          <w:p w14:paraId="7D0693EB" w14:textId="641F7C4E" w:rsidR="00811EAE" w:rsidRPr="00B57B36" w:rsidRDefault="00811EAE" w:rsidP="00416CA4">
            <w:pPr>
              <w:pStyle w:val="CETEquation"/>
            </w:pPr>
            <m:oMath>
              <m:r>
                <w:rPr>
                  <w:rFonts w:ascii="Cambria Math" w:hAnsi="Cambria Math"/>
                  <w:szCs w:val="24"/>
                </w:rPr>
                <m:t>TBMP</m:t>
              </m:r>
              <m:r>
                <w:rPr>
                  <w:rFonts w:ascii="Cambria Math" w:eastAsiaTheme="minorEastAsia" w:hAnsi="Cambria Math"/>
                </w:rPr>
                <m:t>=</m:t>
              </m:r>
              <m:f>
                <m:fPr>
                  <m:ctrlPr>
                    <w:rPr>
                      <w:rFonts w:ascii="Cambria Math" w:eastAsiaTheme="minorEastAsia"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3c</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4</m:t>
                          </m:r>
                        </m:den>
                      </m:f>
                    </m:e>
                  </m:d>
                  <m:r>
                    <w:rPr>
                      <w:rFonts w:ascii="Cambria Math" w:hAnsi="Cambria Math"/>
                    </w:rPr>
                    <m:t>∙22415</m:t>
                  </m:r>
                </m:num>
                <m:den>
                  <m:r>
                    <w:rPr>
                      <w:rFonts w:ascii="Cambria Math" w:eastAsiaTheme="minorEastAsia" w:hAnsi="Cambria Math"/>
                    </w:rPr>
                    <m:t>12n+a+16b+14c+32d</m:t>
                  </m:r>
                </m:den>
              </m:f>
            </m:oMath>
            <w:r>
              <w:t xml:space="preserve"> </w:t>
            </w:r>
          </w:p>
        </w:tc>
        <w:tc>
          <w:tcPr>
            <w:tcW w:w="815" w:type="dxa"/>
            <w:shd w:val="clear" w:color="auto" w:fill="auto"/>
            <w:vAlign w:val="center"/>
          </w:tcPr>
          <w:p w14:paraId="0065A0FA" w14:textId="7D391B6F" w:rsidR="00811EAE" w:rsidRPr="00B57B36" w:rsidRDefault="00811EAE" w:rsidP="00416CA4">
            <w:pPr>
              <w:pStyle w:val="CETEquation"/>
              <w:jc w:val="right"/>
            </w:pPr>
            <w:r w:rsidRPr="00B57B36">
              <w:t>(</w:t>
            </w:r>
            <w:r>
              <w:t>2</w:t>
            </w:r>
            <w:r w:rsidRPr="00B57B36">
              <w:t>)</w:t>
            </w:r>
          </w:p>
        </w:tc>
      </w:tr>
    </w:tbl>
    <w:p w14:paraId="5B4B93E1" w14:textId="7DA7684A" w:rsidR="00065482" w:rsidRDefault="001C6189" w:rsidP="00065482">
      <w:pPr>
        <w:pStyle w:val="CETBodytext"/>
        <w:rPr>
          <w:rFonts w:eastAsiaTheme="minorEastAsia"/>
          <w:lang w:val="en-GB" w:eastAsia="en-GB"/>
        </w:rPr>
      </w:pPr>
      <w:r>
        <w:rPr>
          <w:rFonts w:eastAsiaTheme="minorEastAsia"/>
          <w:lang w:val="en-GB" w:eastAsia="en-GB"/>
        </w:rPr>
        <w:t>On the other hand, t</w:t>
      </w:r>
      <w:r w:rsidR="000B7806">
        <w:rPr>
          <w:rFonts w:eastAsiaTheme="minorEastAsia"/>
          <w:lang w:val="en-GB" w:eastAsia="en-GB"/>
        </w:rPr>
        <w:t xml:space="preserve">he </w:t>
      </w:r>
      <w:r w:rsidR="006942B8">
        <w:rPr>
          <w:rFonts w:eastAsiaTheme="minorEastAsia"/>
          <w:lang w:val="en-GB" w:eastAsia="en-GB"/>
        </w:rPr>
        <w:t>EBMP</w:t>
      </w:r>
      <w:r w:rsidR="000B7806">
        <w:rPr>
          <w:rFonts w:eastAsiaTheme="minorEastAsia"/>
          <w:lang w:val="en-GB" w:eastAsia="en-GB"/>
        </w:rPr>
        <w:t xml:space="preserve"> (mL/g</w:t>
      </w:r>
      <w:r w:rsidR="000B7806" w:rsidRPr="006942B8">
        <w:rPr>
          <w:rFonts w:eastAsiaTheme="minorEastAsia"/>
          <w:vertAlign w:val="subscript"/>
          <w:lang w:val="en-GB" w:eastAsia="en-GB"/>
        </w:rPr>
        <w:t>VS</w:t>
      </w:r>
      <w:r w:rsidR="000B7806">
        <w:rPr>
          <w:rFonts w:eastAsiaTheme="minorEastAsia"/>
          <w:lang w:val="en-GB" w:eastAsia="en-GB"/>
        </w:rPr>
        <w:t>) is the Experimental Biomethane Potential, which is the cumulative methane yield obtained in lab-scale batch tests</w:t>
      </w:r>
      <w:r>
        <w:rPr>
          <w:rFonts w:eastAsiaTheme="minorEastAsia"/>
          <w:lang w:val="en-GB" w:eastAsia="en-GB"/>
        </w:rPr>
        <w:t xml:space="preserve">, </w:t>
      </w:r>
      <w:r w:rsidR="000B7806">
        <w:rPr>
          <w:rFonts w:eastAsiaTheme="minorEastAsia"/>
          <w:lang w:val="en-GB" w:eastAsia="en-GB"/>
        </w:rPr>
        <w:t xml:space="preserve">namely </w:t>
      </w:r>
      <w:r w:rsidR="000B7806" w:rsidRPr="00DE51C3">
        <w:rPr>
          <w:rFonts w:eastAsiaTheme="minorEastAsia"/>
          <w:i/>
          <w:iCs/>
          <w:lang w:val="en-GB" w:eastAsia="en-GB"/>
        </w:rPr>
        <w:t>BMP tests</w:t>
      </w:r>
      <w:r>
        <w:rPr>
          <w:rFonts w:eastAsiaTheme="minorEastAsia"/>
          <w:lang w:val="en-GB" w:eastAsia="en-GB"/>
        </w:rPr>
        <w:t xml:space="preserve">, </w:t>
      </w:r>
      <w:r w:rsidR="000B7806">
        <w:rPr>
          <w:rFonts w:eastAsiaTheme="minorEastAsia"/>
          <w:lang w:val="en-GB" w:eastAsia="en-GB"/>
        </w:rPr>
        <w:t>performed at controlled operating conditions</w:t>
      </w:r>
      <w:r>
        <w:rPr>
          <w:rFonts w:eastAsiaTheme="minorEastAsia"/>
          <w:lang w:val="en-GB" w:eastAsia="en-GB"/>
        </w:rPr>
        <w:t xml:space="preserve">. </w:t>
      </w:r>
      <w:r w:rsidR="008507BA">
        <w:rPr>
          <w:rFonts w:eastAsiaTheme="minorEastAsia"/>
          <w:lang w:val="en-GB" w:eastAsia="en-GB"/>
        </w:rPr>
        <w:t>Due to its nature, it</w:t>
      </w:r>
      <w:r w:rsidR="000B7806">
        <w:rPr>
          <w:rFonts w:eastAsiaTheme="minorEastAsia"/>
          <w:lang w:val="en-GB" w:eastAsia="en-GB"/>
        </w:rPr>
        <w:t xml:space="preserve"> is always lower than the </w:t>
      </w:r>
      <w:r w:rsidR="006942B8">
        <w:rPr>
          <w:rFonts w:eastAsiaTheme="minorEastAsia"/>
          <w:lang w:val="en-GB" w:eastAsia="en-GB"/>
        </w:rPr>
        <w:t>TBMP</w:t>
      </w:r>
      <w:r w:rsidR="000B7806">
        <w:rPr>
          <w:rFonts w:eastAsiaTheme="minorEastAsia"/>
          <w:lang w:val="en-GB" w:eastAsia="en-GB"/>
        </w:rPr>
        <w:t xml:space="preserve">, since the latter does not consider the non-degradable fraction of the substrates, being </w:t>
      </w:r>
      <w:r w:rsidR="008507BA">
        <w:rPr>
          <w:rFonts w:eastAsiaTheme="minorEastAsia"/>
          <w:lang w:val="en-GB" w:eastAsia="en-GB"/>
        </w:rPr>
        <w:t xml:space="preserve">this </w:t>
      </w:r>
      <w:r w:rsidR="000B7806">
        <w:rPr>
          <w:rFonts w:eastAsiaTheme="minorEastAsia"/>
          <w:lang w:val="en-GB" w:eastAsia="en-GB"/>
        </w:rPr>
        <w:t>an ideal parameter.</w:t>
      </w:r>
    </w:p>
    <w:p w14:paraId="66308129" w14:textId="140DB333" w:rsidR="00065482" w:rsidRDefault="00065482" w:rsidP="00065482">
      <w:pPr>
        <w:pStyle w:val="CETheadingx"/>
        <w:rPr>
          <w:rFonts w:eastAsiaTheme="minorEastAsia"/>
          <w:lang w:eastAsia="en-GB"/>
        </w:rPr>
      </w:pPr>
      <w:r>
        <w:rPr>
          <w:rFonts w:eastAsiaTheme="minorEastAsia"/>
          <w:lang w:eastAsia="en-GB"/>
        </w:rPr>
        <w:t>Other parameters</w:t>
      </w:r>
    </w:p>
    <w:p w14:paraId="0FA4AF2D" w14:textId="29812D82" w:rsidR="00065482" w:rsidRDefault="00065482" w:rsidP="00065482">
      <w:pPr>
        <w:pStyle w:val="CETBodytext"/>
      </w:pPr>
      <w:r>
        <w:t xml:space="preserve">Secondary parameters that </w:t>
      </w:r>
      <w:r w:rsidR="00B561F8">
        <w:t>can be considered</w:t>
      </w:r>
      <w:r>
        <w:t xml:space="preserve"> are the </w:t>
      </w:r>
      <w:r w:rsidR="00B561F8">
        <w:t>Total Solids content (</w:t>
      </w:r>
      <w:r>
        <w:t>TS</w:t>
      </w:r>
      <w:r w:rsidR="00B561F8">
        <w:t>, [%w/w])</w:t>
      </w:r>
      <w:r>
        <w:t>, VS</w:t>
      </w:r>
      <w:r w:rsidR="00B561F8">
        <w:t xml:space="preserve"> [%TS]</w:t>
      </w:r>
      <w:r>
        <w:t>, and the content of the main macro-nutrients – i.e., lipids, proteins, sugars, starch, easily-degradable carbohydrates, cellulose, hemicellulose, lignin, and ash (</w:t>
      </w:r>
      <w:r w:rsidR="00613B65">
        <w:t xml:space="preserve">evaluated as </w:t>
      </w:r>
      <w:r>
        <w:t>%TS).</w:t>
      </w:r>
    </w:p>
    <w:p w14:paraId="451526B5" w14:textId="3345476B" w:rsidR="00065482" w:rsidRDefault="00065482" w:rsidP="00065482">
      <w:pPr>
        <w:pStyle w:val="CETHeading1"/>
        <w:rPr>
          <w:rFonts w:eastAsiaTheme="minorEastAsia"/>
          <w:lang w:eastAsia="en-GB"/>
        </w:rPr>
      </w:pPr>
      <w:r>
        <w:rPr>
          <w:rFonts w:eastAsiaTheme="minorEastAsia"/>
          <w:lang w:eastAsia="en-GB"/>
        </w:rPr>
        <w:t>Previous studies</w:t>
      </w:r>
    </w:p>
    <w:p w14:paraId="786827C2" w14:textId="31023CBB" w:rsidR="00065482" w:rsidRDefault="00065482" w:rsidP="00065482">
      <w:pPr>
        <w:pStyle w:val="Paragrafoelenco"/>
        <w:ind w:left="0"/>
      </w:pPr>
      <w:r>
        <w:t xml:space="preserve">Numerous experimental studies have been carried out to calculate the optimal blending conditions of mixtures of substrates by performing BMP tests with </w:t>
      </w:r>
      <w:r w:rsidR="00B561F8">
        <w:t>DoE</w:t>
      </w:r>
      <w:r>
        <w:t xml:space="preserve"> techniques such as Central Composite Design associated to Response Surface Methodology. However, the results that were obtained from th</w:t>
      </w:r>
      <w:r w:rsidR="00B561F8">
        <w:t xml:space="preserve">ese </w:t>
      </w:r>
      <w:r>
        <w:t xml:space="preserve">are not general and can be applied only on the </w:t>
      </w:r>
      <w:r w:rsidR="000A2BC0">
        <w:t>analysed</w:t>
      </w:r>
      <w:r>
        <w:t xml:space="preserve"> mixture. In addition, they are time-consuming and require the use of analytical </w:t>
      </w:r>
      <w:r w:rsidR="00B561F8">
        <w:t>methods</w:t>
      </w:r>
      <w:r>
        <w:t>. On the other hand, some attempts to build models able to predict the optimal feedstock</w:t>
      </w:r>
      <w:r w:rsidR="00B561F8">
        <w:t>s</w:t>
      </w:r>
      <w:r>
        <w:t xml:space="preserve"> have been done in the past</w:t>
      </w:r>
      <w:r w:rsidR="004548FE">
        <w:t xml:space="preserve"> years</w:t>
      </w:r>
      <w:r>
        <w:t xml:space="preserve">: in particular, a control model based on a linear programming </w:t>
      </w:r>
      <w:r w:rsidR="00D748FC">
        <w:fldChar w:fldCharType="begin" w:fldLock="1"/>
      </w:r>
      <w:r w:rsidR="00D748FC">
        <w:instrText>ADDIN CSL_CITATION {"citationItems":[{"id":"ITEM-1","itemData":{"DOI":"10.1016/j.watres.2015.05.029","ISSN":"18792448","PMID":"26001824","abstract":"A control strategy for optimising the performance of anaerobic co-digestion in terms of methane productivity, digestate quality and process stability is presented. A linear programming approach is adopted to calculate the feeding of multiple substrates for maximum methane productivity, subjected to restrictions based on experimental and heuristic knowledge. Process stability is quantitatively assessed by an empirical diagnosis function comparing alkalinity ratio measurements against reference values (outputs between (-1,1]). A second empirical diagnosis function is defined to compare methane flow rate measurements against a reference value of maximum capacity (outputs between (0,1]). A variable-gain control function (outputs between (-1,1]), derived from the diagnosis functions, is defined to determine the quantitative change applied to the most active constraint of the substrate blend optimisation problem leading to a new set-point of feeding substrates blend. The control strategy works in a closed-loop architecture under which the process performance for each blend of substrates is continuously assessed. The system was successfully validated in a 1 m&lt;sup&gt;3&lt;/sup&gt; hybrid Upflow Anaerobic Sludge Blanket - Anaerobic Filter (UASB-AF) reactor, treating blends of substrates (gelatine, glycerine and pig manure supernatant) at OLR values between 0.71 and 6.33 gCOD/Ld over a period of 210 days at mesophilic conditions.","author":[{"dropping-particle":"","family":"García-Gen","given":"Santiago","non-dropping-particle":"","parse-names":false,"suffix":""},{"dropping-particle":"","family":"Rodríguez","given":"Jorge","non-dropping-particle":"","parse-names":false,"suffix":""},{"dropping-particle":"","family":"Lema","given":"Juan M.","non-dropping-particle":"","parse-names":false,"suffix":""}],"container-title":"Water Research","id":"ITEM-1","issued":{"date-parts":[["2015","9","1"]]},"page":"209-216","publisher":"Elsevier Ltd","title":"Control strategy for maximum anaerobic co-digestion performance","type":"article-journal","volume":"80"},"uris":["http://www.mendeley.com/documents/?uuid=e19835f9-1082-3d8c-b83d-3ecce79b5eac"]}],"mendeley":{"formattedCitation":"(García-Gen et al., 2015)","plainTextFormattedCitation":"(García-Gen et al., 2015)","previouslyFormattedCitation":"(García-Gen et al., 2015)"},"properties":{"noteIndex":0},"schema":"https://github.com/citation-style-language/schema/raw/master/csl-citation.json"}</w:instrText>
      </w:r>
      <w:r w:rsidR="00D748FC">
        <w:fldChar w:fldCharType="separate"/>
      </w:r>
      <w:r w:rsidR="00D748FC" w:rsidRPr="00D748FC">
        <w:rPr>
          <w:noProof/>
        </w:rPr>
        <w:t>(García-Gen et al., 2015)</w:t>
      </w:r>
      <w:r w:rsidR="00D748FC">
        <w:fldChar w:fldCharType="end"/>
      </w:r>
      <w:r>
        <w:t xml:space="preserve"> and an optimization based on an ant-colony approach</w:t>
      </w:r>
      <w:r w:rsidR="00D748FC">
        <w:t xml:space="preserve"> </w:t>
      </w:r>
      <w:r w:rsidR="00D748FC">
        <w:fldChar w:fldCharType="begin" w:fldLock="1"/>
      </w:r>
      <w:r w:rsidR="00D748FC">
        <w:instrText>ADDIN CSL_CITATION {"citationItems":[{"id":"ITEM-1","itemData":{"DOI":"10.1016/j.renene.2020.12.064","ISSN":"18790682","abstract":"Co-digestion is a well-established strategy to maximise the capacity of anaerobic digestion in wastewater treatment plants (WWTPs). Many tools have been developed to optimise the blend composition. However, the logistics associated with each component of the blend remain a relatively unexplored field, which can yield significant planning challenges. In this paper, an ant colony optimisation based approach is proposed to address these challenges. The proposed algorithm maximises an objective function composed of a first term related to the quality of the sludge and a second term related to the distance between the sludge generator and the anaerobic co-digester. The algorithm successfully optimises the blend composition by considering the related logistics, achieving an optimum blend with an approximately 18% volume of co-substrate. The approach presented here has been used to plan co-digestion using real data from an actual sanitation network composed of 13 WWTPs in the area of the Besòs river basin in Catalonia, and an optimised co-digestion planning strategy with a waste management cost reduction of 77% was obtained.","author":[{"dropping-particle":"","family":"Palma-Heredia","given":"D.","non-dropping-particle":"","parse-names":false,"suffix":""},{"dropping-particle":"","family":"Verdaguer","given":"M.","non-dropping-particle":"","parse-names":false,"suffix":""},{"dropping-particle":"","family":"Molinos-Senante","given":"M.","non-dropping-particle":"","parse-names":false,"suffix":""},{"dropping-particle":"","family":"Poch","given":"M.","non-dropping-particle":"","parse-names":false,"suffix":""},{"dropping-particle":"","family":"Cugueró-Escofet","given":"M.","non-dropping-particle":"","parse-names":false,"suffix":""}],"container-title":"Renewable Energy","id":"ITEM-1","issued":{"date-parts":[["2021"]]},"page":"141-150","title":"Optimised blending for anaerobic co-digestion using ant colony approach: Besòs river basin case study","type":"article-journal","volume":"168"},"uris":["http://www.mendeley.com/documents/?uuid=8065d23c-d3d8-4445-b787-94e52563f517"]}],"mendeley":{"formattedCitation":"(Palma-Heredia et al., 2021)","plainTextFormattedCitation":"(Palma-Heredia et al., 2021)","previouslyFormattedCitation":"(Palma-Heredia et al., 2021)"},"properties":{"noteIndex":0},"schema":"https://github.com/citation-style-language/schema/raw/master/csl-citation.json"}</w:instrText>
      </w:r>
      <w:r w:rsidR="00D748FC">
        <w:fldChar w:fldCharType="separate"/>
      </w:r>
      <w:r w:rsidR="00D748FC" w:rsidRPr="00D748FC">
        <w:rPr>
          <w:noProof/>
        </w:rPr>
        <w:t>(Palma-Heredia et al., 2021)</w:t>
      </w:r>
      <w:r w:rsidR="00D748FC">
        <w:fldChar w:fldCharType="end"/>
      </w:r>
      <w:r>
        <w:t xml:space="preserve"> have been proposed. However, they are both intended to be applied as in-line control systems and involve the </w:t>
      </w:r>
      <w:r w:rsidR="00A822D4">
        <w:t>implementation</w:t>
      </w:r>
      <w:r>
        <w:t xml:space="preserve"> of hardly measurable variables. The purpose of this work, instead, is the development of an easy-to-use and quick tool that with few, simple inputs can estimate with good precision the</w:t>
      </w:r>
      <w:r w:rsidRPr="003E31F2">
        <w:t xml:space="preserve"> optimal blending ratios</w:t>
      </w:r>
      <w:r>
        <w:t xml:space="preserve"> of mixtures of substrates, aiming at supporting industrial realities with decision-making processes related to the feedstock management.</w:t>
      </w:r>
    </w:p>
    <w:p w14:paraId="29B000E5" w14:textId="206E3B9E" w:rsidR="00065482" w:rsidRDefault="00065482" w:rsidP="00065482">
      <w:pPr>
        <w:pStyle w:val="CETHeading1"/>
      </w:pPr>
      <w:r>
        <w:t>Feedstock Database</w:t>
      </w:r>
    </w:p>
    <w:p w14:paraId="3FF1D92A" w14:textId="621427C8" w:rsidR="00065482" w:rsidRDefault="00065482" w:rsidP="00A822D4">
      <w:pPr>
        <w:pStyle w:val="CETBodytext"/>
      </w:pPr>
      <w:r w:rsidRPr="00A40DAB">
        <w:t>The high number of possible raw materials and the high variability of their composition depending on their source reflects the high complexity of the problem</w:t>
      </w:r>
      <w:r>
        <w:t>. T</w:t>
      </w:r>
      <w:r w:rsidRPr="004E6D82">
        <w:t>herefore</w:t>
      </w:r>
      <w:r>
        <w:t xml:space="preserve">, a </w:t>
      </w:r>
      <w:r w:rsidRPr="004E6D82">
        <w:t>database</w:t>
      </w:r>
      <w:r>
        <w:t xml:space="preserve"> was created</w:t>
      </w:r>
      <w:r w:rsidR="001045BA">
        <w:t>,</w:t>
      </w:r>
      <w:r>
        <w:t xml:space="preserve"> collecting data about many </w:t>
      </w:r>
      <w:r w:rsidR="000A2BC0">
        <w:t>substrates,</w:t>
      </w:r>
      <w:r>
        <w:t xml:space="preserve"> and </w:t>
      </w:r>
      <w:r w:rsidR="00A822D4">
        <w:t>organizing</w:t>
      </w:r>
      <w:r>
        <w:t xml:space="preserve"> them into four macro-categories. Here, for each substrate, data about the main </w:t>
      </w:r>
      <w:r>
        <w:lastRenderedPageBreak/>
        <w:t>parameters characterizing them</w:t>
      </w:r>
      <w:r w:rsidR="00A822D4">
        <w:t xml:space="preserve"> </w:t>
      </w:r>
      <w:r w:rsidR="00A822D4" w:rsidRPr="00A822D4">
        <w:t>–</w:t>
      </w:r>
      <w:r w:rsidRPr="00A822D4">
        <w:t xml:space="preserve"> TS,</w:t>
      </w:r>
      <w:r>
        <w:t xml:space="preserve"> VS, C/N ratio, lipids, proteins, sugars, starch, easily degradable carbohydrates, lignin, cellulose, and hemicellulose content, TBMP, EBMP, BD – were collected from more than eighty scientific </w:t>
      </w:r>
      <w:r w:rsidR="00A822D4">
        <w:t>articles</w:t>
      </w:r>
      <w:r>
        <w:t>.</w:t>
      </w:r>
      <w:r w:rsidR="00A822D4">
        <w:t xml:space="preserve"> </w:t>
      </w:r>
      <w:r>
        <w:t xml:space="preserve">Due to the high variability of the compositions of substrates, even of the same nature, their parameters are characterized by a </w:t>
      </w:r>
      <w:r w:rsidR="00A822D4">
        <w:t xml:space="preserve">value </w:t>
      </w:r>
      <w:r>
        <w:t xml:space="preserve">distribution. Consequently, to obtain general, reliable values for each parameter, an averaging process was carried out, associating to each one a standard deviation. The obtained mean values were used to build the </w:t>
      </w:r>
      <w:r w:rsidRPr="00065482">
        <w:rPr>
          <w:i/>
          <w:iCs/>
        </w:rPr>
        <w:t>Primary Averaged Database</w:t>
      </w:r>
      <w:r w:rsidR="001045BA">
        <w:rPr>
          <w:i/>
          <w:iCs/>
        </w:rPr>
        <w:t xml:space="preserve"> </w:t>
      </w:r>
      <w:r w:rsidR="001045BA" w:rsidRPr="001045BA">
        <w:t>(</w:t>
      </w:r>
      <w:r w:rsidR="001045BA">
        <w:t>P</w:t>
      </w:r>
      <w:r w:rsidR="001045BA" w:rsidRPr="001045BA">
        <w:t>AD)</w:t>
      </w:r>
      <w:r>
        <w:t>, that was then used to identify correlations between the</w:t>
      </w:r>
      <w:r w:rsidR="00A822D4">
        <w:t>se</w:t>
      </w:r>
      <w:r>
        <w:t xml:space="preserve"> parameters </w:t>
      </w:r>
      <w:r w:rsidR="00A822D4">
        <w:t>through</w:t>
      </w:r>
      <w:r>
        <w:t xml:space="preserve"> regression tools. </w:t>
      </w:r>
      <w:r w:rsidR="00A822D4">
        <w:t>Then</w:t>
      </w:r>
      <w:r>
        <w:t xml:space="preserve">, a </w:t>
      </w:r>
      <w:r w:rsidRPr="006A236F">
        <w:rPr>
          <w:i/>
          <w:iCs/>
        </w:rPr>
        <w:t>Secondary Averaged Database</w:t>
      </w:r>
      <w:r w:rsidR="001045BA">
        <w:rPr>
          <w:i/>
          <w:iCs/>
        </w:rPr>
        <w:t xml:space="preserve"> </w:t>
      </w:r>
      <w:r w:rsidR="001045BA" w:rsidRPr="001045BA">
        <w:t>(SAD)</w:t>
      </w:r>
      <w:r>
        <w:t xml:space="preserve"> was built by calculating general mean values and respective standard deviations for each macro-category.</w:t>
      </w:r>
    </w:p>
    <w:p w14:paraId="1AEB7756" w14:textId="1AE4C62F" w:rsidR="00065482" w:rsidRDefault="00065482" w:rsidP="00065482">
      <w:pPr>
        <w:pStyle w:val="CETHeading1"/>
      </w:pPr>
      <w:r>
        <w:t>Mathematical Correlations</w:t>
      </w:r>
    </w:p>
    <w:p w14:paraId="69D79030" w14:textId="129656A9" w:rsidR="002E357F" w:rsidRDefault="00065482" w:rsidP="00901064">
      <w:pPr>
        <w:spacing w:after="120"/>
      </w:pPr>
      <w:r>
        <w:t xml:space="preserve">The data </w:t>
      </w:r>
      <w:r w:rsidR="00A752AB">
        <w:t>from the</w:t>
      </w:r>
      <w:r>
        <w:t xml:space="preserve"> </w:t>
      </w:r>
      <w:r w:rsidR="001045BA" w:rsidRPr="001045BA">
        <w:t>PAD</w:t>
      </w:r>
      <w:r w:rsidRPr="00065482">
        <w:rPr>
          <w:i/>
          <w:iCs/>
        </w:rPr>
        <w:t xml:space="preserve"> </w:t>
      </w:r>
      <w:r>
        <w:t xml:space="preserve">were </w:t>
      </w:r>
      <w:r w:rsidR="000A2BC0">
        <w:t>analysed</w:t>
      </w:r>
      <w:r>
        <w:t xml:space="preserve"> to demonstrate the existence of mathematical </w:t>
      </w:r>
      <w:r w:rsidR="000A2BC0">
        <w:t>dependences</w:t>
      </w:r>
      <w:r>
        <w:t xml:space="preserve"> of the EBMP on substrate’s parameters such as the C/N ratio, the BD, and the content of macro-nutrients as lipids and lignin. By using a multi-dimensional regression analysis, it was possible to create two, three and four-dimensional relationships between these parameters. For the sake of brevity, only the three-dimensional plots are reported</w:t>
      </w:r>
      <w:r w:rsidR="00A752AB">
        <w:t xml:space="preserve"> (Fig.</w:t>
      </w:r>
      <w:r>
        <w:t xml:space="preserve"> 1</w:t>
      </w:r>
      <w:r w:rsidR="00A752AB">
        <w:t>)</w:t>
      </w:r>
      <w:r>
        <w:t xml:space="preserve">. </w:t>
      </w:r>
      <w:r w:rsidR="00A752AB">
        <w:t>I</w:t>
      </w:r>
      <w:r>
        <w:t xml:space="preserve">t can be observed that clear relationships between </w:t>
      </w:r>
      <w:r w:rsidR="00A752AB">
        <w:t>these</w:t>
      </w:r>
      <w:r>
        <w:t xml:space="preserve"> parameters exist. The EBMP generally reaches a maximum as function of the C/N ratio, revealing an optimal range</w:t>
      </w:r>
      <w:r w:rsidR="00A752AB">
        <w:t>. Moreover,</w:t>
      </w:r>
      <w:r>
        <w:t xml:space="preserve"> it increases </w:t>
      </w:r>
      <w:r w:rsidR="00A752AB">
        <w:t>with</w:t>
      </w:r>
      <w:r>
        <w:t xml:space="preserve"> </w:t>
      </w:r>
      <w:r w:rsidR="00A752AB">
        <w:t>BD a</w:t>
      </w:r>
      <w:r>
        <w:t>nd decreases at the increase of</w:t>
      </w:r>
      <w:r w:rsidR="00A752AB">
        <w:t xml:space="preserve"> the</w:t>
      </w:r>
      <w:r>
        <w:t xml:space="preserve"> lignin content – lignin is indeed the main non-degradable component. </w:t>
      </w:r>
      <w:r w:rsidR="00901064">
        <w:t>Furthermore</w:t>
      </w:r>
      <w:r>
        <w:t>, EBMP shows a maximum with respect to lipids content</w:t>
      </w:r>
      <w:r w:rsidR="00901064">
        <w:t>.</w:t>
      </w:r>
      <w:r>
        <w:t xml:space="preserve"> </w:t>
      </w:r>
      <w:r w:rsidR="00901064">
        <w:t>I</w:t>
      </w:r>
      <w:r>
        <w:t xml:space="preserve">n fact, high lipids content might lead to VFA deactivation. </w:t>
      </w:r>
      <w:r w:rsidR="00901064">
        <w:t>Consequently,</w:t>
      </w:r>
      <w:r>
        <w:t xml:space="preserve"> the production of methane strictly depends on the substrate’s characteristics and makes it possible to </w:t>
      </w:r>
      <w:r w:rsidR="00901064">
        <w:t xml:space="preserve">properly </w:t>
      </w:r>
      <w:r>
        <w:t>estimate the BMP by only knowing the value of some of its parameters.</w:t>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9"/>
        <w:gridCol w:w="2796"/>
        <w:gridCol w:w="3102"/>
      </w:tblGrid>
      <w:tr w:rsidR="001045BA" w14:paraId="7E9AE053" w14:textId="77777777" w:rsidTr="003948E2">
        <w:trPr>
          <w:trHeight w:val="283"/>
          <w:jc w:val="center"/>
        </w:trPr>
        <w:tc>
          <w:tcPr>
            <w:tcW w:w="1767" w:type="pct"/>
            <w:shd w:val="clear" w:color="auto" w:fill="auto"/>
            <w:vAlign w:val="bottom"/>
          </w:tcPr>
          <w:p w14:paraId="072AA35C" w14:textId="0C65D820" w:rsidR="001045BA" w:rsidRDefault="008D6325" w:rsidP="009748F3">
            <w:pPr>
              <w:ind w:right="-21"/>
            </w:pPr>
            <w:r>
              <w:rPr>
                <w:noProof/>
              </w:rPr>
              <w:drawing>
                <wp:inline distT="0" distB="0" distL="0" distR="0" wp14:anchorId="3A210D48" wp14:editId="2C79B874">
                  <wp:extent cx="1596951" cy="1439315"/>
                  <wp:effectExtent l="0" t="0" r="3810" b="0"/>
                  <wp:docPr id="7" name="Elemento gra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emento grafico 7"/>
                          <pic:cNvPicPr/>
                        </pic:nvPicPr>
                        <pic:blipFill rotWithShape="1">
                          <a:blip r:embed="rId10">
                            <a:extLst>
                              <a:ext uri="{96DAC541-7B7A-43D3-8B79-37D633B846F1}">
                                <asvg:svgBlip xmlns:asvg="http://schemas.microsoft.com/office/drawing/2016/SVG/main" r:embed="rId11"/>
                              </a:ext>
                            </a:extLst>
                          </a:blip>
                          <a:srcRect l="7745" r="12137"/>
                          <a:stretch/>
                        </pic:blipFill>
                        <pic:spPr bwMode="auto">
                          <a:xfrm>
                            <a:off x="0" y="0"/>
                            <a:ext cx="1597711"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579" w:type="pct"/>
            <w:shd w:val="clear" w:color="auto" w:fill="auto"/>
            <w:vAlign w:val="bottom"/>
          </w:tcPr>
          <w:p w14:paraId="09C9A4EA" w14:textId="6DAEBA64" w:rsidR="001045BA" w:rsidRDefault="00B05869" w:rsidP="009748F3">
            <w:pPr>
              <w:ind w:right="-21"/>
            </w:pPr>
            <w:r>
              <w:rPr>
                <w:noProof/>
              </w:rPr>
              <w:drawing>
                <wp:inline distT="0" distB="0" distL="0" distR="0" wp14:anchorId="63317055" wp14:editId="1BA3A463">
                  <wp:extent cx="1638795" cy="1439261"/>
                  <wp:effectExtent l="0" t="0" r="0" b="0"/>
                  <wp:docPr id="9" name="Elemento gra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emento grafico 9"/>
                          <pic:cNvPicPr/>
                        </pic:nvPicPr>
                        <pic:blipFill rotWithShape="1">
                          <a:blip r:embed="rId12">
                            <a:extLst>
                              <a:ext uri="{96DAC541-7B7A-43D3-8B79-37D633B846F1}">
                                <asvg:svgBlip xmlns:asvg="http://schemas.microsoft.com/office/drawing/2016/SVG/main" r:embed="rId13"/>
                              </a:ext>
                            </a:extLst>
                          </a:blip>
                          <a:srcRect l="2725" r="3250"/>
                          <a:stretch/>
                        </pic:blipFill>
                        <pic:spPr bwMode="auto">
                          <a:xfrm>
                            <a:off x="0" y="0"/>
                            <a:ext cx="1639637"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54" w:type="pct"/>
            <w:shd w:val="clear" w:color="auto" w:fill="auto"/>
            <w:vAlign w:val="bottom"/>
          </w:tcPr>
          <w:p w14:paraId="17C86A18" w14:textId="567A861B" w:rsidR="001045BA" w:rsidRDefault="00B761BF" w:rsidP="009748F3">
            <w:pPr>
              <w:ind w:right="-21"/>
            </w:pPr>
            <w:r>
              <w:rPr>
                <w:noProof/>
              </w:rPr>
              <w:drawing>
                <wp:inline distT="0" distB="0" distL="0" distR="0" wp14:anchorId="3577A4A8" wp14:editId="6E70D6C4">
                  <wp:extent cx="1832884" cy="1439545"/>
                  <wp:effectExtent l="0" t="0" r="0" b="0"/>
                  <wp:docPr id="12" name="Elemento grafic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lemento grafico 12"/>
                          <pic:cNvPicPr/>
                        </pic:nvPicPr>
                        <pic:blipFill rotWithShape="1">
                          <a:blip r:embed="rId14">
                            <a:extLst>
                              <a:ext uri="{96DAC541-7B7A-43D3-8B79-37D633B846F1}">
                                <asvg:svgBlip xmlns:asvg="http://schemas.microsoft.com/office/drawing/2016/SVG/main" r:embed="rId15"/>
                              </a:ext>
                            </a:extLst>
                          </a:blip>
                          <a:srcRect l="8858"/>
                          <a:stretch/>
                        </pic:blipFill>
                        <pic:spPr bwMode="auto">
                          <a:xfrm>
                            <a:off x="0" y="0"/>
                            <a:ext cx="1833463" cy="1440000"/>
                          </a:xfrm>
                          <a:prstGeom prst="rect">
                            <a:avLst/>
                          </a:prstGeom>
                          <a:ln>
                            <a:noFill/>
                          </a:ln>
                          <a:extLst>
                            <a:ext uri="{53640926-AAD7-44D8-BBD7-CCE9431645EC}">
                              <a14:shadowObscured xmlns:a14="http://schemas.microsoft.com/office/drawing/2010/main"/>
                            </a:ext>
                          </a:extLst>
                        </pic:spPr>
                      </pic:pic>
                    </a:graphicData>
                  </a:graphic>
                </wp:inline>
              </w:drawing>
            </w:r>
          </w:p>
        </w:tc>
      </w:tr>
      <w:tr w:rsidR="001045BA" w14:paraId="18F85AD1" w14:textId="77777777" w:rsidTr="003948E2">
        <w:trPr>
          <w:trHeight w:val="227"/>
          <w:jc w:val="center"/>
        </w:trPr>
        <w:tc>
          <w:tcPr>
            <w:tcW w:w="1767" w:type="pct"/>
            <w:shd w:val="clear" w:color="auto" w:fill="auto"/>
            <w:vAlign w:val="bottom"/>
          </w:tcPr>
          <w:p w14:paraId="169CC68B" w14:textId="77777777" w:rsidR="001045BA" w:rsidRDefault="001045BA" w:rsidP="003948E2">
            <w:pPr>
              <w:ind w:right="-21"/>
              <w:jc w:val="center"/>
            </w:pPr>
            <w:r>
              <w:t>(a)</w:t>
            </w:r>
          </w:p>
        </w:tc>
        <w:tc>
          <w:tcPr>
            <w:tcW w:w="1579" w:type="pct"/>
            <w:shd w:val="clear" w:color="auto" w:fill="auto"/>
            <w:vAlign w:val="bottom"/>
          </w:tcPr>
          <w:p w14:paraId="177975AD" w14:textId="77777777" w:rsidR="001045BA" w:rsidRDefault="001045BA" w:rsidP="003948E2">
            <w:pPr>
              <w:ind w:right="-21"/>
              <w:jc w:val="center"/>
            </w:pPr>
            <w:r>
              <w:t>(b)</w:t>
            </w:r>
          </w:p>
        </w:tc>
        <w:tc>
          <w:tcPr>
            <w:tcW w:w="1654" w:type="pct"/>
            <w:shd w:val="clear" w:color="auto" w:fill="auto"/>
            <w:vAlign w:val="bottom"/>
          </w:tcPr>
          <w:p w14:paraId="29A423A6" w14:textId="77777777" w:rsidR="001045BA" w:rsidRDefault="001045BA" w:rsidP="003948E2">
            <w:pPr>
              <w:ind w:right="-21"/>
              <w:jc w:val="center"/>
            </w:pPr>
            <w:r>
              <w:t>(c)</w:t>
            </w:r>
          </w:p>
        </w:tc>
      </w:tr>
    </w:tbl>
    <w:p w14:paraId="756A3971" w14:textId="4BBCB6B8" w:rsidR="001045BA" w:rsidRDefault="001045BA" w:rsidP="001045BA">
      <w:pPr>
        <w:pStyle w:val="CETCaption"/>
      </w:pPr>
      <w:r>
        <w:t xml:space="preserve">Figure 1. </w:t>
      </w:r>
      <w:r w:rsidRPr="00B048E1">
        <w:t>3D plots of EBMP as function of</w:t>
      </w:r>
      <w:r>
        <w:t xml:space="preserve"> (a) C/N ratio and biodegradability; (b) C/N ratio and lignin content; (c) lipids and lignin content. (o) </w:t>
      </w:r>
      <w:r w:rsidR="00493298">
        <w:t xml:space="preserve">EBMP </w:t>
      </w:r>
      <w:r>
        <w:t xml:space="preserve">experimental points; (surface) </w:t>
      </w:r>
      <w:r w:rsidR="00493298">
        <w:t xml:space="preserve">BMP </w:t>
      </w:r>
      <w:r>
        <w:t>model prediction.</w:t>
      </w:r>
    </w:p>
    <w:p w14:paraId="195DBECB" w14:textId="54FFA421" w:rsidR="00065482" w:rsidRDefault="00065482" w:rsidP="00065482">
      <w:pPr>
        <w:pStyle w:val="CETHeading1"/>
      </w:pPr>
      <w:r>
        <w:t xml:space="preserve">Model for </w:t>
      </w:r>
      <w:r w:rsidR="00BA094E">
        <w:t>Blending Optimization</w:t>
      </w:r>
    </w:p>
    <w:p w14:paraId="6E487242" w14:textId="67F17416" w:rsidR="00BA094E" w:rsidRDefault="00901064" w:rsidP="00BA094E">
      <w:pPr>
        <w:pStyle w:val="CETBodytext"/>
      </w:pPr>
      <w:r>
        <w:t>Being</w:t>
      </w:r>
      <w:r w:rsidR="00BA094E">
        <w:t xml:space="preserve"> the aim of this study t</w:t>
      </w:r>
      <w:r>
        <w:t>he</w:t>
      </w:r>
      <w:r w:rsidR="00BA094E">
        <w:t xml:space="preserve"> </w:t>
      </w:r>
      <w:r>
        <w:t>maximization of</w:t>
      </w:r>
      <w:r w:rsidR="00BA094E">
        <w:t xml:space="preserve"> the methane production of </w:t>
      </w:r>
      <w:r>
        <w:t>feedstock mixtures</w:t>
      </w:r>
      <w:r w:rsidR="00BA094E">
        <w:t xml:space="preserve">, besides the BMP of the single substrates, synergistic effects should be considered too. Consequently, </w:t>
      </w:r>
      <w:r>
        <w:t>the</w:t>
      </w:r>
      <w:r w:rsidR="00BA094E">
        <w:t xml:space="preserve"> objective function representing the BMP of a mixture of substrates has been defined s</w:t>
      </w:r>
      <w:r>
        <w:t>uch</w:t>
      </w:r>
      <w:r w:rsidR="00BA094E">
        <w:t xml:space="preserve"> that, when maximized, it returns the highest possible BMP and the corresponding feedstock composition in terms of mass fractions of the selected substrates. The objective function has been defined for the anaerobic co-digestion of two and three components (</w:t>
      </w:r>
      <w:r>
        <w:t>Eq. 3</w:t>
      </w:r>
      <w:r w:rsidR="00493298">
        <w:t>-</w:t>
      </w:r>
      <w:r>
        <w:t>4</w:t>
      </w:r>
      <w:r w:rsidR="00BA094E">
        <w:t>)</w:t>
      </w:r>
      <w:r>
        <w:t>.</w:t>
      </w:r>
    </w:p>
    <w:tbl>
      <w:tblPr>
        <w:tblW w:w="5000" w:type="pct"/>
        <w:tblLook w:val="04A0" w:firstRow="1" w:lastRow="0" w:firstColumn="1" w:lastColumn="0" w:noHBand="0" w:noVBand="1"/>
      </w:tblPr>
      <w:tblGrid>
        <w:gridCol w:w="7984"/>
        <w:gridCol w:w="803"/>
      </w:tblGrid>
      <w:tr w:rsidR="00811EAE" w:rsidRPr="00B57B36" w14:paraId="0EE6A0A4" w14:textId="77777777" w:rsidTr="00811EAE">
        <w:tc>
          <w:tcPr>
            <w:tcW w:w="7984" w:type="dxa"/>
            <w:shd w:val="clear" w:color="auto" w:fill="auto"/>
            <w:vAlign w:val="bottom"/>
          </w:tcPr>
          <w:p w14:paraId="1F48CC4D" w14:textId="7036EE83" w:rsidR="00811EAE" w:rsidRPr="00811EAE" w:rsidRDefault="00DA0BBE" w:rsidP="00811EAE">
            <w:pPr>
              <w:spacing w:after="160" w:line="259" w:lineRule="auto"/>
              <w:jc w:val="left"/>
              <w:rPr>
                <w:iCs/>
              </w:rPr>
            </w:pPr>
            <m:oMathPara>
              <m:oMathParaPr>
                <m:jc m:val="left"/>
              </m:oMathParaPr>
              <m:oMath>
                <m:sSub>
                  <m:sSubPr>
                    <m:ctrlPr>
                      <w:rPr>
                        <w:rFonts w:ascii="Cambria Math" w:eastAsiaTheme="minorEastAsia" w:hAnsi="Cambria Math"/>
                        <w:i/>
                        <w:iCs/>
                      </w:rPr>
                    </m:ctrlPr>
                  </m:sSubPr>
                  <m:e>
                    <m:r>
                      <w:rPr>
                        <w:rFonts w:ascii="Cambria Math" w:eastAsiaTheme="minorEastAsia" w:hAnsi="Cambria Math"/>
                        <w:lang w:val="it-IT"/>
                      </w:rPr>
                      <m:t>f</m:t>
                    </m:r>
                  </m:e>
                  <m:sub>
                    <m:r>
                      <w:rPr>
                        <w:rFonts w:ascii="Cambria Math" w:eastAsiaTheme="minorEastAsia" w:hAnsi="Cambria Math"/>
                        <w:lang w:val="it-IT"/>
                      </w:rPr>
                      <m:t>obj</m:t>
                    </m:r>
                    <m:r>
                      <w:rPr>
                        <w:rFonts w:ascii="Cambria Math" w:eastAsiaTheme="minorEastAsia" w:hAnsi="Cambria Math"/>
                        <w:lang w:val="en-US"/>
                      </w:rPr>
                      <m:t>,</m:t>
                    </m:r>
                    <m:r>
                      <w:rPr>
                        <w:rFonts w:ascii="Cambria Math" w:eastAsiaTheme="minorEastAsia" w:hAnsi="Cambria Math"/>
                        <w:lang w:val="it-IT"/>
                      </w:rPr>
                      <m:t>NC</m:t>
                    </m:r>
                    <m:r>
                      <w:rPr>
                        <w:rFonts w:ascii="Cambria Math" w:eastAsiaTheme="minorEastAsia" w:hAnsi="Cambria Math"/>
                        <w:lang w:val="en-US"/>
                      </w:rPr>
                      <m:t>=2</m:t>
                    </m:r>
                  </m:sub>
                </m:sSub>
                <m:r>
                  <w:rPr>
                    <w:rFonts w:ascii="Cambria Math" w:eastAsiaTheme="minorEastAsia" w:hAnsi="Cambria Math"/>
                    <w:lang w:val="en-US"/>
                  </w:rPr>
                  <m:t>=</m:t>
                </m:r>
                <m:sSub>
                  <m:sSubPr>
                    <m:ctrlPr>
                      <w:rPr>
                        <w:rFonts w:ascii="Cambria Math" w:eastAsiaTheme="minorEastAsia" w:hAnsi="Cambria Math"/>
                        <w:i/>
                        <w:iCs/>
                        <w:lang w:val="it-IT"/>
                      </w:rPr>
                    </m:ctrlPr>
                  </m:sSubPr>
                  <m:e>
                    <m:r>
                      <w:rPr>
                        <w:rFonts w:ascii="Cambria Math" w:eastAsiaTheme="minorEastAsia" w:hAnsi="Cambria Math"/>
                        <w:lang w:val="it-IT"/>
                      </w:rPr>
                      <m:t>BMP</m:t>
                    </m:r>
                  </m:e>
                  <m:sub>
                    <m:r>
                      <w:rPr>
                        <w:rFonts w:ascii="Cambria Math" w:eastAsiaTheme="minorEastAsia" w:hAnsi="Cambria Math"/>
                        <w:lang w:val="it-IT"/>
                      </w:rPr>
                      <m:t>AcoD</m:t>
                    </m:r>
                  </m:sub>
                </m:sSub>
                <m:r>
                  <w:rPr>
                    <w:rFonts w:ascii="Cambria Math" w:eastAsiaTheme="minorEastAsia" w:hAnsi="Cambria Math"/>
                    <w:lang w:val="en-US"/>
                  </w:rPr>
                  <m:t>=</m:t>
                </m:r>
                <m:sSub>
                  <m:sSubPr>
                    <m:ctrlPr>
                      <w:rPr>
                        <w:rFonts w:ascii="Cambria Math" w:eastAsiaTheme="minorEastAsia" w:hAnsi="Cambria Math"/>
                        <w:i/>
                        <w:lang w:val="it-IT"/>
                      </w:rPr>
                    </m:ctrlPr>
                  </m:sSubPr>
                  <m:e>
                    <m:r>
                      <w:rPr>
                        <w:rFonts w:ascii="Cambria Math" w:eastAsiaTheme="minorEastAsia" w:hAnsi="Cambria Math"/>
                        <w:lang w:val="it-IT"/>
                      </w:rPr>
                      <m:t>x</m:t>
                    </m:r>
                  </m:e>
                  <m:sub>
                    <m:r>
                      <w:rPr>
                        <w:rFonts w:ascii="Cambria Math" w:eastAsiaTheme="minorEastAsia" w:hAnsi="Cambria Math"/>
                        <w:lang w:val="en-US"/>
                      </w:rPr>
                      <m:t>1</m:t>
                    </m:r>
                  </m:sub>
                </m:sSub>
                <m:sSub>
                  <m:sSubPr>
                    <m:ctrlPr>
                      <w:rPr>
                        <w:rFonts w:ascii="Cambria Math" w:eastAsiaTheme="minorEastAsia" w:hAnsi="Cambria Math"/>
                        <w:i/>
                        <w:iCs/>
                        <w:lang w:val="it-IT"/>
                      </w:rPr>
                    </m:ctrlPr>
                  </m:sSubPr>
                  <m:e>
                    <m:r>
                      <w:rPr>
                        <w:rFonts w:ascii="Cambria Math" w:eastAsiaTheme="minorEastAsia" w:hAnsi="Cambria Math"/>
                        <w:lang w:val="it-IT"/>
                      </w:rPr>
                      <m:t>BMP</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it-IT"/>
                      </w:rPr>
                    </m:ctrlPr>
                  </m:sSubPr>
                  <m:e>
                    <m:r>
                      <w:rPr>
                        <w:rFonts w:ascii="Cambria Math" w:eastAsiaTheme="minorEastAsia" w:hAnsi="Cambria Math"/>
                        <w:lang w:val="it-IT"/>
                      </w:rPr>
                      <m:t>x</m:t>
                    </m:r>
                  </m:e>
                  <m:sub>
                    <m:r>
                      <w:rPr>
                        <w:rFonts w:ascii="Cambria Math" w:eastAsiaTheme="minorEastAsia" w:hAnsi="Cambria Math"/>
                        <w:lang w:val="en-US"/>
                      </w:rPr>
                      <m:t>2</m:t>
                    </m:r>
                  </m:sub>
                </m:sSub>
                <m:sSub>
                  <m:sSubPr>
                    <m:ctrlPr>
                      <w:rPr>
                        <w:rFonts w:ascii="Cambria Math" w:eastAsiaTheme="minorEastAsia" w:hAnsi="Cambria Math"/>
                        <w:i/>
                        <w:iCs/>
                        <w:lang w:val="it-IT"/>
                      </w:rPr>
                    </m:ctrlPr>
                  </m:sSubPr>
                  <m:e>
                    <m:r>
                      <w:rPr>
                        <w:rFonts w:ascii="Cambria Math" w:eastAsiaTheme="minorEastAsia" w:hAnsi="Cambria Math"/>
                        <w:lang w:val="it-IT"/>
                      </w:rPr>
                      <m:t>BMP</m:t>
                    </m:r>
                  </m:e>
                  <m:sub>
                    <m:r>
                      <w:rPr>
                        <w:rFonts w:ascii="Cambria Math" w:eastAsiaTheme="minorEastAsia" w:hAnsi="Cambria Math"/>
                        <w:lang w:val="en-US"/>
                      </w:rPr>
                      <m:t>2</m:t>
                    </m:r>
                  </m:sub>
                </m:sSub>
                <m:r>
                  <w:rPr>
                    <w:rFonts w:ascii="Cambria Math" w:hAnsi="Cambria Math"/>
                    <w:szCs w:val="24"/>
                  </w:rPr>
                  <m:t>+</m:t>
                </m:r>
                <m:sSub>
                  <m:sSubPr>
                    <m:ctrlPr>
                      <w:rPr>
                        <w:rFonts w:ascii="Cambria Math" w:eastAsiaTheme="minorEastAsia" w:hAnsi="Cambria Math"/>
                        <w:i/>
                        <w:lang w:val="it-IT"/>
                      </w:rPr>
                    </m:ctrlPr>
                  </m:sSubPr>
                  <m:e>
                    <m:r>
                      <w:rPr>
                        <w:rFonts w:ascii="Cambria Math" w:eastAsiaTheme="minorEastAsia" w:hAnsi="Cambria Math"/>
                        <w:lang w:val="it-IT"/>
                      </w:rPr>
                      <m:t>x</m:t>
                    </m:r>
                  </m:e>
                  <m:sub>
                    <m:r>
                      <w:rPr>
                        <w:rFonts w:ascii="Cambria Math" w:eastAsiaTheme="minorEastAsia" w:hAnsi="Cambria Math"/>
                        <w:lang w:val="en-US"/>
                      </w:rPr>
                      <m:t>1</m:t>
                    </m:r>
                  </m:sub>
                </m:sSub>
                <m:sSub>
                  <m:sSubPr>
                    <m:ctrlPr>
                      <w:rPr>
                        <w:rFonts w:ascii="Cambria Math" w:eastAsiaTheme="minorEastAsia" w:hAnsi="Cambria Math"/>
                        <w:i/>
                        <w:lang w:val="it-IT"/>
                      </w:rPr>
                    </m:ctrlPr>
                  </m:sSubPr>
                  <m:e>
                    <m:r>
                      <w:rPr>
                        <w:rFonts w:ascii="Cambria Math" w:eastAsiaTheme="minorEastAsia" w:hAnsi="Cambria Math"/>
                        <w:lang w:val="it-IT"/>
                      </w:rPr>
                      <m:t>x</m:t>
                    </m:r>
                  </m:e>
                  <m:sub>
                    <m:r>
                      <w:rPr>
                        <w:rFonts w:ascii="Cambria Math" w:eastAsiaTheme="minorEastAsia" w:hAnsi="Cambria Math"/>
                        <w:lang w:val="en-US"/>
                      </w:rPr>
                      <m:t>2</m:t>
                    </m:r>
                  </m:sub>
                </m:sSub>
                <m:sSub>
                  <m:sSubPr>
                    <m:ctrlPr>
                      <w:rPr>
                        <w:rFonts w:ascii="Cambria Math" w:eastAsiaTheme="minorEastAsia" w:hAnsi="Cambria Math"/>
                        <w:i/>
                        <w:iCs/>
                        <w:lang w:val="it-IT"/>
                      </w:rPr>
                    </m:ctrlPr>
                  </m:sSubPr>
                  <m:e>
                    <m:r>
                      <w:rPr>
                        <w:rFonts w:ascii="Cambria Math" w:eastAsiaTheme="minorEastAsia" w:hAnsi="Cambria Math"/>
                        <w:lang w:val="it-IT"/>
                      </w:rPr>
                      <m:t>BMP</m:t>
                    </m:r>
                  </m:e>
                  <m:sub>
                    <m:r>
                      <w:rPr>
                        <w:rFonts w:ascii="Cambria Math" w:eastAsiaTheme="minorEastAsia" w:hAnsi="Cambria Math"/>
                        <w:lang w:val="it-IT"/>
                      </w:rPr>
                      <m:t>mix</m:t>
                    </m:r>
                  </m:sub>
                </m:sSub>
              </m:oMath>
            </m:oMathPara>
          </w:p>
        </w:tc>
        <w:tc>
          <w:tcPr>
            <w:tcW w:w="803" w:type="dxa"/>
            <w:shd w:val="clear" w:color="auto" w:fill="auto"/>
            <w:vAlign w:val="center"/>
          </w:tcPr>
          <w:p w14:paraId="46D25A7F" w14:textId="4F2F9D94" w:rsidR="00811EAE" w:rsidRPr="00B57B36" w:rsidRDefault="00811EAE" w:rsidP="00416CA4">
            <w:pPr>
              <w:pStyle w:val="CETEquation"/>
              <w:jc w:val="right"/>
            </w:pPr>
            <w:r w:rsidRPr="00B57B36">
              <w:t>(</w:t>
            </w:r>
            <w:r>
              <w:t>3</w:t>
            </w:r>
            <w:r w:rsidRPr="00B57B36">
              <w:t>)</w:t>
            </w:r>
          </w:p>
        </w:tc>
      </w:tr>
      <w:tr w:rsidR="00811EAE" w:rsidRPr="00B57B36" w14:paraId="28A3131B" w14:textId="77777777" w:rsidTr="00811EAE">
        <w:tc>
          <w:tcPr>
            <w:tcW w:w="7984" w:type="dxa"/>
            <w:shd w:val="clear" w:color="auto" w:fill="auto"/>
            <w:vAlign w:val="center"/>
          </w:tcPr>
          <w:p w14:paraId="09E90218" w14:textId="0946D28C" w:rsidR="00811EAE" w:rsidRPr="00811EAE" w:rsidRDefault="00DA0BBE" w:rsidP="00811EAE">
            <w:pPr>
              <w:spacing w:line="360" w:lineRule="auto"/>
              <w:rPr>
                <w:rFonts w:eastAsiaTheme="minorEastAsia"/>
                <w:iCs/>
              </w:rPr>
            </w:pPr>
            <m:oMath>
              <m:sSub>
                <m:sSubPr>
                  <m:ctrlPr>
                    <w:rPr>
                      <w:rFonts w:ascii="Cambria Math" w:eastAsiaTheme="minorEastAsia" w:hAnsi="Cambria Math"/>
                      <w:i/>
                      <w:iCs/>
                      <w:lang w:val="it-IT"/>
                    </w:rPr>
                  </m:ctrlPr>
                </m:sSubPr>
                <m:e>
                  <m:r>
                    <w:rPr>
                      <w:rFonts w:ascii="Cambria Math" w:eastAsiaTheme="minorEastAsia" w:hAnsi="Cambria Math"/>
                      <w:lang w:val="it-IT"/>
                    </w:rPr>
                    <m:t>f</m:t>
                  </m:r>
                </m:e>
                <m:sub>
                  <m:r>
                    <w:rPr>
                      <w:rFonts w:ascii="Cambria Math" w:eastAsiaTheme="minorEastAsia" w:hAnsi="Cambria Math"/>
                      <w:lang w:val="it-IT"/>
                    </w:rPr>
                    <m:t>obj</m:t>
                  </m:r>
                  <m:r>
                    <w:rPr>
                      <w:rFonts w:ascii="Cambria Math" w:eastAsiaTheme="minorEastAsia" w:hAnsi="Cambria Math"/>
                    </w:rPr>
                    <m:t>,</m:t>
                  </m:r>
                  <m:r>
                    <w:rPr>
                      <w:rFonts w:ascii="Cambria Math" w:eastAsiaTheme="minorEastAsia" w:hAnsi="Cambria Math"/>
                      <w:lang w:val="it-IT"/>
                    </w:rPr>
                    <m:t>NC</m:t>
                  </m:r>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iCs/>
                      <w:lang w:val="it-IT"/>
                    </w:rPr>
                  </m:ctrlPr>
                </m:sSubPr>
                <m:e>
                  <m:r>
                    <w:rPr>
                      <w:rFonts w:ascii="Cambria Math" w:eastAsiaTheme="minorEastAsia" w:hAnsi="Cambria Math"/>
                      <w:lang w:val="it-IT"/>
                    </w:rPr>
                    <m:t>BMP</m:t>
                  </m:r>
                </m:e>
                <m:sub>
                  <m:r>
                    <w:rPr>
                      <w:rFonts w:ascii="Cambria Math" w:eastAsiaTheme="minorEastAsia" w:hAnsi="Cambria Math"/>
                      <w:lang w:val="it-IT"/>
                    </w:rPr>
                    <m:t>AcoD</m:t>
                  </m:r>
                </m:sub>
              </m:sSub>
              <m:r>
                <w:rPr>
                  <w:rFonts w:ascii="Cambria Math" w:eastAsiaTheme="minorEastAsia" w:hAnsi="Cambria Math"/>
                </w:rPr>
                <m:t>=</m:t>
              </m:r>
              <m:sSub>
                <m:sSubPr>
                  <m:ctrlPr>
                    <w:rPr>
                      <w:rFonts w:ascii="Cambria Math" w:eastAsiaTheme="minorEastAsia" w:hAnsi="Cambria Math"/>
                      <w:i/>
                      <w:iCs/>
                      <w:lang w:val="it-IT"/>
                    </w:rPr>
                  </m:ctrlPr>
                </m:sSubPr>
                <m:e>
                  <m:r>
                    <w:rPr>
                      <w:rFonts w:ascii="Cambria Math" w:eastAsiaTheme="minorEastAsia" w:hAnsi="Cambria Math"/>
                      <w:lang w:val="it-IT"/>
                    </w:rPr>
                    <m:t>x</m:t>
                  </m:r>
                </m:e>
                <m:sub>
                  <m:r>
                    <w:rPr>
                      <w:rFonts w:ascii="Cambria Math" w:eastAsiaTheme="minorEastAsia" w:hAnsi="Cambria Math"/>
                    </w:rPr>
                    <m:t>1</m:t>
                  </m:r>
                </m:sub>
              </m:sSub>
              <m:sSub>
                <m:sSubPr>
                  <m:ctrlPr>
                    <w:rPr>
                      <w:rFonts w:ascii="Cambria Math" w:eastAsiaTheme="minorEastAsia" w:hAnsi="Cambria Math"/>
                      <w:i/>
                      <w:iCs/>
                      <w:lang w:val="it-IT"/>
                    </w:rPr>
                  </m:ctrlPr>
                </m:sSubPr>
                <m:e>
                  <m:r>
                    <w:rPr>
                      <w:rFonts w:ascii="Cambria Math" w:eastAsiaTheme="minorEastAsia" w:hAnsi="Cambria Math"/>
                      <w:lang w:val="it-IT"/>
                    </w:rPr>
                    <m:t>BMP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iCs/>
                      <w:lang w:val="it-IT"/>
                    </w:rPr>
                  </m:ctrlPr>
                </m:sSubPr>
                <m:e>
                  <m:r>
                    <w:rPr>
                      <w:rFonts w:ascii="Cambria Math" w:eastAsiaTheme="minorEastAsia" w:hAnsi="Cambria Math"/>
                      <w:lang w:val="it-IT"/>
                    </w:rPr>
                    <m:t>x</m:t>
                  </m:r>
                </m:e>
                <m:sub>
                  <m:r>
                    <w:rPr>
                      <w:rFonts w:ascii="Cambria Math" w:eastAsiaTheme="minorEastAsia" w:hAnsi="Cambria Math"/>
                    </w:rPr>
                    <m:t>2</m:t>
                  </m:r>
                </m:sub>
              </m:sSub>
              <m:sSub>
                <m:sSubPr>
                  <m:ctrlPr>
                    <w:rPr>
                      <w:rFonts w:ascii="Cambria Math" w:eastAsiaTheme="minorEastAsia" w:hAnsi="Cambria Math"/>
                      <w:i/>
                      <w:iCs/>
                      <w:lang w:val="it-IT"/>
                    </w:rPr>
                  </m:ctrlPr>
                </m:sSubPr>
                <m:e>
                  <m:r>
                    <w:rPr>
                      <w:rFonts w:ascii="Cambria Math" w:eastAsiaTheme="minorEastAsia" w:hAnsi="Cambria Math"/>
                      <w:lang w:val="it-IT"/>
                    </w:rPr>
                    <m:t>BMP</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iCs/>
                      <w:lang w:val="it-IT"/>
                    </w:rPr>
                  </m:ctrlPr>
                </m:sSubPr>
                <m:e>
                  <m:r>
                    <w:rPr>
                      <w:rFonts w:ascii="Cambria Math" w:eastAsiaTheme="minorEastAsia" w:hAnsi="Cambria Math"/>
                      <w:lang w:val="it-IT"/>
                    </w:rPr>
                    <m:t>x</m:t>
                  </m:r>
                </m:e>
                <m:sub>
                  <m:r>
                    <w:rPr>
                      <w:rFonts w:ascii="Cambria Math" w:eastAsiaTheme="minorEastAsia" w:hAnsi="Cambria Math"/>
                    </w:rPr>
                    <m:t>3</m:t>
                  </m:r>
                </m:sub>
              </m:sSub>
              <m:sSub>
                <m:sSubPr>
                  <m:ctrlPr>
                    <w:rPr>
                      <w:rFonts w:ascii="Cambria Math" w:eastAsiaTheme="minorEastAsia" w:hAnsi="Cambria Math"/>
                      <w:i/>
                      <w:iCs/>
                      <w:lang w:val="it-IT"/>
                    </w:rPr>
                  </m:ctrlPr>
                </m:sSubPr>
                <m:e>
                  <m:r>
                    <w:rPr>
                      <w:rFonts w:ascii="Cambria Math" w:eastAsiaTheme="minorEastAsia" w:hAnsi="Cambria Math"/>
                      <w:lang w:val="it-IT"/>
                    </w:rPr>
                    <m:t>BMP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iCs/>
                      <w:lang w:val="it-IT"/>
                    </w:rPr>
                  </m:ctrlPr>
                </m:sSubPr>
                <m:e>
                  <m:r>
                    <w:rPr>
                      <w:rFonts w:ascii="Cambria Math" w:eastAsiaTheme="minorEastAsia" w:hAnsi="Cambria Math"/>
                      <w:lang w:val="it-IT"/>
                    </w:rPr>
                    <m:t>x</m:t>
                  </m:r>
                </m:e>
                <m:sub>
                  <m:r>
                    <w:rPr>
                      <w:rFonts w:ascii="Cambria Math" w:eastAsiaTheme="minorEastAsia" w:hAnsi="Cambria Math"/>
                    </w:rPr>
                    <m:t>1</m:t>
                  </m:r>
                </m:sub>
              </m:sSub>
              <m:sSub>
                <m:sSubPr>
                  <m:ctrlPr>
                    <w:rPr>
                      <w:rFonts w:ascii="Cambria Math" w:eastAsiaTheme="minorEastAsia" w:hAnsi="Cambria Math"/>
                      <w:i/>
                      <w:iCs/>
                      <w:lang w:val="it-IT"/>
                    </w:rPr>
                  </m:ctrlPr>
                </m:sSubPr>
                <m:e>
                  <m:r>
                    <w:rPr>
                      <w:rFonts w:ascii="Cambria Math" w:eastAsiaTheme="minorEastAsia" w:hAnsi="Cambria Math"/>
                      <w:lang w:val="it-IT"/>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iCs/>
                      <w:lang w:val="it-IT"/>
                    </w:rPr>
                  </m:ctrlPr>
                </m:sSubPr>
                <m:e>
                  <m:r>
                    <w:rPr>
                      <w:rFonts w:ascii="Cambria Math" w:eastAsiaTheme="minorEastAsia" w:hAnsi="Cambria Math"/>
                      <w:lang w:val="it-IT"/>
                    </w:rPr>
                    <m:t>x</m:t>
                  </m:r>
                </m:e>
                <m:sub>
                  <m:r>
                    <w:rPr>
                      <w:rFonts w:ascii="Cambria Math" w:eastAsiaTheme="minorEastAsia" w:hAnsi="Cambria Math"/>
                    </w:rPr>
                    <m:t>1</m:t>
                  </m:r>
                </m:sub>
              </m:sSub>
              <m:sSub>
                <m:sSubPr>
                  <m:ctrlPr>
                    <w:rPr>
                      <w:rFonts w:ascii="Cambria Math" w:eastAsiaTheme="minorEastAsia" w:hAnsi="Cambria Math"/>
                      <w:i/>
                      <w:iCs/>
                      <w:lang w:val="it-IT"/>
                    </w:rPr>
                  </m:ctrlPr>
                </m:sSubPr>
                <m:e>
                  <m:r>
                    <w:rPr>
                      <w:rFonts w:ascii="Cambria Math" w:eastAsiaTheme="minorEastAsia" w:hAnsi="Cambria Math"/>
                      <w:lang w:val="it-IT"/>
                    </w:rPr>
                    <m:t>x</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iCs/>
                      <w:lang w:val="it-IT"/>
                    </w:rPr>
                  </m:ctrlPr>
                </m:sSubPr>
                <m:e>
                  <m:r>
                    <w:rPr>
                      <w:rFonts w:ascii="Cambria Math" w:eastAsiaTheme="minorEastAsia" w:hAnsi="Cambria Math"/>
                      <w:lang w:val="it-IT"/>
                    </w:rPr>
                    <m:t>x</m:t>
                  </m:r>
                </m:e>
                <m:sub>
                  <m:r>
                    <w:rPr>
                      <w:rFonts w:ascii="Cambria Math" w:eastAsiaTheme="minorEastAsia" w:hAnsi="Cambria Math"/>
                    </w:rPr>
                    <m:t>2</m:t>
                  </m:r>
                </m:sub>
              </m:sSub>
              <m:sSub>
                <m:sSubPr>
                  <m:ctrlPr>
                    <w:rPr>
                      <w:rFonts w:ascii="Cambria Math" w:eastAsiaTheme="minorEastAsia" w:hAnsi="Cambria Math"/>
                      <w:i/>
                      <w:iCs/>
                      <w:lang w:val="it-IT"/>
                    </w:rPr>
                  </m:ctrlPr>
                </m:sSubPr>
                <m:e>
                  <m:r>
                    <w:rPr>
                      <w:rFonts w:ascii="Cambria Math" w:eastAsiaTheme="minorEastAsia" w:hAnsi="Cambria Math"/>
                      <w:lang w:val="it-IT"/>
                    </w:rPr>
                    <m:t>x</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iCs/>
                      <w:lang w:val="it-IT"/>
                    </w:rPr>
                  </m:ctrlPr>
                </m:sSubPr>
                <m:e>
                  <m:r>
                    <w:rPr>
                      <w:rFonts w:ascii="Cambria Math" w:eastAsiaTheme="minorEastAsia" w:hAnsi="Cambria Math"/>
                      <w:lang w:val="it-IT"/>
                    </w:rPr>
                    <m:t>x</m:t>
                  </m:r>
                </m:e>
                <m:sub>
                  <m:r>
                    <w:rPr>
                      <w:rFonts w:ascii="Cambria Math" w:eastAsiaTheme="minorEastAsia" w:hAnsi="Cambria Math"/>
                    </w:rPr>
                    <m:t>1</m:t>
                  </m:r>
                </m:sub>
              </m:sSub>
              <m:sSub>
                <m:sSubPr>
                  <m:ctrlPr>
                    <w:rPr>
                      <w:rFonts w:ascii="Cambria Math" w:eastAsiaTheme="minorEastAsia" w:hAnsi="Cambria Math"/>
                      <w:i/>
                      <w:iCs/>
                      <w:lang w:val="it-IT"/>
                    </w:rPr>
                  </m:ctrlPr>
                </m:sSubPr>
                <m:e>
                  <m:r>
                    <w:rPr>
                      <w:rFonts w:ascii="Cambria Math" w:eastAsiaTheme="minorEastAsia" w:hAnsi="Cambria Math"/>
                      <w:lang w:val="it-IT"/>
                    </w:rPr>
                    <m:t>x</m:t>
                  </m:r>
                </m:e>
                <m:sub>
                  <m:r>
                    <w:rPr>
                      <w:rFonts w:ascii="Cambria Math" w:eastAsiaTheme="minorEastAsia" w:hAnsi="Cambria Math"/>
                    </w:rPr>
                    <m:t>2</m:t>
                  </m:r>
                </m:sub>
              </m:sSub>
              <m:sSub>
                <m:sSubPr>
                  <m:ctrlPr>
                    <w:rPr>
                      <w:rFonts w:ascii="Cambria Math" w:eastAsiaTheme="minorEastAsia" w:hAnsi="Cambria Math"/>
                      <w:i/>
                      <w:iCs/>
                      <w:lang w:val="it-IT"/>
                    </w:rPr>
                  </m:ctrlPr>
                </m:sSubPr>
                <m:e>
                  <m:r>
                    <w:rPr>
                      <w:rFonts w:ascii="Cambria Math" w:eastAsiaTheme="minorEastAsia" w:hAnsi="Cambria Math"/>
                      <w:lang w:val="it-IT"/>
                    </w:rPr>
                    <m:t>x</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iCs/>
                      <w:lang w:val="it-IT"/>
                    </w:rPr>
                  </m:ctrlPr>
                </m:sSubPr>
                <m:e>
                  <m:r>
                    <w:rPr>
                      <w:rFonts w:ascii="Cambria Math" w:eastAsiaTheme="minorEastAsia" w:hAnsi="Cambria Math"/>
                      <w:lang w:val="it-IT"/>
                    </w:rPr>
                    <m:t>BMP</m:t>
                  </m:r>
                </m:e>
                <m:sub>
                  <m:r>
                    <w:rPr>
                      <w:rFonts w:ascii="Cambria Math" w:eastAsiaTheme="minorEastAsia" w:hAnsi="Cambria Math"/>
                      <w:lang w:val="it-IT"/>
                    </w:rPr>
                    <m:t>mix</m:t>
                  </m:r>
                </m:sub>
              </m:sSub>
            </m:oMath>
            <w:r w:rsidR="00811EAE">
              <w:rPr>
                <w:rFonts w:eastAsiaTheme="minorEastAsia"/>
                <w:iCs/>
              </w:rPr>
              <w:t xml:space="preserve"> </w:t>
            </w:r>
          </w:p>
        </w:tc>
        <w:tc>
          <w:tcPr>
            <w:tcW w:w="803" w:type="dxa"/>
            <w:shd w:val="clear" w:color="auto" w:fill="auto"/>
            <w:vAlign w:val="center"/>
          </w:tcPr>
          <w:p w14:paraId="4B020C6A" w14:textId="1BF063FE" w:rsidR="00811EAE" w:rsidRPr="00B57B36" w:rsidRDefault="00811EAE" w:rsidP="00416CA4">
            <w:pPr>
              <w:pStyle w:val="CETEquation"/>
              <w:jc w:val="right"/>
            </w:pPr>
            <w:r w:rsidRPr="00B57B36">
              <w:t>(</w:t>
            </w:r>
            <w:r>
              <w:t>4</w:t>
            </w:r>
            <w:r w:rsidRPr="00B57B36">
              <w:t>)</w:t>
            </w:r>
          </w:p>
        </w:tc>
      </w:tr>
    </w:tbl>
    <w:p w14:paraId="64CAA061" w14:textId="3F0845F1" w:rsidR="00BA094E" w:rsidRDefault="00901064" w:rsidP="00BA094E">
      <w:pPr>
        <w:pStyle w:val="CETBodytext"/>
        <w:rPr>
          <w:rFonts w:eastAsiaTheme="minorEastAsia"/>
          <w:iCs/>
          <w:lang w:val="en-GB"/>
        </w:rPr>
      </w:pPr>
      <w:r>
        <w:rPr>
          <w:rFonts w:eastAsiaTheme="minorEastAsia"/>
          <w:iCs/>
          <w:lang w:val="en-GB"/>
        </w:rPr>
        <w:t>Where</w:t>
      </w:r>
      <w:r w:rsidR="00BA094E">
        <w:rPr>
          <w:rFonts w:eastAsiaTheme="minorEastAsia"/>
          <w:iCs/>
          <w:lang w:val="en-GB"/>
        </w:rPr>
        <w:t xml:space="preserve"> </w:t>
      </w:r>
      <w:r w:rsidR="006942B8">
        <w:rPr>
          <w:rFonts w:eastAsiaTheme="minorEastAsia"/>
          <w:iCs/>
          <w:lang w:val="en-GB"/>
        </w:rPr>
        <w:t>x</w:t>
      </w:r>
      <w:r w:rsidR="006942B8">
        <w:rPr>
          <w:rFonts w:eastAsiaTheme="minorEastAsia"/>
          <w:iCs/>
          <w:vertAlign w:val="subscript"/>
          <w:lang w:val="en-GB"/>
        </w:rPr>
        <w:t>i</w:t>
      </w:r>
      <w:r w:rsidR="00BA094E" w:rsidRPr="00E16D51">
        <w:rPr>
          <w:rFonts w:eastAsiaTheme="minorEastAsia"/>
          <w:lang w:val="en-GB"/>
        </w:rPr>
        <w:t xml:space="preserve"> </w:t>
      </w:r>
      <w:r w:rsidR="00BA094E">
        <w:rPr>
          <w:rFonts w:eastAsiaTheme="minorEastAsia"/>
          <w:lang w:val="en-GB"/>
        </w:rPr>
        <w:t>represent</w:t>
      </w:r>
      <w:r>
        <w:rPr>
          <w:rFonts w:eastAsiaTheme="minorEastAsia"/>
          <w:lang w:val="en-GB"/>
        </w:rPr>
        <w:t>s</w:t>
      </w:r>
      <w:r w:rsidR="00BA094E">
        <w:rPr>
          <w:rFonts w:eastAsiaTheme="minorEastAsia"/>
          <w:lang w:val="en-GB"/>
        </w:rPr>
        <w:t xml:space="preserve"> the mass fractions of each </w:t>
      </w:r>
      <w:r w:rsidR="00493298">
        <w:rPr>
          <w:rFonts w:eastAsiaTheme="minorEastAsia"/>
          <w:lang w:val="en-GB"/>
        </w:rPr>
        <w:t xml:space="preserve">i-th </w:t>
      </w:r>
      <w:r w:rsidR="00BA094E">
        <w:rPr>
          <w:rFonts w:eastAsiaTheme="minorEastAsia"/>
          <w:lang w:val="en-GB"/>
        </w:rPr>
        <w:t>substrate</w:t>
      </w:r>
      <w:r w:rsidR="00BA094E">
        <w:rPr>
          <w:rFonts w:eastAsiaTheme="minorEastAsia"/>
          <w:iCs/>
          <w:lang w:val="en-GB"/>
        </w:rPr>
        <w:t xml:space="preserve"> in the mixture</w:t>
      </w:r>
      <w:r>
        <w:rPr>
          <w:rFonts w:eastAsiaTheme="minorEastAsia"/>
          <w:iCs/>
          <w:lang w:val="en-GB"/>
        </w:rPr>
        <w:t>.</w:t>
      </w:r>
      <w:r w:rsidR="00BA094E">
        <w:rPr>
          <w:rFonts w:eastAsiaTheme="minorEastAsia"/>
          <w:iCs/>
          <w:lang w:val="en-GB"/>
        </w:rPr>
        <w:t xml:space="preserve"> </w:t>
      </w:r>
      <w:r>
        <w:rPr>
          <w:rFonts w:eastAsiaTheme="minorEastAsia"/>
          <w:iCs/>
          <w:lang w:val="en-GB"/>
        </w:rPr>
        <w:t xml:space="preserve">As it is possible to notice, equations </w:t>
      </w:r>
      <w:r w:rsidR="007D4D96">
        <w:rPr>
          <w:rFonts w:eastAsiaTheme="minorEastAsia"/>
          <w:iCs/>
          <w:lang w:val="en-GB"/>
        </w:rPr>
        <w:t>3</w:t>
      </w:r>
      <w:r w:rsidR="00BA094E" w:rsidRPr="00B77588">
        <w:rPr>
          <w:rFonts w:eastAsiaTheme="minorEastAsia"/>
          <w:iCs/>
          <w:lang w:val="en-GB"/>
        </w:rPr>
        <w:t xml:space="preserve"> and </w:t>
      </w:r>
      <w:r w:rsidR="007D4D96">
        <w:rPr>
          <w:rFonts w:eastAsiaTheme="minorEastAsia"/>
          <w:iCs/>
          <w:lang w:val="en-GB"/>
        </w:rPr>
        <w:t>4</w:t>
      </w:r>
      <w:r w:rsidR="00BA094E">
        <w:rPr>
          <w:rFonts w:eastAsiaTheme="minorEastAsia"/>
          <w:iCs/>
          <w:lang w:val="en-GB"/>
        </w:rPr>
        <w:t xml:space="preserve"> are built in a way that, if a mono-digestion is performed, the </w:t>
      </w:r>
      <w:proofErr w:type="spellStart"/>
      <w:r w:rsidR="006942B8">
        <w:rPr>
          <w:rFonts w:eastAsiaTheme="minorEastAsia"/>
          <w:iCs/>
          <w:lang w:val="en-GB"/>
        </w:rPr>
        <w:t>f</w:t>
      </w:r>
      <w:r w:rsidR="006942B8">
        <w:rPr>
          <w:rFonts w:eastAsiaTheme="minorEastAsia"/>
          <w:iCs/>
          <w:vertAlign w:val="subscript"/>
          <w:lang w:val="en-GB"/>
        </w:rPr>
        <w:t>obj</w:t>
      </w:r>
      <w:proofErr w:type="spellEnd"/>
      <w:r w:rsidR="00BA094E" w:rsidRPr="007C0298">
        <w:rPr>
          <w:rFonts w:eastAsiaTheme="minorEastAsia"/>
          <w:iCs/>
          <w:lang w:val="en-GB"/>
        </w:rPr>
        <w:t xml:space="preserve"> </w:t>
      </w:r>
      <w:r w:rsidR="00BA094E">
        <w:rPr>
          <w:rFonts w:eastAsiaTheme="minorEastAsia"/>
          <w:iCs/>
          <w:lang w:val="en-GB"/>
        </w:rPr>
        <w:t xml:space="preserve">is equal to the </w:t>
      </w:r>
      <w:proofErr w:type="spellStart"/>
      <w:r w:rsidR="006942B8">
        <w:rPr>
          <w:rFonts w:eastAsiaTheme="minorEastAsia"/>
          <w:iCs/>
          <w:lang w:val="en-GB"/>
        </w:rPr>
        <w:t>BMP</w:t>
      </w:r>
      <w:r w:rsidR="006942B8">
        <w:rPr>
          <w:rFonts w:eastAsiaTheme="minorEastAsia"/>
          <w:iCs/>
          <w:vertAlign w:val="subscript"/>
          <w:lang w:val="en-GB"/>
        </w:rPr>
        <w:t>i</w:t>
      </w:r>
      <w:proofErr w:type="spellEnd"/>
      <w:r w:rsidR="00BA094E">
        <w:rPr>
          <w:rFonts w:eastAsiaTheme="minorEastAsia"/>
          <w:iCs/>
          <w:lang w:val="en-GB"/>
        </w:rPr>
        <w:t xml:space="preserve"> of the single substrate. Moreover, </w:t>
      </w:r>
      <w:r w:rsidR="00493298">
        <w:rPr>
          <w:rFonts w:eastAsiaTheme="minorEastAsia"/>
          <w:iCs/>
          <w:lang w:val="en-GB"/>
        </w:rPr>
        <w:t xml:space="preserve">the </w:t>
      </w:r>
      <w:r w:rsidR="00BA094E">
        <w:rPr>
          <w:rFonts w:eastAsiaTheme="minorEastAsia"/>
          <w:iCs/>
          <w:lang w:val="en-GB"/>
        </w:rPr>
        <w:t>interaction terms are added so that the</w:t>
      </w:r>
      <w:r w:rsidR="00493298">
        <w:rPr>
          <w:rFonts w:eastAsiaTheme="minorEastAsia"/>
          <w:iCs/>
          <w:lang w:val="en-GB"/>
        </w:rPr>
        <w:t xml:space="preserve"> final</w:t>
      </w:r>
      <w:r w:rsidR="00BA094E">
        <w:rPr>
          <w:rFonts w:eastAsiaTheme="minorEastAsia"/>
          <w:iCs/>
          <w:lang w:val="en-GB"/>
        </w:rPr>
        <w:t xml:space="preserve"> </w:t>
      </w:r>
      <w:proofErr w:type="spellStart"/>
      <w:r w:rsidR="006942B8">
        <w:rPr>
          <w:rFonts w:eastAsiaTheme="minorEastAsia"/>
          <w:iCs/>
          <w:lang w:val="en-GB"/>
        </w:rPr>
        <w:t>BMP</w:t>
      </w:r>
      <w:r w:rsidR="006942B8">
        <w:rPr>
          <w:rFonts w:eastAsiaTheme="minorEastAsia"/>
          <w:iCs/>
          <w:vertAlign w:val="subscript"/>
          <w:lang w:val="en-GB"/>
        </w:rPr>
        <w:t>AcoD</w:t>
      </w:r>
      <w:proofErr w:type="spellEnd"/>
      <w:r w:rsidR="00BA094E" w:rsidRPr="007C0298">
        <w:rPr>
          <w:rFonts w:eastAsiaTheme="minorEastAsia"/>
          <w:iCs/>
          <w:lang w:val="en-GB"/>
        </w:rPr>
        <w:t xml:space="preserve"> </w:t>
      </w:r>
      <w:r w:rsidR="00BA094E">
        <w:rPr>
          <w:rFonts w:eastAsiaTheme="minorEastAsia"/>
          <w:iCs/>
          <w:lang w:val="en-GB"/>
        </w:rPr>
        <w:t xml:space="preserve">includes </w:t>
      </w:r>
      <w:proofErr w:type="spellStart"/>
      <w:r w:rsidR="00493298">
        <w:rPr>
          <w:rFonts w:eastAsiaTheme="minorEastAsia"/>
          <w:iCs/>
          <w:lang w:val="en-GB"/>
        </w:rPr>
        <w:t>synergistics</w:t>
      </w:r>
      <w:proofErr w:type="spellEnd"/>
      <w:r w:rsidR="00493298">
        <w:rPr>
          <w:rFonts w:eastAsiaTheme="minorEastAsia"/>
          <w:iCs/>
          <w:lang w:val="en-GB"/>
        </w:rPr>
        <w:t xml:space="preserve"> </w:t>
      </w:r>
      <w:r w:rsidR="00BA094E">
        <w:rPr>
          <w:rFonts w:eastAsiaTheme="minorEastAsia"/>
          <w:iCs/>
          <w:lang w:val="en-GB"/>
        </w:rPr>
        <w:t xml:space="preserve">effects. These interaction terms need the definition of the quantity named </w:t>
      </w:r>
      <w:proofErr w:type="spellStart"/>
      <w:r w:rsidR="006942B8">
        <w:rPr>
          <w:rFonts w:eastAsiaTheme="minorEastAsia"/>
          <w:iCs/>
          <w:lang w:val="en-GB"/>
        </w:rPr>
        <w:t>BMP</w:t>
      </w:r>
      <w:r w:rsidR="006942B8" w:rsidRPr="00613B65">
        <w:rPr>
          <w:rFonts w:eastAsiaTheme="minorEastAsia"/>
          <w:iCs/>
          <w:vertAlign w:val="subscript"/>
          <w:lang w:val="en-GB"/>
        </w:rPr>
        <w:t>mix</w:t>
      </w:r>
      <w:proofErr w:type="spellEnd"/>
      <w:r w:rsidR="006942B8">
        <w:rPr>
          <w:rFonts w:eastAsiaTheme="minorEastAsia"/>
          <w:iCs/>
          <w:lang w:val="en-GB"/>
        </w:rPr>
        <w:t xml:space="preserve">. </w:t>
      </w:r>
      <w:r w:rsidR="00BA094E">
        <w:rPr>
          <w:rFonts w:eastAsiaTheme="minorEastAsia"/>
          <w:iCs/>
          <w:lang w:val="en-GB"/>
        </w:rPr>
        <w:t xml:space="preserve">After many tests, </w:t>
      </w:r>
      <w:proofErr w:type="spellStart"/>
      <w:r w:rsidR="006942B8">
        <w:rPr>
          <w:rFonts w:eastAsiaTheme="minorEastAsia"/>
          <w:iCs/>
          <w:lang w:val="en-GB"/>
        </w:rPr>
        <w:t>BMP</w:t>
      </w:r>
      <w:r w:rsidR="006942B8" w:rsidRPr="00613B65">
        <w:rPr>
          <w:rFonts w:eastAsiaTheme="minorEastAsia"/>
          <w:iCs/>
          <w:vertAlign w:val="subscript"/>
          <w:lang w:val="en-GB"/>
        </w:rPr>
        <w:t>mix</w:t>
      </w:r>
      <w:proofErr w:type="spellEnd"/>
      <w:r w:rsidR="00BA094E">
        <w:rPr>
          <w:rFonts w:eastAsiaTheme="minorEastAsia"/>
          <w:iCs/>
          <w:lang w:val="en-GB"/>
        </w:rPr>
        <w:t xml:space="preserve"> has been defined by exploiting one of the three-dimensional correlations shown in the previous section, particularly the one between the EBMP and the C/N ratio and BD: </w:t>
      </w:r>
      <w:proofErr w:type="spellStart"/>
      <w:r w:rsidR="00613B65">
        <w:rPr>
          <w:rFonts w:eastAsiaTheme="minorEastAsia"/>
          <w:iCs/>
          <w:lang w:val="en-GB"/>
        </w:rPr>
        <w:t>BMP</w:t>
      </w:r>
      <w:r w:rsidR="00613B65" w:rsidRPr="00613B65">
        <w:rPr>
          <w:rFonts w:eastAsiaTheme="minorEastAsia"/>
          <w:iCs/>
          <w:vertAlign w:val="subscript"/>
          <w:lang w:val="en-GB"/>
        </w:rPr>
        <w:t>mix</w:t>
      </w:r>
      <w:proofErr w:type="spellEnd"/>
      <w:r w:rsidR="00613B65">
        <w:rPr>
          <w:rFonts w:eastAsiaTheme="minorEastAsia"/>
          <w:iCs/>
          <w:lang w:val="en-GB"/>
        </w:rPr>
        <w:t xml:space="preserve"> </w:t>
      </w:r>
      <w:r w:rsidR="00BA094E">
        <w:rPr>
          <w:rFonts w:eastAsiaTheme="minorEastAsia"/>
          <w:iCs/>
          <w:lang w:val="en-GB"/>
        </w:rPr>
        <w:t>is indeed defined as the BMP of a pseudo-single substrate characterised by weighted C/N ratio and BD with respect to the mixed substrates</w:t>
      </w:r>
      <w:r w:rsidR="00D748FC">
        <w:rPr>
          <w:rFonts w:eastAsiaTheme="minorEastAsia"/>
          <w:iCs/>
          <w:lang w:val="en-GB"/>
        </w:rPr>
        <w:t xml:space="preserve"> (Eq. 5-6).</w:t>
      </w:r>
    </w:p>
    <w:tbl>
      <w:tblPr>
        <w:tblW w:w="5000" w:type="pct"/>
        <w:tblLook w:val="04A0" w:firstRow="1" w:lastRow="0" w:firstColumn="1" w:lastColumn="0" w:noHBand="0" w:noVBand="1"/>
      </w:tblPr>
      <w:tblGrid>
        <w:gridCol w:w="7984"/>
        <w:gridCol w:w="803"/>
      </w:tblGrid>
      <w:tr w:rsidR="00887D5A" w:rsidRPr="00B57B36" w14:paraId="4C852CFC" w14:textId="77777777" w:rsidTr="00887D5A">
        <w:tc>
          <w:tcPr>
            <w:tcW w:w="7984" w:type="dxa"/>
            <w:shd w:val="clear" w:color="auto" w:fill="auto"/>
            <w:vAlign w:val="center"/>
          </w:tcPr>
          <w:p w14:paraId="091713E5" w14:textId="1D7FA6EC" w:rsidR="00887D5A" w:rsidRPr="00B57B36" w:rsidRDefault="00DA0BBE" w:rsidP="00416CA4">
            <w:pPr>
              <w:pStyle w:val="CETEquation"/>
            </w:pPr>
            <m:oMath>
              <m:sSub>
                <m:sSubPr>
                  <m:ctrlPr>
                    <w:rPr>
                      <w:rFonts w:ascii="Cambria Math" w:eastAsiaTheme="minorEastAsia" w:hAnsi="Cambria Math"/>
                      <w:i/>
                      <w:iCs/>
                    </w:rPr>
                  </m:ctrlPr>
                </m:sSubPr>
                <m:e>
                  <m:d>
                    <m:dPr>
                      <m:ctrlPr>
                        <w:rPr>
                          <w:rFonts w:ascii="Cambria Math" w:eastAsiaTheme="minorEastAsia" w:hAnsi="Cambria Math"/>
                          <w:i/>
                          <w:iCs/>
                        </w:rPr>
                      </m:ctrlPr>
                    </m:dPr>
                    <m:e>
                      <m:f>
                        <m:fPr>
                          <m:ctrlPr>
                            <w:rPr>
                              <w:rFonts w:ascii="Cambria Math" w:eastAsiaTheme="minorEastAsia" w:hAnsi="Cambria Math"/>
                              <w:i/>
                              <w:iCs/>
                            </w:rPr>
                          </m:ctrlPr>
                        </m:fPr>
                        <m:num>
                          <m:r>
                            <w:rPr>
                              <w:rFonts w:ascii="Cambria Math" w:eastAsiaTheme="minorEastAsia" w:hAnsi="Cambria Math"/>
                              <w:lang w:val="it-IT"/>
                            </w:rPr>
                            <m:t>C</m:t>
                          </m:r>
                        </m:num>
                        <m:den>
                          <m:r>
                            <w:rPr>
                              <w:rFonts w:ascii="Cambria Math" w:eastAsiaTheme="minorEastAsia" w:hAnsi="Cambria Math"/>
                              <w:lang w:val="it-IT"/>
                            </w:rPr>
                            <m:t>N</m:t>
                          </m:r>
                        </m:den>
                      </m:f>
                    </m:e>
                  </m:d>
                </m:e>
                <m:sub>
                  <m:r>
                    <w:rPr>
                      <w:rFonts w:ascii="Cambria Math" w:eastAsiaTheme="minorEastAsia" w:hAnsi="Cambria Math"/>
                      <w:lang w:val="it-IT"/>
                    </w:rPr>
                    <m:t>mix</m:t>
                  </m:r>
                </m:sub>
              </m:sSub>
              <m:r>
                <w:rPr>
                  <w:rFonts w:ascii="Cambria Math" w:eastAsiaTheme="minorEastAsia" w:hAnsi="Cambria Math"/>
                </w:rPr>
                <m:t>= </m:t>
              </m:r>
              <m:nary>
                <m:naryPr>
                  <m:chr m:val="∑"/>
                  <m:limLoc m:val="subSup"/>
                  <m:ctrlPr>
                    <w:rPr>
                      <w:rFonts w:ascii="Cambria Math" w:eastAsiaTheme="minorEastAsia" w:hAnsi="Cambria Math"/>
                      <w:i/>
                      <w:iCs/>
                      <w:lang w:val="it-IT"/>
                    </w:rPr>
                  </m:ctrlPr>
                </m:naryPr>
                <m:sub>
                  <m:r>
                    <w:rPr>
                      <w:rFonts w:ascii="Cambria Math" w:eastAsiaTheme="minorEastAsia" w:hAnsi="Cambria Math"/>
                      <w:lang w:val="it-IT"/>
                    </w:rPr>
                    <m:t>i</m:t>
                  </m:r>
                  <m:r>
                    <w:rPr>
                      <w:rFonts w:ascii="Cambria Math" w:eastAsiaTheme="minorEastAsia" w:hAnsi="Cambria Math"/>
                    </w:rPr>
                    <m:t>=1</m:t>
                  </m:r>
                </m:sub>
                <m:sup>
                  <m:r>
                    <w:rPr>
                      <w:rFonts w:ascii="Cambria Math" w:eastAsiaTheme="minorEastAsia" w:hAnsi="Cambria Math"/>
                      <w:lang w:val="it-IT"/>
                    </w:rPr>
                    <m:t>NC</m:t>
                  </m:r>
                </m:sup>
                <m:e>
                  <m:sSub>
                    <m:sSubPr>
                      <m:ctrlPr>
                        <w:rPr>
                          <w:rFonts w:ascii="Cambria Math" w:eastAsiaTheme="minorEastAsia" w:hAnsi="Cambria Math"/>
                          <w:i/>
                          <w:iCs/>
                          <w:lang w:val="it-IT"/>
                        </w:rPr>
                      </m:ctrlPr>
                    </m:sSubPr>
                    <m:e>
                      <m:r>
                        <w:rPr>
                          <w:rFonts w:ascii="Cambria Math" w:eastAsiaTheme="minorEastAsia" w:hAnsi="Cambria Math"/>
                          <w:lang w:val="it-IT"/>
                        </w:rPr>
                        <m:t>x</m:t>
                      </m:r>
                    </m:e>
                    <m:sub>
                      <m:r>
                        <w:rPr>
                          <w:rFonts w:ascii="Cambria Math" w:eastAsiaTheme="minorEastAsia" w:hAnsi="Cambria Math"/>
                          <w:lang w:val="it-IT"/>
                        </w:rPr>
                        <m:t>i</m:t>
                      </m:r>
                    </m:sub>
                  </m:sSub>
                  <m:sSub>
                    <m:sSubPr>
                      <m:ctrlPr>
                        <w:rPr>
                          <w:rFonts w:ascii="Cambria Math" w:eastAsiaTheme="minorEastAsia" w:hAnsi="Cambria Math"/>
                          <w:i/>
                          <w:iCs/>
                        </w:rPr>
                      </m:ctrlPr>
                    </m:sSubPr>
                    <m:e>
                      <m:d>
                        <m:dPr>
                          <m:ctrlPr>
                            <w:rPr>
                              <w:rFonts w:ascii="Cambria Math" w:eastAsiaTheme="minorEastAsia" w:hAnsi="Cambria Math"/>
                              <w:i/>
                              <w:iCs/>
                            </w:rPr>
                          </m:ctrlPr>
                        </m:dPr>
                        <m:e>
                          <m:f>
                            <m:fPr>
                              <m:ctrlPr>
                                <w:rPr>
                                  <w:rFonts w:ascii="Cambria Math" w:eastAsiaTheme="minorEastAsia" w:hAnsi="Cambria Math"/>
                                  <w:i/>
                                  <w:iCs/>
                                </w:rPr>
                              </m:ctrlPr>
                            </m:fPr>
                            <m:num>
                              <m:r>
                                <w:rPr>
                                  <w:rFonts w:ascii="Cambria Math" w:eastAsiaTheme="minorEastAsia" w:hAnsi="Cambria Math"/>
                                  <w:lang w:val="it-IT"/>
                                </w:rPr>
                                <m:t>C</m:t>
                              </m:r>
                            </m:num>
                            <m:den>
                              <m:r>
                                <w:rPr>
                                  <w:rFonts w:ascii="Cambria Math" w:eastAsiaTheme="minorEastAsia" w:hAnsi="Cambria Math"/>
                                  <w:lang w:val="it-IT"/>
                                </w:rPr>
                                <m:t>N</m:t>
                              </m:r>
                            </m:den>
                          </m:f>
                        </m:e>
                      </m:d>
                    </m:e>
                    <m:sub>
                      <m:r>
                        <w:rPr>
                          <w:rFonts w:ascii="Cambria Math" w:eastAsiaTheme="minorEastAsia" w:hAnsi="Cambria Math"/>
                          <w:lang w:val="it-IT"/>
                        </w:rPr>
                        <m:t>i</m:t>
                      </m:r>
                    </m:sub>
                  </m:sSub>
                </m:e>
              </m:nary>
            </m:oMath>
            <w:r w:rsidR="00887D5A">
              <w:t xml:space="preserve"> </w:t>
            </w:r>
          </w:p>
        </w:tc>
        <w:tc>
          <w:tcPr>
            <w:tcW w:w="803" w:type="dxa"/>
            <w:shd w:val="clear" w:color="auto" w:fill="auto"/>
            <w:vAlign w:val="center"/>
          </w:tcPr>
          <w:p w14:paraId="5562DB55" w14:textId="651EF2C4" w:rsidR="00887D5A" w:rsidRPr="00B57B36" w:rsidRDefault="00887D5A" w:rsidP="00416CA4">
            <w:pPr>
              <w:pStyle w:val="CETEquation"/>
              <w:jc w:val="right"/>
            </w:pPr>
            <w:r w:rsidRPr="00B57B36">
              <w:t>(</w:t>
            </w:r>
            <w:r>
              <w:t>5</w:t>
            </w:r>
            <w:r w:rsidRPr="00B57B36">
              <w:t>)</w:t>
            </w:r>
          </w:p>
        </w:tc>
      </w:tr>
      <w:tr w:rsidR="00887D5A" w:rsidRPr="00B57B36" w14:paraId="1B719F40" w14:textId="77777777" w:rsidTr="00887D5A">
        <w:tc>
          <w:tcPr>
            <w:tcW w:w="7984" w:type="dxa"/>
            <w:shd w:val="clear" w:color="auto" w:fill="auto"/>
            <w:vAlign w:val="center"/>
          </w:tcPr>
          <w:p w14:paraId="078A868B" w14:textId="2BDB7524" w:rsidR="00887D5A" w:rsidRPr="00887D5A" w:rsidRDefault="00DA0BBE" w:rsidP="00416CA4">
            <w:pPr>
              <w:pStyle w:val="CETEquation"/>
              <w:rPr>
                <w:rFonts w:ascii="Cambria Math" w:hAnsi="Cambria Math"/>
                <w:szCs w:val="24"/>
                <w:oMath/>
              </w:rPr>
            </w:pPr>
            <m:oMath>
              <m:sSub>
                <m:sSubPr>
                  <m:ctrlPr>
                    <w:rPr>
                      <w:rFonts w:ascii="Cambria Math" w:eastAsiaTheme="minorEastAsia" w:hAnsi="Cambria Math"/>
                      <w:i/>
                      <w:iCs/>
                      <w:lang w:val="it-IT"/>
                    </w:rPr>
                  </m:ctrlPr>
                </m:sSubPr>
                <m:e>
                  <m:r>
                    <w:rPr>
                      <w:rFonts w:ascii="Cambria Math" w:eastAsiaTheme="minorEastAsia" w:hAnsi="Cambria Math"/>
                      <w:lang w:val="it-IT"/>
                    </w:rPr>
                    <m:t>BD</m:t>
                  </m:r>
                </m:e>
                <m:sub>
                  <m:r>
                    <w:rPr>
                      <w:rFonts w:ascii="Cambria Math" w:eastAsiaTheme="minorEastAsia" w:hAnsi="Cambria Math"/>
                      <w:lang w:val="it-IT"/>
                    </w:rPr>
                    <m:t>mix</m:t>
                  </m:r>
                </m:sub>
              </m:sSub>
              <m:r>
                <w:rPr>
                  <w:rFonts w:ascii="Cambria Math" w:eastAsiaTheme="minorEastAsia" w:hAnsi="Cambria Math"/>
                </w:rPr>
                <m:t>= </m:t>
              </m:r>
              <m:nary>
                <m:naryPr>
                  <m:chr m:val="∑"/>
                  <m:limLoc m:val="subSup"/>
                  <m:ctrlPr>
                    <w:rPr>
                      <w:rFonts w:ascii="Cambria Math" w:eastAsiaTheme="minorEastAsia" w:hAnsi="Cambria Math"/>
                      <w:i/>
                      <w:iCs/>
                      <w:lang w:val="it-IT"/>
                    </w:rPr>
                  </m:ctrlPr>
                </m:naryPr>
                <m:sub>
                  <m:r>
                    <w:rPr>
                      <w:rFonts w:ascii="Cambria Math" w:eastAsiaTheme="minorEastAsia" w:hAnsi="Cambria Math"/>
                      <w:lang w:val="it-IT"/>
                    </w:rPr>
                    <m:t>i</m:t>
                  </m:r>
                  <m:r>
                    <w:rPr>
                      <w:rFonts w:ascii="Cambria Math" w:eastAsiaTheme="minorEastAsia" w:hAnsi="Cambria Math"/>
                    </w:rPr>
                    <m:t>=1</m:t>
                  </m:r>
                </m:sub>
                <m:sup>
                  <m:r>
                    <w:rPr>
                      <w:rFonts w:ascii="Cambria Math" w:eastAsiaTheme="minorEastAsia" w:hAnsi="Cambria Math"/>
                      <w:lang w:val="it-IT"/>
                    </w:rPr>
                    <m:t>NC</m:t>
                  </m:r>
                </m:sup>
                <m:e>
                  <m:sSub>
                    <m:sSubPr>
                      <m:ctrlPr>
                        <w:rPr>
                          <w:rFonts w:ascii="Cambria Math" w:eastAsiaTheme="minorEastAsia" w:hAnsi="Cambria Math"/>
                          <w:i/>
                          <w:iCs/>
                          <w:lang w:val="it-IT"/>
                        </w:rPr>
                      </m:ctrlPr>
                    </m:sSubPr>
                    <m:e>
                      <m:r>
                        <w:rPr>
                          <w:rFonts w:ascii="Cambria Math" w:eastAsiaTheme="minorEastAsia" w:hAnsi="Cambria Math"/>
                          <w:lang w:val="it-IT"/>
                        </w:rPr>
                        <m:t>x</m:t>
                      </m:r>
                    </m:e>
                    <m:sub>
                      <m:r>
                        <w:rPr>
                          <w:rFonts w:ascii="Cambria Math" w:eastAsiaTheme="minorEastAsia" w:hAnsi="Cambria Math"/>
                          <w:lang w:val="it-IT"/>
                        </w:rPr>
                        <m:t>i</m:t>
                      </m:r>
                    </m:sub>
                  </m:sSub>
                  <m:sSub>
                    <m:sSubPr>
                      <m:ctrlPr>
                        <w:rPr>
                          <w:rFonts w:ascii="Cambria Math" w:eastAsiaTheme="minorEastAsia" w:hAnsi="Cambria Math"/>
                          <w:i/>
                          <w:iCs/>
                        </w:rPr>
                      </m:ctrlPr>
                    </m:sSubPr>
                    <m:e>
                      <m:r>
                        <w:rPr>
                          <w:rFonts w:ascii="Cambria Math" w:eastAsiaTheme="minorEastAsia" w:hAnsi="Cambria Math"/>
                          <w:lang w:val="it-IT"/>
                        </w:rPr>
                        <m:t>BD</m:t>
                      </m:r>
                    </m:e>
                    <m:sub>
                      <m:r>
                        <w:rPr>
                          <w:rFonts w:ascii="Cambria Math" w:eastAsiaTheme="minorEastAsia" w:hAnsi="Cambria Math"/>
                          <w:lang w:val="it-IT"/>
                        </w:rPr>
                        <m:t>i</m:t>
                      </m:r>
                    </m:sub>
                  </m:sSub>
                </m:e>
              </m:nary>
            </m:oMath>
            <w:r w:rsidR="00887D5A">
              <w:rPr>
                <w:szCs w:val="24"/>
              </w:rPr>
              <w:t xml:space="preserve"> </w:t>
            </w:r>
          </w:p>
        </w:tc>
        <w:tc>
          <w:tcPr>
            <w:tcW w:w="803" w:type="dxa"/>
            <w:shd w:val="clear" w:color="auto" w:fill="auto"/>
            <w:vAlign w:val="center"/>
          </w:tcPr>
          <w:p w14:paraId="68583838" w14:textId="0D1E48A6" w:rsidR="00887D5A" w:rsidRPr="00B57B36" w:rsidRDefault="00887D5A" w:rsidP="00416CA4">
            <w:pPr>
              <w:pStyle w:val="CETEquation"/>
              <w:jc w:val="right"/>
            </w:pPr>
            <w:r w:rsidRPr="00B57B36">
              <w:t>(</w:t>
            </w:r>
            <w:r>
              <w:t>6</w:t>
            </w:r>
            <w:r w:rsidRPr="00B57B36">
              <w:t>)</w:t>
            </w:r>
          </w:p>
        </w:tc>
      </w:tr>
    </w:tbl>
    <w:p w14:paraId="7FFD2501" w14:textId="6204930F" w:rsidR="00BA094E" w:rsidRDefault="00BA094E" w:rsidP="00BA094E">
      <w:pPr>
        <w:pStyle w:val="CETBodytext"/>
        <w:rPr>
          <w:rFonts w:eastAsiaTheme="minorEastAsia"/>
          <w:iCs/>
          <w:lang w:val="en-GB"/>
        </w:rPr>
      </w:pPr>
      <w:r>
        <w:rPr>
          <w:rFonts w:eastAsiaTheme="minorEastAsia"/>
          <w:lang w:val="en-GB"/>
        </w:rPr>
        <w:t xml:space="preserve">The </w:t>
      </w:r>
      <w:proofErr w:type="spellStart"/>
      <w:r w:rsidR="006942B8">
        <w:rPr>
          <w:rFonts w:eastAsiaTheme="minorEastAsia"/>
          <w:iCs/>
          <w:lang w:val="en-GB"/>
        </w:rPr>
        <w:t>BMP</w:t>
      </w:r>
      <w:r w:rsidR="006942B8" w:rsidRPr="00613B65">
        <w:rPr>
          <w:rFonts w:eastAsiaTheme="minorEastAsia"/>
          <w:iCs/>
          <w:vertAlign w:val="subscript"/>
          <w:lang w:val="en-GB"/>
        </w:rPr>
        <w:t>mix</w:t>
      </w:r>
      <w:proofErr w:type="spellEnd"/>
      <w:r w:rsidRPr="00AF7073">
        <w:rPr>
          <w:rFonts w:eastAsiaTheme="minorEastAsia"/>
          <w:iCs/>
          <w:lang w:val="en-GB"/>
        </w:rPr>
        <w:t xml:space="preserve"> is th</w:t>
      </w:r>
      <w:r>
        <w:rPr>
          <w:rFonts w:eastAsiaTheme="minorEastAsia"/>
          <w:iCs/>
          <w:lang w:val="en-GB"/>
        </w:rPr>
        <w:t>erefore</w:t>
      </w:r>
      <w:r w:rsidRPr="00AF7073">
        <w:rPr>
          <w:rFonts w:eastAsiaTheme="minorEastAsia"/>
          <w:iCs/>
          <w:lang w:val="en-GB"/>
        </w:rPr>
        <w:t xml:space="preserve"> c</w:t>
      </w:r>
      <w:r>
        <w:rPr>
          <w:rFonts w:eastAsiaTheme="minorEastAsia"/>
          <w:iCs/>
          <w:lang w:val="en-GB"/>
        </w:rPr>
        <w:t xml:space="preserve">alculated using the expression of the surface of </w:t>
      </w:r>
      <w:r w:rsidR="00D748FC">
        <w:rPr>
          <w:rFonts w:eastAsiaTheme="minorEastAsia"/>
          <w:iCs/>
          <w:lang w:val="en-GB"/>
        </w:rPr>
        <w:t>f</w:t>
      </w:r>
      <w:r>
        <w:rPr>
          <w:rFonts w:eastAsiaTheme="minorEastAsia"/>
          <w:iCs/>
          <w:lang w:val="en-GB"/>
        </w:rPr>
        <w:t>igure 1(a)</w:t>
      </w:r>
      <w:r w:rsidR="00493298">
        <w:rPr>
          <w:rFonts w:eastAsiaTheme="minorEastAsia"/>
          <w:iCs/>
          <w:lang w:val="en-GB"/>
        </w:rPr>
        <w:t xml:space="preserve">, as </w:t>
      </w:r>
      <w:r>
        <w:rPr>
          <w:rFonts w:eastAsiaTheme="minorEastAsia"/>
          <w:iCs/>
          <w:lang w:val="en-GB"/>
        </w:rPr>
        <w:t xml:space="preserve">function of the </w:t>
      </w:r>
      <w:r w:rsidRPr="007326DE">
        <w:rPr>
          <w:rFonts w:eastAsiaTheme="minorEastAsia"/>
          <w:i/>
          <w:lang w:val="en-GB"/>
        </w:rPr>
        <w:t>mix</w:t>
      </w:r>
      <w:r>
        <w:rPr>
          <w:rFonts w:eastAsiaTheme="minorEastAsia"/>
          <w:iCs/>
          <w:lang w:val="en-GB"/>
        </w:rPr>
        <w:t xml:space="preserve"> parameters</w:t>
      </w:r>
      <w:r w:rsidR="00493298">
        <w:rPr>
          <w:rFonts w:eastAsiaTheme="minorEastAsia"/>
          <w:iCs/>
          <w:lang w:val="en-GB"/>
        </w:rPr>
        <w:t xml:space="preserve"> (Eq. 7):</w:t>
      </w:r>
    </w:p>
    <w:tbl>
      <w:tblPr>
        <w:tblW w:w="5000" w:type="pct"/>
        <w:tblLook w:val="04A0" w:firstRow="1" w:lastRow="0" w:firstColumn="1" w:lastColumn="0" w:noHBand="0" w:noVBand="1"/>
      </w:tblPr>
      <w:tblGrid>
        <w:gridCol w:w="7984"/>
        <w:gridCol w:w="803"/>
      </w:tblGrid>
      <w:tr w:rsidR="00887D5A" w:rsidRPr="00B57B36" w14:paraId="351C25BA" w14:textId="77777777" w:rsidTr="00416CA4">
        <w:tc>
          <w:tcPr>
            <w:tcW w:w="7984" w:type="dxa"/>
            <w:shd w:val="clear" w:color="auto" w:fill="auto"/>
            <w:vAlign w:val="center"/>
          </w:tcPr>
          <w:p w14:paraId="61B96597" w14:textId="470DAC1B" w:rsidR="00887D5A" w:rsidRPr="00887D5A" w:rsidRDefault="00DA0BBE" w:rsidP="00416CA4">
            <w:pPr>
              <w:pStyle w:val="CETEquation"/>
              <w:rPr>
                <w:rFonts w:ascii="Cambria Math" w:hAnsi="Cambria Math"/>
                <w:szCs w:val="24"/>
                <w:oMath/>
              </w:rPr>
            </w:pPr>
            <m:oMath>
              <m:sSub>
                <m:sSubPr>
                  <m:ctrlPr>
                    <w:rPr>
                      <w:rFonts w:ascii="Cambria Math" w:eastAsiaTheme="minorEastAsia" w:hAnsi="Cambria Math"/>
                      <w:i/>
                    </w:rPr>
                  </m:ctrlPr>
                </m:sSubPr>
                <m:e>
                  <m:r>
                    <w:rPr>
                      <w:rFonts w:ascii="Cambria Math" w:eastAsiaTheme="minorEastAsia" w:hAnsi="Cambria Math"/>
                    </w:rPr>
                    <m:t>BMP</m:t>
                  </m:r>
                </m:e>
                <m:sub>
                  <m:r>
                    <w:rPr>
                      <w:rFonts w:ascii="Cambria Math" w:eastAsiaTheme="minorEastAsia" w:hAnsi="Cambria Math"/>
                    </w:rPr>
                    <m:t>mix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N</m:t>
                          </m:r>
                        </m:den>
                      </m:f>
                    </m:e>
                  </m:d>
                </m:e>
                <m:sub>
                  <m:r>
                    <w:rPr>
                      <w:rFonts w:ascii="Cambria Math" w:eastAsiaTheme="minorEastAsia" w:hAnsi="Cambria Math"/>
                    </w:rPr>
                    <m:t>mix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BD</m:t>
                  </m:r>
                </m:e>
                <m:sub>
                  <m:r>
                    <w:rPr>
                      <w:rFonts w:ascii="Cambria Math" w:eastAsiaTheme="minorEastAsia" w:hAnsi="Cambria Math"/>
                    </w:rPr>
                    <m:t>mix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sSubSup>
                <m:sSubSupPr>
                  <m:ctrlPr>
                    <w:rPr>
                      <w:rFonts w:ascii="Cambria Math" w:eastAsiaTheme="minorEastAsia" w:hAnsi="Cambria Math"/>
                      <w:i/>
                    </w:rPr>
                  </m:ctrlPr>
                </m:sSub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N</m:t>
                          </m:r>
                        </m:den>
                      </m:f>
                    </m:e>
                  </m:d>
                </m:e>
                <m:sub>
                  <m:r>
                    <w:rPr>
                      <w:rFonts w:ascii="Cambria Math" w:eastAsiaTheme="minorEastAsia" w:hAnsi="Cambria Math"/>
                    </w:rPr>
                    <m:t>mix</m:t>
                  </m:r>
                </m:sub>
                <m:sup>
                  <m:r>
                    <w:rPr>
                      <w:rFonts w:ascii="Cambria Math" w:eastAsiaTheme="minorEastAsia" w:hAnsi="Cambria Math"/>
                    </w:rPr>
                    <m:t>2</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4</m:t>
                  </m:r>
                </m:sub>
              </m:sSub>
              <m:sSubSup>
                <m:sSubSupPr>
                  <m:ctrlPr>
                    <w:rPr>
                      <w:rFonts w:ascii="Cambria Math" w:eastAsiaTheme="minorEastAsia" w:hAnsi="Cambria Math"/>
                      <w:i/>
                    </w:rPr>
                  </m:ctrlPr>
                </m:sSubSupPr>
                <m:e>
                  <m:r>
                    <w:rPr>
                      <w:rFonts w:ascii="Cambria Math" w:eastAsiaTheme="minorEastAsia" w:hAnsi="Cambria Math"/>
                    </w:rPr>
                    <m:t>BD</m:t>
                  </m:r>
                </m:e>
                <m:sub>
                  <m:r>
                    <w:rPr>
                      <w:rFonts w:ascii="Cambria Math" w:eastAsiaTheme="minorEastAsia" w:hAnsi="Cambria Math"/>
                    </w:rPr>
                    <m:t>mix</m:t>
                  </m:r>
                </m:sub>
                <m:sup>
                  <m:r>
                    <w:rPr>
                      <w:rFonts w:ascii="Cambria Math" w:eastAsiaTheme="minorEastAsia" w:hAnsi="Cambria Math"/>
                    </w:rPr>
                    <m:t>2</m:t>
                  </m:r>
                </m:sup>
              </m:sSubSup>
            </m:oMath>
            <w:r w:rsidR="00887D5A">
              <w:rPr>
                <w:rFonts w:eastAsiaTheme="minorEastAsia"/>
                <w:szCs w:val="24"/>
              </w:rPr>
              <w:t xml:space="preserve"> </w:t>
            </w:r>
          </w:p>
        </w:tc>
        <w:tc>
          <w:tcPr>
            <w:tcW w:w="803" w:type="dxa"/>
            <w:shd w:val="clear" w:color="auto" w:fill="auto"/>
            <w:vAlign w:val="center"/>
          </w:tcPr>
          <w:p w14:paraId="207B4BEA" w14:textId="5D8B1187" w:rsidR="00887D5A" w:rsidRPr="00B57B36" w:rsidRDefault="00887D5A" w:rsidP="00416CA4">
            <w:pPr>
              <w:pStyle w:val="CETEquation"/>
              <w:jc w:val="right"/>
            </w:pPr>
            <w:r w:rsidRPr="00B57B36">
              <w:t>(</w:t>
            </w:r>
            <w:r>
              <w:t>7</w:t>
            </w:r>
            <w:r w:rsidRPr="00B57B36">
              <w:t>)</w:t>
            </w:r>
          </w:p>
        </w:tc>
      </w:tr>
    </w:tbl>
    <w:p w14:paraId="2D0E5DD6" w14:textId="45C319D7" w:rsidR="00BA094E" w:rsidRDefault="00BA094E" w:rsidP="00BA094E">
      <w:pPr>
        <w:pStyle w:val="CETBodytext"/>
        <w:rPr>
          <w:rFonts w:eastAsiaTheme="minorEastAsia"/>
          <w:lang w:val="en-GB"/>
        </w:rPr>
      </w:pPr>
      <w:r>
        <w:rPr>
          <w:rFonts w:eastAsiaTheme="minorEastAsia"/>
          <w:lang w:val="en-GB"/>
        </w:rPr>
        <w:t xml:space="preserve">Where the coefficients </w:t>
      </w:r>
      <m:oMath>
        <m:r>
          <w:rPr>
            <w:rFonts w:ascii="Cambria Math" w:eastAsiaTheme="minorEastAsia" w:hAnsi="Cambria Math"/>
            <w:lang w:val="en-GB"/>
          </w:rPr>
          <m:t>β</m:t>
        </m:r>
      </m:oMath>
      <w:r w:rsidR="006942B8" w:rsidRPr="006942B8">
        <w:rPr>
          <w:rFonts w:eastAsiaTheme="minorEastAsia"/>
          <w:vertAlign w:val="subscript"/>
          <w:lang w:val="en-GB"/>
        </w:rPr>
        <w:t>i</w:t>
      </w:r>
      <w:r>
        <w:rPr>
          <w:rFonts w:eastAsiaTheme="minorEastAsia"/>
          <w:lang w:val="en-GB"/>
        </w:rPr>
        <w:t xml:space="preserve"> are obtained through the </w:t>
      </w:r>
      <w:r>
        <w:t>multi-dimensional regression analysis</w:t>
      </w:r>
      <w:r w:rsidR="00493298">
        <w:t>,</w:t>
      </w:r>
      <w:r>
        <w:rPr>
          <w:rFonts w:eastAsiaTheme="minorEastAsia"/>
          <w:lang w:val="en-GB"/>
        </w:rPr>
        <w:t xml:space="preserve"> </w:t>
      </w:r>
      <w:r w:rsidR="00493298">
        <w:rPr>
          <w:rFonts w:eastAsiaTheme="minorEastAsia"/>
          <w:lang w:val="en-GB"/>
        </w:rPr>
        <w:t xml:space="preserve">performed with the respond surface algorithm </w:t>
      </w:r>
      <w:r w:rsidR="00887D5A">
        <w:rPr>
          <w:rFonts w:eastAsiaTheme="minorEastAsia"/>
          <w:lang w:val="en-GB"/>
        </w:rPr>
        <w:t>(Eq. 8)</w:t>
      </w:r>
      <w:r>
        <w:rPr>
          <w:rFonts w:eastAsiaTheme="minorEastAsia"/>
          <w:lang w:val="en-GB"/>
        </w:rPr>
        <w:t>.</w:t>
      </w:r>
      <w:r w:rsidR="00493298">
        <w:rPr>
          <w:rFonts w:eastAsiaTheme="minorEastAsia"/>
          <w:lang w:val="en-GB"/>
        </w:rPr>
        <w:t xml:space="preserve"> It is necessary to point out that this regression is done considering all the data from both the SAD and the PAD, to </w:t>
      </w:r>
      <w:r w:rsidR="0076706B">
        <w:rPr>
          <w:rFonts w:eastAsiaTheme="minorEastAsia"/>
          <w:lang w:val="en-GB"/>
        </w:rPr>
        <w:t>be the most accurate and general possible.</w:t>
      </w:r>
    </w:p>
    <w:tbl>
      <w:tblPr>
        <w:tblW w:w="5000" w:type="pct"/>
        <w:tblLook w:val="04A0" w:firstRow="1" w:lastRow="0" w:firstColumn="1" w:lastColumn="0" w:noHBand="0" w:noVBand="1"/>
      </w:tblPr>
      <w:tblGrid>
        <w:gridCol w:w="7984"/>
        <w:gridCol w:w="803"/>
      </w:tblGrid>
      <w:tr w:rsidR="00887D5A" w:rsidRPr="00B57B36" w14:paraId="1C7A4BDC" w14:textId="77777777" w:rsidTr="00416CA4">
        <w:tc>
          <w:tcPr>
            <w:tcW w:w="7984" w:type="dxa"/>
            <w:shd w:val="clear" w:color="auto" w:fill="auto"/>
            <w:vAlign w:val="center"/>
          </w:tcPr>
          <w:p w14:paraId="2F2AE1BC" w14:textId="4E419DA1" w:rsidR="00887D5A" w:rsidRPr="00887D5A" w:rsidRDefault="00DA0BBE" w:rsidP="00416CA4">
            <w:pPr>
              <w:pStyle w:val="CETEquation"/>
              <w:rPr>
                <w:rFonts w:ascii="Cambria Math" w:hAnsi="Cambria Math"/>
                <w:szCs w:val="24"/>
                <w:oMath/>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r>
                        <w:rPr>
                          <w:rFonts w:ascii="Cambria Math" w:eastAsiaTheme="minorEastAsia" w:hAnsi="Cambria Math"/>
                        </w:rPr>
                        <m:t xml:space="preserve">=21.7      </m:t>
                      </m:r>
                    </m:e>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 xml:space="preserve">=1.26      </m:t>
                      </m:r>
                      <m:ctrlPr>
                        <w:rPr>
                          <w:rFonts w:ascii="Cambria Math" w:eastAsia="Cambria Math" w:hAnsi="Cambria Math" w:cs="Cambria Math"/>
                          <w:i/>
                        </w:rPr>
                      </m:ctrlPr>
                    </m:e>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r>
                        <w:rPr>
                          <w:rFonts w:ascii="Cambria Math" w:eastAsiaTheme="minorEastAsia" w:hAnsi="Cambria Math"/>
                        </w:rPr>
                        <m:t xml:space="preserve">=445.7   </m:t>
                      </m:r>
                      <m:ctrlPr>
                        <w:rPr>
                          <w:rFonts w:ascii="Cambria Math" w:eastAsia="Cambria Math" w:hAnsi="Cambria Math" w:cs="Cambria Math"/>
                          <w:i/>
                        </w:rPr>
                      </m:ctrlPr>
                    </m:e>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r>
                        <w:rPr>
                          <w:rFonts w:ascii="Cambria Math" w:eastAsiaTheme="minorEastAsia" w:hAnsi="Cambria Math"/>
                        </w:rPr>
                        <m:t xml:space="preserve">=-0.02  </m:t>
                      </m:r>
                      <m:ctrlPr>
                        <w:rPr>
                          <w:rFonts w:ascii="Cambria Math" w:eastAsia="Cambria Math" w:hAnsi="Cambria Math" w:cs="Cambria Math"/>
                          <w:i/>
                        </w:rPr>
                      </m:ctrlPr>
                    </m:e>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4</m:t>
                          </m:r>
                        </m:sub>
                      </m:sSub>
                      <m:r>
                        <w:rPr>
                          <w:rFonts w:ascii="Cambria Math" w:eastAsiaTheme="minorEastAsia" w:hAnsi="Cambria Math"/>
                        </w:rPr>
                        <m:t xml:space="preserve">=-7.82 </m:t>
                      </m:r>
                    </m:e>
                  </m:eqArr>
                </m:e>
              </m:d>
              <m:r>
                <w:rPr>
                  <w:rFonts w:ascii="Cambria Math" w:eastAsiaTheme="minorEastAsia" w:hAnsi="Cambria Math"/>
                </w:rPr>
                <m:t xml:space="preserve"> </m:t>
              </m:r>
            </m:oMath>
            <w:r w:rsidR="00887D5A">
              <w:rPr>
                <w:rFonts w:eastAsiaTheme="minorEastAsia"/>
              </w:rPr>
              <w:t xml:space="preserve"> </w:t>
            </w:r>
          </w:p>
        </w:tc>
        <w:tc>
          <w:tcPr>
            <w:tcW w:w="803" w:type="dxa"/>
            <w:shd w:val="clear" w:color="auto" w:fill="auto"/>
            <w:vAlign w:val="center"/>
          </w:tcPr>
          <w:p w14:paraId="1B22AE02" w14:textId="77276B42" w:rsidR="00887D5A" w:rsidRPr="00B57B36" w:rsidRDefault="00887D5A" w:rsidP="00416CA4">
            <w:pPr>
              <w:pStyle w:val="CETEquation"/>
              <w:jc w:val="right"/>
            </w:pPr>
            <w:r w:rsidRPr="00B57B36">
              <w:t>(</w:t>
            </w:r>
            <w:r>
              <w:t>8</w:t>
            </w:r>
            <w:r w:rsidRPr="00B57B36">
              <w:t>)</w:t>
            </w:r>
          </w:p>
        </w:tc>
      </w:tr>
    </w:tbl>
    <w:p w14:paraId="65ACAADD" w14:textId="46905A3D" w:rsidR="00BA094E" w:rsidRDefault="00BA094E" w:rsidP="00BA094E">
      <w:pPr>
        <w:pStyle w:val="CETBodytext"/>
        <w:rPr>
          <w:rFonts w:eastAsiaTheme="minorEastAsia"/>
          <w:iCs/>
          <w:lang w:val="en-GB"/>
        </w:rPr>
      </w:pPr>
      <w:r>
        <w:rPr>
          <w:rFonts w:eastAsiaTheme="minorEastAsia"/>
          <w:lang w:val="en-GB"/>
        </w:rPr>
        <w:t>Once having chosen two or three substrates for which the EBMP, C/N ratio and BD are known, through the maximization of the</w:t>
      </w:r>
      <w:r w:rsidR="006942B8">
        <w:rPr>
          <w:rFonts w:eastAsiaTheme="minorEastAsia"/>
          <w:lang w:val="en-GB"/>
        </w:rPr>
        <w:t xml:space="preserve"> </w:t>
      </w:r>
      <w:proofErr w:type="spellStart"/>
      <w:r w:rsidR="006942B8">
        <w:rPr>
          <w:rFonts w:eastAsiaTheme="minorEastAsia"/>
          <w:iCs/>
          <w:lang w:val="en-GB"/>
        </w:rPr>
        <w:t>f</w:t>
      </w:r>
      <w:r w:rsidR="006942B8">
        <w:rPr>
          <w:rFonts w:eastAsiaTheme="minorEastAsia"/>
          <w:iCs/>
          <w:vertAlign w:val="subscript"/>
          <w:lang w:val="en-GB"/>
        </w:rPr>
        <w:t>obj</w:t>
      </w:r>
      <w:proofErr w:type="spellEnd"/>
      <w:r>
        <w:rPr>
          <w:rFonts w:eastAsiaTheme="minorEastAsia"/>
          <w:iCs/>
          <w:lang w:val="en-GB"/>
        </w:rPr>
        <w:t xml:space="preserve"> by varying the mass fractions</w:t>
      </w:r>
      <w:r w:rsidR="006942B8">
        <w:rPr>
          <w:rFonts w:eastAsiaTheme="minorEastAsia"/>
          <w:iCs/>
          <w:lang w:val="en-GB"/>
        </w:rPr>
        <w:t xml:space="preserve"> x</w:t>
      </w:r>
      <w:r w:rsidR="006942B8" w:rsidRPr="00613B65">
        <w:rPr>
          <w:rFonts w:eastAsiaTheme="minorEastAsia"/>
          <w:iCs/>
          <w:vertAlign w:val="subscript"/>
          <w:lang w:val="en-GB"/>
        </w:rPr>
        <w:t>i</w:t>
      </w:r>
      <w:r>
        <w:rPr>
          <w:rFonts w:eastAsiaTheme="minorEastAsia"/>
          <w:iCs/>
          <w:lang w:val="en-GB"/>
        </w:rPr>
        <w:t xml:space="preserve">, it is possible to calculate the optimal mixture composition. Such maximisation must be constrained by </w:t>
      </w:r>
      <w:r w:rsidR="00D748FC">
        <w:rPr>
          <w:rFonts w:eastAsiaTheme="minorEastAsia"/>
          <w:iCs/>
          <w:lang w:val="en-GB"/>
        </w:rPr>
        <w:t>e</w:t>
      </w:r>
      <w:r>
        <w:rPr>
          <w:rFonts w:eastAsiaTheme="minorEastAsia"/>
          <w:iCs/>
          <w:lang w:val="en-GB"/>
        </w:rPr>
        <w:t xml:space="preserve">quation </w:t>
      </w:r>
      <w:r w:rsidR="00887D5A">
        <w:rPr>
          <w:rFonts w:eastAsiaTheme="minorEastAsia"/>
          <w:iCs/>
          <w:lang w:val="en-GB"/>
        </w:rPr>
        <w:t>9</w:t>
      </w:r>
      <w:r>
        <w:rPr>
          <w:rFonts w:eastAsiaTheme="minorEastAsia"/>
          <w:iCs/>
          <w:lang w:val="en-GB"/>
        </w:rPr>
        <w:t>.</w:t>
      </w:r>
    </w:p>
    <w:tbl>
      <w:tblPr>
        <w:tblW w:w="5000" w:type="pct"/>
        <w:tblLook w:val="04A0" w:firstRow="1" w:lastRow="0" w:firstColumn="1" w:lastColumn="0" w:noHBand="0" w:noVBand="1"/>
      </w:tblPr>
      <w:tblGrid>
        <w:gridCol w:w="7984"/>
        <w:gridCol w:w="803"/>
      </w:tblGrid>
      <w:tr w:rsidR="00887D5A" w:rsidRPr="00B57B36" w14:paraId="613D1346" w14:textId="77777777" w:rsidTr="00416CA4">
        <w:tc>
          <w:tcPr>
            <w:tcW w:w="7984" w:type="dxa"/>
            <w:shd w:val="clear" w:color="auto" w:fill="auto"/>
            <w:vAlign w:val="center"/>
          </w:tcPr>
          <w:p w14:paraId="7CFDB1E0" w14:textId="5A5E0569" w:rsidR="00887D5A" w:rsidRPr="00887D5A" w:rsidRDefault="00DA0BBE" w:rsidP="00416CA4">
            <w:pPr>
              <w:pStyle w:val="CETEquation"/>
              <w:rPr>
                <w:rFonts w:ascii="Cambria Math" w:hAnsi="Cambria Math"/>
                <w:szCs w:val="24"/>
                <w:oMath/>
              </w:rPr>
            </w:pPr>
            <m:oMath>
              <m:nary>
                <m:naryPr>
                  <m:chr m:val="∑"/>
                  <m:limLoc m:val="subSup"/>
                  <m:ctrlPr>
                    <w:rPr>
                      <w:rFonts w:ascii="Cambria Math" w:hAnsi="Cambria Math"/>
                      <w:i/>
                      <w:lang w:eastAsia="en-GB"/>
                    </w:rPr>
                  </m:ctrlPr>
                </m:naryPr>
                <m:sub>
                  <m:r>
                    <w:rPr>
                      <w:rFonts w:ascii="Cambria Math" w:hAnsi="Cambria Math"/>
                      <w:lang w:eastAsia="en-GB"/>
                    </w:rPr>
                    <m:t>i=1</m:t>
                  </m:r>
                </m:sub>
                <m:sup>
                  <m:r>
                    <w:rPr>
                      <w:rFonts w:ascii="Cambria Math" w:hAnsi="Cambria Math"/>
                      <w:lang w:eastAsia="en-GB"/>
                    </w:rPr>
                    <m:t>NC</m:t>
                  </m:r>
                </m:sup>
                <m:e>
                  <m:sSub>
                    <m:sSubPr>
                      <m:ctrlPr>
                        <w:rPr>
                          <w:rFonts w:ascii="Cambria Math" w:hAnsi="Cambria Math"/>
                          <w:i/>
                          <w:lang w:eastAsia="en-GB"/>
                        </w:rPr>
                      </m:ctrlPr>
                    </m:sSubPr>
                    <m:e>
                      <m:r>
                        <w:rPr>
                          <w:rFonts w:ascii="Cambria Math" w:hAnsi="Cambria Math"/>
                          <w:lang w:eastAsia="en-GB"/>
                        </w:rPr>
                        <m:t>x</m:t>
                      </m:r>
                    </m:e>
                    <m:sub>
                      <m:r>
                        <w:rPr>
                          <w:rFonts w:ascii="Cambria Math" w:hAnsi="Cambria Math"/>
                          <w:lang w:eastAsia="en-GB"/>
                        </w:rPr>
                        <m:t>i</m:t>
                      </m:r>
                    </m:sub>
                  </m:sSub>
                  <m:r>
                    <w:rPr>
                      <w:rFonts w:ascii="Cambria Math" w:hAnsi="Cambria Math"/>
                      <w:lang w:eastAsia="en-GB"/>
                    </w:rPr>
                    <m:t>=1</m:t>
                  </m:r>
                </m:e>
              </m:nary>
            </m:oMath>
            <w:r w:rsidR="00887D5A">
              <w:rPr>
                <w:rFonts w:eastAsiaTheme="minorEastAsia"/>
                <w:szCs w:val="24"/>
              </w:rPr>
              <w:t xml:space="preserve"> </w:t>
            </w:r>
          </w:p>
        </w:tc>
        <w:tc>
          <w:tcPr>
            <w:tcW w:w="803" w:type="dxa"/>
            <w:shd w:val="clear" w:color="auto" w:fill="auto"/>
            <w:vAlign w:val="center"/>
          </w:tcPr>
          <w:p w14:paraId="2B9DD690" w14:textId="4B3E42D5" w:rsidR="00887D5A" w:rsidRPr="00B57B36" w:rsidRDefault="00887D5A" w:rsidP="00416CA4">
            <w:pPr>
              <w:pStyle w:val="CETEquation"/>
              <w:jc w:val="right"/>
            </w:pPr>
            <w:r w:rsidRPr="00B57B36">
              <w:t>(</w:t>
            </w:r>
            <w:r>
              <w:t>9</w:t>
            </w:r>
            <w:r w:rsidRPr="00B57B36">
              <w:t>)</w:t>
            </w:r>
          </w:p>
        </w:tc>
      </w:tr>
    </w:tbl>
    <w:p w14:paraId="71A761B3" w14:textId="5F9CBAA7" w:rsidR="001D7626" w:rsidRDefault="00BA094E" w:rsidP="001D7626">
      <w:pPr>
        <w:spacing w:after="120"/>
        <w:rPr>
          <w:rFonts w:eastAsiaTheme="minorEastAsia"/>
          <w:iCs/>
        </w:rPr>
      </w:pPr>
      <w:r>
        <w:rPr>
          <w:rFonts w:eastAsiaTheme="minorEastAsia"/>
          <w:iCs/>
        </w:rPr>
        <w:t xml:space="preserve">The quality of this procedure has been validated by comparing the model’s results with the ones obtained in BMP tests of variable mixtures found in literature. Overall, eight tests were done: five of them involving mixtures of two substrates, and the remaining ones with mixtures of three. </w:t>
      </w:r>
      <w:r w:rsidR="0076706B">
        <w:rPr>
          <w:rFonts w:eastAsiaTheme="minorEastAsia"/>
          <w:iCs/>
        </w:rPr>
        <w:t>For the sake of brevity, t</w:t>
      </w:r>
      <w:r>
        <w:rPr>
          <w:rFonts w:eastAsiaTheme="minorEastAsia"/>
          <w:iCs/>
        </w:rPr>
        <w:t xml:space="preserve">wo tests’ results are shown in </w:t>
      </w:r>
      <w:r w:rsidRPr="001D7626">
        <w:rPr>
          <w:rFonts w:eastAsiaTheme="minorEastAsia"/>
          <w:iCs/>
        </w:rPr>
        <w:t xml:space="preserve">in </w:t>
      </w:r>
      <w:r w:rsidR="001D7626">
        <w:rPr>
          <w:rFonts w:eastAsiaTheme="minorEastAsia"/>
          <w:iCs/>
        </w:rPr>
        <w:t>f</w:t>
      </w:r>
      <w:r w:rsidRPr="001D7626">
        <w:rPr>
          <w:rFonts w:eastAsiaTheme="minorEastAsia"/>
          <w:iCs/>
        </w:rPr>
        <w:t xml:space="preserve">igure </w:t>
      </w:r>
      <w:r w:rsidR="00222551">
        <w:rPr>
          <w:rFonts w:eastAsiaTheme="minorEastAsia"/>
          <w:iCs/>
        </w:rPr>
        <w:t>2</w:t>
      </w:r>
      <w:r w:rsidR="001D7626">
        <w:rPr>
          <w:rFonts w:eastAsiaTheme="minorEastAsia"/>
          <w:iCs/>
        </w:rPr>
        <w:t>, specifically:</w:t>
      </w:r>
      <w:r w:rsidRPr="001D7626">
        <w:rPr>
          <w:rFonts w:eastAsiaTheme="minorEastAsia"/>
          <w:iCs/>
        </w:rPr>
        <w:t xml:space="preserve"> </w:t>
      </w:r>
      <w:r w:rsidR="001D7626">
        <w:rPr>
          <w:rFonts w:eastAsiaTheme="minorEastAsia"/>
          <w:iCs/>
        </w:rPr>
        <w:t>i</w:t>
      </w:r>
      <w:r w:rsidRPr="001D7626">
        <w:rPr>
          <w:rFonts w:eastAsiaTheme="minorEastAsia"/>
          <w:iCs/>
        </w:rPr>
        <w:t xml:space="preserve">n </w:t>
      </w:r>
      <w:r w:rsidR="001D7626">
        <w:rPr>
          <w:rFonts w:eastAsiaTheme="minorEastAsia"/>
          <w:iCs/>
        </w:rPr>
        <w:t xml:space="preserve">figure </w:t>
      </w:r>
      <w:r w:rsidR="00222551">
        <w:rPr>
          <w:rFonts w:eastAsiaTheme="minorEastAsia"/>
          <w:iCs/>
        </w:rPr>
        <w:t>2</w:t>
      </w:r>
      <w:r w:rsidRPr="001D7626">
        <w:rPr>
          <w:rFonts w:eastAsiaTheme="minorEastAsia"/>
          <w:iCs/>
        </w:rPr>
        <w:t>a the comparison</w:t>
      </w:r>
      <w:r>
        <w:rPr>
          <w:rFonts w:eastAsiaTheme="minorEastAsia"/>
          <w:iCs/>
        </w:rPr>
        <w:t xml:space="preserve"> between the results of BMP tests performed at different mixing ratios of Food Waste (FW) and Pig Manure (PM) </w:t>
      </w:r>
      <w:r w:rsidR="00D748FC">
        <w:rPr>
          <w:rFonts w:eastAsiaTheme="minorEastAsia"/>
          <w:iCs/>
        </w:rPr>
        <w:fldChar w:fldCharType="begin" w:fldLock="1"/>
      </w:r>
      <w:r w:rsidR="00D748FC">
        <w:rPr>
          <w:rFonts w:eastAsiaTheme="minorEastAsia"/>
          <w:iCs/>
        </w:rPr>
        <w:instrText>ADDIN CSL_CITATION {"citationItems":[{"id":"ITEM-1","itemData":{"DOI":"10.1016/j.wasman.2016.06.032","ISSN":"18792456","PMID":"27389859","abstract":"Anaerobic co-digestion of food waste (FW) and pig manure (PM) was undertaken in batch mode at 37 °C in order to identify and quantify the synergistic effects of co-digestion on the specific methane yield (SMY) and reaction kinetics. The effects of the high initial volatile fatty acid (VFA) concentrations in PM on synergy observed during co-digestion, and on kinetic modelling were investigated. PM to FW mixing ratios of 1/0, 4/1, 3/2, 2/3, 1/4 and 0/1 (VS basis) were examined. No VFA or ammonia inhibition was observed. The highest SMY of 521 ± 29 ml CH4/gVS was achieved at a PM/FW mixing ratio of 1/4. Synergy in terms of both reaction kinetics and SMY occurred at PM/FW mixing ratios of 3/2, 2/3 and 1/4. Initial VFA concentrations did not explain the synergy observed. Throughout the study the conversion of butyric acid was inhibited. Due to the high initial VFA content of PM, conventional first order and Gompertz models were inappropriate for determining reaction kinetics. A dual pooled first order model was found to provide the best fit for the data generated in this study. The optimal mixing ratio in terms of both reaction kinetics and SMY was found at a PM/FW mixing ratio of 1/4.","author":[{"dropping-particle":"","family":"Dennehy","given":"Conor","non-dropping-particle":"","parse-names":false,"suffix":""},{"dropping-particle":"","family":"Lawlor","given":"Peadar G.","non-dropping-particle":"","parse-names":false,"suffix":""},{"dropping-particle":"","family":"Croize","given":"Thomas","non-dropping-particle":"","parse-names":false,"suffix":""},{"dropping-particle":"","family":"Jiang","given":"Yan","non-dropping-particle":"","parse-names":false,"suffix":""},{"dropping-particle":"","family":"Morrison","given":"Liam","non-dropping-particle":"","parse-names":false,"suffix":""},{"dropping-particle":"","family":"Gardiner","given":"Gillian E.","non-dropping-particle":"","parse-names":false,"suffix":""},{"dropping-particle":"","family":"Zhan","given":"Xinmin","non-dropping-particle":"","parse-names":false,"suffix":""}],"container-title":"Waste Management","id":"ITEM-1","issued":{"date-parts":[["2016","10","1"]]},"page":"173-180","publisher":"Elsevier Ltd","title":"Synergism and effect of high initial volatile fatty acid concentrations during food waste and pig manure anaerobic co-digestion","type":"article-journal","volume":"56"},"uris":["http://www.mendeley.com/documents/?uuid=62bcae8f-e11c-3861-b4ff-f0a4fb5046f1"]}],"mendeley":{"formattedCitation":"(Dennehy et al., 2016)","plainTextFormattedCitation":"(Dennehy et al., 2016)","previouslyFormattedCitation":"(Dennehy et al., 2016)"},"properties":{"noteIndex":0},"schema":"https://github.com/citation-style-language/schema/raw/master/csl-citation.json"}</w:instrText>
      </w:r>
      <w:r w:rsidR="00D748FC">
        <w:rPr>
          <w:rFonts w:eastAsiaTheme="minorEastAsia"/>
          <w:iCs/>
        </w:rPr>
        <w:fldChar w:fldCharType="separate"/>
      </w:r>
      <w:r w:rsidR="00D748FC" w:rsidRPr="00D748FC">
        <w:rPr>
          <w:rFonts w:eastAsiaTheme="minorEastAsia"/>
          <w:iCs/>
          <w:noProof/>
        </w:rPr>
        <w:t>(Dennehy et al., 2016)</w:t>
      </w:r>
      <w:r w:rsidR="00D748FC">
        <w:rPr>
          <w:rFonts w:eastAsiaTheme="minorEastAsia"/>
          <w:iCs/>
        </w:rPr>
        <w:fldChar w:fldCharType="end"/>
      </w:r>
      <w:r>
        <w:rPr>
          <w:rFonts w:eastAsiaTheme="minorEastAsia"/>
          <w:iCs/>
        </w:rPr>
        <w:t xml:space="preserve"> and the model’s BMP estimation is </w:t>
      </w:r>
      <w:r w:rsidR="00AA711E">
        <w:rPr>
          <w:rFonts w:eastAsiaTheme="minorEastAsia"/>
          <w:iCs/>
        </w:rPr>
        <w:t>shown</w:t>
      </w:r>
      <w:r>
        <w:rPr>
          <w:rFonts w:eastAsiaTheme="minorEastAsia"/>
          <w:iCs/>
        </w:rPr>
        <w:t xml:space="preserve">: </w:t>
      </w:r>
      <w:r w:rsidR="00AA711E">
        <w:rPr>
          <w:rFonts w:eastAsiaTheme="minorEastAsia"/>
          <w:iCs/>
        </w:rPr>
        <w:t>I</w:t>
      </w:r>
      <w:r>
        <w:rPr>
          <w:rFonts w:eastAsiaTheme="minorEastAsia"/>
          <w:iCs/>
        </w:rPr>
        <w:t>t can be observed that</w:t>
      </w:r>
      <w:r w:rsidR="003502F4">
        <w:rPr>
          <w:rFonts w:eastAsiaTheme="minorEastAsia"/>
          <w:iCs/>
        </w:rPr>
        <w:t>, while</w:t>
      </w:r>
      <w:r>
        <w:rPr>
          <w:rFonts w:eastAsiaTheme="minorEastAsia"/>
          <w:iCs/>
        </w:rPr>
        <w:t xml:space="preserve"> the BMP</w:t>
      </w:r>
      <w:r w:rsidR="003502F4">
        <w:rPr>
          <w:rFonts w:eastAsiaTheme="minorEastAsia"/>
          <w:iCs/>
        </w:rPr>
        <w:t xml:space="preserve"> of the tested compositions range between 260 and 5</w:t>
      </w:r>
      <w:r w:rsidR="00410124">
        <w:rPr>
          <w:rFonts w:eastAsiaTheme="minorEastAsia"/>
          <w:iCs/>
        </w:rPr>
        <w:t>1</w:t>
      </w:r>
      <w:r w:rsidR="003502F4">
        <w:rPr>
          <w:rFonts w:eastAsiaTheme="minorEastAsia"/>
          <w:iCs/>
        </w:rPr>
        <w:t xml:space="preserve">0 </w:t>
      </w:r>
      <w:r w:rsidR="003502F4">
        <w:rPr>
          <w:rFonts w:eastAsiaTheme="minorEastAsia"/>
          <w:lang w:eastAsia="en-GB"/>
        </w:rPr>
        <w:t>mL/g</w:t>
      </w:r>
      <w:r w:rsidR="003502F4" w:rsidRPr="006942B8">
        <w:rPr>
          <w:rFonts w:eastAsiaTheme="minorEastAsia"/>
          <w:vertAlign w:val="subscript"/>
          <w:lang w:eastAsia="en-GB"/>
        </w:rPr>
        <w:t>VS</w:t>
      </w:r>
      <w:r w:rsidR="003502F4">
        <w:rPr>
          <w:rFonts w:eastAsiaTheme="minorEastAsia"/>
          <w:iCs/>
        </w:rPr>
        <w:t xml:space="preserve">, the BMP using the </w:t>
      </w:r>
      <w:r>
        <w:rPr>
          <w:rFonts w:eastAsiaTheme="minorEastAsia"/>
          <w:iCs/>
        </w:rPr>
        <w:t>composition</w:t>
      </w:r>
      <w:r w:rsidR="003502F4">
        <w:rPr>
          <w:rFonts w:eastAsiaTheme="minorEastAsia"/>
          <w:iCs/>
        </w:rPr>
        <w:t xml:space="preserve"> obtained from the optimization </w:t>
      </w:r>
      <w:r w:rsidR="00AA711E" w:rsidRPr="00EB1520">
        <w:rPr>
          <w:rFonts w:eastAsiaTheme="minorEastAsia"/>
          <w:iCs/>
        </w:rPr>
        <w:t>(</w:t>
      </w:r>
      <w:proofErr w:type="spellStart"/>
      <w:r w:rsidR="00AA711E">
        <w:rPr>
          <w:rFonts w:eastAsiaTheme="minorEastAsia"/>
          <w:iCs/>
        </w:rPr>
        <w:t>x</w:t>
      </w:r>
      <w:r w:rsidR="00AA711E">
        <w:rPr>
          <w:rFonts w:eastAsiaTheme="minorEastAsia"/>
          <w:iCs/>
          <w:vertAlign w:val="subscript"/>
        </w:rPr>
        <w:t>FW,opt</w:t>
      </w:r>
      <w:proofErr w:type="spellEnd"/>
      <w:r w:rsidR="00AA711E">
        <w:rPr>
          <w:rFonts w:eastAsiaTheme="minorEastAsia"/>
          <w:iCs/>
          <w:vertAlign w:val="subscript"/>
        </w:rPr>
        <w:t xml:space="preserve"> </w:t>
      </w:r>
      <w:r w:rsidR="00AA711E" w:rsidRPr="00EB1520">
        <w:rPr>
          <w:rFonts w:eastAsiaTheme="minorEastAsia"/>
          <w:iCs/>
        </w:rPr>
        <w:t>=</w:t>
      </w:r>
      <w:r w:rsidR="00AA711E">
        <w:rPr>
          <w:rFonts w:eastAsiaTheme="minorEastAsia"/>
          <w:iCs/>
        </w:rPr>
        <w:t xml:space="preserve"> </w:t>
      </w:r>
      <w:r w:rsidR="00AA711E" w:rsidRPr="00EB1520">
        <w:rPr>
          <w:rFonts w:eastAsiaTheme="minorEastAsia"/>
          <w:iCs/>
        </w:rPr>
        <w:t>0.84</w:t>
      </w:r>
      <w:r w:rsidR="00AA711E">
        <w:rPr>
          <w:rFonts w:eastAsiaTheme="minorEastAsia"/>
          <w:iCs/>
        </w:rPr>
        <w:t xml:space="preserve"> wt., </w:t>
      </w:r>
      <w:proofErr w:type="spellStart"/>
      <w:r w:rsidR="00AA711E">
        <w:rPr>
          <w:rFonts w:eastAsiaTheme="minorEastAsia"/>
          <w:iCs/>
        </w:rPr>
        <w:t>x</w:t>
      </w:r>
      <w:r w:rsidR="00AA711E">
        <w:rPr>
          <w:rFonts w:eastAsiaTheme="minorEastAsia"/>
          <w:iCs/>
          <w:vertAlign w:val="subscript"/>
        </w:rPr>
        <w:t>PM,opt</w:t>
      </w:r>
      <w:proofErr w:type="spellEnd"/>
      <w:r w:rsidR="00AA711E">
        <w:rPr>
          <w:rFonts w:eastAsiaTheme="minorEastAsia"/>
          <w:iCs/>
        </w:rPr>
        <w:t xml:space="preserve"> </w:t>
      </w:r>
      <w:r w:rsidR="00AA711E" w:rsidRPr="00EB1520">
        <w:rPr>
          <w:rFonts w:eastAsiaTheme="minorEastAsia"/>
          <w:iCs/>
        </w:rPr>
        <w:t>=</w:t>
      </w:r>
      <w:r w:rsidR="00AA711E">
        <w:rPr>
          <w:rFonts w:eastAsiaTheme="minorEastAsia"/>
          <w:iCs/>
        </w:rPr>
        <w:t xml:space="preserve"> </w:t>
      </w:r>
      <w:r w:rsidR="00AA711E" w:rsidRPr="00EB1520">
        <w:rPr>
          <w:rFonts w:eastAsiaTheme="minorEastAsia"/>
          <w:iCs/>
        </w:rPr>
        <w:t>0.</w:t>
      </w:r>
      <w:r w:rsidR="00AA711E">
        <w:rPr>
          <w:rFonts w:eastAsiaTheme="minorEastAsia"/>
          <w:iCs/>
        </w:rPr>
        <w:t>16 wt.</w:t>
      </w:r>
      <w:r w:rsidR="00AA711E" w:rsidRPr="00EB1520">
        <w:rPr>
          <w:rFonts w:eastAsiaTheme="minorEastAsia"/>
          <w:iCs/>
        </w:rPr>
        <w:t>)</w:t>
      </w:r>
      <w:r w:rsidR="00AA711E">
        <w:rPr>
          <w:rFonts w:eastAsiaTheme="minorEastAsia"/>
          <w:iCs/>
        </w:rPr>
        <w:t xml:space="preserve"> reveals</w:t>
      </w:r>
      <w:r w:rsidR="003502F4">
        <w:rPr>
          <w:rFonts w:eastAsiaTheme="minorEastAsia"/>
          <w:iCs/>
        </w:rPr>
        <w:t xml:space="preserve"> a</w:t>
      </w:r>
      <w:r w:rsidR="00AA711E">
        <w:rPr>
          <w:rFonts w:eastAsiaTheme="minorEastAsia"/>
          <w:iCs/>
        </w:rPr>
        <w:t xml:space="preserve"> maximum BMP</w:t>
      </w:r>
      <w:r w:rsidR="003502F4">
        <w:rPr>
          <w:rFonts w:eastAsiaTheme="minorEastAsia"/>
          <w:iCs/>
        </w:rPr>
        <w:t xml:space="preserve"> value of 530 </w:t>
      </w:r>
      <w:r w:rsidR="003502F4">
        <w:rPr>
          <w:rFonts w:eastAsiaTheme="minorEastAsia"/>
          <w:lang w:eastAsia="en-GB"/>
        </w:rPr>
        <w:t>mL/g</w:t>
      </w:r>
      <w:r w:rsidR="003502F4" w:rsidRPr="006942B8">
        <w:rPr>
          <w:rFonts w:eastAsiaTheme="minorEastAsia"/>
          <w:vertAlign w:val="subscript"/>
          <w:lang w:eastAsia="en-GB"/>
        </w:rPr>
        <w:t>VS</w:t>
      </w:r>
      <w:r w:rsidR="00AA711E">
        <w:rPr>
          <w:rFonts w:eastAsiaTheme="minorEastAsia"/>
          <w:iCs/>
        </w:rPr>
        <w:t>.</w:t>
      </w:r>
      <w:r w:rsidRPr="00EB1520">
        <w:rPr>
          <w:rFonts w:eastAsiaTheme="minorEastAsia"/>
          <w:iCs/>
        </w:rPr>
        <w:t xml:space="preserve"> </w:t>
      </w:r>
      <w:r w:rsidR="00AA711E">
        <w:rPr>
          <w:rFonts w:eastAsiaTheme="minorEastAsia"/>
          <w:iCs/>
        </w:rPr>
        <w:t>A</w:t>
      </w:r>
      <w:r>
        <w:rPr>
          <w:rFonts w:eastAsiaTheme="minorEastAsia"/>
          <w:iCs/>
        </w:rPr>
        <w:t xml:space="preserve"> similar situation is observed in </w:t>
      </w:r>
      <w:r w:rsidR="003D6730">
        <w:rPr>
          <w:rFonts w:eastAsiaTheme="minorEastAsia"/>
          <w:iCs/>
        </w:rPr>
        <w:t xml:space="preserve">figure </w:t>
      </w:r>
      <w:r w:rsidR="00DA0BBE">
        <w:rPr>
          <w:rFonts w:eastAsiaTheme="minorEastAsia"/>
          <w:iCs/>
        </w:rPr>
        <w:t>2</w:t>
      </w:r>
      <w:r>
        <w:rPr>
          <w:rFonts w:eastAsiaTheme="minorEastAsia"/>
          <w:iCs/>
        </w:rPr>
        <w:t xml:space="preserve">b where the results of tests on </w:t>
      </w:r>
      <w:r w:rsidR="0076706B">
        <w:rPr>
          <w:rFonts w:eastAsiaTheme="minorEastAsia"/>
          <w:iCs/>
        </w:rPr>
        <w:t xml:space="preserve">a </w:t>
      </w:r>
      <w:r>
        <w:rPr>
          <w:rFonts w:eastAsiaTheme="minorEastAsia"/>
          <w:iCs/>
        </w:rPr>
        <w:t xml:space="preserve">ternary mixtures of Dairy Manure (DM), </w:t>
      </w:r>
      <w:r w:rsidR="002C6BA9">
        <w:rPr>
          <w:rFonts w:eastAsiaTheme="minorEastAsia"/>
          <w:iCs/>
        </w:rPr>
        <w:t>Pig Manure</w:t>
      </w:r>
      <w:r w:rsidR="00636C46">
        <w:rPr>
          <w:rFonts w:eastAsiaTheme="minorEastAsia"/>
          <w:iCs/>
        </w:rPr>
        <w:t xml:space="preserve"> </w:t>
      </w:r>
      <w:r w:rsidR="002C6BA9">
        <w:rPr>
          <w:rFonts w:eastAsiaTheme="minorEastAsia"/>
          <w:iCs/>
        </w:rPr>
        <w:t>(</w:t>
      </w:r>
      <w:r>
        <w:rPr>
          <w:rFonts w:eastAsiaTheme="minorEastAsia"/>
          <w:iCs/>
        </w:rPr>
        <w:t>PM</w:t>
      </w:r>
      <w:r w:rsidR="002C6BA9">
        <w:rPr>
          <w:rFonts w:eastAsiaTheme="minorEastAsia"/>
          <w:iCs/>
        </w:rPr>
        <w:t>)</w:t>
      </w:r>
      <w:r>
        <w:rPr>
          <w:rFonts w:eastAsiaTheme="minorEastAsia"/>
          <w:iCs/>
        </w:rPr>
        <w:t xml:space="preserve">, and Straw (ST), are </w:t>
      </w:r>
      <w:proofErr w:type="spellStart"/>
      <w:r w:rsidR="00AA711E">
        <w:rPr>
          <w:rFonts w:eastAsiaTheme="minorEastAsia"/>
          <w:iCs/>
        </w:rPr>
        <w:t>shwon</w:t>
      </w:r>
      <w:proofErr w:type="spellEnd"/>
      <w:r w:rsidR="00D748FC">
        <w:rPr>
          <w:rFonts w:eastAsiaTheme="minorEastAsia"/>
          <w:iCs/>
        </w:rPr>
        <w:t xml:space="preserve"> </w:t>
      </w:r>
      <w:r w:rsidR="00D748FC">
        <w:rPr>
          <w:rFonts w:eastAsiaTheme="minorEastAsia"/>
          <w:iCs/>
        </w:rPr>
        <w:fldChar w:fldCharType="begin" w:fldLock="1"/>
      </w:r>
      <w:r w:rsidR="00D748FC">
        <w:rPr>
          <w:rFonts w:eastAsiaTheme="minorEastAsia"/>
          <w:iCs/>
        </w:rPr>
        <w:instrText>ADDIN CSL_CITATION {"citationItems":[{"id":"ITEM-1","itemData":{"DOI":"10.1016/j.biortech.2012.12.174","ISSN":"18732976","abstract":"To investigate the feasibility of statistical methods in optimizing the feeding composition in anaerobic co-digestion, a simplex-centroid mixture design (SCMD) and central composite design (CCD) were evaluated with methane potential as the response variable. Dairy manure, chicken manure, swine manure and rice straw (RS) were selected as raw materials and two kinds of manures and RS were mixed in each blend. Each component served as an independent variable in the SCMD and CCD and involved two factors, the manure and C/N ratios. Co-digestion of three-component substrates resulted in higher methane potentials than single and two-component substrates. In response surface plots, SCMD showed the interactions among each component in the co-substrates and CCD presented the interaction between the ratio of manures and the C/N ratio. SCMD and CCD are both suitable methods for optimizing the feeding composition during anaerobic co-digestion. © 2013 Elsevier Ltd.","author":[{"dropping-particle":"","family":"Wang","given":"Xiaojiao","non-dropping-particle":"","parse-names":false,"suffix":""},{"dropping-particle":"","family":"Yang","given":"Gaihe","non-dropping-particle":"","parse-names":false,"suffix":""},{"dropping-particle":"","family":"Li","given":"Fang","non-dropping-particle":"","parse-names":false,"suffix":""},{"dropping-particle":"","family":"Feng","given":"Yongzhong","non-dropping-particle":"","parse-names":false,"suffix":""},{"dropping-particle":"","family":"Ren","given":"Guangxin","non-dropping-particle":"","parse-names":false,"suffix":""},{"dropping-particle":"","family":"Han","given":"Xinhui","non-dropping-particle":"","parse-names":false,"suffix":""}],"container-title":"Bioresource Technology","id":"ITEM-1","issued":{"date-parts":[["2013"]]},"page":"172-178","publisher":"Elsevier Ltd","title":"Evaluation of two statistical methods for optimizing the feeding composition in anaerobic co-digestion: Mixture design and central composite design","type":"article-journal","volume":"131"},"uris":["http://www.mendeley.com/documents/?uuid=e47e34f2-7e96-3c8c-bf9e-c573420f2515"]}],"mendeley":{"formattedCitation":"(Wang et al., 2013)","plainTextFormattedCitation":"(Wang et al., 2013)","previouslyFormattedCitation":"(Wang et al., 2013)"},"properties":{"noteIndex":0},"schema":"https://github.com/citation-style-language/schema/raw/master/csl-citation.json"}</w:instrText>
      </w:r>
      <w:r w:rsidR="00D748FC">
        <w:rPr>
          <w:rFonts w:eastAsiaTheme="minorEastAsia"/>
          <w:iCs/>
        </w:rPr>
        <w:fldChar w:fldCharType="separate"/>
      </w:r>
      <w:r w:rsidR="00D748FC" w:rsidRPr="00D748FC">
        <w:rPr>
          <w:rFonts w:eastAsiaTheme="minorEastAsia"/>
          <w:iCs/>
          <w:noProof/>
        </w:rPr>
        <w:t>(Wang et al., 2013)</w:t>
      </w:r>
      <w:r w:rsidR="00D748FC">
        <w:rPr>
          <w:rFonts w:eastAsiaTheme="minorEastAsia"/>
          <w:iCs/>
        </w:rPr>
        <w:fldChar w:fldCharType="end"/>
      </w:r>
      <w:r w:rsidR="00AA711E">
        <w:rPr>
          <w:rFonts w:eastAsiaTheme="minorEastAsia"/>
          <w:iCs/>
        </w:rPr>
        <w:t>.</w:t>
      </w:r>
      <w:r>
        <w:rPr>
          <w:rFonts w:eastAsiaTheme="minorEastAsia"/>
          <w:iCs/>
        </w:rPr>
        <w:t xml:space="preserve"> </w:t>
      </w:r>
      <w:r w:rsidR="00AA711E">
        <w:rPr>
          <w:rFonts w:eastAsiaTheme="minorEastAsia"/>
          <w:iCs/>
        </w:rPr>
        <w:t>I</w:t>
      </w:r>
      <w:r>
        <w:rPr>
          <w:rFonts w:eastAsiaTheme="minorEastAsia"/>
          <w:iCs/>
        </w:rPr>
        <w:t xml:space="preserve">n this case the </w:t>
      </w:r>
      <w:r w:rsidR="00AA711E">
        <w:rPr>
          <w:rFonts w:eastAsiaTheme="minorEastAsia"/>
          <w:iCs/>
        </w:rPr>
        <w:t xml:space="preserve">test </w:t>
      </w:r>
      <w:r>
        <w:rPr>
          <w:rFonts w:eastAsiaTheme="minorEastAsia"/>
          <w:iCs/>
        </w:rPr>
        <w:t xml:space="preserve">results </w:t>
      </w:r>
      <w:r w:rsidR="00AA711E">
        <w:rPr>
          <w:rFonts w:eastAsiaTheme="minorEastAsia"/>
          <w:iCs/>
        </w:rPr>
        <w:t>sh</w:t>
      </w:r>
      <w:r w:rsidR="00E805B8">
        <w:rPr>
          <w:rFonts w:eastAsiaTheme="minorEastAsia"/>
          <w:iCs/>
        </w:rPr>
        <w:t xml:space="preserve">own a paraboloidal trend with a maximum BMP value of 310 </w:t>
      </w:r>
      <w:r w:rsidR="00E805B8">
        <w:rPr>
          <w:rFonts w:eastAsiaTheme="minorEastAsia"/>
          <w:lang w:eastAsia="en-GB"/>
        </w:rPr>
        <w:t>mL/</w:t>
      </w:r>
      <w:proofErr w:type="spellStart"/>
      <w:r w:rsidR="00E805B8">
        <w:rPr>
          <w:rFonts w:eastAsiaTheme="minorEastAsia"/>
          <w:lang w:eastAsia="en-GB"/>
        </w:rPr>
        <w:t>g</w:t>
      </w:r>
      <w:r w:rsidR="00E805B8" w:rsidRPr="006942B8">
        <w:rPr>
          <w:rFonts w:eastAsiaTheme="minorEastAsia"/>
          <w:vertAlign w:val="subscript"/>
          <w:lang w:eastAsia="en-GB"/>
        </w:rPr>
        <w:t>VS</w:t>
      </w:r>
      <w:proofErr w:type="spellEnd"/>
      <w:r w:rsidR="00E805B8">
        <w:rPr>
          <w:rFonts w:eastAsiaTheme="minorEastAsia"/>
          <w:vertAlign w:val="subscript"/>
          <w:lang w:eastAsia="en-GB"/>
        </w:rPr>
        <w:t xml:space="preserve"> </w:t>
      </w:r>
      <w:r w:rsidR="00E805B8">
        <w:rPr>
          <w:rFonts w:eastAsiaTheme="minorEastAsia"/>
          <w:iCs/>
        </w:rPr>
        <w:t>(</w:t>
      </w:r>
      <w:proofErr w:type="spellStart"/>
      <w:r w:rsidR="00E805B8">
        <w:rPr>
          <w:rFonts w:eastAsiaTheme="minorEastAsia"/>
          <w:iCs/>
        </w:rPr>
        <w:t>x</w:t>
      </w:r>
      <w:r w:rsidR="00E805B8">
        <w:rPr>
          <w:rFonts w:eastAsiaTheme="minorEastAsia"/>
          <w:iCs/>
          <w:vertAlign w:val="subscript"/>
        </w:rPr>
        <w:t>FW</w:t>
      </w:r>
      <w:proofErr w:type="spellEnd"/>
      <w:r w:rsidR="00E805B8">
        <w:rPr>
          <w:rFonts w:eastAsiaTheme="minorEastAsia"/>
          <w:iCs/>
        </w:rPr>
        <w:t xml:space="preserve"> </w:t>
      </w:r>
      <w:r w:rsidR="00E805B8" w:rsidRPr="00EB1520">
        <w:rPr>
          <w:rFonts w:eastAsiaTheme="minorEastAsia"/>
        </w:rPr>
        <w:t>=</w:t>
      </w:r>
      <w:r w:rsidR="00E805B8">
        <w:rPr>
          <w:rFonts w:eastAsiaTheme="minorEastAsia"/>
        </w:rPr>
        <w:t xml:space="preserve"> </w:t>
      </w:r>
      <w:r w:rsidR="00E805B8" w:rsidRPr="00EB1520">
        <w:rPr>
          <w:rFonts w:eastAsiaTheme="minorEastAsia"/>
        </w:rPr>
        <w:t>0.6</w:t>
      </w:r>
      <w:r w:rsidR="00E805B8">
        <w:rPr>
          <w:rFonts w:eastAsiaTheme="minorEastAsia"/>
        </w:rPr>
        <w:t>6</w:t>
      </w:r>
      <w:r w:rsidR="00E805B8">
        <w:rPr>
          <w:rFonts w:eastAsiaTheme="minorEastAsia"/>
          <w:iCs/>
        </w:rPr>
        <w:t xml:space="preserve"> wt.</w:t>
      </w:r>
      <w:r w:rsidR="00E805B8" w:rsidRPr="00EB1520">
        <w:rPr>
          <w:rFonts w:eastAsiaTheme="minorEastAsia"/>
        </w:rPr>
        <w:t>,</w:t>
      </w:r>
      <w:r w:rsidR="00E805B8">
        <w:rPr>
          <w:rFonts w:eastAsiaTheme="minorEastAsia"/>
        </w:rPr>
        <w:t xml:space="preserve"> </w:t>
      </w:r>
      <w:proofErr w:type="spellStart"/>
      <w:r w:rsidR="00E805B8">
        <w:rPr>
          <w:rFonts w:eastAsiaTheme="minorEastAsia"/>
          <w:iCs/>
        </w:rPr>
        <w:t>x</w:t>
      </w:r>
      <w:r w:rsidR="00E805B8">
        <w:rPr>
          <w:rFonts w:eastAsiaTheme="minorEastAsia"/>
          <w:iCs/>
          <w:vertAlign w:val="subscript"/>
        </w:rPr>
        <w:t>PM</w:t>
      </w:r>
      <w:proofErr w:type="spellEnd"/>
      <m:oMath>
        <m:r>
          <w:rPr>
            <w:rFonts w:ascii="Cambria Math" w:eastAsiaTheme="minorEastAsia" w:hAnsi="Cambria Math" w:cstheme="minorHAnsi"/>
          </w:rPr>
          <m:t xml:space="preserve"> </m:t>
        </m:r>
      </m:oMath>
      <w:r w:rsidR="00E805B8" w:rsidRPr="00EB1520">
        <w:rPr>
          <w:rFonts w:eastAsiaTheme="minorEastAsia"/>
          <w:iCs/>
        </w:rPr>
        <w:t>=</w:t>
      </w:r>
      <w:r w:rsidR="00E805B8">
        <w:rPr>
          <w:rFonts w:eastAsiaTheme="minorEastAsia"/>
          <w:iCs/>
        </w:rPr>
        <w:t xml:space="preserve"> </w:t>
      </w:r>
      <w:r w:rsidR="00E805B8" w:rsidRPr="00EB1520">
        <w:rPr>
          <w:rFonts w:eastAsiaTheme="minorEastAsia"/>
          <w:iCs/>
        </w:rPr>
        <w:t>0.</w:t>
      </w:r>
      <w:r w:rsidR="00E805B8">
        <w:rPr>
          <w:rFonts w:eastAsiaTheme="minorEastAsia"/>
          <w:iCs/>
        </w:rPr>
        <w:t>1</w:t>
      </w:r>
      <w:r w:rsidR="00E805B8" w:rsidRPr="00EB1520">
        <w:rPr>
          <w:rFonts w:eastAsiaTheme="minorEastAsia"/>
          <w:iCs/>
        </w:rPr>
        <w:t>7</w:t>
      </w:r>
      <w:r w:rsidR="00E805B8">
        <w:rPr>
          <w:rFonts w:eastAsiaTheme="minorEastAsia"/>
          <w:iCs/>
        </w:rPr>
        <w:t xml:space="preserve"> wt., </w:t>
      </w:r>
      <w:proofErr w:type="spellStart"/>
      <w:r w:rsidR="00E805B8">
        <w:rPr>
          <w:rFonts w:eastAsiaTheme="minorEastAsia"/>
          <w:iCs/>
        </w:rPr>
        <w:t>x</w:t>
      </w:r>
      <w:r w:rsidR="00E805B8">
        <w:rPr>
          <w:rFonts w:eastAsiaTheme="minorEastAsia"/>
          <w:iCs/>
          <w:vertAlign w:val="subscript"/>
        </w:rPr>
        <w:t>ST</w:t>
      </w:r>
      <w:proofErr w:type="spellEnd"/>
      <w:r w:rsidR="00E805B8" w:rsidRPr="00EB1520">
        <w:rPr>
          <w:rFonts w:eastAsiaTheme="minorEastAsia"/>
          <w:iCs/>
        </w:rPr>
        <w:t xml:space="preserve"> =</w:t>
      </w:r>
      <w:r w:rsidR="00E805B8">
        <w:rPr>
          <w:rFonts w:eastAsiaTheme="minorEastAsia"/>
          <w:iCs/>
        </w:rPr>
        <w:t xml:space="preserve"> </w:t>
      </w:r>
      <w:r w:rsidR="00E805B8" w:rsidRPr="00EB1520">
        <w:rPr>
          <w:rFonts w:eastAsiaTheme="minorEastAsia"/>
          <w:iCs/>
        </w:rPr>
        <w:t>0</w:t>
      </w:r>
      <w:r w:rsidR="00E805B8">
        <w:rPr>
          <w:rFonts w:eastAsiaTheme="minorEastAsia"/>
          <w:iCs/>
        </w:rPr>
        <w:t xml:space="preserve">.17 wt.). Also in this case, the results obtained by the model </w:t>
      </w:r>
      <w:r>
        <w:rPr>
          <w:rFonts w:eastAsiaTheme="minorEastAsia"/>
          <w:iCs/>
        </w:rPr>
        <w:t>are reliable both in terms of BMP estimation</w:t>
      </w:r>
      <w:r w:rsidR="00410124">
        <w:rPr>
          <w:rFonts w:eastAsiaTheme="minorEastAsia"/>
          <w:iCs/>
        </w:rPr>
        <w:t xml:space="preserve"> (290 </w:t>
      </w:r>
      <w:r w:rsidR="00410124">
        <w:rPr>
          <w:rFonts w:eastAsiaTheme="minorEastAsia"/>
          <w:lang w:eastAsia="en-GB"/>
        </w:rPr>
        <w:t>mL/g</w:t>
      </w:r>
      <w:r w:rsidR="00410124" w:rsidRPr="006942B8">
        <w:rPr>
          <w:rFonts w:eastAsiaTheme="minorEastAsia"/>
          <w:vertAlign w:val="subscript"/>
          <w:lang w:eastAsia="en-GB"/>
        </w:rPr>
        <w:t>VS</w:t>
      </w:r>
      <w:r w:rsidR="00410124">
        <w:rPr>
          <w:rFonts w:eastAsiaTheme="minorEastAsia"/>
          <w:iCs/>
        </w:rPr>
        <w:t xml:space="preserve">) </w:t>
      </w:r>
      <w:r>
        <w:rPr>
          <w:rFonts w:eastAsiaTheme="minorEastAsia"/>
          <w:iCs/>
        </w:rPr>
        <w:t xml:space="preserve">and composition prediction </w:t>
      </w:r>
      <w:r w:rsidR="00F03FFC">
        <w:rPr>
          <w:rFonts w:eastAsiaTheme="minorEastAsia"/>
          <w:iCs/>
        </w:rPr>
        <w:t>(</w:t>
      </w:r>
      <w:proofErr w:type="spellStart"/>
      <w:proofErr w:type="gramStart"/>
      <w:r w:rsidR="00F03FFC">
        <w:rPr>
          <w:rFonts w:eastAsiaTheme="minorEastAsia"/>
          <w:iCs/>
        </w:rPr>
        <w:t>x</w:t>
      </w:r>
      <w:r w:rsidR="00F03FFC">
        <w:rPr>
          <w:rFonts w:eastAsiaTheme="minorEastAsia"/>
          <w:iCs/>
          <w:vertAlign w:val="subscript"/>
        </w:rPr>
        <w:t>FW,opt</w:t>
      </w:r>
      <w:proofErr w:type="spellEnd"/>
      <w:proofErr w:type="gramEnd"/>
      <w:r w:rsidR="00312F38">
        <w:rPr>
          <w:rFonts w:eastAsiaTheme="minorEastAsia"/>
          <w:iCs/>
        </w:rPr>
        <w:t xml:space="preserve"> </w:t>
      </w:r>
      <w:r w:rsidRPr="00EB1520">
        <w:rPr>
          <w:rFonts w:eastAsiaTheme="minorEastAsia"/>
        </w:rPr>
        <w:t>=</w:t>
      </w:r>
      <w:r w:rsidR="00312F38">
        <w:rPr>
          <w:rFonts w:eastAsiaTheme="minorEastAsia"/>
        </w:rPr>
        <w:t xml:space="preserve"> </w:t>
      </w:r>
      <w:r w:rsidRPr="00EB1520">
        <w:rPr>
          <w:rFonts w:eastAsiaTheme="minorEastAsia"/>
        </w:rPr>
        <w:t>0.64</w:t>
      </w:r>
      <w:r w:rsidR="006362E9">
        <w:rPr>
          <w:rFonts w:eastAsiaTheme="minorEastAsia"/>
          <w:iCs/>
        </w:rPr>
        <w:t xml:space="preserve"> wt.</w:t>
      </w:r>
      <w:r w:rsidRPr="00EB1520">
        <w:rPr>
          <w:rFonts w:eastAsiaTheme="minorEastAsia"/>
        </w:rPr>
        <w:t>,</w:t>
      </w:r>
      <w:r w:rsidR="00F03FFC">
        <w:rPr>
          <w:rFonts w:eastAsiaTheme="minorEastAsia"/>
        </w:rPr>
        <w:t xml:space="preserve"> </w:t>
      </w:r>
      <w:proofErr w:type="spellStart"/>
      <w:r w:rsidR="00F03FFC">
        <w:rPr>
          <w:rFonts w:eastAsiaTheme="minorEastAsia"/>
          <w:iCs/>
        </w:rPr>
        <w:t>x</w:t>
      </w:r>
      <w:r w:rsidR="00F03FFC">
        <w:rPr>
          <w:rFonts w:eastAsiaTheme="minorEastAsia"/>
          <w:iCs/>
          <w:vertAlign w:val="subscript"/>
        </w:rPr>
        <w:t>PM,opt</w:t>
      </w:r>
      <w:proofErr w:type="spellEnd"/>
      <m:oMath>
        <m:r>
          <w:rPr>
            <w:rFonts w:ascii="Cambria Math" w:eastAsiaTheme="minorEastAsia" w:hAnsi="Cambria Math" w:cstheme="minorHAnsi"/>
          </w:rPr>
          <m:t xml:space="preserve"> </m:t>
        </m:r>
      </m:oMath>
      <w:r w:rsidRPr="00EB1520">
        <w:rPr>
          <w:rFonts w:eastAsiaTheme="minorEastAsia"/>
          <w:iCs/>
        </w:rPr>
        <w:t>=</w:t>
      </w:r>
      <w:r w:rsidR="00312F38">
        <w:rPr>
          <w:rFonts w:eastAsiaTheme="minorEastAsia"/>
          <w:iCs/>
        </w:rPr>
        <w:t xml:space="preserve"> </w:t>
      </w:r>
      <w:r w:rsidRPr="00EB1520">
        <w:rPr>
          <w:rFonts w:eastAsiaTheme="minorEastAsia"/>
          <w:iCs/>
        </w:rPr>
        <w:t>0.27</w:t>
      </w:r>
      <w:r w:rsidR="006362E9">
        <w:rPr>
          <w:rFonts w:eastAsiaTheme="minorEastAsia"/>
          <w:iCs/>
        </w:rPr>
        <w:t xml:space="preserve"> wt.</w:t>
      </w:r>
      <w:r>
        <w:rPr>
          <w:rFonts w:eastAsiaTheme="minorEastAsia"/>
          <w:iCs/>
        </w:rPr>
        <w:t xml:space="preserve">, </w:t>
      </w:r>
      <w:proofErr w:type="spellStart"/>
      <w:r w:rsidR="00F03FFC">
        <w:rPr>
          <w:rFonts w:eastAsiaTheme="minorEastAsia"/>
          <w:iCs/>
        </w:rPr>
        <w:t>x</w:t>
      </w:r>
      <w:r w:rsidR="00F03FFC">
        <w:rPr>
          <w:rFonts w:eastAsiaTheme="minorEastAsia"/>
          <w:iCs/>
          <w:vertAlign w:val="subscript"/>
        </w:rPr>
        <w:t>ST,opt</w:t>
      </w:r>
      <w:proofErr w:type="spellEnd"/>
      <w:r w:rsidR="00F03FFC" w:rsidRPr="00EB1520">
        <w:rPr>
          <w:rFonts w:eastAsiaTheme="minorEastAsia"/>
          <w:iCs/>
        </w:rPr>
        <w:t xml:space="preserve"> </w:t>
      </w:r>
      <w:r w:rsidRPr="00EB1520">
        <w:rPr>
          <w:rFonts w:eastAsiaTheme="minorEastAsia"/>
          <w:iCs/>
        </w:rPr>
        <w:t>=</w:t>
      </w:r>
      <w:r w:rsidR="00312F38">
        <w:rPr>
          <w:rFonts w:eastAsiaTheme="minorEastAsia"/>
          <w:iCs/>
        </w:rPr>
        <w:t xml:space="preserve"> </w:t>
      </w:r>
      <w:r w:rsidRPr="00EB1520">
        <w:rPr>
          <w:rFonts w:eastAsiaTheme="minorEastAsia"/>
          <w:iCs/>
        </w:rPr>
        <w:t>0.</w:t>
      </w:r>
      <w:r>
        <w:rPr>
          <w:rFonts w:eastAsiaTheme="minorEastAsia"/>
          <w:iCs/>
        </w:rPr>
        <w:t>09</w:t>
      </w:r>
      <w:r w:rsidR="006362E9">
        <w:rPr>
          <w:rFonts w:eastAsiaTheme="minorEastAsia"/>
          <w:iCs/>
        </w:rPr>
        <w:t xml:space="preserve"> wt.</w:t>
      </w:r>
      <w:r w:rsidRPr="00EB1520">
        <w:rPr>
          <w:rFonts w:eastAsiaTheme="minorEastAsia"/>
          <w:iCs/>
        </w:rPr>
        <w:t>)</w:t>
      </w:r>
      <w:r>
        <w:rPr>
          <w:rFonts w:eastAsiaTheme="minorEastAsia"/>
          <w:iCs/>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2835"/>
      </w:tblGrid>
      <w:tr w:rsidR="0075028C" w14:paraId="4E7331B4" w14:textId="77777777" w:rsidTr="001165F9">
        <w:tc>
          <w:tcPr>
            <w:tcW w:w="2835" w:type="dxa"/>
          </w:tcPr>
          <w:p w14:paraId="7478905C" w14:textId="0D08EB8F" w:rsidR="0075028C" w:rsidRDefault="00F34B55" w:rsidP="001165F9">
            <w:pPr>
              <w:rPr>
                <w:rFonts w:eastAsiaTheme="minorEastAsia"/>
                <w:iCs/>
              </w:rPr>
            </w:pPr>
            <w:r>
              <w:rPr>
                <w:rFonts w:eastAsiaTheme="minorEastAsia"/>
                <w:iCs/>
                <w:noProof/>
              </w:rPr>
              <w:drawing>
                <wp:inline distT="0" distB="0" distL="0" distR="0" wp14:anchorId="2A418898" wp14:editId="2F7BA546">
                  <wp:extent cx="2113106" cy="1440000"/>
                  <wp:effectExtent l="0" t="0" r="0" b="0"/>
                  <wp:docPr id="1"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pic:cNvPicPr/>
                        </pic:nvPicPr>
                        <pic:blipFill>
                          <a:blip r:embed="rId16">
                            <a:extLst>
                              <a:ext uri="{96DAC541-7B7A-43D3-8B79-37D633B846F1}">
                                <asvg:svgBlip xmlns:asvg="http://schemas.microsoft.com/office/drawing/2016/SVG/main" r:embed="rId17"/>
                              </a:ext>
                            </a:extLst>
                          </a:blip>
                          <a:stretch>
                            <a:fillRect/>
                          </a:stretch>
                        </pic:blipFill>
                        <pic:spPr>
                          <a:xfrm>
                            <a:off x="0" y="0"/>
                            <a:ext cx="2113106" cy="1440000"/>
                          </a:xfrm>
                          <a:prstGeom prst="rect">
                            <a:avLst/>
                          </a:prstGeom>
                        </pic:spPr>
                      </pic:pic>
                    </a:graphicData>
                  </a:graphic>
                </wp:inline>
              </w:drawing>
            </w:r>
          </w:p>
        </w:tc>
        <w:tc>
          <w:tcPr>
            <w:tcW w:w="2835" w:type="dxa"/>
          </w:tcPr>
          <w:p w14:paraId="5046FD60" w14:textId="6D2F45FF" w:rsidR="0075028C" w:rsidRDefault="00D40484" w:rsidP="001165F9">
            <w:pPr>
              <w:rPr>
                <w:rFonts w:eastAsiaTheme="minorEastAsia"/>
                <w:iCs/>
              </w:rPr>
            </w:pPr>
            <w:r>
              <w:rPr>
                <w:rFonts w:eastAsiaTheme="minorEastAsia"/>
                <w:iCs/>
                <w:noProof/>
              </w:rPr>
              <w:drawing>
                <wp:inline distT="0" distB="0" distL="0" distR="0" wp14:anchorId="499D3794" wp14:editId="1F1FE2FF">
                  <wp:extent cx="1545533" cy="1440000"/>
                  <wp:effectExtent l="0" t="0" r="4445" b="0"/>
                  <wp:docPr id="3" name="Elemento gra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pic:cNvPicPr/>
                        </pic:nvPicPr>
                        <pic:blipFill>
                          <a:blip r:embed="rId18">
                            <a:extLst>
                              <a:ext uri="{96DAC541-7B7A-43D3-8B79-37D633B846F1}">
                                <asvg:svgBlip xmlns:asvg="http://schemas.microsoft.com/office/drawing/2016/SVG/main" r:embed="rId19"/>
                              </a:ext>
                            </a:extLst>
                          </a:blip>
                          <a:stretch>
                            <a:fillRect/>
                          </a:stretch>
                        </pic:blipFill>
                        <pic:spPr>
                          <a:xfrm>
                            <a:off x="0" y="0"/>
                            <a:ext cx="1545533" cy="1440000"/>
                          </a:xfrm>
                          <a:prstGeom prst="rect">
                            <a:avLst/>
                          </a:prstGeom>
                        </pic:spPr>
                      </pic:pic>
                    </a:graphicData>
                  </a:graphic>
                </wp:inline>
              </w:drawing>
            </w:r>
          </w:p>
        </w:tc>
      </w:tr>
      <w:tr w:rsidR="0075028C" w14:paraId="0D6B109F" w14:textId="77777777" w:rsidTr="001165F9">
        <w:tc>
          <w:tcPr>
            <w:tcW w:w="2835" w:type="dxa"/>
          </w:tcPr>
          <w:p w14:paraId="34469A76" w14:textId="77777777" w:rsidR="0075028C" w:rsidRDefault="0075028C" w:rsidP="001165F9">
            <w:pPr>
              <w:jc w:val="center"/>
              <w:rPr>
                <w:rFonts w:eastAsiaTheme="minorEastAsia"/>
                <w:iCs/>
              </w:rPr>
            </w:pPr>
            <w:r>
              <w:rPr>
                <w:rFonts w:eastAsiaTheme="minorEastAsia"/>
                <w:iCs/>
              </w:rPr>
              <w:t>(a)</w:t>
            </w:r>
          </w:p>
        </w:tc>
        <w:tc>
          <w:tcPr>
            <w:tcW w:w="2835" w:type="dxa"/>
          </w:tcPr>
          <w:p w14:paraId="13A07311" w14:textId="77777777" w:rsidR="0075028C" w:rsidRDefault="0075028C" w:rsidP="001165F9">
            <w:pPr>
              <w:jc w:val="center"/>
              <w:rPr>
                <w:rFonts w:eastAsiaTheme="minorEastAsia"/>
                <w:iCs/>
              </w:rPr>
            </w:pPr>
            <w:r>
              <w:rPr>
                <w:rFonts w:eastAsiaTheme="minorEastAsia"/>
                <w:iCs/>
              </w:rPr>
              <w:t>(b)</w:t>
            </w:r>
          </w:p>
        </w:tc>
      </w:tr>
    </w:tbl>
    <w:p w14:paraId="1E852210" w14:textId="010A680E" w:rsidR="0075028C" w:rsidRPr="0075028C" w:rsidRDefault="0075028C" w:rsidP="0075028C">
      <w:pPr>
        <w:pStyle w:val="CETCaption"/>
        <w:rPr>
          <w:rFonts w:eastAsiaTheme="minorEastAsia"/>
        </w:rPr>
      </w:pPr>
      <w:r>
        <w:t xml:space="preserve">Figure </w:t>
      </w:r>
      <w:r w:rsidR="00222551">
        <w:t>2</w:t>
      </w:r>
      <w:r>
        <w:t xml:space="preserve">. </w:t>
      </w:r>
      <w:r>
        <w:rPr>
          <w:szCs w:val="16"/>
        </w:rPr>
        <w:t xml:space="preserve">(a) </w:t>
      </w:r>
      <w:r w:rsidRPr="00B048E1">
        <w:rPr>
          <w:szCs w:val="16"/>
        </w:rPr>
        <w:t>Comparison between the experimental BMPs for a variable mixture of FW and PM and the model’s results</w:t>
      </w:r>
      <w:r>
        <w:rPr>
          <w:szCs w:val="16"/>
        </w:rPr>
        <w:t xml:space="preserve">; (b) </w:t>
      </w:r>
      <w:r w:rsidRPr="00B048E1">
        <w:rPr>
          <w:szCs w:val="16"/>
        </w:rPr>
        <w:t>Comparison between the experimental BMPs for a variable mixture of DM, PM and ST, and the model’s results</w:t>
      </w:r>
      <w:r>
        <w:rPr>
          <w:szCs w:val="16"/>
        </w:rPr>
        <w:t>.</w:t>
      </w:r>
    </w:p>
    <w:p w14:paraId="28523F84" w14:textId="2B99A3D8" w:rsidR="00BA094E" w:rsidRDefault="00BA094E" w:rsidP="00BA094E">
      <w:pPr>
        <w:rPr>
          <w:rFonts w:eastAsiaTheme="minorEastAsia"/>
          <w:iCs/>
        </w:rPr>
      </w:pPr>
      <w:r>
        <w:rPr>
          <w:rFonts w:eastAsiaTheme="minorEastAsia"/>
          <w:iCs/>
        </w:rPr>
        <w:t>The results obtained in these two trials and in the remaining ones have made it possible to validate the model, confirming its predictions as trustworthy</w:t>
      </w:r>
      <w:r w:rsidR="0076706B">
        <w:rPr>
          <w:rFonts w:eastAsiaTheme="minorEastAsia"/>
          <w:iCs/>
        </w:rPr>
        <w:t xml:space="preserve">, </w:t>
      </w:r>
      <w:r>
        <w:rPr>
          <w:rFonts w:eastAsiaTheme="minorEastAsia"/>
          <w:iCs/>
        </w:rPr>
        <w:t xml:space="preserve">even though, at times, a BMP overestimation is observed. Sometimes an absence of synergy is observed, therefore in those cases another model was built, where the </w:t>
      </w:r>
      <m:oMath>
        <m:sSub>
          <m:sSubPr>
            <m:ctrlPr>
              <w:rPr>
                <w:rFonts w:ascii="Cambria Math" w:eastAsiaTheme="minorEastAsia" w:hAnsi="Cambria Math"/>
                <w:i/>
                <w:iCs/>
                <w:lang w:val="it-IT"/>
              </w:rPr>
            </m:ctrlPr>
          </m:sSubPr>
          <m:e>
            <m:r>
              <w:rPr>
                <w:rFonts w:ascii="Cambria Math" w:eastAsiaTheme="minorEastAsia" w:hAnsi="Cambria Math"/>
                <w:lang w:val="it-IT"/>
              </w:rPr>
              <m:t>BMP</m:t>
            </m:r>
          </m:e>
          <m:sub>
            <m:r>
              <w:rPr>
                <w:rFonts w:ascii="Cambria Math" w:eastAsiaTheme="minorEastAsia" w:hAnsi="Cambria Math"/>
                <w:lang w:val="it-IT"/>
              </w:rPr>
              <m:t>AcoD</m:t>
            </m:r>
          </m:sub>
        </m:sSub>
      </m:oMath>
      <w:r w:rsidRPr="00BA49B8">
        <w:rPr>
          <w:rFonts w:eastAsiaTheme="minorEastAsia"/>
          <w:iCs/>
        </w:rPr>
        <w:t xml:space="preserve"> </w:t>
      </w:r>
      <w:r>
        <w:rPr>
          <w:rFonts w:eastAsiaTheme="minorEastAsia"/>
          <w:iCs/>
        </w:rPr>
        <w:t>is expressed as the weighted average of the single EBMPs of the substrates (Eq</w:t>
      </w:r>
      <w:r w:rsidR="00D748FC">
        <w:rPr>
          <w:rFonts w:eastAsiaTheme="minorEastAsia"/>
          <w:iCs/>
        </w:rPr>
        <w:t>.</w:t>
      </w:r>
      <w:r>
        <w:rPr>
          <w:rFonts w:eastAsiaTheme="minorEastAsia"/>
          <w:iCs/>
        </w:rPr>
        <w:t xml:space="preserve"> </w:t>
      </w:r>
      <w:r w:rsidR="00887D5A">
        <w:rPr>
          <w:rFonts w:eastAsiaTheme="minorEastAsia"/>
          <w:iCs/>
        </w:rPr>
        <w:t>10</w:t>
      </w:r>
      <w:r>
        <w:rPr>
          <w:rFonts w:eastAsiaTheme="minorEastAsia"/>
          <w:iCs/>
        </w:rPr>
        <w:t>).</w:t>
      </w:r>
    </w:p>
    <w:tbl>
      <w:tblPr>
        <w:tblW w:w="5000" w:type="pct"/>
        <w:tblLook w:val="04A0" w:firstRow="1" w:lastRow="0" w:firstColumn="1" w:lastColumn="0" w:noHBand="0" w:noVBand="1"/>
      </w:tblPr>
      <w:tblGrid>
        <w:gridCol w:w="7984"/>
        <w:gridCol w:w="803"/>
      </w:tblGrid>
      <w:tr w:rsidR="00887D5A" w:rsidRPr="00B57B36" w14:paraId="6A53DCB7" w14:textId="77777777" w:rsidTr="00416CA4">
        <w:tc>
          <w:tcPr>
            <w:tcW w:w="7984" w:type="dxa"/>
            <w:shd w:val="clear" w:color="auto" w:fill="auto"/>
            <w:vAlign w:val="center"/>
          </w:tcPr>
          <w:p w14:paraId="1DFEF12D" w14:textId="06C0AEAF" w:rsidR="00887D5A" w:rsidRPr="00887D5A" w:rsidRDefault="00DA0BBE" w:rsidP="00416CA4">
            <w:pPr>
              <w:pStyle w:val="CETEquation"/>
              <w:rPr>
                <w:rFonts w:ascii="Cambria Math" w:hAnsi="Cambria Math"/>
                <w:szCs w:val="24"/>
                <w:oMath/>
              </w:rPr>
            </w:pPr>
            <m:oMath>
              <m:sSub>
                <m:sSubPr>
                  <m:ctrlPr>
                    <w:rPr>
                      <w:rFonts w:ascii="Cambria Math" w:eastAsiaTheme="minorEastAsia" w:hAnsi="Cambria Math"/>
                      <w:i/>
                      <w:iCs/>
                      <w:lang w:val="it-IT"/>
                    </w:rPr>
                  </m:ctrlPr>
                </m:sSubPr>
                <m:e>
                  <m:r>
                    <w:rPr>
                      <w:rFonts w:ascii="Cambria Math" w:eastAsiaTheme="minorEastAsia" w:hAnsi="Cambria Math"/>
                      <w:lang w:val="it-IT"/>
                    </w:rPr>
                    <m:t>BMP</m:t>
                  </m:r>
                </m:e>
                <m:sub>
                  <m:r>
                    <w:rPr>
                      <w:rFonts w:ascii="Cambria Math" w:eastAsiaTheme="minorEastAsia" w:hAnsi="Cambria Math"/>
                      <w:lang w:val="it-IT"/>
                    </w:rPr>
                    <m:t>AcoD</m:t>
                  </m:r>
                </m:sub>
              </m:sSub>
              <m:r>
                <w:rPr>
                  <w:rFonts w:ascii="Cambria Math" w:eastAsiaTheme="minorEastAsia" w:hAnsi="Cambria Math"/>
                </w:rPr>
                <m:t>=</m:t>
              </m:r>
              <m:nary>
                <m:naryPr>
                  <m:chr m:val="∑"/>
                  <m:limLoc m:val="subSup"/>
                  <m:ctrlPr>
                    <w:rPr>
                      <w:rFonts w:ascii="Cambria Math" w:eastAsiaTheme="minorEastAsia" w:hAnsi="Cambria Math"/>
                      <w:i/>
                      <w:iCs/>
                      <w:lang w:val="it-IT"/>
                    </w:rPr>
                  </m:ctrlPr>
                </m:naryPr>
                <m:sub>
                  <m:r>
                    <w:rPr>
                      <w:rFonts w:ascii="Cambria Math" w:eastAsiaTheme="minorEastAsia" w:hAnsi="Cambria Math"/>
                      <w:lang w:val="it-IT"/>
                    </w:rPr>
                    <m:t>i</m:t>
                  </m:r>
                  <m:r>
                    <w:rPr>
                      <w:rFonts w:ascii="Cambria Math" w:eastAsiaTheme="minorEastAsia" w:hAnsi="Cambria Math"/>
                    </w:rPr>
                    <m:t>=1</m:t>
                  </m:r>
                </m:sub>
                <m:sup>
                  <m:r>
                    <w:rPr>
                      <w:rFonts w:ascii="Cambria Math" w:eastAsiaTheme="minorEastAsia" w:hAnsi="Cambria Math"/>
                      <w:lang w:val="it-IT"/>
                    </w:rPr>
                    <m:t>NC</m:t>
                  </m:r>
                </m:sup>
                <m:e>
                  <m:sSub>
                    <m:sSubPr>
                      <m:ctrlPr>
                        <w:rPr>
                          <w:rFonts w:ascii="Cambria Math" w:eastAsiaTheme="minorEastAsia" w:hAnsi="Cambria Math"/>
                          <w:i/>
                          <w:iCs/>
                          <w:lang w:val="it-IT"/>
                        </w:rPr>
                      </m:ctrlPr>
                    </m:sSubPr>
                    <m:e>
                      <m:r>
                        <w:rPr>
                          <w:rFonts w:ascii="Cambria Math" w:eastAsiaTheme="minorEastAsia" w:hAnsi="Cambria Math"/>
                          <w:lang w:val="it-IT"/>
                        </w:rPr>
                        <m:t>x</m:t>
                      </m:r>
                    </m:e>
                    <m:sub>
                      <m:r>
                        <w:rPr>
                          <w:rFonts w:ascii="Cambria Math" w:eastAsiaTheme="minorEastAsia" w:hAnsi="Cambria Math"/>
                          <w:lang w:val="it-IT"/>
                        </w:rPr>
                        <m:t>i</m:t>
                      </m:r>
                    </m:sub>
                  </m:sSub>
                  <m:r>
                    <w:rPr>
                      <w:rFonts w:ascii="Cambria Math" w:eastAsiaTheme="minorEastAsia" w:hAnsi="Cambria Math"/>
                    </w:rPr>
                    <m:t>∙</m:t>
                  </m:r>
                  <m:sSub>
                    <m:sSubPr>
                      <m:ctrlPr>
                        <w:rPr>
                          <w:rFonts w:ascii="Cambria Math" w:eastAsiaTheme="minorEastAsia" w:hAnsi="Cambria Math"/>
                          <w:i/>
                          <w:iCs/>
                          <w:lang w:val="it-IT"/>
                        </w:rPr>
                      </m:ctrlPr>
                    </m:sSubPr>
                    <m:e>
                      <m:r>
                        <w:rPr>
                          <w:rFonts w:ascii="Cambria Math" w:eastAsiaTheme="minorEastAsia" w:hAnsi="Cambria Math"/>
                          <w:lang w:val="it-IT"/>
                        </w:rPr>
                        <m:t>EBMP</m:t>
                      </m:r>
                    </m:e>
                    <m:sub>
                      <m:r>
                        <w:rPr>
                          <w:rFonts w:ascii="Cambria Math" w:eastAsiaTheme="minorEastAsia" w:hAnsi="Cambria Math"/>
                          <w:lang w:val="it-IT"/>
                        </w:rPr>
                        <m:t>i</m:t>
                      </m:r>
                    </m:sub>
                  </m:sSub>
                </m:e>
              </m:nary>
            </m:oMath>
            <w:r w:rsidR="00887D5A">
              <w:rPr>
                <w:rFonts w:eastAsiaTheme="minorEastAsia"/>
                <w:szCs w:val="24"/>
              </w:rPr>
              <w:t xml:space="preserve"> </w:t>
            </w:r>
          </w:p>
        </w:tc>
        <w:tc>
          <w:tcPr>
            <w:tcW w:w="803" w:type="dxa"/>
            <w:shd w:val="clear" w:color="auto" w:fill="auto"/>
            <w:vAlign w:val="center"/>
          </w:tcPr>
          <w:p w14:paraId="58770DA8" w14:textId="1FF5A825" w:rsidR="00887D5A" w:rsidRPr="00B57B36" w:rsidRDefault="00887D5A" w:rsidP="00416CA4">
            <w:pPr>
              <w:pStyle w:val="CETEquation"/>
              <w:jc w:val="right"/>
            </w:pPr>
            <w:r w:rsidRPr="00B57B36">
              <w:t>(</w:t>
            </w:r>
            <w:r>
              <w:t>10</w:t>
            </w:r>
            <w:r w:rsidRPr="00B57B36">
              <w:t>)</w:t>
            </w:r>
          </w:p>
        </w:tc>
      </w:tr>
    </w:tbl>
    <w:p w14:paraId="05A67147" w14:textId="7ADEDC68" w:rsidR="00A52AEF" w:rsidRDefault="007B38F0" w:rsidP="00BA094E">
      <w:pPr>
        <w:rPr>
          <w:rFonts w:eastAsiaTheme="minorEastAsia"/>
          <w:iCs/>
        </w:rPr>
      </w:pPr>
      <w:r>
        <w:rPr>
          <w:rFonts w:eastAsiaTheme="minorEastAsia"/>
          <w:iCs/>
        </w:rPr>
        <w:t>This model was also validated with two additional tests, but it was not possible to automatically predict when this applies.</w:t>
      </w:r>
    </w:p>
    <w:p w14:paraId="56643183" w14:textId="7505D2E7" w:rsidR="007B38F0" w:rsidRDefault="007B38F0" w:rsidP="007B38F0">
      <w:pPr>
        <w:pStyle w:val="CETHeading1"/>
        <w:rPr>
          <w:rFonts w:eastAsiaTheme="minorEastAsia"/>
        </w:rPr>
      </w:pPr>
      <w:r>
        <w:rPr>
          <w:rFonts w:eastAsiaTheme="minorEastAsia"/>
        </w:rPr>
        <w:lastRenderedPageBreak/>
        <w:t>Model Improvements for Industrial Layouts</w:t>
      </w:r>
    </w:p>
    <w:p w14:paraId="7B78DBC1" w14:textId="5B1695D0" w:rsidR="007B38F0" w:rsidRDefault="007B38F0" w:rsidP="007B38F0">
      <w:pPr>
        <w:pStyle w:val="CETBodytext"/>
        <w:rPr>
          <w:rFonts w:eastAsiaTheme="minorEastAsia"/>
          <w:iCs/>
          <w:lang w:val="en-GB"/>
        </w:rPr>
      </w:pPr>
      <w:r>
        <w:rPr>
          <w:rFonts w:eastAsiaTheme="minorEastAsia"/>
          <w:iCs/>
          <w:lang w:val="en-GB"/>
        </w:rPr>
        <w:t>In case of industrial realities, besides the composition of the optimal mixture in terms of highest methane potential, other issues must be faced, like the real availability of the substrates and the storage capability of the plant. Therefore, to consider these additional factors, the model presented in the previous section has been improved with new constraints both in case of batch and CSTR-based anaerobic digesters.</w:t>
      </w:r>
    </w:p>
    <w:p w14:paraId="0C7E2069" w14:textId="23B3CA65" w:rsidR="007B38F0" w:rsidRDefault="007B38F0" w:rsidP="007B38F0">
      <w:pPr>
        <w:pStyle w:val="CETheadingx"/>
        <w:rPr>
          <w:rFonts w:eastAsiaTheme="minorEastAsia"/>
        </w:rPr>
      </w:pPr>
      <w:r>
        <w:rPr>
          <w:rFonts w:eastAsiaTheme="minorEastAsia"/>
        </w:rPr>
        <w:t>Batch digestion reactor</w:t>
      </w:r>
    </w:p>
    <w:p w14:paraId="775C1C3A" w14:textId="1D82A30C" w:rsidR="007B38F0" w:rsidRDefault="007B38F0" w:rsidP="007B38F0">
      <w:pPr>
        <w:pStyle w:val="Paragrafoelenco"/>
        <w:ind w:left="0"/>
        <w:rPr>
          <w:rFonts w:eastAsiaTheme="minorEastAsia"/>
        </w:rPr>
      </w:pPr>
      <w:r w:rsidRPr="007B38F0">
        <w:rPr>
          <w:rFonts w:eastAsiaTheme="minorEastAsia"/>
          <w:iCs/>
        </w:rPr>
        <w:t xml:space="preserve">In case of batch digesters, when optimizing the feedstock, it must be considered that each substrate has its own availability (in terms of tons per cycle) and that the plant has a certain storage capability for </w:t>
      </w:r>
      <w:r w:rsidR="00CE4BCE">
        <w:rPr>
          <w:rFonts w:eastAsiaTheme="minorEastAsia"/>
          <w:iCs/>
        </w:rPr>
        <w:t>these</w:t>
      </w:r>
      <w:r w:rsidRPr="007B38F0">
        <w:rPr>
          <w:rFonts w:eastAsiaTheme="minorEastAsia"/>
          <w:iCs/>
        </w:rPr>
        <w:t>, determin</w:t>
      </w:r>
      <w:r w:rsidR="00CE4BCE">
        <w:rPr>
          <w:rFonts w:eastAsiaTheme="minorEastAsia"/>
          <w:iCs/>
        </w:rPr>
        <w:t>ing</w:t>
      </w:r>
      <w:r w:rsidRPr="007B38F0">
        <w:rPr>
          <w:rFonts w:eastAsiaTheme="minorEastAsia"/>
          <w:iCs/>
        </w:rPr>
        <w:t xml:space="preserve"> the minimum quantity of each substrate that must be disposed in each cycle. </w:t>
      </w:r>
      <w:r>
        <w:rPr>
          <w:rFonts w:eastAsiaTheme="minorEastAsia"/>
          <w:iCs/>
        </w:rPr>
        <w:t xml:space="preserve">Supposing to fix the total substrates’ quantity that can be loaded into the reactor, named </w:t>
      </w:r>
      <w:r w:rsidR="00F03FFC">
        <w:rPr>
          <w:rFonts w:eastAsiaTheme="minorEastAsia"/>
          <w:iCs/>
        </w:rPr>
        <w:t>m</w:t>
      </w:r>
      <w:r w:rsidR="00F03FFC" w:rsidRPr="00F03FFC">
        <w:rPr>
          <w:rFonts w:eastAsiaTheme="minorEastAsia"/>
          <w:iCs/>
          <w:vertAlign w:val="subscript"/>
        </w:rPr>
        <w:t>TOT</w:t>
      </w:r>
      <w:r>
        <w:rPr>
          <w:rFonts w:eastAsiaTheme="minorEastAsia"/>
        </w:rPr>
        <w:t>, it is possible to impose that each load must be comprised between a lower limit, represented by the minimum required consumption, and a higher limit, represented by the maximum availability</w:t>
      </w:r>
      <w:r w:rsidR="00887D5A">
        <w:rPr>
          <w:rFonts w:eastAsiaTheme="minorEastAsia"/>
        </w:rPr>
        <w:t>, plus,</w:t>
      </w:r>
      <w:r>
        <w:rPr>
          <w:rFonts w:eastAsiaTheme="minorEastAsia"/>
        </w:rPr>
        <w:t xml:space="preserve"> the sum of all loads must be</w:t>
      </w:r>
      <w:r w:rsidR="00CE4BCE">
        <w:rPr>
          <w:rFonts w:eastAsiaTheme="minorEastAsia"/>
        </w:rPr>
        <w:t xml:space="preserve"> equal to</w:t>
      </w:r>
      <w:r w:rsidR="00F03FFC">
        <w:rPr>
          <w:rFonts w:eastAsiaTheme="minorEastAsia"/>
        </w:rPr>
        <w:t xml:space="preserve"> m</w:t>
      </w:r>
      <w:r w:rsidR="00F03FFC" w:rsidRPr="00F03FFC">
        <w:rPr>
          <w:rFonts w:eastAsiaTheme="minorEastAsia"/>
          <w:vertAlign w:val="subscript"/>
        </w:rPr>
        <w:t>TOT</w:t>
      </w:r>
      <w:r w:rsidR="00887D5A">
        <w:rPr>
          <w:rFonts w:eastAsiaTheme="minorEastAsia"/>
        </w:rPr>
        <w:t>, and so</w:t>
      </w:r>
      <w:r>
        <w:rPr>
          <w:rFonts w:eastAsiaTheme="minorEastAsia"/>
        </w:rPr>
        <w:t xml:space="preserve"> </w:t>
      </w:r>
      <w:r w:rsidR="00887D5A">
        <w:rPr>
          <w:rFonts w:eastAsiaTheme="minorEastAsia"/>
        </w:rPr>
        <w:t>t</w:t>
      </w:r>
      <w:r>
        <w:rPr>
          <w:rFonts w:eastAsiaTheme="minorEastAsia"/>
        </w:rPr>
        <w:t xml:space="preserve">he mass fractions of each substrate can then </w:t>
      </w:r>
      <w:r w:rsidR="00CE4BCE">
        <w:rPr>
          <w:rFonts w:eastAsiaTheme="minorEastAsia"/>
        </w:rPr>
        <w:t xml:space="preserve">be </w:t>
      </w:r>
      <w:r>
        <w:rPr>
          <w:rFonts w:eastAsiaTheme="minorEastAsia"/>
        </w:rPr>
        <w:t xml:space="preserve">calculated </w:t>
      </w:r>
      <w:r w:rsidR="00887D5A">
        <w:rPr>
          <w:rFonts w:eastAsiaTheme="minorEastAsia"/>
        </w:rPr>
        <w:t>(Eq</w:t>
      </w:r>
      <w:r>
        <w:rPr>
          <w:rFonts w:eastAsiaTheme="minorEastAsia"/>
        </w:rPr>
        <w:t>.</w:t>
      </w:r>
      <w:r w:rsidR="00887D5A">
        <w:rPr>
          <w:rFonts w:eastAsiaTheme="minorEastAsia"/>
        </w:rPr>
        <w:t xml:space="preserve"> 11-13)</w:t>
      </w:r>
    </w:p>
    <w:tbl>
      <w:tblPr>
        <w:tblW w:w="5000" w:type="pct"/>
        <w:tblLook w:val="04A0" w:firstRow="1" w:lastRow="0" w:firstColumn="1" w:lastColumn="0" w:noHBand="0" w:noVBand="1"/>
      </w:tblPr>
      <w:tblGrid>
        <w:gridCol w:w="7984"/>
        <w:gridCol w:w="803"/>
      </w:tblGrid>
      <w:tr w:rsidR="00887D5A" w:rsidRPr="00B57B36" w14:paraId="6647D105" w14:textId="77777777" w:rsidTr="00416CA4">
        <w:tc>
          <w:tcPr>
            <w:tcW w:w="7984" w:type="dxa"/>
            <w:shd w:val="clear" w:color="auto" w:fill="auto"/>
            <w:vAlign w:val="center"/>
          </w:tcPr>
          <w:p w14:paraId="2E474DE5" w14:textId="48B70A23" w:rsidR="00887D5A" w:rsidRPr="00887D5A" w:rsidRDefault="00DA0BBE" w:rsidP="00416CA4">
            <w:pPr>
              <w:pStyle w:val="CETEquation"/>
              <w:rPr>
                <w:rFonts w:ascii="Cambria Math" w:hAnsi="Cambria Math"/>
                <w:szCs w:val="24"/>
                <w:oMath/>
              </w:rPr>
            </w:pPr>
            <m:oMath>
              <m:sSub>
                <m:sSubPr>
                  <m:ctrlPr>
                    <w:rPr>
                      <w:rFonts w:ascii="Cambria Math" w:hAnsi="Cambria Math"/>
                      <w:i/>
                    </w:rPr>
                  </m:ctrlPr>
                </m:sSubPr>
                <m:e>
                  <m:r>
                    <w:rPr>
                      <w:rFonts w:ascii="Cambria Math" w:hAnsi="Cambria Math"/>
                    </w:rPr>
                    <m:t>m</m:t>
                  </m:r>
                </m:e>
                <m:sub>
                  <m:r>
                    <w:rPr>
                      <w:rFonts w:ascii="Cambria Math" w:hAnsi="Cambria Math"/>
                    </w:rPr>
                    <m:t>i,min</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i,max</m:t>
                  </m:r>
                </m:sub>
              </m:sSub>
            </m:oMath>
            <w:r w:rsidR="00887D5A">
              <w:rPr>
                <w:rFonts w:eastAsiaTheme="minorEastAsia"/>
                <w:szCs w:val="24"/>
              </w:rPr>
              <w:t xml:space="preserve"> </w:t>
            </w:r>
          </w:p>
        </w:tc>
        <w:tc>
          <w:tcPr>
            <w:tcW w:w="803" w:type="dxa"/>
            <w:shd w:val="clear" w:color="auto" w:fill="auto"/>
            <w:vAlign w:val="center"/>
          </w:tcPr>
          <w:p w14:paraId="008415E0" w14:textId="24006A1A" w:rsidR="00887D5A" w:rsidRPr="00B57B36" w:rsidRDefault="00887D5A" w:rsidP="00416CA4">
            <w:pPr>
              <w:pStyle w:val="CETEquation"/>
              <w:jc w:val="right"/>
            </w:pPr>
            <w:r w:rsidRPr="00B57B36">
              <w:t>(</w:t>
            </w:r>
            <w:r>
              <w:t>11</w:t>
            </w:r>
            <w:r w:rsidRPr="00B57B36">
              <w:t>)</w:t>
            </w:r>
          </w:p>
        </w:tc>
      </w:tr>
      <w:tr w:rsidR="00887D5A" w:rsidRPr="00B57B36" w14:paraId="279E8FAE" w14:textId="77777777" w:rsidTr="00887D5A">
        <w:tc>
          <w:tcPr>
            <w:tcW w:w="7984" w:type="dxa"/>
            <w:shd w:val="clear" w:color="auto" w:fill="auto"/>
            <w:vAlign w:val="center"/>
          </w:tcPr>
          <w:p w14:paraId="6CF015EE" w14:textId="2AB6B002" w:rsidR="00887D5A" w:rsidRPr="00887D5A" w:rsidRDefault="00DA0BBE" w:rsidP="00416CA4">
            <w:pPr>
              <w:pStyle w:val="CETEquation"/>
              <w:rPr>
                <w:rFonts w:ascii="Cambria Math" w:hAnsi="Cambria Math"/>
                <w:lang w:eastAsia="en-GB"/>
                <w:oMath/>
              </w:rPr>
            </w:pPr>
            <m:oMath>
              <m:sSub>
                <m:sSubPr>
                  <m:ctrlPr>
                    <w:rPr>
                      <w:rFonts w:ascii="Cambria Math" w:hAnsi="Cambria Math"/>
                      <w:i/>
                    </w:rPr>
                  </m:ctrlPr>
                </m:sSubPr>
                <m:e>
                  <m:r>
                    <w:rPr>
                      <w:rFonts w:ascii="Cambria Math" w:hAnsi="Cambria Math"/>
                    </w:rPr>
                    <m:t>m</m:t>
                  </m:r>
                </m:e>
                <m:sub>
                  <m:r>
                    <w:rPr>
                      <w:rFonts w:ascii="Cambria Math" w:hAnsi="Cambria Math"/>
                    </w:rPr>
                    <m:t>TOT</m:t>
                  </m:r>
                </m:sub>
              </m:sSub>
              <m:r>
                <w:rPr>
                  <w:rFonts w:ascii="Cambria Math" w:hAnsi="Cambria Math"/>
                </w:rPr>
                <m:t>=</m:t>
              </m:r>
              <m:nary>
                <m:naryPr>
                  <m:chr m:val="∑"/>
                  <m:limLoc m:val="subSup"/>
                  <m:ctrlPr>
                    <w:rPr>
                      <w:rFonts w:ascii="Cambria Math" w:hAnsi="Cambria Math"/>
                      <w:i/>
                    </w:rPr>
                  </m:ctrlPr>
                </m:naryPr>
                <m:sub>
                  <m:r>
                    <w:rPr>
                      <w:rFonts w:ascii="Cambria Math" w:hAnsi="Cambria Math"/>
                    </w:rPr>
                    <m:t>i=1</m:t>
                  </m:r>
                </m:sub>
                <m:sup>
                  <m:r>
                    <w:rPr>
                      <w:rFonts w:ascii="Cambria Math" w:hAnsi="Cambria Math"/>
                    </w:rPr>
                    <m:t>NC</m:t>
                  </m:r>
                </m:sup>
                <m:e>
                  <m:sSub>
                    <m:sSubPr>
                      <m:ctrlPr>
                        <w:rPr>
                          <w:rFonts w:ascii="Cambria Math" w:hAnsi="Cambria Math"/>
                          <w:i/>
                        </w:rPr>
                      </m:ctrlPr>
                    </m:sSubPr>
                    <m:e>
                      <m:r>
                        <w:rPr>
                          <w:rFonts w:ascii="Cambria Math" w:hAnsi="Cambria Math"/>
                        </w:rPr>
                        <m:t>m</m:t>
                      </m:r>
                    </m:e>
                    <m:sub>
                      <m:r>
                        <w:rPr>
                          <w:rFonts w:ascii="Cambria Math" w:hAnsi="Cambria Math"/>
                        </w:rPr>
                        <m:t>i</m:t>
                      </m:r>
                    </m:sub>
                  </m:sSub>
                </m:e>
              </m:nary>
            </m:oMath>
            <w:r w:rsidR="00887D5A">
              <w:rPr>
                <w:lang w:eastAsia="en-GB"/>
              </w:rPr>
              <w:t xml:space="preserve"> </w:t>
            </w:r>
          </w:p>
        </w:tc>
        <w:tc>
          <w:tcPr>
            <w:tcW w:w="803" w:type="dxa"/>
            <w:shd w:val="clear" w:color="auto" w:fill="auto"/>
            <w:vAlign w:val="center"/>
          </w:tcPr>
          <w:p w14:paraId="518648AA" w14:textId="4C927FCF" w:rsidR="00887D5A" w:rsidRPr="00B57B36" w:rsidRDefault="00887D5A" w:rsidP="00416CA4">
            <w:pPr>
              <w:pStyle w:val="CETEquation"/>
              <w:jc w:val="right"/>
            </w:pPr>
            <w:r w:rsidRPr="00B57B36">
              <w:t>(</w:t>
            </w:r>
            <w:r>
              <w:t>12</w:t>
            </w:r>
            <w:r w:rsidRPr="00B57B36">
              <w:t>)</w:t>
            </w:r>
          </w:p>
        </w:tc>
      </w:tr>
      <w:tr w:rsidR="00887D5A" w:rsidRPr="00B57B36" w14:paraId="6BD423ED" w14:textId="77777777" w:rsidTr="00887D5A">
        <w:tc>
          <w:tcPr>
            <w:tcW w:w="7984" w:type="dxa"/>
            <w:shd w:val="clear" w:color="auto" w:fill="auto"/>
            <w:vAlign w:val="center"/>
          </w:tcPr>
          <w:p w14:paraId="08FACB99" w14:textId="2695B02B" w:rsidR="00887D5A" w:rsidRPr="00887D5A" w:rsidRDefault="00DA0BBE" w:rsidP="00416CA4">
            <w:pPr>
              <w:pStyle w:val="CETEquation"/>
              <w:rPr>
                <w:rFonts w:ascii="Cambria Math" w:hAnsi="Cambria Math"/>
                <w:lang w:eastAsia="en-GB"/>
                <w:oMath/>
              </w:rPr>
            </w:pP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i</m:t>
                      </m:r>
                    </m:sub>
                  </m:sSub>
                </m:num>
                <m:den>
                  <m:sSub>
                    <m:sSubPr>
                      <m:ctrlPr>
                        <w:rPr>
                          <w:rFonts w:ascii="Cambria Math" w:hAnsi="Cambria Math"/>
                          <w:i/>
                        </w:rPr>
                      </m:ctrlPr>
                    </m:sSubPr>
                    <m:e>
                      <m:r>
                        <w:rPr>
                          <w:rFonts w:ascii="Cambria Math" w:hAnsi="Cambria Math"/>
                        </w:rPr>
                        <m:t>m</m:t>
                      </m:r>
                    </m:e>
                    <m:sub>
                      <m:r>
                        <w:rPr>
                          <w:rFonts w:ascii="Cambria Math" w:hAnsi="Cambria Math"/>
                        </w:rPr>
                        <m:t>TOT</m:t>
                      </m:r>
                    </m:sub>
                  </m:sSub>
                </m:den>
              </m:f>
              <m:r>
                <w:rPr>
                  <w:rFonts w:ascii="Cambria Math" w:hAnsi="Cambria Math"/>
                  <w:lang w:eastAsia="en-GB"/>
                </w:rPr>
                <m:t xml:space="preserve"> </m:t>
              </m:r>
            </m:oMath>
            <w:r w:rsidR="00887D5A">
              <w:rPr>
                <w:lang w:eastAsia="en-GB"/>
              </w:rPr>
              <w:t xml:space="preserve"> </w:t>
            </w:r>
          </w:p>
        </w:tc>
        <w:tc>
          <w:tcPr>
            <w:tcW w:w="803" w:type="dxa"/>
            <w:shd w:val="clear" w:color="auto" w:fill="auto"/>
            <w:vAlign w:val="center"/>
          </w:tcPr>
          <w:p w14:paraId="186167B4" w14:textId="31FA27E4" w:rsidR="00887D5A" w:rsidRPr="00B57B36" w:rsidRDefault="00887D5A" w:rsidP="00416CA4">
            <w:pPr>
              <w:pStyle w:val="CETEquation"/>
              <w:jc w:val="right"/>
            </w:pPr>
            <w:r w:rsidRPr="00B57B36">
              <w:t>(</w:t>
            </w:r>
            <w:r>
              <w:t>13</w:t>
            </w:r>
            <w:r w:rsidRPr="00B57B36">
              <w:t>)</w:t>
            </w:r>
          </w:p>
        </w:tc>
      </w:tr>
    </w:tbl>
    <w:p w14:paraId="1B920B5F" w14:textId="30E3E843" w:rsidR="00312F38" w:rsidRDefault="007B38F0" w:rsidP="007B38F0">
      <w:pPr>
        <w:rPr>
          <w:rFonts w:eastAsiaTheme="minorEastAsia"/>
          <w:iCs/>
        </w:rPr>
      </w:pPr>
      <w:r>
        <w:rPr>
          <w:rFonts w:eastAsiaTheme="minorEastAsia"/>
          <w:iCs/>
        </w:rPr>
        <w:t>The objective function can be then calculated and maximised by varying the load</w:t>
      </w:r>
      <w:r w:rsidR="000436A7">
        <w:rPr>
          <w:rFonts w:eastAsiaTheme="minorEastAsia"/>
          <w:iCs/>
        </w:rPr>
        <w:t xml:space="preserve"> values</w:t>
      </w:r>
      <w:r>
        <w:rPr>
          <w:rFonts w:eastAsiaTheme="minorEastAsia"/>
          <w:iCs/>
        </w:rPr>
        <w:t xml:space="preserve"> instead of their mass fractions. </w:t>
      </w:r>
      <w:r w:rsidR="000436A7">
        <w:rPr>
          <w:rFonts w:eastAsiaTheme="minorEastAsia"/>
          <w:iCs/>
        </w:rPr>
        <w:t>Consequently,</w:t>
      </w:r>
      <w:r>
        <w:rPr>
          <w:rFonts w:eastAsiaTheme="minorEastAsia"/>
          <w:iCs/>
        </w:rPr>
        <w:t xml:space="preserve"> the feedstock optimization is performed considering supply-chain requirements.</w:t>
      </w:r>
    </w:p>
    <w:p w14:paraId="723D7D05" w14:textId="6534A4B8" w:rsidR="007B38F0" w:rsidRDefault="007B38F0" w:rsidP="007B38F0">
      <w:pPr>
        <w:pStyle w:val="CETheadingx"/>
        <w:rPr>
          <w:rFonts w:eastAsiaTheme="minorEastAsia"/>
        </w:rPr>
      </w:pPr>
      <w:r>
        <w:rPr>
          <w:rFonts w:eastAsiaTheme="minorEastAsia"/>
        </w:rPr>
        <w:t>Continuous (CSTR) digestion reactor</w:t>
      </w:r>
    </w:p>
    <w:p w14:paraId="7FFCE23D" w14:textId="2950FF8C" w:rsidR="00FF6C50" w:rsidRDefault="007B38F0" w:rsidP="007B38F0">
      <w:pPr>
        <w:rPr>
          <w:rFonts w:eastAsiaTheme="minorEastAsia"/>
        </w:rPr>
      </w:pPr>
      <w:r w:rsidRPr="007B38F0">
        <w:rPr>
          <w:rFonts w:eastAsiaTheme="minorEastAsia"/>
        </w:rPr>
        <w:t xml:space="preserve">In case of a CSTR, the modification of the model is analogue to the discontinuous </w:t>
      </w:r>
      <w:r w:rsidR="000436A7">
        <w:rPr>
          <w:rFonts w:eastAsiaTheme="minorEastAsia"/>
        </w:rPr>
        <w:t xml:space="preserve">batch </w:t>
      </w:r>
      <w:r w:rsidRPr="007B38F0">
        <w:rPr>
          <w:rFonts w:eastAsiaTheme="minorEastAsia"/>
        </w:rPr>
        <w:t xml:space="preserve">case, except for the fact that instead of loads, massive flow rates (expressed in ton/d) are involved. In this case a total massive flow rate </w:t>
      </w:r>
      <m:oMath>
        <m:acc>
          <m:accPr>
            <m:chr m:val="̇"/>
            <m:ctrlPr>
              <w:rPr>
                <w:rFonts w:ascii="Cambria Math" w:hAnsi="Cambria Math" w:cs="Calibri"/>
                <w:iCs/>
              </w:rPr>
            </m:ctrlPr>
          </m:accPr>
          <m:e>
            <m:r>
              <m:rPr>
                <m:sty m:val="p"/>
              </m:rPr>
              <w:rPr>
                <w:rFonts w:ascii="Cambria Math" w:hAnsi="Cambria Math" w:cs="Calibri"/>
              </w:rPr>
              <m:t>m</m:t>
            </m:r>
          </m:e>
        </m:acc>
      </m:oMath>
      <w:r w:rsidR="000436A7" w:rsidRPr="000436A7">
        <w:rPr>
          <w:rFonts w:eastAsiaTheme="minorEastAsia"/>
          <w:iCs/>
          <w:vertAlign w:val="subscript"/>
        </w:rPr>
        <w:t>TOT</w:t>
      </w:r>
      <w:r w:rsidRPr="007B38F0">
        <w:rPr>
          <w:rFonts w:eastAsiaTheme="minorEastAsia"/>
        </w:rPr>
        <w:t xml:space="preserve"> must be fixed, and a lower and higher threshold for each flow rate </w:t>
      </w:r>
      <m:oMath>
        <m:acc>
          <m:accPr>
            <m:chr m:val="̇"/>
            <m:ctrlPr>
              <w:rPr>
                <w:rFonts w:ascii="Cambria Math" w:hAnsi="Cambria Math" w:cs="Calibri"/>
                <w:iCs/>
              </w:rPr>
            </m:ctrlPr>
          </m:accPr>
          <m:e>
            <m:r>
              <m:rPr>
                <m:sty m:val="p"/>
              </m:rPr>
              <w:rPr>
                <w:rFonts w:ascii="Cambria Math" w:hAnsi="Cambria Math" w:cs="Calibri"/>
              </w:rPr>
              <m:t>m</m:t>
            </m:r>
          </m:e>
        </m:acc>
      </m:oMath>
      <w:r w:rsidR="000436A7" w:rsidRPr="00F03FFC">
        <w:rPr>
          <w:rFonts w:eastAsiaTheme="minorEastAsia"/>
          <w:vertAlign w:val="subscript"/>
        </w:rPr>
        <w:t>i</w:t>
      </w:r>
      <w:r w:rsidRPr="007B38F0">
        <w:rPr>
          <w:rFonts w:eastAsiaTheme="minorEastAsia"/>
        </w:rPr>
        <w:t xml:space="preserve"> can be defined depending on the storage capability and availability of substrates. Equations </w:t>
      </w:r>
      <w:r w:rsidR="00887D5A">
        <w:rPr>
          <w:rFonts w:eastAsiaTheme="minorEastAsia"/>
        </w:rPr>
        <w:t>11 to 13</w:t>
      </w:r>
      <w:r w:rsidRPr="007B38F0">
        <w:rPr>
          <w:rFonts w:eastAsiaTheme="minorEastAsia"/>
        </w:rPr>
        <w:t xml:space="preserve">, therefore, are valid in this case too, and the objective function maximisation can be performed by varying the massive flow rates. </w:t>
      </w:r>
      <w:r w:rsidR="000436A7">
        <w:rPr>
          <w:rFonts w:eastAsiaTheme="minorEastAsia"/>
        </w:rPr>
        <w:t>Consequently</w:t>
      </w:r>
      <w:r w:rsidRPr="007B38F0">
        <w:rPr>
          <w:rFonts w:eastAsiaTheme="minorEastAsia"/>
        </w:rPr>
        <w:t xml:space="preserve">, optimal </w:t>
      </w:r>
      <w:r w:rsidR="000436A7">
        <w:rPr>
          <w:rFonts w:eastAsiaTheme="minorEastAsia"/>
        </w:rPr>
        <w:t>streams</w:t>
      </w:r>
      <w:r w:rsidRPr="007B38F0">
        <w:rPr>
          <w:rFonts w:eastAsiaTheme="minorEastAsia"/>
        </w:rPr>
        <w:t xml:space="preserve"> for each substrate, complying with the supply-chain requirements, are obtained. </w:t>
      </w:r>
      <w:r>
        <w:rPr>
          <w:noProof/>
        </w:rPr>
        <w:t>To validate the</w:t>
      </w:r>
      <w:r w:rsidRPr="007B38F0">
        <w:rPr>
          <w:rFonts w:eastAsiaTheme="minorEastAsia"/>
        </w:rPr>
        <w:t xml:space="preserve"> CSTR</w:t>
      </w:r>
      <w:r w:rsidR="00837B9C">
        <w:rPr>
          <w:rFonts w:eastAsiaTheme="minorEastAsia"/>
        </w:rPr>
        <w:t xml:space="preserve"> based</w:t>
      </w:r>
      <w:r w:rsidRPr="007B38F0">
        <w:rPr>
          <w:rFonts w:eastAsiaTheme="minorEastAsia"/>
        </w:rPr>
        <w:t xml:space="preserve"> model configuration, an industrial case-study was developed, based on data received from </w:t>
      </w:r>
      <w:proofErr w:type="spellStart"/>
      <w:r w:rsidRPr="007B38F0">
        <w:rPr>
          <w:rFonts w:eastAsiaTheme="minorEastAsia"/>
        </w:rPr>
        <w:t>T</w:t>
      </w:r>
      <w:r>
        <w:t>h</w:t>
      </w:r>
      <w:r w:rsidRPr="007B38F0">
        <w:rPr>
          <w:rFonts w:ascii="Calibri" w:hAnsi="Calibri" w:cs="Calibri"/>
        </w:rPr>
        <w:t>ӧ</w:t>
      </w:r>
      <w:r>
        <w:t>ni</w:t>
      </w:r>
      <w:proofErr w:type="spellEnd"/>
      <w:r>
        <w:t xml:space="preserve"> </w:t>
      </w:r>
      <w:proofErr w:type="spellStart"/>
      <w:r>
        <w:t>s.r.l</w:t>
      </w:r>
      <w:proofErr w:type="spellEnd"/>
      <w:r>
        <w:t>.</w:t>
      </w:r>
      <w:r w:rsidRPr="007B38F0">
        <w:rPr>
          <w:rFonts w:eastAsiaTheme="minorEastAsia"/>
        </w:rPr>
        <w:t xml:space="preserve"> </w:t>
      </w:r>
      <w:r w:rsidR="00837B9C">
        <w:rPr>
          <w:rFonts w:eastAsiaTheme="minorEastAsia"/>
        </w:rPr>
        <w:t xml:space="preserve">from </w:t>
      </w:r>
      <w:r w:rsidRPr="007B38F0">
        <w:rPr>
          <w:rFonts w:eastAsiaTheme="minorEastAsia"/>
        </w:rPr>
        <w:t xml:space="preserve">a 1 </w:t>
      </w:r>
      <w:r w:rsidR="00837B9C">
        <w:rPr>
          <w:rFonts w:eastAsiaTheme="minorEastAsia"/>
        </w:rPr>
        <w:t>M</w:t>
      </w:r>
      <w:r w:rsidRPr="007B38F0">
        <w:rPr>
          <w:rFonts w:eastAsiaTheme="minorEastAsia"/>
        </w:rPr>
        <w:t>W</w:t>
      </w:r>
      <w:r w:rsidR="00837B9C">
        <w:rPr>
          <w:rFonts w:eastAsiaTheme="minorEastAsia"/>
        </w:rPr>
        <w:t xml:space="preserve"> (~999 kW)</w:t>
      </w:r>
      <w:r w:rsidRPr="007B38F0">
        <w:rPr>
          <w:rFonts w:eastAsiaTheme="minorEastAsia"/>
        </w:rPr>
        <w:t xml:space="preserve"> biogas plant. </w:t>
      </w:r>
      <w:r w:rsidR="00837B9C">
        <w:rPr>
          <w:rFonts w:eastAsiaTheme="minorEastAsia"/>
        </w:rPr>
        <w:t xml:space="preserve">As result, </w:t>
      </w:r>
      <w:r w:rsidRPr="007B38F0">
        <w:rPr>
          <w:rFonts w:eastAsiaTheme="minorEastAsia"/>
        </w:rPr>
        <w:t>an optimized feedstock schedule over the month of January 2021 was calculated using th</w:t>
      </w:r>
      <w:r w:rsidR="00837B9C">
        <w:rPr>
          <w:rFonts w:eastAsiaTheme="minorEastAsia"/>
        </w:rPr>
        <w:t>is</w:t>
      </w:r>
      <w:r w:rsidRPr="007B38F0">
        <w:rPr>
          <w:rFonts w:eastAsiaTheme="minorEastAsia"/>
        </w:rPr>
        <w:t xml:space="preserve"> tool</w:t>
      </w:r>
      <w:r w:rsidR="00E805B8">
        <w:rPr>
          <w:rFonts w:eastAsiaTheme="minorEastAsia"/>
        </w:rPr>
        <w:t xml:space="preserve">, showing a rising value of BMP of </w:t>
      </w:r>
      <w:r w:rsidR="0049682B">
        <w:rPr>
          <w:rFonts w:eastAsiaTheme="minorEastAsia"/>
        </w:rPr>
        <w:t xml:space="preserve">about 25%, reaching a value of 420 </w:t>
      </w:r>
      <w:r w:rsidR="0049682B">
        <w:rPr>
          <w:rFonts w:eastAsiaTheme="minorEastAsia"/>
          <w:lang w:eastAsia="en-GB"/>
        </w:rPr>
        <w:t>mL/g</w:t>
      </w:r>
      <w:r w:rsidR="0049682B" w:rsidRPr="006942B8">
        <w:rPr>
          <w:rFonts w:eastAsiaTheme="minorEastAsia"/>
          <w:vertAlign w:val="subscript"/>
          <w:lang w:eastAsia="en-GB"/>
        </w:rPr>
        <w:t>VS</w:t>
      </w:r>
      <w:r w:rsidR="0049682B">
        <w:rPr>
          <w:rFonts w:eastAsiaTheme="minorEastAsia"/>
          <w:vertAlign w:val="subscript"/>
          <w:lang w:eastAsia="en-GB"/>
        </w:rPr>
        <w:t xml:space="preserve"> </w:t>
      </w:r>
      <w:r w:rsidR="0049682B">
        <w:rPr>
          <w:rFonts w:eastAsiaTheme="minorEastAsia"/>
        </w:rPr>
        <w:t xml:space="preserve">from the original 340 </w:t>
      </w:r>
      <w:r w:rsidR="0049682B">
        <w:rPr>
          <w:rFonts w:eastAsiaTheme="minorEastAsia"/>
          <w:lang w:eastAsia="en-GB"/>
        </w:rPr>
        <w:t>mL/g</w:t>
      </w:r>
      <w:r w:rsidR="0049682B" w:rsidRPr="006942B8">
        <w:rPr>
          <w:rFonts w:eastAsiaTheme="minorEastAsia"/>
          <w:vertAlign w:val="subscript"/>
          <w:lang w:eastAsia="en-GB"/>
        </w:rPr>
        <w:t>VS</w:t>
      </w:r>
      <w:r w:rsidR="0049682B">
        <w:rPr>
          <w:rFonts w:eastAsiaTheme="minorEastAsia"/>
        </w:rPr>
        <w:t xml:space="preserve"> (Fig. </w:t>
      </w:r>
      <w:r w:rsidR="00DA0BBE">
        <w:rPr>
          <w:rFonts w:eastAsiaTheme="minorEastAsia"/>
        </w:rPr>
        <w:t>3</w:t>
      </w:r>
      <w:r w:rsidR="0049682B">
        <w:rPr>
          <w:rFonts w:eastAsiaTheme="minorEastAsia"/>
        </w:rPr>
        <w:t>).</w:t>
      </w:r>
    </w:p>
    <w:p w14:paraId="50EC45AC" w14:textId="77777777" w:rsidR="00E31926" w:rsidRDefault="00E31926" w:rsidP="007B38F0">
      <w:pPr>
        <w:rPr>
          <w:rFonts w:eastAsiaTheme="minorEastAsia"/>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257"/>
      </w:tblGrid>
      <w:tr w:rsidR="000C5F2D" w14:paraId="191C8741" w14:textId="77777777" w:rsidTr="000C5F2D">
        <w:tc>
          <w:tcPr>
            <w:tcW w:w="3828" w:type="dxa"/>
          </w:tcPr>
          <w:p w14:paraId="520DD31F" w14:textId="5480B3F3" w:rsidR="000C5F2D" w:rsidRDefault="000C5F2D" w:rsidP="007B38F0">
            <w:pPr>
              <w:rPr>
                <w:rFonts w:eastAsiaTheme="minorEastAsia"/>
              </w:rPr>
            </w:pPr>
            <w:r>
              <w:rPr>
                <w:rFonts w:eastAsiaTheme="minorEastAsia"/>
                <w:noProof/>
              </w:rPr>
              <w:drawing>
                <wp:inline distT="0" distB="0" distL="0" distR="0" wp14:anchorId="68844558" wp14:editId="70DF7EF2">
                  <wp:extent cx="2803446" cy="1440000"/>
                  <wp:effectExtent l="0" t="0" r="3810" b="0"/>
                  <wp:docPr id="14" name="Elemento grafic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emento grafico 14"/>
                          <pic:cNvPicPr/>
                        </pic:nvPicPr>
                        <pic:blipFill rotWithShape="1">
                          <a:blip r:embed="rId20">
                            <a:extLst>
                              <a:ext uri="{96DAC541-7B7A-43D3-8B79-37D633B846F1}">
                                <asvg:svgBlip xmlns:asvg="http://schemas.microsoft.com/office/drawing/2016/SVG/main" r:embed="rId21"/>
                              </a:ext>
                            </a:extLst>
                          </a:blip>
                          <a:srcRect t="-1603" b="-276"/>
                          <a:stretch/>
                        </pic:blipFill>
                        <pic:spPr bwMode="auto">
                          <a:xfrm>
                            <a:off x="0" y="0"/>
                            <a:ext cx="2803446"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Pr>
          <w:p w14:paraId="77692E27" w14:textId="739ADC6E" w:rsidR="000C5F2D" w:rsidRDefault="000C5F2D" w:rsidP="007B38F0">
            <w:pPr>
              <w:rPr>
                <w:rFonts w:eastAsiaTheme="minorEastAsia"/>
              </w:rPr>
            </w:pPr>
            <w:r>
              <w:rPr>
                <w:rFonts w:eastAsiaTheme="minorEastAsia"/>
                <w:noProof/>
              </w:rPr>
              <w:drawing>
                <wp:inline distT="0" distB="0" distL="0" distR="0" wp14:anchorId="17076FCF" wp14:editId="09717452">
                  <wp:extent cx="2629991" cy="1440000"/>
                  <wp:effectExtent l="0" t="0" r="0" b="0"/>
                  <wp:docPr id="15" name="Elemento grafic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lemento grafico 15"/>
                          <pic:cNvPicPr/>
                        </pic:nvPicPr>
                        <pic:blipFill rotWithShape="1">
                          <a:blip r:embed="rId22">
                            <a:extLst>
                              <a:ext uri="{96DAC541-7B7A-43D3-8B79-37D633B846F1}">
                                <asvg:svgBlip xmlns:asvg="http://schemas.microsoft.com/office/drawing/2016/SVG/main" r:embed="rId23"/>
                              </a:ext>
                            </a:extLst>
                          </a:blip>
                          <a:srcRect b="347"/>
                          <a:stretch/>
                        </pic:blipFill>
                        <pic:spPr bwMode="auto">
                          <a:xfrm>
                            <a:off x="0" y="0"/>
                            <a:ext cx="2629991" cy="1440000"/>
                          </a:xfrm>
                          <a:prstGeom prst="rect">
                            <a:avLst/>
                          </a:prstGeom>
                          <a:ln>
                            <a:noFill/>
                          </a:ln>
                          <a:extLst>
                            <a:ext uri="{53640926-AAD7-44D8-BBD7-CCE9431645EC}">
                              <a14:shadowObscured xmlns:a14="http://schemas.microsoft.com/office/drawing/2010/main"/>
                            </a:ext>
                          </a:extLst>
                        </pic:spPr>
                      </pic:pic>
                    </a:graphicData>
                  </a:graphic>
                </wp:inline>
              </w:drawing>
            </w:r>
          </w:p>
        </w:tc>
      </w:tr>
      <w:tr w:rsidR="000C5F2D" w14:paraId="35F17858" w14:textId="77777777" w:rsidTr="000C5F2D">
        <w:tc>
          <w:tcPr>
            <w:tcW w:w="3828" w:type="dxa"/>
          </w:tcPr>
          <w:p w14:paraId="767D9077" w14:textId="577AB530" w:rsidR="000C5F2D" w:rsidRDefault="000C5F2D" w:rsidP="000C5F2D">
            <w:pPr>
              <w:jc w:val="center"/>
              <w:rPr>
                <w:rFonts w:eastAsiaTheme="minorEastAsia"/>
              </w:rPr>
            </w:pPr>
            <w:r>
              <w:rPr>
                <w:rFonts w:eastAsiaTheme="minorEastAsia"/>
              </w:rPr>
              <w:t>(a)</w:t>
            </w:r>
          </w:p>
        </w:tc>
        <w:tc>
          <w:tcPr>
            <w:tcW w:w="3827" w:type="dxa"/>
          </w:tcPr>
          <w:p w14:paraId="4A1C2CDA" w14:textId="08D5628A" w:rsidR="000C5F2D" w:rsidRDefault="000C5F2D" w:rsidP="000C5F2D">
            <w:pPr>
              <w:jc w:val="center"/>
              <w:rPr>
                <w:rFonts w:eastAsiaTheme="minorEastAsia"/>
              </w:rPr>
            </w:pPr>
            <w:r>
              <w:rPr>
                <w:rFonts w:eastAsiaTheme="minorEastAsia"/>
              </w:rPr>
              <w:t>(b)</w:t>
            </w:r>
          </w:p>
        </w:tc>
      </w:tr>
    </w:tbl>
    <w:p w14:paraId="7C42AA1F" w14:textId="79D61EEC" w:rsidR="00C41032" w:rsidRPr="000C5F2D" w:rsidRDefault="00C41032" w:rsidP="00C41032">
      <w:pPr>
        <w:pStyle w:val="CETCaption"/>
        <w:rPr>
          <w:szCs w:val="16"/>
        </w:rPr>
      </w:pPr>
      <w:r>
        <w:t xml:space="preserve">Figure </w:t>
      </w:r>
      <w:r w:rsidR="00DA0BBE">
        <w:t>3</w:t>
      </w:r>
      <w:r>
        <w:t xml:space="preserve">. </w:t>
      </w:r>
      <w:r w:rsidRPr="0022085A">
        <w:rPr>
          <w:szCs w:val="16"/>
        </w:rPr>
        <w:t>Actual</w:t>
      </w:r>
      <w:r w:rsidR="000C5F2D">
        <w:rPr>
          <w:szCs w:val="16"/>
        </w:rPr>
        <w:t xml:space="preserve"> (a)</w:t>
      </w:r>
      <w:r w:rsidRPr="0022085A">
        <w:rPr>
          <w:szCs w:val="16"/>
        </w:rPr>
        <w:t xml:space="preserve"> </w:t>
      </w:r>
      <w:r>
        <w:rPr>
          <w:szCs w:val="16"/>
        </w:rPr>
        <w:t>m</w:t>
      </w:r>
      <w:r w:rsidRPr="0022085A">
        <w:rPr>
          <w:szCs w:val="16"/>
        </w:rPr>
        <w:t xml:space="preserve">ass </w:t>
      </w:r>
      <w:r>
        <w:rPr>
          <w:szCs w:val="16"/>
        </w:rPr>
        <w:t>f</w:t>
      </w:r>
      <w:r w:rsidRPr="0022085A">
        <w:rPr>
          <w:szCs w:val="16"/>
        </w:rPr>
        <w:t xml:space="preserve">low </w:t>
      </w:r>
      <w:r>
        <w:rPr>
          <w:szCs w:val="16"/>
        </w:rPr>
        <w:t>r</w:t>
      </w:r>
      <w:r w:rsidRPr="0022085A">
        <w:rPr>
          <w:szCs w:val="16"/>
        </w:rPr>
        <w:t xml:space="preserve">ates and </w:t>
      </w:r>
      <w:r>
        <w:rPr>
          <w:szCs w:val="16"/>
        </w:rPr>
        <w:t>o</w:t>
      </w:r>
      <w:r w:rsidRPr="0022085A">
        <w:rPr>
          <w:szCs w:val="16"/>
        </w:rPr>
        <w:t>ptimized</w:t>
      </w:r>
      <w:r w:rsidR="000C5F2D">
        <w:rPr>
          <w:szCs w:val="16"/>
        </w:rPr>
        <w:t xml:space="preserve"> (b)</w:t>
      </w:r>
      <w:r w:rsidRPr="0022085A">
        <w:rPr>
          <w:szCs w:val="16"/>
        </w:rPr>
        <w:t xml:space="preserve"> </w:t>
      </w:r>
      <w:r>
        <w:rPr>
          <w:szCs w:val="16"/>
        </w:rPr>
        <w:t>m</w:t>
      </w:r>
      <w:r w:rsidRPr="0022085A">
        <w:rPr>
          <w:szCs w:val="16"/>
        </w:rPr>
        <w:t xml:space="preserve">ass </w:t>
      </w:r>
      <w:r>
        <w:rPr>
          <w:szCs w:val="16"/>
        </w:rPr>
        <w:t>f</w:t>
      </w:r>
      <w:r w:rsidRPr="0022085A">
        <w:rPr>
          <w:szCs w:val="16"/>
        </w:rPr>
        <w:t xml:space="preserve">low </w:t>
      </w:r>
      <w:r>
        <w:rPr>
          <w:szCs w:val="16"/>
        </w:rPr>
        <w:t>r</w:t>
      </w:r>
      <w:r w:rsidRPr="0022085A">
        <w:rPr>
          <w:szCs w:val="16"/>
        </w:rPr>
        <w:t>ates during the month of January</w:t>
      </w:r>
      <w:r>
        <w:rPr>
          <w:szCs w:val="16"/>
        </w:rPr>
        <w:t xml:space="preserve"> 2021.</w:t>
      </w:r>
    </w:p>
    <w:p w14:paraId="40738B71" w14:textId="1FF468FC" w:rsidR="007B38F0" w:rsidRDefault="007B38F0" w:rsidP="007B38F0">
      <w:pPr>
        <w:pStyle w:val="CETHeading1"/>
        <w:rPr>
          <w:rFonts w:eastAsiaTheme="minorEastAsia"/>
          <w:lang w:eastAsia="en-GB"/>
        </w:rPr>
      </w:pPr>
      <w:r>
        <w:rPr>
          <w:rFonts w:eastAsiaTheme="minorEastAsia"/>
          <w:lang w:eastAsia="en-GB"/>
        </w:rPr>
        <w:t>Conclusions</w:t>
      </w:r>
      <w:r w:rsidR="0024742E">
        <w:rPr>
          <w:rFonts w:eastAsiaTheme="minorEastAsia"/>
          <w:lang w:eastAsia="en-GB"/>
        </w:rPr>
        <w:t xml:space="preserve"> and Future Developments</w:t>
      </w:r>
    </w:p>
    <w:p w14:paraId="2FD53033" w14:textId="5BF3F5B6" w:rsidR="00CB1192" w:rsidRDefault="007B38F0" w:rsidP="007B38F0">
      <w:r w:rsidRPr="007B38F0">
        <w:rPr>
          <w:rFonts w:eastAsiaTheme="minorEastAsia"/>
        </w:rPr>
        <w:t>The aim of the project was to develop an optimization tool able to calculate in a trustworthy way the optimal feedstock’s conditions in different industrial settings. The optimization model was developed starting from a database obtained by the analysis and averaging of data got from more than eighty scientific papers and was first validated with the comparison with batch experimental tests. Then, it was made suitable for applications at industrial level to comply to supply-chain issues. The final optimization model demonstrated to yield satisfactory and practical results, and was validated by the comparison with industrial data provided by</w:t>
      </w:r>
      <w:r>
        <w:t xml:space="preserve"> </w:t>
      </w:r>
      <w:proofErr w:type="spellStart"/>
      <w:r>
        <w:t>Th</w:t>
      </w:r>
      <w:r w:rsidRPr="007B38F0">
        <w:rPr>
          <w:rFonts w:ascii="Calibri" w:hAnsi="Calibri" w:cs="Calibri"/>
        </w:rPr>
        <w:t>ӧ</w:t>
      </w:r>
      <w:r>
        <w:t>ni</w:t>
      </w:r>
      <w:proofErr w:type="spellEnd"/>
      <w:r>
        <w:t xml:space="preserve"> </w:t>
      </w:r>
      <w:proofErr w:type="spellStart"/>
      <w:r>
        <w:t>s.r.l</w:t>
      </w:r>
      <w:proofErr w:type="spellEnd"/>
      <w:r>
        <w:t xml:space="preserve">. To obtain </w:t>
      </w:r>
      <w:r>
        <w:lastRenderedPageBreak/>
        <w:t xml:space="preserve">even more reliable and flexible results, improvements should be done to the model. Some of the possible improvements are the addition of information about the localization of the plant, </w:t>
      </w:r>
      <w:r w:rsidR="00F03FFC">
        <w:t>to</w:t>
      </w:r>
      <w:r>
        <w:t xml:space="preserve"> extend the consideration of supply-chain factors; connecting the tool to anaerobic digestion models such as ADM1; the introduction of </w:t>
      </w:r>
      <w:r w:rsidRPr="004F32DA">
        <w:rPr>
          <w:i/>
          <w:iCs/>
        </w:rPr>
        <w:t>correction factors</w:t>
      </w:r>
      <w:r>
        <w:t xml:space="preserve"> in the objective function to predict the synergy between substrates; extending the objective function expression to an indefinite number of substrates; validating the model with dedicated experimental tests.</w:t>
      </w:r>
    </w:p>
    <w:p w14:paraId="5E94463A" w14:textId="5C0DEDAC" w:rsidR="007B38F0" w:rsidRDefault="007B38F0" w:rsidP="007B38F0">
      <w:pPr>
        <w:pStyle w:val="CETHeading1"/>
      </w:pPr>
      <w:r>
        <w:t>Acknowledgments</w:t>
      </w:r>
    </w:p>
    <w:p w14:paraId="46C598EB" w14:textId="4CDC5E02" w:rsidR="00E7063A" w:rsidRDefault="007B38F0" w:rsidP="00C41032">
      <w:pPr>
        <w:pStyle w:val="CETBodytext"/>
        <w:rPr>
          <w:lang w:val="en-GB"/>
        </w:rPr>
      </w:pPr>
      <w:r>
        <w:t xml:space="preserve">Acknowledgments go to </w:t>
      </w:r>
      <w:r>
        <w:rPr>
          <w:lang w:val="en-GB"/>
        </w:rPr>
        <w:t>Th</w:t>
      </w:r>
      <w:r w:rsidRPr="001B7A0E">
        <w:rPr>
          <w:rFonts w:ascii="Calibri" w:hAnsi="Calibri" w:cs="Calibri"/>
        </w:rPr>
        <w:t>ӧ</w:t>
      </w:r>
      <w:proofErr w:type="spellStart"/>
      <w:r>
        <w:rPr>
          <w:lang w:val="en-GB"/>
        </w:rPr>
        <w:t>ni</w:t>
      </w:r>
      <w:proofErr w:type="spellEnd"/>
      <w:r>
        <w:rPr>
          <w:lang w:val="en-GB"/>
        </w:rPr>
        <w:t xml:space="preserve"> </w:t>
      </w:r>
      <w:proofErr w:type="spellStart"/>
      <w:r>
        <w:rPr>
          <w:lang w:val="en-GB"/>
        </w:rPr>
        <w:t>s.r.l</w:t>
      </w:r>
      <w:proofErr w:type="spellEnd"/>
      <w:r>
        <w:rPr>
          <w:lang w:val="en-GB"/>
        </w:rPr>
        <w:t xml:space="preserve"> for the sharing of data through which the model could be evaluated.</w:t>
      </w:r>
    </w:p>
    <w:p w14:paraId="76B5A213" w14:textId="57E3B298" w:rsidR="00E7063A" w:rsidRDefault="00E7063A" w:rsidP="00E7063A">
      <w:pPr>
        <w:pStyle w:val="CETHeading1"/>
        <w:numPr>
          <w:ilvl w:val="0"/>
          <w:numId w:val="0"/>
        </w:numPr>
      </w:pPr>
      <w:r>
        <w:t>References</w:t>
      </w:r>
    </w:p>
    <w:p w14:paraId="37169C95" w14:textId="2C6D8572" w:rsidR="005C1396" w:rsidRPr="005C1396" w:rsidRDefault="00E7063A" w:rsidP="005C1396">
      <w:pPr>
        <w:widowControl w:val="0"/>
        <w:autoSpaceDE w:val="0"/>
        <w:autoSpaceDN w:val="0"/>
        <w:adjustRightInd w:val="0"/>
        <w:spacing w:line="240" w:lineRule="auto"/>
        <w:ind w:left="480" w:hanging="480"/>
        <w:rPr>
          <w:rFonts w:cs="Arial"/>
          <w:noProof/>
        </w:rPr>
      </w:pPr>
      <w:r>
        <w:fldChar w:fldCharType="begin" w:fldLock="1"/>
      </w:r>
      <w:r w:rsidRPr="00F34B55">
        <w:rPr>
          <w:lang w:val="en-US"/>
        </w:rPr>
        <w:instrText xml:space="preserve">ADDIN Mendeley Bibliography CSL_BIBLIOGRAPHY </w:instrText>
      </w:r>
      <w:r>
        <w:fldChar w:fldCharType="separate"/>
      </w:r>
      <w:r w:rsidR="005C1396" w:rsidRPr="005C1396">
        <w:rPr>
          <w:rFonts w:cs="Arial"/>
          <w:noProof/>
        </w:rPr>
        <w:t>Carrere, H., Antonopoulou, G., Affes, R., Passos, F., Battimelli, A., Lyberatos, G., Ferrer, I., 2016. Review of feedstock pretreatment strategies for improved anaerobic digestion: From lab-scale research to full-scale application. Bioresour</w:t>
      </w:r>
      <w:r w:rsidR="00D473C5">
        <w:rPr>
          <w:rFonts w:cs="Arial"/>
          <w:noProof/>
        </w:rPr>
        <w:t>ce</w:t>
      </w:r>
      <w:r w:rsidR="005C1396" w:rsidRPr="005C1396">
        <w:rPr>
          <w:rFonts w:cs="Arial"/>
          <w:noProof/>
        </w:rPr>
        <w:t xml:space="preserve"> Techno</w:t>
      </w:r>
      <w:r w:rsidR="00D473C5">
        <w:rPr>
          <w:rFonts w:cs="Arial"/>
          <w:noProof/>
        </w:rPr>
        <w:t>logy</w:t>
      </w:r>
      <w:r w:rsidR="005C1396" w:rsidRPr="005C1396">
        <w:rPr>
          <w:rFonts w:cs="Arial"/>
          <w:noProof/>
        </w:rPr>
        <w:t xml:space="preserve"> 199, 386–397. https://doi.org/10.1016/j.biortech.2015.09.007</w:t>
      </w:r>
    </w:p>
    <w:p w14:paraId="7981D339" w14:textId="3B57CC42" w:rsidR="005C1396" w:rsidRPr="005C1396" w:rsidRDefault="005C1396" w:rsidP="005C1396">
      <w:pPr>
        <w:widowControl w:val="0"/>
        <w:autoSpaceDE w:val="0"/>
        <w:autoSpaceDN w:val="0"/>
        <w:adjustRightInd w:val="0"/>
        <w:spacing w:line="240" w:lineRule="auto"/>
        <w:ind w:left="480" w:hanging="480"/>
        <w:rPr>
          <w:rFonts w:cs="Arial"/>
          <w:noProof/>
        </w:rPr>
      </w:pPr>
      <w:r w:rsidRPr="005C1396">
        <w:rPr>
          <w:rFonts w:cs="Arial"/>
          <w:noProof/>
        </w:rPr>
        <w:t>Dennehy, C., Lawlor, P.G., Croize, T., Jiang, Y., Morrison, L., Gardiner, G.E., Zhan, X., 2016. Synergism and effect of high initial volatile fatty acid concentrations during food waste and pig manure anaerobic co-digestion. Waste Manag</w:t>
      </w:r>
      <w:r w:rsidR="00E94517">
        <w:rPr>
          <w:rFonts w:cs="Arial"/>
          <w:noProof/>
        </w:rPr>
        <w:t>ement</w:t>
      </w:r>
      <w:r w:rsidRPr="005C1396">
        <w:rPr>
          <w:rFonts w:cs="Arial"/>
          <w:noProof/>
        </w:rPr>
        <w:t xml:space="preserve"> 56, 173–180. https://doi.org/10.1016/j.wasman.2016.06.032</w:t>
      </w:r>
    </w:p>
    <w:p w14:paraId="04911C69" w14:textId="40555C1B" w:rsidR="005C1396" w:rsidRPr="005C1396" w:rsidRDefault="005C1396" w:rsidP="005C1396">
      <w:pPr>
        <w:widowControl w:val="0"/>
        <w:autoSpaceDE w:val="0"/>
        <w:autoSpaceDN w:val="0"/>
        <w:adjustRightInd w:val="0"/>
        <w:spacing w:line="240" w:lineRule="auto"/>
        <w:ind w:left="480" w:hanging="480"/>
        <w:rPr>
          <w:rFonts w:cs="Arial"/>
          <w:noProof/>
        </w:rPr>
      </w:pPr>
      <w:r w:rsidRPr="005C1396">
        <w:rPr>
          <w:rFonts w:cs="Arial"/>
          <w:noProof/>
        </w:rPr>
        <w:t>García-Gen, S., Rodríguez, J., Lema, J.M., 2015. Control strategy for maximum anaerobic co-digestion performance. Water Res</w:t>
      </w:r>
      <w:r w:rsidR="009B64C7">
        <w:rPr>
          <w:rFonts w:cs="Arial"/>
          <w:noProof/>
        </w:rPr>
        <w:t>earch</w:t>
      </w:r>
      <w:r w:rsidRPr="005C1396">
        <w:rPr>
          <w:rFonts w:cs="Arial"/>
          <w:noProof/>
        </w:rPr>
        <w:t xml:space="preserve"> 80, 209–216. https://doi.org/10.1016/j.watres.2015.05.029</w:t>
      </w:r>
    </w:p>
    <w:p w14:paraId="4DFB8E6F" w14:textId="1F83538B" w:rsidR="005C1396" w:rsidRPr="005C1396" w:rsidRDefault="005C1396" w:rsidP="005C1396">
      <w:pPr>
        <w:widowControl w:val="0"/>
        <w:autoSpaceDE w:val="0"/>
        <w:autoSpaceDN w:val="0"/>
        <w:adjustRightInd w:val="0"/>
        <w:spacing w:line="240" w:lineRule="auto"/>
        <w:ind w:left="480" w:hanging="480"/>
        <w:rPr>
          <w:rFonts w:cs="Arial"/>
          <w:noProof/>
        </w:rPr>
      </w:pPr>
      <w:r w:rsidRPr="005C1396">
        <w:rPr>
          <w:rFonts w:cs="Arial"/>
          <w:noProof/>
        </w:rPr>
        <w:t xml:space="preserve">Hidalgo, D., Martín-Marroquín, J.M., 2015. Biochemical methane potential of livestock and agri-food waste streams in the Castilla y León Region (Spain). </w:t>
      </w:r>
      <w:r w:rsidR="009B64C7" w:rsidRPr="009B64C7">
        <w:rPr>
          <w:rFonts w:ascii="Calibri" w:hAnsi="Calibri" w:cs="Calibri"/>
          <w:noProof/>
        </w:rPr>
        <w:t>﻿</w:t>
      </w:r>
      <w:r w:rsidR="009B64C7" w:rsidRPr="009B64C7">
        <w:rPr>
          <w:rFonts w:cs="Arial"/>
          <w:noProof/>
        </w:rPr>
        <w:t>Food Research International</w:t>
      </w:r>
      <w:r w:rsidR="009B64C7">
        <w:rPr>
          <w:rFonts w:cs="Arial"/>
          <w:noProof/>
        </w:rPr>
        <w:t xml:space="preserve"> </w:t>
      </w:r>
      <w:r w:rsidRPr="005C1396">
        <w:rPr>
          <w:rFonts w:cs="Arial"/>
          <w:noProof/>
        </w:rPr>
        <w:t>73, 226–233. https://doi.org/10.1016/j.foodres.2014.12.044</w:t>
      </w:r>
    </w:p>
    <w:p w14:paraId="46940B32" w14:textId="4A6BF302" w:rsidR="005C1396" w:rsidRPr="005C1396" w:rsidRDefault="005C1396" w:rsidP="005C1396">
      <w:pPr>
        <w:widowControl w:val="0"/>
        <w:autoSpaceDE w:val="0"/>
        <w:autoSpaceDN w:val="0"/>
        <w:adjustRightInd w:val="0"/>
        <w:spacing w:line="240" w:lineRule="auto"/>
        <w:ind w:left="480" w:hanging="480"/>
        <w:rPr>
          <w:rFonts w:cs="Arial"/>
          <w:noProof/>
        </w:rPr>
      </w:pPr>
      <w:r w:rsidRPr="005C1396">
        <w:rPr>
          <w:rFonts w:cs="Arial"/>
          <w:noProof/>
        </w:rPr>
        <w:t>Kainthola, J., Kalamdhad, A.S., Goud, V. V., 2020. Optimization of process parameters for accelerated methane yield from anaerobic co-digestion of rice straw and food waste. Renew</w:t>
      </w:r>
      <w:r w:rsidR="009B64C7">
        <w:rPr>
          <w:rFonts w:cs="Arial"/>
          <w:noProof/>
        </w:rPr>
        <w:t>able</w:t>
      </w:r>
      <w:r w:rsidRPr="005C1396">
        <w:rPr>
          <w:rFonts w:cs="Arial"/>
          <w:noProof/>
        </w:rPr>
        <w:t xml:space="preserve"> Energy 149, 1352–1359. https://doi.org/10.1016/j.renene.2019.10.124</w:t>
      </w:r>
    </w:p>
    <w:p w14:paraId="387E52F5" w14:textId="77777777" w:rsidR="005C1396" w:rsidRPr="005C1396" w:rsidRDefault="005C1396" w:rsidP="005C1396">
      <w:pPr>
        <w:widowControl w:val="0"/>
        <w:autoSpaceDE w:val="0"/>
        <w:autoSpaceDN w:val="0"/>
        <w:adjustRightInd w:val="0"/>
        <w:spacing w:line="240" w:lineRule="auto"/>
        <w:ind w:left="480" w:hanging="480"/>
        <w:rPr>
          <w:rFonts w:cs="Arial"/>
          <w:noProof/>
        </w:rPr>
      </w:pPr>
      <w:r w:rsidRPr="005C1396">
        <w:rPr>
          <w:rFonts w:cs="Arial"/>
          <w:noProof/>
        </w:rPr>
        <w:t>Kalra, M.S., Panwar, J.S., 1986. Anaerobic Digestion of Rice Crop Residues, Agricultural Wastes.</w:t>
      </w:r>
    </w:p>
    <w:p w14:paraId="61415A04" w14:textId="77777777" w:rsidR="005C1396" w:rsidRPr="005C1396" w:rsidRDefault="005C1396" w:rsidP="005C1396">
      <w:pPr>
        <w:widowControl w:val="0"/>
        <w:autoSpaceDE w:val="0"/>
        <w:autoSpaceDN w:val="0"/>
        <w:adjustRightInd w:val="0"/>
        <w:spacing w:line="240" w:lineRule="auto"/>
        <w:ind w:left="480" w:hanging="480"/>
        <w:rPr>
          <w:rFonts w:cs="Arial"/>
          <w:noProof/>
        </w:rPr>
      </w:pPr>
      <w:r w:rsidRPr="005C1396">
        <w:rPr>
          <w:rFonts w:cs="Arial"/>
          <w:noProof/>
        </w:rPr>
        <w:t>Nazifa, T.H., Cata Saady, N.M., Bazan, C., Zendehboudi, S., Aftab, A., Albayati, T.M., 2021. Anaerobic digestion of blood from slaughtered livestock: A review. Energies. https://doi.org/10.3390/en14185666</w:t>
      </w:r>
    </w:p>
    <w:p w14:paraId="23274391" w14:textId="06F227EA" w:rsidR="005C1396" w:rsidRPr="005C1396" w:rsidRDefault="005C1396" w:rsidP="005C1396">
      <w:pPr>
        <w:widowControl w:val="0"/>
        <w:autoSpaceDE w:val="0"/>
        <w:autoSpaceDN w:val="0"/>
        <w:adjustRightInd w:val="0"/>
        <w:spacing w:line="240" w:lineRule="auto"/>
        <w:ind w:left="480" w:hanging="480"/>
        <w:rPr>
          <w:rFonts w:cs="Arial"/>
          <w:noProof/>
        </w:rPr>
      </w:pPr>
      <w:r w:rsidRPr="00F34B55">
        <w:rPr>
          <w:rFonts w:cs="Arial"/>
          <w:noProof/>
          <w:lang w:val="it-IT"/>
        </w:rPr>
        <w:t xml:space="preserve">Palma-Heredia, D., Verdaguer, M., Molinos-Senante, M., Poch, M., Cugueró-Escofet, M., 2021. </w:t>
      </w:r>
      <w:r w:rsidRPr="005C1396">
        <w:rPr>
          <w:rFonts w:cs="Arial"/>
          <w:noProof/>
        </w:rPr>
        <w:t>Optimised blending for anaerobic co-digestion using ant colony approach: Besòs river basin case study. Renew</w:t>
      </w:r>
      <w:r w:rsidR="008C0402">
        <w:rPr>
          <w:rFonts w:cs="Arial"/>
          <w:noProof/>
        </w:rPr>
        <w:t>able</w:t>
      </w:r>
      <w:r w:rsidRPr="005C1396">
        <w:rPr>
          <w:rFonts w:cs="Arial"/>
          <w:noProof/>
        </w:rPr>
        <w:t xml:space="preserve"> Energy 168, 141–150. https://doi.org/10.1016/j.renene.2020.12.064</w:t>
      </w:r>
    </w:p>
    <w:p w14:paraId="3457CBAC" w14:textId="46462918" w:rsidR="005C1396" w:rsidRPr="005C1396" w:rsidRDefault="005C1396" w:rsidP="005C1396">
      <w:pPr>
        <w:widowControl w:val="0"/>
        <w:autoSpaceDE w:val="0"/>
        <w:autoSpaceDN w:val="0"/>
        <w:adjustRightInd w:val="0"/>
        <w:spacing w:line="240" w:lineRule="auto"/>
        <w:ind w:left="480" w:hanging="480"/>
        <w:rPr>
          <w:rFonts w:cs="Arial"/>
          <w:noProof/>
        </w:rPr>
      </w:pPr>
      <w:r w:rsidRPr="005C1396">
        <w:rPr>
          <w:rFonts w:cs="Arial"/>
          <w:noProof/>
        </w:rPr>
        <w:t>Panigrahi, S., Dubey, B.K., 2019. A critical review on operating parameters and strategies to improve the biogas yield from anaerobic digestion of organic fraction of municipal solid waste. Renew</w:t>
      </w:r>
      <w:r w:rsidR="008C0402">
        <w:rPr>
          <w:rFonts w:cs="Arial"/>
          <w:noProof/>
        </w:rPr>
        <w:t>able</w:t>
      </w:r>
      <w:r w:rsidRPr="005C1396">
        <w:rPr>
          <w:rFonts w:cs="Arial"/>
          <w:noProof/>
        </w:rPr>
        <w:t xml:space="preserve"> Energy. https://doi.org/10.1016/j.renene.2019.05.040</w:t>
      </w:r>
    </w:p>
    <w:p w14:paraId="272D4F97" w14:textId="35474A49" w:rsidR="005C1396" w:rsidRPr="005C1396" w:rsidRDefault="005C1396" w:rsidP="005C1396">
      <w:pPr>
        <w:widowControl w:val="0"/>
        <w:autoSpaceDE w:val="0"/>
        <w:autoSpaceDN w:val="0"/>
        <w:adjustRightInd w:val="0"/>
        <w:spacing w:line="240" w:lineRule="auto"/>
        <w:ind w:left="480" w:hanging="480"/>
        <w:rPr>
          <w:rFonts w:cs="Arial"/>
          <w:noProof/>
        </w:rPr>
      </w:pPr>
      <w:r w:rsidRPr="005C1396">
        <w:rPr>
          <w:rFonts w:cs="Arial"/>
          <w:noProof/>
        </w:rPr>
        <w:t>Scarlat, N., Fahl, F., Dallemand, J.F., Monforti, F., Motola, V., 2018. A spatial analysis of biogas potential from manure in Europe. Renew</w:t>
      </w:r>
      <w:r w:rsidR="008C0402">
        <w:rPr>
          <w:rFonts w:cs="Arial"/>
          <w:noProof/>
        </w:rPr>
        <w:t>able</w:t>
      </w:r>
      <w:r w:rsidRPr="005C1396">
        <w:rPr>
          <w:rFonts w:cs="Arial"/>
          <w:noProof/>
        </w:rPr>
        <w:t xml:space="preserve"> Sustain</w:t>
      </w:r>
      <w:r w:rsidR="008C0402">
        <w:rPr>
          <w:rFonts w:cs="Arial"/>
          <w:noProof/>
        </w:rPr>
        <w:t>able</w:t>
      </w:r>
      <w:r w:rsidRPr="005C1396">
        <w:rPr>
          <w:rFonts w:cs="Arial"/>
          <w:noProof/>
        </w:rPr>
        <w:t xml:space="preserve"> Energy Rev. 94, 915–930. https://doi.org/10.1016/j.rser.2018.06.035</w:t>
      </w:r>
    </w:p>
    <w:p w14:paraId="10531FFC" w14:textId="2CCF9D55" w:rsidR="005C1396" w:rsidRPr="005C1396" w:rsidRDefault="005C1396" w:rsidP="005C1396">
      <w:pPr>
        <w:widowControl w:val="0"/>
        <w:autoSpaceDE w:val="0"/>
        <w:autoSpaceDN w:val="0"/>
        <w:adjustRightInd w:val="0"/>
        <w:spacing w:line="240" w:lineRule="auto"/>
        <w:ind w:left="480" w:hanging="480"/>
        <w:rPr>
          <w:rFonts w:cs="Arial"/>
          <w:noProof/>
        </w:rPr>
      </w:pPr>
      <w:r w:rsidRPr="005C1396">
        <w:rPr>
          <w:rFonts w:cs="Arial"/>
          <w:noProof/>
        </w:rPr>
        <w:t xml:space="preserve">Siddique, M.N.I., Wahid, Z.A., 2018. Achievements and perspectives of anaerobic co-digestion: A review. </w:t>
      </w:r>
      <w:r w:rsidR="00576CD5" w:rsidRPr="00576CD5">
        <w:rPr>
          <w:rFonts w:ascii="Calibri" w:hAnsi="Calibri" w:cs="Calibri"/>
          <w:noProof/>
        </w:rPr>
        <w:t>﻿</w:t>
      </w:r>
      <w:r w:rsidR="00576CD5" w:rsidRPr="00576CD5">
        <w:rPr>
          <w:rFonts w:cs="Arial"/>
          <w:noProof/>
        </w:rPr>
        <w:t>Journal of Cleaner Production</w:t>
      </w:r>
      <w:r w:rsidR="00576CD5">
        <w:rPr>
          <w:rFonts w:cs="Arial"/>
          <w:noProof/>
        </w:rPr>
        <w:t xml:space="preserve">. </w:t>
      </w:r>
      <w:r w:rsidRPr="005C1396">
        <w:rPr>
          <w:rFonts w:cs="Arial"/>
          <w:noProof/>
        </w:rPr>
        <w:t>https://doi.org/10.1016/j.jclepro.2018.05.155</w:t>
      </w:r>
    </w:p>
    <w:p w14:paraId="5FFECF00" w14:textId="6466FC4B" w:rsidR="005C1396" w:rsidRPr="005C1396" w:rsidRDefault="005C1396" w:rsidP="005C1396">
      <w:pPr>
        <w:widowControl w:val="0"/>
        <w:autoSpaceDE w:val="0"/>
        <w:autoSpaceDN w:val="0"/>
        <w:adjustRightInd w:val="0"/>
        <w:spacing w:line="240" w:lineRule="auto"/>
        <w:ind w:left="480" w:hanging="480"/>
        <w:rPr>
          <w:rFonts w:cs="Arial"/>
          <w:noProof/>
        </w:rPr>
      </w:pPr>
      <w:r w:rsidRPr="005C1396">
        <w:rPr>
          <w:rFonts w:cs="Arial"/>
          <w:noProof/>
        </w:rPr>
        <w:t>Vivekanand, V., Mulat, D.G., Eijsink, V.G.H., Horn, S.J., 2018. Synergistic effects of anaerobic co-digestion of whey, manure and fish ensilage. Bioresour</w:t>
      </w:r>
      <w:r w:rsidR="00576CD5">
        <w:rPr>
          <w:rFonts w:cs="Arial"/>
          <w:noProof/>
        </w:rPr>
        <w:t>ce</w:t>
      </w:r>
      <w:r w:rsidRPr="005C1396">
        <w:rPr>
          <w:rFonts w:cs="Arial"/>
          <w:noProof/>
        </w:rPr>
        <w:t xml:space="preserve"> Technol</w:t>
      </w:r>
      <w:r w:rsidR="00576CD5">
        <w:rPr>
          <w:rFonts w:cs="Arial"/>
          <w:noProof/>
        </w:rPr>
        <w:t>ogy</w:t>
      </w:r>
      <w:r w:rsidRPr="005C1396">
        <w:rPr>
          <w:rFonts w:cs="Arial"/>
          <w:noProof/>
        </w:rPr>
        <w:t xml:space="preserve"> 249, 35–41. https://doi.org/10.1016/j.biortech.2017.09.169</w:t>
      </w:r>
    </w:p>
    <w:p w14:paraId="4D5825A4" w14:textId="2F623384" w:rsidR="005C1396" w:rsidRPr="005C1396" w:rsidRDefault="005C1396" w:rsidP="005C1396">
      <w:pPr>
        <w:widowControl w:val="0"/>
        <w:autoSpaceDE w:val="0"/>
        <w:autoSpaceDN w:val="0"/>
        <w:adjustRightInd w:val="0"/>
        <w:spacing w:line="240" w:lineRule="auto"/>
        <w:ind w:left="480" w:hanging="480"/>
        <w:rPr>
          <w:rFonts w:cs="Arial"/>
          <w:noProof/>
        </w:rPr>
      </w:pPr>
      <w:r w:rsidRPr="005C1396">
        <w:rPr>
          <w:rFonts w:cs="Arial"/>
          <w:noProof/>
        </w:rPr>
        <w:t>Wang, X., Yang, G., Li, F., Feng, Y., Ren, G., Han, X., 2013. Evaluation of two statistical methods for optimizing the feeding composition in anaerobic co-digestion: Mixture design and central composite design. Bioresour</w:t>
      </w:r>
      <w:r w:rsidR="00576CD5">
        <w:rPr>
          <w:rFonts w:cs="Arial"/>
          <w:noProof/>
        </w:rPr>
        <w:t>ce</w:t>
      </w:r>
      <w:r w:rsidRPr="005C1396">
        <w:rPr>
          <w:rFonts w:cs="Arial"/>
          <w:noProof/>
        </w:rPr>
        <w:t xml:space="preserve"> Technol</w:t>
      </w:r>
      <w:r w:rsidR="00576CD5">
        <w:rPr>
          <w:rFonts w:cs="Arial"/>
          <w:noProof/>
        </w:rPr>
        <w:t>ogy</w:t>
      </w:r>
      <w:r w:rsidRPr="005C1396">
        <w:rPr>
          <w:rFonts w:cs="Arial"/>
          <w:noProof/>
        </w:rPr>
        <w:t xml:space="preserve"> 131, 172–178. https://doi.org/10.1016/j.biortech.2012.12.174</w:t>
      </w:r>
    </w:p>
    <w:p w14:paraId="49A8DAF8" w14:textId="36FD35E0" w:rsidR="005C1396" w:rsidRPr="005C1396" w:rsidRDefault="005C1396" w:rsidP="005C1396">
      <w:pPr>
        <w:widowControl w:val="0"/>
        <w:autoSpaceDE w:val="0"/>
        <w:autoSpaceDN w:val="0"/>
        <w:adjustRightInd w:val="0"/>
        <w:spacing w:line="240" w:lineRule="auto"/>
        <w:ind w:left="480" w:hanging="480"/>
        <w:rPr>
          <w:rFonts w:cs="Arial"/>
          <w:noProof/>
        </w:rPr>
      </w:pPr>
      <w:r w:rsidRPr="005C1396">
        <w:rPr>
          <w:rFonts w:cs="Arial"/>
          <w:noProof/>
        </w:rPr>
        <w:t xml:space="preserve">Zhang, Z., Zhang, G., Li, W., Li, C., Xu, G., 2016. Enhanced biogas production from sorghum stem by co-digestion with cow manure. </w:t>
      </w:r>
      <w:r w:rsidR="00E31926" w:rsidRPr="00E31926">
        <w:rPr>
          <w:rFonts w:ascii="Calibri" w:hAnsi="Calibri" w:cs="Calibri"/>
          <w:noProof/>
        </w:rPr>
        <w:t>﻿</w:t>
      </w:r>
      <w:r w:rsidR="00E31926" w:rsidRPr="00E31926">
        <w:rPr>
          <w:rFonts w:cs="Arial"/>
          <w:noProof/>
        </w:rPr>
        <w:t>International Journal of Hydrogen Energy</w:t>
      </w:r>
      <w:r w:rsidRPr="005C1396">
        <w:rPr>
          <w:rFonts w:cs="Arial"/>
          <w:noProof/>
        </w:rPr>
        <w:t xml:space="preserve"> 41, 9153–9158. https://doi.org/10.1016/j.ijhydene.2016.02.042</w:t>
      </w:r>
    </w:p>
    <w:p w14:paraId="5547558C" w14:textId="6DE5467D" w:rsidR="00E7063A" w:rsidRPr="00E7063A" w:rsidRDefault="00E7063A" w:rsidP="00E31926">
      <w:pPr>
        <w:widowControl w:val="0"/>
        <w:autoSpaceDE w:val="0"/>
        <w:autoSpaceDN w:val="0"/>
        <w:adjustRightInd w:val="0"/>
        <w:spacing w:line="240" w:lineRule="auto"/>
      </w:pPr>
      <w:r>
        <w:fldChar w:fldCharType="end"/>
      </w:r>
    </w:p>
    <w:sectPr w:rsidR="00E7063A" w:rsidRPr="00E7063A"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1EC6B" w14:textId="77777777" w:rsidR="008C1809" w:rsidRDefault="008C1809" w:rsidP="004F5E36">
      <w:r>
        <w:separator/>
      </w:r>
    </w:p>
  </w:endnote>
  <w:endnote w:type="continuationSeparator" w:id="0">
    <w:p w14:paraId="27563D88" w14:textId="77777777" w:rsidR="008C1809" w:rsidRDefault="008C180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425E8" w14:textId="77777777" w:rsidR="008C1809" w:rsidRDefault="008C1809" w:rsidP="004F5E36">
      <w:r>
        <w:separator/>
      </w:r>
    </w:p>
  </w:footnote>
  <w:footnote w:type="continuationSeparator" w:id="0">
    <w:p w14:paraId="54120E36" w14:textId="77777777" w:rsidR="008C1809" w:rsidRDefault="008C180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85882224">
    <w:abstractNumId w:val="10"/>
  </w:num>
  <w:num w:numId="2" w16cid:durableId="1589457118">
    <w:abstractNumId w:val="8"/>
  </w:num>
  <w:num w:numId="3" w16cid:durableId="633679323">
    <w:abstractNumId w:val="3"/>
  </w:num>
  <w:num w:numId="4" w16cid:durableId="2131777356">
    <w:abstractNumId w:val="2"/>
  </w:num>
  <w:num w:numId="5" w16cid:durableId="1104301326">
    <w:abstractNumId w:val="1"/>
  </w:num>
  <w:num w:numId="6" w16cid:durableId="2022662882">
    <w:abstractNumId w:val="0"/>
  </w:num>
  <w:num w:numId="7" w16cid:durableId="2060081392">
    <w:abstractNumId w:val="9"/>
  </w:num>
  <w:num w:numId="8" w16cid:durableId="82842209">
    <w:abstractNumId w:val="7"/>
  </w:num>
  <w:num w:numId="9" w16cid:durableId="950940323">
    <w:abstractNumId w:val="6"/>
  </w:num>
  <w:num w:numId="10" w16cid:durableId="667560957">
    <w:abstractNumId w:val="5"/>
  </w:num>
  <w:num w:numId="11" w16cid:durableId="1649093623">
    <w:abstractNumId w:val="4"/>
  </w:num>
  <w:num w:numId="12" w16cid:durableId="434909497">
    <w:abstractNumId w:val="17"/>
  </w:num>
  <w:num w:numId="13" w16cid:durableId="695620625">
    <w:abstractNumId w:val="12"/>
  </w:num>
  <w:num w:numId="14" w16cid:durableId="1143276980">
    <w:abstractNumId w:val="18"/>
  </w:num>
  <w:num w:numId="15" w16cid:durableId="751392335">
    <w:abstractNumId w:val="20"/>
  </w:num>
  <w:num w:numId="16" w16cid:durableId="1617130231">
    <w:abstractNumId w:val="19"/>
  </w:num>
  <w:num w:numId="17" w16cid:durableId="165827165">
    <w:abstractNumId w:val="11"/>
  </w:num>
  <w:num w:numId="18" w16cid:durableId="785194931">
    <w:abstractNumId w:val="12"/>
    <w:lvlOverride w:ilvl="0">
      <w:startOverride w:val="1"/>
    </w:lvlOverride>
  </w:num>
  <w:num w:numId="19" w16cid:durableId="1366712120">
    <w:abstractNumId w:val="16"/>
  </w:num>
  <w:num w:numId="20" w16cid:durableId="337729328">
    <w:abstractNumId w:val="15"/>
  </w:num>
  <w:num w:numId="21" w16cid:durableId="1280651351">
    <w:abstractNumId w:val="14"/>
  </w:num>
  <w:num w:numId="22" w16cid:durableId="4077304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F97"/>
    <w:rsid w:val="000117CB"/>
    <w:rsid w:val="0001181C"/>
    <w:rsid w:val="0003148D"/>
    <w:rsid w:val="00031EEC"/>
    <w:rsid w:val="000436A7"/>
    <w:rsid w:val="00051566"/>
    <w:rsid w:val="00062A9A"/>
    <w:rsid w:val="00065058"/>
    <w:rsid w:val="00065482"/>
    <w:rsid w:val="00075FE5"/>
    <w:rsid w:val="00086C39"/>
    <w:rsid w:val="000A03B2"/>
    <w:rsid w:val="000A2BC0"/>
    <w:rsid w:val="000B7806"/>
    <w:rsid w:val="000C5F2D"/>
    <w:rsid w:val="000D0268"/>
    <w:rsid w:val="000D34BE"/>
    <w:rsid w:val="000E102F"/>
    <w:rsid w:val="000E36F1"/>
    <w:rsid w:val="000E3A73"/>
    <w:rsid w:val="000E414A"/>
    <w:rsid w:val="000E65F6"/>
    <w:rsid w:val="000F093C"/>
    <w:rsid w:val="000F787B"/>
    <w:rsid w:val="001045BA"/>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84AD6"/>
    <w:rsid w:val="001A4AF7"/>
    <w:rsid w:val="001B0349"/>
    <w:rsid w:val="001B1E93"/>
    <w:rsid w:val="001B65C1"/>
    <w:rsid w:val="001C6189"/>
    <w:rsid w:val="001C684B"/>
    <w:rsid w:val="001D0CFB"/>
    <w:rsid w:val="001D21AF"/>
    <w:rsid w:val="001D53FC"/>
    <w:rsid w:val="001D7626"/>
    <w:rsid w:val="001F42A5"/>
    <w:rsid w:val="001F7B9D"/>
    <w:rsid w:val="00201C93"/>
    <w:rsid w:val="002045DE"/>
    <w:rsid w:val="00216438"/>
    <w:rsid w:val="002224B4"/>
    <w:rsid w:val="00222551"/>
    <w:rsid w:val="002241B5"/>
    <w:rsid w:val="00231812"/>
    <w:rsid w:val="002447EF"/>
    <w:rsid w:val="0024742E"/>
    <w:rsid w:val="00251550"/>
    <w:rsid w:val="00263B05"/>
    <w:rsid w:val="0027221A"/>
    <w:rsid w:val="00275B61"/>
    <w:rsid w:val="00280FAF"/>
    <w:rsid w:val="00282656"/>
    <w:rsid w:val="00296B83"/>
    <w:rsid w:val="002A24B2"/>
    <w:rsid w:val="002B4015"/>
    <w:rsid w:val="002B78CE"/>
    <w:rsid w:val="002C2FB6"/>
    <w:rsid w:val="002C6BA9"/>
    <w:rsid w:val="002E357F"/>
    <w:rsid w:val="002E5FA7"/>
    <w:rsid w:val="002F0DE8"/>
    <w:rsid w:val="002F3309"/>
    <w:rsid w:val="003008CE"/>
    <w:rsid w:val="003009B7"/>
    <w:rsid w:val="00300E56"/>
    <w:rsid w:val="0030469C"/>
    <w:rsid w:val="00305FBB"/>
    <w:rsid w:val="00312F38"/>
    <w:rsid w:val="00321CA6"/>
    <w:rsid w:val="00323763"/>
    <w:rsid w:val="003326B6"/>
    <w:rsid w:val="003341C9"/>
    <w:rsid w:val="00334C09"/>
    <w:rsid w:val="003502F4"/>
    <w:rsid w:val="003723D4"/>
    <w:rsid w:val="00381905"/>
    <w:rsid w:val="00384CC8"/>
    <w:rsid w:val="003871FD"/>
    <w:rsid w:val="003948E2"/>
    <w:rsid w:val="003A1E30"/>
    <w:rsid w:val="003A2829"/>
    <w:rsid w:val="003A7D1C"/>
    <w:rsid w:val="003B304B"/>
    <w:rsid w:val="003B3146"/>
    <w:rsid w:val="003D15F4"/>
    <w:rsid w:val="003D6730"/>
    <w:rsid w:val="003D6D8B"/>
    <w:rsid w:val="003D71C2"/>
    <w:rsid w:val="003F015E"/>
    <w:rsid w:val="00400414"/>
    <w:rsid w:val="00410124"/>
    <w:rsid w:val="0041446B"/>
    <w:rsid w:val="00416A78"/>
    <w:rsid w:val="00424E07"/>
    <w:rsid w:val="004346E2"/>
    <w:rsid w:val="0044071E"/>
    <w:rsid w:val="0044329C"/>
    <w:rsid w:val="00453E24"/>
    <w:rsid w:val="004548FE"/>
    <w:rsid w:val="00457456"/>
    <w:rsid w:val="004577FE"/>
    <w:rsid w:val="00457B9C"/>
    <w:rsid w:val="0046164A"/>
    <w:rsid w:val="004628D2"/>
    <w:rsid w:val="00462DCD"/>
    <w:rsid w:val="004648AD"/>
    <w:rsid w:val="004703A9"/>
    <w:rsid w:val="004760DE"/>
    <w:rsid w:val="004763D7"/>
    <w:rsid w:val="00490435"/>
    <w:rsid w:val="00493298"/>
    <w:rsid w:val="0049682B"/>
    <w:rsid w:val="004A004E"/>
    <w:rsid w:val="004A24CF"/>
    <w:rsid w:val="004C1AB7"/>
    <w:rsid w:val="004C3D1D"/>
    <w:rsid w:val="004C3D84"/>
    <w:rsid w:val="004C7913"/>
    <w:rsid w:val="004E4DD6"/>
    <w:rsid w:val="004F5E36"/>
    <w:rsid w:val="00507B47"/>
    <w:rsid w:val="00507BEF"/>
    <w:rsid w:val="00507CC9"/>
    <w:rsid w:val="005119A5"/>
    <w:rsid w:val="00520A4C"/>
    <w:rsid w:val="005278B7"/>
    <w:rsid w:val="00532016"/>
    <w:rsid w:val="005346C8"/>
    <w:rsid w:val="00543E7D"/>
    <w:rsid w:val="0054631B"/>
    <w:rsid w:val="00547A68"/>
    <w:rsid w:val="005531C9"/>
    <w:rsid w:val="00570C43"/>
    <w:rsid w:val="00572F39"/>
    <w:rsid w:val="00576CD5"/>
    <w:rsid w:val="00586F76"/>
    <w:rsid w:val="005B2110"/>
    <w:rsid w:val="005B61E6"/>
    <w:rsid w:val="005C1396"/>
    <w:rsid w:val="005C77E1"/>
    <w:rsid w:val="005D668A"/>
    <w:rsid w:val="005D6A2F"/>
    <w:rsid w:val="005D7699"/>
    <w:rsid w:val="005E1A82"/>
    <w:rsid w:val="005E794C"/>
    <w:rsid w:val="005F0A28"/>
    <w:rsid w:val="005F0E5E"/>
    <w:rsid w:val="00600535"/>
    <w:rsid w:val="006023F8"/>
    <w:rsid w:val="00610CD6"/>
    <w:rsid w:val="00613B65"/>
    <w:rsid w:val="00620DEE"/>
    <w:rsid w:val="00621F92"/>
    <w:rsid w:val="006223A4"/>
    <w:rsid w:val="0062280A"/>
    <w:rsid w:val="00625639"/>
    <w:rsid w:val="00631B33"/>
    <w:rsid w:val="006362E9"/>
    <w:rsid w:val="00636C46"/>
    <w:rsid w:val="00640EB0"/>
    <w:rsid w:val="0064184D"/>
    <w:rsid w:val="006422CC"/>
    <w:rsid w:val="00660E3E"/>
    <w:rsid w:val="00662E74"/>
    <w:rsid w:val="00680C23"/>
    <w:rsid w:val="00693766"/>
    <w:rsid w:val="006942B8"/>
    <w:rsid w:val="006A3281"/>
    <w:rsid w:val="006B4888"/>
    <w:rsid w:val="006C2E45"/>
    <w:rsid w:val="006C359C"/>
    <w:rsid w:val="006C5579"/>
    <w:rsid w:val="006D6E8B"/>
    <w:rsid w:val="006E737D"/>
    <w:rsid w:val="00701780"/>
    <w:rsid w:val="00711482"/>
    <w:rsid w:val="00713973"/>
    <w:rsid w:val="00720A24"/>
    <w:rsid w:val="00732386"/>
    <w:rsid w:val="0073514D"/>
    <w:rsid w:val="007447F3"/>
    <w:rsid w:val="0075028C"/>
    <w:rsid w:val="0075499F"/>
    <w:rsid w:val="007568A5"/>
    <w:rsid w:val="007661C8"/>
    <w:rsid w:val="0076706B"/>
    <w:rsid w:val="0077098D"/>
    <w:rsid w:val="007773B0"/>
    <w:rsid w:val="007931FA"/>
    <w:rsid w:val="007A4861"/>
    <w:rsid w:val="007A7BBA"/>
    <w:rsid w:val="007B0C50"/>
    <w:rsid w:val="007B38F0"/>
    <w:rsid w:val="007B48F9"/>
    <w:rsid w:val="007C1A43"/>
    <w:rsid w:val="007D4D96"/>
    <w:rsid w:val="007F15ED"/>
    <w:rsid w:val="0080013E"/>
    <w:rsid w:val="00811EAE"/>
    <w:rsid w:val="00813288"/>
    <w:rsid w:val="008168FC"/>
    <w:rsid w:val="00830996"/>
    <w:rsid w:val="008345F1"/>
    <w:rsid w:val="00837B9C"/>
    <w:rsid w:val="008506BF"/>
    <w:rsid w:val="008507BA"/>
    <w:rsid w:val="0085653F"/>
    <w:rsid w:val="00860146"/>
    <w:rsid w:val="00865B07"/>
    <w:rsid w:val="008667EA"/>
    <w:rsid w:val="0087637F"/>
    <w:rsid w:val="00887D5A"/>
    <w:rsid w:val="00892AD5"/>
    <w:rsid w:val="008A1512"/>
    <w:rsid w:val="008A64F4"/>
    <w:rsid w:val="008C0402"/>
    <w:rsid w:val="008C1809"/>
    <w:rsid w:val="008D32B9"/>
    <w:rsid w:val="008D433B"/>
    <w:rsid w:val="008D4A16"/>
    <w:rsid w:val="008D6325"/>
    <w:rsid w:val="008E566E"/>
    <w:rsid w:val="00901064"/>
    <w:rsid w:val="0090161A"/>
    <w:rsid w:val="00901EB6"/>
    <w:rsid w:val="0090204C"/>
    <w:rsid w:val="00904C62"/>
    <w:rsid w:val="00922BA8"/>
    <w:rsid w:val="00924DAC"/>
    <w:rsid w:val="00927058"/>
    <w:rsid w:val="00942750"/>
    <w:rsid w:val="009450CE"/>
    <w:rsid w:val="00947179"/>
    <w:rsid w:val="0095164B"/>
    <w:rsid w:val="00954090"/>
    <w:rsid w:val="009573E7"/>
    <w:rsid w:val="00963E05"/>
    <w:rsid w:val="00964A45"/>
    <w:rsid w:val="00967843"/>
    <w:rsid w:val="00967D54"/>
    <w:rsid w:val="00971028"/>
    <w:rsid w:val="009748F3"/>
    <w:rsid w:val="00993B84"/>
    <w:rsid w:val="00996483"/>
    <w:rsid w:val="00996F5A"/>
    <w:rsid w:val="009B041A"/>
    <w:rsid w:val="009B64C7"/>
    <w:rsid w:val="009C37C3"/>
    <w:rsid w:val="009C7C86"/>
    <w:rsid w:val="009D2FF7"/>
    <w:rsid w:val="009E1904"/>
    <w:rsid w:val="009E7884"/>
    <w:rsid w:val="009E788A"/>
    <w:rsid w:val="009F0E08"/>
    <w:rsid w:val="00A1763D"/>
    <w:rsid w:val="00A17CEC"/>
    <w:rsid w:val="00A27EF0"/>
    <w:rsid w:val="00A42361"/>
    <w:rsid w:val="00A50B20"/>
    <w:rsid w:val="00A51390"/>
    <w:rsid w:val="00A52AEF"/>
    <w:rsid w:val="00A56F26"/>
    <w:rsid w:val="00A60D13"/>
    <w:rsid w:val="00A7223D"/>
    <w:rsid w:val="00A72745"/>
    <w:rsid w:val="00A752AB"/>
    <w:rsid w:val="00A76EFC"/>
    <w:rsid w:val="00A822D4"/>
    <w:rsid w:val="00A91010"/>
    <w:rsid w:val="00A93BCC"/>
    <w:rsid w:val="00A97F29"/>
    <w:rsid w:val="00AA702E"/>
    <w:rsid w:val="00AA711E"/>
    <w:rsid w:val="00AB0964"/>
    <w:rsid w:val="00AB5011"/>
    <w:rsid w:val="00AB7118"/>
    <w:rsid w:val="00AC34B5"/>
    <w:rsid w:val="00AC7368"/>
    <w:rsid w:val="00AD16B9"/>
    <w:rsid w:val="00AE377D"/>
    <w:rsid w:val="00AF0EBA"/>
    <w:rsid w:val="00B02C8A"/>
    <w:rsid w:val="00B05869"/>
    <w:rsid w:val="00B07DE3"/>
    <w:rsid w:val="00B17FBD"/>
    <w:rsid w:val="00B315A6"/>
    <w:rsid w:val="00B31813"/>
    <w:rsid w:val="00B33365"/>
    <w:rsid w:val="00B561F8"/>
    <w:rsid w:val="00B57B36"/>
    <w:rsid w:val="00B57E6F"/>
    <w:rsid w:val="00B761BF"/>
    <w:rsid w:val="00B8686D"/>
    <w:rsid w:val="00B93F69"/>
    <w:rsid w:val="00BA094E"/>
    <w:rsid w:val="00BB1DDC"/>
    <w:rsid w:val="00BC30C9"/>
    <w:rsid w:val="00BD077D"/>
    <w:rsid w:val="00BD7639"/>
    <w:rsid w:val="00BE3E58"/>
    <w:rsid w:val="00C01616"/>
    <w:rsid w:val="00C0162B"/>
    <w:rsid w:val="00C068ED"/>
    <w:rsid w:val="00C148BC"/>
    <w:rsid w:val="00C22E0C"/>
    <w:rsid w:val="00C345B1"/>
    <w:rsid w:val="00C40142"/>
    <w:rsid w:val="00C41032"/>
    <w:rsid w:val="00C52C3C"/>
    <w:rsid w:val="00C57182"/>
    <w:rsid w:val="00C57863"/>
    <w:rsid w:val="00C640AF"/>
    <w:rsid w:val="00C655FD"/>
    <w:rsid w:val="00C73E28"/>
    <w:rsid w:val="00C75407"/>
    <w:rsid w:val="00C870A8"/>
    <w:rsid w:val="00C94434"/>
    <w:rsid w:val="00CA0D75"/>
    <w:rsid w:val="00CA1C95"/>
    <w:rsid w:val="00CA5A9C"/>
    <w:rsid w:val="00CB1192"/>
    <w:rsid w:val="00CC0908"/>
    <w:rsid w:val="00CC4C20"/>
    <w:rsid w:val="00CD3517"/>
    <w:rsid w:val="00CD5FE2"/>
    <w:rsid w:val="00CE4BCE"/>
    <w:rsid w:val="00CE7C68"/>
    <w:rsid w:val="00D02B4C"/>
    <w:rsid w:val="00D040C4"/>
    <w:rsid w:val="00D20AD1"/>
    <w:rsid w:val="00D37576"/>
    <w:rsid w:val="00D40484"/>
    <w:rsid w:val="00D46B7E"/>
    <w:rsid w:val="00D473C5"/>
    <w:rsid w:val="00D51CD8"/>
    <w:rsid w:val="00D57C84"/>
    <w:rsid w:val="00D6057D"/>
    <w:rsid w:val="00D71640"/>
    <w:rsid w:val="00D748FC"/>
    <w:rsid w:val="00D836C5"/>
    <w:rsid w:val="00D8398E"/>
    <w:rsid w:val="00D84576"/>
    <w:rsid w:val="00D92BC0"/>
    <w:rsid w:val="00DA0BBE"/>
    <w:rsid w:val="00DA1399"/>
    <w:rsid w:val="00DA24C6"/>
    <w:rsid w:val="00DA4D7B"/>
    <w:rsid w:val="00DA6A18"/>
    <w:rsid w:val="00DC012F"/>
    <w:rsid w:val="00DD271C"/>
    <w:rsid w:val="00DE264A"/>
    <w:rsid w:val="00DF5072"/>
    <w:rsid w:val="00E02D18"/>
    <w:rsid w:val="00E041E7"/>
    <w:rsid w:val="00E23CA1"/>
    <w:rsid w:val="00E31926"/>
    <w:rsid w:val="00E409A8"/>
    <w:rsid w:val="00E41380"/>
    <w:rsid w:val="00E50C12"/>
    <w:rsid w:val="00E65B91"/>
    <w:rsid w:val="00E7063A"/>
    <w:rsid w:val="00E7209D"/>
    <w:rsid w:val="00E72EAD"/>
    <w:rsid w:val="00E77223"/>
    <w:rsid w:val="00E805B8"/>
    <w:rsid w:val="00E8528B"/>
    <w:rsid w:val="00E85B94"/>
    <w:rsid w:val="00E94517"/>
    <w:rsid w:val="00E978D0"/>
    <w:rsid w:val="00EA4613"/>
    <w:rsid w:val="00EA7F91"/>
    <w:rsid w:val="00EB1523"/>
    <w:rsid w:val="00EC0E49"/>
    <w:rsid w:val="00EC101F"/>
    <w:rsid w:val="00EC1D9F"/>
    <w:rsid w:val="00EE0131"/>
    <w:rsid w:val="00EE17B0"/>
    <w:rsid w:val="00EF06D9"/>
    <w:rsid w:val="00F03FFC"/>
    <w:rsid w:val="00F257C9"/>
    <w:rsid w:val="00F30C64"/>
    <w:rsid w:val="00F32BA2"/>
    <w:rsid w:val="00F32CDB"/>
    <w:rsid w:val="00F34B55"/>
    <w:rsid w:val="00F46693"/>
    <w:rsid w:val="00F565FE"/>
    <w:rsid w:val="00F63A70"/>
    <w:rsid w:val="00F7534E"/>
    <w:rsid w:val="00FA1802"/>
    <w:rsid w:val="00FA21D0"/>
    <w:rsid w:val="00FA5F5F"/>
    <w:rsid w:val="00FB730C"/>
    <w:rsid w:val="00FC2695"/>
    <w:rsid w:val="00FC3E03"/>
    <w:rsid w:val="00FC3FC1"/>
    <w:rsid w:val="00FF6C50"/>
    <w:rsid w:val="00FF772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normaltextrun">
    <w:name w:val="normaltextrun"/>
    <w:basedOn w:val="Carpredefinitoparagrafo"/>
    <w:rsid w:val="00D37576"/>
  </w:style>
  <w:style w:type="character" w:styleId="Testosegnaposto">
    <w:name w:val="Placeholder Text"/>
    <w:basedOn w:val="Carpredefinitoparagrafo"/>
    <w:uiPriority w:val="99"/>
    <w:semiHidden/>
    <w:rsid w:val="00811EA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22287">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761">
      <w:bodyDiv w:val="1"/>
      <w:marLeft w:val="0"/>
      <w:marRight w:val="0"/>
      <w:marTop w:val="0"/>
      <w:marBottom w:val="0"/>
      <w:divBdr>
        <w:top w:val="none" w:sz="0" w:space="0" w:color="auto"/>
        <w:left w:val="none" w:sz="0" w:space="0" w:color="auto"/>
        <w:bottom w:val="none" w:sz="0" w:space="0" w:color="auto"/>
        <w:right w:val="none" w:sz="0" w:space="0" w:color="auto"/>
      </w:divBdr>
    </w:div>
    <w:div w:id="1748846280">
      <w:bodyDiv w:val="1"/>
      <w:marLeft w:val="0"/>
      <w:marRight w:val="0"/>
      <w:marTop w:val="0"/>
      <w:marBottom w:val="0"/>
      <w:divBdr>
        <w:top w:val="none" w:sz="0" w:space="0" w:color="auto"/>
        <w:left w:val="none" w:sz="0" w:space="0" w:color="auto"/>
        <w:bottom w:val="none" w:sz="0" w:space="0" w:color="auto"/>
        <w:right w:val="none" w:sz="0" w:space="0" w:color="auto"/>
      </w:divBdr>
    </w:div>
    <w:div w:id="2032414901">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sv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10" Type="http://schemas.openxmlformats.org/officeDocument/2006/relationships/image" Target="media/image3.png"/><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8380</Words>
  <Characters>47770</Characters>
  <Application>Microsoft Office Word</Application>
  <DocSecurity>0</DocSecurity>
  <Lines>398</Lines>
  <Paragraphs>112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56038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Federico Moretta</cp:lastModifiedBy>
  <cp:revision>4</cp:revision>
  <cp:lastPrinted>2015-05-12T18:31:00Z</cp:lastPrinted>
  <dcterms:created xsi:type="dcterms:W3CDTF">2022-07-04T09:57:00Z</dcterms:created>
  <dcterms:modified xsi:type="dcterms:W3CDTF">2022-07-04T10:32:00Z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Citation Style_1">
    <vt:lpwstr>http://www.zotero.org/styles/journal-of-cleaner-production</vt:lpwstr>
  </property>
  <property fmtid="{D5CDD505-2E9C-101B-9397-08002B2CF9AE}" pid="6" name="Mendeley Unique User Id_1">
    <vt:lpwstr>beb6ab30-1975-3ca0-b529-5d4c2a28baa7</vt:lpwstr>
  </property>
  <property fmtid="{D5CDD505-2E9C-101B-9397-08002B2CF9AE}" pid="7" name="Mendeley Recent Style Id 0_1">
    <vt:lpwstr>http://www.zotero.org/styles/american-political-science-association</vt:lpwstr>
  </property>
  <property fmtid="{D5CDD505-2E9C-101B-9397-08002B2CF9AE}" pid="8" name="Mendeley Recent Style Name 0_1">
    <vt:lpwstr>American Political Science Association</vt:lpwstr>
  </property>
  <property fmtid="{D5CDD505-2E9C-101B-9397-08002B2CF9AE}" pid="9" name="Mendeley Recent Style Id 1_1">
    <vt:lpwstr>http://www.zotero.org/styles/apa</vt:lpwstr>
  </property>
  <property fmtid="{D5CDD505-2E9C-101B-9397-08002B2CF9AE}" pid="10" name="Mendeley Recent Style Name 1_1">
    <vt:lpwstr>American Psychological Association 7th edition</vt:lpwstr>
  </property>
  <property fmtid="{D5CDD505-2E9C-101B-9397-08002B2CF9AE}" pid="11" name="Mendeley Recent Style Id 2_1">
    <vt:lpwstr>http://www.zotero.org/styles/bioresource-technology</vt:lpwstr>
  </property>
  <property fmtid="{D5CDD505-2E9C-101B-9397-08002B2CF9AE}" pid="12" name="Mendeley Recent Style Name 2_1">
    <vt:lpwstr>Bioresource Technology</vt:lpwstr>
  </property>
  <property fmtid="{D5CDD505-2E9C-101B-9397-08002B2CF9AE}" pid="13" name="Mendeley Recent Style Id 3_1">
    <vt:lpwstr>http://www.zotero.org/styles/chicago-author-date</vt:lpwstr>
  </property>
  <property fmtid="{D5CDD505-2E9C-101B-9397-08002B2CF9AE}" pid="14" name="Mendeley Recent Style Name 3_1">
    <vt:lpwstr>Chicago Manual of Style 17th edition (author-date)</vt:lpwstr>
  </property>
  <property fmtid="{D5CDD505-2E9C-101B-9397-08002B2CF9AE}" pid="15" name="Mendeley Recent Style Id 4_1">
    <vt:lpwstr>http://www.zotero.org/styles/harvard-cite-them-right</vt:lpwstr>
  </property>
  <property fmtid="{D5CDD505-2E9C-101B-9397-08002B2CF9AE}" pid="16" name="Mendeley Recent Style Name 4_1">
    <vt:lpwstr>Cite Them Right 10th edition - Harvard</vt:lpwstr>
  </property>
  <property fmtid="{D5CDD505-2E9C-101B-9397-08002B2CF9AE}" pid="17" name="Mendeley Recent Style Id 5_1">
    <vt:lpwstr>http://www.zotero.org/styles/ieee</vt:lpwstr>
  </property>
  <property fmtid="{D5CDD505-2E9C-101B-9397-08002B2CF9AE}" pid="18" name="Mendeley Recent Style Name 5_1">
    <vt:lpwstr>IEEE</vt:lpwstr>
  </property>
  <property fmtid="{D5CDD505-2E9C-101B-9397-08002B2CF9AE}" pid="19" name="Mendeley Recent Style Id 6_1">
    <vt:lpwstr>http://www.zotero.org/styles/journal-of-cleaner-production</vt:lpwstr>
  </property>
  <property fmtid="{D5CDD505-2E9C-101B-9397-08002B2CF9AE}" pid="20" name="Mendeley Recent Style Name 6_1">
    <vt:lpwstr>Journal of Cleaner Production</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8th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