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EEF6F50"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35204533" w:rsidR="000A03B2" w:rsidRPr="00B57B36" w:rsidRDefault="005A3E9C" w:rsidP="00CD5FE2">
            <w:pPr>
              <w:spacing w:line="140" w:lineRule="atLeast"/>
              <w:jc w:val="right"/>
              <w:rPr>
                <w:rFonts w:cs="Arial"/>
                <w:sz w:val="14"/>
                <w:szCs w:val="14"/>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D24D70F" w:rsidR="00300E56" w:rsidRPr="0014464F"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14464F">
              <w:rPr>
                <w:rFonts w:ascii="Tahoma" w:hAnsi="Tahoma" w:cs="Tahoma"/>
                <w:iCs/>
                <w:color w:val="333333"/>
                <w:sz w:val="14"/>
                <w:szCs w:val="14"/>
                <w:lang w:val="en-US" w:eastAsia="it-IT"/>
              </w:rPr>
              <w:t>Guest Editors:</w:t>
            </w:r>
            <w:r w:rsidR="00904C62" w:rsidRPr="0014464F">
              <w:rPr>
                <w:rFonts w:ascii="Tahoma" w:hAnsi="Tahoma" w:cs="Tahoma"/>
                <w:iCs/>
                <w:color w:val="333333"/>
                <w:sz w:val="14"/>
                <w:szCs w:val="14"/>
                <w:lang w:val="en-US" w:eastAsia="it-IT"/>
              </w:rPr>
              <w:t xml:space="preserve"> </w:t>
            </w:r>
          </w:p>
          <w:p w14:paraId="1B0F1814" w14:textId="6CE52C7C" w:rsidR="000A03B2" w:rsidRPr="00B57B36" w:rsidRDefault="0014464F" w:rsidP="00180860">
            <w:pPr>
              <w:tabs>
                <w:tab w:val="left" w:pos="-108"/>
              </w:tabs>
              <w:spacing w:line="140" w:lineRule="atLeast"/>
              <w:ind w:left="-108"/>
              <w:jc w:val="left"/>
            </w:pPr>
            <w:r>
              <w:rPr>
                <w:rFonts w:ascii="Tahoma" w:hAnsi="Tahoma" w:cs="Tahoma"/>
                <w:iCs/>
                <w:color w:val="333333"/>
                <w:sz w:val="14"/>
                <w:szCs w:val="14"/>
                <w:lang w:eastAsia="it-IT"/>
              </w:rPr>
              <w:t xml:space="preserve">Copyright © </w:t>
            </w:r>
            <w:r w:rsidR="00904C62" w:rsidRPr="00B57B36">
              <w:rPr>
                <w:rFonts w:ascii="Tahoma" w:hAnsi="Tahoma" w:cs="Tahoma"/>
                <w:iCs/>
                <w:color w:val="333333"/>
                <w:sz w:val="14"/>
                <w:szCs w:val="14"/>
                <w:lang w:eastAsia="it-IT"/>
              </w:rPr>
              <w:t xml:space="preserve"> AIDIC Servizi S.r.l.</w:t>
            </w:r>
            <w:r w:rsidR="00300E56" w:rsidRPr="00B57B36">
              <w:rPr>
                <w:rFonts w:ascii="Tahoma" w:hAnsi="Tahoma" w:cs="Tahoma"/>
                <w:iCs/>
                <w:color w:val="333333"/>
                <w:sz w:val="14"/>
                <w:szCs w:val="14"/>
                <w:lang w:eastAsia="it-IT"/>
              </w:rPr>
              <w:br/>
            </w:r>
            <w:r w:rsidR="00180860" w:rsidRPr="00B57B36">
              <w:rPr>
                <w:rFonts w:ascii="Tahoma" w:hAnsi="Tahoma" w:cs="Tahoma"/>
                <w:b/>
                <w:iCs/>
                <w:color w:val="333333"/>
                <w:sz w:val="14"/>
                <w:szCs w:val="14"/>
                <w:lang w:eastAsia="it-IT"/>
              </w:rPr>
              <w:t>IS</w:t>
            </w:r>
            <w:r w:rsidR="00180860">
              <w:rPr>
                <w:rFonts w:ascii="Tahoma" w:hAnsi="Tahoma" w:cs="Tahoma"/>
                <w:b/>
                <w:iCs/>
                <w:color w:val="333333"/>
                <w:sz w:val="14"/>
                <w:szCs w:val="14"/>
                <w:lang w:eastAsia="it-IT"/>
              </w:rPr>
              <w:t xml:space="preserve">BN </w:t>
            </w:r>
            <w:r w:rsidR="00180860" w:rsidRPr="00D642A9">
              <w:rPr>
                <w:rFonts w:ascii="Tahoma" w:hAnsi="Tahoma" w:cs="Tahoma"/>
                <w:sz w:val="14"/>
                <w:szCs w:val="14"/>
                <w:lang w:val="en-US"/>
              </w:rPr>
              <w:t>978-88-95608</w:t>
            </w:r>
            <w:r w:rsidR="00180860">
              <w:rPr>
                <w:rFonts w:ascii="Tahoma" w:hAnsi="Tahoma" w:cs="Tahoma"/>
                <w:sz w:val="14"/>
                <w:szCs w:val="14"/>
                <w:lang w:val="en-US"/>
              </w:rPr>
              <w:t xml:space="preserve">-xx-x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4B38D868" w:rsidR="00E978D0" w:rsidRPr="00B57B36" w:rsidRDefault="00D5424D" w:rsidP="00E978D0">
      <w:pPr>
        <w:pStyle w:val="CETTitle"/>
      </w:pPr>
      <w:r>
        <w:t xml:space="preserve">Study of the effects </w:t>
      </w:r>
      <w:r w:rsidR="00AB3E3D">
        <w:t xml:space="preserve">of the </w:t>
      </w:r>
      <w:r w:rsidR="00A0645C">
        <w:t>sulfate-</w:t>
      </w:r>
      <w:r w:rsidR="00AB3E3D">
        <w:t>radical sources</w:t>
      </w:r>
      <w:r w:rsidR="00C03DD2">
        <w:t xml:space="preserve"> for wastewater treatment using response surface methodology</w:t>
      </w:r>
    </w:p>
    <w:p w14:paraId="6D18BF66" w14:textId="6084140E" w:rsidR="002727CE" w:rsidRPr="00B57B36" w:rsidRDefault="002727CE" w:rsidP="002727CE">
      <w:pPr>
        <w:pStyle w:val="CETAuthors"/>
      </w:pPr>
      <w:r>
        <w:t>Yerkanat N. Kanafin</w:t>
      </w:r>
      <w:r w:rsidR="005E1A7D" w:rsidRPr="005E1A7D">
        <w:rPr>
          <w:vertAlign w:val="superscript"/>
        </w:rPr>
        <w:t>a,</w:t>
      </w:r>
      <w:r>
        <w:t xml:space="preserve">*, </w:t>
      </w:r>
      <w:r w:rsidR="002A168A">
        <w:t>Perizat Abdirova</w:t>
      </w:r>
      <w:r w:rsidR="00546664" w:rsidRPr="00546664">
        <w:rPr>
          <w:vertAlign w:val="superscript"/>
        </w:rPr>
        <w:t>b</w:t>
      </w:r>
      <w:r w:rsidR="002A168A">
        <w:t xml:space="preserve">, </w:t>
      </w:r>
      <w:r w:rsidR="002A168A" w:rsidRPr="002A168A">
        <w:t>Amirsultan Baltabek</w:t>
      </w:r>
      <w:r w:rsidR="00546664" w:rsidRPr="00546664">
        <w:rPr>
          <w:vertAlign w:val="superscript"/>
        </w:rPr>
        <w:t>b</w:t>
      </w:r>
      <w:r w:rsidR="002A168A">
        <w:t xml:space="preserve">, </w:t>
      </w:r>
      <w:r w:rsidRPr="003450FC">
        <w:t>Elizabeth Arkhangelsky</w:t>
      </w:r>
      <w:r w:rsidR="00546664" w:rsidRPr="00546664">
        <w:rPr>
          <w:vertAlign w:val="superscript"/>
        </w:rPr>
        <w:t>c</w:t>
      </w:r>
      <w:r>
        <w:t>,</w:t>
      </w:r>
      <w:r w:rsidRPr="003450FC">
        <w:t xml:space="preserve"> </w:t>
      </w:r>
      <w:r>
        <w:t>Stavros G. Poulopoulos</w:t>
      </w:r>
      <w:r w:rsidR="00546664" w:rsidRPr="00546664">
        <w:rPr>
          <w:vertAlign w:val="superscript"/>
        </w:rPr>
        <w:t>a</w:t>
      </w:r>
    </w:p>
    <w:p w14:paraId="5EAA2A93" w14:textId="1228425C" w:rsidR="002727CE" w:rsidRDefault="00415855" w:rsidP="002727CE">
      <w:pPr>
        <w:pStyle w:val="CETAddress"/>
      </w:pPr>
      <w:r w:rsidRPr="00415855">
        <w:rPr>
          <w:vertAlign w:val="superscript"/>
        </w:rPr>
        <w:t>a</w:t>
      </w:r>
      <w:r>
        <w:t xml:space="preserve"> </w:t>
      </w:r>
      <w:r w:rsidR="00832DD6">
        <w:t xml:space="preserve">Chemical and Materials Engineering Department, </w:t>
      </w:r>
      <w:r w:rsidR="002727CE" w:rsidRPr="003450FC">
        <w:t xml:space="preserve">School of Engineering and Digital Sciences, Environmental Science &amp; Technology Group (ESTg), The Environment &amp; Resource Efficiency Cluster (EREC), Nazarbayev University, </w:t>
      </w:r>
      <w:r w:rsidR="009468AA">
        <w:t>Astana</w:t>
      </w:r>
      <w:r w:rsidR="002727CE" w:rsidRPr="003450FC">
        <w:t>, Kazakhstan</w:t>
      </w:r>
      <w:bookmarkStart w:id="0" w:name="_GoBack"/>
      <w:bookmarkEnd w:id="0"/>
    </w:p>
    <w:p w14:paraId="293F6879" w14:textId="797ABF69" w:rsidR="00415855" w:rsidRDefault="00415855" w:rsidP="00415855">
      <w:pPr>
        <w:pStyle w:val="CETAddress"/>
      </w:pPr>
      <w:r>
        <w:rPr>
          <w:vertAlign w:val="superscript"/>
        </w:rPr>
        <w:t>b</w:t>
      </w:r>
      <w:r>
        <w:t xml:space="preserve"> Chemistry Department, </w:t>
      </w:r>
      <w:r w:rsidR="004E61A6" w:rsidRPr="004E61A6">
        <w:t>School of Sciences and Humanities</w:t>
      </w:r>
      <w:r w:rsidRPr="003450FC">
        <w:t xml:space="preserve">, Environmental Science &amp; Technology Group (ESTg), The Environment &amp; Resource Efficiency Cluster (EREC), Nazarbayev University, </w:t>
      </w:r>
      <w:r w:rsidR="009468AA">
        <w:t>Astana</w:t>
      </w:r>
      <w:r w:rsidRPr="003450FC">
        <w:t>, Kazakhstan</w:t>
      </w:r>
    </w:p>
    <w:p w14:paraId="0097B5CA" w14:textId="37A2046D" w:rsidR="00415855" w:rsidRDefault="00415855" w:rsidP="00415855">
      <w:pPr>
        <w:pStyle w:val="CETAddress"/>
      </w:pPr>
      <w:r>
        <w:rPr>
          <w:vertAlign w:val="superscript"/>
        </w:rPr>
        <w:t>c</w:t>
      </w:r>
      <w:r>
        <w:t xml:space="preserve"> </w:t>
      </w:r>
      <w:r w:rsidRPr="00415855">
        <w:t>Civil and Envir</w:t>
      </w:r>
      <w:r>
        <w:t xml:space="preserve">onmental Engineering Department, </w:t>
      </w:r>
      <w:r w:rsidRPr="003450FC">
        <w:t xml:space="preserve">School of Engineering and Digital Sciences, Environmental Science &amp; Technology Group (ESTg), The Environment &amp; Resource Efficiency Cluster (EREC), Nazarbayev University, </w:t>
      </w:r>
      <w:r w:rsidR="009468AA">
        <w:t>Astana</w:t>
      </w:r>
      <w:r w:rsidRPr="003450FC">
        <w:t>, Kazakhstan</w:t>
      </w:r>
    </w:p>
    <w:p w14:paraId="2D97BF28" w14:textId="77777777" w:rsidR="00832DD6" w:rsidRPr="00B57B36" w:rsidRDefault="00832DD6" w:rsidP="002727CE">
      <w:pPr>
        <w:pStyle w:val="CETAddress"/>
      </w:pPr>
    </w:p>
    <w:p w14:paraId="41303FB7" w14:textId="3FE69C80" w:rsidR="002727CE" w:rsidRPr="00B57B36" w:rsidRDefault="002727CE" w:rsidP="002727CE">
      <w:pPr>
        <w:pStyle w:val="CETemail"/>
      </w:pPr>
      <w:r>
        <w:t>yerkanat.kanafin</w:t>
      </w:r>
      <w:r w:rsidRPr="00E42E90">
        <w:t>@nu.edu.kz</w:t>
      </w:r>
    </w:p>
    <w:p w14:paraId="060DD9FB" w14:textId="7EB9C2C5" w:rsidR="000B7697" w:rsidRPr="00997CF4" w:rsidRDefault="003F2B99" w:rsidP="002A168A">
      <w:pPr>
        <w:pStyle w:val="CETBodytext"/>
        <w:rPr>
          <w:lang w:val="en-GB"/>
        </w:rPr>
      </w:pPr>
      <w:r w:rsidRPr="00415855">
        <w:rPr>
          <w:lang w:val="en-GB"/>
        </w:rPr>
        <w:t xml:space="preserve">Conventional wastewater treatment plants are mainly based on biological treatment technologies </w:t>
      </w:r>
      <w:r w:rsidR="00576715" w:rsidRPr="00415855">
        <w:rPr>
          <w:lang w:val="en-GB"/>
        </w:rPr>
        <w:t>that</w:t>
      </w:r>
      <w:r w:rsidRPr="00415855">
        <w:rPr>
          <w:lang w:val="en-GB"/>
        </w:rPr>
        <w:t xml:space="preserve"> </w:t>
      </w:r>
      <w:r w:rsidR="000D3FE8" w:rsidRPr="00415855">
        <w:rPr>
          <w:lang w:val="en-GB"/>
        </w:rPr>
        <w:t xml:space="preserve">do not suit </w:t>
      </w:r>
      <w:r w:rsidR="00381754">
        <w:rPr>
          <w:lang w:val="en-GB"/>
        </w:rPr>
        <w:t xml:space="preserve">for </w:t>
      </w:r>
      <w:r w:rsidR="00576715" w:rsidRPr="00415855">
        <w:rPr>
          <w:lang w:val="en-GB"/>
        </w:rPr>
        <w:t xml:space="preserve">the </w:t>
      </w:r>
      <w:r w:rsidR="002D4EC0" w:rsidRPr="00415855">
        <w:rPr>
          <w:lang w:val="en-GB"/>
        </w:rPr>
        <w:t xml:space="preserve">removal of some </w:t>
      </w:r>
      <w:r w:rsidR="00262E37">
        <w:rPr>
          <w:lang w:val="en-GB"/>
        </w:rPr>
        <w:t xml:space="preserve">organic </w:t>
      </w:r>
      <w:r w:rsidR="002D4EC0" w:rsidRPr="00415855">
        <w:rPr>
          <w:lang w:val="en-GB"/>
        </w:rPr>
        <w:t>pollutants</w:t>
      </w:r>
      <w:r w:rsidR="00262E37">
        <w:rPr>
          <w:lang w:val="en-GB"/>
        </w:rPr>
        <w:t xml:space="preserve"> in cold climate regions</w:t>
      </w:r>
      <w:r w:rsidR="002D4EC0" w:rsidRPr="00415855">
        <w:rPr>
          <w:lang w:val="en-GB"/>
        </w:rPr>
        <w:t xml:space="preserve">. Therefore, the </w:t>
      </w:r>
      <w:r w:rsidR="000D3FE8" w:rsidRPr="00415855">
        <w:rPr>
          <w:lang w:val="en-GB"/>
        </w:rPr>
        <w:t xml:space="preserve">research on </w:t>
      </w:r>
      <w:r w:rsidR="002D4EC0" w:rsidRPr="00415855">
        <w:rPr>
          <w:lang w:val="en-GB"/>
        </w:rPr>
        <w:t xml:space="preserve">complementary or post-treatment technologies </w:t>
      </w:r>
      <w:r w:rsidR="00FF3D21" w:rsidRPr="00415855">
        <w:rPr>
          <w:lang w:val="en-GB"/>
        </w:rPr>
        <w:t xml:space="preserve">such as advanced oxidation processes (AOPs) </w:t>
      </w:r>
      <w:r w:rsidR="002D4EC0" w:rsidRPr="00415855">
        <w:rPr>
          <w:lang w:val="en-GB"/>
        </w:rPr>
        <w:t xml:space="preserve">is important. </w:t>
      </w:r>
      <w:r w:rsidR="00FF3D21" w:rsidRPr="00415855">
        <w:rPr>
          <w:lang w:val="en-GB"/>
        </w:rPr>
        <w:t xml:space="preserve">AOPs are mainly based on </w:t>
      </w:r>
      <w:r w:rsidR="00576715" w:rsidRPr="00415855">
        <w:rPr>
          <w:lang w:val="en-GB"/>
        </w:rPr>
        <w:t xml:space="preserve">the </w:t>
      </w:r>
      <w:r w:rsidR="00FF3D21" w:rsidRPr="00415855">
        <w:rPr>
          <w:lang w:val="en-GB"/>
        </w:rPr>
        <w:t xml:space="preserve">generation of hydroxyl and sulfate radicals for further oxidation of the pollutants. In this work, </w:t>
      </w:r>
      <w:r w:rsidR="00997CF4" w:rsidRPr="00415855">
        <w:rPr>
          <w:lang w:val="en-GB"/>
        </w:rPr>
        <w:t xml:space="preserve">the </w:t>
      </w:r>
      <w:r w:rsidR="00FF3D21" w:rsidRPr="00415855">
        <w:rPr>
          <w:lang w:val="en-GB"/>
        </w:rPr>
        <w:t xml:space="preserve">sources of the sulfate </w:t>
      </w:r>
      <w:r w:rsidR="00997CF4" w:rsidRPr="00415855">
        <w:rPr>
          <w:lang w:val="en-GB"/>
        </w:rPr>
        <w:t xml:space="preserve">radicals such as potassium persulfate </w:t>
      </w:r>
      <w:r w:rsidR="000B7697" w:rsidRPr="00415855">
        <w:rPr>
          <w:lang w:val="en-GB"/>
        </w:rPr>
        <w:t>(</w:t>
      </w:r>
      <w:r w:rsidR="00997CF4" w:rsidRPr="00415855">
        <w:rPr>
          <w:lang w:val="en-GB"/>
        </w:rPr>
        <w:t>K</w:t>
      </w:r>
      <w:r w:rsidR="00997CF4" w:rsidRPr="00415855">
        <w:rPr>
          <w:vertAlign w:val="subscript"/>
          <w:lang w:val="en-GB"/>
        </w:rPr>
        <w:t>2</w:t>
      </w:r>
      <w:r w:rsidR="00997CF4" w:rsidRPr="00415855">
        <w:rPr>
          <w:lang w:val="en-GB"/>
        </w:rPr>
        <w:t>S</w:t>
      </w:r>
      <w:r w:rsidR="00997CF4" w:rsidRPr="00415855">
        <w:rPr>
          <w:vertAlign w:val="subscript"/>
          <w:lang w:val="en-GB"/>
        </w:rPr>
        <w:t>2</w:t>
      </w:r>
      <w:r w:rsidR="00997CF4" w:rsidRPr="00415855">
        <w:rPr>
          <w:lang w:val="en-GB"/>
        </w:rPr>
        <w:t>O</w:t>
      </w:r>
      <w:r w:rsidR="00997CF4" w:rsidRPr="00415855">
        <w:rPr>
          <w:vertAlign w:val="subscript"/>
          <w:lang w:val="en-GB"/>
        </w:rPr>
        <w:t>8</w:t>
      </w:r>
      <w:r w:rsidR="000B7697" w:rsidRPr="00415855">
        <w:rPr>
          <w:lang w:val="en-GB"/>
        </w:rPr>
        <w:t>), sodium persulfate (</w:t>
      </w:r>
      <w:r w:rsidR="007C2622" w:rsidRPr="00415855">
        <w:rPr>
          <w:lang w:val="en-GB"/>
        </w:rPr>
        <w:t>Na</w:t>
      </w:r>
      <w:r w:rsidR="000B7697" w:rsidRPr="00415855">
        <w:rPr>
          <w:vertAlign w:val="subscript"/>
          <w:lang w:val="en-GB"/>
        </w:rPr>
        <w:t>2</w:t>
      </w:r>
      <w:r w:rsidR="000B7697" w:rsidRPr="00415855">
        <w:rPr>
          <w:lang w:val="en-GB"/>
        </w:rPr>
        <w:t>S</w:t>
      </w:r>
      <w:r w:rsidR="000B7697" w:rsidRPr="00415855">
        <w:rPr>
          <w:vertAlign w:val="subscript"/>
          <w:lang w:val="en-GB"/>
        </w:rPr>
        <w:t>2</w:t>
      </w:r>
      <w:r w:rsidR="000B7697" w:rsidRPr="00415855">
        <w:rPr>
          <w:lang w:val="en-GB"/>
        </w:rPr>
        <w:t>O</w:t>
      </w:r>
      <w:r w:rsidR="000B7697" w:rsidRPr="00415855">
        <w:rPr>
          <w:vertAlign w:val="subscript"/>
          <w:lang w:val="en-GB"/>
        </w:rPr>
        <w:t>8</w:t>
      </w:r>
      <w:r w:rsidR="000B7697" w:rsidRPr="00415855">
        <w:rPr>
          <w:lang w:val="en-GB"/>
        </w:rPr>
        <w:t>)</w:t>
      </w:r>
      <w:r w:rsidR="00576715" w:rsidRPr="00415855">
        <w:rPr>
          <w:lang w:val="en-GB"/>
        </w:rPr>
        <w:t>,</w:t>
      </w:r>
      <w:r w:rsidR="000B7697" w:rsidRPr="00415855">
        <w:rPr>
          <w:lang w:val="en-GB"/>
        </w:rPr>
        <w:t xml:space="preserve"> and ammonium persulfate</w:t>
      </w:r>
      <w:r w:rsidR="007C2622" w:rsidRPr="00415855">
        <w:rPr>
          <w:lang w:val="en-GB"/>
        </w:rPr>
        <w:t xml:space="preserve"> ((NH</w:t>
      </w:r>
      <w:r w:rsidR="007C2622" w:rsidRPr="00415855">
        <w:rPr>
          <w:vertAlign w:val="subscript"/>
          <w:lang w:val="en-GB"/>
        </w:rPr>
        <w:t>4</w:t>
      </w:r>
      <w:r w:rsidR="007C2622" w:rsidRPr="00415855">
        <w:rPr>
          <w:lang w:val="en-GB"/>
        </w:rPr>
        <w:t>)</w:t>
      </w:r>
      <w:r w:rsidR="007C2622" w:rsidRPr="00415855">
        <w:rPr>
          <w:vertAlign w:val="subscript"/>
          <w:lang w:val="en-GB"/>
        </w:rPr>
        <w:t>2</w:t>
      </w:r>
      <w:r w:rsidR="007C2622" w:rsidRPr="00415855">
        <w:rPr>
          <w:lang w:val="en-GB"/>
        </w:rPr>
        <w:t>S</w:t>
      </w:r>
      <w:r w:rsidR="007C2622" w:rsidRPr="00415855">
        <w:rPr>
          <w:vertAlign w:val="subscript"/>
          <w:lang w:val="en-GB"/>
        </w:rPr>
        <w:t>2</w:t>
      </w:r>
      <w:r w:rsidR="007C2622" w:rsidRPr="00415855">
        <w:rPr>
          <w:lang w:val="en-GB"/>
        </w:rPr>
        <w:t>O</w:t>
      </w:r>
      <w:r w:rsidR="007C2622" w:rsidRPr="00415855">
        <w:rPr>
          <w:vertAlign w:val="subscript"/>
          <w:lang w:val="en-GB"/>
        </w:rPr>
        <w:t>8</w:t>
      </w:r>
      <w:r w:rsidR="007C2622" w:rsidRPr="00415855">
        <w:rPr>
          <w:lang w:val="en-GB"/>
        </w:rPr>
        <w:t>)</w:t>
      </w:r>
      <w:r w:rsidR="000B7697" w:rsidRPr="00415855">
        <w:rPr>
          <w:lang w:val="en-GB"/>
        </w:rPr>
        <w:t xml:space="preserve"> were compared </w:t>
      </w:r>
      <w:r w:rsidR="00C05296">
        <w:rPr>
          <w:lang w:val="en-GB"/>
        </w:rPr>
        <w:t>in term</w:t>
      </w:r>
      <w:r w:rsidR="007C2622" w:rsidRPr="00415855">
        <w:rPr>
          <w:lang w:val="en-GB"/>
        </w:rPr>
        <w:t xml:space="preserve"> of the total organic carbon (TOC) </w:t>
      </w:r>
      <w:r w:rsidR="00C05296">
        <w:rPr>
          <w:lang w:val="en-GB"/>
        </w:rPr>
        <w:t xml:space="preserve">removal </w:t>
      </w:r>
      <w:r w:rsidR="005F2D5D" w:rsidRPr="00415855">
        <w:rPr>
          <w:lang w:val="en-GB"/>
        </w:rPr>
        <w:t xml:space="preserve">from the </w:t>
      </w:r>
      <w:r w:rsidR="0060147B" w:rsidRPr="00415855">
        <w:rPr>
          <w:lang w:val="en-GB"/>
        </w:rPr>
        <w:t xml:space="preserve">synthetic </w:t>
      </w:r>
      <w:r w:rsidR="005F2D5D" w:rsidRPr="00415855">
        <w:rPr>
          <w:lang w:val="en-GB"/>
        </w:rPr>
        <w:t>wastewater</w:t>
      </w:r>
      <w:r w:rsidR="00BF5CE3" w:rsidRPr="00415855">
        <w:rPr>
          <w:lang w:val="en-GB"/>
        </w:rPr>
        <w:t xml:space="preserve"> </w:t>
      </w:r>
      <w:r w:rsidR="003658EF">
        <w:rPr>
          <w:lang w:val="en-GB"/>
        </w:rPr>
        <w:t xml:space="preserve">at </w:t>
      </w:r>
      <w:r w:rsidR="00BF5CE3" w:rsidRPr="00415855">
        <w:rPr>
          <w:lang w:val="en-GB"/>
        </w:rPr>
        <w:t>low temperature</w:t>
      </w:r>
      <w:r w:rsidR="008F07A9" w:rsidRPr="00415855">
        <w:rPr>
          <w:lang w:val="en-GB"/>
        </w:rPr>
        <w:t>.</w:t>
      </w:r>
      <w:r w:rsidR="005F2D5D" w:rsidRPr="00415855">
        <w:rPr>
          <w:lang w:val="en-GB"/>
        </w:rPr>
        <w:t xml:space="preserve"> </w:t>
      </w:r>
      <w:r w:rsidR="008F07A9" w:rsidRPr="00415855">
        <w:rPr>
          <w:lang w:val="en-GB"/>
        </w:rPr>
        <w:t>For this purpose, a three-level Box-Behnken design (BBD) in conjunction with the response surface methodology ha</w:t>
      </w:r>
      <w:r w:rsidR="00576715" w:rsidRPr="00415855">
        <w:rPr>
          <w:lang w:val="en-GB"/>
        </w:rPr>
        <w:t>s</w:t>
      </w:r>
      <w:r w:rsidR="008F07A9" w:rsidRPr="00415855">
        <w:rPr>
          <w:lang w:val="en-GB"/>
        </w:rPr>
        <w:t xml:space="preserve"> been used. </w:t>
      </w:r>
      <w:r w:rsidR="0060147B" w:rsidRPr="00415855">
        <w:rPr>
          <w:lang w:val="en-GB"/>
        </w:rPr>
        <w:t xml:space="preserve">UV irradiation at 254 nm, </w:t>
      </w:r>
      <w:r w:rsidR="00576715" w:rsidRPr="00415855">
        <w:rPr>
          <w:lang w:val="en-GB"/>
        </w:rPr>
        <w:t xml:space="preserve">the </w:t>
      </w:r>
      <w:r w:rsidR="0060147B" w:rsidRPr="00415855">
        <w:rPr>
          <w:lang w:val="en-GB"/>
        </w:rPr>
        <w:t xml:space="preserve">reaction time of </w:t>
      </w:r>
      <w:r w:rsidR="00B96ECF" w:rsidRPr="00415855">
        <w:rPr>
          <w:lang w:val="en-GB"/>
        </w:rPr>
        <w:t>12</w:t>
      </w:r>
      <w:r w:rsidR="0060147B" w:rsidRPr="00415855">
        <w:rPr>
          <w:lang w:val="en-GB"/>
        </w:rPr>
        <w:t>0 min</w:t>
      </w:r>
      <w:r w:rsidR="00576715" w:rsidRPr="00415855">
        <w:rPr>
          <w:lang w:val="en-GB"/>
        </w:rPr>
        <w:t>,</w:t>
      </w:r>
      <w:r w:rsidR="0060147B" w:rsidRPr="00415855">
        <w:rPr>
          <w:lang w:val="en-GB"/>
        </w:rPr>
        <w:t xml:space="preserve"> and Fe</w:t>
      </w:r>
      <w:r w:rsidR="0060147B" w:rsidRPr="00415855">
        <w:rPr>
          <w:vertAlign w:val="superscript"/>
          <w:lang w:val="en-GB"/>
        </w:rPr>
        <w:t>2+</w:t>
      </w:r>
      <w:r w:rsidR="00B96ECF" w:rsidRPr="00415855">
        <w:rPr>
          <w:lang w:val="en-GB"/>
        </w:rPr>
        <w:t xml:space="preserve"> dosage at 1</w:t>
      </w:r>
      <w:r w:rsidR="0060147B" w:rsidRPr="00415855">
        <w:rPr>
          <w:lang w:val="en-GB"/>
        </w:rPr>
        <w:t xml:space="preserve">0 mg/L were used as hold values. According to the </w:t>
      </w:r>
      <w:r w:rsidR="00B64027" w:rsidRPr="00415855">
        <w:rPr>
          <w:lang w:val="en-GB"/>
        </w:rPr>
        <w:t>a</w:t>
      </w:r>
      <w:r w:rsidR="0060147B" w:rsidRPr="00415855">
        <w:rPr>
          <w:lang w:val="en-GB"/>
        </w:rPr>
        <w:t xml:space="preserve">nalysis of variance (ANOVA), the </w:t>
      </w:r>
      <w:r w:rsidR="00B64027" w:rsidRPr="00415855">
        <w:rPr>
          <w:lang w:val="en-GB"/>
        </w:rPr>
        <w:t xml:space="preserve">BBD-RSM </w:t>
      </w:r>
      <w:r w:rsidR="0060147B" w:rsidRPr="00415855">
        <w:rPr>
          <w:lang w:val="en-GB"/>
        </w:rPr>
        <w:t>model</w:t>
      </w:r>
      <w:r w:rsidR="00B64027" w:rsidRPr="00415855">
        <w:rPr>
          <w:lang w:val="en-GB"/>
        </w:rPr>
        <w:t>s</w:t>
      </w:r>
      <w:r w:rsidR="0060147B" w:rsidRPr="00415855">
        <w:rPr>
          <w:lang w:val="en-GB"/>
        </w:rPr>
        <w:t xml:space="preserve"> for TOC remova</w:t>
      </w:r>
      <w:r w:rsidR="00B96ECF" w:rsidRPr="00415855">
        <w:rPr>
          <w:lang w:val="en-GB"/>
        </w:rPr>
        <w:t xml:space="preserve">l </w:t>
      </w:r>
      <w:r w:rsidR="0060147B" w:rsidRPr="00415855">
        <w:rPr>
          <w:lang w:val="en-GB"/>
        </w:rPr>
        <w:t xml:space="preserve">showed </w:t>
      </w:r>
      <w:r w:rsidR="00B64027" w:rsidRPr="00415855">
        <w:rPr>
          <w:lang w:val="en-GB"/>
        </w:rPr>
        <w:t xml:space="preserve">significant regression coefficients </w:t>
      </w:r>
      <w:r w:rsidR="00BF5CE3" w:rsidRPr="00415855">
        <w:rPr>
          <w:lang w:val="en-GB"/>
        </w:rPr>
        <w:t>(R</w:t>
      </w:r>
      <w:r w:rsidR="00BF5CE3" w:rsidRPr="00415855">
        <w:rPr>
          <w:vertAlign w:val="superscript"/>
          <w:lang w:val="en-GB"/>
        </w:rPr>
        <w:t>2</w:t>
      </w:r>
      <w:r w:rsidR="00BF5CE3" w:rsidRPr="00415855">
        <w:rPr>
          <w:lang w:val="en-GB"/>
        </w:rPr>
        <w:t xml:space="preserve"> = </w:t>
      </w:r>
      <w:r w:rsidR="00172F88" w:rsidRPr="00415855">
        <w:rPr>
          <w:lang w:val="en-GB"/>
        </w:rPr>
        <w:t>0.9753</w:t>
      </w:r>
      <w:r w:rsidR="00BF5CE3" w:rsidRPr="00415855">
        <w:rPr>
          <w:lang w:val="en-GB"/>
        </w:rPr>
        <w:t>, adjusted-R</w:t>
      </w:r>
      <w:r w:rsidR="00BF5CE3" w:rsidRPr="00415855">
        <w:rPr>
          <w:vertAlign w:val="superscript"/>
          <w:lang w:val="en-GB"/>
        </w:rPr>
        <w:t>2</w:t>
      </w:r>
      <w:r w:rsidR="00BF5CE3" w:rsidRPr="00415855">
        <w:rPr>
          <w:lang w:val="en-GB"/>
        </w:rPr>
        <w:t xml:space="preserve"> = </w:t>
      </w:r>
      <w:r w:rsidR="00172F88" w:rsidRPr="00415855">
        <w:rPr>
          <w:lang w:val="en-GB"/>
        </w:rPr>
        <w:t>0.9309,</w:t>
      </w:r>
      <w:r w:rsidR="00BF5CE3" w:rsidRPr="00415855">
        <w:rPr>
          <w:lang w:val="en-GB"/>
        </w:rPr>
        <w:t xml:space="preserve"> </w:t>
      </w:r>
      <w:r w:rsidR="00B64027" w:rsidRPr="00415855">
        <w:rPr>
          <w:lang w:val="en-GB"/>
        </w:rPr>
        <w:t>and</w:t>
      </w:r>
      <w:r w:rsidR="00172F88" w:rsidRPr="00415855">
        <w:rPr>
          <w:lang w:val="en-GB"/>
        </w:rPr>
        <w:t xml:space="preserve"> predicted-R</w:t>
      </w:r>
      <w:r w:rsidR="00172F88" w:rsidRPr="00415855">
        <w:rPr>
          <w:vertAlign w:val="superscript"/>
          <w:lang w:val="en-GB"/>
        </w:rPr>
        <w:t>2</w:t>
      </w:r>
      <w:r w:rsidR="00172F88" w:rsidRPr="00415855">
        <w:rPr>
          <w:lang w:val="en-GB"/>
        </w:rPr>
        <w:t xml:space="preserve"> = 0.6221)</w:t>
      </w:r>
      <w:r w:rsidR="00B64027" w:rsidRPr="00415855">
        <w:rPr>
          <w:lang w:val="en-GB"/>
        </w:rPr>
        <w:t xml:space="preserve">. </w:t>
      </w:r>
      <w:r w:rsidR="00B96ECF" w:rsidRPr="00415855">
        <w:rPr>
          <w:lang w:val="en-GB"/>
        </w:rPr>
        <w:t xml:space="preserve">Pareto chart indicated that </w:t>
      </w:r>
      <w:r w:rsidR="006B1767">
        <w:rPr>
          <w:lang w:val="en-GB"/>
        </w:rPr>
        <w:t xml:space="preserve">the concentration of the </w:t>
      </w:r>
      <w:r w:rsidR="00B96ECF" w:rsidRPr="00415855">
        <w:rPr>
          <w:lang w:val="en-GB"/>
        </w:rPr>
        <w:t xml:space="preserve">ammonium </w:t>
      </w:r>
      <w:r w:rsidR="00B64027" w:rsidRPr="00415855">
        <w:rPr>
          <w:lang w:val="en-GB"/>
        </w:rPr>
        <w:t xml:space="preserve">persulfate </w:t>
      </w:r>
      <w:r w:rsidR="00B96ECF" w:rsidRPr="00415855">
        <w:rPr>
          <w:lang w:val="en-GB"/>
        </w:rPr>
        <w:t>was the most significant factor</w:t>
      </w:r>
      <w:r w:rsidR="003658EF">
        <w:rPr>
          <w:lang w:val="en-GB"/>
        </w:rPr>
        <w:t xml:space="preserve"> at 12</w:t>
      </w:r>
      <w:r w:rsidR="003658EF" w:rsidRPr="003658EF">
        <w:t xml:space="preserve"> </w:t>
      </w:r>
      <w:r w:rsidR="003658EF">
        <w:rPr>
          <w:lang w:val="en-GB"/>
        </w:rPr>
        <w:t>°C</w:t>
      </w:r>
      <w:r w:rsidR="00576715" w:rsidRPr="00415855">
        <w:rPr>
          <w:lang w:val="en-GB"/>
        </w:rPr>
        <w:t>.</w:t>
      </w:r>
    </w:p>
    <w:p w14:paraId="2B0CD3F3" w14:textId="77777777" w:rsidR="004F06C1" w:rsidRPr="00353A3F" w:rsidRDefault="004F06C1" w:rsidP="004F06C1">
      <w:pPr>
        <w:pStyle w:val="CETBodytext"/>
        <w:rPr>
          <w:lang w:val="en-GB"/>
        </w:rPr>
      </w:pPr>
    </w:p>
    <w:p w14:paraId="262BE0DA" w14:textId="77777777" w:rsidR="004F06C1" w:rsidRPr="00353A3F" w:rsidRDefault="004F06C1" w:rsidP="004F06C1">
      <w:pPr>
        <w:pStyle w:val="CETHeading1"/>
        <w:rPr>
          <w:lang w:val="en-GB"/>
        </w:rPr>
      </w:pPr>
      <w:r w:rsidRPr="00353A3F">
        <w:rPr>
          <w:lang w:val="en-GB"/>
        </w:rPr>
        <w:t>Introduction</w:t>
      </w:r>
    </w:p>
    <w:p w14:paraId="3A003529" w14:textId="77777777" w:rsidR="00E43346" w:rsidRPr="00C710CC" w:rsidRDefault="00E43346" w:rsidP="00692403">
      <w:pPr>
        <w:pBdr>
          <w:top w:val="nil"/>
          <w:left w:val="nil"/>
          <w:bottom w:val="nil"/>
          <w:right w:val="nil"/>
          <w:between w:val="nil"/>
        </w:pBdr>
        <w:rPr>
          <w:rFonts w:eastAsia="Arial" w:cs="Arial"/>
          <w:szCs w:val="18"/>
        </w:rPr>
      </w:pPr>
      <w:r w:rsidRPr="00C710CC">
        <w:rPr>
          <w:rFonts w:eastAsia="Arial" w:cs="Arial"/>
          <w:szCs w:val="18"/>
        </w:rPr>
        <w:t xml:space="preserve">The amount of wastewater generated by the usage of water for human activities and industry is accelerating rapidly. According to the recent report 70% of the generated wastewater is treated in the high-income countries. On contrary, the portion of the treated wastewater was in the range between 38% and 8% for middle-income and low-income countries, respectively </w:t>
      </w:r>
      <w:r w:rsidRPr="00C710CC">
        <w:rPr>
          <w:rFonts w:eastAsia="Arial" w:cs="Arial"/>
          <w:szCs w:val="18"/>
        </w:rPr>
        <w:fldChar w:fldCharType="begin" w:fldLock="1"/>
      </w:r>
      <w:r w:rsidRPr="00C710CC">
        <w:rPr>
          <w:rFonts w:eastAsia="Arial" w:cs="Arial"/>
          <w:szCs w:val="18"/>
        </w:rPr>
        <w:instrText>ADDIN CSL_CITATION {"citationItems":[{"id":"ITEM-1","itemData":{"DOI":"10.1016/j.agwat.2013.08.007","ISSN":"03783774","abstract":"Irrigation with wastewater supports agricultural production and the livelihoods of millions of smallholder farmers in many parts of the world. Considering the importance of better wastewater management at the local and national levels, there is a need for updated national data on wastewater generation, treatment, and use, which would also assist in regional and global wastewater assessments. While searching data and literature in published or electronic forms for 181 countries, we find that only 55 countries have data available on all three aspects of wastewater - generation, treatment, and use. The number of countries with one or two aspects of wastewater generation, treatment, and use is 69, while there is no information available from 57 countries. Of the available information, only 37% of the data could be categorized as recent (reported during 2008-2012). The available data suggest that high-income countries on average treat 70% of the generated wastewater, followed by upper-middle-income countries (38%), lower-middle-income countries (28%), and low-income countries, where only 8% of the wastewater generated is treated. The availability of current information on wastewater generation, treatment, and use is crucially important for policy makers, researchers, and practitioners, as well as public institutions, to develop national and local action plans aiming at safe and productive use of wastewater in agriculture, aquaculture, and agroforestry systems. The country level information aggregated at the regional and global levels would help in identifying the gaps in pertinent data availability and assessing the potential of wastewater in food, feed, and fish production at different scales. © 2013 Elsevier B.V.","author":[{"dropping-particle":"","family":"Sato","given":"Toshio","non-dropping-particle":"","parse-names":false,"suffix":""},{"dropping-particle":"","family":"Qadir","given":"Manzoor","non-dropping-particle":"","parse-names":false,"suffix":""},{"dropping-particle":"","family":"Yamamoto","given":"Sadahiro","non-dropping-particle":"","parse-names":false,"suffix":""},{"dropping-particle":"","family":"Endo","given":"Tsuneyoshi","non-dropping-particle":"","parse-names":false,"suffix":""},{"dropping-particle":"","family":"Zahoor","given":"Ahmad","non-dropping-particle":"","parse-names":false,"suffix":""}],"container-title":"Agricultural Water Management","id":"ITEM-1","issued":{"date-parts":[["2013"]]},"page":"1-13","publisher":"Elsevier B.V.","title":"Global, regional, and country level need for data on wastewater generation, treatment, and use","type":"article-journal","volume":"130"},"uris":["http://www.mendeley.com/documents/?uuid=40ba439e-9b7c-4424-a80d-b2ac48cbfbb4"]}],"mendeley":{"formattedCitation":"(Sato et al. 2013)","plainTextFormattedCitation":"(Sato et al. 2013)","previouslyFormattedCitation":"(Sato et al. 2013)"},"properties":{"noteIndex":0},"schema":"https://github.com/citation-style-language/schema/raw/master/csl-citation.json"}</w:instrText>
      </w:r>
      <w:r w:rsidRPr="00C710CC">
        <w:rPr>
          <w:rFonts w:eastAsia="Arial" w:cs="Arial"/>
          <w:szCs w:val="18"/>
        </w:rPr>
        <w:fldChar w:fldCharType="separate"/>
      </w:r>
      <w:r w:rsidRPr="00C710CC">
        <w:rPr>
          <w:rFonts w:eastAsia="Arial" w:cs="Arial"/>
          <w:noProof/>
          <w:szCs w:val="18"/>
        </w:rPr>
        <w:t>(Sato et al. 2013)</w:t>
      </w:r>
      <w:r w:rsidRPr="00C710CC">
        <w:rPr>
          <w:rFonts w:eastAsia="Arial" w:cs="Arial"/>
          <w:szCs w:val="18"/>
        </w:rPr>
        <w:fldChar w:fldCharType="end"/>
      </w:r>
      <w:r w:rsidRPr="00C710CC">
        <w:rPr>
          <w:rFonts w:eastAsia="Arial" w:cs="Arial"/>
          <w:szCs w:val="18"/>
        </w:rPr>
        <w:t xml:space="preserve">. The problems associated with the wastewater generation and treatment will intensify in the future due to the water scarcity and population growth. Therefore the swift actions must be made in order to create a wastewater treatment technique to produce a water of the certain quality. The treated wastewater could be used for irrigation, drinking, or for general use in human activities </w:t>
      </w:r>
      <w:r w:rsidRPr="00C710CC">
        <w:rPr>
          <w:rFonts w:eastAsia="Arial" w:cs="Arial"/>
          <w:szCs w:val="18"/>
        </w:rPr>
        <w:fldChar w:fldCharType="begin" w:fldLock="1"/>
      </w:r>
      <w:r w:rsidRPr="00C710CC">
        <w:rPr>
          <w:rFonts w:eastAsia="Arial" w:cs="Arial"/>
          <w:szCs w:val="18"/>
        </w:rPr>
        <w:instrText>ADDIN CSL_CITATION {"citationItems":[{"id":"ITEM-1","itemData":{"DOI":"10.1016/j.agwat.2013.08.007","ISSN":"03783774","abstract":"Irrigation with wastewater supports agricultural production and the livelihoods of millions of smallholder farmers in many parts of the world. Considering the importance of better wastewater management at the local and national levels, there is a need for updated national data on wastewater generation, treatment, and use, which would also assist in regional and global wastewater assessments. While searching data and literature in published or electronic forms for 181 countries, we find that only 55 countries have data available on all three aspects of wastewater - generation, treatment, and use. The number of countries with one or two aspects of wastewater generation, treatment, and use is 69, while there is no information available from 57 countries. Of the available information, only 37% of the data could be categorized as recent (reported during 2008-2012). The available data suggest that high-income countries on average treat 70% of the generated wastewater, followed by upper-middle-income countries (38%), lower-middle-income countries (28%), and low-income countries, where only 8% of the wastewater generated is treated. The availability of current information on wastewater generation, treatment, and use is crucially important for policy makers, researchers, and practitioners, as well as public institutions, to develop national and local action plans aiming at safe and productive use of wastewater in agriculture, aquaculture, and agroforestry systems. The country level information aggregated at the regional and global levels would help in identifying the gaps in pertinent data availability and assessing the potential of wastewater in food, feed, and fish production at different scales. © 2013 Elsevier B.V.","author":[{"dropping-particle":"","family":"Sato","given":"Toshio","non-dropping-particle":"","parse-names":false,"suffix":""},{"dropping-particle":"","family":"Qadir","given":"Manzoor","non-dropping-particle":"","parse-names":false,"suffix":""},{"dropping-particle":"","family":"Yamamoto","given":"Sadahiro","non-dropping-particle":"","parse-names":false,"suffix":""},{"dropping-particle":"","family":"Endo","given":"Tsuneyoshi","non-dropping-particle":"","parse-names":false,"suffix":""},{"dropping-particle":"","family":"Zahoor","given":"Ahmad","non-dropping-particle":"","parse-names":false,"suffix":""}],"container-title":"Agricultural Water Management","id":"ITEM-1","issued":{"date-parts":[["2013"]]},"page":"1-13","publisher":"Elsevier B.V.","title":"Global, regional, and country level need for data on wastewater generation, treatment, and use","type":"article-journal","volume":"130"},"uris":["http://www.mendeley.com/documents/?uuid=40ba439e-9b7c-4424-a80d-b2ac48cbfbb4"]}],"mendeley":{"formattedCitation":"(Sato et al. 2013)","plainTextFormattedCitation":"(Sato et al. 2013)","previouslyFormattedCitation":"(Sato et al. 2013)"},"properties":{"noteIndex":0},"schema":"https://github.com/citation-style-language/schema/raw/master/csl-citation.json"}</w:instrText>
      </w:r>
      <w:r w:rsidRPr="00C710CC">
        <w:rPr>
          <w:rFonts w:eastAsia="Arial" w:cs="Arial"/>
          <w:szCs w:val="18"/>
        </w:rPr>
        <w:fldChar w:fldCharType="separate"/>
      </w:r>
      <w:r w:rsidRPr="00C710CC">
        <w:rPr>
          <w:rFonts w:eastAsia="Arial" w:cs="Arial"/>
          <w:noProof/>
          <w:szCs w:val="18"/>
        </w:rPr>
        <w:t>(Sato et al. 2013)</w:t>
      </w:r>
      <w:r w:rsidRPr="00C710CC">
        <w:rPr>
          <w:rFonts w:eastAsia="Arial" w:cs="Arial"/>
          <w:szCs w:val="18"/>
        </w:rPr>
        <w:fldChar w:fldCharType="end"/>
      </w:r>
      <w:r w:rsidRPr="00C710CC">
        <w:rPr>
          <w:rFonts w:eastAsia="Arial" w:cs="Arial"/>
          <w:szCs w:val="18"/>
        </w:rPr>
        <w:t>.</w:t>
      </w:r>
    </w:p>
    <w:p w14:paraId="35043F36" w14:textId="2D22EB2B" w:rsidR="00E43346" w:rsidRPr="00C710CC" w:rsidRDefault="00E43346" w:rsidP="00692403">
      <w:pPr>
        <w:pBdr>
          <w:top w:val="nil"/>
          <w:left w:val="nil"/>
          <w:bottom w:val="nil"/>
          <w:right w:val="nil"/>
          <w:between w:val="nil"/>
        </w:pBdr>
        <w:rPr>
          <w:rFonts w:eastAsia="Arial" w:cs="Arial"/>
          <w:szCs w:val="18"/>
        </w:rPr>
      </w:pPr>
      <w:r w:rsidRPr="00C710CC">
        <w:rPr>
          <w:rFonts w:eastAsia="Arial" w:cs="Arial"/>
          <w:szCs w:val="18"/>
        </w:rPr>
        <w:t xml:space="preserve">The typical composition of the wastewater is complex and varies </w:t>
      </w:r>
      <w:r w:rsidR="0082589D" w:rsidRPr="00C710CC">
        <w:rPr>
          <w:rFonts w:eastAsia="Arial" w:cs="Arial"/>
          <w:szCs w:val="18"/>
        </w:rPr>
        <w:t>depending on</w:t>
      </w:r>
      <w:r w:rsidRPr="00C710CC">
        <w:rPr>
          <w:rFonts w:eastAsia="Arial" w:cs="Arial"/>
          <w:szCs w:val="18"/>
        </w:rPr>
        <w:t xml:space="preserve"> the source of the wastewater. Municipal wastewater is generally consisted of inorganic compounds (nitrate, ammonia, chloride, carbonate, etc.) and organic contaminants </w:t>
      </w:r>
      <w:r w:rsidRPr="00C710CC">
        <w:rPr>
          <w:rFonts w:eastAsia="Arial" w:cs="Arial"/>
          <w:szCs w:val="18"/>
        </w:rPr>
        <w:fldChar w:fldCharType="begin" w:fldLock="1"/>
      </w:r>
      <w:r w:rsidRPr="00C710CC">
        <w:rPr>
          <w:rFonts w:eastAsia="Arial" w:cs="Arial"/>
          <w:szCs w:val="18"/>
        </w:rPr>
        <w:instrText>ADDIN CSL_CITATION {"citationItems":[{"id":"ITEM-1","itemData":{"DOI":"10.3390/catal11111379","ISSN":"20734344","abstract":"Colored Ti2 O3 and Ti2 O3 /TiO2 (mTiO) catalysts were prepared by the thermal treatment method. The effects of treatment temperature on the structure, surface area, morphology and optical properties of the as-prepared samples were investigated by XRD, BET, SEM, TEM, Raman and UV–VIS spectroscopies. Phase transformation from Ti2 O3 to TiO2 rutile and TiO2 anatase to TiO2 rutile increased with increasing treatment temperatures. The photocatalytic activities of thermally treated Ti2 O3 and mTiO were evaluated in the photodegradation of 4-tert-butylphenol (4-t-BP) under solar light irradiation. mTiO heated at 650◦ C exhibited the highest photocatalytic activity for the degradation and mineralization of 4-t-BP, being approximately 89.8% and 52.4%, respectively, after 150 min of irradiation. The effects of various water constituents, including anions (CO2− 3, NO3, Cl and HCO−3) and humic acid (HA), on the photocatalytic activity of mTiO-650 were evaluated. The results showed that the presence of carbonate and nitrate ions inhibited 4-t-BP photodegradation, while chloride and bicarbonate ions enhanced the photodegradation of 4-t-BP. As for HA, its effect on the degradation of 4-t-BP was dependent on the concentration. A low concentration of HA (1 mg/L) promoted the degradation of 4-t-BP from 89.8% to 92.4% by mTiO-650, but higher concentrations of HA (5 mg/L and 10 mg/L) had a negative effect.","author":[{"dropping-particle":"","family":"Mergenbayeva","given":"Saule","non-dropping-particle":"","parse-names":false,"suffix":""},{"dropping-particle":"","family":"Atabaev","given":"Timur Sh","non-dropping-particle":"","parse-names":false,"suffix":""},{"dropping-particle":"","family":"Poulopoulos","given":"Stavros G.","non-dropping-particle":"","parse-names":false,"suffix":""}],"container-title":"Catalysts","id":"ITEM-1","issue":"11","issued":{"date-parts":[["2021"]]},"page":"18-20","title":"Ti2O3/TiO2-assisted solar photocatalytic degradation of 4-tert-butylphenol in water","type":"article-journal","volume":"11"},"uris":["http://www.mendeley.com/documents/?uuid=0f71f0fc-f59e-4329-bd35-3549ea68f0d6"]}],"mendeley":{"formattedCitation":"(Mergenbayeva, Atabaev, and Poulopoulos 2021)","manualFormatting":"(Mergenbayeva et al. 2021)","plainTextFormattedCitation":"(Mergenbayeva, Atabaev, and Poulopoulos 2021)","previouslyFormattedCitation":"(Mergenbayeva, Atabaev, and Poulopoulos 2021)"},"properties":{"noteIndex":0},"schema":"https://github.com/citation-style-language/schema/raw/master/csl-citation.json"}</w:instrText>
      </w:r>
      <w:r w:rsidRPr="00C710CC">
        <w:rPr>
          <w:rFonts w:eastAsia="Arial" w:cs="Arial"/>
          <w:szCs w:val="18"/>
        </w:rPr>
        <w:fldChar w:fldCharType="separate"/>
      </w:r>
      <w:r w:rsidRPr="00C710CC">
        <w:rPr>
          <w:rFonts w:eastAsia="Arial" w:cs="Arial"/>
          <w:noProof/>
          <w:szCs w:val="18"/>
        </w:rPr>
        <w:t>(Mergenbayeva et al. 2021)</w:t>
      </w:r>
      <w:r w:rsidRPr="00C710CC">
        <w:rPr>
          <w:rFonts w:eastAsia="Arial" w:cs="Arial"/>
          <w:szCs w:val="18"/>
        </w:rPr>
        <w:fldChar w:fldCharType="end"/>
      </w:r>
      <w:r w:rsidRPr="00C710CC">
        <w:rPr>
          <w:rFonts w:eastAsia="Arial" w:cs="Arial"/>
          <w:szCs w:val="18"/>
        </w:rPr>
        <w:t xml:space="preserve">. Among them, organic pollutants of emerging concern such as pharmaceuticals, endocrine disrupting agents, pesticides and personal care products pose environmental risk </w:t>
      </w:r>
      <w:r w:rsidRPr="00C710CC">
        <w:rPr>
          <w:rFonts w:eastAsia="Arial" w:cs="Arial"/>
          <w:szCs w:val="18"/>
        </w:rPr>
        <w:fldChar w:fldCharType="begin" w:fldLock="1"/>
      </w:r>
      <w:r w:rsidR="006C7C84">
        <w:rPr>
          <w:rFonts w:eastAsia="Arial" w:cs="Arial"/>
          <w:szCs w:val="18"/>
        </w:rPr>
        <w:instrText>ADDIN CSL_CITATION {"citationItems":[{"id":"ITEM-1","itemData":{"DOI":"10.3303/CET2186100","ISBN":"9788895608846","author":[{"dropping-particle":"","family":"Kanafin","given":"Yerkanat N.","non-dropping-particle":"","parse-names":false,"suffix":""},{"dropping-particle":"","family":"Satayeva","given":"Aliya","non-dropping-particle":"","parse-names":false,"suffix":""},{"dropping-particle":"","family":"Arkhangelsky","given":"Elizabeth","non-dropping-particle":"","parse-names":false,"suffix":""},{"dropping-particle":"","family":"Poulopoulos","given":"Stavros G.","non-dropping-particle":"","parse-names":false,"suffix":""}],"container-title":"Chemical Engineering Transactions","id":"ITEM-1","issued":{"date-parts":[["2021"]]},"page":"595-600","title":"Treatment of a Biological Effluent Containing Metronidazole","type":"article-journal","volume":"86"},"uris":["http://www.mendeley.com/documents/?uuid=d603eec7-22dc-48bf-a7ad-1e9d94b241dc"]}],"mendeley":{"formattedCitation":"(Kanafin, Satayeva, et al. 2021)","plainTextFormattedCitation":"(Kanafin, Satayeva, et al. 2021)","previouslyFormattedCitation":"(Kanafin, Satayeva, et al. 2021)"},"properties":{"noteIndex":0},"schema":"https://github.com/citation-style-language/schema/raw/master/csl-citation.json"}</w:instrText>
      </w:r>
      <w:r w:rsidRPr="00C710CC">
        <w:rPr>
          <w:rFonts w:eastAsia="Arial" w:cs="Arial"/>
          <w:szCs w:val="18"/>
        </w:rPr>
        <w:fldChar w:fldCharType="separate"/>
      </w:r>
      <w:r w:rsidR="006C7C84" w:rsidRPr="006C7C84">
        <w:rPr>
          <w:rFonts w:eastAsia="Arial" w:cs="Arial"/>
          <w:noProof/>
          <w:szCs w:val="18"/>
        </w:rPr>
        <w:t>(Kanafin, Satayeva, et al. 2021)</w:t>
      </w:r>
      <w:r w:rsidRPr="00C710CC">
        <w:rPr>
          <w:rFonts w:eastAsia="Arial" w:cs="Arial"/>
          <w:szCs w:val="18"/>
        </w:rPr>
        <w:fldChar w:fldCharType="end"/>
      </w:r>
      <w:r w:rsidRPr="00C710CC">
        <w:rPr>
          <w:rFonts w:eastAsia="Arial" w:cs="Arial"/>
          <w:szCs w:val="18"/>
        </w:rPr>
        <w:t xml:space="preserve">.The issue with emerging pollutants could be complicated as </w:t>
      </w:r>
      <w:r w:rsidRPr="00C710CC">
        <w:rPr>
          <w:rFonts w:eastAsia="Arial" w:cs="Arial"/>
          <w:szCs w:val="18"/>
        </w:rPr>
        <w:lastRenderedPageBreak/>
        <w:t>they tend to escape the conventional wastewater treatment plants based on biological treatment</w:t>
      </w:r>
      <w:r w:rsidR="00C710CC" w:rsidRPr="00C710CC">
        <w:rPr>
          <w:rFonts w:eastAsia="Arial" w:cs="Arial"/>
          <w:szCs w:val="18"/>
        </w:rPr>
        <w:t xml:space="preserve"> and, therefore, the development of the complementary </w:t>
      </w:r>
      <w:r w:rsidRPr="00C710CC">
        <w:rPr>
          <w:rFonts w:eastAsia="Arial" w:cs="Arial"/>
          <w:szCs w:val="18"/>
        </w:rPr>
        <w:t xml:space="preserve">methods of </w:t>
      </w:r>
      <w:r w:rsidR="00C710CC" w:rsidRPr="00C710CC">
        <w:rPr>
          <w:rFonts w:eastAsia="Arial" w:cs="Arial"/>
          <w:szCs w:val="18"/>
        </w:rPr>
        <w:t xml:space="preserve">wastewater </w:t>
      </w:r>
      <w:r w:rsidRPr="00C710CC">
        <w:rPr>
          <w:rFonts w:eastAsia="Arial" w:cs="Arial"/>
          <w:szCs w:val="18"/>
        </w:rPr>
        <w:t>treatment</w:t>
      </w:r>
      <w:r w:rsidR="00C710CC" w:rsidRPr="00C710CC">
        <w:rPr>
          <w:rFonts w:eastAsia="Arial" w:cs="Arial"/>
          <w:szCs w:val="18"/>
        </w:rPr>
        <w:t xml:space="preserve"> is required</w:t>
      </w:r>
      <w:r w:rsidR="00D90840" w:rsidRPr="00C710CC">
        <w:rPr>
          <w:rFonts w:eastAsia="Arial" w:cs="Arial"/>
          <w:szCs w:val="18"/>
        </w:rPr>
        <w:t xml:space="preserve"> </w:t>
      </w:r>
      <w:r w:rsidR="00D90840" w:rsidRPr="00C710CC">
        <w:rPr>
          <w:rFonts w:eastAsia="Arial" w:cs="Arial"/>
          <w:szCs w:val="18"/>
        </w:rPr>
        <w:fldChar w:fldCharType="begin" w:fldLock="1"/>
      </w:r>
      <w:r w:rsidR="00D90840" w:rsidRPr="00C710CC">
        <w:rPr>
          <w:rFonts w:eastAsia="Arial" w:cs="Arial"/>
          <w:szCs w:val="18"/>
        </w:rPr>
        <w:instrText>ADDIN CSL_CITATION {"citationItems":[{"id":"ITEM-1","itemData":{"DOI":"10.3390/pr10010008","ISSN":"22279717","abstract":"In the present study, UV-light-driven advanced oxidation processes (AOPs) have been employed for the degradation of 4-tert-Butylphenol (4-t-BP) in water under continuous flow condi-tions. The effects of varying space time (10, 20, 40, 60 and 120 min) and oxidant dosage (88.3 mg/L, 176.6 mg/L and 264 mg/L) were examined. 4-t-BP degradation efficiency in the UV-induced AOPs followed the order of UV/H2O2 (264.9 mg/L) ≈ UV/Fe2+/H2O2 &gt; UV/Fe3+/H2O2 &gt; UV/H2O2 (176.6 mg/L) &gt; UV/H2O2 (88.3 mg/L) &gt; UV/Fe-TiO2 &gt; UV/TiO2 &gt; UV, while UV/Fe3+/H2O2 was the most efficient process in terms of Total Organic Carbon (TOC) removal (at the space time of 60 min) among those tested. The combination of UV with 88.3 mg/L H2O2 enhanced pollutant removal from 51.29% to 93.34% after 10 min of irradiation. The presence of H2O2 contributed to the highest 4-t-BP and TOC removal values. Interestingly, the increase in space time from 20 to 60 min resulted in surpassing of the activity of the Fe-TiO2 over commercial TiO2, although it had an almost negligible positive impact on the performance of the UV/H2O2 system as well as H2O2 concentration. The results obtained showed that more than 80% of 4-t-BP could be successfully degraded by both heterogeneous and homogeneous AOPs after 60 min.","author":[{"dropping-particle":"","family":"Mergenbayeva","given":"Saule","non-dropping-particle":"","parse-names":false,"suffix":""},{"dropping-particle":"","family":"Poulopoulos","given":"Stavros G.","non-dropping-particle":"","parse-names":false,"suffix":""}],"container-title":"Processes","id":"ITEM-1","issue":"1","issued":{"date-parts":[["2022"]]},"title":"Comparative study on UV-AOPs for efficient continuous flow removal of 4-tert-butylphenol","type":"article-journal","volume":"10"},"uris":["http://www.mendeley.com/documents/?uuid=b30837e7-6581-4b0c-8692-e4b9496580ac"]}],"mendeley":{"formattedCitation":"(Mergenbayeva and Poulopoulos 2022)","plainTextFormattedCitation":"(Mergenbayeva and Poulopoulos 2022)","previouslyFormattedCitation":"(Mergenbayeva and Poulopoulos 2022)"},"properties":{"noteIndex":0},"schema":"https://github.com/citation-style-language/schema/raw/master/csl-citation.json"}</w:instrText>
      </w:r>
      <w:r w:rsidR="00D90840" w:rsidRPr="00C710CC">
        <w:rPr>
          <w:rFonts w:eastAsia="Arial" w:cs="Arial"/>
          <w:szCs w:val="18"/>
        </w:rPr>
        <w:fldChar w:fldCharType="separate"/>
      </w:r>
      <w:r w:rsidR="00D90840" w:rsidRPr="00C710CC">
        <w:rPr>
          <w:rFonts w:eastAsia="Arial" w:cs="Arial"/>
          <w:noProof/>
          <w:szCs w:val="18"/>
        </w:rPr>
        <w:t>(Mergenbayeva and Poulopoulos 2022)</w:t>
      </w:r>
      <w:r w:rsidR="00D90840" w:rsidRPr="00C710CC">
        <w:rPr>
          <w:rFonts w:eastAsia="Arial" w:cs="Arial"/>
          <w:szCs w:val="18"/>
        </w:rPr>
        <w:fldChar w:fldCharType="end"/>
      </w:r>
      <w:r w:rsidRPr="00C710CC">
        <w:rPr>
          <w:rFonts w:eastAsia="Arial" w:cs="Arial"/>
          <w:szCs w:val="18"/>
        </w:rPr>
        <w:t>.</w:t>
      </w:r>
    </w:p>
    <w:p w14:paraId="71EB2900" w14:textId="23DD0979" w:rsidR="00E43346" w:rsidRPr="00C710CC" w:rsidRDefault="00E43346" w:rsidP="00692403">
      <w:pPr>
        <w:pBdr>
          <w:top w:val="nil"/>
          <w:left w:val="nil"/>
          <w:bottom w:val="nil"/>
          <w:right w:val="nil"/>
          <w:between w:val="nil"/>
        </w:pBdr>
        <w:rPr>
          <w:rFonts w:eastAsia="Arial" w:cs="Arial"/>
          <w:szCs w:val="18"/>
        </w:rPr>
      </w:pPr>
      <w:r w:rsidRPr="00C710CC">
        <w:rPr>
          <w:rFonts w:eastAsia="Arial" w:cs="Arial"/>
          <w:szCs w:val="18"/>
        </w:rPr>
        <w:t xml:space="preserve">There are a lot of different methods for wastewater treatment including but not restricted to membrane filtration, activated sludge process, and chemical treatment. Out of this, AOPs attract many researchers due to the high efficiency in dealing with recalcitrant organic pollutants and environmentally friendliness </w:t>
      </w:r>
      <w:r w:rsidRPr="00C710CC">
        <w:rPr>
          <w:rFonts w:eastAsia="Arial" w:cs="Arial"/>
          <w:szCs w:val="18"/>
        </w:rPr>
        <w:fldChar w:fldCharType="begin" w:fldLock="1"/>
      </w:r>
      <w:r w:rsidR="00996FBA" w:rsidRPr="00C710CC">
        <w:rPr>
          <w:rFonts w:eastAsia="Arial" w:cs="Arial"/>
          <w:szCs w:val="18"/>
        </w:rPr>
        <w:instrText>ADDIN CSL_CITATION {"citationItems":[{"id":"ITEM-1","itemData":{"DOI":"10.3390/pr10010008","ISSN":"22279717","abstract":"In the present study, UV-light-driven advanced oxidation processes (AOPs) have been employed for the degradation of 4-tert-Butylphenol (4-t-BP) in water under continuous flow condi-tions. The effects of varying space time (10, 20, 40, 60 and 120 min) and oxidant dosage (88.3 mg/L, 176.6 mg/L and 264 mg/L) were examined. 4-t-BP degradation efficiency in the UV-induced AOPs followed the order of UV/H2O2 (264.9 mg/L) ≈ UV/Fe2+/H2O2 &gt; UV/Fe3+/H2O2 &gt; UV/H2O2 (176.6 mg/L) &gt; UV/H2O2 (88.3 mg/L) &gt; UV/Fe-TiO2 &gt; UV/TiO2 &gt; UV, while UV/Fe3+/H2O2 was the most efficient process in terms of Total Organic Carbon (TOC) removal (at the space time of 60 min) among those tested. The combination of UV with 88.3 mg/L H2O2 enhanced pollutant removal from 51.29% to 93.34% after 10 min of irradiation. The presence of H2O2 contributed to the highest 4-t-BP and TOC removal values. Interestingly, the increase in space time from 20 to 60 min resulted in surpassing of the activity of the Fe-TiO2 over commercial TiO2, although it had an almost negligible positive impact on the performance of the UV/H2O2 system as well as H2O2 concentration. The results obtained showed that more than 80% of 4-t-BP could be successfully degraded by both heterogeneous and homogeneous AOPs after 60 min.","author":[{"dropping-particle":"","family":"Mergenbayeva","given":"Saule","non-dropping-particle":"","parse-names":false,"suffix":""},{"dropping-particle":"","family":"Poulopoulos","given":"Stavros G.","non-dropping-particle":"","parse-names":false,"suffix":""}],"container-title":"Processes","id":"ITEM-1","issue":"1","issued":{"date-parts":[["2022"]]},"title":"Comparative study on UV-AOPs for efficient continuous flow removal of 4-tert-butylphenol","type":"article-journal","volume":"10"},"uris":["http://www.mendeley.com/documents/?uuid=b30837e7-6581-4b0c-8692-e4b9496580ac"]}],"mendeley":{"formattedCitation":"(Mergenbayeva and Poulopoulos 2022)","plainTextFormattedCitation":"(Mergenbayeva and Poulopoulos 2022)","previouslyFormattedCitation":"(Mergenbayeva and Poulopoulos 2022)"},"properties":{"noteIndex":0},"schema":"https://github.com/citation-style-language/schema/raw/master/csl-citation.json"}</w:instrText>
      </w:r>
      <w:r w:rsidRPr="00C710CC">
        <w:rPr>
          <w:rFonts w:eastAsia="Arial" w:cs="Arial"/>
          <w:szCs w:val="18"/>
        </w:rPr>
        <w:fldChar w:fldCharType="separate"/>
      </w:r>
      <w:r w:rsidRPr="00C710CC">
        <w:rPr>
          <w:rFonts w:eastAsia="Arial" w:cs="Arial"/>
          <w:noProof/>
          <w:szCs w:val="18"/>
        </w:rPr>
        <w:t>(Mergenbayeva and Poulopoulos 2022)</w:t>
      </w:r>
      <w:r w:rsidRPr="00C710CC">
        <w:rPr>
          <w:rFonts w:eastAsia="Arial" w:cs="Arial"/>
          <w:szCs w:val="18"/>
        </w:rPr>
        <w:fldChar w:fldCharType="end"/>
      </w:r>
      <w:r w:rsidRPr="00C710CC">
        <w:rPr>
          <w:rFonts w:eastAsia="Arial" w:cs="Arial"/>
          <w:szCs w:val="18"/>
        </w:rPr>
        <w:t xml:space="preserve">. AOPs </w:t>
      </w:r>
      <w:r w:rsidR="00D13436" w:rsidRPr="00C710CC">
        <w:rPr>
          <w:rFonts w:eastAsia="Arial" w:cs="Arial"/>
          <w:szCs w:val="18"/>
        </w:rPr>
        <w:t xml:space="preserve">can be </w:t>
      </w:r>
      <w:r w:rsidRPr="00C710CC">
        <w:rPr>
          <w:rFonts w:eastAsia="Arial" w:cs="Arial"/>
          <w:szCs w:val="18"/>
        </w:rPr>
        <w:t xml:space="preserve">mainly </w:t>
      </w:r>
      <w:r w:rsidR="00D13436" w:rsidRPr="00C710CC">
        <w:rPr>
          <w:rFonts w:eastAsia="Arial" w:cs="Arial"/>
          <w:szCs w:val="18"/>
        </w:rPr>
        <w:t xml:space="preserve">described by the use of </w:t>
      </w:r>
      <w:r w:rsidRPr="00C710CC">
        <w:rPr>
          <w:rFonts w:eastAsia="Arial" w:cs="Arial"/>
          <w:szCs w:val="18"/>
        </w:rPr>
        <w:t>oxidative radicals such as hydroxyl and sulfate</w:t>
      </w:r>
      <w:r w:rsidR="00996FBA" w:rsidRPr="00C710CC">
        <w:rPr>
          <w:rFonts w:eastAsia="Arial" w:cs="Arial"/>
          <w:szCs w:val="18"/>
        </w:rPr>
        <w:t xml:space="preserve"> </w:t>
      </w:r>
      <w:r w:rsidR="00996FBA" w:rsidRPr="00C710CC">
        <w:rPr>
          <w:rFonts w:eastAsia="Arial" w:cs="Arial"/>
          <w:szCs w:val="18"/>
        </w:rPr>
        <w:fldChar w:fldCharType="begin" w:fldLock="1"/>
      </w:r>
      <w:r w:rsidR="00743A41" w:rsidRPr="00C710CC">
        <w:rPr>
          <w:rFonts w:eastAsia="Arial" w:cs="Arial"/>
          <w:szCs w:val="18"/>
        </w:rPr>
        <w:instrText>ADDIN CSL_CITATION {"citationItems":[{"id":"ITEM-1","itemData":{"DOI":"10.1021/acs.est.9b07082","ISSN":"15205851","PMID":"32062964","abstract":"Reports that promote persulfate-based advanced oxidation process (AOP) as a viable alternative to hydrogen peroxide-based processes have been rapidly accumulating in recent water treatment literature. Various strategies to activate peroxide bonds in persulfate precursors have been proposed and the capacity to degrade a wide range of organic pollutants has been demonstrated. Compared to traditional AOPs in which hydroxyl radical serves as the main oxidant, persulfate-based AOPs have been claimed to involve different in situ generated oxidants such as sulfate radical and singlet oxygen as well as nonradical oxidation pathways. However, there exist controversial observations and interpretations around some of these claims, challenging robust scientific progress of this technology toward practical use. This Critical Review comparatively examines the activation mechanisms of peroxymonosulfate and peroxydisulfate and the formation pathways of oxidizing species. Properties of the main oxidizing species are scrutinized and the role of singlet oxygen is debated. In addition, the impacts of water parameters and constituents such as pH, background organic matter, halide, phosphate, and carbonate on persulfate-driven chemistry are discussed. The opportunity for niche applications is also presented, emphasizing the need for parallel efforts to remove currently prevalent knowledge roadblocks.","author":[{"dropping-particle":"","family":"Lee","given":"Jaesang","non-dropping-particle":"","parse-names":false,"suffix":""},{"dropping-particle":"","family":"Gunten","given":"Urs","non-dropping-particle":"Von","parse-names":false,"suffix":""},{"dropping-particle":"","family":"Kim","given":"Jae Hong","non-dropping-particle":"","parse-names":false,"suffix":""}],"container-title":"Environmental Science and Technology","id":"ITEM-1","issue":"6","issued":{"date-parts":[["2020"]]},"page":"3064-3081","title":"Persulfate-Based Advanced Oxidation: Critical Assessment of Opportunities and Roadblocks","type":"article","volume":"54"},"uris":["http://www.mendeley.com/documents/?uuid=e658e03a-7b78-46e8-bef7-aa6fdc897a8b"]}],"mendeley":{"formattedCitation":"(Lee, Von Gunten, and Kim 2020)","plainTextFormattedCitation":"(Lee, Von Gunten, and Kim 2020)","previouslyFormattedCitation":"(Lee, Von Gunten, and Kim 2020)"},"properties":{"noteIndex":0},"schema":"https://github.com/citation-style-language/schema/raw/master/csl-citation.json"}</w:instrText>
      </w:r>
      <w:r w:rsidR="00996FBA" w:rsidRPr="00C710CC">
        <w:rPr>
          <w:rFonts w:eastAsia="Arial" w:cs="Arial"/>
          <w:szCs w:val="18"/>
        </w:rPr>
        <w:fldChar w:fldCharType="separate"/>
      </w:r>
      <w:r w:rsidR="00996FBA" w:rsidRPr="00C710CC">
        <w:rPr>
          <w:rFonts w:eastAsia="Arial" w:cs="Arial"/>
          <w:noProof/>
          <w:szCs w:val="18"/>
        </w:rPr>
        <w:t>(Lee, Von Gunten, and Kim 2020)</w:t>
      </w:r>
      <w:r w:rsidR="00996FBA" w:rsidRPr="00C710CC">
        <w:rPr>
          <w:rFonts w:eastAsia="Arial" w:cs="Arial"/>
          <w:szCs w:val="18"/>
        </w:rPr>
        <w:fldChar w:fldCharType="end"/>
      </w:r>
      <w:r w:rsidRPr="00C710CC">
        <w:rPr>
          <w:rFonts w:eastAsia="Arial" w:cs="Arial"/>
          <w:szCs w:val="18"/>
        </w:rPr>
        <w:t>. S</w:t>
      </w:r>
      <w:r w:rsidR="00D76EDF" w:rsidRPr="00C710CC">
        <w:rPr>
          <w:rFonts w:eastAsia="Arial" w:cs="Arial"/>
          <w:szCs w:val="18"/>
        </w:rPr>
        <w:t xml:space="preserve">ulfate radicals are highly reactive and </w:t>
      </w:r>
      <w:r w:rsidR="00FB3EE0" w:rsidRPr="00C710CC">
        <w:rPr>
          <w:rFonts w:eastAsia="Arial" w:cs="Arial"/>
          <w:szCs w:val="18"/>
        </w:rPr>
        <w:t xml:space="preserve">less affected by the presence of scavenging compounds. </w:t>
      </w:r>
      <w:r w:rsidR="00FB5971" w:rsidRPr="00C710CC">
        <w:rPr>
          <w:rFonts w:eastAsia="Arial" w:cs="Arial"/>
          <w:szCs w:val="18"/>
        </w:rPr>
        <w:t xml:space="preserve">They </w:t>
      </w:r>
      <w:r w:rsidR="00F13A4C" w:rsidRPr="00C710CC">
        <w:rPr>
          <w:rFonts w:eastAsia="Arial" w:cs="Arial"/>
          <w:szCs w:val="18"/>
        </w:rPr>
        <w:t xml:space="preserve">can </w:t>
      </w:r>
      <w:r w:rsidR="00946853" w:rsidRPr="00C710CC">
        <w:rPr>
          <w:rFonts w:eastAsia="Arial" w:cs="Arial"/>
          <w:szCs w:val="18"/>
        </w:rPr>
        <w:t xml:space="preserve">be </w:t>
      </w:r>
      <w:r w:rsidR="00FB5971" w:rsidRPr="00C710CC">
        <w:rPr>
          <w:rFonts w:eastAsia="Arial" w:cs="Arial"/>
          <w:szCs w:val="18"/>
        </w:rPr>
        <w:t xml:space="preserve">generated by the activation of </w:t>
      </w:r>
      <w:r w:rsidR="00FF637D">
        <w:rPr>
          <w:rFonts w:eastAsia="Arial" w:cs="Arial"/>
          <w:szCs w:val="18"/>
        </w:rPr>
        <w:t>per</w:t>
      </w:r>
      <w:r w:rsidR="00D46E46" w:rsidRPr="00C710CC">
        <w:rPr>
          <w:rFonts w:eastAsia="Arial" w:cs="Arial"/>
          <w:szCs w:val="18"/>
        </w:rPr>
        <w:t>sulfate (P</w:t>
      </w:r>
      <w:r w:rsidR="00F13A4C" w:rsidRPr="00C710CC">
        <w:rPr>
          <w:rFonts w:eastAsia="Arial" w:cs="Arial"/>
          <w:szCs w:val="18"/>
        </w:rPr>
        <w:t>S) with ultraviolet light</w:t>
      </w:r>
      <w:r w:rsidR="00946853" w:rsidRPr="00C710CC">
        <w:rPr>
          <w:rFonts w:eastAsia="Arial" w:cs="Arial"/>
          <w:szCs w:val="18"/>
        </w:rPr>
        <w:t xml:space="preserve">, ultrasound, </w:t>
      </w:r>
      <w:r w:rsidR="00743A41" w:rsidRPr="00C710CC">
        <w:rPr>
          <w:rFonts w:eastAsia="Arial" w:cs="Arial"/>
          <w:szCs w:val="18"/>
        </w:rPr>
        <w:t xml:space="preserve">microwave, </w:t>
      </w:r>
      <w:r w:rsidR="00946853" w:rsidRPr="00C710CC">
        <w:rPr>
          <w:rFonts w:eastAsia="Arial" w:cs="Arial"/>
          <w:szCs w:val="18"/>
        </w:rPr>
        <w:t>heat,</w:t>
      </w:r>
      <w:r w:rsidR="00743A41" w:rsidRPr="00C710CC">
        <w:rPr>
          <w:rFonts w:eastAsia="Arial" w:cs="Arial"/>
          <w:szCs w:val="18"/>
        </w:rPr>
        <w:t xml:space="preserve"> pH and transition metals </w:t>
      </w:r>
      <w:r w:rsidR="00743A41" w:rsidRPr="00C710CC">
        <w:rPr>
          <w:rFonts w:eastAsia="Arial" w:cs="Arial"/>
          <w:szCs w:val="18"/>
        </w:rPr>
        <w:fldChar w:fldCharType="begin" w:fldLock="1"/>
      </w:r>
      <w:r w:rsidR="004E5D9F" w:rsidRPr="00C710CC">
        <w:rPr>
          <w:rFonts w:eastAsia="Arial" w:cs="Arial"/>
          <w:szCs w:val="18"/>
        </w:rPr>
        <w:instrText>ADDIN CSL_CITATION {"citationItems":[{"id":"ITEM-1","itemData":{"DOI":"10.1021/es035121o","ISSN":"0013936X","PMID":"15296324","abstract":"Nine transition metals were tested for the activation of three oxidants and the generation of inorganic radical species such as sulfate, peroxymonosulfate, and hydroxyl radicals. From the 27 combinations, 14 M/Ox couples demonstrated significant reactivity toward transforming a model organic substrate such as 2,4-dichlorophenol and are further discussed here. It was found that Co(II) and Ru(III) are the best metal catalysts for the activation of peroxymonosulfate. As expected on the basis of the Fenton reagent, Fe(III) and Fe(II) were the most efficient transition metals for the activation of hydrogen peroxide. Finally, Ag(I) showed the best results toward activating persulfate. Quenching studies with specific alcohols (tert-butyl alcohol and ethanol) were also performed to identify the primary radical species formed from the reactive M/Ox interactions. The determination of these transient species allowed us to postulate the rate-determining step of the redox reactions taking place when a metal is coupled with an oxidant in aqueous solution. It was found that when Co(II), Ru(III), and Fe(II) interact with peroxymonosulfate, freely diffusible sulfate radicals are the primary species formed. The same was proven for the interaction of Ag(I) with persulfate, but in this case caged or bound to the metal sulfate radicals might be formed as well. The conjunction of Ce(III), Mn(II), and Ni(II) with peroxymonosulfate showed also to generate caged or bound to the metal sulfate radicals. A combination of sulfate and hydroxyl radicals was formed from the conjunction of V(III) with peroxymonosulfate and from Fe(II) with persulfate. Finally, the conjunction of Fe(III), Fe(II), and Ru(III) with hydrogen peroxide led primarily to the generation of hydroxyl radicals. It is also suggested here that the redox behavior of a particular metal in solution cannot be predicted based exclusively on its size and charge. Additional phenomena such as metal hydrolysis as well as complexation with other counterions present in solution might affect the thermodynamics of the overall process and are further discussed here.","author":[{"dropping-particle":"","family":"Anipsitakis","given":"George P.","non-dropping-particle":"","parse-names":false,"suffix":""},{"dropping-particle":"","family":"Dionysiou","given":"Dionysios D.","non-dropping-particle":"","parse-names":false,"suffix":""}],"container-title":"Environmental Science and Technology","id":"ITEM-1","issue":"13","issued":{"date-parts":[["2004"]]},"page":"3705-3712","title":"Radical generation by the interaction of transition metals with common oxidants","type":"article-journal","volume":"38"},"uris":["http://www.mendeley.com/documents/?uuid=8ba39186-97ba-411f-8291-c537f0d669ac"]}],"mendeley":{"formattedCitation":"(Anipsitakis and Dionysiou 2004)","plainTextFormattedCitation":"(Anipsitakis and Dionysiou 2004)","previouslyFormattedCitation":"(Anipsitakis and Dionysiou 2004)"},"properties":{"noteIndex":0},"schema":"https://github.com/citation-style-language/schema/raw/master/csl-citation.json"}</w:instrText>
      </w:r>
      <w:r w:rsidR="00743A41" w:rsidRPr="00C710CC">
        <w:rPr>
          <w:rFonts w:eastAsia="Arial" w:cs="Arial"/>
          <w:szCs w:val="18"/>
        </w:rPr>
        <w:fldChar w:fldCharType="separate"/>
      </w:r>
      <w:r w:rsidR="00743A41" w:rsidRPr="00C710CC">
        <w:rPr>
          <w:rFonts w:eastAsia="Arial" w:cs="Arial"/>
          <w:noProof/>
          <w:szCs w:val="18"/>
        </w:rPr>
        <w:t>(Anipsitakis and Dionysiou 2004)</w:t>
      </w:r>
      <w:r w:rsidR="00743A41" w:rsidRPr="00C710CC">
        <w:rPr>
          <w:rFonts w:eastAsia="Arial" w:cs="Arial"/>
          <w:szCs w:val="18"/>
        </w:rPr>
        <w:fldChar w:fldCharType="end"/>
      </w:r>
      <w:r w:rsidR="00743A41" w:rsidRPr="00C710CC">
        <w:rPr>
          <w:rFonts w:eastAsia="Arial" w:cs="Arial"/>
          <w:szCs w:val="18"/>
        </w:rPr>
        <w:t>.</w:t>
      </w:r>
      <w:r w:rsidR="00C71A65" w:rsidRPr="00C710CC">
        <w:rPr>
          <w:rFonts w:eastAsia="Arial" w:cs="Arial"/>
          <w:szCs w:val="18"/>
        </w:rPr>
        <w:t xml:space="preserve"> There are</w:t>
      </w:r>
      <w:r w:rsidR="00D46E46" w:rsidRPr="00C710CC">
        <w:rPr>
          <w:rFonts w:eastAsia="Arial" w:cs="Arial"/>
          <w:szCs w:val="18"/>
        </w:rPr>
        <w:t xml:space="preserve"> three compounds that are mainly used as a source of sulfate rad</w:t>
      </w:r>
      <w:r w:rsidR="00FF637D">
        <w:rPr>
          <w:rFonts w:eastAsia="Arial" w:cs="Arial"/>
          <w:szCs w:val="18"/>
        </w:rPr>
        <w:t>icals: potassium persulfate, sodium persulfate and ammonium per</w:t>
      </w:r>
      <w:r w:rsidR="00D46E46" w:rsidRPr="00C710CC">
        <w:rPr>
          <w:rFonts w:eastAsia="Arial" w:cs="Arial"/>
          <w:szCs w:val="18"/>
        </w:rPr>
        <w:t>sulfate</w:t>
      </w:r>
      <w:r w:rsidR="00F812A7" w:rsidRPr="00C710CC">
        <w:rPr>
          <w:rFonts w:eastAsia="Arial" w:cs="Arial"/>
          <w:szCs w:val="18"/>
        </w:rPr>
        <w:t xml:space="preserve"> </w:t>
      </w:r>
      <w:r w:rsidR="00F812A7" w:rsidRPr="00C710CC">
        <w:rPr>
          <w:rFonts w:eastAsia="Arial" w:cs="Arial"/>
          <w:szCs w:val="18"/>
        </w:rPr>
        <w:fldChar w:fldCharType="begin" w:fldLock="1"/>
      </w:r>
      <w:r w:rsidR="009F29DE" w:rsidRPr="00C710CC">
        <w:rPr>
          <w:rFonts w:eastAsia="Arial" w:cs="Arial"/>
          <w:szCs w:val="18"/>
        </w:rPr>
        <w:instrText>ADDIN CSL_CITATION {"citationItems":[{"id":"ITEM-1","itemData":{"DOI":"10.1021/acs.est.9b07082","ISSN":"15205851","PMID":"32062964","abstract":"Reports that promote persulfate-based advanced oxidation process (AOP) as a viable alternative to hydrogen peroxide-based processes have been rapidly accumulating in recent water treatment literature. Various strategies to activate peroxide bonds in persulfate precursors have been proposed and the capacity to degrade a wide range of organic pollutants has been demonstrated. Compared to traditional AOPs in which hydroxyl radical serves as the main oxidant, persulfate-based AOPs have been claimed to involve different in situ generated oxidants such as sulfate radical and singlet oxygen as well as nonradical oxidation pathways. However, there exist controversial observations and interpretations around some of these claims, challenging robust scientific progress of this technology toward practical use. This Critical Review comparatively examines the activation mechanisms of peroxymonosulfate and peroxydisulfate and the formation pathways of oxidizing species. Properties of the main oxidizing species are scrutinized and the role of singlet oxygen is debated. In addition, the impacts of water parameters and constituents such as pH, background organic matter, halide, phosphate, and carbonate on persulfate-driven chemistry are discussed. The opportunity for niche applications is also presented, emphasizing the need for parallel efforts to remove currently prevalent knowledge roadblocks.","author":[{"dropping-particle":"","family":"Lee","given":"Jaesang","non-dropping-particle":"","parse-names":false,"suffix":""},{"dropping-particle":"","family":"Gunten","given":"Urs","non-dropping-particle":"Von","parse-names":false,"suffix":""},{"dropping-particle":"","family":"Kim","given":"Jae Hong","non-dropping-particle":"","parse-names":false,"suffix":""}],"container-title":"Environmental Science and Technology","id":"ITEM-1","issue":"6","issued":{"date-parts":[["2020"]]},"page":"3064-3081","title":"Persulfate-Based Advanced Oxidation: Critical Assessment of Opportunities and Roadblocks","type":"article","volume":"54"},"uris":["http://www.mendeley.com/documents/?uuid=e658e03a-7b78-46e8-bef7-aa6fdc897a8b"]}],"mendeley":{"formattedCitation":"(Lee et al. 2020)","plainTextFormattedCitation":"(Lee et al. 2020)","previouslyFormattedCitation":"(Lee et al. 2020)"},"properties":{"noteIndex":0},"schema":"https://github.com/citation-style-language/schema/raw/master/csl-citation.json"}</w:instrText>
      </w:r>
      <w:r w:rsidR="00F812A7" w:rsidRPr="00C710CC">
        <w:rPr>
          <w:rFonts w:eastAsia="Arial" w:cs="Arial"/>
          <w:szCs w:val="18"/>
        </w:rPr>
        <w:fldChar w:fldCharType="separate"/>
      </w:r>
      <w:r w:rsidR="004E5D9F" w:rsidRPr="00C710CC">
        <w:rPr>
          <w:rFonts w:eastAsia="Arial" w:cs="Arial"/>
          <w:noProof/>
          <w:szCs w:val="18"/>
        </w:rPr>
        <w:t>(Lee et al. 2020)</w:t>
      </w:r>
      <w:r w:rsidR="00F812A7" w:rsidRPr="00C710CC">
        <w:rPr>
          <w:rFonts w:eastAsia="Arial" w:cs="Arial"/>
          <w:szCs w:val="18"/>
        </w:rPr>
        <w:fldChar w:fldCharType="end"/>
      </w:r>
      <w:r w:rsidR="00D46E46" w:rsidRPr="00C710CC">
        <w:rPr>
          <w:rFonts w:eastAsia="Arial" w:cs="Arial"/>
          <w:szCs w:val="18"/>
        </w:rPr>
        <w:t>.</w:t>
      </w:r>
      <w:r w:rsidR="004912AF" w:rsidRPr="00C710CC">
        <w:rPr>
          <w:rFonts w:eastAsia="Arial" w:cs="Arial"/>
          <w:szCs w:val="18"/>
        </w:rPr>
        <w:t xml:space="preserve"> </w:t>
      </w:r>
    </w:p>
    <w:p w14:paraId="10842EB3" w14:textId="2CC44A24" w:rsidR="00E43346" w:rsidRPr="008F01CB" w:rsidRDefault="00C71A65" w:rsidP="008F01CB">
      <w:pPr>
        <w:pBdr>
          <w:top w:val="nil"/>
          <w:left w:val="nil"/>
          <w:bottom w:val="nil"/>
          <w:right w:val="nil"/>
          <w:between w:val="nil"/>
        </w:pBdr>
        <w:rPr>
          <w:rFonts w:eastAsia="Arial" w:cs="Arial"/>
          <w:szCs w:val="18"/>
        </w:rPr>
      </w:pPr>
      <w:r w:rsidRPr="00C710CC">
        <w:rPr>
          <w:rFonts w:eastAsia="Arial" w:cs="Arial"/>
          <w:szCs w:val="18"/>
        </w:rPr>
        <w:t xml:space="preserve">In this work, </w:t>
      </w:r>
      <w:r w:rsidR="00AC507B" w:rsidRPr="00C710CC">
        <w:rPr>
          <w:rFonts w:eastAsia="Arial" w:cs="Arial"/>
          <w:szCs w:val="18"/>
        </w:rPr>
        <w:t xml:space="preserve">UV </w:t>
      </w:r>
      <w:r w:rsidRPr="00C710CC">
        <w:rPr>
          <w:rFonts w:eastAsia="Arial" w:cs="Arial"/>
          <w:szCs w:val="18"/>
        </w:rPr>
        <w:t>and Fe</w:t>
      </w:r>
      <w:r w:rsidRPr="00C710CC">
        <w:rPr>
          <w:rFonts w:eastAsia="Arial" w:cs="Arial"/>
          <w:szCs w:val="18"/>
          <w:vertAlign w:val="superscript"/>
        </w:rPr>
        <w:t>2+</w:t>
      </w:r>
      <w:r w:rsidRPr="00C710CC">
        <w:rPr>
          <w:rFonts w:eastAsia="Arial" w:cs="Arial"/>
          <w:szCs w:val="18"/>
        </w:rPr>
        <w:t xml:space="preserve"> were used to activate </w:t>
      </w:r>
      <w:r w:rsidR="00AC507B" w:rsidRPr="00C710CC">
        <w:rPr>
          <w:rFonts w:eastAsia="Arial" w:cs="Arial"/>
          <w:szCs w:val="18"/>
        </w:rPr>
        <w:t>different sources of persulfate</w:t>
      </w:r>
      <w:r w:rsidRPr="00C710CC">
        <w:rPr>
          <w:rFonts w:eastAsia="Arial" w:cs="Arial"/>
          <w:szCs w:val="18"/>
        </w:rPr>
        <w:t xml:space="preserve"> for the photo-Fenton-like oxidation of the synthetic wastewater.</w:t>
      </w:r>
      <w:r w:rsidR="004440D9">
        <w:rPr>
          <w:rFonts w:eastAsia="Arial" w:cs="Arial"/>
          <w:szCs w:val="18"/>
        </w:rPr>
        <w:t xml:space="preserve"> The study assessed the possibility of the use of persulfate in cold climate regions.</w:t>
      </w:r>
      <w:r w:rsidR="00B50EDD" w:rsidRPr="00C710CC">
        <w:rPr>
          <w:rFonts w:eastAsia="Arial" w:cs="Arial"/>
          <w:szCs w:val="18"/>
        </w:rPr>
        <w:t xml:space="preserve"> The efficiency of the persulfate was studied in terms of TOC removal</w:t>
      </w:r>
      <w:r w:rsidR="00843417" w:rsidRPr="00C710CC">
        <w:rPr>
          <w:rFonts w:eastAsia="Arial" w:cs="Arial"/>
          <w:szCs w:val="18"/>
        </w:rPr>
        <w:t xml:space="preserve">. Box-Behnken design in conjunction with response surface methodology was used to compare the efficiencies of the sulfate radical sources. </w:t>
      </w:r>
      <w:r w:rsidR="00180DF1" w:rsidRPr="00C710CC">
        <w:t>To the best of authors’ knowledge, there is no statistically significant studies on persulfate comparison</w:t>
      </w:r>
      <w:r w:rsidR="0082589D" w:rsidRPr="00C710CC">
        <w:t xml:space="preserve"> for wastewater treatment</w:t>
      </w:r>
      <w:r w:rsidR="001D7062">
        <w:t xml:space="preserve"> at low temperature</w:t>
      </w:r>
      <w:r w:rsidR="0082589D" w:rsidRPr="00C710CC">
        <w:t>.</w:t>
      </w:r>
    </w:p>
    <w:p w14:paraId="2258D999" w14:textId="77777777" w:rsidR="004F06C1" w:rsidRPr="00353A3F" w:rsidRDefault="004F06C1" w:rsidP="004F06C1">
      <w:pPr>
        <w:pStyle w:val="CETHeading1"/>
        <w:tabs>
          <w:tab w:val="clear" w:pos="360"/>
          <w:tab w:val="right" w:pos="7100"/>
        </w:tabs>
        <w:jc w:val="both"/>
        <w:rPr>
          <w:lang w:val="en-GB"/>
        </w:rPr>
      </w:pPr>
      <w:r w:rsidRPr="00353A3F">
        <w:rPr>
          <w:lang w:val="en-GB"/>
        </w:rPr>
        <w:t>Materials and methods</w:t>
      </w:r>
    </w:p>
    <w:p w14:paraId="45A08904" w14:textId="77777777" w:rsidR="004F06C1" w:rsidRPr="00353A3F" w:rsidRDefault="004F06C1" w:rsidP="004F06C1">
      <w:pPr>
        <w:pStyle w:val="CETheadingx"/>
      </w:pPr>
      <w:r w:rsidRPr="00353A3F">
        <w:t>Materials</w:t>
      </w:r>
    </w:p>
    <w:p w14:paraId="3AB52E67" w14:textId="45761164" w:rsidR="004F06C1" w:rsidRPr="00353A3F" w:rsidRDefault="00ED625E" w:rsidP="004F06C1">
      <w:pPr>
        <w:pStyle w:val="CETBodytext"/>
        <w:rPr>
          <w:lang w:val="en-GB"/>
        </w:rPr>
      </w:pPr>
      <w:r w:rsidRPr="003B063D">
        <w:rPr>
          <w:lang w:val="en-GB"/>
        </w:rPr>
        <w:t xml:space="preserve">Ammonium persulfate </w:t>
      </w:r>
      <w:r w:rsidR="003B063D" w:rsidRPr="003B063D">
        <w:rPr>
          <w:lang w:val="en-GB"/>
        </w:rPr>
        <w:t>(≥99</w:t>
      </w:r>
      <w:r w:rsidRPr="003B063D">
        <w:rPr>
          <w:lang w:val="en-GB"/>
        </w:rPr>
        <w:t>%)</w:t>
      </w:r>
      <w:r w:rsidR="003B063D" w:rsidRPr="003B063D">
        <w:rPr>
          <w:lang w:val="en-GB"/>
        </w:rPr>
        <w:t xml:space="preserve"> and </w:t>
      </w:r>
      <w:r w:rsidR="00D36FDD" w:rsidRPr="003B063D">
        <w:rPr>
          <w:lang w:val="en-GB"/>
        </w:rPr>
        <w:t>iron (</w:t>
      </w:r>
      <w:r w:rsidR="003B063D" w:rsidRPr="003B063D">
        <w:rPr>
          <w:lang w:val="en-GB"/>
        </w:rPr>
        <w:t>II) sulfate heptahydrate (ACS reagent, ≥99%)</w:t>
      </w:r>
      <w:r w:rsidR="00D53384">
        <w:rPr>
          <w:lang w:val="en-GB"/>
        </w:rPr>
        <w:t xml:space="preserve">, peptone, sodium chloride, </w:t>
      </w:r>
      <w:r w:rsidR="00D36FDD">
        <w:rPr>
          <w:lang w:val="en-GB"/>
        </w:rPr>
        <w:t>i</w:t>
      </w:r>
      <w:r w:rsidR="00D36FDD" w:rsidRPr="0017227B">
        <w:rPr>
          <w:lang w:val="en-GB"/>
        </w:rPr>
        <w:t>ron (</w:t>
      </w:r>
      <w:r w:rsidR="0017227B" w:rsidRPr="0017227B">
        <w:rPr>
          <w:lang w:val="en-GB"/>
        </w:rPr>
        <w:t>III) chloride hexahydrate</w:t>
      </w:r>
      <w:r w:rsidRPr="003B063D">
        <w:rPr>
          <w:lang w:val="en-GB"/>
        </w:rPr>
        <w:t xml:space="preserve"> </w:t>
      </w:r>
      <w:r w:rsidR="003B063D" w:rsidRPr="003B063D">
        <w:rPr>
          <w:lang w:val="en-GB"/>
        </w:rPr>
        <w:t>were</w:t>
      </w:r>
      <w:r w:rsidRPr="003B063D">
        <w:rPr>
          <w:lang w:val="en-GB"/>
        </w:rPr>
        <w:t xml:space="preserve"> purchased from </w:t>
      </w:r>
      <w:r w:rsidR="0017227B">
        <w:rPr>
          <w:lang w:val="en-GB"/>
        </w:rPr>
        <w:t>Sigma Aldrich</w:t>
      </w:r>
      <w:r w:rsidR="00CE05C0" w:rsidRPr="003B063D">
        <w:rPr>
          <w:lang w:val="en-GB"/>
        </w:rPr>
        <w:t>. Potassium persulfate</w:t>
      </w:r>
      <w:r w:rsidR="00713821" w:rsidRPr="003B063D">
        <w:rPr>
          <w:lang w:val="en-GB"/>
        </w:rPr>
        <w:t xml:space="preserve"> </w:t>
      </w:r>
      <w:r w:rsidR="003B063D" w:rsidRPr="003B063D">
        <w:rPr>
          <w:lang w:val="en-GB"/>
        </w:rPr>
        <w:t>(≥99</w:t>
      </w:r>
      <w:r w:rsidR="00E02D52" w:rsidRPr="003B063D">
        <w:rPr>
          <w:lang w:val="en-GB"/>
        </w:rPr>
        <w:t xml:space="preserve">%) and </w:t>
      </w:r>
      <w:r w:rsidR="00713821" w:rsidRPr="003B063D">
        <w:rPr>
          <w:lang w:val="en-GB"/>
        </w:rPr>
        <w:t xml:space="preserve">sodium persulfate </w:t>
      </w:r>
      <w:r w:rsidR="003B063D" w:rsidRPr="003B063D">
        <w:rPr>
          <w:lang w:val="en-GB"/>
        </w:rPr>
        <w:t>(≥99</w:t>
      </w:r>
      <w:r w:rsidR="00713821" w:rsidRPr="003B063D">
        <w:rPr>
          <w:lang w:val="en-GB"/>
        </w:rPr>
        <w:t>%) were supplied by Reaktiv</w:t>
      </w:r>
      <w:r w:rsidR="00E02D52" w:rsidRPr="003B063D">
        <w:rPr>
          <w:lang w:val="en-GB"/>
        </w:rPr>
        <w:t>snab LLP</w:t>
      </w:r>
      <w:r w:rsidR="004F06C1" w:rsidRPr="003B063D">
        <w:rPr>
          <w:lang w:val="en-GB"/>
        </w:rPr>
        <w:t>.</w:t>
      </w:r>
      <w:r w:rsidR="00E02D52" w:rsidRPr="003B063D">
        <w:rPr>
          <w:lang w:val="en-GB"/>
        </w:rPr>
        <w:t xml:space="preserve"> </w:t>
      </w:r>
      <w:r w:rsidR="0017227B">
        <w:rPr>
          <w:lang w:val="en-GB"/>
        </w:rPr>
        <w:t>Lab lemco powder was obtained from Oxoid. D-Glucose, ammonium chloride, d</w:t>
      </w:r>
      <w:r w:rsidR="0017227B" w:rsidRPr="0017227B">
        <w:rPr>
          <w:lang w:val="en-GB"/>
        </w:rPr>
        <w:t>ipotassium phosphate</w:t>
      </w:r>
      <w:r w:rsidR="003A7993">
        <w:rPr>
          <w:lang w:val="en-GB"/>
        </w:rPr>
        <w:t>, d</w:t>
      </w:r>
      <w:r w:rsidR="003A7993" w:rsidRPr="003A7993">
        <w:rPr>
          <w:lang w:val="en-GB"/>
        </w:rPr>
        <w:t>isodium phosphate</w:t>
      </w:r>
      <w:r w:rsidR="003A7993">
        <w:rPr>
          <w:lang w:val="en-GB"/>
        </w:rPr>
        <w:t xml:space="preserve">, </w:t>
      </w:r>
      <w:r w:rsidR="003A7993" w:rsidRPr="00287A59">
        <w:rPr>
          <w:lang w:val="en-GB"/>
        </w:rPr>
        <w:t>sodium bicarbonate</w:t>
      </w:r>
      <w:r w:rsidR="003A7993">
        <w:rPr>
          <w:lang w:val="en-GB"/>
        </w:rPr>
        <w:t xml:space="preserve"> and sodium chloride were supplied by </w:t>
      </w:r>
      <w:r w:rsidR="003A7993" w:rsidRPr="00287A59">
        <w:rPr>
          <w:lang w:val="en-GB"/>
        </w:rPr>
        <w:t>Fisher Scientific</w:t>
      </w:r>
      <w:r w:rsidR="003A7993">
        <w:rPr>
          <w:lang w:val="en-GB"/>
        </w:rPr>
        <w:t>.</w:t>
      </w:r>
      <w:r w:rsidR="00D36FDD">
        <w:rPr>
          <w:lang w:val="en-GB"/>
        </w:rPr>
        <w:t xml:space="preserve"> </w:t>
      </w:r>
      <w:r w:rsidR="003B063D" w:rsidRPr="003B063D">
        <w:rPr>
          <w:lang w:val="en-GB"/>
        </w:rPr>
        <w:t xml:space="preserve">No additional </w:t>
      </w:r>
      <w:r w:rsidR="004F06C1" w:rsidRPr="003B063D">
        <w:rPr>
          <w:lang w:val="en-GB"/>
        </w:rPr>
        <w:t>purification</w:t>
      </w:r>
      <w:r w:rsidR="003B063D" w:rsidRPr="003B063D">
        <w:rPr>
          <w:lang w:val="en-GB"/>
        </w:rPr>
        <w:t xml:space="preserve"> of the reagents was conducted</w:t>
      </w:r>
      <w:r w:rsidR="004F06C1" w:rsidRPr="003B063D">
        <w:rPr>
          <w:lang w:val="en-GB"/>
        </w:rPr>
        <w:t>.</w:t>
      </w:r>
    </w:p>
    <w:p w14:paraId="53C1F7FD" w14:textId="4F04852A" w:rsidR="004F06C1" w:rsidRPr="00353A3F" w:rsidRDefault="00D36FDD" w:rsidP="004F06C1">
      <w:pPr>
        <w:pStyle w:val="CETheadingx"/>
      </w:pPr>
      <w:r>
        <w:t>Wastewater composition</w:t>
      </w:r>
    </w:p>
    <w:p w14:paraId="53538531" w14:textId="3D218343" w:rsidR="004F06C1" w:rsidRPr="00EF6EF3" w:rsidRDefault="002F0F99" w:rsidP="004F06C1">
      <w:pPr>
        <w:pStyle w:val="CETBodytext"/>
        <w:rPr>
          <w:szCs w:val="18"/>
          <w:lang w:val="en-GB"/>
        </w:rPr>
      </w:pPr>
      <w:r w:rsidRPr="00EF6EF3">
        <w:rPr>
          <w:szCs w:val="18"/>
          <w:lang w:val="en-GB"/>
        </w:rPr>
        <w:t xml:space="preserve">Synthetic wastewater was </w:t>
      </w:r>
      <w:r w:rsidR="00287A59">
        <w:rPr>
          <w:szCs w:val="18"/>
          <w:lang w:val="en-GB"/>
        </w:rPr>
        <w:t>adapted from</w:t>
      </w:r>
      <w:r w:rsidRPr="00EF6EF3">
        <w:rPr>
          <w:szCs w:val="18"/>
          <w:lang w:val="en-GB"/>
        </w:rPr>
        <w:t xml:space="preserve"> ISO11733 Standard and the com</w:t>
      </w:r>
      <w:r w:rsidR="00904AD0" w:rsidRPr="00EF6EF3">
        <w:rPr>
          <w:szCs w:val="18"/>
          <w:lang w:val="en-GB"/>
        </w:rPr>
        <w:t>position is shown in Table 1</w:t>
      </w:r>
      <w:r w:rsidRPr="00EF6EF3">
        <w:rPr>
          <w:szCs w:val="18"/>
          <w:lang w:val="en-GB"/>
        </w:rPr>
        <w:t xml:space="preserve"> </w:t>
      </w:r>
      <w:r w:rsidR="00114D7D" w:rsidRPr="00EF6EF3">
        <w:rPr>
          <w:iCs/>
          <w:szCs w:val="18"/>
        </w:rPr>
        <w:fldChar w:fldCharType="begin" w:fldLock="1"/>
      </w:r>
      <w:r w:rsidR="00055DAE">
        <w:rPr>
          <w:iCs/>
          <w:szCs w:val="18"/>
        </w:rPr>
        <w:instrText>ADDIN CSL_CITATION {"citationItems":[{"id":"ITEM-1","itemData":{"URL":"https://www.iso.org/standard/34416.html","author":[{"dropping-particle":"","family":"ISO11733","given":"","non-dropping-particle":"","parse-names":false,"suffix":""}],"id":"ITEM-1","issued":{"date-parts":[["2004"]]},"title":"ISO 11733:2004 Water quality — Determination of the elimination and biodegradability of organic compounds in an aqueous medium — Activated sludge simulation test","type":"webpage"},"uris":["http://www.mendeley.com/documents/?uuid=cdca13ef-3191-4cb3-a858-91d2cde5441c"]}],"mendeley":{"formattedCitation":"(ISO11733 2004)","plainTextFormattedCitation":"(ISO11733 2004)","previouslyFormattedCitation":"(ISO11733 2004)"},"properties":{"noteIndex":0},"schema":"https://github.com/citation-style-language/schema/raw/master/csl-citation.json"}</w:instrText>
      </w:r>
      <w:r w:rsidR="00114D7D" w:rsidRPr="00EF6EF3">
        <w:rPr>
          <w:iCs/>
          <w:szCs w:val="18"/>
        </w:rPr>
        <w:fldChar w:fldCharType="separate"/>
      </w:r>
      <w:r w:rsidR="001753AD" w:rsidRPr="00EF6EF3">
        <w:rPr>
          <w:iCs/>
          <w:noProof/>
          <w:szCs w:val="18"/>
        </w:rPr>
        <w:t>(ISO11733 2004)</w:t>
      </w:r>
      <w:r w:rsidR="00114D7D" w:rsidRPr="00EF6EF3">
        <w:rPr>
          <w:iCs/>
          <w:szCs w:val="18"/>
        </w:rPr>
        <w:fldChar w:fldCharType="end"/>
      </w:r>
      <w:r w:rsidRPr="00EF6EF3">
        <w:rPr>
          <w:szCs w:val="18"/>
          <w:lang w:val="en-GB"/>
        </w:rPr>
        <w:t xml:space="preserve">. The average concentration of TOC </w:t>
      </w:r>
      <w:r w:rsidR="0028656F" w:rsidRPr="00EF6EF3">
        <w:rPr>
          <w:szCs w:val="18"/>
          <w:lang w:val="en-GB"/>
        </w:rPr>
        <w:t>was 178.5±8.4</w:t>
      </w:r>
      <w:r w:rsidRPr="00EF6EF3">
        <w:rPr>
          <w:szCs w:val="18"/>
          <w:lang w:val="en-GB"/>
        </w:rPr>
        <w:t xml:space="preserve"> mg/L. The ini</w:t>
      </w:r>
      <w:r w:rsidR="00904AD0" w:rsidRPr="00EF6EF3">
        <w:rPr>
          <w:szCs w:val="18"/>
          <w:lang w:val="en-GB"/>
        </w:rPr>
        <w:t>tial pH of the solutions was 7.5±0.2</w:t>
      </w:r>
      <w:r w:rsidRPr="00EF6EF3">
        <w:rPr>
          <w:szCs w:val="18"/>
          <w:lang w:val="en-GB"/>
        </w:rPr>
        <w:t xml:space="preserve">. </w:t>
      </w:r>
    </w:p>
    <w:p w14:paraId="4629924D" w14:textId="77777777" w:rsidR="004F06C1" w:rsidRPr="00353A3F" w:rsidRDefault="004F06C1" w:rsidP="004F06C1">
      <w:pPr>
        <w:pStyle w:val="CETBodytext"/>
        <w:rPr>
          <w:lang w:val="en-GB"/>
        </w:rPr>
      </w:pPr>
    </w:p>
    <w:p w14:paraId="43DE6439" w14:textId="60BC8551" w:rsidR="004F06C1" w:rsidRPr="002E75D9" w:rsidRDefault="004F06C1" w:rsidP="004F06C1">
      <w:pPr>
        <w:pStyle w:val="CETBodytext"/>
        <w:rPr>
          <w:i/>
        </w:rPr>
      </w:pPr>
      <w:r w:rsidRPr="002E75D9">
        <w:rPr>
          <w:i/>
        </w:rPr>
        <w:t xml:space="preserve">Table 1: </w:t>
      </w:r>
      <w:r w:rsidR="00EF6EF3">
        <w:rPr>
          <w:i/>
        </w:rPr>
        <w:t>Synthetic wastewater composition</w:t>
      </w:r>
    </w:p>
    <w:tbl>
      <w:tblPr>
        <w:tblW w:w="882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80"/>
        <w:gridCol w:w="990"/>
        <w:gridCol w:w="900"/>
        <w:gridCol w:w="900"/>
        <w:gridCol w:w="720"/>
        <w:gridCol w:w="810"/>
        <w:gridCol w:w="1080"/>
        <w:gridCol w:w="720"/>
        <w:gridCol w:w="630"/>
        <w:gridCol w:w="990"/>
      </w:tblGrid>
      <w:tr w:rsidR="00DB5D75" w:rsidRPr="00353A3F" w14:paraId="4B2AEA8B" w14:textId="7935141C" w:rsidTr="00DB5D75">
        <w:tc>
          <w:tcPr>
            <w:tcW w:w="1080" w:type="dxa"/>
            <w:tcBorders>
              <w:top w:val="single" w:sz="12" w:space="0" w:color="008000"/>
              <w:bottom w:val="single" w:sz="6" w:space="0" w:color="008000"/>
            </w:tcBorders>
            <w:shd w:val="clear" w:color="auto" w:fill="FFFFFF"/>
          </w:tcPr>
          <w:p w14:paraId="45B7A6CA" w14:textId="24E9B690" w:rsidR="001A1651" w:rsidRPr="00353A3F" w:rsidRDefault="001A1651" w:rsidP="005B4E24">
            <w:pPr>
              <w:pStyle w:val="CETBodytext"/>
              <w:jc w:val="center"/>
              <w:rPr>
                <w:lang w:val="en-GB"/>
              </w:rPr>
            </w:pPr>
            <w:r>
              <w:rPr>
                <w:lang w:val="en-GB"/>
              </w:rPr>
              <w:t>Content</w:t>
            </w:r>
          </w:p>
        </w:tc>
        <w:tc>
          <w:tcPr>
            <w:tcW w:w="990" w:type="dxa"/>
            <w:tcBorders>
              <w:top w:val="single" w:sz="12" w:space="0" w:color="008000"/>
              <w:bottom w:val="single" w:sz="6" w:space="0" w:color="008000"/>
            </w:tcBorders>
            <w:shd w:val="clear" w:color="auto" w:fill="FFFFFF"/>
          </w:tcPr>
          <w:p w14:paraId="3186632F" w14:textId="16FA561A" w:rsidR="001A1651" w:rsidRPr="00353A3F" w:rsidRDefault="001A1651" w:rsidP="005B4E24">
            <w:pPr>
              <w:pStyle w:val="CETBodytext"/>
              <w:jc w:val="center"/>
              <w:rPr>
                <w:lang w:val="en-GB"/>
              </w:rPr>
            </w:pPr>
            <w:r>
              <w:rPr>
                <w:lang w:val="en-GB"/>
              </w:rPr>
              <w:t>Peptone</w:t>
            </w:r>
          </w:p>
        </w:tc>
        <w:tc>
          <w:tcPr>
            <w:tcW w:w="900" w:type="dxa"/>
            <w:tcBorders>
              <w:top w:val="single" w:sz="12" w:space="0" w:color="008000"/>
              <w:bottom w:val="single" w:sz="6" w:space="0" w:color="008000"/>
            </w:tcBorders>
            <w:shd w:val="clear" w:color="auto" w:fill="FFFFFF"/>
          </w:tcPr>
          <w:p w14:paraId="67641DD9" w14:textId="076FCBCC" w:rsidR="001A1651" w:rsidRPr="00353A3F" w:rsidRDefault="001A1651" w:rsidP="005B4E24">
            <w:pPr>
              <w:pStyle w:val="CETBodytext"/>
              <w:jc w:val="center"/>
              <w:rPr>
                <w:lang w:val="en-GB"/>
              </w:rPr>
            </w:pPr>
            <w:r>
              <w:rPr>
                <w:lang w:val="en-GB"/>
              </w:rPr>
              <w:t>Lab Lemco</w:t>
            </w:r>
          </w:p>
        </w:tc>
        <w:tc>
          <w:tcPr>
            <w:tcW w:w="900" w:type="dxa"/>
            <w:tcBorders>
              <w:top w:val="single" w:sz="12" w:space="0" w:color="008000"/>
              <w:bottom w:val="single" w:sz="6" w:space="0" w:color="008000"/>
            </w:tcBorders>
            <w:shd w:val="clear" w:color="auto" w:fill="FFFFFF"/>
          </w:tcPr>
          <w:p w14:paraId="6C3A0F46" w14:textId="3D84C039" w:rsidR="001A1651" w:rsidRPr="00353A3F" w:rsidRDefault="001A1651" w:rsidP="005B4E24">
            <w:pPr>
              <w:pStyle w:val="CETBodytext"/>
              <w:jc w:val="center"/>
              <w:rPr>
                <w:lang w:val="en-GB"/>
              </w:rPr>
            </w:pPr>
            <w:r>
              <w:rPr>
                <w:lang w:val="en-GB"/>
              </w:rPr>
              <w:t>Glucose</w:t>
            </w:r>
          </w:p>
        </w:tc>
        <w:tc>
          <w:tcPr>
            <w:tcW w:w="720" w:type="dxa"/>
            <w:tcBorders>
              <w:top w:val="single" w:sz="12" w:space="0" w:color="008000"/>
              <w:bottom w:val="single" w:sz="6" w:space="0" w:color="008000"/>
            </w:tcBorders>
            <w:shd w:val="clear" w:color="auto" w:fill="FFFFFF"/>
          </w:tcPr>
          <w:p w14:paraId="39106E86" w14:textId="075AC10C" w:rsidR="001A1651" w:rsidRPr="00353A3F" w:rsidRDefault="001A1651" w:rsidP="005B4E24">
            <w:pPr>
              <w:pStyle w:val="CETBodytext"/>
              <w:jc w:val="center"/>
              <w:rPr>
                <w:lang w:val="en-GB"/>
              </w:rPr>
            </w:pPr>
            <w:r>
              <w:rPr>
                <w:lang w:val="en-GB"/>
              </w:rPr>
              <w:t>NH</w:t>
            </w:r>
            <w:r w:rsidRPr="00DA4834">
              <w:rPr>
                <w:vertAlign w:val="subscript"/>
                <w:lang w:val="en-GB"/>
              </w:rPr>
              <w:t>4</w:t>
            </w:r>
            <w:r>
              <w:rPr>
                <w:lang w:val="en-GB"/>
              </w:rPr>
              <w:t>Cl</w:t>
            </w:r>
          </w:p>
        </w:tc>
        <w:tc>
          <w:tcPr>
            <w:tcW w:w="810" w:type="dxa"/>
            <w:tcBorders>
              <w:top w:val="single" w:sz="12" w:space="0" w:color="008000"/>
              <w:bottom w:val="single" w:sz="6" w:space="0" w:color="008000"/>
            </w:tcBorders>
            <w:shd w:val="clear" w:color="auto" w:fill="FFFFFF"/>
          </w:tcPr>
          <w:p w14:paraId="420598F7" w14:textId="5229D85D" w:rsidR="001A1651" w:rsidRPr="00353A3F" w:rsidRDefault="001A1651" w:rsidP="005B4E24">
            <w:pPr>
              <w:pStyle w:val="CETBodytext"/>
              <w:jc w:val="center"/>
              <w:rPr>
                <w:lang w:val="en-GB"/>
              </w:rPr>
            </w:pPr>
            <w:r>
              <w:rPr>
                <w:lang w:val="en-GB"/>
              </w:rPr>
              <w:t>K</w:t>
            </w:r>
            <w:r w:rsidRPr="00DA4834">
              <w:rPr>
                <w:vertAlign w:val="subscript"/>
                <w:lang w:val="en-GB"/>
              </w:rPr>
              <w:t>2</w:t>
            </w:r>
            <w:r>
              <w:rPr>
                <w:lang w:val="en-GB"/>
              </w:rPr>
              <w:t>HPO</w:t>
            </w:r>
            <w:r w:rsidRPr="00DA4834">
              <w:rPr>
                <w:vertAlign w:val="subscript"/>
                <w:lang w:val="en-GB"/>
              </w:rPr>
              <w:t>4</w:t>
            </w:r>
          </w:p>
        </w:tc>
        <w:tc>
          <w:tcPr>
            <w:tcW w:w="1080" w:type="dxa"/>
            <w:tcBorders>
              <w:top w:val="single" w:sz="12" w:space="0" w:color="008000"/>
              <w:bottom w:val="single" w:sz="6" w:space="0" w:color="008000"/>
            </w:tcBorders>
            <w:shd w:val="clear" w:color="auto" w:fill="FFFFFF"/>
          </w:tcPr>
          <w:p w14:paraId="78B86DF6" w14:textId="558C9A82" w:rsidR="001A1651" w:rsidRPr="00353A3F" w:rsidRDefault="001A1651" w:rsidP="005B4E24">
            <w:pPr>
              <w:pStyle w:val="CETBodytext"/>
              <w:jc w:val="center"/>
              <w:rPr>
                <w:lang w:val="en-GB"/>
              </w:rPr>
            </w:pPr>
            <w:r>
              <w:rPr>
                <w:lang w:val="en-GB"/>
              </w:rPr>
              <w:t>Na</w:t>
            </w:r>
            <w:r w:rsidRPr="00DA4834">
              <w:rPr>
                <w:vertAlign w:val="subscript"/>
                <w:lang w:val="en-GB"/>
              </w:rPr>
              <w:t>2</w:t>
            </w:r>
            <w:r>
              <w:rPr>
                <w:lang w:val="en-GB"/>
              </w:rPr>
              <w:t>HPO</w:t>
            </w:r>
            <w:r w:rsidRPr="00DA4834">
              <w:rPr>
                <w:vertAlign w:val="subscript"/>
                <w:lang w:val="en-GB"/>
              </w:rPr>
              <w:t>4</w:t>
            </w:r>
          </w:p>
        </w:tc>
        <w:tc>
          <w:tcPr>
            <w:tcW w:w="720" w:type="dxa"/>
            <w:tcBorders>
              <w:top w:val="single" w:sz="12" w:space="0" w:color="008000"/>
              <w:bottom w:val="single" w:sz="6" w:space="0" w:color="008000"/>
            </w:tcBorders>
            <w:shd w:val="clear" w:color="auto" w:fill="FFFFFF"/>
          </w:tcPr>
          <w:p w14:paraId="13369C86" w14:textId="545284EA" w:rsidR="001A1651" w:rsidRPr="00353A3F" w:rsidRDefault="001A1651" w:rsidP="005B4E24">
            <w:pPr>
              <w:pStyle w:val="CETBodytext"/>
              <w:jc w:val="center"/>
              <w:rPr>
                <w:lang w:val="en-GB"/>
              </w:rPr>
            </w:pPr>
            <w:r>
              <w:rPr>
                <w:lang w:val="en-GB"/>
              </w:rPr>
              <w:t>NaHCO</w:t>
            </w:r>
            <w:r w:rsidRPr="00DA4834">
              <w:rPr>
                <w:vertAlign w:val="subscript"/>
                <w:lang w:val="en-GB"/>
              </w:rPr>
              <w:t>3</w:t>
            </w:r>
          </w:p>
        </w:tc>
        <w:tc>
          <w:tcPr>
            <w:tcW w:w="630" w:type="dxa"/>
            <w:tcBorders>
              <w:top w:val="single" w:sz="12" w:space="0" w:color="008000"/>
              <w:bottom w:val="single" w:sz="6" w:space="0" w:color="008000"/>
            </w:tcBorders>
            <w:shd w:val="clear" w:color="auto" w:fill="FFFFFF"/>
          </w:tcPr>
          <w:p w14:paraId="2694B33B" w14:textId="65F62A4C" w:rsidR="001A1651" w:rsidRPr="00353A3F" w:rsidRDefault="001A1651" w:rsidP="005B4E24">
            <w:pPr>
              <w:pStyle w:val="CETBodytext"/>
              <w:jc w:val="center"/>
              <w:rPr>
                <w:lang w:val="en-GB"/>
              </w:rPr>
            </w:pPr>
            <w:r>
              <w:rPr>
                <w:lang w:val="en-GB"/>
              </w:rPr>
              <w:t>NaCl</w:t>
            </w:r>
          </w:p>
        </w:tc>
        <w:tc>
          <w:tcPr>
            <w:tcW w:w="990" w:type="dxa"/>
            <w:tcBorders>
              <w:top w:val="single" w:sz="12" w:space="0" w:color="008000"/>
              <w:bottom w:val="single" w:sz="6" w:space="0" w:color="008000"/>
            </w:tcBorders>
            <w:shd w:val="clear" w:color="auto" w:fill="FFFFFF"/>
          </w:tcPr>
          <w:p w14:paraId="04516D03" w14:textId="25011334" w:rsidR="001A1651" w:rsidRDefault="001A1651" w:rsidP="005B4E24">
            <w:pPr>
              <w:pStyle w:val="CETBodytext"/>
              <w:jc w:val="center"/>
              <w:rPr>
                <w:lang w:val="en-GB"/>
              </w:rPr>
            </w:pPr>
            <w:r>
              <w:rPr>
                <w:lang w:val="en-GB"/>
              </w:rPr>
              <w:t>FeCl</w:t>
            </w:r>
            <w:r w:rsidRPr="00DA4834">
              <w:rPr>
                <w:vertAlign w:val="subscript"/>
                <w:lang w:val="en-GB"/>
              </w:rPr>
              <w:t>3</w:t>
            </w:r>
            <w:r w:rsidR="00DA4834">
              <w:rPr>
                <w:rFonts w:cs="Arial"/>
                <w:lang w:val="en-GB"/>
              </w:rPr>
              <w:t>·</w:t>
            </w:r>
            <w:r>
              <w:rPr>
                <w:lang w:val="en-GB"/>
              </w:rPr>
              <w:t>6H</w:t>
            </w:r>
            <w:r w:rsidRPr="00DA4834">
              <w:rPr>
                <w:vertAlign w:val="subscript"/>
                <w:lang w:val="en-GB"/>
              </w:rPr>
              <w:t>2</w:t>
            </w:r>
            <w:r>
              <w:rPr>
                <w:lang w:val="en-GB"/>
              </w:rPr>
              <w:t>O</w:t>
            </w:r>
          </w:p>
        </w:tc>
      </w:tr>
      <w:tr w:rsidR="00DB5D75" w:rsidRPr="00353A3F" w14:paraId="1EEE4484" w14:textId="42CFC2DD" w:rsidTr="00DB5D75">
        <w:tc>
          <w:tcPr>
            <w:tcW w:w="1080" w:type="dxa"/>
            <w:shd w:val="clear" w:color="auto" w:fill="FFFFFF"/>
          </w:tcPr>
          <w:p w14:paraId="4874ADCA" w14:textId="3AF93537" w:rsidR="001A1651" w:rsidRPr="00353A3F" w:rsidRDefault="001A1651" w:rsidP="005B4E24">
            <w:pPr>
              <w:pStyle w:val="CETBodytext"/>
              <w:jc w:val="center"/>
              <w:rPr>
                <w:lang w:val="en-GB"/>
              </w:rPr>
            </w:pPr>
            <w:r w:rsidRPr="00353A3F">
              <w:rPr>
                <w:lang w:val="en-GB"/>
              </w:rPr>
              <w:t>mg/L</w:t>
            </w:r>
          </w:p>
        </w:tc>
        <w:tc>
          <w:tcPr>
            <w:tcW w:w="990" w:type="dxa"/>
            <w:shd w:val="clear" w:color="auto" w:fill="FFFFFF"/>
          </w:tcPr>
          <w:p w14:paraId="3F3BE950" w14:textId="35710DA3" w:rsidR="001A1651" w:rsidRPr="00353A3F" w:rsidRDefault="00F60717" w:rsidP="005B4E24">
            <w:pPr>
              <w:pStyle w:val="CETBodytext"/>
              <w:jc w:val="center"/>
              <w:rPr>
                <w:lang w:val="en-GB"/>
              </w:rPr>
            </w:pPr>
            <w:r>
              <w:rPr>
                <w:lang w:val="en-GB"/>
              </w:rPr>
              <w:t>192</w:t>
            </w:r>
          </w:p>
        </w:tc>
        <w:tc>
          <w:tcPr>
            <w:tcW w:w="900" w:type="dxa"/>
            <w:shd w:val="clear" w:color="auto" w:fill="FFFFFF"/>
          </w:tcPr>
          <w:p w14:paraId="7314C693" w14:textId="4D24EAEC" w:rsidR="001A1651" w:rsidRPr="00353A3F" w:rsidRDefault="00F60717" w:rsidP="005B4E24">
            <w:pPr>
              <w:pStyle w:val="CETBodytext"/>
              <w:jc w:val="center"/>
              <w:rPr>
                <w:lang w:val="en-GB"/>
              </w:rPr>
            </w:pPr>
            <w:r>
              <w:rPr>
                <w:lang w:val="en-GB"/>
              </w:rPr>
              <w:t>138</w:t>
            </w:r>
          </w:p>
        </w:tc>
        <w:tc>
          <w:tcPr>
            <w:tcW w:w="900" w:type="dxa"/>
            <w:shd w:val="clear" w:color="auto" w:fill="FFFFFF"/>
          </w:tcPr>
          <w:p w14:paraId="71BFC3D4" w14:textId="1C554F3B" w:rsidR="001A1651" w:rsidRPr="00353A3F" w:rsidRDefault="00F60717" w:rsidP="005B4E24">
            <w:pPr>
              <w:pStyle w:val="CETBodytext"/>
              <w:jc w:val="center"/>
              <w:rPr>
                <w:lang w:val="en-GB"/>
              </w:rPr>
            </w:pPr>
            <w:r>
              <w:rPr>
                <w:lang w:val="en-GB"/>
              </w:rPr>
              <w:t>19</w:t>
            </w:r>
          </w:p>
        </w:tc>
        <w:tc>
          <w:tcPr>
            <w:tcW w:w="720" w:type="dxa"/>
            <w:shd w:val="clear" w:color="auto" w:fill="FFFFFF"/>
          </w:tcPr>
          <w:p w14:paraId="59C13CE9" w14:textId="0FCD48B4" w:rsidR="001A1651" w:rsidRPr="00353A3F" w:rsidRDefault="00F60717" w:rsidP="005B4E24">
            <w:pPr>
              <w:pStyle w:val="CETBodytext"/>
              <w:jc w:val="center"/>
              <w:rPr>
                <w:lang w:val="en-GB"/>
              </w:rPr>
            </w:pPr>
            <w:r>
              <w:rPr>
                <w:lang w:val="en-GB"/>
              </w:rPr>
              <w:t>23</w:t>
            </w:r>
          </w:p>
        </w:tc>
        <w:tc>
          <w:tcPr>
            <w:tcW w:w="810" w:type="dxa"/>
            <w:shd w:val="clear" w:color="auto" w:fill="FFFFFF"/>
          </w:tcPr>
          <w:p w14:paraId="4396091B" w14:textId="516AD2B1" w:rsidR="001A1651" w:rsidRPr="00353A3F" w:rsidRDefault="00F60717" w:rsidP="005B4E24">
            <w:pPr>
              <w:pStyle w:val="CETBodytext"/>
              <w:jc w:val="center"/>
              <w:rPr>
                <w:lang w:val="en-GB"/>
              </w:rPr>
            </w:pPr>
            <w:r>
              <w:rPr>
                <w:lang w:val="en-GB"/>
              </w:rPr>
              <w:t>16</w:t>
            </w:r>
          </w:p>
        </w:tc>
        <w:tc>
          <w:tcPr>
            <w:tcW w:w="1080" w:type="dxa"/>
            <w:shd w:val="clear" w:color="auto" w:fill="FFFFFF"/>
          </w:tcPr>
          <w:p w14:paraId="24FBCBE4" w14:textId="0A21BE13" w:rsidR="001A1651" w:rsidRPr="00353A3F" w:rsidRDefault="00F60717" w:rsidP="005B4E24">
            <w:pPr>
              <w:pStyle w:val="CETBodytext"/>
              <w:jc w:val="center"/>
              <w:rPr>
                <w:lang w:val="en-GB"/>
              </w:rPr>
            </w:pPr>
            <w:r>
              <w:rPr>
                <w:lang w:val="en-GB"/>
              </w:rPr>
              <w:t>32</w:t>
            </w:r>
          </w:p>
        </w:tc>
        <w:tc>
          <w:tcPr>
            <w:tcW w:w="720" w:type="dxa"/>
            <w:shd w:val="clear" w:color="auto" w:fill="FFFFFF"/>
          </w:tcPr>
          <w:p w14:paraId="1F19AFCF" w14:textId="4B859659" w:rsidR="001A1651" w:rsidRPr="00353A3F" w:rsidRDefault="00F60717" w:rsidP="005B4E24">
            <w:pPr>
              <w:pStyle w:val="CETBodytext"/>
              <w:jc w:val="center"/>
              <w:rPr>
                <w:lang w:val="en-GB"/>
              </w:rPr>
            </w:pPr>
            <w:r>
              <w:rPr>
                <w:lang w:val="en-GB"/>
              </w:rPr>
              <w:t>294</w:t>
            </w:r>
          </w:p>
        </w:tc>
        <w:tc>
          <w:tcPr>
            <w:tcW w:w="630" w:type="dxa"/>
            <w:shd w:val="clear" w:color="auto" w:fill="FFFFFF"/>
          </w:tcPr>
          <w:p w14:paraId="44B125F4" w14:textId="5EE5BE0E" w:rsidR="001A1651" w:rsidRPr="00353A3F" w:rsidRDefault="00F60717" w:rsidP="005B4E24">
            <w:pPr>
              <w:pStyle w:val="CETBodytext"/>
              <w:jc w:val="center"/>
              <w:rPr>
                <w:lang w:val="en-GB"/>
              </w:rPr>
            </w:pPr>
            <w:r>
              <w:rPr>
                <w:lang w:val="en-GB"/>
              </w:rPr>
              <w:t>60</w:t>
            </w:r>
          </w:p>
        </w:tc>
        <w:tc>
          <w:tcPr>
            <w:tcW w:w="990" w:type="dxa"/>
            <w:shd w:val="clear" w:color="auto" w:fill="FFFFFF"/>
          </w:tcPr>
          <w:p w14:paraId="377369A8" w14:textId="2EB9043E" w:rsidR="001A1651" w:rsidRPr="00353A3F" w:rsidRDefault="00F60717" w:rsidP="005B4E24">
            <w:pPr>
              <w:pStyle w:val="CETBodytext"/>
              <w:jc w:val="center"/>
              <w:rPr>
                <w:lang w:val="en-GB"/>
              </w:rPr>
            </w:pPr>
            <w:r>
              <w:rPr>
                <w:lang w:val="en-GB"/>
              </w:rPr>
              <w:t>40</w:t>
            </w:r>
          </w:p>
        </w:tc>
      </w:tr>
    </w:tbl>
    <w:p w14:paraId="3F29FC02" w14:textId="50E71A71" w:rsidR="004F06C1" w:rsidRPr="006241B1" w:rsidRDefault="004F06C1" w:rsidP="004F06C1">
      <w:pPr>
        <w:pStyle w:val="CETheadingx"/>
      </w:pPr>
      <w:r w:rsidRPr="006241B1">
        <w:t>Analytical methods</w:t>
      </w:r>
    </w:p>
    <w:p w14:paraId="6F73A001" w14:textId="0AE6A4F3" w:rsidR="007F4D6B" w:rsidRPr="009872B3" w:rsidRDefault="007F4D6B" w:rsidP="009872B3">
      <w:pPr>
        <w:tabs>
          <w:tab w:val="left" w:pos="3029"/>
        </w:tabs>
        <w:spacing w:line="240" w:lineRule="auto"/>
        <w:rPr>
          <w:rFonts w:cs="Arial"/>
          <w:color w:val="000000" w:themeColor="text1"/>
          <w:szCs w:val="18"/>
        </w:rPr>
      </w:pPr>
      <w:r w:rsidRPr="007F4D6B">
        <w:rPr>
          <w:rFonts w:cs="Arial"/>
          <w:color w:val="000000" w:themeColor="text1"/>
          <w:szCs w:val="18"/>
        </w:rPr>
        <w:t>The main analytical properties were obtained by analyzing the sample with Multi N/C 2100S (Analytik Jena AG, Germany). The properties include total carbon (TC), total inorganic carbon (TIC) and total organic carbon (TOC). pH control has been conducted using pH meter (</w:t>
      </w:r>
      <w:r w:rsidRPr="007F4D6B">
        <w:rPr>
          <w:rFonts w:cs="Arial"/>
          <w:color w:val="000000"/>
          <w:szCs w:val="18"/>
          <w:shd w:val="clear" w:color="auto" w:fill="FFFFFF"/>
        </w:rPr>
        <w:t>Mettler Toledo, Five easy FE20</w:t>
      </w:r>
      <w:r w:rsidRPr="007F4D6B">
        <w:rPr>
          <w:rFonts w:cs="Arial"/>
          <w:color w:val="000000" w:themeColor="text1"/>
          <w:szCs w:val="18"/>
        </w:rPr>
        <w:t>). Usin</w:t>
      </w:r>
      <w:r w:rsidR="006241B1">
        <w:rPr>
          <w:rFonts w:cs="Arial"/>
          <w:color w:val="000000" w:themeColor="text1"/>
          <w:szCs w:val="18"/>
        </w:rPr>
        <w:t>g the data obtained on TC/TOC</w:t>
      </w:r>
      <w:r w:rsidRPr="007F4D6B">
        <w:rPr>
          <w:rFonts w:cs="Arial"/>
          <w:color w:val="000000" w:themeColor="text1"/>
          <w:szCs w:val="18"/>
        </w:rPr>
        <w:t>, the</w:t>
      </w:r>
      <w:r w:rsidR="009872B3">
        <w:rPr>
          <w:rFonts w:cs="Arial"/>
          <w:color w:val="000000" w:themeColor="text1"/>
          <w:szCs w:val="18"/>
        </w:rPr>
        <w:t xml:space="preserve"> removal efficiency is deduced.</w:t>
      </w:r>
    </w:p>
    <w:p w14:paraId="7CB5C02C" w14:textId="77777777" w:rsidR="004F06C1" w:rsidRPr="00353A3F" w:rsidRDefault="004F06C1" w:rsidP="004F06C1">
      <w:pPr>
        <w:pStyle w:val="CETheadingx"/>
      </w:pPr>
      <w:r w:rsidRPr="00353A3F">
        <w:t>Photochemical treatment experiments</w:t>
      </w:r>
    </w:p>
    <w:p w14:paraId="7AD53831" w14:textId="53BEDAC6" w:rsidR="00E11B99" w:rsidRPr="001F01C8" w:rsidRDefault="00E11B99" w:rsidP="004F06C1">
      <w:pPr>
        <w:pStyle w:val="CETBodytext"/>
      </w:pPr>
      <w:r w:rsidRPr="001F01C8">
        <w:t>The batch photochemical reactor (Toption, China) with UV lamp (254 nm, 30W)</w:t>
      </w:r>
      <w:r w:rsidR="00AF2CC6">
        <w:t xml:space="preserve"> and 400 mL </w:t>
      </w:r>
      <w:r w:rsidR="00055DAE" w:rsidRPr="001F01C8">
        <w:t>vessel</w:t>
      </w:r>
      <w:r w:rsidR="00AF2CC6">
        <w:t xml:space="preserve"> </w:t>
      </w:r>
      <w:r w:rsidRPr="001F01C8">
        <w:t xml:space="preserve">was used for photochemical treatment experiments. The </w:t>
      </w:r>
      <w:r w:rsidR="00055DAE" w:rsidRPr="001F01C8">
        <w:t>full description</w:t>
      </w:r>
      <w:r w:rsidR="000E4415">
        <w:t xml:space="preserve"> and scheme</w:t>
      </w:r>
      <w:r w:rsidR="00055DAE" w:rsidRPr="001F01C8">
        <w:t xml:space="preserve"> of the reactor was previously provided </w:t>
      </w:r>
      <w:r w:rsidR="00055DAE" w:rsidRPr="001F01C8">
        <w:fldChar w:fldCharType="begin" w:fldLock="1"/>
      </w:r>
      <w:r w:rsidR="006C7C84">
        <w:instrText>ADDIN CSL_CITATION {"citationItems":[{"id":"ITEM-1","itemData":{"author":[{"dropping-particle":"","family":"Kanafin","given":"Yerkanat N.","non-dropping-particle":"","parse-names":false,"suffix":""},{"dropping-particle":"","family":"Makhatova","given":"Ardak","non-dropping-particle":"","parse-names":false,"suffix":""},{"dropping-particle":"","family":"Zarikas","given":"Vasilios","non-dropping-particle":"","parse-names":false,"suffix":""},{"dropping-particle":"","family":"Arkhangelsky","given":"Elizabeth","non-dropping-particle":"","parse-names":false,"suffix":""},{"dropping-particle":"","family":"Poulopoulos","given":"Stavros G","non-dropping-particle":"","parse-names":false,"suffix":""}],"container-title":"Catalysts","id":"ITEM-1","issue":"10","issued":{"date-parts":[["2021"]]},"page":"1206","title":"Photo-Fenton-like treatment of municipal wastewater","type":"article-journal","volume":"11"},"uris":["http://www.mendeley.com/documents/?uuid=83741abe-f343-4cd7-9e99-03bc6344dace"]}],"mendeley":{"formattedCitation":"(Kanafin, Makhatova, et al. 2021)","plainTextFormattedCitation":"(Kanafin, Makhatova, et al. 2021)","previouslyFormattedCitation":"(Kanafin, Makhatova, et al. 2021)"},"properties":{"noteIndex":0},"schema":"https://github.com/citation-style-language/schema/raw/master/csl-citation.json"}</w:instrText>
      </w:r>
      <w:r w:rsidR="00055DAE" w:rsidRPr="001F01C8">
        <w:fldChar w:fldCharType="separate"/>
      </w:r>
      <w:r w:rsidR="006C7C84" w:rsidRPr="006C7C84">
        <w:rPr>
          <w:noProof/>
        </w:rPr>
        <w:t>(Kanafin, Makhatova, et al. 2021)</w:t>
      </w:r>
      <w:r w:rsidR="00055DAE" w:rsidRPr="001F01C8">
        <w:fldChar w:fldCharType="end"/>
      </w:r>
      <w:r w:rsidR="00055DAE" w:rsidRPr="001F01C8">
        <w:t>.</w:t>
      </w:r>
      <w:r w:rsidR="00155D51" w:rsidRPr="001F01C8">
        <w:t xml:space="preserve"> </w:t>
      </w:r>
      <w:r w:rsidR="001F01C8" w:rsidRPr="001F01C8">
        <w:t xml:space="preserve">All experiments were conducted for 2 hours with addition of </w:t>
      </w:r>
      <w:r w:rsidR="00155D51" w:rsidRPr="001F01C8">
        <w:t>Fe</w:t>
      </w:r>
      <w:r w:rsidR="00155D51" w:rsidRPr="001F01C8">
        <w:rPr>
          <w:vertAlign w:val="superscript"/>
        </w:rPr>
        <w:t>2+</w:t>
      </w:r>
      <w:r w:rsidR="00155D51" w:rsidRPr="001F01C8">
        <w:t xml:space="preserve"> </w:t>
      </w:r>
      <w:r w:rsidR="001F01C8" w:rsidRPr="001F01C8">
        <w:t>(10 mg/L)</w:t>
      </w:r>
      <w:r w:rsidR="00F076C9">
        <w:t xml:space="preserve"> at 12</w:t>
      </w:r>
      <w:r w:rsidR="004440D9">
        <w:t xml:space="preserve"> </w:t>
      </w:r>
      <w:r w:rsidR="004440D9" w:rsidRPr="004440D9">
        <w:t>°C</w:t>
      </w:r>
      <w:r w:rsidR="004440D9">
        <w:t>.</w:t>
      </w:r>
    </w:p>
    <w:p w14:paraId="56F6170F" w14:textId="35E4EC18" w:rsidR="00EF6EF3" w:rsidRPr="00353A3F" w:rsidRDefault="00EF6EF3" w:rsidP="00EF6EF3">
      <w:pPr>
        <w:pStyle w:val="CETheadingx"/>
      </w:pPr>
      <w:r>
        <w:t>Statistical design</w:t>
      </w:r>
    </w:p>
    <w:p w14:paraId="2FE8DF49" w14:textId="13CABB4E" w:rsidR="009872B3" w:rsidRPr="006C1D46" w:rsidRDefault="00EF6EF3" w:rsidP="009872B3">
      <w:pPr>
        <w:pStyle w:val="CETBodytext"/>
      </w:pPr>
      <w:r>
        <w:t>Th</w:t>
      </w:r>
      <w:r w:rsidRPr="00EF6EF3">
        <w:t>e statistical software Design-Expert</w:t>
      </w:r>
      <w:r>
        <w:t xml:space="preserve"> (v.13)</w:t>
      </w:r>
      <w:r w:rsidRPr="00EF6EF3">
        <w:t xml:space="preserve"> was applied to construct the experimental model.  To find the primary significant effects, </w:t>
      </w:r>
      <w:r w:rsidR="00DD1DB8">
        <w:t>Box-Behnken design (BB</w:t>
      </w:r>
      <w:r w:rsidRPr="00EF6EF3">
        <w:t>D) has been constructed. The model included three different levels (-1,</w:t>
      </w:r>
      <w:r w:rsidR="00DD1DB8">
        <w:t xml:space="preserve"> </w:t>
      </w:r>
      <w:r w:rsidRPr="00EF6EF3">
        <w:t>0,</w:t>
      </w:r>
      <w:r w:rsidR="00AF2CC6">
        <w:t xml:space="preserve"> </w:t>
      </w:r>
      <w:r w:rsidRPr="00EF6EF3">
        <w:t>+1) with three dif</w:t>
      </w:r>
      <w:r w:rsidR="00DD1DB8">
        <w:t>ferent corresponding variables: concentration of potassium persulfate</w:t>
      </w:r>
      <w:r w:rsidR="00C97F03">
        <w:t xml:space="preserve"> (KPS)</w:t>
      </w:r>
      <w:r w:rsidR="00DD1DB8">
        <w:t>, sodium persulfate</w:t>
      </w:r>
      <w:r w:rsidR="00C97F03">
        <w:t xml:space="preserve"> (NaPS)</w:t>
      </w:r>
      <w:r w:rsidR="00DD1DB8">
        <w:t xml:space="preserve"> and ammonium persulfate</w:t>
      </w:r>
      <w:r w:rsidR="00C97F03">
        <w:t xml:space="preserve"> (NH</w:t>
      </w:r>
      <w:r w:rsidR="00C97F03" w:rsidRPr="005F1C11">
        <w:rPr>
          <w:vertAlign w:val="subscript"/>
        </w:rPr>
        <w:t>4</w:t>
      </w:r>
      <w:r w:rsidR="00C97F03">
        <w:t>PS)</w:t>
      </w:r>
      <w:r w:rsidR="00BB5F4B">
        <w:t xml:space="preserve"> (Table 2)</w:t>
      </w:r>
      <w:r w:rsidRPr="00EF6EF3">
        <w:t xml:space="preserve">. </w:t>
      </w:r>
      <w:r w:rsidR="009872B3" w:rsidRPr="00EF6EF3">
        <w:t xml:space="preserve">BBD </w:t>
      </w:r>
      <w:r w:rsidR="009872B3">
        <w:t xml:space="preserve">experimental matrix </w:t>
      </w:r>
      <w:r w:rsidR="009872B3" w:rsidRPr="00EF6EF3">
        <w:t>consisted of 15 experiments. Response surface methodo</w:t>
      </w:r>
      <w:r w:rsidR="009872B3">
        <w:t xml:space="preserve">logy (RSM) aided to maximize </w:t>
      </w:r>
      <w:r w:rsidR="009872B3" w:rsidRPr="00EF6EF3">
        <w:t>TOC</w:t>
      </w:r>
      <w:r w:rsidR="009872B3">
        <w:t xml:space="preserve"> removal</w:t>
      </w:r>
      <w:r w:rsidR="009872B3" w:rsidRPr="00EF6EF3">
        <w:t xml:space="preserve"> in synthetic </w:t>
      </w:r>
      <w:r w:rsidR="009872B3">
        <w:t>wastewater</w:t>
      </w:r>
      <w:r w:rsidR="009872B3" w:rsidRPr="00EF6EF3">
        <w:t xml:space="preserve">.  Applying the Minitab Software (19.0), Pareto </w:t>
      </w:r>
      <w:r w:rsidR="009872B3">
        <w:t>graphical c</w:t>
      </w:r>
      <w:r w:rsidR="009872B3" w:rsidRPr="00EF6EF3">
        <w:t>hart was constructed and interpreted in the results section.</w:t>
      </w:r>
    </w:p>
    <w:p w14:paraId="4094AFD2" w14:textId="3C7C6AE3" w:rsidR="00EF6EF3" w:rsidRDefault="00EF6EF3" w:rsidP="00EF6EF3">
      <w:pPr>
        <w:pStyle w:val="CETBodytext"/>
      </w:pPr>
    </w:p>
    <w:p w14:paraId="2BBE600E" w14:textId="77777777" w:rsidR="00F076C9" w:rsidRDefault="00F076C9" w:rsidP="00BB5F4B">
      <w:pPr>
        <w:pStyle w:val="CETBodytext"/>
        <w:rPr>
          <w:i/>
        </w:rPr>
      </w:pPr>
    </w:p>
    <w:p w14:paraId="29AAA4E3" w14:textId="77777777" w:rsidR="00F076C9" w:rsidRDefault="00F076C9" w:rsidP="00BB5F4B">
      <w:pPr>
        <w:pStyle w:val="CETBodytext"/>
        <w:rPr>
          <w:i/>
        </w:rPr>
      </w:pPr>
    </w:p>
    <w:p w14:paraId="07204C5E" w14:textId="4177BD6C" w:rsidR="00BB5F4B" w:rsidRDefault="00BB5F4B" w:rsidP="00BB5F4B">
      <w:pPr>
        <w:pStyle w:val="CETBodytext"/>
        <w:rPr>
          <w:i/>
        </w:rPr>
      </w:pPr>
      <w:r w:rsidRPr="002E75D9">
        <w:rPr>
          <w:i/>
        </w:rPr>
        <w:t>Table</w:t>
      </w:r>
      <w:r w:rsidR="00352E0A">
        <w:rPr>
          <w:i/>
        </w:rPr>
        <w:t xml:space="preserve"> 2</w:t>
      </w:r>
      <w:r w:rsidRPr="002E75D9">
        <w:rPr>
          <w:i/>
        </w:rPr>
        <w:t xml:space="preserve">: </w:t>
      </w:r>
      <w:r w:rsidR="00352E0A">
        <w:rPr>
          <w:i/>
        </w:rPr>
        <w:t>BBD factors and levels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01"/>
        <w:gridCol w:w="870"/>
        <w:gridCol w:w="30"/>
        <w:gridCol w:w="840"/>
        <w:gridCol w:w="123"/>
        <w:gridCol w:w="747"/>
      </w:tblGrid>
      <w:tr w:rsidR="0058007A" w:rsidRPr="00353A3F" w14:paraId="5A7ED643" w14:textId="77777777" w:rsidTr="0042248C">
        <w:tc>
          <w:tcPr>
            <w:tcW w:w="1101" w:type="dxa"/>
            <w:vMerge w:val="restart"/>
            <w:tcBorders>
              <w:top w:val="single" w:sz="12" w:space="0" w:color="008000"/>
            </w:tcBorders>
            <w:shd w:val="clear" w:color="auto" w:fill="FFFFFF"/>
          </w:tcPr>
          <w:p w14:paraId="7223A141" w14:textId="77777777" w:rsidR="0058007A" w:rsidRPr="00353A3F" w:rsidRDefault="0058007A" w:rsidP="0042248C">
            <w:pPr>
              <w:pStyle w:val="CETBodytext"/>
              <w:jc w:val="center"/>
              <w:rPr>
                <w:lang w:val="en-GB"/>
              </w:rPr>
            </w:pPr>
            <w:r>
              <w:rPr>
                <w:lang w:val="en-GB"/>
              </w:rPr>
              <w:t>Factors</w:t>
            </w:r>
          </w:p>
        </w:tc>
        <w:tc>
          <w:tcPr>
            <w:tcW w:w="2610" w:type="dxa"/>
            <w:gridSpan w:val="5"/>
            <w:tcBorders>
              <w:top w:val="single" w:sz="12" w:space="0" w:color="008000"/>
              <w:bottom w:val="single" w:sz="6" w:space="0" w:color="008000"/>
            </w:tcBorders>
            <w:shd w:val="clear" w:color="auto" w:fill="FFFFFF"/>
          </w:tcPr>
          <w:p w14:paraId="5BEE27EF" w14:textId="77777777" w:rsidR="0058007A" w:rsidRPr="00353A3F" w:rsidRDefault="0058007A" w:rsidP="0042248C">
            <w:pPr>
              <w:pStyle w:val="CETBodytext"/>
              <w:jc w:val="center"/>
              <w:rPr>
                <w:lang w:val="en-GB"/>
              </w:rPr>
            </w:pPr>
            <w:r>
              <w:rPr>
                <w:lang w:val="en-GB"/>
              </w:rPr>
              <w:t>Levels</w:t>
            </w:r>
          </w:p>
        </w:tc>
      </w:tr>
      <w:tr w:rsidR="0058007A" w:rsidRPr="00353A3F" w14:paraId="706EB2A3" w14:textId="77777777" w:rsidTr="0042248C">
        <w:tc>
          <w:tcPr>
            <w:tcW w:w="1101" w:type="dxa"/>
            <w:vMerge/>
            <w:tcBorders>
              <w:bottom w:val="single" w:sz="6" w:space="0" w:color="008000"/>
            </w:tcBorders>
            <w:shd w:val="clear" w:color="auto" w:fill="FFFFFF"/>
          </w:tcPr>
          <w:p w14:paraId="4EEEAB65" w14:textId="77777777" w:rsidR="0058007A" w:rsidRDefault="0058007A" w:rsidP="0042248C">
            <w:pPr>
              <w:pStyle w:val="CETBodytext"/>
              <w:jc w:val="center"/>
              <w:rPr>
                <w:lang w:val="en-GB"/>
              </w:rPr>
            </w:pPr>
          </w:p>
        </w:tc>
        <w:tc>
          <w:tcPr>
            <w:tcW w:w="870" w:type="dxa"/>
            <w:tcBorders>
              <w:top w:val="single" w:sz="12" w:space="0" w:color="008000"/>
              <w:bottom w:val="single" w:sz="6" w:space="0" w:color="008000"/>
            </w:tcBorders>
            <w:shd w:val="clear" w:color="auto" w:fill="FFFFFF"/>
          </w:tcPr>
          <w:p w14:paraId="3532207A" w14:textId="77777777" w:rsidR="0058007A" w:rsidRDefault="0058007A" w:rsidP="0042248C">
            <w:pPr>
              <w:pStyle w:val="CETBodytext"/>
              <w:jc w:val="center"/>
              <w:rPr>
                <w:lang w:val="en-GB"/>
              </w:rPr>
            </w:pPr>
            <w:r>
              <w:rPr>
                <w:lang w:val="en-GB"/>
              </w:rPr>
              <w:t>-1</w:t>
            </w:r>
          </w:p>
        </w:tc>
        <w:tc>
          <w:tcPr>
            <w:tcW w:w="870" w:type="dxa"/>
            <w:gridSpan w:val="2"/>
            <w:tcBorders>
              <w:top w:val="single" w:sz="12" w:space="0" w:color="008000"/>
              <w:bottom w:val="single" w:sz="6" w:space="0" w:color="008000"/>
            </w:tcBorders>
            <w:shd w:val="clear" w:color="auto" w:fill="FFFFFF"/>
          </w:tcPr>
          <w:p w14:paraId="5F14B98A" w14:textId="77777777" w:rsidR="0058007A" w:rsidRDefault="0058007A" w:rsidP="0042248C">
            <w:pPr>
              <w:pStyle w:val="CETBodytext"/>
              <w:jc w:val="center"/>
              <w:rPr>
                <w:lang w:val="en-GB"/>
              </w:rPr>
            </w:pPr>
            <w:r>
              <w:rPr>
                <w:lang w:val="en-GB"/>
              </w:rPr>
              <w:t>0</w:t>
            </w:r>
          </w:p>
        </w:tc>
        <w:tc>
          <w:tcPr>
            <w:tcW w:w="870" w:type="dxa"/>
            <w:gridSpan w:val="2"/>
            <w:tcBorders>
              <w:top w:val="single" w:sz="12" w:space="0" w:color="008000"/>
              <w:bottom w:val="single" w:sz="6" w:space="0" w:color="008000"/>
            </w:tcBorders>
            <w:shd w:val="clear" w:color="auto" w:fill="FFFFFF"/>
          </w:tcPr>
          <w:p w14:paraId="391EDF71" w14:textId="77777777" w:rsidR="0058007A" w:rsidRDefault="0058007A" w:rsidP="0042248C">
            <w:pPr>
              <w:pStyle w:val="CETBodytext"/>
              <w:jc w:val="center"/>
              <w:rPr>
                <w:lang w:val="en-GB"/>
              </w:rPr>
            </w:pPr>
            <w:r>
              <w:rPr>
                <w:lang w:val="en-GB"/>
              </w:rPr>
              <w:t>+1</w:t>
            </w:r>
          </w:p>
        </w:tc>
      </w:tr>
      <w:tr w:rsidR="0058007A" w:rsidRPr="00353A3F" w14:paraId="7F5063E3" w14:textId="77777777" w:rsidTr="00FC6EFC">
        <w:tc>
          <w:tcPr>
            <w:tcW w:w="1101" w:type="dxa"/>
            <w:tcBorders>
              <w:top w:val="single" w:sz="12" w:space="0" w:color="008000"/>
              <w:bottom w:val="nil"/>
            </w:tcBorders>
            <w:shd w:val="clear" w:color="auto" w:fill="FFFFFF"/>
          </w:tcPr>
          <w:p w14:paraId="61C80715" w14:textId="77777777" w:rsidR="0058007A" w:rsidRDefault="0058007A" w:rsidP="0042248C">
            <w:pPr>
              <w:pStyle w:val="CETBodytext"/>
              <w:jc w:val="center"/>
              <w:rPr>
                <w:lang w:val="en-GB"/>
              </w:rPr>
            </w:pPr>
            <w:r>
              <w:rPr>
                <w:lang w:val="en-GB"/>
              </w:rPr>
              <w:t>NH</w:t>
            </w:r>
            <w:r w:rsidRPr="005F1C11">
              <w:rPr>
                <w:vertAlign w:val="subscript"/>
                <w:lang w:val="en-GB"/>
              </w:rPr>
              <w:t>4</w:t>
            </w:r>
            <w:r>
              <w:rPr>
                <w:lang w:val="en-GB"/>
              </w:rPr>
              <w:t>PS, mM</w:t>
            </w:r>
          </w:p>
        </w:tc>
        <w:tc>
          <w:tcPr>
            <w:tcW w:w="900" w:type="dxa"/>
            <w:gridSpan w:val="2"/>
            <w:tcBorders>
              <w:top w:val="single" w:sz="12" w:space="0" w:color="008000"/>
              <w:bottom w:val="nil"/>
            </w:tcBorders>
            <w:shd w:val="clear" w:color="auto" w:fill="FFFFFF"/>
          </w:tcPr>
          <w:p w14:paraId="51C491CF" w14:textId="77777777" w:rsidR="0058007A" w:rsidRDefault="0058007A" w:rsidP="0042248C">
            <w:pPr>
              <w:pStyle w:val="CETBodytext"/>
              <w:jc w:val="center"/>
              <w:rPr>
                <w:lang w:val="en-GB"/>
              </w:rPr>
            </w:pPr>
            <w:r>
              <w:rPr>
                <w:lang w:val="en-GB"/>
              </w:rPr>
              <w:t>0</w:t>
            </w:r>
          </w:p>
        </w:tc>
        <w:tc>
          <w:tcPr>
            <w:tcW w:w="963" w:type="dxa"/>
            <w:gridSpan w:val="2"/>
            <w:tcBorders>
              <w:top w:val="single" w:sz="12" w:space="0" w:color="008000"/>
              <w:bottom w:val="nil"/>
            </w:tcBorders>
            <w:shd w:val="clear" w:color="auto" w:fill="FFFFFF"/>
          </w:tcPr>
          <w:p w14:paraId="7D1AA297" w14:textId="77777777" w:rsidR="0058007A" w:rsidRDefault="0058007A" w:rsidP="0042248C">
            <w:pPr>
              <w:pStyle w:val="CETBodytext"/>
              <w:jc w:val="center"/>
              <w:rPr>
                <w:lang w:val="en-GB"/>
              </w:rPr>
            </w:pPr>
            <w:r>
              <w:rPr>
                <w:lang w:val="en-GB"/>
              </w:rPr>
              <w:t>25</w:t>
            </w:r>
          </w:p>
        </w:tc>
        <w:tc>
          <w:tcPr>
            <w:tcW w:w="747" w:type="dxa"/>
            <w:tcBorders>
              <w:top w:val="single" w:sz="12" w:space="0" w:color="008000"/>
              <w:bottom w:val="nil"/>
            </w:tcBorders>
            <w:shd w:val="clear" w:color="auto" w:fill="FFFFFF"/>
          </w:tcPr>
          <w:p w14:paraId="01DC6662" w14:textId="77777777" w:rsidR="0058007A" w:rsidRDefault="0058007A" w:rsidP="0042248C">
            <w:pPr>
              <w:pStyle w:val="CETBodytext"/>
              <w:jc w:val="center"/>
              <w:rPr>
                <w:lang w:val="en-GB"/>
              </w:rPr>
            </w:pPr>
            <w:r>
              <w:rPr>
                <w:lang w:val="en-GB"/>
              </w:rPr>
              <w:t>50</w:t>
            </w:r>
          </w:p>
        </w:tc>
      </w:tr>
      <w:tr w:rsidR="0058007A" w:rsidRPr="00353A3F" w14:paraId="6EF9D370" w14:textId="77777777" w:rsidTr="00FC6EFC">
        <w:tc>
          <w:tcPr>
            <w:tcW w:w="1101" w:type="dxa"/>
            <w:tcBorders>
              <w:top w:val="nil"/>
              <w:bottom w:val="nil"/>
            </w:tcBorders>
            <w:shd w:val="clear" w:color="auto" w:fill="FFFFFF"/>
          </w:tcPr>
          <w:p w14:paraId="4A14F4B3" w14:textId="77777777" w:rsidR="0058007A" w:rsidRDefault="0058007A" w:rsidP="0042248C">
            <w:pPr>
              <w:pStyle w:val="CETBodytext"/>
              <w:jc w:val="center"/>
              <w:rPr>
                <w:lang w:val="en-GB"/>
              </w:rPr>
            </w:pPr>
            <w:r>
              <w:rPr>
                <w:lang w:val="en-GB"/>
              </w:rPr>
              <w:t>NaPS, mM</w:t>
            </w:r>
          </w:p>
        </w:tc>
        <w:tc>
          <w:tcPr>
            <w:tcW w:w="900" w:type="dxa"/>
            <w:gridSpan w:val="2"/>
            <w:tcBorders>
              <w:top w:val="nil"/>
              <w:bottom w:val="nil"/>
            </w:tcBorders>
            <w:shd w:val="clear" w:color="auto" w:fill="FFFFFF"/>
          </w:tcPr>
          <w:p w14:paraId="20FC63E6" w14:textId="77777777" w:rsidR="0058007A" w:rsidRDefault="0058007A" w:rsidP="0042248C">
            <w:pPr>
              <w:pStyle w:val="CETBodytext"/>
              <w:jc w:val="center"/>
              <w:rPr>
                <w:lang w:val="en-GB"/>
              </w:rPr>
            </w:pPr>
            <w:r>
              <w:rPr>
                <w:lang w:val="en-GB"/>
              </w:rPr>
              <w:t>0</w:t>
            </w:r>
          </w:p>
        </w:tc>
        <w:tc>
          <w:tcPr>
            <w:tcW w:w="963" w:type="dxa"/>
            <w:gridSpan w:val="2"/>
            <w:tcBorders>
              <w:top w:val="nil"/>
              <w:bottom w:val="nil"/>
            </w:tcBorders>
            <w:shd w:val="clear" w:color="auto" w:fill="FFFFFF"/>
          </w:tcPr>
          <w:p w14:paraId="0D91457A" w14:textId="77777777" w:rsidR="0058007A" w:rsidRDefault="0058007A" w:rsidP="0042248C">
            <w:pPr>
              <w:pStyle w:val="CETBodytext"/>
              <w:jc w:val="center"/>
              <w:rPr>
                <w:lang w:val="en-GB"/>
              </w:rPr>
            </w:pPr>
            <w:r>
              <w:rPr>
                <w:lang w:val="en-GB"/>
              </w:rPr>
              <w:t>25</w:t>
            </w:r>
          </w:p>
        </w:tc>
        <w:tc>
          <w:tcPr>
            <w:tcW w:w="747" w:type="dxa"/>
            <w:tcBorders>
              <w:top w:val="nil"/>
              <w:bottom w:val="nil"/>
            </w:tcBorders>
            <w:shd w:val="clear" w:color="auto" w:fill="FFFFFF"/>
          </w:tcPr>
          <w:p w14:paraId="19230169" w14:textId="77777777" w:rsidR="0058007A" w:rsidRDefault="0058007A" w:rsidP="0042248C">
            <w:pPr>
              <w:pStyle w:val="CETBodytext"/>
              <w:jc w:val="center"/>
              <w:rPr>
                <w:lang w:val="en-GB"/>
              </w:rPr>
            </w:pPr>
            <w:r>
              <w:rPr>
                <w:lang w:val="en-GB"/>
              </w:rPr>
              <w:t>50</w:t>
            </w:r>
          </w:p>
        </w:tc>
      </w:tr>
      <w:tr w:rsidR="0058007A" w:rsidRPr="00353A3F" w14:paraId="41530D1B" w14:textId="77777777" w:rsidTr="00FC6EFC">
        <w:tc>
          <w:tcPr>
            <w:tcW w:w="1101" w:type="dxa"/>
            <w:tcBorders>
              <w:top w:val="nil"/>
            </w:tcBorders>
            <w:shd w:val="clear" w:color="auto" w:fill="FFFFFF"/>
          </w:tcPr>
          <w:p w14:paraId="013155AB" w14:textId="77777777" w:rsidR="0058007A" w:rsidRPr="00353A3F" w:rsidRDefault="0058007A" w:rsidP="0042248C">
            <w:pPr>
              <w:pStyle w:val="CETBodytext"/>
              <w:jc w:val="center"/>
              <w:rPr>
                <w:lang w:val="en-GB"/>
              </w:rPr>
            </w:pPr>
            <w:r>
              <w:rPr>
                <w:lang w:val="en-GB"/>
              </w:rPr>
              <w:t>KPS, mM</w:t>
            </w:r>
          </w:p>
        </w:tc>
        <w:tc>
          <w:tcPr>
            <w:tcW w:w="900" w:type="dxa"/>
            <w:gridSpan w:val="2"/>
            <w:tcBorders>
              <w:top w:val="nil"/>
            </w:tcBorders>
            <w:shd w:val="clear" w:color="auto" w:fill="FFFFFF"/>
          </w:tcPr>
          <w:p w14:paraId="5CB03CD6" w14:textId="77777777" w:rsidR="0058007A" w:rsidRPr="00353A3F" w:rsidRDefault="0058007A" w:rsidP="0042248C">
            <w:pPr>
              <w:pStyle w:val="CETBodytext"/>
              <w:jc w:val="center"/>
              <w:rPr>
                <w:lang w:val="en-GB"/>
              </w:rPr>
            </w:pPr>
            <w:r>
              <w:rPr>
                <w:lang w:val="en-GB"/>
              </w:rPr>
              <w:t>0</w:t>
            </w:r>
          </w:p>
        </w:tc>
        <w:tc>
          <w:tcPr>
            <w:tcW w:w="963" w:type="dxa"/>
            <w:gridSpan w:val="2"/>
            <w:tcBorders>
              <w:top w:val="nil"/>
            </w:tcBorders>
            <w:shd w:val="clear" w:color="auto" w:fill="FFFFFF"/>
          </w:tcPr>
          <w:p w14:paraId="701AD507" w14:textId="77777777" w:rsidR="0058007A" w:rsidRPr="00353A3F" w:rsidRDefault="0058007A" w:rsidP="0042248C">
            <w:pPr>
              <w:pStyle w:val="CETBodytext"/>
              <w:jc w:val="center"/>
              <w:rPr>
                <w:lang w:val="en-GB"/>
              </w:rPr>
            </w:pPr>
            <w:r>
              <w:rPr>
                <w:lang w:val="en-GB"/>
              </w:rPr>
              <w:t>25</w:t>
            </w:r>
          </w:p>
        </w:tc>
        <w:tc>
          <w:tcPr>
            <w:tcW w:w="747" w:type="dxa"/>
            <w:tcBorders>
              <w:top w:val="nil"/>
            </w:tcBorders>
            <w:shd w:val="clear" w:color="auto" w:fill="FFFFFF"/>
          </w:tcPr>
          <w:p w14:paraId="506B5970" w14:textId="77777777" w:rsidR="0058007A" w:rsidRPr="00353A3F" w:rsidRDefault="0058007A" w:rsidP="0042248C">
            <w:pPr>
              <w:pStyle w:val="CETBodytext"/>
              <w:jc w:val="center"/>
              <w:rPr>
                <w:lang w:val="en-GB"/>
              </w:rPr>
            </w:pPr>
            <w:r>
              <w:rPr>
                <w:lang w:val="en-GB"/>
              </w:rPr>
              <w:t>50</w:t>
            </w:r>
          </w:p>
        </w:tc>
      </w:tr>
    </w:tbl>
    <w:p w14:paraId="183D16FF" w14:textId="77777777" w:rsidR="004F06C1" w:rsidRPr="00353A3F" w:rsidRDefault="004F06C1" w:rsidP="004F06C1">
      <w:pPr>
        <w:pStyle w:val="CETHeading1"/>
        <w:rPr>
          <w:lang w:val="en-GB"/>
        </w:rPr>
      </w:pPr>
      <w:r w:rsidRPr="00353A3F">
        <w:rPr>
          <w:lang w:val="en-GB"/>
        </w:rPr>
        <w:t>Results and Discussions</w:t>
      </w:r>
    </w:p>
    <w:p w14:paraId="2C115BE9" w14:textId="3C25B322" w:rsidR="00F81708" w:rsidRDefault="00F81708" w:rsidP="00F81708">
      <w:pPr>
        <w:pStyle w:val="CETHeading1"/>
        <w:numPr>
          <w:ilvl w:val="1"/>
          <w:numId w:val="22"/>
        </w:numPr>
        <w:rPr>
          <w:lang w:val="en-GB"/>
        </w:rPr>
      </w:pPr>
      <w:r>
        <w:rPr>
          <w:lang w:val="en-GB"/>
        </w:rPr>
        <w:t>ANOVA</w:t>
      </w:r>
      <w:r w:rsidR="005E67DF">
        <w:rPr>
          <w:lang w:val="en-GB"/>
        </w:rPr>
        <w:t xml:space="preserve"> results</w:t>
      </w:r>
    </w:p>
    <w:p w14:paraId="54E7A705" w14:textId="0DFD6171" w:rsidR="001A4779" w:rsidRDefault="001A4779" w:rsidP="00F81708">
      <w:pPr>
        <w:pStyle w:val="CETBodytext"/>
        <w:rPr>
          <w:lang w:val="en-GB"/>
        </w:rPr>
      </w:pPr>
      <w:r>
        <w:rPr>
          <w:lang w:val="en-GB"/>
        </w:rPr>
        <w:t xml:space="preserve">15 experiments were conducted using BBD. The experimental matrix </w:t>
      </w:r>
      <w:r w:rsidR="00BB3288">
        <w:rPr>
          <w:lang w:val="en-GB"/>
        </w:rPr>
        <w:t>design and obtained results are demonstrated in Table 3.</w:t>
      </w:r>
      <w:r w:rsidR="00317C3B">
        <w:rPr>
          <w:lang w:val="en-GB"/>
        </w:rPr>
        <w:t xml:space="preserve"> All experiments lasted 120 min with the addition of Fe</w:t>
      </w:r>
      <w:r w:rsidR="00317C3B" w:rsidRPr="009F2AD8">
        <w:rPr>
          <w:vertAlign w:val="superscript"/>
          <w:lang w:val="en-GB"/>
        </w:rPr>
        <w:t>2+</w:t>
      </w:r>
      <w:r w:rsidR="00317C3B">
        <w:rPr>
          <w:lang w:val="en-GB"/>
        </w:rPr>
        <w:t xml:space="preserve"> (</w:t>
      </w:r>
      <w:r w:rsidR="009F2AD8">
        <w:rPr>
          <w:lang w:val="en-GB"/>
        </w:rPr>
        <w:t>10 mg/L</w:t>
      </w:r>
      <w:r w:rsidR="00317C3B">
        <w:rPr>
          <w:lang w:val="en-GB"/>
        </w:rPr>
        <w:t>)</w:t>
      </w:r>
      <w:r w:rsidR="009F2AD8">
        <w:rPr>
          <w:lang w:val="en-GB"/>
        </w:rPr>
        <w:t>.</w:t>
      </w:r>
    </w:p>
    <w:p w14:paraId="30E620E1" w14:textId="77777777" w:rsidR="005003B7" w:rsidRDefault="005003B7" w:rsidP="00F81708">
      <w:pPr>
        <w:pStyle w:val="CETBodytext"/>
        <w:rPr>
          <w:lang w:val="en-GB"/>
        </w:rPr>
      </w:pPr>
    </w:p>
    <w:p w14:paraId="61172851" w14:textId="2F3EBDE5" w:rsidR="00F81708" w:rsidRPr="001C6E05" w:rsidRDefault="00BB3288" w:rsidP="00F81708">
      <w:pPr>
        <w:pStyle w:val="CETBodytext"/>
        <w:rPr>
          <w:i/>
          <w:lang w:val="en-GB"/>
        </w:rPr>
      </w:pPr>
      <w:r w:rsidRPr="001C6E05">
        <w:rPr>
          <w:i/>
          <w:lang w:val="en-GB"/>
        </w:rPr>
        <w:t>Table 3</w:t>
      </w:r>
      <w:r w:rsidR="00F81708" w:rsidRPr="001C6E05">
        <w:rPr>
          <w:i/>
          <w:lang w:val="en-GB"/>
        </w:rPr>
        <w:t>. Experimental matrix design</w:t>
      </w:r>
      <w:r w:rsidRPr="001C6E05">
        <w:rPr>
          <w:i/>
          <w:lang w:val="en-GB"/>
        </w:rPr>
        <w:t xml:space="preserve"> and results</w:t>
      </w:r>
      <w:r w:rsidR="00F81708" w:rsidRPr="001C6E05">
        <w:rPr>
          <w:i/>
          <w:lang w:val="en-GB"/>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00"/>
        <w:gridCol w:w="996"/>
        <w:gridCol w:w="123"/>
        <w:gridCol w:w="1047"/>
        <w:gridCol w:w="123"/>
        <w:gridCol w:w="777"/>
        <w:gridCol w:w="123"/>
        <w:gridCol w:w="1407"/>
        <w:gridCol w:w="123"/>
      </w:tblGrid>
      <w:tr w:rsidR="009F2AD8" w:rsidRPr="00C5699C" w14:paraId="7E43DA19" w14:textId="77777777" w:rsidTr="00BD78A1">
        <w:tc>
          <w:tcPr>
            <w:tcW w:w="900" w:type="dxa"/>
            <w:tcBorders>
              <w:top w:val="single" w:sz="12" w:space="0" w:color="008000"/>
              <w:bottom w:val="single" w:sz="12" w:space="0" w:color="9BBB59" w:themeColor="accent3"/>
            </w:tcBorders>
            <w:shd w:val="clear" w:color="auto" w:fill="FFFFFF"/>
            <w:vAlign w:val="center"/>
          </w:tcPr>
          <w:p w14:paraId="4653B9FD" w14:textId="77777777" w:rsidR="009F2AD8" w:rsidRPr="00C5699C" w:rsidRDefault="009F2AD8" w:rsidP="0042248C">
            <w:pPr>
              <w:pStyle w:val="CETBodytext"/>
              <w:jc w:val="center"/>
              <w:rPr>
                <w:szCs w:val="18"/>
                <w:lang w:val="en-GB"/>
              </w:rPr>
            </w:pPr>
            <w:r w:rsidRPr="00C5699C">
              <w:rPr>
                <w:rFonts w:ascii="Calibri" w:hAnsi="Calibri" w:cs="Calibri"/>
                <w:color w:val="000000"/>
                <w:szCs w:val="18"/>
              </w:rPr>
              <w:t>Run</w:t>
            </w:r>
          </w:p>
        </w:tc>
        <w:tc>
          <w:tcPr>
            <w:tcW w:w="1119" w:type="dxa"/>
            <w:gridSpan w:val="2"/>
            <w:tcBorders>
              <w:top w:val="single" w:sz="12" w:space="0" w:color="008000"/>
              <w:bottom w:val="single" w:sz="12" w:space="0" w:color="9BBB59" w:themeColor="accent3"/>
            </w:tcBorders>
            <w:shd w:val="clear" w:color="auto" w:fill="FFFFFF"/>
            <w:vAlign w:val="center"/>
          </w:tcPr>
          <w:p w14:paraId="0B46A299" w14:textId="77777777" w:rsidR="009F2AD8" w:rsidRPr="00C5699C" w:rsidRDefault="009F2AD8" w:rsidP="0042248C">
            <w:pPr>
              <w:pStyle w:val="CETBodytext"/>
              <w:jc w:val="center"/>
              <w:rPr>
                <w:szCs w:val="18"/>
                <w:lang w:val="en-GB"/>
              </w:rPr>
            </w:pPr>
            <w:r w:rsidRPr="00C5699C">
              <w:rPr>
                <w:rFonts w:ascii="Calibri" w:hAnsi="Calibri" w:cs="Calibri"/>
                <w:color w:val="000000"/>
                <w:szCs w:val="18"/>
              </w:rPr>
              <w:t>NH</w:t>
            </w:r>
            <w:r w:rsidRPr="005F1C11">
              <w:rPr>
                <w:rFonts w:ascii="Calibri" w:hAnsi="Calibri" w:cs="Calibri"/>
                <w:color w:val="000000"/>
                <w:szCs w:val="18"/>
                <w:vertAlign w:val="subscript"/>
              </w:rPr>
              <w:t>4</w:t>
            </w:r>
            <w:r w:rsidRPr="00C5699C">
              <w:rPr>
                <w:rFonts w:ascii="Calibri" w:hAnsi="Calibri" w:cs="Calibri"/>
                <w:color w:val="000000"/>
                <w:szCs w:val="18"/>
              </w:rPr>
              <w:t>PS, mM</w:t>
            </w:r>
          </w:p>
        </w:tc>
        <w:tc>
          <w:tcPr>
            <w:tcW w:w="1170" w:type="dxa"/>
            <w:gridSpan w:val="2"/>
            <w:tcBorders>
              <w:top w:val="single" w:sz="12" w:space="0" w:color="008000"/>
              <w:bottom w:val="single" w:sz="12" w:space="0" w:color="9BBB59" w:themeColor="accent3"/>
            </w:tcBorders>
            <w:shd w:val="clear" w:color="auto" w:fill="FFFFFF"/>
            <w:vAlign w:val="center"/>
          </w:tcPr>
          <w:p w14:paraId="2FD880AE" w14:textId="77777777" w:rsidR="009F2AD8" w:rsidRPr="00C5699C" w:rsidRDefault="009F2AD8" w:rsidP="0042248C">
            <w:pPr>
              <w:pStyle w:val="CETBodytext"/>
              <w:jc w:val="center"/>
              <w:rPr>
                <w:szCs w:val="18"/>
                <w:lang w:val="en-GB"/>
              </w:rPr>
            </w:pPr>
            <w:r w:rsidRPr="00C5699C">
              <w:rPr>
                <w:rFonts w:ascii="Calibri" w:hAnsi="Calibri" w:cs="Calibri"/>
                <w:color w:val="000000"/>
                <w:szCs w:val="18"/>
              </w:rPr>
              <w:t>NaPS, mM</w:t>
            </w:r>
          </w:p>
        </w:tc>
        <w:tc>
          <w:tcPr>
            <w:tcW w:w="900" w:type="dxa"/>
            <w:gridSpan w:val="2"/>
            <w:tcBorders>
              <w:top w:val="single" w:sz="12" w:space="0" w:color="008000"/>
              <w:bottom w:val="single" w:sz="12" w:space="0" w:color="9BBB59" w:themeColor="accent3"/>
            </w:tcBorders>
            <w:shd w:val="clear" w:color="auto" w:fill="FFFFFF"/>
            <w:vAlign w:val="center"/>
          </w:tcPr>
          <w:p w14:paraId="1FCD566D" w14:textId="77777777" w:rsidR="009F2AD8" w:rsidRPr="00C5699C" w:rsidRDefault="009F2AD8" w:rsidP="0042248C">
            <w:pPr>
              <w:pStyle w:val="CETBodytext"/>
              <w:jc w:val="center"/>
              <w:rPr>
                <w:szCs w:val="18"/>
                <w:lang w:val="en-GB"/>
              </w:rPr>
            </w:pPr>
            <w:r w:rsidRPr="00C5699C">
              <w:rPr>
                <w:rFonts w:ascii="Calibri" w:hAnsi="Calibri" w:cs="Calibri"/>
                <w:color w:val="000000"/>
                <w:szCs w:val="18"/>
              </w:rPr>
              <w:t>KPS, mM</w:t>
            </w:r>
          </w:p>
        </w:tc>
        <w:tc>
          <w:tcPr>
            <w:tcW w:w="1530" w:type="dxa"/>
            <w:gridSpan w:val="2"/>
            <w:tcBorders>
              <w:top w:val="single" w:sz="12" w:space="0" w:color="008000"/>
              <w:bottom w:val="single" w:sz="12" w:space="0" w:color="9BBB59" w:themeColor="accent3"/>
            </w:tcBorders>
            <w:shd w:val="clear" w:color="auto" w:fill="FFFFFF"/>
            <w:vAlign w:val="center"/>
          </w:tcPr>
          <w:p w14:paraId="23794474" w14:textId="77777777" w:rsidR="009F2AD8" w:rsidRPr="00C5699C" w:rsidRDefault="009F2AD8" w:rsidP="0042248C">
            <w:pPr>
              <w:pStyle w:val="CETBodytext"/>
              <w:jc w:val="center"/>
              <w:rPr>
                <w:szCs w:val="18"/>
                <w:lang w:val="en-GB"/>
              </w:rPr>
            </w:pPr>
            <w:r w:rsidRPr="00C5699C">
              <w:rPr>
                <w:rFonts w:ascii="Calibri" w:hAnsi="Calibri" w:cs="Calibri"/>
                <w:color w:val="000000"/>
                <w:szCs w:val="18"/>
              </w:rPr>
              <w:t>TOC removal, %</w:t>
            </w:r>
          </w:p>
        </w:tc>
      </w:tr>
      <w:tr w:rsidR="009F2AD8" w:rsidRPr="00C5699C" w14:paraId="28B9BC7F" w14:textId="77777777" w:rsidTr="00BD78A1">
        <w:trPr>
          <w:gridAfter w:val="1"/>
          <w:wAfter w:w="123" w:type="dxa"/>
        </w:trPr>
        <w:tc>
          <w:tcPr>
            <w:tcW w:w="900" w:type="dxa"/>
            <w:tcBorders>
              <w:top w:val="single" w:sz="12" w:space="0" w:color="9BBB59" w:themeColor="accent3"/>
              <w:bottom w:val="nil"/>
            </w:tcBorders>
            <w:shd w:val="clear" w:color="auto" w:fill="FFFFFF"/>
            <w:vAlign w:val="center"/>
          </w:tcPr>
          <w:p w14:paraId="0C12E79F" w14:textId="77777777" w:rsidR="009F2AD8" w:rsidRPr="00C5699C" w:rsidRDefault="009F2AD8" w:rsidP="003B3171">
            <w:pPr>
              <w:pStyle w:val="CETBodytext"/>
              <w:jc w:val="center"/>
              <w:rPr>
                <w:szCs w:val="18"/>
                <w:lang w:val="en-GB"/>
              </w:rPr>
            </w:pPr>
            <w:r w:rsidRPr="00C5699C">
              <w:rPr>
                <w:rFonts w:ascii="Calibri" w:hAnsi="Calibri" w:cs="Calibri"/>
                <w:b/>
                <w:bCs/>
                <w:color w:val="000000"/>
                <w:szCs w:val="18"/>
              </w:rPr>
              <w:t>1</w:t>
            </w:r>
          </w:p>
        </w:tc>
        <w:tc>
          <w:tcPr>
            <w:tcW w:w="996" w:type="dxa"/>
            <w:tcBorders>
              <w:top w:val="single" w:sz="12" w:space="0" w:color="9BBB59" w:themeColor="accent3"/>
              <w:bottom w:val="nil"/>
            </w:tcBorders>
            <w:shd w:val="clear" w:color="auto" w:fill="FFFFFF"/>
            <w:vAlign w:val="center"/>
          </w:tcPr>
          <w:p w14:paraId="5D5063A6"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0</w:t>
            </w:r>
          </w:p>
        </w:tc>
        <w:tc>
          <w:tcPr>
            <w:tcW w:w="1170" w:type="dxa"/>
            <w:gridSpan w:val="2"/>
            <w:tcBorders>
              <w:top w:val="single" w:sz="12" w:space="0" w:color="9BBB59" w:themeColor="accent3"/>
              <w:bottom w:val="nil"/>
            </w:tcBorders>
            <w:shd w:val="clear" w:color="auto" w:fill="FFFFFF"/>
            <w:vAlign w:val="center"/>
          </w:tcPr>
          <w:p w14:paraId="700BC419"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900" w:type="dxa"/>
            <w:gridSpan w:val="2"/>
            <w:tcBorders>
              <w:top w:val="single" w:sz="12" w:space="0" w:color="9BBB59" w:themeColor="accent3"/>
              <w:bottom w:val="nil"/>
            </w:tcBorders>
            <w:shd w:val="clear" w:color="auto" w:fill="FFFFFF"/>
            <w:vAlign w:val="center"/>
          </w:tcPr>
          <w:p w14:paraId="0E6EE966"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50</w:t>
            </w:r>
          </w:p>
        </w:tc>
        <w:tc>
          <w:tcPr>
            <w:tcW w:w="1530" w:type="dxa"/>
            <w:gridSpan w:val="2"/>
            <w:tcBorders>
              <w:top w:val="single" w:sz="12" w:space="0" w:color="9BBB59" w:themeColor="accent3"/>
              <w:bottom w:val="nil"/>
            </w:tcBorders>
            <w:shd w:val="clear" w:color="auto" w:fill="FFFFFF"/>
            <w:vAlign w:val="center"/>
          </w:tcPr>
          <w:p w14:paraId="4FFC9A56" w14:textId="004F0C13" w:rsidR="009F2AD8" w:rsidRPr="003B3171" w:rsidRDefault="009F2AD8" w:rsidP="003B3171">
            <w:pPr>
              <w:pStyle w:val="CETBodytext"/>
              <w:jc w:val="center"/>
              <w:rPr>
                <w:szCs w:val="18"/>
                <w:lang w:val="en-GB"/>
              </w:rPr>
            </w:pPr>
            <w:r w:rsidRPr="003B3171">
              <w:rPr>
                <w:rFonts w:ascii="Calibri" w:hAnsi="Calibri" w:cs="Calibri"/>
                <w:color w:val="000000"/>
                <w:szCs w:val="18"/>
              </w:rPr>
              <w:t>23.15</w:t>
            </w:r>
          </w:p>
        </w:tc>
      </w:tr>
      <w:tr w:rsidR="009F2AD8" w:rsidRPr="00C5699C" w14:paraId="28CD4672" w14:textId="77777777" w:rsidTr="0042248C">
        <w:trPr>
          <w:gridAfter w:val="1"/>
          <w:wAfter w:w="123" w:type="dxa"/>
        </w:trPr>
        <w:tc>
          <w:tcPr>
            <w:tcW w:w="900" w:type="dxa"/>
            <w:tcBorders>
              <w:top w:val="nil"/>
              <w:bottom w:val="nil"/>
            </w:tcBorders>
            <w:shd w:val="clear" w:color="auto" w:fill="FFFFFF"/>
            <w:vAlign w:val="center"/>
          </w:tcPr>
          <w:p w14:paraId="78811326" w14:textId="77777777" w:rsidR="009F2AD8" w:rsidRPr="00C5699C" w:rsidRDefault="009F2AD8" w:rsidP="003B3171">
            <w:pPr>
              <w:pStyle w:val="CETBodytext"/>
              <w:jc w:val="center"/>
              <w:rPr>
                <w:szCs w:val="18"/>
                <w:lang w:val="en-GB"/>
              </w:rPr>
            </w:pPr>
            <w:r w:rsidRPr="00C5699C">
              <w:rPr>
                <w:rFonts w:ascii="Calibri" w:hAnsi="Calibri" w:cs="Calibri"/>
                <w:b/>
                <w:bCs/>
                <w:color w:val="000000"/>
                <w:szCs w:val="18"/>
              </w:rPr>
              <w:t>2</w:t>
            </w:r>
          </w:p>
        </w:tc>
        <w:tc>
          <w:tcPr>
            <w:tcW w:w="996" w:type="dxa"/>
            <w:tcBorders>
              <w:top w:val="nil"/>
              <w:bottom w:val="nil"/>
            </w:tcBorders>
            <w:shd w:val="clear" w:color="auto" w:fill="FFFFFF"/>
            <w:vAlign w:val="center"/>
          </w:tcPr>
          <w:p w14:paraId="1CF448E5"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50</w:t>
            </w:r>
          </w:p>
        </w:tc>
        <w:tc>
          <w:tcPr>
            <w:tcW w:w="1170" w:type="dxa"/>
            <w:gridSpan w:val="2"/>
            <w:tcBorders>
              <w:top w:val="nil"/>
              <w:bottom w:val="nil"/>
            </w:tcBorders>
            <w:shd w:val="clear" w:color="auto" w:fill="FFFFFF"/>
            <w:vAlign w:val="center"/>
          </w:tcPr>
          <w:p w14:paraId="629D3FB2"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0</w:t>
            </w:r>
          </w:p>
        </w:tc>
        <w:tc>
          <w:tcPr>
            <w:tcW w:w="900" w:type="dxa"/>
            <w:gridSpan w:val="2"/>
            <w:tcBorders>
              <w:top w:val="nil"/>
              <w:bottom w:val="nil"/>
            </w:tcBorders>
            <w:shd w:val="clear" w:color="auto" w:fill="FFFFFF"/>
            <w:vAlign w:val="center"/>
          </w:tcPr>
          <w:p w14:paraId="45A18CF2"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1530" w:type="dxa"/>
            <w:gridSpan w:val="2"/>
            <w:tcBorders>
              <w:top w:val="nil"/>
              <w:bottom w:val="nil"/>
            </w:tcBorders>
            <w:shd w:val="clear" w:color="auto" w:fill="FFFFFF"/>
            <w:vAlign w:val="center"/>
          </w:tcPr>
          <w:p w14:paraId="61A8EE5D" w14:textId="4DF6D195" w:rsidR="009F2AD8" w:rsidRPr="003B3171" w:rsidRDefault="009F2AD8" w:rsidP="003B3171">
            <w:pPr>
              <w:pStyle w:val="CETBodytext"/>
              <w:jc w:val="center"/>
              <w:rPr>
                <w:szCs w:val="18"/>
                <w:lang w:val="en-GB"/>
              </w:rPr>
            </w:pPr>
            <w:r w:rsidRPr="003B3171">
              <w:rPr>
                <w:rFonts w:ascii="Calibri" w:hAnsi="Calibri" w:cs="Calibri"/>
                <w:color w:val="000000"/>
                <w:szCs w:val="18"/>
              </w:rPr>
              <w:t>61.60</w:t>
            </w:r>
          </w:p>
        </w:tc>
      </w:tr>
      <w:tr w:rsidR="009F2AD8" w:rsidRPr="00C5699C" w14:paraId="6C7477A6" w14:textId="77777777" w:rsidTr="0042248C">
        <w:trPr>
          <w:gridAfter w:val="1"/>
          <w:wAfter w:w="123" w:type="dxa"/>
        </w:trPr>
        <w:tc>
          <w:tcPr>
            <w:tcW w:w="900" w:type="dxa"/>
            <w:tcBorders>
              <w:top w:val="nil"/>
            </w:tcBorders>
            <w:shd w:val="clear" w:color="auto" w:fill="FFFFFF"/>
            <w:vAlign w:val="center"/>
          </w:tcPr>
          <w:p w14:paraId="66144307" w14:textId="77777777" w:rsidR="009F2AD8" w:rsidRPr="00C5699C" w:rsidRDefault="009F2AD8" w:rsidP="003B3171">
            <w:pPr>
              <w:pStyle w:val="CETBodytext"/>
              <w:jc w:val="center"/>
              <w:rPr>
                <w:szCs w:val="18"/>
                <w:lang w:val="en-GB"/>
              </w:rPr>
            </w:pPr>
            <w:r w:rsidRPr="00C5699C">
              <w:rPr>
                <w:rFonts w:ascii="Calibri" w:hAnsi="Calibri" w:cs="Calibri"/>
                <w:b/>
                <w:bCs/>
                <w:color w:val="000000"/>
                <w:szCs w:val="18"/>
              </w:rPr>
              <w:t>3</w:t>
            </w:r>
          </w:p>
        </w:tc>
        <w:tc>
          <w:tcPr>
            <w:tcW w:w="996" w:type="dxa"/>
            <w:tcBorders>
              <w:top w:val="nil"/>
            </w:tcBorders>
            <w:shd w:val="clear" w:color="auto" w:fill="FFFFFF"/>
            <w:vAlign w:val="center"/>
          </w:tcPr>
          <w:p w14:paraId="23AB2EE7"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50</w:t>
            </w:r>
          </w:p>
        </w:tc>
        <w:tc>
          <w:tcPr>
            <w:tcW w:w="1170" w:type="dxa"/>
            <w:gridSpan w:val="2"/>
            <w:tcBorders>
              <w:top w:val="nil"/>
            </w:tcBorders>
            <w:shd w:val="clear" w:color="auto" w:fill="FFFFFF"/>
            <w:vAlign w:val="center"/>
          </w:tcPr>
          <w:p w14:paraId="7933249D"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50</w:t>
            </w:r>
          </w:p>
        </w:tc>
        <w:tc>
          <w:tcPr>
            <w:tcW w:w="900" w:type="dxa"/>
            <w:gridSpan w:val="2"/>
            <w:tcBorders>
              <w:top w:val="nil"/>
            </w:tcBorders>
            <w:shd w:val="clear" w:color="auto" w:fill="FFFFFF"/>
            <w:vAlign w:val="center"/>
          </w:tcPr>
          <w:p w14:paraId="3A108CED"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1530" w:type="dxa"/>
            <w:gridSpan w:val="2"/>
            <w:tcBorders>
              <w:top w:val="nil"/>
            </w:tcBorders>
            <w:shd w:val="clear" w:color="auto" w:fill="FFFFFF"/>
            <w:vAlign w:val="center"/>
          </w:tcPr>
          <w:p w14:paraId="27FB3D89" w14:textId="0D906FD7" w:rsidR="009F2AD8" w:rsidRPr="003B3171" w:rsidRDefault="009F2AD8" w:rsidP="003B3171">
            <w:pPr>
              <w:pStyle w:val="CETBodytext"/>
              <w:jc w:val="center"/>
              <w:rPr>
                <w:szCs w:val="18"/>
                <w:lang w:val="en-GB"/>
              </w:rPr>
            </w:pPr>
            <w:r w:rsidRPr="003B3171">
              <w:rPr>
                <w:rFonts w:ascii="Calibri" w:hAnsi="Calibri" w:cs="Calibri"/>
                <w:color w:val="000000"/>
                <w:szCs w:val="18"/>
              </w:rPr>
              <w:t>62.16</w:t>
            </w:r>
          </w:p>
        </w:tc>
      </w:tr>
      <w:tr w:rsidR="009F2AD8" w:rsidRPr="00C5699C" w14:paraId="684F6416" w14:textId="77777777" w:rsidTr="0042248C">
        <w:trPr>
          <w:gridAfter w:val="1"/>
          <w:wAfter w:w="123" w:type="dxa"/>
        </w:trPr>
        <w:tc>
          <w:tcPr>
            <w:tcW w:w="900" w:type="dxa"/>
            <w:shd w:val="clear" w:color="auto" w:fill="FFFFFF"/>
            <w:vAlign w:val="center"/>
          </w:tcPr>
          <w:p w14:paraId="4B1F1510" w14:textId="77777777" w:rsidR="009F2AD8" w:rsidRPr="00C5699C" w:rsidRDefault="009F2AD8" w:rsidP="003B3171">
            <w:pPr>
              <w:pStyle w:val="CETBodytext"/>
              <w:jc w:val="center"/>
              <w:rPr>
                <w:szCs w:val="18"/>
                <w:lang w:val="en-GB"/>
              </w:rPr>
            </w:pPr>
            <w:r w:rsidRPr="00C5699C">
              <w:rPr>
                <w:rFonts w:ascii="Calibri" w:hAnsi="Calibri" w:cs="Calibri"/>
                <w:b/>
                <w:bCs/>
                <w:color w:val="000000"/>
                <w:szCs w:val="18"/>
              </w:rPr>
              <w:t>4</w:t>
            </w:r>
          </w:p>
        </w:tc>
        <w:tc>
          <w:tcPr>
            <w:tcW w:w="996" w:type="dxa"/>
            <w:shd w:val="clear" w:color="auto" w:fill="FFFFFF"/>
            <w:vAlign w:val="center"/>
          </w:tcPr>
          <w:p w14:paraId="320FCD98"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1170" w:type="dxa"/>
            <w:gridSpan w:val="2"/>
            <w:shd w:val="clear" w:color="auto" w:fill="FFFFFF"/>
            <w:vAlign w:val="center"/>
          </w:tcPr>
          <w:p w14:paraId="234F1F4E"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0</w:t>
            </w:r>
          </w:p>
        </w:tc>
        <w:tc>
          <w:tcPr>
            <w:tcW w:w="900" w:type="dxa"/>
            <w:gridSpan w:val="2"/>
            <w:shd w:val="clear" w:color="auto" w:fill="FFFFFF"/>
            <w:vAlign w:val="center"/>
          </w:tcPr>
          <w:p w14:paraId="2D70BA12"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50</w:t>
            </w:r>
          </w:p>
        </w:tc>
        <w:tc>
          <w:tcPr>
            <w:tcW w:w="1530" w:type="dxa"/>
            <w:gridSpan w:val="2"/>
            <w:shd w:val="clear" w:color="auto" w:fill="FFFFFF"/>
            <w:vAlign w:val="center"/>
          </w:tcPr>
          <w:p w14:paraId="589F09FF" w14:textId="3D017F33" w:rsidR="009F2AD8" w:rsidRPr="003B3171" w:rsidRDefault="009F2AD8" w:rsidP="003B3171">
            <w:pPr>
              <w:pStyle w:val="CETBodytext"/>
              <w:jc w:val="center"/>
              <w:rPr>
                <w:szCs w:val="18"/>
                <w:lang w:val="en-GB"/>
              </w:rPr>
            </w:pPr>
            <w:r w:rsidRPr="003B3171">
              <w:rPr>
                <w:rFonts w:ascii="Calibri" w:hAnsi="Calibri" w:cs="Calibri"/>
                <w:color w:val="000000"/>
                <w:szCs w:val="18"/>
              </w:rPr>
              <w:t>40.57</w:t>
            </w:r>
          </w:p>
        </w:tc>
      </w:tr>
      <w:tr w:rsidR="009F2AD8" w:rsidRPr="00C5699C" w14:paraId="0ADC581A" w14:textId="77777777" w:rsidTr="0042248C">
        <w:trPr>
          <w:gridAfter w:val="1"/>
          <w:wAfter w:w="123" w:type="dxa"/>
        </w:trPr>
        <w:tc>
          <w:tcPr>
            <w:tcW w:w="900" w:type="dxa"/>
            <w:shd w:val="clear" w:color="auto" w:fill="FFFFFF"/>
            <w:vAlign w:val="center"/>
          </w:tcPr>
          <w:p w14:paraId="48BF81C6" w14:textId="77777777" w:rsidR="009F2AD8" w:rsidRPr="00C5699C" w:rsidRDefault="009F2AD8" w:rsidP="003B3171">
            <w:pPr>
              <w:pStyle w:val="CETBodytext"/>
              <w:jc w:val="center"/>
              <w:rPr>
                <w:szCs w:val="18"/>
                <w:lang w:val="en-GB"/>
              </w:rPr>
            </w:pPr>
            <w:r w:rsidRPr="00C5699C">
              <w:rPr>
                <w:rFonts w:ascii="Calibri" w:hAnsi="Calibri" w:cs="Calibri"/>
                <w:b/>
                <w:bCs/>
                <w:color w:val="000000"/>
                <w:szCs w:val="18"/>
              </w:rPr>
              <w:t>5</w:t>
            </w:r>
          </w:p>
        </w:tc>
        <w:tc>
          <w:tcPr>
            <w:tcW w:w="996" w:type="dxa"/>
            <w:shd w:val="clear" w:color="auto" w:fill="FFFFFF"/>
            <w:vAlign w:val="center"/>
          </w:tcPr>
          <w:p w14:paraId="1D413A55"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1170" w:type="dxa"/>
            <w:gridSpan w:val="2"/>
            <w:shd w:val="clear" w:color="auto" w:fill="FFFFFF"/>
            <w:vAlign w:val="center"/>
          </w:tcPr>
          <w:p w14:paraId="6A678593"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900" w:type="dxa"/>
            <w:gridSpan w:val="2"/>
            <w:shd w:val="clear" w:color="auto" w:fill="FFFFFF"/>
            <w:vAlign w:val="center"/>
          </w:tcPr>
          <w:p w14:paraId="207C492C"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1530" w:type="dxa"/>
            <w:gridSpan w:val="2"/>
            <w:shd w:val="clear" w:color="auto" w:fill="FFFFFF"/>
            <w:vAlign w:val="center"/>
          </w:tcPr>
          <w:p w14:paraId="5B0FDE9F" w14:textId="3EC5DE19" w:rsidR="009F2AD8" w:rsidRPr="003B3171" w:rsidRDefault="009F2AD8" w:rsidP="003B3171">
            <w:pPr>
              <w:pStyle w:val="CETBodytext"/>
              <w:jc w:val="center"/>
              <w:rPr>
                <w:szCs w:val="18"/>
                <w:lang w:val="en-GB"/>
              </w:rPr>
            </w:pPr>
            <w:r w:rsidRPr="003B3171">
              <w:rPr>
                <w:rFonts w:ascii="Calibri" w:hAnsi="Calibri" w:cs="Calibri"/>
                <w:color w:val="000000"/>
                <w:szCs w:val="18"/>
              </w:rPr>
              <w:t>62.90</w:t>
            </w:r>
          </w:p>
        </w:tc>
      </w:tr>
      <w:tr w:rsidR="009F2AD8" w:rsidRPr="00C5699C" w14:paraId="15752426" w14:textId="77777777" w:rsidTr="0042248C">
        <w:trPr>
          <w:gridAfter w:val="1"/>
          <w:wAfter w:w="123" w:type="dxa"/>
        </w:trPr>
        <w:tc>
          <w:tcPr>
            <w:tcW w:w="900" w:type="dxa"/>
            <w:shd w:val="clear" w:color="auto" w:fill="FFFFFF"/>
            <w:vAlign w:val="center"/>
          </w:tcPr>
          <w:p w14:paraId="422C84DC" w14:textId="77777777" w:rsidR="009F2AD8" w:rsidRPr="00C5699C" w:rsidRDefault="009F2AD8" w:rsidP="003B3171">
            <w:pPr>
              <w:pStyle w:val="CETBodytext"/>
              <w:jc w:val="center"/>
              <w:rPr>
                <w:szCs w:val="18"/>
                <w:lang w:val="en-GB"/>
              </w:rPr>
            </w:pPr>
            <w:r w:rsidRPr="00C5699C">
              <w:rPr>
                <w:rFonts w:ascii="Calibri" w:hAnsi="Calibri" w:cs="Calibri"/>
                <w:b/>
                <w:bCs/>
                <w:color w:val="000000"/>
                <w:szCs w:val="18"/>
              </w:rPr>
              <w:t>6</w:t>
            </w:r>
          </w:p>
        </w:tc>
        <w:tc>
          <w:tcPr>
            <w:tcW w:w="996" w:type="dxa"/>
            <w:shd w:val="clear" w:color="auto" w:fill="FFFFFF"/>
            <w:vAlign w:val="center"/>
          </w:tcPr>
          <w:p w14:paraId="61C9FF90"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1170" w:type="dxa"/>
            <w:gridSpan w:val="2"/>
            <w:shd w:val="clear" w:color="auto" w:fill="FFFFFF"/>
            <w:vAlign w:val="center"/>
          </w:tcPr>
          <w:p w14:paraId="1D5E20F7"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0</w:t>
            </w:r>
          </w:p>
        </w:tc>
        <w:tc>
          <w:tcPr>
            <w:tcW w:w="900" w:type="dxa"/>
            <w:gridSpan w:val="2"/>
            <w:shd w:val="clear" w:color="auto" w:fill="FFFFFF"/>
            <w:vAlign w:val="center"/>
          </w:tcPr>
          <w:p w14:paraId="3F235B8D"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0</w:t>
            </w:r>
          </w:p>
        </w:tc>
        <w:tc>
          <w:tcPr>
            <w:tcW w:w="1530" w:type="dxa"/>
            <w:gridSpan w:val="2"/>
            <w:shd w:val="clear" w:color="auto" w:fill="FFFFFF"/>
            <w:vAlign w:val="center"/>
          </w:tcPr>
          <w:p w14:paraId="4A7C166D" w14:textId="639EDCB8" w:rsidR="009F2AD8" w:rsidRPr="003B3171" w:rsidRDefault="009F2AD8" w:rsidP="003B3171">
            <w:pPr>
              <w:pStyle w:val="CETBodytext"/>
              <w:jc w:val="center"/>
              <w:rPr>
                <w:szCs w:val="18"/>
                <w:lang w:val="en-GB"/>
              </w:rPr>
            </w:pPr>
            <w:r w:rsidRPr="003B3171">
              <w:rPr>
                <w:rFonts w:ascii="Calibri" w:hAnsi="Calibri" w:cs="Calibri"/>
                <w:color w:val="000000"/>
                <w:szCs w:val="18"/>
              </w:rPr>
              <w:t>32.49</w:t>
            </w:r>
          </w:p>
        </w:tc>
      </w:tr>
      <w:tr w:rsidR="009F2AD8" w:rsidRPr="00C5699C" w14:paraId="36905CB7" w14:textId="77777777" w:rsidTr="0042248C">
        <w:trPr>
          <w:gridAfter w:val="1"/>
          <w:wAfter w:w="123" w:type="dxa"/>
        </w:trPr>
        <w:tc>
          <w:tcPr>
            <w:tcW w:w="900" w:type="dxa"/>
            <w:shd w:val="clear" w:color="auto" w:fill="FFFFFF"/>
            <w:vAlign w:val="center"/>
          </w:tcPr>
          <w:p w14:paraId="49F88365" w14:textId="77777777" w:rsidR="009F2AD8" w:rsidRPr="00C5699C" w:rsidRDefault="009F2AD8" w:rsidP="003B3171">
            <w:pPr>
              <w:pStyle w:val="CETBodytext"/>
              <w:jc w:val="center"/>
              <w:rPr>
                <w:szCs w:val="18"/>
                <w:lang w:val="en-GB"/>
              </w:rPr>
            </w:pPr>
            <w:r w:rsidRPr="00C5699C">
              <w:rPr>
                <w:rFonts w:ascii="Calibri" w:hAnsi="Calibri" w:cs="Calibri"/>
                <w:b/>
                <w:bCs/>
                <w:color w:val="000000"/>
                <w:szCs w:val="18"/>
              </w:rPr>
              <w:t>7</w:t>
            </w:r>
          </w:p>
        </w:tc>
        <w:tc>
          <w:tcPr>
            <w:tcW w:w="996" w:type="dxa"/>
            <w:shd w:val="clear" w:color="auto" w:fill="FFFFFF"/>
            <w:vAlign w:val="center"/>
          </w:tcPr>
          <w:p w14:paraId="7A5E2560"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0</w:t>
            </w:r>
          </w:p>
        </w:tc>
        <w:tc>
          <w:tcPr>
            <w:tcW w:w="1170" w:type="dxa"/>
            <w:gridSpan w:val="2"/>
            <w:shd w:val="clear" w:color="auto" w:fill="FFFFFF"/>
            <w:vAlign w:val="center"/>
          </w:tcPr>
          <w:p w14:paraId="08CCDD4C"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50</w:t>
            </w:r>
          </w:p>
        </w:tc>
        <w:tc>
          <w:tcPr>
            <w:tcW w:w="900" w:type="dxa"/>
            <w:gridSpan w:val="2"/>
            <w:shd w:val="clear" w:color="auto" w:fill="FFFFFF"/>
            <w:vAlign w:val="center"/>
          </w:tcPr>
          <w:p w14:paraId="3652652E"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1530" w:type="dxa"/>
            <w:gridSpan w:val="2"/>
            <w:shd w:val="clear" w:color="auto" w:fill="FFFFFF"/>
            <w:vAlign w:val="center"/>
          </w:tcPr>
          <w:p w14:paraId="120074DF" w14:textId="20B99892" w:rsidR="009F2AD8" w:rsidRPr="003B3171" w:rsidRDefault="009F2AD8" w:rsidP="003B3171">
            <w:pPr>
              <w:pStyle w:val="CETBodytext"/>
              <w:jc w:val="center"/>
              <w:rPr>
                <w:szCs w:val="18"/>
                <w:lang w:val="en-GB"/>
              </w:rPr>
            </w:pPr>
            <w:r w:rsidRPr="003B3171">
              <w:rPr>
                <w:rFonts w:ascii="Calibri" w:hAnsi="Calibri" w:cs="Calibri"/>
                <w:color w:val="000000"/>
                <w:szCs w:val="18"/>
              </w:rPr>
              <w:t>54.43</w:t>
            </w:r>
          </w:p>
        </w:tc>
      </w:tr>
      <w:tr w:rsidR="009F2AD8" w:rsidRPr="00C5699C" w14:paraId="1396E905" w14:textId="77777777" w:rsidTr="0042248C">
        <w:trPr>
          <w:gridAfter w:val="1"/>
          <w:wAfter w:w="123" w:type="dxa"/>
        </w:trPr>
        <w:tc>
          <w:tcPr>
            <w:tcW w:w="900" w:type="dxa"/>
            <w:shd w:val="clear" w:color="auto" w:fill="FFFFFF"/>
            <w:vAlign w:val="center"/>
          </w:tcPr>
          <w:p w14:paraId="5B4199D1" w14:textId="77777777" w:rsidR="009F2AD8" w:rsidRPr="00C5699C" w:rsidRDefault="009F2AD8" w:rsidP="003B3171">
            <w:pPr>
              <w:pStyle w:val="CETBodytext"/>
              <w:jc w:val="center"/>
              <w:rPr>
                <w:szCs w:val="18"/>
                <w:lang w:val="en-GB"/>
              </w:rPr>
            </w:pPr>
            <w:r w:rsidRPr="00C5699C">
              <w:rPr>
                <w:rFonts w:ascii="Calibri" w:hAnsi="Calibri" w:cs="Calibri"/>
                <w:b/>
                <w:bCs/>
                <w:color w:val="000000"/>
                <w:szCs w:val="18"/>
              </w:rPr>
              <w:t>8</w:t>
            </w:r>
          </w:p>
        </w:tc>
        <w:tc>
          <w:tcPr>
            <w:tcW w:w="996" w:type="dxa"/>
            <w:shd w:val="clear" w:color="auto" w:fill="FFFFFF"/>
            <w:vAlign w:val="center"/>
          </w:tcPr>
          <w:p w14:paraId="0CE1550D"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1170" w:type="dxa"/>
            <w:gridSpan w:val="2"/>
            <w:shd w:val="clear" w:color="auto" w:fill="FFFFFF"/>
            <w:vAlign w:val="center"/>
          </w:tcPr>
          <w:p w14:paraId="3B8887B9"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900" w:type="dxa"/>
            <w:gridSpan w:val="2"/>
            <w:shd w:val="clear" w:color="auto" w:fill="FFFFFF"/>
            <w:vAlign w:val="center"/>
          </w:tcPr>
          <w:p w14:paraId="7FCBA04A"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1530" w:type="dxa"/>
            <w:gridSpan w:val="2"/>
            <w:shd w:val="clear" w:color="auto" w:fill="FFFFFF"/>
            <w:vAlign w:val="center"/>
          </w:tcPr>
          <w:p w14:paraId="41D14027" w14:textId="3AB211EF" w:rsidR="009F2AD8" w:rsidRPr="003B3171" w:rsidRDefault="009F2AD8" w:rsidP="003B3171">
            <w:pPr>
              <w:pStyle w:val="CETBodytext"/>
              <w:jc w:val="center"/>
              <w:rPr>
                <w:szCs w:val="18"/>
                <w:lang w:val="en-GB"/>
              </w:rPr>
            </w:pPr>
            <w:r w:rsidRPr="003B3171">
              <w:rPr>
                <w:rFonts w:ascii="Calibri" w:hAnsi="Calibri" w:cs="Calibri"/>
                <w:color w:val="000000"/>
                <w:szCs w:val="18"/>
              </w:rPr>
              <w:t>65.61</w:t>
            </w:r>
          </w:p>
        </w:tc>
      </w:tr>
      <w:tr w:rsidR="009F2AD8" w:rsidRPr="00C5699C" w14:paraId="1150EFF2" w14:textId="77777777" w:rsidTr="0042248C">
        <w:trPr>
          <w:gridAfter w:val="1"/>
          <w:wAfter w:w="123" w:type="dxa"/>
        </w:trPr>
        <w:tc>
          <w:tcPr>
            <w:tcW w:w="900" w:type="dxa"/>
            <w:shd w:val="clear" w:color="auto" w:fill="FFFFFF"/>
            <w:vAlign w:val="center"/>
          </w:tcPr>
          <w:p w14:paraId="1F7617EB" w14:textId="77777777" w:rsidR="009F2AD8" w:rsidRPr="00C5699C" w:rsidRDefault="009F2AD8" w:rsidP="003B3171">
            <w:pPr>
              <w:pStyle w:val="CETBodytext"/>
              <w:jc w:val="center"/>
              <w:rPr>
                <w:szCs w:val="18"/>
                <w:lang w:val="en-GB"/>
              </w:rPr>
            </w:pPr>
            <w:r w:rsidRPr="00C5699C">
              <w:rPr>
                <w:rFonts w:ascii="Calibri" w:hAnsi="Calibri" w:cs="Calibri"/>
                <w:b/>
                <w:bCs/>
                <w:color w:val="000000"/>
                <w:szCs w:val="18"/>
              </w:rPr>
              <w:t>9</w:t>
            </w:r>
          </w:p>
        </w:tc>
        <w:tc>
          <w:tcPr>
            <w:tcW w:w="996" w:type="dxa"/>
            <w:shd w:val="clear" w:color="auto" w:fill="FFFFFF"/>
            <w:vAlign w:val="center"/>
          </w:tcPr>
          <w:p w14:paraId="2FC9BC0D"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0</w:t>
            </w:r>
          </w:p>
        </w:tc>
        <w:tc>
          <w:tcPr>
            <w:tcW w:w="1170" w:type="dxa"/>
            <w:gridSpan w:val="2"/>
            <w:shd w:val="clear" w:color="auto" w:fill="FFFFFF"/>
            <w:vAlign w:val="center"/>
          </w:tcPr>
          <w:p w14:paraId="69401C15"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900" w:type="dxa"/>
            <w:gridSpan w:val="2"/>
            <w:shd w:val="clear" w:color="auto" w:fill="FFFFFF"/>
            <w:vAlign w:val="center"/>
          </w:tcPr>
          <w:p w14:paraId="5B8237E8"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0</w:t>
            </w:r>
          </w:p>
        </w:tc>
        <w:tc>
          <w:tcPr>
            <w:tcW w:w="1530" w:type="dxa"/>
            <w:gridSpan w:val="2"/>
            <w:shd w:val="clear" w:color="auto" w:fill="FFFFFF"/>
            <w:vAlign w:val="center"/>
          </w:tcPr>
          <w:p w14:paraId="2DA796CD" w14:textId="055F9215" w:rsidR="009F2AD8" w:rsidRPr="003B3171" w:rsidRDefault="009F2AD8" w:rsidP="003B3171">
            <w:pPr>
              <w:pStyle w:val="CETBodytext"/>
              <w:jc w:val="center"/>
              <w:rPr>
                <w:szCs w:val="18"/>
                <w:lang w:val="en-GB"/>
              </w:rPr>
            </w:pPr>
            <w:r>
              <w:rPr>
                <w:rFonts w:ascii="Calibri" w:hAnsi="Calibri" w:cs="Calibri"/>
                <w:color w:val="000000"/>
                <w:szCs w:val="18"/>
              </w:rPr>
              <w:t>32.35</w:t>
            </w:r>
          </w:p>
        </w:tc>
      </w:tr>
      <w:tr w:rsidR="009F2AD8" w:rsidRPr="00C5699C" w14:paraId="76D5BE12" w14:textId="77777777" w:rsidTr="0042248C">
        <w:trPr>
          <w:gridAfter w:val="1"/>
          <w:wAfter w:w="123" w:type="dxa"/>
        </w:trPr>
        <w:tc>
          <w:tcPr>
            <w:tcW w:w="900" w:type="dxa"/>
            <w:shd w:val="clear" w:color="auto" w:fill="FFFFFF"/>
            <w:vAlign w:val="center"/>
          </w:tcPr>
          <w:p w14:paraId="6911D69A" w14:textId="77777777" w:rsidR="009F2AD8" w:rsidRPr="00C5699C" w:rsidRDefault="009F2AD8" w:rsidP="003B3171">
            <w:pPr>
              <w:pStyle w:val="CETBodytext"/>
              <w:jc w:val="center"/>
              <w:rPr>
                <w:szCs w:val="18"/>
                <w:lang w:val="en-GB"/>
              </w:rPr>
            </w:pPr>
            <w:r w:rsidRPr="00C5699C">
              <w:rPr>
                <w:rFonts w:ascii="Calibri" w:hAnsi="Calibri" w:cs="Calibri"/>
                <w:b/>
                <w:bCs/>
                <w:color w:val="000000"/>
                <w:szCs w:val="18"/>
              </w:rPr>
              <w:t>10</w:t>
            </w:r>
          </w:p>
        </w:tc>
        <w:tc>
          <w:tcPr>
            <w:tcW w:w="996" w:type="dxa"/>
            <w:shd w:val="clear" w:color="auto" w:fill="FFFFFF"/>
            <w:vAlign w:val="center"/>
          </w:tcPr>
          <w:p w14:paraId="63A7609A"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0</w:t>
            </w:r>
          </w:p>
        </w:tc>
        <w:tc>
          <w:tcPr>
            <w:tcW w:w="1170" w:type="dxa"/>
            <w:gridSpan w:val="2"/>
            <w:shd w:val="clear" w:color="auto" w:fill="FFFFFF"/>
            <w:vAlign w:val="center"/>
          </w:tcPr>
          <w:p w14:paraId="2731E77D"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0</w:t>
            </w:r>
          </w:p>
        </w:tc>
        <w:tc>
          <w:tcPr>
            <w:tcW w:w="900" w:type="dxa"/>
            <w:gridSpan w:val="2"/>
            <w:shd w:val="clear" w:color="auto" w:fill="FFFFFF"/>
            <w:vAlign w:val="center"/>
          </w:tcPr>
          <w:p w14:paraId="408A5D55"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1530" w:type="dxa"/>
            <w:gridSpan w:val="2"/>
            <w:shd w:val="clear" w:color="auto" w:fill="FFFFFF"/>
            <w:vAlign w:val="center"/>
          </w:tcPr>
          <w:p w14:paraId="172B6531" w14:textId="5B085D76" w:rsidR="009F2AD8" w:rsidRPr="003B3171" w:rsidRDefault="009F2AD8" w:rsidP="003B3171">
            <w:pPr>
              <w:pStyle w:val="CETBodytext"/>
              <w:jc w:val="center"/>
              <w:rPr>
                <w:szCs w:val="18"/>
                <w:lang w:val="en-GB"/>
              </w:rPr>
            </w:pPr>
            <w:r w:rsidRPr="003B3171">
              <w:rPr>
                <w:rFonts w:ascii="Calibri" w:hAnsi="Calibri" w:cs="Calibri"/>
                <w:color w:val="000000"/>
                <w:szCs w:val="18"/>
              </w:rPr>
              <w:t>24.74</w:t>
            </w:r>
          </w:p>
        </w:tc>
      </w:tr>
      <w:tr w:rsidR="009F2AD8" w:rsidRPr="00C5699C" w14:paraId="7A8A25DE" w14:textId="77777777" w:rsidTr="0042248C">
        <w:trPr>
          <w:gridAfter w:val="1"/>
          <w:wAfter w:w="123" w:type="dxa"/>
        </w:trPr>
        <w:tc>
          <w:tcPr>
            <w:tcW w:w="900" w:type="dxa"/>
            <w:shd w:val="clear" w:color="auto" w:fill="FFFFFF"/>
            <w:vAlign w:val="center"/>
          </w:tcPr>
          <w:p w14:paraId="00E9BE5D" w14:textId="77777777" w:rsidR="009F2AD8" w:rsidRPr="00C5699C" w:rsidRDefault="009F2AD8" w:rsidP="003B3171">
            <w:pPr>
              <w:pStyle w:val="CETBodytext"/>
              <w:jc w:val="center"/>
              <w:rPr>
                <w:szCs w:val="18"/>
                <w:lang w:val="en-GB"/>
              </w:rPr>
            </w:pPr>
            <w:r w:rsidRPr="00C5699C">
              <w:rPr>
                <w:rFonts w:ascii="Calibri" w:hAnsi="Calibri" w:cs="Calibri"/>
                <w:b/>
                <w:bCs/>
                <w:color w:val="000000"/>
                <w:szCs w:val="18"/>
              </w:rPr>
              <w:t>11</w:t>
            </w:r>
          </w:p>
        </w:tc>
        <w:tc>
          <w:tcPr>
            <w:tcW w:w="996" w:type="dxa"/>
            <w:shd w:val="clear" w:color="auto" w:fill="FFFFFF"/>
            <w:vAlign w:val="center"/>
          </w:tcPr>
          <w:p w14:paraId="7394A5CC"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1170" w:type="dxa"/>
            <w:gridSpan w:val="2"/>
            <w:shd w:val="clear" w:color="auto" w:fill="FFFFFF"/>
            <w:vAlign w:val="center"/>
          </w:tcPr>
          <w:p w14:paraId="28A98928"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50</w:t>
            </w:r>
          </w:p>
        </w:tc>
        <w:tc>
          <w:tcPr>
            <w:tcW w:w="900" w:type="dxa"/>
            <w:gridSpan w:val="2"/>
            <w:shd w:val="clear" w:color="auto" w:fill="FFFFFF"/>
            <w:vAlign w:val="center"/>
          </w:tcPr>
          <w:p w14:paraId="0AFF9BBA"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0</w:t>
            </w:r>
          </w:p>
        </w:tc>
        <w:tc>
          <w:tcPr>
            <w:tcW w:w="1530" w:type="dxa"/>
            <w:gridSpan w:val="2"/>
            <w:shd w:val="clear" w:color="auto" w:fill="FFFFFF"/>
            <w:vAlign w:val="center"/>
          </w:tcPr>
          <w:p w14:paraId="0B05DA08" w14:textId="05C368C7" w:rsidR="009F2AD8" w:rsidRPr="003B3171" w:rsidRDefault="009F2AD8" w:rsidP="003B3171">
            <w:pPr>
              <w:pStyle w:val="CETBodytext"/>
              <w:jc w:val="center"/>
              <w:rPr>
                <w:szCs w:val="18"/>
                <w:lang w:val="en-GB"/>
              </w:rPr>
            </w:pPr>
            <w:r w:rsidRPr="003B3171">
              <w:rPr>
                <w:rFonts w:ascii="Calibri" w:hAnsi="Calibri" w:cs="Calibri"/>
                <w:color w:val="000000"/>
                <w:szCs w:val="18"/>
              </w:rPr>
              <w:t>52.37</w:t>
            </w:r>
          </w:p>
        </w:tc>
      </w:tr>
      <w:tr w:rsidR="009F2AD8" w:rsidRPr="00C5699C" w14:paraId="7303DDF9" w14:textId="77777777" w:rsidTr="0042248C">
        <w:trPr>
          <w:gridAfter w:val="1"/>
          <w:wAfter w:w="123" w:type="dxa"/>
        </w:trPr>
        <w:tc>
          <w:tcPr>
            <w:tcW w:w="900" w:type="dxa"/>
            <w:shd w:val="clear" w:color="auto" w:fill="FFFFFF"/>
            <w:vAlign w:val="center"/>
          </w:tcPr>
          <w:p w14:paraId="20DBA1FF" w14:textId="77777777" w:rsidR="009F2AD8" w:rsidRPr="00C5699C" w:rsidRDefault="009F2AD8" w:rsidP="003B3171">
            <w:pPr>
              <w:pStyle w:val="CETBodytext"/>
              <w:jc w:val="center"/>
              <w:rPr>
                <w:szCs w:val="18"/>
                <w:lang w:val="en-GB"/>
              </w:rPr>
            </w:pPr>
            <w:r w:rsidRPr="00C5699C">
              <w:rPr>
                <w:rFonts w:ascii="Calibri" w:hAnsi="Calibri" w:cs="Calibri"/>
                <w:b/>
                <w:bCs/>
                <w:color w:val="000000"/>
                <w:szCs w:val="18"/>
              </w:rPr>
              <w:t>12</w:t>
            </w:r>
          </w:p>
        </w:tc>
        <w:tc>
          <w:tcPr>
            <w:tcW w:w="996" w:type="dxa"/>
            <w:shd w:val="clear" w:color="auto" w:fill="FFFFFF"/>
            <w:vAlign w:val="center"/>
          </w:tcPr>
          <w:p w14:paraId="2DC5E6E8"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1170" w:type="dxa"/>
            <w:gridSpan w:val="2"/>
            <w:shd w:val="clear" w:color="auto" w:fill="FFFFFF"/>
            <w:vAlign w:val="center"/>
          </w:tcPr>
          <w:p w14:paraId="1C382B4C"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900" w:type="dxa"/>
            <w:gridSpan w:val="2"/>
            <w:shd w:val="clear" w:color="auto" w:fill="FFFFFF"/>
            <w:vAlign w:val="center"/>
          </w:tcPr>
          <w:p w14:paraId="31E1D45B"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1530" w:type="dxa"/>
            <w:gridSpan w:val="2"/>
            <w:shd w:val="clear" w:color="auto" w:fill="FFFFFF"/>
            <w:vAlign w:val="center"/>
          </w:tcPr>
          <w:p w14:paraId="3F9C876B" w14:textId="292DEBA8" w:rsidR="009F2AD8" w:rsidRPr="003B3171" w:rsidRDefault="009F2AD8" w:rsidP="003B3171">
            <w:pPr>
              <w:pStyle w:val="CETBodytext"/>
              <w:jc w:val="center"/>
              <w:rPr>
                <w:szCs w:val="18"/>
                <w:lang w:val="en-GB"/>
              </w:rPr>
            </w:pPr>
            <w:r w:rsidRPr="003B3171">
              <w:rPr>
                <w:rFonts w:ascii="Calibri" w:hAnsi="Calibri" w:cs="Calibri"/>
                <w:color w:val="000000"/>
                <w:szCs w:val="18"/>
              </w:rPr>
              <w:t>64.01</w:t>
            </w:r>
          </w:p>
        </w:tc>
      </w:tr>
      <w:tr w:rsidR="009F2AD8" w:rsidRPr="00C5699C" w14:paraId="152D6C9F" w14:textId="77777777" w:rsidTr="0042248C">
        <w:trPr>
          <w:gridAfter w:val="1"/>
          <w:wAfter w:w="123" w:type="dxa"/>
        </w:trPr>
        <w:tc>
          <w:tcPr>
            <w:tcW w:w="900" w:type="dxa"/>
            <w:shd w:val="clear" w:color="auto" w:fill="FFFFFF"/>
            <w:vAlign w:val="center"/>
          </w:tcPr>
          <w:p w14:paraId="76678BF2" w14:textId="77777777" w:rsidR="009F2AD8" w:rsidRPr="00C5699C" w:rsidRDefault="009F2AD8" w:rsidP="003B3171">
            <w:pPr>
              <w:pStyle w:val="CETBodytext"/>
              <w:jc w:val="center"/>
              <w:rPr>
                <w:szCs w:val="18"/>
                <w:lang w:val="en-GB"/>
              </w:rPr>
            </w:pPr>
            <w:r w:rsidRPr="00C5699C">
              <w:rPr>
                <w:rFonts w:ascii="Calibri" w:hAnsi="Calibri" w:cs="Calibri"/>
                <w:b/>
                <w:bCs/>
                <w:color w:val="000000"/>
                <w:szCs w:val="18"/>
              </w:rPr>
              <w:t>13</w:t>
            </w:r>
          </w:p>
        </w:tc>
        <w:tc>
          <w:tcPr>
            <w:tcW w:w="996" w:type="dxa"/>
            <w:shd w:val="clear" w:color="auto" w:fill="FFFFFF"/>
            <w:vAlign w:val="center"/>
          </w:tcPr>
          <w:p w14:paraId="4CFFCEBD"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50</w:t>
            </w:r>
          </w:p>
        </w:tc>
        <w:tc>
          <w:tcPr>
            <w:tcW w:w="1170" w:type="dxa"/>
            <w:gridSpan w:val="2"/>
            <w:shd w:val="clear" w:color="auto" w:fill="FFFFFF"/>
            <w:vAlign w:val="center"/>
          </w:tcPr>
          <w:p w14:paraId="0CAB15E9"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900" w:type="dxa"/>
            <w:gridSpan w:val="2"/>
            <w:shd w:val="clear" w:color="auto" w:fill="FFFFFF"/>
            <w:vAlign w:val="center"/>
          </w:tcPr>
          <w:p w14:paraId="1A7438AE"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0</w:t>
            </w:r>
          </w:p>
        </w:tc>
        <w:tc>
          <w:tcPr>
            <w:tcW w:w="1530" w:type="dxa"/>
            <w:gridSpan w:val="2"/>
            <w:shd w:val="clear" w:color="auto" w:fill="FFFFFF"/>
            <w:vAlign w:val="center"/>
          </w:tcPr>
          <w:p w14:paraId="77AF250D" w14:textId="2C103D76" w:rsidR="009F2AD8" w:rsidRPr="003B3171" w:rsidRDefault="009F2AD8" w:rsidP="003B3171">
            <w:pPr>
              <w:pStyle w:val="CETBodytext"/>
              <w:jc w:val="center"/>
              <w:rPr>
                <w:szCs w:val="18"/>
                <w:lang w:val="en-GB"/>
              </w:rPr>
            </w:pPr>
            <w:r w:rsidRPr="003B3171">
              <w:rPr>
                <w:rFonts w:ascii="Calibri" w:hAnsi="Calibri" w:cs="Calibri"/>
                <w:color w:val="000000"/>
                <w:szCs w:val="18"/>
              </w:rPr>
              <w:t>53.70</w:t>
            </w:r>
          </w:p>
        </w:tc>
      </w:tr>
      <w:tr w:rsidR="009F2AD8" w:rsidRPr="00C5699C" w14:paraId="51736205" w14:textId="77777777" w:rsidTr="0042248C">
        <w:trPr>
          <w:gridAfter w:val="1"/>
          <w:wAfter w:w="123" w:type="dxa"/>
        </w:trPr>
        <w:tc>
          <w:tcPr>
            <w:tcW w:w="900" w:type="dxa"/>
            <w:shd w:val="clear" w:color="auto" w:fill="FFFFFF"/>
            <w:vAlign w:val="center"/>
          </w:tcPr>
          <w:p w14:paraId="0AACBDD9" w14:textId="77777777" w:rsidR="009F2AD8" w:rsidRPr="00C5699C" w:rsidRDefault="009F2AD8" w:rsidP="003B3171">
            <w:pPr>
              <w:pStyle w:val="CETBodytext"/>
              <w:jc w:val="center"/>
              <w:rPr>
                <w:szCs w:val="18"/>
                <w:lang w:val="en-GB"/>
              </w:rPr>
            </w:pPr>
            <w:r w:rsidRPr="00C5699C">
              <w:rPr>
                <w:rFonts w:ascii="Calibri" w:hAnsi="Calibri" w:cs="Calibri"/>
                <w:b/>
                <w:bCs/>
                <w:color w:val="000000"/>
                <w:szCs w:val="18"/>
              </w:rPr>
              <w:t>14</w:t>
            </w:r>
          </w:p>
        </w:tc>
        <w:tc>
          <w:tcPr>
            <w:tcW w:w="996" w:type="dxa"/>
            <w:shd w:val="clear" w:color="auto" w:fill="FFFFFF"/>
            <w:vAlign w:val="center"/>
          </w:tcPr>
          <w:p w14:paraId="5DE52531"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1170" w:type="dxa"/>
            <w:gridSpan w:val="2"/>
            <w:shd w:val="clear" w:color="auto" w:fill="FFFFFF"/>
            <w:vAlign w:val="center"/>
          </w:tcPr>
          <w:p w14:paraId="3AD0ABEE"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50</w:t>
            </w:r>
          </w:p>
        </w:tc>
        <w:tc>
          <w:tcPr>
            <w:tcW w:w="900" w:type="dxa"/>
            <w:gridSpan w:val="2"/>
            <w:shd w:val="clear" w:color="auto" w:fill="FFFFFF"/>
            <w:vAlign w:val="center"/>
          </w:tcPr>
          <w:p w14:paraId="7260AF36"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50</w:t>
            </w:r>
          </w:p>
        </w:tc>
        <w:tc>
          <w:tcPr>
            <w:tcW w:w="1530" w:type="dxa"/>
            <w:gridSpan w:val="2"/>
            <w:shd w:val="clear" w:color="auto" w:fill="FFFFFF"/>
            <w:vAlign w:val="center"/>
          </w:tcPr>
          <w:p w14:paraId="022E9E16" w14:textId="16C23839" w:rsidR="009F2AD8" w:rsidRPr="003B3171" w:rsidRDefault="009F2AD8" w:rsidP="003B3171">
            <w:pPr>
              <w:pStyle w:val="CETBodytext"/>
              <w:jc w:val="center"/>
              <w:rPr>
                <w:szCs w:val="18"/>
                <w:lang w:val="en-GB"/>
              </w:rPr>
            </w:pPr>
            <w:r w:rsidRPr="003B3171">
              <w:rPr>
                <w:rFonts w:ascii="Calibri" w:hAnsi="Calibri" w:cs="Calibri"/>
                <w:color w:val="000000"/>
                <w:szCs w:val="18"/>
              </w:rPr>
              <w:t>57.22</w:t>
            </w:r>
          </w:p>
        </w:tc>
      </w:tr>
      <w:tr w:rsidR="009F2AD8" w:rsidRPr="00C5699C" w14:paraId="0D23F99D" w14:textId="77777777" w:rsidTr="0042248C">
        <w:trPr>
          <w:gridAfter w:val="1"/>
          <w:wAfter w:w="123" w:type="dxa"/>
        </w:trPr>
        <w:tc>
          <w:tcPr>
            <w:tcW w:w="900" w:type="dxa"/>
            <w:shd w:val="clear" w:color="auto" w:fill="FFFFFF"/>
            <w:vAlign w:val="center"/>
          </w:tcPr>
          <w:p w14:paraId="52844437" w14:textId="77777777" w:rsidR="009F2AD8" w:rsidRPr="00C5699C" w:rsidRDefault="009F2AD8" w:rsidP="003B3171">
            <w:pPr>
              <w:pStyle w:val="CETBodytext"/>
              <w:jc w:val="center"/>
              <w:rPr>
                <w:szCs w:val="18"/>
                <w:lang w:val="en-GB"/>
              </w:rPr>
            </w:pPr>
            <w:r w:rsidRPr="00C5699C">
              <w:rPr>
                <w:rFonts w:ascii="Calibri" w:hAnsi="Calibri" w:cs="Calibri"/>
                <w:b/>
                <w:bCs/>
                <w:color w:val="000000"/>
                <w:szCs w:val="18"/>
              </w:rPr>
              <w:t>15</w:t>
            </w:r>
          </w:p>
        </w:tc>
        <w:tc>
          <w:tcPr>
            <w:tcW w:w="996" w:type="dxa"/>
            <w:shd w:val="clear" w:color="auto" w:fill="FFFFFF"/>
            <w:vAlign w:val="center"/>
          </w:tcPr>
          <w:p w14:paraId="45E7B720"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50</w:t>
            </w:r>
          </w:p>
        </w:tc>
        <w:tc>
          <w:tcPr>
            <w:tcW w:w="1170" w:type="dxa"/>
            <w:gridSpan w:val="2"/>
            <w:shd w:val="clear" w:color="auto" w:fill="FFFFFF"/>
            <w:vAlign w:val="center"/>
          </w:tcPr>
          <w:p w14:paraId="65692DA6"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25</w:t>
            </w:r>
          </w:p>
        </w:tc>
        <w:tc>
          <w:tcPr>
            <w:tcW w:w="900" w:type="dxa"/>
            <w:gridSpan w:val="2"/>
            <w:shd w:val="clear" w:color="auto" w:fill="FFFFFF"/>
            <w:vAlign w:val="center"/>
          </w:tcPr>
          <w:p w14:paraId="0F093025" w14:textId="77777777" w:rsidR="009F2AD8" w:rsidRPr="00C5699C" w:rsidRDefault="009F2AD8" w:rsidP="003B3171">
            <w:pPr>
              <w:pStyle w:val="CETBodytext"/>
              <w:jc w:val="center"/>
              <w:rPr>
                <w:szCs w:val="18"/>
                <w:lang w:val="en-GB"/>
              </w:rPr>
            </w:pPr>
            <w:r w:rsidRPr="00C5699C">
              <w:rPr>
                <w:rFonts w:ascii="Calibri" w:hAnsi="Calibri" w:cs="Calibri"/>
                <w:color w:val="000000"/>
                <w:szCs w:val="18"/>
              </w:rPr>
              <w:t>50</w:t>
            </w:r>
          </w:p>
        </w:tc>
        <w:tc>
          <w:tcPr>
            <w:tcW w:w="1530" w:type="dxa"/>
            <w:gridSpan w:val="2"/>
            <w:shd w:val="clear" w:color="auto" w:fill="FFFFFF"/>
            <w:vAlign w:val="center"/>
          </w:tcPr>
          <w:p w14:paraId="6E88B210" w14:textId="21DE25DF" w:rsidR="009F2AD8" w:rsidRPr="003B3171" w:rsidRDefault="009F2AD8" w:rsidP="003B3171">
            <w:pPr>
              <w:pStyle w:val="CETBodytext"/>
              <w:jc w:val="center"/>
              <w:rPr>
                <w:szCs w:val="18"/>
                <w:lang w:val="en-GB"/>
              </w:rPr>
            </w:pPr>
            <w:r w:rsidRPr="003B3171">
              <w:rPr>
                <w:rFonts w:ascii="Calibri" w:hAnsi="Calibri" w:cs="Calibri"/>
                <w:color w:val="000000"/>
                <w:szCs w:val="18"/>
              </w:rPr>
              <w:t>54.01</w:t>
            </w:r>
          </w:p>
        </w:tc>
      </w:tr>
    </w:tbl>
    <w:p w14:paraId="38203310" w14:textId="77777777" w:rsidR="0058007A" w:rsidRDefault="0058007A" w:rsidP="00F81708">
      <w:pPr>
        <w:pStyle w:val="CETBodytext"/>
        <w:rPr>
          <w:lang w:val="en-GB"/>
        </w:rPr>
      </w:pPr>
    </w:p>
    <w:p w14:paraId="6F40CD7C" w14:textId="0B1E938B" w:rsidR="00F81708" w:rsidRPr="0042248C" w:rsidRDefault="00052723" w:rsidP="00F81708">
      <w:pPr>
        <w:pStyle w:val="CETBodytext"/>
        <w:rPr>
          <w:lang w:val="en-GB"/>
        </w:rPr>
      </w:pPr>
      <w:r>
        <w:rPr>
          <w:lang w:val="en-GB"/>
        </w:rPr>
        <w:t>Non-coded e</w:t>
      </w:r>
      <w:r w:rsidR="00174A4F" w:rsidRPr="0042248C">
        <w:rPr>
          <w:lang w:val="en-GB"/>
        </w:rPr>
        <w:t xml:space="preserve">mpirical relationship between </w:t>
      </w:r>
      <w:r w:rsidR="009B69FE" w:rsidRPr="0042248C">
        <w:rPr>
          <w:lang w:val="en-GB"/>
        </w:rPr>
        <w:t xml:space="preserve">the </w:t>
      </w:r>
      <w:r w:rsidR="00174A4F" w:rsidRPr="0042248C">
        <w:rPr>
          <w:lang w:val="en-GB"/>
        </w:rPr>
        <w:t xml:space="preserve">response </w:t>
      </w:r>
      <w:r w:rsidR="009B69FE" w:rsidRPr="0042248C">
        <w:rPr>
          <w:lang w:val="en-GB"/>
        </w:rPr>
        <w:t>and independent variables was expressed in the following second-order polynomial function</w:t>
      </w:r>
      <w:r w:rsidR="006F4E55">
        <w:rPr>
          <w:lang w:val="en-GB"/>
        </w:rPr>
        <w:t xml:space="preserve"> (Eq. 1</w:t>
      </w:r>
      <w:r w:rsidR="0042248C" w:rsidRPr="0042248C">
        <w:rPr>
          <w:lang w:val="en-GB"/>
        </w:rPr>
        <w:t>)</w:t>
      </w:r>
      <w:r w:rsidR="009B69FE" w:rsidRPr="0042248C">
        <w:rPr>
          <w:lang w:val="en-GB"/>
        </w:rPr>
        <w:t>:</w:t>
      </w:r>
    </w:p>
    <w:tbl>
      <w:tblPr>
        <w:tblW w:w="8894" w:type="dxa"/>
        <w:jc w:val="center"/>
        <w:tblBorders>
          <w:top w:val="nil"/>
          <w:left w:val="nil"/>
          <w:bottom w:val="nil"/>
          <w:right w:val="nil"/>
          <w:insideH w:val="nil"/>
          <w:insideV w:val="nil"/>
        </w:tblBorders>
        <w:tblLayout w:type="fixed"/>
        <w:tblLook w:val="0400" w:firstRow="0" w:lastRow="0" w:firstColumn="0" w:lastColumn="0" w:noHBand="0" w:noVBand="1"/>
      </w:tblPr>
      <w:tblGrid>
        <w:gridCol w:w="8398"/>
        <w:gridCol w:w="496"/>
      </w:tblGrid>
      <w:tr w:rsidR="0058007A" w:rsidRPr="007F4D6B" w14:paraId="0B8D39E2" w14:textId="77777777" w:rsidTr="0042248C">
        <w:trPr>
          <w:jc w:val="center"/>
        </w:trPr>
        <w:tc>
          <w:tcPr>
            <w:tcW w:w="8398" w:type="dxa"/>
          </w:tcPr>
          <w:p w14:paraId="1A88F0C9" w14:textId="2E58F7E0" w:rsidR="0058007A" w:rsidRPr="008154EE" w:rsidRDefault="0042248C" w:rsidP="008154EE">
            <w:pPr>
              <w:spacing w:line="240" w:lineRule="auto"/>
              <w:jc w:val="left"/>
              <w:rPr>
                <w:rFonts w:ascii="Cambria Math" w:eastAsia="Cambria Math" w:hAnsi="Cambria Math" w:cs="Arial"/>
                <w:color w:val="000000" w:themeColor="text1"/>
                <w:szCs w:val="18"/>
                <w:lang w:val="en-US"/>
              </w:rPr>
            </w:pPr>
            <w:r>
              <w:rPr>
                <w:rFonts w:ascii="Cambria Math" w:eastAsia="Cambria Math" w:hAnsi="Cambria Math" w:cs="Arial"/>
                <w:color w:val="000000" w:themeColor="text1"/>
                <w:szCs w:val="18"/>
                <w:lang w:val="en-US"/>
              </w:rPr>
              <w:t>Y</w:t>
            </w:r>
            <w:r w:rsidR="00D363F8">
              <w:rPr>
                <w:rFonts w:ascii="Cambria Math" w:eastAsia="Cambria Math" w:hAnsi="Cambria Math" w:cs="Arial"/>
                <w:color w:val="000000" w:themeColor="text1"/>
                <w:szCs w:val="18"/>
                <w:lang w:val="en-US"/>
              </w:rPr>
              <w:t xml:space="preserve"> = 9.8442 + 1.41235</w:t>
            </w:r>
            <w:r w:rsidR="00604D97" w:rsidRPr="008F51F5">
              <w:rPr>
                <w:rFonts w:ascii="Cambria Math" w:eastAsia="Cambria Math" w:hAnsi="Cambria Math" w:cs="Arial"/>
                <w:color w:val="000000" w:themeColor="text1"/>
                <w:szCs w:val="18"/>
                <w:lang w:val="en-US"/>
              </w:rPr>
              <w:t xml:space="preserve"> </w:t>
            </w:r>
            <w:r>
              <w:rPr>
                <w:rFonts w:ascii="Cambria Math" w:eastAsia="Cambria Math" w:hAnsi="Cambria Math" w:cs="Arial"/>
                <w:color w:val="000000" w:themeColor="text1"/>
                <w:szCs w:val="18"/>
                <w:lang w:val="en-US"/>
              </w:rPr>
              <w:t xml:space="preserve">A </w:t>
            </w:r>
            <w:r w:rsidR="00D363F8">
              <w:rPr>
                <w:rFonts w:ascii="Cambria Math" w:eastAsia="Cambria Math" w:hAnsi="Cambria Math" w:cs="Arial"/>
                <w:color w:val="000000" w:themeColor="text1"/>
                <w:szCs w:val="18"/>
                <w:lang w:val="en-US"/>
              </w:rPr>
              <w:t>+ 1.00069</w:t>
            </w:r>
            <w:r w:rsidR="00604D97" w:rsidRPr="008F51F5">
              <w:rPr>
                <w:rFonts w:ascii="Cambria Math" w:eastAsia="Cambria Math" w:hAnsi="Cambria Math" w:cs="Arial"/>
                <w:color w:val="000000" w:themeColor="text1"/>
                <w:szCs w:val="18"/>
                <w:lang w:val="en-US"/>
              </w:rPr>
              <w:t xml:space="preserve"> </w:t>
            </w:r>
            <w:r>
              <w:rPr>
                <w:rFonts w:ascii="Cambria Math" w:eastAsia="Cambria Math" w:hAnsi="Cambria Math" w:cs="Arial"/>
                <w:color w:val="000000" w:themeColor="text1"/>
                <w:szCs w:val="18"/>
                <w:lang w:val="en-US"/>
              </w:rPr>
              <w:t xml:space="preserve">B </w:t>
            </w:r>
            <w:r w:rsidR="00D363F8">
              <w:rPr>
                <w:rFonts w:ascii="Cambria Math" w:eastAsia="Cambria Math" w:hAnsi="Cambria Math" w:cs="Arial"/>
                <w:color w:val="000000" w:themeColor="text1"/>
                <w:szCs w:val="18"/>
                <w:lang w:val="en-US"/>
              </w:rPr>
              <w:t>+ 1.09515</w:t>
            </w:r>
            <w:r w:rsidR="00604D97" w:rsidRPr="008F51F5">
              <w:rPr>
                <w:rFonts w:ascii="Cambria Math" w:eastAsia="Cambria Math" w:hAnsi="Cambria Math" w:cs="Arial"/>
                <w:color w:val="000000" w:themeColor="text1"/>
                <w:szCs w:val="18"/>
                <w:lang w:val="en-US"/>
              </w:rPr>
              <w:t xml:space="preserve"> </w:t>
            </w:r>
            <w:r>
              <w:rPr>
                <w:rFonts w:ascii="Cambria Math" w:eastAsia="Cambria Math" w:hAnsi="Cambria Math" w:cs="Arial"/>
                <w:color w:val="000000" w:themeColor="text1"/>
                <w:szCs w:val="18"/>
                <w:lang w:val="en-US"/>
              </w:rPr>
              <w:t xml:space="preserve">C </w:t>
            </w:r>
            <w:r w:rsidR="00480C28">
              <w:rPr>
                <w:rFonts w:ascii="Cambria Math" w:eastAsia="Cambria Math" w:hAnsi="Cambria Math" w:cs="Arial"/>
                <w:color w:val="000000" w:themeColor="text1"/>
                <w:szCs w:val="18"/>
                <w:lang w:val="en-US"/>
              </w:rPr>
              <w:t>- 0.014642</w:t>
            </w:r>
            <w:r w:rsidR="00604D97" w:rsidRPr="008F51F5">
              <w:rPr>
                <w:rFonts w:ascii="Cambria Math" w:eastAsia="Cambria Math" w:hAnsi="Cambria Math" w:cs="Arial"/>
                <w:color w:val="000000" w:themeColor="text1"/>
                <w:szCs w:val="18"/>
                <w:lang w:val="en-US"/>
              </w:rPr>
              <w:t xml:space="preserve"> </w:t>
            </w:r>
            <w:r w:rsidR="008154EE">
              <w:rPr>
                <w:rFonts w:ascii="Cambria Math" w:eastAsia="Cambria Math" w:hAnsi="Cambria Math" w:cs="Arial"/>
                <w:color w:val="000000" w:themeColor="text1"/>
                <w:szCs w:val="18"/>
                <w:lang w:val="en-US"/>
              </w:rPr>
              <w:t>A</w:t>
            </w:r>
            <w:r w:rsidR="00604D97" w:rsidRPr="008F51F5">
              <w:rPr>
                <w:rFonts w:ascii="Cambria Math" w:eastAsia="Cambria Math" w:hAnsi="Cambria Math" w:cs="Arial"/>
                <w:color w:val="000000" w:themeColor="text1"/>
                <w:szCs w:val="18"/>
                <w:lang w:val="en-US"/>
              </w:rPr>
              <w:t>*</w:t>
            </w:r>
            <w:r w:rsidR="008154EE">
              <w:rPr>
                <w:rFonts w:ascii="Cambria Math" w:eastAsia="Cambria Math" w:hAnsi="Cambria Math" w:cs="Arial"/>
                <w:color w:val="000000" w:themeColor="text1"/>
                <w:szCs w:val="18"/>
                <w:lang w:val="en-US"/>
              </w:rPr>
              <w:t>A</w:t>
            </w:r>
            <w:r w:rsidR="00480C28">
              <w:rPr>
                <w:rFonts w:ascii="Cambria Math" w:eastAsia="Cambria Math" w:hAnsi="Cambria Math" w:cs="Arial"/>
                <w:color w:val="000000" w:themeColor="text1"/>
                <w:szCs w:val="18"/>
                <w:lang w:val="en-US"/>
              </w:rPr>
              <w:t xml:space="preserve"> – 0.006864</w:t>
            </w:r>
            <w:r w:rsidR="00604D97" w:rsidRPr="008F51F5">
              <w:rPr>
                <w:rFonts w:ascii="Cambria Math" w:eastAsia="Cambria Math" w:hAnsi="Cambria Math" w:cs="Arial"/>
                <w:color w:val="000000" w:themeColor="text1"/>
                <w:szCs w:val="18"/>
                <w:lang w:val="en-US"/>
              </w:rPr>
              <w:t xml:space="preserve"> </w:t>
            </w:r>
            <w:r w:rsidR="008154EE">
              <w:rPr>
                <w:rFonts w:ascii="Cambria Math" w:eastAsia="Cambria Math" w:hAnsi="Cambria Math" w:cs="Arial"/>
                <w:color w:val="000000" w:themeColor="text1"/>
                <w:szCs w:val="18"/>
                <w:lang w:val="en-US"/>
              </w:rPr>
              <w:t>B</w:t>
            </w:r>
            <w:r w:rsidR="00604D97" w:rsidRPr="008F51F5">
              <w:rPr>
                <w:rFonts w:ascii="Cambria Math" w:eastAsia="Cambria Math" w:hAnsi="Cambria Math" w:cs="Arial"/>
                <w:color w:val="000000" w:themeColor="text1"/>
                <w:szCs w:val="18"/>
                <w:lang w:val="en-US"/>
              </w:rPr>
              <w:t>*</w:t>
            </w:r>
            <w:r w:rsidR="008154EE">
              <w:rPr>
                <w:rFonts w:ascii="Cambria Math" w:eastAsia="Cambria Math" w:hAnsi="Cambria Math" w:cs="Arial"/>
                <w:color w:val="000000" w:themeColor="text1"/>
                <w:szCs w:val="18"/>
                <w:lang w:val="en-US"/>
              </w:rPr>
              <w:t>B</w:t>
            </w:r>
            <w:r w:rsidR="00480C28">
              <w:rPr>
                <w:rFonts w:ascii="Cambria Math" w:eastAsia="Cambria Math" w:hAnsi="Cambria Math" w:cs="Arial"/>
                <w:color w:val="000000" w:themeColor="text1"/>
                <w:szCs w:val="18"/>
                <w:lang w:val="en-US"/>
              </w:rPr>
              <w:t xml:space="preserve"> - 0.022754</w:t>
            </w:r>
            <w:r w:rsidR="00604D97" w:rsidRPr="008F51F5">
              <w:rPr>
                <w:rFonts w:ascii="Cambria Math" w:eastAsia="Cambria Math" w:hAnsi="Cambria Math" w:cs="Arial"/>
                <w:color w:val="000000" w:themeColor="text1"/>
                <w:szCs w:val="18"/>
                <w:lang w:val="en-US"/>
              </w:rPr>
              <w:t xml:space="preserve"> </w:t>
            </w:r>
            <w:r w:rsidR="008154EE">
              <w:rPr>
                <w:rFonts w:ascii="Cambria Math" w:eastAsia="Cambria Math" w:hAnsi="Cambria Math" w:cs="Arial"/>
                <w:color w:val="000000" w:themeColor="text1"/>
                <w:szCs w:val="18"/>
                <w:lang w:val="en-US"/>
              </w:rPr>
              <w:t>C</w:t>
            </w:r>
            <w:r w:rsidR="00604D97" w:rsidRPr="008F51F5">
              <w:rPr>
                <w:rFonts w:ascii="Cambria Math" w:eastAsia="Cambria Math" w:hAnsi="Cambria Math" w:cs="Arial"/>
                <w:color w:val="000000" w:themeColor="text1"/>
                <w:szCs w:val="18"/>
                <w:lang w:val="en-US"/>
              </w:rPr>
              <w:t>*</w:t>
            </w:r>
            <w:r w:rsidR="008154EE">
              <w:rPr>
                <w:rFonts w:ascii="Cambria Math" w:eastAsia="Cambria Math" w:hAnsi="Cambria Math" w:cs="Arial"/>
                <w:color w:val="000000" w:themeColor="text1"/>
                <w:szCs w:val="18"/>
                <w:lang w:val="en-US"/>
              </w:rPr>
              <w:t>C</w:t>
            </w:r>
            <w:r w:rsidR="00604D97" w:rsidRPr="008F51F5">
              <w:rPr>
                <w:rFonts w:ascii="Cambria Math" w:eastAsia="Cambria Math" w:hAnsi="Cambria Math" w:cs="Arial"/>
                <w:color w:val="000000" w:themeColor="text1"/>
                <w:szCs w:val="18"/>
                <w:lang w:val="en-US"/>
              </w:rPr>
              <w:t xml:space="preserve"> - </w:t>
            </w:r>
            <w:r w:rsidR="00480C28">
              <w:rPr>
                <w:rFonts w:ascii="Cambria Math" w:eastAsia="Cambria Math" w:hAnsi="Cambria Math" w:cs="Arial"/>
                <w:color w:val="000000" w:themeColor="text1"/>
                <w:szCs w:val="18"/>
                <w:lang w:val="en-US"/>
              </w:rPr>
              <w:t>0.011652</w:t>
            </w:r>
            <w:r w:rsidR="00604D97" w:rsidRPr="008F51F5">
              <w:rPr>
                <w:rFonts w:ascii="Cambria Math" w:eastAsia="Cambria Math" w:hAnsi="Cambria Math" w:cs="Arial"/>
                <w:color w:val="000000" w:themeColor="text1"/>
                <w:szCs w:val="18"/>
                <w:lang w:val="en-US"/>
              </w:rPr>
              <w:t xml:space="preserve"> </w:t>
            </w:r>
            <w:r w:rsidR="008154EE">
              <w:rPr>
                <w:rFonts w:ascii="Cambria Math" w:eastAsia="Cambria Math" w:hAnsi="Cambria Math" w:cs="Arial"/>
                <w:color w:val="000000" w:themeColor="text1"/>
                <w:szCs w:val="18"/>
                <w:lang w:val="en-US"/>
              </w:rPr>
              <w:t>A</w:t>
            </w:r>
            <w:r w:rsidR="00604D97" w:rsidRPr="008F51F5">
              <w:rPr>
                <w:rFonts w:ascii="Cambria Math" w:eastAsia="Cambria Math" w:hAnsi="Cambria Math" w:cs="Arial"/>
                <w:color w:val="000000" w:themeColor="text1"/>
                <w:szCs w:val="18"/>
                <w:lang w:val="en-US"/>
              </w:rPr>
              <w:t>*</w:t>
            </w:r>
            <w:r w:rsidR="008154EE">
              <w:rPr>
                <w:rFonts w:ascii="Cambria Math" w:eastAsia="Cambria Math" w:hAnsi="Cambria Math" w:cs="Arial"/>
                <w:color w:val="000000" w:themeColor="text1"/>
                <w:szCs w:val="18"/>
                <w:lang w:val="en-US"/>
              </w:rPr>
              <w:t>B</w:t>
            </w:r>
            <w:r w:rsidR="00480C28">
              <w:rPr>
                <w:rFonts w:ascii="Cambria Math" w:eastAsia="Cambria Math" w:hAnsi="Cambria Math" w:cs="Arial"/>
                <w:color w:val="000000" w:themeColor="text1"/>
                <w:szCs w:val="18"/>
                <w:lang w:val="en-US"/>
              </w:rPr>
              <w:t xml:space="preserve"> +</w:t>
            </w:r>
            <w:r w:rsidR="00604D97" w:rsidRPr="008F51F5">
              <w:rPr>
                <w:rFonts w:ascii="Cambria Math" w:eastAsia="Cambria Math" w:hAnsi="Cambria Math" w:cs="Arial"/>
                <w:color w:val="000000" w:themeColor="text1"/>
                <w:szCs w:val="18"/>
                <w:lang w:val="en-US"/>
              </w:rPr>
              <w:t xml:space="preserve"> </w:t>
            </w:r>
            <w:r w:rsidR="00480C28">
              <w:rPr>
                <w:rFonts w:ascii="Cambria Math" w:eastAsia="Cambria Math" w:hAnsi="Cambria Math" w:cs="Arial"/>
                <w:color w:val="000000" w:themeColor="text1"/>
                <w:szCs w:val="18"/>
                <w:lang w:val="en-US"/>
              </w:rPr>
              <w:t>0.00382</w:t>
            </w:r>
            <w:r w:rsidR="00604D97" w:rsidRPr="008F51F5">
              <w:rPr>
                <w:rFonts w:ascii="Cambria Math" w:eastAsia="Cambria Math" w:hAnsi="Cambria Math" w:cs="Arial"/>
                <w:color w:val="000000" w:themeColor="text1"/>
                <w:szCs w:val="18"/>
                <w:lang w:val="en-US"/>
              </w:rPr>
              <w:t xml:space="preserve"> </w:t>
            </w:r>
            <w:r w:rsidR="008154EE">
              <w:rPr>
                <w:rFonts w:ascii="Cambria Math" w:eastAsia="Cambria Math" w:hAnsi="Cambria Math" w:cs="Arial"/>
                <w:color w:val="000000" w:themeColor="text1"/>
                <w:szCs w:val="18"/>
                <w:lang w:val="en-US"/>
              </w:rPr>
              <w:t>A</w:t>
            </w:r>
            <w:r w:rsidR="00604D97" w:rsidRPr="008F51F5">
              <w:rPr>
                <w:rFonts w:ascii="Cambria Math" w:eastAsia="Cambria Math" w:hAnsi="Cambria Math" w:cs="Arial"/>
                <w:color w:val="000000" w:themeColor="text1"/>
                <w:szCs w:val="18"/>
                <w:lang w:val="en-US"/>
              </w:rPr>
              <w:t>*</w:t>
            </w:r>
            <w:r w:rsidR="008154EE">
              <w:rPr>
                <w:rFonts w:ascii="Cambria Math" w:eastAsia="Cambria Math" w:hAnsi="Cambria Math" w:cs="Arial"/>
                <w:color w:val="000000" w:themeColor="text1"/>
                <w:szCs w:val="18"/>
                <w:lang w:val="en-US"/>
              </w:rPr>
              <w:t>C</w:t>
            </w:r>
            <w:r w:rsidR="00514143" w:rsidRPr="008F51F5">
              <w:rPr>
                <w:rFonts w:ascii="Cambria Math" w:eastAsia="Cambria Math" w:hAnsi="Cambria Math" w:cs="Arial"/>
                <w:color w:val="000000" w:themeColor="text1"/>
                <w:szCs w:val="18"/>
                <w:lang w:val="en-US"/>
              </w:rPr>
              <w:t xml:space="preserve"> </w:t>
            </w:r>
            <w:r w:rsidR="00604D97" w:rsidRPr="008F51F5">
              <w:rPr>
                <w:rFonts w:ascii="Cambria Math" w:eastAsia="Cambria Math" w:hAnsi="Cambria Math" w:cs="Arial"/>
                <w:color w:val="000000" w:themeColor="text1"/>
                <w:szCs w:val="18"/>
                <w:lang w:val="en-US"/>
              </w:rPr>
              <w:t>-</w:t>
            </w:r>
            <w:r w:rsidR="00514143" w:rsidRPr="008F51F5">
              <w:rPr>
                <w:rFonts w:ascii="Cambria Math" w:eastAsia="Cambria Math" w:hAnsi="Cambria Math" w:cs="Arial"/>
                <w:color w:val="000000" w:themeColor="text1"/>
                <w:szCs w:val="18"/>
                <w:lang w:val="en-US"/>
              </w:rPr>
              <w:t xml:space="preserve"> </w:t>
            </w:r>
            <w:r w:rsidR="00480C28">
              <w:rPr>
                <w:rFonts w:ascii="Cambria Math" w:eastAsia="Cambria Math" w:hAnsi="Cambria Math" w:cs="Arial"/>
                <w:color w:val="000000" w:themeColor="text1"/>
                <w:szCs w:val="18"/>
                <w:lang w:val="en-US"/>
              </w:rPr>
              <w:t>0.001292</w:t>
            </w:r>
            <w:r w:rsidR="00604D97" w:rsidRPr="008F51F5">
              <w:rPr>
                <w:rFonts w:ascii="Cambria Math" w:eastAsia="Cambria Math" w:hAnsi="Cambria Math" w:cs="Arial"/>
                <w:color w:val="000000" w:themeColor="text1"/>
                <w:szCs w:val="18"/>
                <w:lang w:val="en-US"/>
              </w:rPr>
              <w:t xml:space="preserve"> </w:t>
            </w:r>
            <w:r w:rsidR="008154EE">
              <w:rPr>
                <w:rFonts w:ascii="Cambria Math" w:eastAsia="Cambria Math" w:hAnsi="Cambria Math" w:cs="Arial"/>
                <w:color w:val="000000" w:themeColor="text1"/>
                <w:szCs w:val="18"/>
                <w:lang w:val="en-US"/>
              </w:rPr>
              <w:t>B</w:t>
            </w:r>
            <w:r w:rsidR="00604D97" w:rsidRPr="008F51F5">
              <w:rPr>
                <w:rFonts w:ascii="Cambria Math" w:eastAsia="Cambria Math" w:hAnsi="Cambria Math" w:cs="Arial"/>
                <w:color w:val="000000" w:themeColor="text1"/>
                <w:szCs w:val="18"/>
                <w:lang w:val="en-US"/>
              </w:rPr>
              <w:t>*</w:t>
            </w:r>
            <w:r w:rsidR="008154EE">
              <w:rPr>
                <w:rFonts w:ascii="Cambria Math" w:eastAsia="Cambria Math" w:hAnsi="Cambria Math" w:cs="Arial"/>
                <w:color w:val="000000" w:themeColor="text1"/>
                <w:szCs w:val="18"/>
                <w:lang w:val="en-US"/>
              </w:rPr>
              <w:t>C</w:t>
            </w:r>
          </w:p>
        </w:tc>
        <w:tc>
          <w:tcPr>
            <w:tcW w:w="496" w:type="dxa"/>
          </w:tcPr>
          <w:p w14:paraId="128A183A" w14:textId="77777777" w:rsidR="0058007A" w:rsidRPr="008F51F5" w:rsidRDefault="0058007A" w:rsidP="0042248C">
            <w:pPr>
              <w:spacing w:line="240" w:lineRule="auto"/>
              <w:rPr>
                <w:rFonts w:cs="Arial"/>
                <w:color w:val="000000" w:themeColor="text1"/>
                <w:szCs w:val="18"/>
              </w:rPr>
            </w:pPr>
          </w:p>
          <w:p w14:paraId="56D02E4E" w14:textId="7B71AE65" w:rsidR="0058007A" w:rsidRPr="007F4D6B" w:rsidRDefault="006F4E55" w:rsidP="0042248C">
            <w:pPr>
              <w:spacing w:line="240" w:lineRule="auto"/>
              <w:rPr>
                <w:rFonts w:cs="Arial"/>
                <w:color w:val="000000" w:themeColor="text1"/>
                <w:szCs w:val="18"/>
              </w:rPr>
            </w:pPr>
            <w:r>
              <w:rPr>
                <w:rFonts w:cs="Arial"/>
                <w:color w:val="000000" w:themeColor="text1"/>
                <w:szCs w:val="18"/>
              </w:rPr>
              <w:t>(1</w:t>
            </w:r>
            <w:r w:rsidR="0058007A" w:rsidRPr="008F51F5">
              <w:rPr>
                <w:rFonts w:cs="Arial"/>
                <w:color w:val="000000" w:themeColor="text1"/>
                <w:szCs w:val="18"/>
              </w:rPr>
              <w:t>)</w:t>
            </w:r>
          </w:p>
        </w:tc>
      </w:tr>
    </w:tbl>
    <w:p w14:paraId="50FE7792" w14:textId="77777777" w:rsidR="006C7C84" w:rsidRDefault="006C7C84" w:rsidP="00F81708">
      <w:pPr>
        <w:pStyle w:val="CETBodytext"/>
        <w:rPr>
          <w:lang w:val="en-GB"/>
        </w:rPr>
      </w:pPr>
    </w:p>
    <w:p w14:paraId="1D972CF7" w14:textId="32B25B50" w:rsidR="00BB3288" w:rsidRDefault="009F2AD8" w:rsidP="00F81708">
      <w:pPr>
        <w:pStyle w:val="CETBodytext"/>
        <w:rPr>
          <w:lang w:val="en-GB"/>
        </w:rPr>
      </w:pPr>
      <w:r>
        <w:rPr>
          <w:lang w:val="en-GB"/>
        </w:rPr>
        <w:t>w</w:t>
      </w:r>
      <w:r w:rsidR="0042248C">
        <w:rPr>
          <w:lang w:val="en-GB"/>
        </w:rPr>
        <w:t xml:space="preserve">here Y = TOC removal </w:t>
      </w:r>
      <w:r w:rsidR="0042248C" w:rsidRPr="0042248C">
        <w:rPr>
          <w:lang w:val="en-GB"/>
        </w:rPr>
        <w:t xml:space="preserve">(%), </w:t>
      </w:r>
      <w:r w:rsidR="0042248C">
        <w:rPr>
          <w:lang w:val="en-GB"/>
        </w:rPr>
        <w:t>A</w:t>
      </w:r>
      <w:r w:rsidR="0042248C" w:rsidRPr="0042248C">
        <w:rPr>
          <w:lang w:val="en-GB"/>
        </w:rPr>
        <w:t xml:space="preserve"> = </w:t>
      </w:r>
      <w:r w:rsidR="0042248C">
        <w:rPr>
          <w:lang w:val="en-GB"/>
        </w:rPr>
        <w:t>NH</w:t>
      </w:r>
      <w:r w:rsidR="0042248C" w:rsidRPr="005F1C11">
        <w:rPr>
          <w:vertAlign w:val="subscript"/>
          <w:lang w:val="en-GB"/>
        </w:rPr>
        <w:t>4</w:t>
      </w:r>
      <w:r w:rsidR="0042248C">
        <w:rPr>
          <w:lang w:val="en-GB"/>
        </w:rPr>
        <w:t>PS</w:t>
      </w:r>
      <w:r w:rsidR="0042248C" w:rsidRPr="0042248C">
        <w:rPr>
          <w:lang w:val="en-GB"/>
        </w:rPr>
        <w:t xml:space="preserve">, </w:t>
      </w:r>
      <w:r w:rsidR="0042248C">
        <w:rPr>
          <w:lang w:val="en-GB"/>
        </w:rPr>
        <w:t xml:space="preserve">B </w:t>
      </w:r>
      <w:r w:rsidR="0042248C" w:rsidRPr="0042248C">
        <w:rPr>
          <w:lang w:val="en-GB"/>
        </w:rPr>
        <w:t xml:space="preserve">= </w:t>
      </w:r>
      <w:r w:rsidR="0042248C">
        <w:rPr>
          <w:lang w:val="en-GB"/>
        </w:rPr>
        <w:t>NaPS</w:t>
      </w:r>
      <w:r w:rsidR="0042248C" w:rsidRPr="0042248C">
        <w:rPr>
          <w:lang w:val="en-GB"/>
        </w:rPr>
        <w:t xml:space="preserve">, </w:t>
      </w:r>
      <w:r w:rsidR="0042248C">
        <w:rPr>
          <w:lang w:val="en-GB"/>
        </w:rPr>
        <w:t xml:space="preserve">C </w:t>
      </w:r>
      <w:r w:rsidR="0042248C" w:rsidRPr="0042248C">
        <w:rPr>
          <w:lang w:val="en-GB"/>
        </w:rPr>
        <w:t xml:space="preserve">= </w:t>
      </w:r>
      <w:r w:rsidR="0042248C">
        <w:rPr>
          <w:lang w:val="en-GB"/>
        </w:rPr>
        <w:t>KPS, respec</w:t>
      </w:r>
      <w:r w:rsidR="0042248C" w:rsidRPr="0042248C">
        <w:rPr>
          <w:lang w:val="en-GB"/>
        </w:rPr>
        <w:t xml:space="preserve">tively. </w:t>
      </w:r>
      <w:r w:rsidR="009F13E3">
        <w:rPr>
          <w:lang w:val="en-GB"/>
        </w:rPr>
        <w:t xml:space="preserve">Positive sign of the coefficients indicates the synergistic effect from the </w:t>
      </w:r>
      <w:r w:rsidR="00AD5451">
        <w:rPr>
          <w:lang w:val="en-GB"/>
        </w:rPr>
        <w:t xml:space="preserve">factors and interactions, whereas the negative coefficients represent an antagonistic effect </w:t>
      </w:r>
      <w:r w:rsidR="00751C99">
        <w:rPr>
          <w:lang w:val="en-GB"/>
        </w:rPr>
        <w:fldChar w:fldCharType="begin" w:fldLock="1"/>
      </w:r>
      <w:r w:rsidR="006C7C84">
        <w:rPr>
          <w:lang w:val="en-GB"/>
        </w:rPr>
        <w:instrText>ADDIN CSL_CITATION {"citationItems":[{"id":"ITEM-1","itemData":{"DOI":"10.1016/j.diamond.2016.10.023","ISSN":"09259635","abstract":"Pure TiO2 and carbon quantum dots (CQDs)-doped TiO2 nanocomposite (CQDs/TiO2 nanocomposite) were prepared by a sol-gel approach for photocatalytic removal of Rhodamine B and cefradine. Analyses by Transmission electronmicroscopy (TEM), scanning electron microscopy (SEM), energy dispersive spectrometry (EDS), UV–visible spectroscopy and X-ray powder diffraction (XRD) confirmed the successful formation of CQDs/TiO2 heterostructure. The as-prepared TiO2 and CQDs/TiO2 composite possessed small particles, spherical-like shape, and anatase crystal form. Meanwhile, Rhodamine B and cefradine were chosen to evaluate the photocatalytic activity of TiO2 and CQDs/TiO2 composite. Results revealed that with the facile decoration of CQDs, the absorption of photocatalyst was extended into visible light region and photocatalytic activity was improved in comparison with pure TiO2. Furthermore, the mechanism for the improvement of the photocatalytic performance of the composites was discussed on the basis of the results. CQDs play an important role in the photocatalytic process, due to their superior ability to extend the visible absorption and produce more electrons and electron–hole pairs for the degradation of pollutants. In all, the paper offers further insights into the development of CQDs/TiO2 nanocomposite as photocatalyst for the degradation of antibiotics.","author":[{"dropping-particle":"","family":"Chen","given":"Jiao","non-dropping-particle":"","parse-names":false,"suffix":""},{"dropping-particle":"","family":"Shu","given":"Juan","non-dropping-particle":"","parse-names":false,"suffix":""},{"dropping-particle":"","family":"Anqi","given":"Zhang","non-dropping-particle":"","parse-names":false,"suffix":""},{"dropping-particle":"","family":"Juyuan","given":"Heng","non-dropping-particle":"","parse-names":false,"suffix":""},{"dropping-particle":"","family":"Yan","given":"Zhengyu","non-dropping-particle":"","parse-names":false,"suffix":""},{"dropping-particle":"","family":"Chen","given":"Jianqiu","non-dropping-particle":"","parse-names":false,"suffix":""}],"container-title":"Diamond and Related Materials","id":"ITEM-1","issued":{"date-parts":[["2016"]]},"page":"137-144","publisher":"Elsevier B.V.","title":"Synthesis of carbon quantum dots/TiO2 nanocomposite for photo-degradation of Rhodamine B and cefradine","type":"article-journal","volume":"70"},"uris":["http://www.mendeley.com/documents/?uuid=f7891bc9-ab89-4e83-b760-0eef88fcddd3","http://www.mendeley.com/documents/?uuid=7f8d7bc3-310b-491e-a3bf-a87c322d6c18"]}],"mendeley":{"formattedCitation":"(Chen et al. 2016)","plainTextFormattedCitation":"(Chen et al. 2016)","previouslyFormattedCitation":"(Chen et al. 2016)"},"properties":{"noteIndex":0},"schema":"https://github.com/citation-style-language/schema/raw/master/csl-citation.json"}</w:instrText>
      </w:r>
      <w:r w:rsidR="00751C99">
        <w:rPr>
          <w:lang w:val="en-GB"/>
        </w:rPr>
        <w:fldChar w:fldCharType="separate"/>
      </w:r>
      <w:r w:rsidR="00751C99" w:rsidRPr="00751C99">
        <w:rPr>
          <w:noProof/>
          <w:lang w:val="en-GB"/>
        </w:rPr>
        <w:t>(Chen et al. 2016)</w:t>
      </w:r>
      <w:r w:rsidR="00751C99">
        <w:rPr>
          <w:lang w:val="en-GB"/>
        </w:rPr>
        <w:fldChar w:fldCharType="end"/>
      </w:r>
      <w:r w:rsidR="00AD5451">
        <w:rPr>
          <w:lang w:val="en-GB"/>
        </w:rPr>
        <w:t>.</w:t>
      </w:r>
      <w:r w:rsidR="00FF6653">
        <w:rPr>
          <w:lang w:val="en-GB"/>
        </w:rPr>
        <w:t xml:space="preserve"> In this case, the increase of concentrations of all three persulfates had positive effect on </w:t>
      </w:r>
      <w:r w:rsidR="00853D5F">
        <w:rPr>
          <w:lang w:val="en-GB"/>
        </w:rPr>
        <w:t>TOC removal.</w:t>
      </w:r>
      <w:r w:rsidR="00490A9A">
        <w:rPr>
          <w:lang w:val="en-GB"/>
        </w:rPr>
        <w:t xml:space="preserve"> ANOVA was used to check the adequacy of the model (Table 4).</w:t>
      </w:r>
    </w:p>
    <w:p w14:paraId="0C0FEF5E" w14:textId="77777777" w:rsidR="009872B3" w:rsidRDefault="009872B3" w:rsidP="00F81708">
      <w:pPr>
        <w:pStyle w:val="CETBodytext"/>
        <w:rPr>
          <w:lang w:val="en-GB"/>
        </w:rPr>
      </w:pPr>
    </w:p>
    <w:p w14:paraId="24B6DB9C" w14:textId="181EDB52" w:rsidR="009872B3" w:rsidRPr="00D22EE4" w:rsidRDefault="00D22EE4" w:rsidP="00F81708">
      <w:pPr>
        <w:pStyle w:val="CETBodytext"/>
        <w:rPr>
          <w:i/>
          <w:lang w:val="en-GB"/>
        </w:rPr>
      </w:pPr>
      <w:r w:rsidRPr="00D22EE4">
        <w:rPr>
          <w:i/>
          <w:lang w:val="en-GB"/>
        </w:rPr>
        <w:t>Table 4:</w:t>
      </w:r>
      <w:r w:rsidR="009872B3" w:rsidRPr="00D22EE4">
        <w:rPr>
          <w:i/>
          <w:lang w:val="en-GB"/>
        </w:rPr>
        <w:t xml:space="preserve"> ANOVA results</w:t>
      </w:r>
    </w:p>
    <w:tbl>
      <w:tblPr>
        <w:tblW w:w="891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11"/>
        <w:gridCol w:w="2249"/>
        <w:gridCol w:w="1440"/>
        <w:gridCol w:w="1800"/>
        <w:gridCol w:w="1170"/>
        <w:gridCol w:w="720"/>
        <w:gridCol w:w="720"/>
      </w:tblGrid>
      <w:tr w:rsidR="009872B3" w:rsidRPr="00353A3F" w14:paraId="18BDFE47" w14:textId="77777777" w:rsidTr="004453E7">
        <w:tc>
          <w:tcPr>
            <w:tcW w:w="811" w:type="dxa"/>
            <w:tcBorders>
              <w:top w:val="single" w:sz="12" w:space="0" w:color="008000"/>
              <w:bottom w:val="single" w:sz="6" w:space="0" w:color="008000"/>
            </w:tcBorders>
            <w:shd w:val="clear" w:color="auto" w:fill="FFFFFF"/>
          </w:tcPr>
          <w:p w14:paraId="719995B0" w14:textId="77777777" w:rsidR="009872B3" w:rsidRPr="00353A3F" w:rsidRDefault="009872B3" w:rsidP="004453E7">
            <w:pPr>
              <w:pStyle w:val="CETBodytext"/>
              <w:jc w:val="center"/>
              <w:rPr>
                <w:lang w:val="en-GB"/>
              </w:rPr>
            </w:pPr>
            <w:r w:rsidRPr="00841AB9">
              <w:rPr>
                <w:lang w:val="en-GB"/>
              </w:rPr>
              <w:t>Removal</w:t>
            </w:r>
          </w:p>
        </w:tc>
        <w:tc>
          <w:tcPr>
            <w:tcW w:w="2249" w:type="dxa"/>
            <w:tcBorders>
              <w:top w:val="single" w:sz="12" w:space="0" w:color="008000"/>
              <w:bottom w:val="single" w:sz="6" w:space="0" w:color="008000"/>
            </w:tcBorders>
            <w:shd w:val="clear" w:color="auto" w:fill="FFFFFF"/>
          </w:tcPr>
          <w:p w14:paraId="2C106D10" w14:textId="77777777" w:rsidR="009872B3" w:rsidRPr="00353A3F" w:rsidRDefault="009872B3" w:rsidP="004453E7">
            <w:pPr>
              <w:pStyle w:val="CETBodytext"/>
              <w:jc w:val="center"/>
              <w:rPr>
                <w:lang w:val="en-GB"/>
              </w:rPr>
            </w:pPr>
            <w:r w:rsidRPr="00841AB9">
              <w:rPr>
                <w:lang w:val="en-GB"/>
              </w:rPr>
              <w:t>Source</w:t>
            </w:r>
          </w:p>
        </w:tc>
        <w:tc>
          <w:tcPr>
            <w:tcW w:w="1440" w:type="dxa"/>
            <w:tcBorders>
              <w:top w:val="single" w:sz="12" w:space="0" w:color="008000"/>
              <w:bottom w:val="single" w:sz="6" w:space="0" w:color="008000"/>
            </w:tcBorders>
            <w:shd w:val="clear" w:color="auto" w:fill="FFFFFF"/>
          </w:tcPr>
          <w:p w14:paraId="0D34B67D" w14:textId="77777777" w:rsidR="009872B3" w:rsidRPr="00353A3F" w:rsidRDefault="009872B3" w:rsidP="004453E7">
            <w:pPr>
              <w:pStyle w:val="CETBodytext"/>
              <w:jc w:val="center"/>
              <w:rPr>
                <w:lang w:val="en-GB"/>
              </w:rPr>
            </w:pPr>
            <w:r w:rsidRPr="00841AB9">
              <w:rPr>
                <w:lang w:val="en-GB"/>
              </w:rPr>
              <w:t>Sum of Squares</w:t>
            </w:r>
          </w:p>
        </w:tc>
        <w:tc>
          <w:tcPr>
            <w:tcW w:w="1800" w:type="dxa"/>
            <w:tcBorders>
              <w:top w:val="single" w:sz="12" w:space="0" w:color="008000"/>
              <w:bottom w:val="single" w:sz="6" w:space="0" w:color="008000"/>
            </w:tcBorders>
            <w:shd w:val="clear" w:color="auto" w:fill="FFFFFF"/>
          </w:tcPr>
          <w:p w14:paraId="3A498B50" w14:textId="77777777" w:rsidR="009872B3" w:rsidRPr="00353A3F" w:rsidRDefault="009872B3" w:rsidP="004453E7">
            <w:pPr>
              <w:pStyle w:val="CETBodytext"/>
              <w:jc w:val="center"/>
              <w:rPr>
                <w:lang w:val="en-GB"/>
              </w:rPr>
            </w:pPr>
            <w:r w:rsidRPr="00841AB9">
              <w:rPr>
                <w:lang w:val="en-GB"/>
              </w:rPr>
              <w:t>Degrees of Freedom</w:t>
            </w:r>
          </w:p>
        </w:tc>
        <w:tc>
          <w:tcPr>
            <w:tcW w:w="1170" w:type="dxa"/>
            <w:tcBorders>
              <w:top w:val="single" w:sz="12" w:space="0" w:color="008000"/>
              <w:bottom w:val="single" w:sz="6" w:space="0" w:color="008000"/>
            </w:tcBorders>
            <w:shd w:val="clear" w:color="auto" w:fill="FFFFFF"/>
          </w:tcPr>
          <w:p w14:paraId="327254DB" w14:textId="77777777" w:rsidR="009872B3" w:rsidRPr="00353A3F" w:rsidRDefault="009872B3" w:rsidP="004453E7">
            <w:pPr>
              <w:pStyle w:val="CETBodytext"/>
              <w:jc w:val="center"/>
              <w:rPr>
                <w:lang w:val="en-GB"/>
              </w:rPr>
            </w:pPr>
            <w:r w:rsidRPr="00841AB9">
              <w:rPr>
                <w:lang w:val="en-GB"/>
              </w:rPr>
              <w:t>Mean Square</w:t>
            </w:r>
          </w:p>
        </w:tc>
        <w:tc>
          <w:tcPr>
            <w:tcW w:w="720" w:type="dxa"/>
            <w:tcBorders>
              <w:top w:val="single" w:sz="12" w:space="0" w:color="008000"/>
              <w:bottom w:val="single" w:sz="6" w:space="0" w:color="008000"/>
            </w:tcBorders>
            <w:shd w:val="clear" w:color="auto" w:fill="FFFFFF"/>
          </w:tcPr>
          <w:p w14:paraId="672E1266" w14:textId="77777777" w:rsidR="009872B3" w:rsidRPr="00353A3F" w:rsidRDefault="009872B3" w:rsidP="004453E7">
            <w:pPr>
              <w:pStyle w:val="CETBodytext"/>
              <w:jc w:val="center"/>
              <w:rPr>
                <w:lang w:val="en-GB"/>
              </w:rPr>
            </w:pPr>
            <w:r w:rsidRPr="00841AB9">
              <w:rPr>
                <w:lang w:val="en-GB"/>
              </w:rPr>
              <w:t>F-Value</w:t>
            </w:r>
          </w:p>
        </w:tc>
        <w:tc>
          <w:tcPr>
            <w:tcW w:w="720" w:type="dxa"/>
            <w:tcBorders>
              <w:top w:val="single" w:sz="12" w:space="0" w:color="008000"/>
              <w:bottom w:val="single" w:sz="6" w:space="0" w:color="008000"/>
            </w:tcBorders>
            <w:shd w:val="clear" w:color="auto" w:fill="FFFFFF"/>
          </w:tcPr>
          <w:p w14:paraId="6D84BFC6" w14:textId="77777777" w:rsidR="009872B3" w:rsidRPr="00353A3F" w:rsidRDefault="009872B3" w:rsidP="004453E7">
            <w:pPr>
              <w:pStyle w:val="CETBodytext"/>
              <w:jc w:val="center"/>
              <w:rPr>
                <w:lang w:val="en-GB"/>
              </w:rPr>
            </w:pPr>
            <w:r w:rsidRPr="00841AB9">
              <w:rPr>
                <w:lang w:val="en-GB"/>
              </w:rPr>
              <w:t>p-Value</w:t>
            </w:r>
          </w:p>
        </w:tc>
      </w:tr>
      <w:tr w:rsidR="009872B3" w:rsidRPr="00353A3F" w14:paraId="67A25A24" w14:textId="77777777" w:rsidTr="004453E7">
        <w:tc>
          <w:tcPr>
            <w:tcW w:w="811" w:type="dxa"/>
            <w:shd w:val="clear" w:color="auto" w:fill="FFFFFF"/>
          </w:tcPr>
          <w:p w14:paraId="4BD09A45" w14:textId="77777777" w:rsidR="009872B3" w:rsidRPr="00353A3F" w:rsidRDefault="009872B3" w:rsidP="004453E7">
            <w:pPr>
              <w:pStyle w:val="CETBodytext"/>
              <w:jc w:val="center"/>
              <w:rPr>
                <w:lang w:val="en-GB"/>
              </w:rPr>
            </w:pPr>
            <w:r>
              <w:rPr>
                <w:lang w:val="en-GB"/>
              </w:rPr>
              <w:t>TOC</w:t>
            </w:r>
          </w:p>
        </w:tc>
        <w:tc>
          <w:tcPr>
            <w:tcW w:w="2249" w:type="dxa"/>
            <w:shd w:val="clear" w:color="auto" w:fill="FFFFFF"/>
          </w:tcPr>
          <w:p w14:paraId="1CBB36EA" w14:textId="77777777" w:rsidR="009872B3" w:rsidRPr="00353A3F" w:rsidRDefault="009872B3" w:rsidP="004453E7">
            <w:pPr>
              <w:pStyle w:val="CETBodytext"/>
              <w:jc w:val="center"/>
              <w:rPr>
                <w:lang w:val="en-GB"/>
              </w:rPr>
            </w:pPr>
            <w:r>
              <w:rPr>
                <w:lang w:val="en-GB"/>
              </w:rPr>
              <w:t>Model</w:t>
            </w:r>
          </w:p>
        </w:tc>
        <w:tc>
          <w:tcPr>
            <w:tcW w:w="1440" w:type="dxa"/>
            <w:shd w:val="clear" w:color="auto" w:fill="FFFFFF"/>
          </w:tcPr>
          <w:p w14:paraId="55366D6C" w14:textId="55161FA4" w:rsidR="009872B3" w:rsidRPr="00353A3F" w:rsidRDefault="00D866EB" w:rsidP="004453E7">
            <w:pPr>
              <w:pStyle w:val="CETBodytext"/>
              <w:jc w:val="center"/>
              <w:rPr>
                <w:lang w:val="en-GB"/>
              </w:rPr>
            </w:pPr>
            <w:r>
              <w:rPr>
                <w:lang w:val="en-GB"/>
              </w:rPr>
              <w:t>2981.69</w:t>
            </w:r>
          </w:p>
        </w:tc>
        <w:tc>
          <w:tcPr>
            <w:tcW w:w="1800" w:type="dxa"/>
            <w:shd w:val="clear" w:color="auto" w:fill="FFFFFF"/>
          </w:tcPr>
          <w:p w14:paraId="2410ADD7" w14:textId="77777777" w:rsidR="009872B3" w:rsidRPr="00353A3F" w:rsidRDefault="009872B3" w:rsidP="004453E7">
            <w:pPr>
              <w:pStyle w:val="CETBodytext"/>
              <w:jc w:val="center"/>
              <w:rPr>
                <w:lang w:val="en-GB"/>
              </w:rPr>
            </w:pPr>
            <w:r>
              <w:rPr>
                <w:lang w:val="en-GB"/>
              </w:rPr>
              <w:t>9</w:t>
            </w:r>
          </w:p>
        </w:tc>
        <w:tc>
          <w:tcPr>
            <w:tcW w:w="1170" w:type="dxa"/>
            <w:shd w:val="clear" w:color="auto" w:fill="FFFFFF"/>
          </w:tcPr>
          <w:p w14:paraId="2EE9D045" w14:textId="53E06FB2" w:rsidR="009872B3" w:rsidRPr="00353A3F" w:rsidRDefault="00D866EB" w:rsidP="004453E7">
            <w:pPr>
              <w:pStyle w:val="CETBodytext"/>
              <w:jc w:val="center"/>
              <w:rPr>
                <w:lang w:val="en-GB"/>
              </w:rPr>
            </w:pPr>
            <w:r>
              <w:rPr>
                <w:lang w:val="en-GB"/>
              </w:rPr>
              <w:t>331.30</w:t>
            </w:r>
          </w:p>
        </w:tc>
        <w:tc>
          <w:tcPr>
            <w:tcW w:w="720" w:type="dxa"/>
            <w:shd w:val="clear" w:color="auto" w:fill="FFFFFF"/>
          </w:tcPr>
          <w:p w14:paraId="5AE7C5A0" w14:textId="652F4086" w:rsidR="009872B3" w:rsidRPr="00353A3F" w:rsidRDefault="00D866EB" w:rsidP="004453E7">
            <w:pPr>
              <w:pStyle w:val="CETBodytext"/>
              <w:jc w:val="center"/>
              <w:rPr>
                <w:lang w:val="en-GB"/>
              </w:rPr>
            </w:pPr>
            <w:r>
              <w:rPr>
                <w:lang w:val="en-GB"/>
              </w:rPr>
              <w:t>21.97</w:t>
            </w:r>
          </w:p>
        </w:tc>
        <w:tc>
          <w:tcPr>
            <w:tcW w:w="720" w:type="dxa"/>
            <w:shd w:val="clear" w:color="auto" w:fill="FFFFFF"/>
          </w:tcPr>
          <w:p w14:paraId="08956DCF" w14:textId="144AC377" w:rsidR="009872B3" w:rsidRPr="00353A3F" w:rsidRDefault="00D866EB" w:rsidP="004453E7">
            <w:pPr>
              <w:pStyle w:val="CETBodytext"/>
              <w:jc w:val="center"/>
              <w:rPr>
                <w:lang w:val="en-GB"/>
              </w:rPr>
            </w:pPr>
            <w:r>
              <w:rPr>
                <w:lang w:val="en-GB"/>
              </w:rPr>
              <w:t>0.0017</w:t>
            </w:r>
          </w:p>
        </w:tc>
      </w:tr>
      <w:tr w:rsidR="009872B3" w:rsidRPr="00353A3F" w14:paraId="29308962" w14:textId="77777777" w:rsidTr="004453E7">
        <w:tc>
          <w:tcPr>
            <w:tcW w:w="811" w:type="dxa"/>
            <w:shd w:val="clear" w:color="auto" w:fill="FFFFFF"/>
          </w:tcPr>
          <w:p w14:paraId="5A68FCE8" w14:textId="77777777" w:rsidR="009872B3" w:rsidRPr="00353A3F" w:rsidRDefault="009872B3" w:rsidP="004453E7">
            <w:pPr>
              <w:pStyle w:val="CETBodytext"/>
              <w:jc w:val="center"/>
              <w:rPr>
                <w:lang w:val="en-GB"/>
              </w:rPr>
            </w:pPr>
          </w:p>
        </w:tc>
        <w:tc>
          <w:tcPr>
            <w:tcW w:w="2249" w:type="dxa"/>
            <w:shd w:val="clear" w:color="auto" w:fill="FFFFFF"/>
          </w:tcPr>
          <w:p w14:paraId="08BB245B" w14:textId="77777777" w:rsidR="009872B3" w:rsidRDefault="009872B3" w:rsidP="004453E7">
            <w:pPr>
              <w:pStyle w:val="CETBodytext"/>
              <w:jc w:val="center"/>
              <w:rPr>
                <w:lang w:val="en-GB"/>
              </w:rPr>
            </w:pPr>
            <w:r>
              <w:rPr>
                <w:lang w:val="en-GB"/>
              </w:rPr>
              <w:t>Error</w:t>
            </w:r>
          </w:p>
        </w:tc>
        <w:tc>
          <w:tcPr>
            <w:tcW w:w="1440" w:type="dxa"/>
            <w:shd w:val="clear" w:color="auto" w:fill="FFFFFF"/>
          </w:tcPr>
          <w:p w14:paraId="0E6E62E5" w14:textId="6A6E67FC" w:rsidR="009872B3" w:rsidRDefault="00D866EB" w:rsidP="004453E7">
            <w:pPr>
              <w:pStyle w:val="CETBodytext"/>
              <w:jc w:val="center"/>
              <w:rPr>
                <w:lang w:val="en-GB"/>
              </w:rPr>
            </w:pPr>
            <w:r>
              <w:rPr>
                <w:lang w:val="en-GB"/>
              </w:rPr>
              <w:t>75.40</w:t>
            </w:r>
          </w:p>
        </w:tc>
        <w:tc>
          <w:tcPr>
            <w:tcW w:w="1800" w:type="dxa"/>
            <w:shd w:val="clear" w:color="auto" w:fill="FFFFFF"/>
          </w:tcPr>
          <w:p w14:paraId="3BD4A8A2" w14:textId="77777777" w:rsidR="009872B3" w:rsidRDefault="009872B3" w:rsidP="004453E7">
            <w:pPr>
              <w:pStyle w:val="CETBodytext"/>
              <w:jc w:val="center"/>
              <w:rPr>
                <w:lang w:val="en-GB"/>
              </w:rPr>
            </w:pPr>
            <w:r>
              <w:rPr>
                <w:lang w:val="en-GB"/>
              </w:rPr>
              <w:t>5</w:t>
            </w:r>
          </w:p>
        </w:tc>
        <w:tc>
          <w:tcPr>
            <w:tcW w:w="1170" w:type="dxa"/>
            <w:shd w:val="clear" w:color="auto" w:fill="FFFFFF"/>
          </w:tcPr>
          <w:p w14:paraId="68562697" w14:textId="44D73E26" w:rsidR="009872B3" w:rsidRDefault="00D866EB" w:rsidP="004453E7">
            <w:pPr>
              <w:pStyle w:val="CETBodytext"/>
              <w:jc w:val="center"/>
              <w:rPr>
                <w:lang w:val="en-GB"/>
              </w:rPr>
            </w:pPr>
            <w:r>
              <w:rPr>
                <w:lang w:val="en-GB"/>
              </w:rPr>
              <w:t>15.08</w:t>
            </w:r>
          </w:p>
        </w:tc>
        <w:tc>
          <w:tcPr>
            <w:tcW w:w="720" w:type="dxa"/>
            <w:shd w:val="clear" w:color="auto" w:fill="FFFFFF"/>
          </w:tcPr>
          <w:p w14:paraId="4C136398" w14:textId="77777777" w:rsidR="009872B3" w:rsidRDefault="009872B3" w:rsidP="004453E7">
            <w:pPr>
              <w:pStyle w:val="CETBodytext"/>
              <w:jc w:val="center"/>
              <w:rPr>
                <w:lang w:val="en-GB"/>
              </w:rPr>
            </w:pPr>
          </w:p>
        </w:tc>
        <w:tc>
          <w:tcPr>
            <w:tcW w:w="720" w:type="dxa"/>
            <w:shd w:val="clear" w:color="auto" w:fill="FFFFFF"/>
          </w:tcPr>
          <w:p w14:paraId="1EE097E9" w14:textId="77777777" w:rsidR="009872B3" w:rsidRDefault="009872B3" w:rsidP="004453E7">
            <w:pPr>
              <w:pStyle w:val="CETBodytext"/>
              <w:jc w:val="center"/>
              <w:rPr>
                <w:lang w:val="en-GB"/>
              </w:rPr>
            </w:pPr>
          </w:p>
        </w:tc>
      </w:tr>
      <w:tr w:rsidR="009872B3" w:rsidRPr="00353A3F" w14:paraId="2D854CF1" w14:textId="77777777" w:rsidTr="004453E7">
        <w:tc>
          <w:tcPr>
            <w:tcW w:w="811" w:type="dxa"/>
            <w:shd w:val="clear" w:color="auto" w:fill="FFFFFF"/>
          </w:tcPr>
          <w:p w14:paraId="46132FDF" w14:textId="77777777" w:rsidR="009872B3" w:rsidRPr="00353A3F" w:rsidRDefault="009872B3" w:rsidP="004453E7">
            <w:pPr>
              <w:pStyle w:val="CETBodytext"/>
              <w:jc w:val="center"/>
              <w:rPr>
                <w:lang w:val="en-GB"/>
              </w:rPr>
            </w:pPr>
          </w:p>
        </w:tc>
        <w:tc>
          <w:tcPr>
            <w:tcW w:w="2249" w:type="dxa"/>
            <w:shd w:val="clear" w:color="auto" w:fill="FFFFFF"/>
          </w:tcPr>
          <w:p w14:paraId="69204B7C" w14:textId="77777777" w:rsidR="009872B3" w:rsidRDefault="009872B3" w:rsidP="004453E7">
            <w:pPr>
              <w:pStyle w:val="CETBodytext"/>
              <w:jc w:val="center"/>
              <w:rPr>
                <w:lang w:val="en-GB"/>
              </w:rPr>
            </w:pPr>
            <w:r>
              <w:rPr>
                <w:lang w:val="en-GB"/>
              </w:rPr>
              <w:t>Lack of fit</w:t>
            </w:r>
          </w:p>
        </w:tc>
        <w:tc>
          <w:tcPr>
            <w:tcW w:w="1440" w:type="dxa"/>
            <w:shd w:val="clear" w:color="auto" w:fill="FFFFFF"/>
          </w:tcPr>
          <w:p w14:paraId="16FCCD35" w14:textId="0923E8E1" w:rsidR="009872B3" w:rsidRDefault="00D866EB" w:rsidP="004453E7">
            <w:pPr>
              <w:pStyle w:val="CETBodytext"/>
              <w:jc w:val="center"/>
              <w:rPr>
                <w:lang w:val="en-GB"/>
              </w:rPr>
            </w:pPr>
            <w:r>
              <w:rPr>
                <w:lang w:val="en-GB"/>
              </w:rPr>
              <w:t>71.69</w:t>
            </w:r>
          </w:p>
        </w:tc>
        <w:tc>
          <w:tcPr>
            <w:tcW w:w="1800" w:type="dxa"/>
            <w:shd w:val="clear" w:color="auto" w:fill="FFFFFF"/>
          </w:tcPr>
          <w:p w14:paraId="7B593913" w14:textId="77777777" w:rsidR="009872B3" w:rsidRDefault="009872B3" w:rsidP="004453E7">
            <w:pPr>
              <w:pStyle w:val="CETBodytext"/>
              <w:jc w:val="center"/>
              <w:rPr>
                <w:lang w:val="en-GB"/>
              </w:rPr>
            </w:pPr>
            <w:r>
              <w:rPr>
                <w:lang w:val="en-GB"/>
              </w:rPr>
              <w:t>3</w:t>
            </w:r>
          </w:p>
        </w:tc>
        <w:tc>
          <w:tcPr>
            <w:tcW w:w="1170" w:type="dxa"/>
            <w:shd w:val="clear" w:color="auto" w:fill="FFFFFF"/>
          </w:tcPr>
          <w:p w14:paraId="28EF9167" w14:textId="1D3C2FB1" w:rsidR="009872B3" w:rsidRDefault="00D866EB" w:rsidP="004453E7">
            <w:pPr>
              <w:pStyle w:val="CETBodytext"/>
              <w:jc w:val="center"/>
              <w:rPr>
                <w:lang w:val="en-GB"/>
              </w:rPr>
            </w:pPr>
            <w:r>
              <w:rPr>
                <w:lang w:val="en-GB"/>
              </w:rPr>
              <w:t>23.90</w:t>
            </w:r>
          </w:p>
        </w:tc>
        <w:tc>
          <w:tcPr>
            <w:tcW w:w="720" w:type="dxa"/>
            <w:shd w:val="clear" w:color="auto" w:fill="FFFFFF"/>
          </w:tcPr>
          <w:p w14:paraId="09A9EDDE" w14:textId="77777777" w:rsidR="009872B3" w:rsidRDefault="009872B3" w:rsidP="004453E7">
            <w:pPr>
              <w:pStyle w:val="CETBodytext"/>
              <w:jc w:val="center"/>
              <w:rPr>
                <w:lang w:val="en-GB"/>
              </w:rPr>
            </w:pPr>
          </w:p>
        </w:tc>
        <w:tc>
          <w:tcPr>
            <w:tcW w:w="720" w:type="dxa"/>
            <w:shd w:val="clear" w:color="auto" w:fill="FFFFFF"/>
          </w:tcPr>
          <w:p w14:paraId="57172222" w14:textId="77777777" w:rsidR="009872B3" w:rsidRDefault="009872B3" w:rsidP="004453E7">
            <w:pPr>
              <w:pStyle w:val="CETBodytext"/>
              <w:jc w:val="center"/>
              <w:rPr>
                <w:lang w:val="en-GB"/>
              </w:rPr>
            </w:pPr>
          </w:p>
        </w:tc>
      </w:tr>
      <w:tr w:rsidR="009872B3" w:rsidRPr="00353A3F" w14:paraId="2F394420" w14:textId="77777777" w:rsidTr="004453E7">
        <w:tc>
          <w:tcPr>
            <w:tcW w:w="811" w:type="dxa"/>
            <w:shd w:val="clear" w:color="auto" w:fill="FFFFFF"/>
          </w:tcPr>
          <w:p w14:paraId="6DE5842D" w14:textId="77777777" w:rsidR="009872B3" w:rsidRPr="00353A3F" w:rsidRDefault="009872B3" w:rsidP="004453E7">
            <w:pPr>
              <w:pStyle w:val="CETBodytext"/>
              <w:jc w:val="center"/>
              <w:rPr>
                <w:lang w:val="en-GB"/>
              </w:rPr>
            </w:pPr>
          </w:p>
        </w:tc>
        <w:tc>
          <w:tcPr>
            <w:tcW w:w="2249" w:type="dxa"/>
            <w:shd w:val="clear" w:color="auto" w:fill="FFFFFF"/>
          </w:tcPr>
          <w:p w14:paraId="190CAF41" w14:textId="77777777" w:rsidR="009872B3" w:rsidRDefault="009872B3" w:rsidP="004453E7">
            <w:pPr>
              <w:pStyle w:val="CETBodytext"/>
              <w:jc w:val="center"/>
              <w:rPr>
                <w:lang w:val="en-GB"/>
              </w:rPr>
            </w:pPr>
            <w:r>
              <w:rPr>
                <w:lang w:val="en-GB"/>
              </w:rPr>
              <w:t>Pure error</w:t>
            </w:r>
          </w:p>
        </w:tc>
        <w:tc>
          <w:tcPr>
            <w:tcW w:w="1440" w:type="dxa"/>
            <w:shd w:val="clear" w:color="auto" w:fill="FFFFFF"/>
          </w:tcPr>
          <w:p w14:paraId="16AC22AA" w14:textId="6343115B" w:rsidR="009872B3" w:rsidRDefault="00D866EB" w:rsidP="004453E7">
            <w:pPr>
              <w:pStyle w:val="CETBodytext"/>
              <w:jc w:val="center"/>
              <w:rPr>
                <w:lang w:val="en-GB"/>
              </w:rPr>
            </w:pPr>
            <w:r>
              <w:rPr>
                <w:lang w:val="en-GB"/>
              </w:rPr>
              <w:t>3.71</w:t>
            </w:r>
          </w:p>
        </w:tc>
        <w:tc>
          <w:tcPr>
            <w:tcW w:w="1800" w:type="dxa"/>
            <w:shd w:val="clear" w:color="auto" w:fill="FFFFFF"/>
          </w:tcPr>
          <w:p w14:paraId="64BA8343" w14:textId="77777777" w:rsidR="009872B3" w:rsidRDefault="009872B3" w:rsidP="004453E7">
            <w:pPr>
              <w:pStyle w:val="CETBodytext"/>
              <w:jc w:val="center"/>
              <w:rPr>
                <w:lang w:val="en-GB"/>
              </w:rPr>
            </w:pPr>
            <w:r>
              <w:rPr>
                <w:lang w:val="en-GB"/>
              </w:rPr>
              <w:t>2</w:t>
            </w:r>
          </w:p>
        </w:tc>
        <w:tc>
          <w:tcPr>
            <w:tcW w:w="1170" w:type="dxa"/>
            <w:shd w:val="clear" w:color="auto" w:fill="FFFFFF"/>
          </w:tcPr>
          <w:p w14:paraId="624A8152" w14:textId="1A940667" w:rsidR="009872B3" w:rsidRDefault="00D866EB" w:rsidP="004453E7">
            <w:pPr>
              <w:pStyle w:val="CETBodytext"/>
              <w:jc w:val="center"/>
              <w:rPr>
                <w:lang w:val="en-GB"/>
              </w:rPr>
            </w:pPr>
            <w:r>
              <w:rPr>
                <w:lang w:val="en-GB"/>
              </w:rPr>
              <w:t>1.86</w:t>
            </w:r>
          </w:p>
        </w:tc>
        <w:tc>
          <w:tcPr>
            <w:tcW w:w="720" w:type="dxa"/>
            <w:shd w:val="clear" w:color="auto" w:fill="FFFFFF"/>
          </w:tcPr>
          <w:p w14:paraId="5F501AC7" w14:textId="77777777" w:rsidR="009872B3" w:rsidRDefault="009872B3" w:rsidP="004453E7">
            <w:pPr>
              <w:pStyle w:val="CETBodytext"/>
              <w:jc w:val="center"/>
              <w:rPr>
                <w:lang w:val="en-GB"/>
              </w:rPr>
            </w:pPr>
          </w:p>
        </w:tc>
        <w:tc>
          <w:tcPr>
            <w:tcW w:w="720" w:type="dxa"/>
            <w:shd w:val="clear" w:color="auto" w:fill="FFFFFF"/>
          </w:tcPr>
          <w:p w14:paraId="1F202507" w14:textId="77777777" w:rsidR="009872B3" w:rsidRDefault="009872B3" w:rsidP="004453E7">
            <w:pPr>
              <w:pStyle w:val="CETBodytext"/>
              <w:jc w:val="center"/>
              <w:rPr>
                <w:lang w:val="en-GB"/>
              </w:rPr>
            </w:pPr>
          </w:p>
        </w:tc>
      </w:tr>
      <w:tr w:rsidR="009872B3" w:rsidRPr="00353A3F" w14:paraId="6F0C8BC1" w14:textId="77777777" w:rsidTr="004453E7">
        <w:tc>
          <w:tcPr>
            <w:tcW w:w="811" w:type="dxa"/>
            <w:shd w:val="clear" w:color="auto" w:fill="FFFFFF"/>
          </w:tcPr>
          <w:p w14:paraId="42F75D83" w14:textId="77777777" w:rsidR="009872B3" w:rsidRPr="00353A3F" w:rsidRDefault="009872B3" w:rsidP="004453E7">
            <w:pPr>
              <w:pStyle w:val="CETBodytext"/>
              <w:jc w:val="center"/>
              <w:rPr>
                <w:lang w:val="en-GB"/>
              </w:rPr>
            </w:pPr>
          </w:p>
        </w:tc>
        <w:tc>
          <w:tcPr>
            <w:tcW w:w="2249" w:type="dxa"/>
            <w:shd w:val="clear" w:color="auto" w:fill="FFFFFF"/>
          </w:tcPr>
          <w:p w14:paraId="26CB34EC" w14:textId="22595D7D" w:rsidR="009872B3" w:rsidRDefault="00916674" w:rsidP="004453E7">
            <w:pPr>
              <w:pStyle w:val="CETBodytext"/>
              <w:jc w:val="center"/>
              <w:rPr>
                <w:lang w:val="en-GB"/>
              </w:rPr>
            </w:pPr>
            <w:r>
              <w:rPr>
                <w:lang w:val="en-GB"/>
              </w:rPr>
              <w:t>Adeq. precision = 12.9852</w:t>
            </w:r>
          </w:p>
          <w:p w14:paraId="5CB9FC67" w14:textId="25632DD9" w:rsidR="009872B3" w:rsidRDefault="009872B3" w:rsidP="004453E7">
            <w:pPr>
              <w:pStyle w:val="CETBodytext"/>
              <w:jc w:val="center"/>
              <w:rPr>
                <w:lang w:val="en-GB"/>
              </w:rPr>
            </w:pPr>
            <w:r>
              <w:rPr>
                <w:lang w:val="en-GB"/>
              </w:rPr>
              <w:t>R</w:t>
            </w:r>
            <w:r w:rsidRPr="00467975">
              <w:rPr>
                <w:vertAlign w:val="superscript"/>
                <w:lang w:val="en-GB"/>
              </w:rPr>
              <w:t>2</w:t>
            </w:r>
            <w:r w:rsidR="00916674">
              <w:rPr>
                <w:lang w:val="en-GB"/>
              </w:rPr>
              <w:t xml:space="preserve"> = 0.9753</w:t>
            </w:r>
            <w:r>
              <w:rPr>
                <w:lang w:val="en-GB"/>
              </w:rPr>
              <w:t xml:space="preserve"> </w:t>
            </w:r>
          </w:p>
          <w:p w14:paraId="6614DDDF" w14:textId="37411D96" w:rsidR="009872B3" w:rsidRDefault="009872B3" w:rsidP="004453E7">
            <w:pPr>
              <w:pStyle w:val="CETBodytext"/>
              <w:jc w:val="center"/>
              <w:rPr>
                <w:lang w:val="en-GB"/>
              </w:rPr>
            </w:pPr>
            <w:r>
              <w:rPr>
                <w:lang w:val="en-GB"/>
              </w:rPr>
              <w:t>Adj-R</w:t>
            </w:r>
            <w:r w:rsidRPr="004B4393">
              <w:rPr>
                <w:vertAlign w:val="superscript"/>
                <w:lang w:val="en-GB"/>
              </w:rPr>
              <w:t>2</w:t>
            </w:r>
            <w:r w:rsidR="00916674">
              <w:rPr>
                <w:lang w:val="en-GB"/>
              </w:rPr>
              <w:t xml:space="preserve"> = 0.9309</w:t>
            </w:r>
          </w:p>
          <w:p w14:paraId="4990A7C7" w14:textId="5A0BDFFF" w:rsidR="009872B3" w:rsidRDefault="009872B3" w:rsidP="004453E7">
            <w:pPr>
              <w:pStyle w:val="CETBodytext"/>
              <w:jc w:val="center"/>
              <w:rPr>
                <w:lang w:val="en-GB"/>
              </w:rPr>
            </w:pPr>
            <w:r>
              <w:rPr>
                <w:lang w:val="en-GB"/>
              </w:rPr>
              <w:t>Pred-R</w:t>
            </w:r>
            <w:r w:rsidRPr="004B4393">
              <w:rPr>
                <w:vertAlign w:val="superscript"/>
                <w:lang w:val="en-GB"/>
              </w:rPr>
              <w:t>2</w:t>
            </w:r>
            <w:r w:rsidR="00916674">
              <w:rPr>
                <w:lang w:val="en-GB"/>
              </w:rPr>
              <w:t xml:space="preserve"> = 0.6221</w:t>
            </w:r>
          </w:p>
        </w:tc>
        <w:tc>
          <w:tcPr>
            <w:tcW w:w="1440" w:type="dxa"/>
            <w:shd w:val="clear" w:color="auto" w:fill="FFFFFF"/>
          </w:tcPr>
          <w:p w14:paraId="4D81491F" w14:textId="77777777" w:rsidR="009872B3" w:rsidRDefault="009872B3" w:rsidP="00916674">
            <w:pPr>
              <w:pStyle w:val="CETBodytext"/>
              <w:rPr>
                <w:lang w:val="en-GB"/>
              </w:rPr>
            </w:pPr>
          </w:p>
        </w:tc>
        <w:tc>
          <w:tcPr>
            <w:tcW w:w="1800" w:type="dxa"/>
            <w:shd w:val="clear" w:color="auto" w:fill="FFFFFF"/>
          </w:tcPr>
          <w:p w14:paraId="73DEFD34" w14:textId="77777777" w:rsidR="009872B3" w:rsidRDefault="009872B3" w:rsidP="004453E7">
            <w:pPr>
              <w:pStyle w:val="CETBodytext"/>
              <w:jc w:val="center"/>
              <w:rPr>
                <w:lang w:val="en-GB"/>
              </w:rPr>
            </w:pPr>
          </w:p>
        </w:tc>
        <w:tc>
          <w:tcPr>
            <w:tcW w:w="1170" w:type="dxa"/>
            <w:shd w:val="clear" w:color="auto" w:fill="FFFFFF"/>
          </w:tcPr>
          <w:p w14:paraId="4CA4B704" w14:textId="77777777" w:rsidR="009872B3" w:rsidRDefault="009872B3" w:rsidP="004453E7">
            <w:pPr>
              <w:pStyle w:val="CETBodytext"/>
              <w:jc w:val="center"/>
              <w:rPr>
                <w:lang w:val="en-GB"/>
              </w:rPr>
            </w:pPr>
          </w:p>
        </w:tc>
        <w:tc>
          <w:tcPr>
            <w:tcW w:w="720" w:type="dxa"/>
            <w:shd w:val="clear" w:color="auto" w:fill="FFFFFF"/>
          </w:tcPr>
          <w:p w14:paraId="660DE97F" w14:textId="77777777" w:rsidR="009872B3" w:rsidRDefault="009872B3" w:rsidP="004453E7">
            <w:pPr>
              <w:pStyle w:val="CETBodytext"/>
              <w:jc w:val="center"/>
              <w:rPr>
                <w:lang w:val="en-GB"/>
              </w:rPr>
            </w:pPr>
          </w:p>
        </w:tc>
        <w:tc>
          <w:tcPr>
            <w:tcW w:w="720" w:type="dxa"/>
            <w:shd w:val="clear" w:color="auto" w:fill="FFFFFF"/>
          </w:tcPr>
          <w:p w14:paraId="3EC38D32" w14:textId="77777777" w:rsidR="009872B3" w:rsidRDefault="009872B3" w:rsidP="004453E7">
            <w:pPr>
              <w:pStyle w:val="CETBodytext"/>
              <w:jc w:val="center"/>
              <w:rPr>
                <w:lang w:val="en-GB"/>
              </w:rPr>
            </w:pPr>
          </w:p>
        </w:tc>
      </w:tr>
    </w:tbl>
    <w:p w14:paraId="7E147356" w14:textId="77777777" w:rsidR="009872B3" w:rsidRDefault="009872B3" w:rsidP="00F81708">
      <w:pPr>
        <w:pStyle w:val="CETBodytext"/>
        <w:rPr>
          <w:lang w:val="en-GB"/>
        </w:rPr>
      </w:pPr>
    </w:p>
    <w:p w14:paraId="5CCD5C18" w14:textId="4DF6E8BB" w:rsidR="00B26A9A" w:rsidRDefault="00490A9A" w:rsidP="006C7C84">
      <w:pPr>
        <w:pStyle w:val="CETBodytext"/>
        <w:rPr>
          <w:lang w:val="en-GB"/>
        </w:rPr>
      </w:pPr>
      <w:r>
        <w:rPr>
          <w:lang w:val="en-GB"/>
        </w:rPr>
        <w:t>Regression coefficents (R</w:t>
      </w:r>
      <w:r w:rsidRPr="00490A9A">
        <w:rPr>
          <w:vertAlign w:val="superscript"/>
          <w:lang w:val="en-GB"/>
        </w:rPr>
        <w:t>2</w:t>
      </w:r>
      <w:r>
        <w:rPr>
          <w:lang w:val="en-GB"/>
        </w:rPr>
        <w:t xml:space="preserve"> and Adj-R</w:t>
      </w:r>
      <w:r w:rsidRPr="00490A9A">
        <w:rPr>
          <w:vertAlign w:val="superscript"/>
          <w:lang w:val="en-GB"/>
        </w:rPr>
        <w:t>2</w:t>
      </w:r>
      <w:r>
        <w:rPr>
          <w:lang w:val="en-GB"/>
        </w:rPr>
        <w:t>) were close to 1 and had small discrepa</w:t>
      </w:r>
      <w:r w:rsidR="00916674">
        <w:rPr>
          <w:lang w:val="en-GB"/>
        </w:rPr>
        <w:t>ncy between them. F-value (</w:t>
      </w:r>
      <w:r w:rsidR="00D866EB">
        <w:rPr>
          <w:lang w:val="en-GB"/>
        </w:rPr>
        <w:t>21.97</w:t>
      </w:r>
      <w:r>
        <w:rPr>
          <w:lang w:val="en-GB"/>
        </w:rPr>
        <w:t>) was high and p-value was less than 0.05. The mentioned parameters indicated that the model was signif</w:t>
      </w:r>
      <w:r w:rsidR="00916674">
        <w:rPr>
          <w:lang w:val="en-GB"/>
        </w:rPr>
        <w:t>icant. Adequate precision (12.9852</w:t>
      </w:r>
      <w:r>
        <w:rPr>
          <w:lang w:val="en-GB"/>
        </w:rPr>
        <w:t xml:space="preserve">) was much higher than 4, therefore, the model can be used to navigate </w:t>
      </w:r>
      <w:r>
        <w:rPr>
          <w:lang w:val="en-GB"/>
        </w:rPr>
        <w:lastRenderedPageBreak/>
        <w:t>within the design space</w:t>
      </w:r>
      <w:r w:rsidRPr="00E25025">
        <w:rPr>
          <w:lang w:val="en-GB"/>
        </w:rPr>
        <w:t xml:space="preserve"> </w:t>
      </w:r>
      <w:r w:rsidRPr="00E25025">
        <w:rPr>
          <w:lang w:val="en-GB"/>
        </w:rPr>
        <w:fldChar w:fldCharType="begin" w:fldLock="1"/>
      </w:r>
      <w:r>
        <w:rPr>
          <w:lang w:val="en-GB"/>
        </w:rPr>
        <w:instrText>ADDIN CSL_CITATION {"citationItems":[{"id":"ITEM-1","itemData":{"DOI":"10.1016/j.jiec.2019.06.035","ISSN":"22345957","abstract":"An environmental friendly photocatalyst, goethite in the presence of H2O2, was used to remove Cefradine from aqueous solution. Four factors were examined using Box–Behnken Design and results were analyzed by response surface method. H2O2 concentration had the largest effect on Cefradine removal and the optimal reaction conditions were: H2O2 concentration, 4 mmol/L; solution pH, 5; goethite dosage, 1.2 g/L and illumination time, 9 h. Experimental data on Cefradine removal under optimal conditions closely coincided with model predictions, validating the model. Hydroxyl radicals (•OH) and superoxide anion were involved in the Cefradine photodegradation process and that •OH makes the larger contribution.","author":[{"dropping-particle":"","family":"Li","given":"Ruiping","non-dropping-particle":"","parse-names":false,"suffix":""},{"dropping-particle":"","family":"Hong","given":"Shaoming","non-dropping-particle":"","parse-names":false,"suffix":""},{"dropping-particle":"","family":"Li","given":"Xiaocong","non-dropping-particle":"","parse-names":false,"suffix":""},{"dropping-particle":"","family":"Zhang","given":"Bin","non-dropping-particle":"","parse-names":false,"suffix":""},{"dropping-particle":"","family":"Tian","given":"Hailin","non-dropping-particle":"","parse-names":false,"suffix":""},{"dropping-particle":"","family":"Huang","given":"Yingping","non-dropping-particle":"","parse-names":false,"suffix":""}],"container-title":"Journal of Industrial and Engineering Chemistry","id":"ITEM-1","issued":{"date-parts":[["2019"]]},"page":"90-96","publisher":"The Korean Society of Industrial and Engineering Chemistry","title":"Optimization of photocatalytic degradation of Cefradine using a “green” goethite/H2O2 system","type":"article-journal","volume":"78"},"uris":["http://www.mendeley.com/documents/?uuid=3111cd53-c222-4941-8346-aa7b375373f1"]}],"mendeley":{"formattedCitation":"(Li et al. 2019)","plainTextFormattedCitation":"(Li et al. 2019)","previouslyFormattedCitation":"(Li et al. 2019)"},"properties":{"noteIndex":0},"schema":"https://github.com/citation-style-language/schema/raw/master/csl-citation.json"}</w:instrText>
      </w:r>
      <w:r w:rsidRPr="00E25025">
        <w:rPr>
          <w:lang w:val="en-GB"/>
        </w:rPr>
        <w:fldChar w:fldCharType="separate"/>
      </w:r>
      <w:r w:rsidRPr="00E25025">
        <w:rPr>
          <w:noProof/>
          <w:lang w:val="en-GB"/>
        </w:rPr>
        <w:t>(Li et al. 2019)</w:t>
      </w:r>
      <w:r w:rsidRPr="00E25025">
        <w:rPr>
          <w:lang w:val="en-GB"/>
        </w:rPr>
        <w:fldChar w:fldCharType="end"/>
      </w:r>
      <w:r>
        <w:rPr>
          <w:lang w:val="en-GB"/>
        </w:rPr>
        <w:t>. Actual versus predicted values and normal probability plot is depicted on Fig</w:t>
      </w:r>
      <w:r w:rsidR="006C7C84">
        <w:rPr>
          <w:lang w:val="en-GB"/>
        </w:rPr>
        <w:t xml:space="preserve">ure 1. </w:t>
      </w:r>
    </w:p>
    <w:p w14:paraId="7D2D6166" w14:textId="77777777" w:rsidR="006C7C84" w:rsidRDefault="006C7C84" w:rsidP="006C7C84">
      <w:pPr>
        <w:pStyle w:val="CETBodytex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3"/>
        <w:gridCol w:w="4414"/>
      </w:tblGrid>
      <w:tr w:rsidR="007C2BD9" w14:paraId="5BF8ECA1" w14:textId="77777777" w:rsidTr="007C2BD9">
        <w:tc>
          <w:tcPr>
            <w:tcW w:w="4501" w:type="dxa"/>
          </w:tcPr>
          <w:p w14:paraId="011EB8FE" w14:textId="77A6E201" w:rsidR="006F44DB" w:rsidRDefault="006F44DB" w:rsidP="006F07A8">
            <w:pPr>
              <w:spacing w:line="276" w:lineRule="auto"/>
              <w:ind w:right="43"/>
              <w:rPr>
                <w:rFonts w:eastAsia="MS PGothic"/>
                <w:sz w:val="22"/>
                <w:szCs w:val="22"/>
              </w:rPr>
            </w:pPr>
            <w:r w:rsidRPr="006F44DB">
              <w:rPr>
                <w:rFonts w:eastAsia="MS PGothic"/>
                <w:noProof/>
                <w:sz w:val="22"/>
                <w:szCs w:val="22"/>
                <w:lang w:val="en-US"/>
              </w:rPr>
              <w:drawing>
                <wp:inline distT="0" distB="0" distL="0" distR="0" wp14:anchorId="5A9410FA" wp14:editId="18E8A95D">
                  <wp:extent cx="2598420" cy="2598420"/>
                  <wp:effectExtent l="0" t="0" r="0" b="0"/>
                  <wp:docPr id="12" name="Picture 12" descr="C:\Users\YK\Pictures\E2DT\Fig 1a 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K\Pictures\E2DT\Fig 1a PS.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p>
        </w:tc>
        <w:tc>
          <w:tcPr>
            <w:tcW w:w="4502" w:type="dxa"/>
          </w:tcPr>
          <w:p w14:paraId="12AB9828" w14:textId="57A2EB87" w:rsidR="006F44DB" w:rsidRDefault="007C2BD9" w:rsidP="006F07A8">
            <w:pPr>
              <w:spacing w:line="276" w:lineRule="auto"/>
              <w:ind w:right="43"/>
              <w:rPr>
                <w:rFonts w:eastAsia="MS PGothic"/>
                <w:sz w:val="22"/>
                <w:szCs w:val="22"/>
              </w:rPr>
            </w:pPr>
            <w:r w:rsidRPr="007C2BD9">
              <w:rPr>
                <w:rFonts w:eastAsia="MS PGothic"/>
                <w:noProof/>
                <w:sz w:val="22"/>
                <w:szCs w:val="22"/>
                <w:lang w:val="en-US"/>
              </w:rPr>
              <w:drawing>
                <wp:inline distT="0" distB="0" distL="0" distR="0" wp14:anchorId="22C7BE37" wp14:editId="122A86F4">
                  <wp:extent cx="2621280" cy="2621280"/>
                  <wp:effectExtent l="0" t="0" r="7620" b="7620"/>
                  <wp:docPr id="13" name="Picture 13" descr="C:\Users\YK\Pictures\E2DT\Fig 1b 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K\Pictures\E2DT\Fig 1b PS.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280" cy="2621280"/>
                          </a:xfrm>
                          <a:prstGeom prst="rect">
                            <a:avLst/>
                          </a:prstGeom>
                          <a:noFill/>
                          <a:ln>
                            <a:noFill/>
                          </a:ln>
                        </pic:spPr>
                      </pic:pic>
                    </a:graphicData>
                  </a:graphic>
                </wp:inline>
              </w:drawing>
            </w:r>
          </w:p>
        </w:tc>
      </w:tr>
    </w:tbl>
    <w:p w14:paraId="12BC03A1" w14:textId="559F0BB1" w:rsidR="00B26A9A" w:rsidRDefault="00B26A9A" w:rsidP="006F44DB">
      <w:pPr>
        <w:pStyle w:val="CETBodytext"/>
        <w:rPr>
          <w:lang w:val="en-GB"/>
        </w:rPr>
      </w:pPr>
    </w:p>
    <w:p w14:paraId="46EAE166" w14:textId="1F04CCEC" w:rsidR="00F81708" w:rsidRPr="00D22EE4" w:rsidRDefault="00F81708" w:rsidP="00F81708">
      <w:pPr>
        <w:pStyle w:val="CETBodytext"/>
        <w:rPr>
          <w:i/>
          <w:lang w:val="en-GB"/>
        </w:rPr>
      </w:pPr>
      <w:r w:rsidRPr="00D22EE4">
        <w:rPr>
          <w:i/>
          <w:lang w:val="en-GB"/>
        </w:rPr>
        <w:t>Figure 1</w:t>
      </w:r>
      <w:r w:rsidR="001C6E05" w:rsidRPr="00D22EE4">
        <w:rPr>
          <w:i/>
          <w:lang w:val="en-GB"/>
        </w:rPr>
        <w:t>:</w:t>
      </w:r>
      <w:r w:rsidRPr="00D22EE4">
        <w:rPr>
          <w:i/>
          <w:lang w:val="en-GB"/>
        </w:rPr>
        <w:t xml:space="preserve"> </w:t>
      </w:r>
      <w:r w:rsidR="00D77548" w:rsidRPr="00D22EE4">
        <w:rPr>
          <w:i/>
          <w:lang w:val="en-GB"/>
        </w:rPr>
        <w:t xml:space="preserve">a) </w:t>
      </w:r>
      <w:r w:rsidR="00A75808" w:rsidRPr="00D22EE4">
        <w:rPr>
          <w:i/>
          <w:lang w:val="en-GB"/>
        </w:rPr>
        <w:t>Predicted vs. actual</w:t>
      </w:r>
      <w:r w:rsidR="006362E0">
        <w:rPr>
          <w:i/>
          <w:lang w:val="en-GB"/>
        </w:rPr>
        <w:t xml:space="preserve"> removal </w:t>
      </w:r>
      <w:r w:rsidR="00A75808" w:rsidRPr="00D22EE4">
        <w:rPr>
          <w:i/>
          <w:lang w:val="en-GB"/>
        </w:rPr>
        <w:t>values</w:t>
      </w:r>
      <w:r w:rsidR="006362E0">
        <w:rPr>
          <w:i/>
          <w:lang w:val="en-GB"/>
        </w:rPr>
        <w:t xml:space="preserve"> (%)</w:t>
      </w:r>
      <w:r w:rsidR="00A75808" w:rsidRPr="00D22EE4">
        <w:rPr>
          <w:i/>
          <w:lang w:val="en-GB"/>
        </w:rPr>
        <w:t xml:space="preserve">, </w:t>
      </w:r>
      <w:r w:rsidRPr="00D22EE4">
        <w:rPr>
          <w:i/>
          <w:lang w:val="en-GB"/>
        </w:rPr>
        <w:t xml:space="preserve">and </w:t>
      </w:r>
      <w:r w:rsidR="00D77548" w:rsidRPr="00D22EE4">
        <w:rPr>
          <w:i/>
          <w:lang w:val="en-GB"/>
        </w:rPr>
        <w:t xml:space="preserve">b) </w:t>
      </w:r>
      <w:r w:rsidR="00A75808" w:rsidRPr="00D22EE4">
        <w:rPr>
          <w:i/>
          <w:lang w:val="en-GB"/>
        </w:rPr>
        <w:t xml:space="preserve">normal probability vs. </w:t>
      </w:r>
      <w:r w:rsidR="001C6E05" w:rsidRPr="00D22EE4">
        <w:rPr>
          <w:i/>
          <w:lang w:val="en-GB"/>
        </w:rPr>
        <w:t>externally</w:t>
      </w:r>
      <w:r w:rsidR="00A75808" w:rsidRPr="00D22EE4">
        <w:rPr>
          <w:i/>
          <w:lang w:val="en-GB"/>
        </w:rPr>
        <w:t xml:space="preserve"> studentized residuals values</w:t>
      </w:r>
      <w:r w:rsidR="00D77548" w:rsidRPr="00D22EE4">
        <w:rPr>
          <w:i/>
          <w:lang w:val="en-GB"/>
        </w:rPr>
        <w:t>.</w:t>
      </w:r>
    </w:p>
    <w:p w14:paraId="6F728979" w14:textId="77777777" w:rsidR="00FC6EFC" w:rsidRPr="00D22EE4" w:rsidRDefault="00FC6EFC" w:rsidP="00F81708">
      <w:pPr>
        <w:pStyle w:val="CETBodytext"/>
        <w:rPr>
          <w:i/>
          <w:lang w:val="en-GB"/>
        </w:rPr>
      </w:pPr>
    </w:p>
    <w:p w14:paraId="7C031154" w14:textId="4398EEE3" w:rsidR="00D77548" w:rsidRDefault="006C7C84" w:rsidP="00F81708">
      <w:pPr>
        <w:pStyle w:val="CETBodytext"/>
        <w:rPr>
          <w:lang w:val="en-GB"/>
        </w:rPr>
      </w:pPr>
      <w:r w:rsidRPr="006C7C84">
        <w:rPr>
          <w:lang w:val="en-GB"/>
        </w:rPr>
        <w:t>Figure 1a shows good correlation between the</w:t>
      </w:r>
      <w:r w:rsidR="006362E0">
        <w:rPr>
          <w:lang w:val="en-GB"/>
        </w:rPr>
        <w:tab/>
      </w:r>
      <w:r w:rsidRPr="006C7C84">
        <w:rPr>
          <w:lang w:val="en-GB"/>
        </w:rPr>
        <w:t xml:space="preserve"> predicted and actual </w:t>
      </w:r>
      <w:r w:rsidR="006362E0">
        <w:rPr>
          <w:lang w:val="en-GB"/>
        </w:rPr>
        <w:t xml:space="preserve">removal </w:t>
      </w:r>
      <w:r w:rsidRPr="006C7C84">
        <w:rPr>
          <w:lang w:val="en-GB"/>
        </w:rPr>
        <w:t>values</w:t>
      </w:r>
      <w:r w:rsidR="006362E0">
        <w:rPr>
          <w:lang w:val="en-GB"/>
        </w:rPr>
        <w:t xml:space="preserve"> (%)</w:t>
      </w:r>
      <w:r w:rsidRPr="006C7C84">
        <w:rPr>
          <w:lang w:val="en-GB"/>
        </w:rPr>
        <w:t>. Fig 1b implies that the residuals follow the normal distribution.</w:t>
      </w:r>
      <w:r>
        <w:rPr>
          <w:lang w:val="en-GB"/>
        </w:rPr>
        <w:t xml:space="preserve"> As the model has been identified as the significant, Pareto analysis has been conducted to find the significant factors (Figure 2).</w:t>
      </w:r>
    </w:p>
    <w:p w14:paraId="77F0F8FC" w14:textId="77777777" w:rsidR="004E3E16" w:rsidRPr="006C7C84" w:rsidRDefault="004E3E16" w:rsidP="00F81708">
      <w:pPr>
        <w:pStyle w:val="CETBodytext"/>
        <w:rPr>
          <w:lang w:val="en-GB"/>
        </w:rPr>
      </w:pPr>
    </w:p>
    <w:p w14:paraId="473F9EF1" w14:textId="6EAC0BB7" w:rsidR="00541A0B" w:rsidRPr="00857D6A" w:rsidRDefault="005D1B90" w:rsidP="00541A0B">
      <w:pPr>
        <w:pStyle w:val="CETBodytext"/>
        <w:jc w:val="center"/>
        <w:rPr>
          <w:highlight w:val="yellow"/>
          <w:lang w:val="en-GB"/>
        </w:rPr>
      </w:pPr>
      <w:r w:rsidRPr="005D1B90">
        <w:rPr>
          <w:noProof/>
        </w:rPr>
        <w:drawing>
          <wp:inline distT="0" distB="0" distL="0" distR="0" wp14:anchorId="594A5FEB" wp14:editId="56D70FC9">
            <wp:extent cx="320040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0400" cy="2133600"/>
                    </a:xfrm>
                    <a:prstGeom prst="rect">
                      <a:avLst/>
                    </a:prstGeom>
                  </pic:spPr>
                </pic:pic>
              </a:graphicData>
            </a:graphic>
          </wp:inline>
        </w:drawing>
      </w:r>
    </w:p>
    <w:p w14:paraId="6EC152BF" w14:textId="61D5275D" w:rsidR="00541A0B" w:rsidRPr="00D22EE4" w:rsidRDefault="00AD2F95" w:rsidP="00541A0B">
      <w:pPr>
        <w:pStyle w:val="CETBodytext"/>
        <w:rPr>
          <w:i/>
          <w:lang w:val="en-GB"/>
        </w:rPr>
      </w:pPr>
      <w:r w:rsidRPr="00D22EE4">
        <w:rPr>
          <w:i/>
          <w:lang w:val="en-GB"/>
        </w:rPr>
        <w:t xml:space="preserve">Figure </w:t>
      </w:r>
      <w:r w:rsidR="00490A9A" w:rsidRPr="00D22EE4">
        <w:rPr>
          <w:i/>
          <w:lang w:val="en-GB"/>
        </w:rPr>
        <w:t>2</w:t>
      </w:r>
      <w:r w:rsidR="001C6E05" w:rsidRPr="00D22EE4">
        <w:rPr>
          <w:i/>
          <w:lang w:val="en-GB"/>
        </w:rPr>
        <w:t>:</w:t>
      </w:r>
      <w:r w:rsidR="00541A0B" w:rsidRPr="00D22EE4">
        <w:rPr>
          <w:i/>
          <w:lang w:val="en-GB"/>
        </w:rPr>
        <w:t xml:space="preserve"> Pareto graphic analysis for photo-Fenton-like oxidation of the synthetic wastewater.</w:t>
      </w:r>
    </w:p>
    <w:p w14:paraId="42300514" w14:textId="77777777" w:rsidR="00541A0B" w:rsidRDefault="00541A0B" w:rsidP="00F81708">
      <w:pPr>
        <w:pStyle w:val="CETBodytext"/>
        <w:rPr>
          <w:highlight w:val="yellow"/>
          <w:lang w:val="en-GB"/>
        </w:rPr>
      </w:pPr>
    </w:p>
    <w:p w14:paraId="7018B67A" w14:textId="38004F7A" w:rsidR="00A85C75" w:rsidRDefault="004E3E16" w:rsidP="00F81708">
      <w:pPr>
        <w:pStyle w:val="CETBodytext"/>
        <w:rPr>
          <w:lang w:val="en-GB"/>
        </w:rPr>
      </w:pPr>
      <w:r w:rsidRPr="005E67DF">
        <w:rPr>
          <w:lang w:val="en-GB"/>
        </w:rPr>
        <w:t>Pareto analysis revealed that ammonium persulfate was more efficient sulfate radical source followed by sodium persulfate</w:t>
      </w:r>
      <w:r w:rsidR="00A31B43" w:rsidRPr="005E67DF">
        <w:rPr>
          <w:lang w:val="en-GB"/>
        </w:rPr>
        <w:t xml:space="preserve"> and potassium persulfate</w:t>
      </w:r>
      <w:r w:rsidRPr="005E67DF">
        <w:rPr>
          <w:lang w:val="en-GB"/>
        </w:rPr>
        <w:t>.</w:t>
      </w:r>
      <w:r w:rsidR="005841E3" w:rsidRPr="005E67DF">
        <w:rPr>
          <w:lang w:val="en-GB"/>
        </w:rPr>
        <w:t xml:space="preserve"> </w:t>
      </w:r>
    </w:p>
    <w:p w14:paraId="6E790A50" w14:textId="4D2AE128" w:rsidR="00F81708" w:rsidRPr="005841E3" w:rsidRDefault="005E67DF" w:rsidP="00D77548">
      <w:pPr>
        <w:pStyle w:val="CETHeading1"/>
        <w:numPr>
          <w:ilvl w:val="1"/>
          <w:numId w:val="22"/>
        </w:numPr>
        <w:rPr>
          <w:lang w:val="en-GB"/>
        </w:rPr>
      </w:pPr>
      <w:r>
        <w:rPr>
          <w:lang w:val="en-GB"/>
        </w:rPr>
        <w:t xml:space="preserve">Visualisation and validation of the </w:t>
      </w:r>
      <w:r w:rsidR="00C4569B" w:rsidRPr="005841E3">
        <w:rPr>
          <w:lang w:val="en-GB"/>
        </w:rPr>
        <w:t>RSM regression m</w:t>
      </w:r>
      <w:r w:rsidR="00D77548" w:rsidRPr="005841E3">
        <w:rPr>
          <w:lang w:val="en-GB"/>
        </w:rPr>
        <w:t>odel</w:t>
      </w:r>
    </w:p>
    <w:p w14:paraId="3F3B66EF" w14:textId="2E9E7598" w:rsidR="00F81708" w:rsidRDefault="005E67DF" w:rsidP="00883060">
      <w:pPr>
        <w:ind w:right="43"/>
        <w:rPr>
          <w:rFonts w:eastAsia="MS PGothic"/>
          <w:szCs w:val="18"/>
        </w:rPr>
      </w:pPr>
      <w:r w:rsidRPr="008524AC">
        <w:rPr>
          <w:rFonts w:eastAsia="MS PGothic"/>
          <w:szCs w:val="18"/>
        </w:rPr>
        <w:t xml:space="preserve">3D plots of the </w:t>
      </w:r>
      <w:r w:rsidR="008524AC" w:rsidRPr="008524AC">
        <w:rPr>
          <w:rFonts w:eastAsia="MS PGothic"/>
          <w:szCs w:val="18"/>
        </w:rPr>
        <w:t>RSM-BBD</w:t>
      </w:r>
      <w:r w:rsidRPr="008524AC">
        <w:rPr>
          <w:rFonts w:eastAsia="MS PGothic"/>
          <w:szCs w:val="18"/>
        </w:rPr>
        <w:t xml:space="preserve"> model based on </w:t>
      </w:r>
      <w:r w:rsidR="008524AC" w:rsidRPr="008524AC">
        <w:rPr>
          <w:rFonts w:eastAsia="MS PGothic"/>
          <w:szCs w:val="18"/>
        </w:rPr>
        <w:t xml:space="preserve">the results of </w:t>
      </w:r>
      <w:r w:rsidR="00F81708" w:rsidRPr="008524AC">
        <w:rPr>
          <w:rFonts w:eastAsia="MS PGothic"/>
          <w:szCs w:val="18"/>
        </w:rPr>
        <w:t>15 experiments</w:t>
      </w:r>
      <w:r w:rsidR="008524AC" w:rsidRPr="008524AC">
        <w:rPr>
          <w:rFonts w:eastAsia="MS PGothic"/>
          <w:szCs w:val="18"/>
        </w:rPr>
        <w:t xml:space="preserve"> are demonstrated in Figure 3</w:t>
      </w:r>
      <w:r w:rsidR="00F81708" w:rsidRPr="008524AC">
        <w:rPr>
          <w:rFonts w:eastAsia="MS PGothic"/>
          <w:szCs w:val="18"/>
        </w:rPr>
        <w:t>.</w:t>
      </w:r>
    </w:p>
    <w:p w14:paraId="382989C7" w14:textId="77777777" w:rsidR="001C6E05" w:rsidRPr="00883060" w:rsidRDefault="001C6E05" w:rsidP="00883060">
      <w:pPr>
        <w:ind w:right="43"/>
        <w:rPr>
          <w:rFonts w:eastAsia="MS PGothic"/>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421"/>
      </w:tblGrid>
      <w:tr w:rsidR="00876D4E" w14:paraId="33D1CC88" w14:textId="77777777" w:rsidTr="002F5334">
        <w:tc>
          <w:tcPr>
            <w:tcW w:w="4502" w:type="dxa"/>
          </w:tcPr>
          <w:p w14:paraId="54D531BF" w14:textId="63310EB0" w:rsidR="00850363" w:rsidRDefault="003009B1" w:rsidP="00025113">
            <w:pPr>
              <w:spacing w:line="276" w:lineRule="auto"/>
              <w:ind w:right="43"/>
              <w:rPr>
                <w:rFonts w:eastAsia="MS PGothic"/>
                <w:sz w:val="22"/>
                <w:szCs w:val="22"/>
              </w:rPr>
            </w:pPr>
            <w:r w:rsidRPr="003009B1">
              <w:rPr>
                <w:rFonts w:eastAsia="MS PGothic"/>
                <w:noProof/>
                <w:sz w:val="22"/>
                <w:szCs w:val="22"/>
                <w:lang w:val="en-US"/>
              </w:rPr>
              <w:lastRenderedPageBreak/>
              <w:drawing>
                <wp:inline distT="0" distB="0" distL="0" distR="0" wp14:anchorId="1C1D0B48" wp14:editId="68C5D62E">
                  <wp:extent cx="2688336" cy="2240280"/>
                  <wp:effectExtent l="0" t="0" r="0" b="7620"/>
                  <wp:docPr id="14" name="Picture 14" descr="C:\Users\YK\Pictures\E2DT\Fig 3a 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K\Pictures\E2DT\Fig 3a PS.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8336" cy="2240280"/>
                          </a:xfrm>
                          <a:prstGeom prst="rect">
                            <a:avLst/>
                          </a:prstGeom>
                          <a:noFill/>
                          <a:ln>
                            <a:noFill/>
                          </a:ln>
                        </pic:spPr>
                      </pic:pic>
                    </a:graphicData>
                  </a:graphic>
                </wp:inline>
              </w:drawing>
            </w:r>
          </w:p>
        </w:tc>
        <w:tc>
          <w:tcPr>
            <w:tcW w:w="4501" w:type="dxa"/>
          </w:tcPr>
          <w:p w14:paraId="11E25B35" w14:textId="64B4EA7F" w:rsidR="00850363" w:rsidRDefault="003009B1" w:rsidP="00025113">
            <w:pPr>
              <w:spacing w:line="276" w:lineRule="auto"/>
              <w:ind w:right="43"/>
              <w:rPr>
                <w:rFonts w:eastAsia="MS PGothic"/>
                <w:sz w:val="22"/>
                <w:szCs w:val="22"/>
              </w:rPr>
            </w:pPr>
            <w:r w:rsidRPr="003009B1">
              <w:rPr>
                <w:rFonts w:eastAsia="MS PGothic"/>
                <w:noProof/>
                <w:sz w:val="22"/>
                <w:szCs w:val="22"/>
                <w:lang w:val="en-US"/>
              </w:rPr>
              <w:drawing>
                <wp:inline distT="0" distB="0" distL="0" distR="0" wp14:anchorId="7263C6C1" wp14:editId="3BBCAA83">
                  <wp:extent cx="2720340" cy="2266952"/>
                  <wp:effectExtent l="0" t="0" r="3810" b="0"/>
                  <wp:docPr id="15" name="Picture 15" descr="C:\Users\YK\Pictures\E2DT\Fig 3b 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K\Pictures\E2DT\Fig 3b PS.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3264" cy="2269389"/>
                          </a:xfrm>
                          <a:prstGeom prst="rect">
                            <a:avLst/>
                          </a:prstGeom>
                          <a:noFill/>
                          <a:ln>
                            <a:noFill/>
                          </a:ln>
                        </pic:spPr>
                      </pic:pic>
                    </a:graphicData>
                  </a:graphic>
                </wp:inline>
              </w:drawing>
            </w:r>
          </w:p>
        </w:tc>
      </w:tr>
      <w:tr w:rsidR="00850363" w14:paraId="587C895E" w14:textId="77777777" w:rsidTr="002F5334">
        <w:tc>
          <w:tcPr>
            <w:tcW w:w="9003" w:type="dxa"/>
            <w:gridSpan w:val="2"/>
          </w:tcPr>
          <w:p w14:paraId="2BBBA382" w14:textId="67BE0C55" w:rsidR="00850363" w:rsidRDefault="002F5334" w:rsidP="004A5CA5">
            <w:pPr>
              <w:spacing w:line="276" w:lineRule="auto"/>
              <w:ind w:right="43"/>
              <w:jc w:val="center"/>
              <w:rPr>
                <w:rFonts w:eastAsia="MS PGothic"/>
                <w:sz w:val="22"/>
                <w:szCs w:val="22"/>
              </w:rPr>
            </w:pPr>
            <w:r w:rsidRPr="002F5334">
              <w:rPr>
                <w:rFonts w:eastAsia="MS PGothic"/>
                <w:noProof/>
                <w:sz w:val="22"/>
                <w:szCs w:val="22"/>
                <w:lang w:val="en-US"/>
              </w:rPr>
              <w:drawing>
                <wp:inline distT="0" distB="0" distL="0" distR="0" wp14:anchorId="40B5CFB1" wp14:editId="0450267F">
                  <wp:extent cx="2689860" cy="2241550"/>
                  <wp:effectExtent l="0" t="0" r="0" b="6350"/>
                  <wp:docPr id="19" name="Picture 19" descr="C:\Users\YK\Pictures\E2DT\Fig 3c 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K\Pictures\E2DT\Fig 3c PS.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9860" cy="2241550"/>
                          </a:xfrm>
                          <a:prstGeom prst="rect">
                            <a:avLst/>
                          </a:prstGeom>
                          <a:noFill/>
                          <a:ln>
                            <a:noFill/>
                          </a:ln>
                        </pic:spPr>
                      </pic:pic>
                    </a:graphicData>
                  </a:graphic>
                </wp:inline>
              </w:drawing>
            </w:r>
          </w:p>
        </w:tc>
      </w:tr>
    </w:tbl>
    <w:p w14:paraId="0DE1EE2D" w14:textId="3792688B" w:rsidR="00090844" w:rsidRDefault="00850363" w:rsidP="00025113">
      <w:pPr>
        <w:spacing w:line="276" w:lineRule="auto"/>
        <w:ind w:right="45"/>
        <w:rPr>
          <w:noProof/>
          <w:snapToGrid w:val="0"/>
          <w:color w:val="000000"/>
          <w:w w:val="0"/>
          <w:sz w:val="0"/>
          <w:szCs w:val="0"/>
          <w:u w:color="000000"/>
          <w:bdr w:val="none" w:sz="0" w:space="0" w:color="000000"/>
          <w:shd w:val="clear" w:color="000000" w:fill="000000"/>
          <w:lang w:val="en-US"/>
        </w:rPr>
      </w:pPr>
      <w:r w:rsidRPr="0085036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81708" w:rsidRPr="00AA329C">
        <w:rPr>
          <w:snapToGrid w:val="0"/>
          <w:color w:val="000000"/>
          <w:w w:val="0"/>
          <w:sz w:val="0"/>
          <w:szCs w:val="0"/>
          <w:u w:color="000000"/>
          <w:bdr w:val="none" w:sz="0" w:space="0" w:color="000000"/>
          <w:shd w:val="clear" w:color="000000" w:fill="000000"/>
          <w:lang w:val="x-none" w:eastAsia="x-none" w:bidi="x-none"/>
        </w:rPr>
        <w:t xml:space="preserve"> </w:t>
      </w:r>
    </w:p>
    <w:p w14:paraId="4DF00FB7" w14:textId="4602BBCF" w:rsidR="00F81708" w:rsidRPr="00D22EE4" w:rsidRDefault="00F81708" w:rsidP="002E6AFE">
      <w:pPr>
        <w:pStyle w:val="CETBodytext"/>
        <w:rPr>
          <w:rFonts w:eastAsia="MS PGothic"/>
          <w:i/>
          <w:szCs w:val="18"/>
        </w:rPr>
      </w:pPr>
      <w:r w:rsidRPr="00D22EE4">
        <w:rPr>
          <w:i/>
          <w:snapToGrid w:val="0"/>
          <w:color w:val="000000"/>
          <w:w w:val="0"/>
          <w:sz w:val="0"/>
          <w:szCs w:val="0"/>
          <w:u w:color="000000"/>
          <w:bdr w:val="none" w:sz="0" w:space="0" w:color="000000"/>
          <w:shd w:val="clear" w:color="000000" w:fill="000000"/>
          <w:lang w:val="x-none" w:eastAsia="x-none" w:bidi="x-none"/>
        </w:rPr>
        <w:t xml:space="preserve"> </w:t>
      </w:r>
      <w:r w:rsidR="00090844" w:rsidRPr="00D22EE4">
        <w:rPr>
          <w:i/>
          <w:snapToGrid w:val="0"/>
          <w:color w:val="000000"/>
          <w:w w:val="0"/>
          <w:sz w:val="0"/>
          <w:szCs w:val="0"/>
          <w:u w:color="000000"/>
          <w:bdr w:val="none" w:sz="0" w:space="0" w:color="000000"/>
          <w:shd w:val="clear" w:color="000000" w:fill="000000"/>
          <w:lang w:eastAsia="x-none" w:bidi="x-none"/>
        </w:rPr>
        <w:t>\</w:t>
      </w:r>
      <w:r w:rsidR="001C6E05" w:rsidRPr="00D22EE4">
        <w:rPr>
          <w:i/>
          <w:lang w:val="en-GB"/>
        </w:rPr>
        <w:t>Figure 3:</w:t>
      </w:r>
      <w:r w:rsidR="002E6AFE" w:rsidRPr="00D22EE4">
        <w:rPr>
          <w:i/>
          <w:lang w:val="en-GB"/>
        </w:rPr>
        <w:t xml:space="preserve"> </w:t>
      </w:r>
      <w:r w:rsidRPr="00D22EE4">
        <w:rPr>
          <w:rFonts w:eastAsia="MS PGothic"/>
          <w:i/>
          <w:szCs w:val="18"/>
        </w:rPr>
        <w:t xml:space="preserve">3D plots of </w:t>
      </w:r>
      <w:r w:rsidR="006C7C84" w:rsidRPr="00D22EE4">
        <w:rPr>
          <w:rFonts w:eastAsia="MS PGothic"/>
          <w:i/>
          <w:szCs w:val="18"/>
        </w:rPr>
        <w:t>TOC removal as a function: (a</w:t>
      </w:r>
      <w:r w:rsidRPr="00D22EE4">
        <w:rPr>
          <w:rFonts w:eastAsia="MS PGothic"/>
          <w:i/>
          <w:szCs w:val="18"/>
        </w:rPr>
        <w:t xml:space="preserve">) </w:t>
      </w:r>
      <w:r w:rsidR="002E6AFE" w:rsidRPr="00D22EE4">
        <w:rPr>
          <w:rFonts w:eastAsia="MS PGothic"/>
          <w:i/>
          <w:szCs w:val="18"/>
        </w:rPr>
        <w:t>NH</w:t>
      </w:r>
      <w:r w:rsidR="002E6AFE" w:rsidRPr="005F1C11">
        <w:rPr>
          <w:rFonts w:eastAsia="MS PGothic"/>
          <w:i/>
          <w:szCs w:val="18"/>
          <w:vertAlign w:val="subscript"/>
        </w:rPr>
        <w:t>4</w:t>
      </w:r>
      <w:r w:rsidR="002E6AFE" w:rsidRPr="00D22EE4">
        <w:rPr>
          <w:rFonts w:eastAsia="MS PGothic"/>
          <w:i/>
          <w:szCs w:val="18"/>
        </w:rPr>
        <w:t>PS (mM) and Na</w:t>
      </w:r>
      <w:r w:rsidR="006C7C84" w:rsidRPr="00D22EE4">
        <w:rPr>
          <w:rFonts w:eastAsia="MS PGothic"/>
          <w:i/>
          <w:szCs w:val="18"/>
        </w:rPr>
        <w:t>PS (mM)</w:t>
      </w:r>
      <w:r w:rsidRPr="00D22EE4">
        <w:rPr>
          <w:rFonts w:eastAsia="MS PGothic"/>
          <w:i/>
          <w:szCs w:val="18"/>
        </w:rPr>
        <w:t>, (</w:t>
      </w:r>
      <w:r w:rsidR="006C7C84" w:rsidRPr="00D22EE4">
        <w:rPr>
          <w:rFonts w:eastAsia="MS PGothic"/>
          <w:i/>
          <w:szCs w:val="18"/>
        </w:rPr>
        <w:t>b</w:t>
      </w:r>
      <w:r w:rsidRPr="00D22EE4">
        <w:rPr>
          <w:rFonts w:eastAsia="MS PGothic"/>
          <w:i/>
          <w:szCs w:val="18"/>
        </w:rPr>
        <w:t xml:space="preserve">) </w:t>
      </w:r>
      <w:r w:rsidR="002E6AFE" w:rsidRPr="00D22EE4">
        <w:rPr>
          <w:rFonts w:eastAsia="MS PGothic"/>
          <w:i/>
          <w:szCs w:val="18"/>
        </w:rPr>
        <w:t>NH4PS (mM) and KPS (mM)</w:t>
      </w:r>
      <w:r w:rsidR="006C7C84" w:rsidRPr="00D22EE4">
        <w:rPr>
          <w:rFonts w:eastAsia="MS PGothic"/>
          <w:i/>
          <w:szCs w:val="18"/>
        </w:rPr>
        <w:t>, and, (c) KPS (mM) and NaPS (mM)</w:t>
      </w:r>
      <w:r w:rsidRPr="00D22EE4">
        <w:rPr>
          <w:rFonts w:eastAsia="MS PGothic"/>
          <w:i/>
          <w:szCs w:val="18"/>
        </w:rPr>
        <w:t>.</w:t>
      </w:r>
    </w:p>
    <w:p w14:paraId="3C1D896F" w14:textId="77777777" w:rsidR="00AA020B" w:rsidRPr="00AA329C" w:rsidRDefault="00AA020B" w:rsidP="00F81708">
      <w:pPr>
        <w:spacing w:line="276" w:lineRule="auto"/>
        <w:ind w:right="45" w:firstLineChars="100" w:firstLine="180"/>
        <w:jc w:val="center"/>
        <w:rPr>
          <w:rFonts w:eastAsia="MS PGothic"/>
          <w:szCs w:val="18"/>
          <w:lang w:eastAsia="ko-KR"/>
        </w:rPr>
      </w:pPr>
    </w:p>
    <w:p w14:paraId="3E92592C" w14:textId="77777777" w:rsidR="005F07ED" w:rsidRDefault="005F07ED" w:rsidP="005F07ED">
      <w:pPr>
        <w:ind w:right="43"/>
        <w:rPr>
          <w:rFonts w:eastAsia="Arial" w:cs="Arial"/>
          <w:szCs w:val="18"/>
        </w:rPr>
      </w:pPr>
      <w:r w:rsidRPr="005E67DF">
        <w:t>S</w:t>
      </w:r>
      <w:r>
        <w:t xml:space="preserve">ulfate radicals are less affected by scavenging agents, therefore, they are more efficient when dealing with complex wastewater </w:t>
      </w:r>
      <w:r>
        <w:fldChar w:fldCharType="begin" w:fldLock="1"/>
      </w:r>
      <w:r>
        <w:instrText>ADDIN CSL_CITATION {"citationItems":[{"id":"ITEM-1","itemData":{"DOI":"10.3303/CET2186100","ISBN":"9788895608846","author":[{"dropping-particle":"","family":"Kanafin","given":"Yerkanat N.","non-dropping-particle":"","parse-names":false,"suffix":""},{"dropping-particle":"","family":"Satayeva","given":"Aliya","non-dropping-particle":"","parse-names":false,"suffix":""},{"dropping-particle":"","family":"Arkhangelsky","given":"Elizabeth","non-dropping-particle":"","parse-names":false,"suffix":""},{"dropping-particle":"","family":"Poulopoulos","given":"Stavros G.","non-dropping-particle":"","parse-names":false,"suffix":""}],"container-title":"Chemical Engineering Transactions","id":"ITEM-1","issued":{"date-parts":[["2021"]]},"page":"595-600","title":"Treatment of a Biological Effluent Containing Metronidazole","type":"article-journal","volume":"86"},"uris":["http://www.mendeley.com/documents/?uuid=d603eec7-22dc-48bf-a7ad-1e9d94b241dc"]}],"mendeley":{"formattedCitation":"(Kanafin, Satayeva, et al. 2021)","plainTextFormattedCitation":"(Kanafin, Satayeva, et al. 2021)"},"properties":{"noteIndex":0},"schema":"https://github.com/citation-style-language/schema/raw/master/csl-citation.json"}</w:instrText>
      </w:r>
      <w:r>
        <w:fldChar w:fldCharType="separate"/>
      </w:r>
      <w:r w:rsidRPr="0069674D">
        <w:rPr>
          <w:noProof/>
        </w:rPr>
        <w:t>(Kanafin, Satayeva, et al. 2021)</w:t>
      </w:r>
      <w:r>
        <w:fldChar w:fldCharType="end"/>
      </w:r>
      <w:r>
        <w:t xml:space="preserve">. </w:t>
      </w:r>
      <w:r>
        <w:rPr>
          <w:rFonts w:eastAsia="MS PGothic"/>
          <w:szCs w:val="18"/>
        </w:rPr>
        <w:t>P</w:t>
      </w:r>
      <w:r w:rsidRPr="00C710CC">
        <w:rPr>
          <w:rFonts w:eastAsia="Arial" w:cs="Arial"/>
          <w:szCs w:val="18"/>
        </w:rPr>
        <w:t xml:space="preserve">reviously, potassium persulfate has been successfully applied for the treatment of the real municipal wastewater </w:t>
      </w:r>
      <w:r w:rsidRPr="00C710CC">
        <w:rPr>
          <w:rFonts w:eastAsia="Arial" w:cs="Arial"/>
          <w:szCs w:val="18"/>
        </w:rPr>
        <w:fldChar w:fldCharType="begin" w:fldLock="1"/>
      </w:r>
      <w:r>
        <w:rPr>
          <w:rFonts w:eastAsia="Arial" w:cs="Arial"/>
          <w:szCs w:val="18"/>
        </w:rPr>
        <w:instrText>ADDIN CSL_CITATION {"citationItems":[{"id":"ITEM-1","itemData":{"author":[{"dropping-particle":"","family":"Kanafin","given":"Yerkanat N.","non-dropping-particle":"","parse-names":false,"suffix":""},{"dropping-particle":"","family":"Makhatova","given":"Ardak","non-dropping-particle":"","parse-names":false,"suffix":""},{"dropping-particle":"","family":"Zarikas","given":"Vasilios","non-dropping-particle":"","parse-names":false,"suffix":""},{"dropping-particle":"","family":"Arkhangelsky","given":"Elizabeth","non-dropping-particle":"","parse-names":false,"suffix":""},{"dropping-particle":"","family":"Poulopoulos","given":"Stavros G","non-dropping-particle":"","parse-names":false,"suffix":""}],"container-title":"Catalysts","id":"ITEM-1","issue":"10","issued":{"date-parts":[["2021"]]},"page":"1206","title":"Photo-Fenton-like treatment of municipal wastewater","type":"article-journal","volume":"11"},"uris":["http://www.mendeley.com/documents/?uuid=83741abe-f343-4cd7-9e99-03bc6344dace"]}],"mendeley":{"formattedCitation":"(Kanafin, Makhatova, et al. 2021)","plainTextFormattedCitation":"(Kanafin, Makhatova, et al. 2021)","previouslyFormattedCitation":"(Kanafin, Makhatova, et al. 2021)"},"properties":{"noteIndex":0},"schema":"https://github.com/citation-style-language/schema/raw/master/csl-citation.json"}</w:instrText>
      </w:r>
      <w:r w:rsidRPr="00C710CC">
        <w:rPr>
          <w:rFonts w:eastAsia="Arial" w:cs="Arial"/>
          <w:szCs w:val="18"/>
        </w:rPr>
        <w:fldChar w:fldCharType="separate"/>
      </w:r>
      <w:r w:rsidRPr="006C7C84">
        <w:rPr>
          <w:rFonts w:eastAsia="Arial" w:cs="Arial"/>
          <w:noProof/>
          <w:szCs w:val="18"/>
        </w:rPr>
        <w:t>(Kanafin, Makhatova, et al. 2021)</w:t>
      </w:r>
      <w:r w:rsidRPr="00C710CC">
        <w:rPr>
          <w:rFonts w:eastAsia="Arial" w:cs="Arial"/>
          <w:szCs w:val="18"/>
        </w:rPr>
        <w:fldChar w:fldCharType="end"/>
      </w:r>
      <w:r w:rsidRPr="00C710CC">
        <w:rPr>
          <w:rFonts w:eastAsia="Arial" w:cs="Arial"/>
          <w:szCs w:val="18"/>
        </w:rPr>
        <w:t>. Complete mineralization of TOC has been achieved using potassium persulfate (30 mM) and Fe</w:t>
      </w:r>
      <w:r w:rsidRPr="008F01CB">
        <w:rPr>
          <w:rFonts w:eastAsia="Arial" w:cs="Arial"/>
          <w:szCs w:val="18"/>
          <w:vertAlign w:val="superscript"/>
        </w:rPr>
        <w:t>2+</w:t>
      </w:r>
      <w:r w:rsidRPr="00C710CC">
        <w:rPr>
          <w:rFonts w:eastAsia="Arial" w:cs="Arial"/>
          <w:szCs w:val="18"/>
        </w:rPr>
        <w:t xml:space="preserve"> (224 mg/L) at pH 7.7 under UVC </w:t>
      </w:r>
      <w:r w:rsidRPr="00C710CC">
        <w:rPr>
          <w:rFonts w:eastAsia="Arial" w:cs="Arial"/>
          <w:szCs w:val="18"/>
        </w:rPr>
        <w:fldChar w:fldCharType="begin" w:fldLock="1"/>
      </w:r>
      <w:r>
        <w:rPr>
          <w:rFonts w:eastAsia="Arial" w:cs="Arial"/>
          <w:szCs w:val="18"/>
        </w:rPr>
        <w:instrText>ADDIN CSL_CITATION {"citationItems":[{"id":"ITEM-1","itemData":{"author":[{"dropping-particle":"","family":"Kanafin","given":"Yerkanat N.","non-dropping-particle":"","parse-names":false,"suffix":""},{"dropping-particle":"","family":"Makhatova","given":"Ardak","non-dropping-particle":"","parse-names":false,"suffix":""},{"dropping-particle":"","family":"Zarikas","given":"Vasilios","non-dropping-particle":"","parse-names":false,"suffix":""},{"dropping-particle":"","family":"Arkhangelsky","given":"Elizabeth","non-dropping-particle":"","parse-names":false,"suffix":""},{"dropping-particle":"","family":"Poulopoulos","given":"Stavros G","non-dropping-particle":"","parse-names":false,"suffix":""}],"container-title":"Catalysts","id":"ITEM-1","issue":"10","issued":{"date-parts":[["2021"]]},"page":"1206","title":"Photo-Fenton-like treatment of municipal wastewater","type":"article-journal","volume":"11"},"uris":["http://www.mendeley.com/documents/?uuid=83741abe-f343-4cd7-9e99-03bc6344dace"]}],"mendeley":{"formattedCitation":"(Kanafin, Makhatova, et al. 2021)","plainTextFormattedCitation":"(Kanafin, Makhatova, et al. 2021)","previouslyFormattedCitation":"(Kanafin, Makhatova, et al. 2021)"},"properties":{"noteIndex":0},"schema":"https://github.com/citation-style-language/schema/raw/master/csl-citation.json"}</w:instrText>
      </w:r>
      <w:r w:rsidRPr="00C710CC">
        <w:rPr>
          <w:rFonts w:eastAsia="Arial" w:cs="Arial"/>
          <w:szCs w:val="18"/>
        </w:rPr>
        <w:fldChar w:fldCharType="separate"/>
      </w:r>
      <w:r w:rsidRPr="006C7C84">
        <w:rPr>
          <w:rFonts w:eastAsia="Arial" w:cs="Arial"/>
          <w:noProof/>
          <w:szCs w:val="18"/>
        </w:rPr>
        <w:t>(Kanafin, Makhatova, et al. 2021)</w:t>
      </w:r>
      <w:r w:rsidRPr="00C710CC">
        <w:rPr>
          <w:rFonts w:eastAsia="Arial" w:cs="Arial"/>
          <w:szCs w:val="18"/>
        </w:rPr>
        <w:fldChar w:fldCharType="end"/>
      </w:r>
      <w:r w:rsidRPr="00C710CC">
        <w:rPr>
          <w:rFonts w:eastAsia="Arial" w:cs="Arial"/>
          <w:szCs w:val="18"/>
        </w:rPr>
        <w:t xml:space="preserve">. </w:t>
      </w:r>
      <w:r w:rsidRPr="0069674D">
        <w:t xml:space="preserve">Ammonium persulfate </w:t>
      </w:r>
      <w:r w:rsidRPr="00C710CC">
        <w:rPr>
          <w:rFonts w:eastAsia="Arial" w:cs="Arial"/>
          <w:szCs w:val="18"/>
        </w:rPr>
        <w:t>has the lowest molecular mass and the highest water solubility (850 g/L)</w:t>
      </w:r>
      <w:r w:rsidRPr="0069674D">
        <w:t xml:space="preserve"> which gives it</w:t>
      </w:r>
      <w:r>
        <w:t>s</w:t>
      </w:r>
      <w:r w:rsidRPr="0069674D">
        <w:t xml:space="preserve"> edge at wastewater treatment at low temperature </w:t>
      </w:r>
      <w:r w:rsidRPr="0069674D">
        <w:fldChar w:fldCharType="begin" w:fldLock="1"/>
      </w:r>
      <w:r w:rsidRPr="0069674D">
        <w:instrText>ADDIN CSL_CITATION {"citationItems":[{"id":"ITEM-1","itemData":{"DOI":"10.1016/j.watres.2017.07.042","ISSN":"18792448","PMID":"28869883","abstract":"This study investigates the degradation of sulfolane in aqueous system by (NH4)2S2O8/UVC and (NH4)2S2O8/O3/UVC. While bubbling O3 significantly decreased the reaction time, the experimental results in both cases were consistent: firstly, the degradation of sulfolane followed pseudo-first order kinetic models, secondly, the reaction rates were affected by persulfate dosages, UV light intensity, initial pH and concentration of carbonate/bicarbonate present. Low concentration of chloride (less then 100 ppm) had no effect on the reaction rate. Application of (NH4)2S2O8/O3/UVA for degradation of sulfolane was also investigated. It was found that for higher sulfolane degradation kinetics, higher concentrations of persulfate was required under UVA irradiation. Finally, (NH4)2S2O8/UVC was evaluated for its applicability for degradation of sulfolane in groundwater samples.","author":[{"dropping-particle":"","family":"Izadifard","given":"Maryam","non-dropping-particle":"","parse-names":false,"suffix":""},{"dropping-particle":"","family":"Achari","given":"Gopal","non-dropping-particle":"","parse-names":false,"suffix":""},{"dropping-particle":"","family":"Langford","given":"Cooper H.","non-dropping-particle":"","parse-names":false,"suffix":""}],"container-title":"Water Research","id":"ITEM-1","issued":{"date-parts":[["2017"]]},"page":"325-331","publisher":"Elsevier Ltd","title":"Degradation of sulfolane using activated persulfate with UV and UV-Ozone","type":"article-journal","volume":"125"},"uris":["http://www.mendeley.com/documents/?uuid=2b9af5a9-ac24-4730-84c8-82129b66f650"]}],"mendeley":{"formattedCitation":"(Izadifard et al. 2017)","plainTextFormattedCitation":"(Izadifard et al. 2017)","previouslyFormattedCitation":"(Izadifard et al. 2017)"},"properties":{"noteIndex":0},"schema":"https://github.com/citation-style-language/schema/raw/master/csl-citation.json"}</w:instrText>
      </w:r>
      <w:r w:rsidRPr="0069674D">
        <w:fldChar w:fldCharType="separate"/>
      </w:r>
      <w:r w:rsidRPr="0069674D">
        <w:rPr>
          <w:noProof/>
        </w:rPr>
        <w:t>(Izadifard et al. 2017)</w:t>
      </w:r>
      <w:r w:rsidRPr="0069674D">
        <w:fldChar w:fldCharType="end"/>
      </w:r>
      <w:r w:rsidRPr="0069674D">
        <w:t xml:space="preserve">. </w:t>
      </w:r>
      <w:r w:rsidRPr="00C710CC">
        <w:rPr>
          <w:rFonts w:eastAsia="Arial" w:cs="Arial"/>
          <w:szCs w:val="18"/>
        </w:rPr>
        <w:t xml:space="preserve">Moreover, the presence of the nitrogen source may be beneficial if the bioremediation is followed after persulfate oxidation </w:t>
      </w:r>
      <w:r w:rsidRPr="00C710CC">
        <w:rPr>
          <w:rFonts w:eastAsia="Arial" w:cs="Arial"/>
          <w:szCs w:val="18"/>
        </w:rPr>
        <w:fldChar w:fldCharType="begin" w:fldLock="1"/>
      </w:r>
      <w:r w:rsidRPr="00C710CC">
        <w:rPr>
          <w:rFonts w:eastAsia="Arial" w:cs="Arial"/>
          <w:szCs w:val="18"/>
        </w:rPr>
        <w:instrText>ADDIN CSL_CITATION {"citationItems":[{"id":"ITEM-1","itemData":{"DOI":"10.1016/j.watres.2017.07.042","ISSN":"18792448","PMID":"28869883","abstract":"This study investigates the degradation of sulfolane in aqueous system by (NH4)2S2O8/UVC and (NH4)2S2O8/O3/UVC. While bubbling O3 significantly decreased the reaction time, the experimental results in both cases were consistent: firstly, the degradation of sulfolane followed pseudo-first order kinetic models, secondly, the reaction rates were affected by persulfate dosages, UV light intensity, initial pH and concentration of carbonate/bicarbonate present. Low concentration of chloride (less then 100 ppm) had no effect on the reaction rate. Application of (NH4)2S2O8/O3/UVA for degradation of sulfolane was also investigated. It was found that for higher sulfolane degradation kinetics, higher concentrations of persulfate was required under UVA irradiation. Finally, (NH4)2S2O8/UVC was evaluated for its applicability for degradation of sulfolane in groundwater samples.","author":[{"dropping-particle":"","family":"Izadifard","given":"Maryam","non-dropping-particle":"","parse-names":false,"suffix":""},{"dropping-particle":"","family":"Achari","given":"Gopal","non-dropping-particle":"","parse-names":false,"suffix":""},{"dropping-particle":"","family":"Langford","given":"Cooper H.","non-dropping-particle":"","parse-names":false,"suffix":""}],"container-title":"Water Research","id":"ITEM-1","issued":{"date-parts":[["2017"]]},"page":"325-331","publisher":"Elsevier Ltd","title":"Degradation of sulfolane using activated persulfate with UV and UV-Ozone","type":"article-journal","volume":"125"},"uris":["http://www.mendeley.com/documents/?uuid=2b9af5a9-ac24-4730-84c8-82129b66f650"]}],"mendeley":{"formattedCitation":"(Izadifard, Achari, and Langford 2017)","manualFormatting":"(Izadifard, et al. 2017)","plainTextFormattedCitation":"(Izadifard, Achari, and Langford 2017)","previouslyFormattedCitation":"(Izadifard, Achari, and Langford 2017)"},"properties":{"noteIndex":0},"schema":"https://github.com/citation-style-language/schema/raw/master/csl-citation.json"}</w:instrText>
      </w:r>
      <w:r w:rsidRPr="00C710CC">
        <w:rPr>
          <w:rFonts w:eastAsia="Arial" w:cs="Arial"/>
          <w:szCs w:val="18"/>
        </w:rPr>
        <w:fldChar w:fldCharType="separate"/>
      </w:r>
      <w:r w:rsidRPr="00C710CC">
        <w:rPr>
          <w:rFonts w:eastAsia="Arial" w:cs="Arial"/>
          <w:noProof/>
          <w:szCs w:val="18"/>
        </w:rPr>
        <w:t>(Izadifard, et al. 2017)</w:t>
      </w:r>
      <w:r w:rsidRPr="00C710CC">
        <w:rPr>
          <w:rFonts w:eastAsia="Arial" w:cs="Arial"/>
          <w:szCs w:val="18"/>
        </w:rPr>
        <w:fldChar w:fldCharType="end"/>
      </w:r>
      <w:r w:rsidRPr="00C710CC">
        <w:rPr>
          <w:rFonts w:eastAsia="Arial" w:cs="Arial"/>
          <w:szCs w:val="18"/>
        </w:rPr>
        <w:t>.</w:t>
      </w:r>
      <w:r>
        <w:rPr>
          <w:rFonts w:eastAsia="Arial" w:cs="Arial"/>
          <w:szCs w:val="18"/>
        </w:rPr>
        <w:t xml:space="preserve"> </w:t>
      </w:r>
      <w:r w:rsidRPr="0069674D">
        <w:t>Unlike hydroxyl radical based AOPs, sulfate radicals can oxidize ammonium and convert it to a higher valence state (N</w:t>
      </w:r>
      <w:r w:rsidRPr="0069674D">
        <w:rPr>
          <w:vertAlign w:val="subscript"/>
        </w:rPr>
        <w:t>2</w:t>
      </w:r>
      <w:r w:rsidRPr="0069674D">
        <w:t xml:space="preserve">) </w:t>
      </w:r>
      <w:r w:rsidRPr="0069674D">
        <w:fldChar w:fldCharType="begin" w:fldLock="1"/>
      </w:r>
      <w:r w:rsidRPr="0069674D">
        <w:instrText>ADDIN CSL_CITATION {"citationItems":[{"id":"ITEM-1","itemData":{"DOI":"10.1016/j.watres.2011.09.015","ISSN":"18792448","PMID":"21959093","abstract":"Typically, a mature landfill leachate contains high levels of non-biodegradable organics and ammonia nitrogen. Simultaneous removal of the both persistent leachate pollutants is a significant challenge. This paper reports the first scientific study to apply a sulfate radical (SO4·-) - based advanced oxidation process (SR-AOP) to treat a mature leachate, with an emphasis of concurrent removal of refractory organics and ammonia. In this study, all the experiments were run in a batch reactor with temperature control. In the thermal persulfate oxidation (TPO) process, persulfate (S2O82-) was activated by heat to produce powerful oxidants, SO4·- (Eo = 2.6 V). Three factors affecting the removal efficiencies of chemical oxygen demand (COD) and ammonia nitrogen were investigated, including initial solution pH (3-8.3), temperature (27-50 °C), and chemical dose (S2O82-:12COD0 = 0.25-2.0). Typically, acidic pH (3-4), higher temperature, and higher dose favored the removal of COD and ammonia. At S2O82-:12COD0 = 2 and 50 °C, the COD removal rates were 79% and 91% at pH 8.3 (no pH adjustment) and 4, respectively; and the ammonia nitrogen removal reached 100% at pH 8.3 or 4. SR-AOP appears to be more advantageous over hydroxyl radical (OH·)-based advanced oxidation processes (HR-AOPs) because OH· almost does not oxidize ammonia. Furthermore, compared with Fenton treatment of the same batch leachate sample, the TPO could achieve a higher COD removal at an identical chemical dose. For example, COD removal was 40% at H2O2:2.125COD0 = 2 during Fenton treatment (pH 3), but 91% at S2O82-:12COD0 = 2 during TPO (pH 4). These findings demonstrate that SR-AOP is a promising landfill leachate treatment method. © 2011.","author":[{"dropping-particle":"","family":"Deng","given":"Yang","non-dropping-particle":"","parse-names":false,"suffix":""},{"dropping-particle":"","family":"Ezyske","given":"Casey M.","non-dropping-particle":"","parse-names":false,"suffix":""}],"container-title":"Water Research","id":"ITEM-1","issue":"18","issued":{"date-parts":[["2011"]]},"page":"6189-6194","publisher":"Elsevier Ltd","title":"Sulfate radical-advanced oxidation process (SR-AOP) for simultaneous removal of refractory organic contaminants and ammonia in landfill leachate","type":"article-journal","volume":"45"},"uris":["http://www.mendeley.com/documents/?uuid=cc4fcbb7-53d0-439a-be3f-a0ab2e732514"]}],"mendeley":{"formattedCitation":"(Deng and Ezyske 2011)","plainTextFormattedCitation":"(Deng and Ezyske 2011)","previouslyFormattedCitation":"(Deng and Ezyske 2011)"},"properties":{"noteIndex":0},"schema":"https://github.com/citation-style-language/schema/raw/master/csl-citation.json"}</w:instrText>
      </w:r>
      <w:r w:rsidRPr="0069674D">
        <w:fldChar w:fldCharType="separate"/>
      </w:r>
      <w:r w:rsidRPr="0069674D">
        <w:rPr>
          <w:noProof/>
        </w:rPr>
        <w:t>(Deng and Ezyske 2011)</w:t>
      </w:r>
      <w:r w:rsidRPr="0069674D">
        <w:fldChar w:fldCharType="end"/>
      </w:r>
      <w:r w:rsidRPr="0069674D">
        <w:t>. However, this causes competition between organic pollutants and ammonium ions. Moreover</w:t>
      </w:r>
      <w:r>
        <w:t xml:space="preserve">, it has been reported that the concentration of ammonia nitrogen more than 100 mg/L is hazardous for living organisms </w:t>
      </w:r>
      <w:r>
        <w:fldChar w:fldCharType="begin" w:fldLock="1"/>
      </w:r>
      <w:r>
        <w:instrText>ADDIN CSL_CITATION {"citationItems":[{"id":"ITEM-1","itemData":{"DOI":"10.1016/j.wasman.2010.04.029","ISSN":"0956053X","PMID":"20494566","abstract":"The influence of different variables on the removal of ammonia nitrogen and COD from landfill leachate was investigated in a three-dimensional electrochemical reactor. Box-Behnken statistical experiment design and the response surface methodology were used to investigate operating condition effects, such as current density, activated carbon to water ratio and the reaction time, on ammonia nitrogen removal efficiency and COD removal efficiency. The positive and negative effects of variables and the interaction between variables on ammonia nitrogen removal and COD removal were determined. The response surface methodology models were derived based on the results and the response surface plots were developed accordingly. © 2010 Elsevier Ltd.","author":[{"dropping-particle":"","family":"Zhang","given":"Hui","non-dropping-particle":"","parse-names":false,"suffix":""},{"dropping-particle":"","family":"Li","given":"Yanli","non-dropping-particle":"","parse-names":false,"suffix":""},{"dropping-particle":"","family":"Wu","given":"Xiaogang","non-dropping-particle":"","parse-names":false,"suffix":""},{"dropping-particle":"","family":"Zhang","given":"Yanjun","non-dropping-particle":"","parse-names":false,"suffix":""},{"dropping-particle":"","family":"Zhang","given":"Daobin","non-dropping-particle":"","parse-names":false,"suffix":""}],"container-title":"Waste Management","id":"ITEM-1","issue":"11","issued":{"date-parts":[["2010"]]},"page":"2096-2102","publisher":"Elsevier Ltd","title":"Application of response surface methodology to the treatment landfill leachate in a three-dimensional electrochemical reactor","type":"article-journal","volume":"30"},"uris":["http://www.mendeley.com/documents/?uuid=5135af5f-5d7d-4e02-a314-de1425032f41"]}],"mendeley":{"formattedCitation":"(Zhang et al. 2010)","plainTextFormattedCitation":"(Zhang et al. 2010)","previouslyFormattedCitation":"(Zhang et al. 2010)"},"properties":{"noteIndex":0},"schema":"https://github.com/citation-style-language/schema/raw/master/csl-citation.json"}</w:instrText>
      </w:r>
      <w:r>
        <w:fldChar w:fldCharType="separate"/>
      </w:r>
      <w:r w:rsidRPr="00236805">
        <w:rPr>
          <w:noProof/>
        </w:rPr>
        <w:t>(Zhang et al. 2010)</w:t>
      </w:r>
      <w:r>
        <w:fldChar w:fldCharType="end"/>
      </w:r>
      <w:r>
        <w:t>. Therefore, the additional treatment should be used after treatment with ammonium persulfate.</w:t>
      </w:r>
    </w:p>
    <w:p w14:paraId="24AE6690" w14:textId="449E606E" w:rsidR="00623F88" w:rsidRPr="005F07ED" w:rsidRDefault="005F07ED" w:rsidP="005F07ED">
      <w:pPr>
        <w:ind w:right="43"/>
      </w:pPr>
      <w:r w:rsidRPr="00C710CC">
        <w:rPr>
          <w:rFonts w:eastAsia="Arial" w:cs="Arial"/>
          <w:szCs w:val="18"/>
        </w:rPr>
        <w:t xml:space="preserve"> </w:t>
      </w:r>
      <w:r w:rsidRPr="00C710CC">
        <w:rPr>
          <w:rFonts w:eastAsia="Arial" w:cs="Arial"/>
          <w:noProof/>
          <w:szCs w:val="18"/>
        </w:rPr>
        <w:t xml:space="preserve">Izadifard et al. (2017) used 3 g/L of ammonium persulfate under UVC and achieved 90% sulfolane degradation after 60 min of the experiment </w:t>
      </w:r>
      <w:r w:rsidRPr="00C710CC">
        <w:rPr>
          <w:rFonts w:eastAsia="Arial" w:cs="Arial"/>
          <w:szCs w:val="18"/>
        </w:rPr>
        <w:fldChar w:fldCharType="begin" w:fldLock="1"/>
      </w:r>
      <w:r w:rsidRPr="00C710CC">
        <w:rPr>
          <w:rFonts w:eastAsia="Arial" w:cs="Arial"/>
          <w:szCs w:val="18"/>
        </w:rPr>
        <w:instrText>ADDIN CSL_CITATION {"citationItems":[{"id":"ITEM-1","itemData":{"DOI":"10.1016/j.watres.2017.07.042","ISSN":"18792448","PMID":"28869883","abstract":"This study investigates the degradation of sulfolane in aqueous system by (NH4)2S2O8/UVC and (NH4)2S2O8/O3/UVC. While bubbling O3 significantly decreased the reaction time, the experimental results in both cases were consistent: firstly, the degradation of sulfolane followed pseudo-first order kinetic models, secondly, the reaction rates were affected by persulfate dosages, UV light intensity, initial pH and concentration of carbonate/bicarbonate present. Low concentration of chloride (less then 100 ppm) had no effect on the reaction rate. Application of (NH4)2S2O8/O3/UVA for degradation of sulfolane was also investigated. It was found that for higher sulfolane degradation kinetics, higher concentrations of persulfate was required under UVA irradiation. Finally, (NH4)2S2O8/UVC was evaluated for its applicability for degradation of sulfolane in groundwater samples.","author":[{"dropping-particle":"","family":"Izadifard","given":"Maryam","non-dropping-particle":"","parse-names":false,"suffix":""},{"dropping-particle":"","family":"Achari","given":"Gopal","non-dropping-particle":"","parse-names":false,"suffix":""},{"dropping-particle":"","family":"Langford","given":"Cooper H.","non-dropping-particle":"","parse-names":false,"suffix":""}],"container-title":"Water Research","id":"ITEM-1","issued":{"date-parts":[["2017"]]},"page":"325-331","publisher":"Elsevier Ltd","title":"Degradation of sulfolane using activated persulfate with UV and UV-Ozone","type":"article-journal","volume":"125"},"uris":["http://www.mendeley.com/documents/?uuid=2b9af5a9-ac24-4730-84c8-82129b66f650"]}],"mendeley":{"formattedCitation":"(Izadifard et al. 2017)","plainTextFormattedCitation":"(Izadifard et al. 2017)","previouslyFormattedCitation":"(Izadifard et al. 2017)"},"properties":{"noteIndex":0},"schema":"https://github.com/citation-style-language/schema/raw/master/csl-citation.json"}</w:instrText>
      </w:r>
      <w:r w:rsidRPr="00C710CC">
        <w:rPr>
          <w:rFonts w:eastAsia="Arial" w:cs="Arial"/>
          <w:szCs w:val="18"/>
        </w:rPr>
        <w:fldChar w:fldCharType="separate"/>
      </w:r>
      <w:r w:rsidRPr="00C710CC">
        <w:rPr>
          <w:rFonts w:eastAsia="Arial" w:cs="Arial"/>
          <w:noProof/>
          <w:szCs w:val="18"/>
        </w:rPr>
        <w:t>(Izadifard et al. 2017)</w:t>
      </w:r>
      <w:r w:rsidRPr="00C710CC">
        <w:rPr>
          <w:rFonts w:eastAsia="Arial" w:cs="Arial"/>
          <w:szCs w:val="18"/>
        </w:rPr>
        <w:fldChar w:fldCharType="end"/>
      </w:r>
      <w:r w:rsidRPr="00C710CC">
        <w:rPr>
          <w:rFonts w:eastAsia="Arial" w:cs="Arial"/>
          <w:szCs w:val="18"/>
        </w:rPr>
        <w:t xml:space="preserve">. Wu et al. compared the efficiencies of the ammonium persulfate and sodium persulfate for the perfluorooctanoic acid (PFOA) degradation </w:t>
      </w:r>
      <w:r w:rsidRPr="00C710CC">
        <w:rPr>
          <w:rFonts w:eastAsia="Arial" w:cs="Arial"/>
          <w:szCs w:val="18"/>
        </w:rPr>
        <w:fldChar w:fldCharType="begin" w:fldLock="1"/>
      </w:r>
      <w:r w:rsidRPr="00C710CC">
        <w:rPr>
          <w:rFonts w:eastAsia="Arial" w:cs="Arial"/>
          <w:szCs w:val="18"/>
        </w:rPr>
        <w:instrText>ADDIN CSL_CITATION {"citationItems":[{"id":"ITEM-1","itemData":{"DOI":"10.1016/j.seppur.2018.06.059","ISSN":"18733794","abstract":"ZnO-reduced graphene oxide (ZnO-rGO) was synthesized successfully at 423 K by a hydrothermal method. The presence of reduced graphene oxide significantly improved the photocatalytic performance of ZnO and its optimal loading ratio was 0.6 wt%. The XRD, SEM, UV–vis and FT-IR were applied to characterize the prepared catalyst. Comparative experiments were conducted to evaluate perfluorooctanoic acid (PFOA) degradation efficiency and the results showed that 99.2% PFOA was degraded in persulfate-assisted photocatalytic ozonation with low dosage of ozone and persulfate at room temperature. The impact factors on PFOA degradation efficiency including loading ratios of GO on ZnO, reaction temperatures and persulfate concentration were inspected and analyzed. The sodium persulfate and ammonium persulfate were compared as common oxidants in photocatalytic ozonation for PFOA degradation and sodium persulfate showed the better PFOA removal. Chloride and humic acid (HA) were common substances in natural water, and they showed inhibition effects on PFOA degradation. Conversion of persulfate to sulfate ion was studied and persulfate concentration during PFOA oxidation was monitored. PFHpA, PFHeA, PFPeA and PFBA were main intermediates during PFOA degradation.","author":[{"dropping-particle":"","family":"Wu","given":"Dan","non-dropping-particle":"","parse-names":false,"suffix":""},{"dropping-particle":"","family":"Li","given":"Xukai","non-dropping-particle":"","parse-names":false,"suffix":""},{"dropping-particle":"","family":"Zhang","given":"Jingxian","non-dropping-particle":"","parse-names":false,"suffix":""},{"dropping-particle":"","family":"Chen","given":"Weirui","non-dropping-particle":"","parse-names":false,"suffix":""},{"dropping-particle":"","family":"Lu","given":"Ping","non-dropping-particle":"","parse-names":false,"suffix":""},{"dropping-particle":"","family":"Tang","given":"Yiming","non-dropping-particle":"","parse-names":false,"suffix":""},{"dropping-particle":"","family":"Li","given":"Laisheng","non-dropping-particle":"","parse-names":false,"suffix":""}],"container-title":"Separation and Purification Technology","id":"ITEM-1","issue":"June","issued":{"date-parts":[["2018"]]},"page":"255-261","publisher":"Elsevier","title":"Efficient PFOA degradation by persulfate-assisted photocatalytic ozonation","type":"article-journal","volume":"207"},"uris":["http://www.mendeley.com/documents/?uuid=ec01d00a-64ce-480c-baff-ab95826e8fea"]}],"mendeley":{"formattedCitation":"(Wu et al. 2018)","plainTextFormattedCitation":"(Wu et al. 2018)","previouslyFormattedCitation":"(Wu et al. 2018)"},"properties":{"noteIndex":0},"schema":"https://github.com/citation-style-language/schema/raw/master/csl-citation.json"}</w:instrText>
      </w:r>
      <w:r w:rsidRPr="00C710CC">
        <w:rPr>
          <w:rFonts w:eastAsia="Arial" w:cs="Arial"/>
          <w:szCs w:val="18"/>
        </w:rPr>
        <w:fldChar w:fldCharType="separate"/>
      </w:r>
      <w:r w:rsidRPr="00C710CC">
        <w:rPr>
          <w:rFonts w:eastAsia="Arial" w:cs="Arial"/>
          <w:noProof/>
          <w:szCs w:val="18"/>
        </w:rPr>
        <w:t>(Wu et al. 2018)</w:t>
      </w:r>
      <w:r w:rsidRPr="00C710CC">
        <w:rPr>
          <w:rFonts w:eastAsia="Arial" w:cs="Arial"/>
          <w:szCs w:val="18"/>
        </w:rPr>
        <w:fldChar w:fldCharType="end"/>
      </w:r>
      <w:r w:rsidRPr="00C710CC">
        <w:rPr>
          <w:rFonts w:eastAsia="Arial" w:cs="Arial"/>
          <w:szCs w:val="18"/>
        </w:rPr>
        <w:t xml:space="preserve">. Authors reported that the sodium persulfate had slightly better removal and </w:t>
      </w:r>
      <w:r>
        <w:rPr>
          <w:rFonts w:eastAsia="Arial" w:cs="Arial"/>
          <w:szCs w:val="18"/>
        </w:rPr>
        <w:t>explained</w:t>
      </w:r>
      <w:r w:rsidRPr="00C710CC">
        <w:rPr>
          <w:rFonts w:eastAsia="Arial" w:cs="Arial"/>
          <w:szCs w:val="18"/>
        </w:rPr>
        <w:t xml:space="preserve"> it with the competition between ammonium and PFOA </w:t>
      </w:r>
      <w:r w:rsidRPr="00C710CC">
        <w:rPr>
          <w:rFonts w:eastAsia="Arial" w:cs="Arial"/>
          <w:szCs w:val="18"/>
        </w:rPr>
        <w:fldChar w:fldCharType="begin" w:fldLock="1"/>
      </w:r>
      <w:r w:rsidRPr="00C710CC">
        <w:rPr>
          <w:rFonts w:eastAsia="Arial" w:cs="Arial"/>
          <w:szCs w:val="18"/>
        </w:rPr>
        <w:instrText>ADDIN CSL_CITATION {"citationItems":[{"id":"ITEM-1","itemData":{"DOI":"10.1016/j.seppur.2018.06.059","ISSN":"18733794","abstract":"ZnO-reduced graphene oxide (ZnO-rGO) was synthesized successfully at 423 K by a hydrothermal method. The presence of reduced graphene oxide significantly improved the photocatalytic performance of ZnO and its optimal loading ratio was 0.6 wt%. The XRD, SEM, UV–vis and FT-IR were applied to characterize the prepared catalyst. Comparative experiments were conducted to evaluate perfluorooctanoic acid (PFOA) degradation efficiency and the results showed that 99.2% PFOA was degraded in persulfate-assisted photocatalytic ozonation with low dosage of ozone and persulfate at room temperature. The impact factors on PFOA degradation efficiency including loading ratios of GO on ZnO, reaction temperatures and persulfate concentration were inspected and analyzed. The sodium persulfate and ammonium persulfate were compared as common oxidants in photocatalytic ozonation for PFOA degradation and sodium persulfate showed the better PFOA removal. Chloride and humic acid (HA) were common substances in natural water, and they showed inhibition effects on PFOA degradation. Conversion of persulfate to sulfate ion was studied and persulfate concentration during PFOA oxidation was monitored. PFHpA, PFHeA, PFPeA and PFBA were main intermediates during PFOA degradation.","author":[{"dropping-particle":"","family":"Wu","given":"Dan","non-dropping-particle":"","parse-names":false,"suffix":""},{"dropping-particle":"","family":"Li","given":"Xukai","non-dropping-particle":"","parse-names":false,"suffix":""},{"dropping-particle":"","family":"Zhang","given":"Jingxian","non-dropping-particle":"","parse-names":false,"suffix":""},{"dropping-particle":"","family":"Chen","given":"Weirui","non-dropping-particle":"","parse-names":false,"suffix":""},{"dropping-particle":"","family":"Lu","given":"Ping","non-dropping-particle":"","parse-names":false,"suffix":""},{"dropping-particle":"","family":"Tang","given":"Yiming","non-dropping-particle":"","parse-names":false,"suffix":""},{"dropping-particle":"","family":"Li","given":"Laisheng","non-dropping-particle":"","parse-names":false,"suffix":""}],"container-title":"Separation and Purification Technology","id":"ITEM-1","issue":"June","issued":{"date-parts":[["2018"]]},"page":"255-261","publisher":"Elsevier","title":"Efficient PFOA degradation by persulfate-assisted photocatalytic ozonation","type":"article-journal","volume":"207"},"uris":["http://www.mendeley.com/documents/?uuid=ec01d00a-64ce-480c-baff-ab95826e8fea"]}],"mendeley":{"formattedCitation":"(Wu et al. 2018)","plainTextFormattedCitation":"(Wu et al. 2018)","previouslyFormattedCitation":"(Wu et al. 2018)"},"properties":{"noteIndex":0},"schema":"https://github.com/citation-style-language/schema/raw/master/csl-citation.json"}</w:instrText>
      </w:r>
      <w:r w:rsidRPr="00C710CC">
        <w:rPr>
          <w:rFonts w:eastAsia="Arial" w:cs="Arial"/>
          <w:szCs w:val="18"/>
        </w:rPr>
        <w:fldChar w:fldCharType="separate"/>
      </w:r>
      <w:r w:rsidRPr="00C710CC">
        <w:rPr>
          <w:rFonts w:eastAsia="Arial" w:cs="Arial"/>
          <w:noProof/>
          <w:szCs w:val="18"/>
        </w:rPr>
        <w:t>(Wu et al. 2018)</w:t>
      </w:r>
      <w:r w:rsidRPr="00C710CC">
        <w:rPr>
          <w:rFonts w:eastAsia="Arial" w:cs="Arial"/>
          <w:szCs w:val="18"/>
        </w:rPr>
        <w:fldChar w:fldCharType="end"/>
      </w:r>
      <w:r w:rsidRPr="00C710CC">
        <w:rPr>
          <w:rFonts w:eastAsia="Arial" w:cs="Arial"/>
          <w:szCs w:val="18"/>
        </w:rPr>
        <w:t>.</w:t>
      </w:r>
    </w:p>
    <w:p w14:paraId="49C6BFF6" w14:textId="2ADABDC1" w:rsidR="00A1557C" w:rsidRDefault="00160695" w:rsidP="004F06C1">
      <w:pPr>
        <w:shd w:val="clear" w:color="auto" w:fill="FFFFFF"/>
        <w:spacing w:line="240" w:lineRule="auto"/>
        <w:rPr>
          <w:rFonts w:cs="Arial"/>
          <w:szCs w:val="18"/>
        </w:rPr>
      </w:pPr>
      <w:r w:rsidRPr="00160695">
        <w:rPr>
          <w:rFonts w:cs="Arial"/>
          <w:szCs w:val="18"/>
        </w:rPr>
        <w:t xml:space="preserve">The optimum conditions for TOC removal were </w:t>
      </w:r>
      <w:r>
        <w:rPr>
          <w:rFonts w:cs="Arial"/>
          <w:szCs w:val="18"/>
        </w:rPr>
        <w:t xml:space="preserve">calculated by </w:t>
      </w:r>
      <w:r w:rsidR="009500C3">
        <w:rPr>
          <w:rFonts w:cs="Arial"/>
          <w:szCs w:val="18"/>
        </w:rPr>
        <w:t>Design-Expert</w:t>
      </w:r>
      <w:r>
        <w:rPr>
          <w:rFonts w:cs="Arial"/>
          <w:szCs w:val="18"/>
        </w:rPr>
        <w:t xml:space="preserve"> (Table 5</w:t>
      </w:r>
      <w:r w:rsidRPr="00160695">
        <w:rPr>
          <w:rFonts w:cs="Arial"/>
          <w:szCs w:val="18"/>
        </w:rPr>
        <w:t>).</w:t>
      </w:r>
    </w:p>
    <w:p w14:paraId="231C61E1" w14:textId="77777777" w:rsidR="00160695" w:rsidRPr="00857D6A" w:rsidRDefault="00160695" w:rsidP="004F06C1">
      <w:pPr>
        <w:shd w:val="clear" w:color="auto" w:fill="FFFFFF"/>
        <w:spacing w:line="240" w:lineRule="auto"/>
        <w:rPr>
          <w:rFonts w:cs="Arial"/>
          <w:szCs w:val="18"/>
          <w:highlight w:val="yellow"/>
        </w:rPr>
      </w:pPr>
    </w:p>
    <w:p w14:paraId="099DBA00" w14:textId="6A5135FF" w:rsidR="00CF0939" w:rsidRPr="00D22EE4" w:rsidRDefault="00A1557C" w:rsidP="00CF0939">
      <w:pPr>
        <w:pStyle w:val="CETBodytext"/>
        <w:rPr>
          <w:i/>
          <w:lang w:val="en-GB"/>
        </w:rPr>
      </w:pPr>
      <w:r w:rsidRPr="00D22EE4">
        <w:rPr>
          <w:i/>
          <w:lang w:val="en-GB"/>
        </w:rPr>
        <w:t>Table 5</w:t>
      </w:r>
      <w:r w:rsidR="001C6E05" w:rsidRPr="00D22EE4">
        <w:rPr>
          <w:i/>
          <w:lang w:val="en-GB"/>
        </w:rPr>
        <w:t>:</w:t>
      </w:r>
      <w:r w:rsidR="00CF0939" w:rsidRPr="00D22EE4">
        <w:rPr>
          <w:i/>
          <w:lang w:val="en-GB"/>
        </w:rPr>
        <w:t xml:space="preserve"> </w:t>
      </w:r>
      <w:r w:rsidR="00056D2F" w:rsidRPr="00D22EE4">
        <w:rPr>
          <w:i/>
          <w:lang w:val="en-GB"/>
        </w:rPr>
        <w:t xml:space="preserve">Optimum conditions found by RSM, and experimental validation for </w:t>
      </w:r>
      <w:r w:rsidRPr="00D22EE4">
        <w:rPr>
          <w:i/>
          <w:lang w:val="en-GB"/>
        </w:rPr>
        <w:t>TOC removal</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990"/>
        <w:gridCol w:w="540"/>
        <w:gridCol w:w="810"/>
        <w:gridCol w:w="1080"/>
        <w:gridCol w:w="1170"/>
        <w:gridCol w:w="990"/>
        <w:gridCol w:w="1170"/>
        <w:gridCol w:w="1260"/>
        <w:gridCol w:w="720"/>
      </w:tblGrid>
      <w:tr w:rsidR="00A1557C" w:rsidRPr="00353A3F" w14:paraId="7037F727" w14:textId="3432CF46" w:rsidTr="00A1557C">
        <w:tc>
          <w:tcPr>
            <w:tcW w:w="990" w:type="dxa"/>
            <w:tcBorders>
              <w:top w:val="single" w:sz="12" w:space="0" w:color="008000"/>
              <w:bottom w:val="single" w:sz="6" w:space="0" w:color="008000"/>
            </w:tcBorders>
            <w:shd w:val="clear" w:color="auto" w:fill="FFFFFF"/>
          </w:tcPr>
          <w:p w14:paraId="457F4FBE" w14:textId="7D3663D4" w:rsidR="00B8500E" w:rsidRPr="00353A3F" w:rsidRDefault="00F02DAD" w:rsidP="00F02DAD">
            <w:pPr>
              <w:pStyle w:val="CETBodytext"/>
              <w:jc w:val="center"/>
              <w:rPr>
                <w:lang w:val="en-GB"/>
              </w:rPr>
            </w:pPr>
            <w:r>
              <w:rPr>
                <w:lang w:val="en-GB"/>
              </w:rPr>
              <w:t>Ti</w:t>
            </w:r>
            <w:r w:rsidR="00B8500E">
              <w:rPr>
                <w:lang w:val="en-GB"/>
              </w:rPr>
              <w:t>me (min)</w:t>
            </w:r>
          </w:p>
        </w:tc>
        <w:tc>
          <w:tcPr>
            <w:tcW w:w="540" w:type="dxa"/>
            <w:tcBorders>
              <w:top w:val="single" w:sz="12" w:space="0" w:color="008000"/>
              <w:bottom w:val="single" w:sz="6" w:space="0" w:color="008000"/>
            </w:tcBorders>
            <w:shd w:val="clear" w:color="auto" w:fill="FFFFFF"/>
          </w:tcPr>
          <w:p w14:paraId="40230A22" w14:textId="23224682" w:rsidR="00B8500E" w:rsidRPr="00353A3F" w:rsidRDefault="00B8500E" w:rsidP="00F02DAD">
            <w:pPr>
              <w:pStyle w:val="CETBodytext"/>
              <w:jc w:val="center"/>
              <w:rPr>
                <w:lang w:val="en-GB"/>
              </w:rPr>
            </w:pPr>
            <w:r>
              <w:rPr>
                <w:lang w:val="en-GB"/>
              </w:rPr>
              <w:t>pH</w:t>
            </w:r>
          </w:p>
        </w:tc>
        <w:tc>
          <w:tcPr>
            <w:tcW w:w="810" w:type="dxa"/>
            <w:tcBorders>
              <w:top w:val="single" w:sz="12" w:space="0" w:color="008000"/>
              <w:bottom w:val="single" w:sz="6" w:space="0" w:color="008000"/>
            </w:tcBorders>
            <w:shd w:val="clear" w:color="auto" w:fill="FFFFFF"/>
          </w:tcPr>
          <w:p w14:paraId="7BF368A4" w14:textId="7493634A" w:rsidR="00B8500E" w:rsidRPr="00F02DAD" w:rsidRDefault="00B8500E" w:rsidP="00F02DAD">
            <w:pPr>
              <w:pStyle w:val="CETBodytext"/>
              <w:jc w:val="center"/>
              <w:rPr>
                <w:lang w:val="en-GB"/>
              </w:rPr>
            </w:pPr>
            <w:r>
              <w:rPr>
                <w:lang w:val="en-GB"/>
              </w:rPr>
              <w:t>Fe</w:t>
            </w:r>
            <w:r w:rsidRPr="00DD4945">
              <w:rPr>
                <w:vertAlign w:val="superscript"/>
                <w:lang w:val="en-GB"/>
              </w:rPr>
              <w:t>2+</w:t>
            </w:r>
            <w:r w:rsidR="00F02DAD">
              <w:rPr>
                <w:lang w:val="en-GB"/>
              </w:rPr>
              <w:t>, mg/L</w:t>
            </w:r>
          </w:p>
        </w:tc>
        <w:tc>
          <w:tcPr>
            <w:tcW w:w="1080" w:type="dxa"/>
            <w:tcBorders>
              <w:top w:val="single" w:sz="12" w:space="0" w:color="008000"/>
              <w:bottom w:val="single" w:sz="6" w:space="0" w:color="008000"/>
            </w:tcBorders>
            <w:shd w:val="clear" w:color="auto" w:fill="FFFFFF"/>
          </w:tcPr>
          <w:p w14:paraId="1B489997" w14:textId="3A9738EA" w:rsidR="00B8500E" w:rsidRPr="00353A3F" w:rsidRDefault="00B8500E" w:rsidP="00F02DAD">
            <w:pPr>
              <w:pStyle w:val="CETBodytext"/>
              <w:jc w:val="center"/>
              <w:rPr>
                <w:lang w:val="en-GB"/>
              </w:rPr>
            </w:pPr>
            <w:r>
              <w:rPr>
                <w:lang w:val="en-GB"/>
              </w:rPr>
              <w:t>NH</w:t>
            </w:r>
            <w:r w:rsidRPr="00D372AA">
              <w:rPr>
                <w:vertAlign w:val="subscript"/>
                <w:lang w:val="en-GB"/>
              </w:rPr>
              <w:t>4</w:t>
            </w:r>
            <w:r>
              <w:rPr>
                <w:lang w:val="en-GB"/>
              </w:rPr>
              <w:t>PS</w:t>
            </w:r>
            <w:r w:rsidR="00F02DAD">
              <w:rPr>
                <w:lang w:val="en-GB"/>
              </w:rPr>
              <w:t>, mM</w:t>
            </w:r>
          </w:p>
        </w:tc>
        <w:tc>
          <w:tcPr>
            <w:tcW w:w="1170" w:type="dxa"/>
            <w:tcBorders>
              <w:top w:val="single" w:sz="12" w:space="0" w:color="008000"/>
              <w:bottom w:val="single" w:sz="6" w:space="0" w:color="008000"/>
            </w:tcBorders>
            <w:shd w:val="clear" w:color="auto" w:fill="FFFFFF"/>
          </w:tcPr>
          <w:p w14:paraId="4B38E429" w14:textId="03299C21" w:rsidR="00B8500E" w:rsidRPr="00353A3F" w:rsidRDefault="00B8500E" w:rsidP="00F02DAD">
            <w:pPr>
              <w:pStyle w:val="CETBodytext"/>
              <w:jc w:val="center"/>
              <w:rPr>
                <w:lang w:val="en-GB"/>
              </w:rPr>
            </w:pPr>
            <w:r>
              <w:rPr>
                <w:lang w:val="en-GB"/>
              </w:rPr>
              <w:t>NaPS</w:t>
            </w:r>
            <w:r w:rsidR="00F02DAD">
              <w:rPr>
                <w:lang w:val="en-GB"/>
              </w:rPr>
              <w:t>, mM</w:t>
            </w:r>
          </w:p>
        </w:tc>
        <w:tc>
          <w:tcPr>
            <w:tcW w:w="990" w:type="dxa"/>
            <w:tcBorders>
              <w:top w:val="single" w:sz="12" w:space="0" w:color="008000"/>
              <w:bottom w:val="single" w:sz="6" w:space="0" w:color="008000"/>
            </w:tcBorders>
            <w:shd w:val="clear" w:color="auto" w:fill="FFFFFF"/>
          </w:tcPr>
          <w:p w14:paraId="6095DC79" w14:textId="5CFE7D73" w:rsidR="00B8500E" w:rsidRPr="00353A3F" w:rsidRDefault="00B8500E" w:rsidP="00F02DAD">
            <w:pPr>
              <w:pStyle w:val="CETBodytext"/>
              <w:jc w:val="center"/>
              <w:rPr>
                <w:lang w:val="en-GB"/>
              </w:rPr>
            </w:pPr>
            <w:r>
              <w:rPr>
                <w:lang w:val="en-GB"/>
              </w:rPr>
              <w:t>KPS</w:t>
            </w:r>
            <w:r w:rsidR="00F02DAD">
              <w:rPr>
                <w:lang w:val="en-GB"/>
              </w:rPr>
              <w:t>, mM</w:t>
            </w:r>
          </w:p>
        </w:tc>
        <w:tc>
          <w:tcPr>
            <w:tcW w:w="1170" w:type="dxa"/>
            <w:tcBorders>
              <w:top w:val="single" w:sz="12" w:space="0" w:color="008000"/>
              <w:bottom w:val="single" w:sz="6" w:space="0" w:color="008000"/>
            </w:tcBorders>
            <w:shd w:val="clear" w:color="auto" w:fill="FFFFFF"/>
          </w:tcPr>
          <w:p w14:paraId="0F8AE104" w14:textId="6D590A30" w:rsidR="00B8500E" w:rsidRDefault="00B8500E" w:rsidP="00F02DAD">
            <w:pPr>
              <w:pStyle w:val="CETBodytext"/>
              <w:jc w:val="center"/>
              <w:rPr>
                <w:lang w:val="en-GB"/>
              </w:rPr>
            </w:pPr>
            <w:r>
              <w:rPr>
                <w:lang w:val="en-GB"/>
              </w:rPr>
              <w:t>Actual TOC removal (%)</w:t>
            </w:r>
          </w:p>
        </w:tc>
        <w:tc>
          <w:tcPr>
            <w:tcW w:w="1260" w:type="dxa"/>
            <w:tcBorders>
              <w:top w:val="single" w:sz="12" w:space="0" w:color="008000"/>
              <w:bottom w:val="single" w:sz="6" w:space="0" w:color="008000"/>
            </w:tcBorders>
            <w:shd w:val="clear" w:color="auto" w:fill="FFFFFF"/>
          </w:tcPr>
          <w:p w14:paraId="4CF48929" w14:textId="3166CACA" w:rsidR="00B8500E" w:rsidRDefault="00B8500E" w:rsidP="00F02DAD">
            <w:pPr>
              <w:pStyle w:val="CETBodytext"/>
              <w:jc w:val="center"/>
              <w:rPr>
                <w:lang w:val="en-GB"/>
              </w:rPr>
            </w:pPr>
            <w:r>
              <w:rPr>
                <w:lang w:val="en-GB"/>
              </w:rPr>
              <w:t>Predicted TOC removal (%)</w:t>
            </w:r>
          </w:p>
        </w:tc>
        <w:tc>
          <w:tcPr>
            <w:tcW w:w="720" w:type="dxa"/>
            <w:tcBorders>
              <w:top w:val="single" w:sz="12" w:space="0" w:color="008000"/>
              <w:bottom w:val="single" w:sz="6" w:space="0" w:color="008000"/>
            </w:tcBorders>
            <w:shd w:val="clear" w:color="auto" w:fill="FFFFFF"/>
          </w:tcPr>
          <w:p w14:paraId="1C4673B8" w14:textId="46AB4269" w:rsidR="00B8500E" w:rsidRDefault="00B8500E" w:rsidP="00F02DAD">
            <w:pPr>
              <w:pStyle w:val="CETBodytext"/>
              <w:jc w:val="center"/>
              <w:rPr>
                <w:lang w:val="en-GB"/>
              </w:rPr>
            </w:pPr>
            <w:r>
              <w:rPr>
                <w:lang w:val="en-GB"/>
              </w:rPr>
              <w:t>Error</w:t>
            </w:r>
            <w:r w:rsidR="006362E0">
              <w:rPr>
                <w:lang w:val="en-GB"/>
              </w:rPr>
              <w:t xml:space="preserve"> (%)</w:t>
            </w:r>
          </w:p>
        </w:tc>
      </w:tr>
      <w:tr w:rsidR="00A1557C" w:rsidRPr="00353A3F" w14:paraId="7300D969" w14:textId="55D211AA" w:rsidTr="00A1557C">
        <w:tc>
          <w:tcPr>
            <w:tcW w:w="990" w:type="dxa"/>
            <w:shd w:val="clear" w:color="auto" w:fill="FFFFFF"/>
          </w:tcPr>
          <w:p w14:paraId="759F3C05" w14:textId="3BADB976" w:rsidR="00B8500E" w:rsidRPr="00353A3F" w:rsidRDefault="00450223" w:rsidP="00F02DAD">
            <w:pPr>
              <w:pStyle w:val="CETBodytext"/>
              <w:jc w:val="center"/>
              <w:rPr>
                <w:lang w:val="en-GB"/>
              </w:rPr>
            </w:pPr>
            <w:r>
              <w:rPr>
                <w:lang w:val="en-GB"/>
              </w:rPr>
              <w:t>120</w:t>
            </w:r>
          </w:p>
        </w:tc>
        <w:tc>
          <w:tcPr>
            <w:tcW w:w="540" w:type="dxa"/>
            <w:shd w:val="clear" w:color="auto" w:fill="FFFFFF"/>
          </w:tcPr>
          <w:p w14:paraId="78CE80ED" w14:textId="12B0C281" w:rsidR="00B8500E" w:rsidRPr="00353A3F" w:rsidRDefault="00450223" w:rsidP="00F02DAD">
            <w:pPr>
              <w:pStyle w:val="CETBodytext"/>
              <w:jc w:val="center"/>
              <w:rPr>
                <w:lang w:val="en-GB"/>
              </w:rPr>
            </w:pPr>
            <w:r>
              <w:rPr>
                <w:lang w:val="en-GB"/>
              </w:rPr>
              <w:t>7.6</w:t>
            </w:r>
          </w:p>
        </w:tc>
        <w:tc>
          <w:tcPr>
            <w:tcW w:w="810" w:type="dxa"/>
            <w:shd w:val="clear" w:color="auto" w:fill="FFFFFF"/>
          </w:tcPr>
          <w:p w14:paraId="2A6AEF43" w14:textId="22229227" w:rsidR="00B8500E" w:rsidRDefault="00450223" w:rsidP="00F02DAD">
            <w:pPr>
              <w:pStyle w:val="CETBodytext"/>
              <w:jc w:val="center"/>
              <w:rPr>
                <w:lang w:val="en-GB"/>
              </w:rPr>
            </w:pPr>
            <w:r>
              <w:rPr>
                <w:lang w:val="en-GB"/>
              </w:rPr>
              <w:t>10</w:t>
            </w:r>
          </w:p>
        </w:tc>
        <w:tc>
          <w:tcPr>
            <w:tcW w:w="1080" w:type="dxa"/>
            <w:shd w:val="clear" w:color="auto" w:fill="FFFFFF"/>
          </w:tcPr>
          <w:p w14:paraId="253500B5" w14:textId="7B398F45" w:rsidR="00B8500E" w:rsidRPr="00353A3F" w:rsidRDefault="003421E7" w:rsidP="00F02DAD">
            <w:pPr>
              <w:pStyle w:val="CETBodytext"/>
              <w:jc w:val="center"/>
              <w:rPr>
                <w:lang w:val="en-GB"/>
              </w:rPr>
            </w:pPr>
            <w:r>
              <w:rPr>
                <w:lang w:val="en-GB"/>
              </w:rPr>
              <w:t>28.35</w:t>
            </w:r>
          </w:p>
        </w:tc>
        <w:tc>
          <w:tcPr>
            <w:tcW w:w="1170" w:type="dxa"/>
            <w:shd w:val="clear" w:color="auto" w:fill="FFFFFF"/>
          </w:tcPr>
          <w:p w14:paraId="7D68D5EC" w14:textId="4352465F" w:rsidR="00B8500E" w:rsidRPr="00353A3F" w:rsidRDefault="003421E7" w:rsidP="00450223">
            <w:pPr>
              <w:pStyle w:val="CETBodytext"/>
              <w:jc w:val="center"/>
              <w:rPr>
                <w:lang w:val="en-GB"/>
              </w:rPr>
            </w:pPr>
            <w:r>
              <w:rPr>
                <w:lang w:val="en-GB"/>
              </w:rPr>
              <w:t>45.71</w:t>
            </w:r>
          </w:p>
        </w:tc>
        <w:tc>
          <w:tcPr>
            <w:tcW w:w="990" w:type="dxa"/>
            <w:shd w:val="clear" w:color="auto" w:fill="FFFFFF"/>
          </w:tcPr>
          <w:p w14:paraId="39E3CB73" w14:textId="09F6CA71" w:rsidR="00B8500E" w:rsidRPr="00353A3F" w:rsidRDefault="003421E7" w:rsidP="00F02DAD">
            <w:pPr>
              <w:pStyle w:val="CETBodytext"/>
              <w:jc w:val="center"/>
              <w:rPr>
                <w:lang w:val="en-GB"/>
              </w:rPr>
            </w:pPr>
            <w:r>
              <w:rPr>
                <w:lang w:val="en-GB"/>
              </w:rPr>
              <w:t>30.48</w:t>
            </w:r>
          </w:p>
        </w:tc>
        <w:tc>
          <w:tcPr>
            <w:tcW w:w="1170" w:type="dxa"/>
            <w:shd w:val="clear" w:color="auto" w:fill="FFFFFF"/>
          </w:tcPr>
          <w:p w14:paraId="04019ACD" w14:textId="4EF6DE8A" w:rsidR="00B8500E" w:rsidRDefault="003421E7" w:rsidP="00F02DAD">
            <w:pPr>
              <w:pStyle w:val="CETBodytext"/>
              <w:jc w:val="center"/>
              <w:rPr>
                <w:lang w:val="en-GB"/>
              </w:rPr>
            </w:pPr>
            <w:r>
              <w:rPr>
                <w:lang w:val="en-GB"/>
              </w:rPr>
              <w:t>66.01</w:t>
            </w:r>
          </w:p>
        </w:tc>
        <w:tc>
          <w:tcPr>
            <w:tcW w:w="1260" w:type="dxa"/>
            <w:shd w:val="clear" w:color="auto" w:fill="FFFFFF"/>
          </w:tcPr>
          <w:p w14:paraId="725D2D22" w14:textId="4CD7245D" w:rsidR="00B8500E" w:rsidRDefault="003421E7" w:rsidP="00F02DAD">
            <w:pPr>
              <w:pStyle w:val="CETBodytext"/>
              <w:jc w:val="center"/>
              <w:rPr>
                <w:lang w:val="en-GB"/>
              </w:rPr>
            </w:pPr>
            <w:r>
              <w:rPr>
                <w:lang w:val="en-GB"/>
              </w:rPr>
              <w:t>68.14</w:t>
            </w:r>
          </w:p>
        </w:tc>
        <w:tc>
          <w:tcPr>
            <w:tcW w:w="720" w:type="dxa"/>
            <w:shd w:val="clear" w:color="auto" w:fill="FFFFFF"/>
          </w:tcPr>
          <w:p w14:paraId="76FC8CF5" w14:textId="09EC2121" w:rsidR="00B8500E" w:rsidRDefault="003421E7" w:rsidP="00F02DAD">
            <w:pPr>
              <w:pStyle w:val="CETBodytext"/>
              <w:jc w:val="center"/>
              <w:rPr>
                <w:lang w:val="en-GB"/>
              </w:rPr>
            </w:pPr>
            <w:r>
              <w:rPr>
                <w:lang w:val="en-GB"/>
              </w:rPr>
              <w:t>2.13</w:t>
            </w:r>
          </w:p>
        </w:tc>
      </w:tr>
    </w:tbl>
    <w:p w14:paraId="0F564001" w14:textId="13CE7483" w:rsidR="00CF0939" w:rsidRDefault="00CF0939" w:rsidP="006229D4">
      <w:pPr>
        <w:pStyle w:val="CETBodytext"/>
        <w:rPr>
          <w:rFonts w:cs="Arial"/>
          <w:szCs w:val="18"/>
          <w:highlight w:val="yellow"/>
        </w:rPr>
      </w:pPr>
    </w:p>
    <w:p w14:paraId="123106B1" w14:textId="49B5BB9E" w:rsidR="00435291" w:rsidRPr="00B11110" w:rsidRDefault="00160695" w:rsidP="006229D4">
      <w:pPr>
        <w:shd w:val="clear" w:color="auto" w:fill="FFFFFF"/>
      </w:pPr>
      <w:r w:rsidRPr="00435291">
        <w:lastRenderedPageBreak/>
        <w:t xml:space="preserve">The </w:t>
      </w:r>
      <w:r w:rsidR="00D4089C" w:rsidRPr="00435291">
        <w:t xml:space="preserve">predicted </w:t>
      </w:r>
      <w:r w:rsidRPr="00435291">
        <w:t xml:space="preserve">conditions for </w:t>
      </w:r>
      <w:r w:rsidR="00D4089C" w:rsidRPr="00435291">
        <w:t>68</w:t>
      </w:r>
      <w:r w:rsidRPr="00435291">
        <w:t>% TOC removal found by RSM were at the concentration</w:t>
      </w:r>
      <w:r w:rsidR="00286120">
        <w:t>s</w:t>
      </w:r>
      <w:r w:rsidRPr="00435291">
        <w:t xml:space="preserve"> of </w:t>
      </w:r>
      <w:r w:rsidR="00D4089C" w:rsidRPr="00435291">
        <w:t>(NH</w:t>
      </w:r>
      <w:r w:rsidR="00D4089C" w:rsidRPr="00435291">
        <w:rPr>
          <w:vertAlign w:val="subscript"/>
        </w:rPr>
        <w:t>4</w:t>
      </w:r>
      <w:r w:rsidR="00D4089C" w:rsidRPr="00435291">
        <w:t>)</w:t>
      </w:r>
      <w:r w:rsidR="00D4089C" w:rsidRPr="00435291">
        <w:rPr>
          <w:vertAlign w:val="subscript"/>
        </w:rPr>
        <w:t>2</w:t>
      </w:r>
      <w:r w:rsidR="00D4089C" w:rsidRPr="00435291">
        <w:t>S</w:t>
      </w:r>
      <w:r w:rsidR="00D4089C" w:rsidRPr="00435291">
        <w:rPr>
          <w:vertAlign w:val="subscript"/>
        </w:rPr>
        <w:t>2</w:t>
      </w:r>
      <w:r w:rsidR="00D4089C" w:rsidRPr="00435291">
        <w:t>O</w:t>
      </w:r>
      <w:r w:rsidR="00D4089C" w:rsidRPr="00435291">
        <w:rPr>
          <w:vertAlign w:val="subscript"/>
        </w:rPr>
        <w:t>8</w:t>
      </w:r>
      <w:r w:rsidR="00D4089C" w:rsidRPr="00435291">
        <w:t>, Na</w:t>
      </w:r>
      <w:r w:rsidR="00D4089C" w:rsidRPr="00435291">
        <w:rPr>
          <w:vertAlign w:val="subscript"/>
        </w:rPr>
        <w:t>2</w:t>
      </w:r>
      <w:r w:rsidR="00D4089C" w:rsidRPr="00435291">
        <w:t>S</w:t>
      </w:r>
      <w:r w:rsidR="00D4089C" w:rsidRPr="00435291">
        <w:rPr>
          <w:vertAlign w:val="subscript"/>
        </w:rPr>
        <w:t>2</w:t>
      </w:r>
      <w:r w:rsidR="00D4089C" w:rsidRPr="00435291">
        <w:t>O</w:t>
      </w:r>
      <w:r w:rsidR="00D4089C" w:rsidRPr="00435291">
        <w:rPr>
          <w:vertAlign w:val="subscript"/>
        </w:rPr>
        <w:t>8</w:t>
      </w:r>
      <w:r w:rsidR="00D4089C" w:rsidRPr="00435291">
        <w:t xml:space="preserve"> and </w:t>
      </w:r>
      <w:r w:rsidRPr="00435291">
        <w:t>K</w:t>
      </w:r>
      <w:r w:rsidRPr="00435291">
        <w:rPr>
          <w:vertAlign w:val="subscript"/>
        </w:rPr>
        <w:t>2</w:t>
      </w:r>
      <w:r w:rsidRPr="00435291">
        <w:t>S</w:t>
      </w:r>
      <w:r w:rsidRPr="00435291">
        <w:rPr>
          <w:vertAlign w:val="subscript"/>
        </w:rPr>
        <w:t>2</w:t>
      </w:r>
      <w:r w:rsidRPr="00435291">
        <w:t>O</w:t>
      </w:r>
      <w:r w:rsidRPr="00435291">
        <w:rPr>
          <w:vertAlign w:val="subscript"/>
        </w:rPr>
        <w:t>8</w:t>
      </w:r>
      <w:r w:rsidR="002A6321" w:rsidRPr="00435291">
        <w:t xml:space="preserve"> of 28.35 mM, 45.71 mM and 30.48 mM, respectively. </w:t>
      </w:r>
      <w:r w:rsidR="009643A5" w:rsidRPr="00435291">
        <w:t xml:space="preserve">The actual TOC removal </w:t>
      </w:r>
      <w:r w:rsidR="00286120">
        <w:t xml:space="preserve">was 66% </w:t>
      </w:r>
      <w:r w:rsidR="00286120" w:rsidRPr="00B11110">
        <w:t>indicating high goodness-of-fit of the RSM model.</w:t>
      </w:r>
    </w:p>
    <w:p w14:paraId="5AAFE1A0" w14:textId="77777777" w:rsidR="004F06C1" w:rsidRPr="00B11110" w:rsidRDefault="004F06C1" w:rsidP="004F06C1">
      <w:pPr>
        <w:pStyle w:val="CETHeading1"/>
        <w:rPr>
          <w:lang w:val="en-GB"/>
        </w:rPr>
      </w:pPr>
      <w:r w:rsidRPr="00B11110">
        <w:rPr>
          <w:lang w:val="en-GB"/>
        </w:rPr>
        <w:t>Conclusions</w:t>
      </w:r>
    </w:p>
    <w:p w14:paraId="0D66A2ED" w14:textId="4E43DE4B" w:rsidR="004F06C1" w:rsidRPr="00353A3F" w:rsidRDefault="004F06C1" w:rsidP="006A74B3">
      <w:pPr>
        <w:pStyle w:val="CETBodytext"/>
        <w:rPr>
          <w:lang w:val="en-GB"/>
        </w:rPr>
      </w:pPr>
      <w:r w:rsidRPr="00B11110">
        <w:rPr>
          <w:lang w:val="en-GB"/>
        </w:rPr>
        <w:t xml:space="preserve">In this study, </w:t>
      </w:r>
      <w:r w:rsidR="006A74B3" w:rsidRPr="00B11110">
        <w:rPr>
          <w:lang w:val="en-GB"/>
        </w:rPr>
        <w:t xml:space="preserve">three sources of sulfate radicals, namely, ammonium, sodium and potassium persulfates were evaluated for the </w:t>
      </w:r>
      <w:r w:rsidR="007F7273" w:rsidRPr="00B11110">
        <w:rPr>
          <w:lang w:val="en-GB"/>
        </w:rPr>
        <w:t xml:space="preserve">use for </w:t>
      </w:r>
      <w:r w:rsidR="006A74B3" w:rsidRPr="00B11110">
        <w:rPr>
          <w:lang w:val="en-GB"/>
        </w:rPr>
        <w:t xml:space="preserve">photo-Fenton-like oxidation at low temperature. </w:t>
      </w:r>
      <w:r w:rsidR="001B17DC" w:rsidRPr="00B11110">
        <w:rPr>
          <w:lang w:val="en-GB"/>
        </w:rPr>
        <w:t>RSM-BBD model had high accuracy and ANOVA analysis</w:t>
      </w:r>
      <w:r w:rsidR="001B17DC">
        <w:rPr>
          <w:lang w:val="en-GB"/>
        </w:rPr>
        <w:t xml:space="preserve"> revealed that ammonium persulfate was the most significant factor. This could be linked with the </w:t>
      </w:r>
      <w:r w:rsidR="00746C5C">
        <w:rPr>
          <w:lang w:val="en-GB"/>
        </w:rPr>
        <w:t xml:space="preserve">high water solubility of the </w:t>
      </w:r>
      <w:r w:rsidR="007F7273">
        <w:rPr>
          <w:lang w:val="en-GB"/>
        </w:rPr>
        <w:t xml:space="preserve">ammonium persulfate. However, </w:t>
      </w:r>
      <w:r w:rsidR="00986795">
        <w:rPr>
          <w:lang w:val="en-GB"/>
        </w:rPr>
        <w:t xml:space="preserve">excessive concentration of ammonium is hazardous for living organisms, therefore, ammonium persulfate oxidation should be followed with </w:t>
      </w:r>
      <w:r w:rsidR="00653208">
        <w:rPr>
          <w:lang w:val="en-GB"/>
        </w:rPr>
        <w:t xml:space="preserve">biological </w:t>
      </w:r>
      <w:r w:rsidR="00B11110">
        <w:rPr>
          <w:lang w:val="en-GB"/>
        </w:rPr>
        <w:t>treatment.</w:t>
      </w:r>
    </w:p>
    <w:p w14:paraId="35851CAA" w14:textId="77777777" w:rsidR="004F06C1" w:rsidRPr="00353A3F" w:rsidRDefault="004F06C1" w:rsidP="004F06C1">
      <w:pPr>
        <w:pStyle w:val="CETAcknowledgementstitle"/>
      </w:pPr>
      <w:r w:rsidRPr="00353A3F">
        <w:t>Acknowledgments</w:t>
      </w:r>
    </w:p>
    <w:p w14:paraId="4EA972EF" w14:textId="38F74F83" w:rsidR="004F06C1" w:rsidRPr="00353A3F" w:rsidRDefault="004F06C1" w:rsidP="004F06C1">
      <w:pPr>
        <w:pStyle w:val="CETBodytext"/>
        <w:rPr>
          <w:lang w:val="en-GB"/>
        </w:rPr>
      </w:pPr>
      <w:r w:rsidRPr="0092447D">
        <w:rPr>
          <w:lang w:val="en-GB"/>
        </w:rPr>
        <w:t>This work was supported by the Nazarbayev University project “Cost-Effective Photocatalysts for the Treatment of Wastewaters containing Emerging Pollutants”, Faculty development competitive research grants program for 2020-2022, Grant Number 240919FD3932</w:t>
      </w:r>
      <w:r w:rsidR="00033868">
        <w:rPr>
          <w:lang w:val="en-GB"/>
        </w:rPr>
        <w:t>, S.G.P</w:t>
      </w:r>
      <w:r w:rsidRPr="0092447D">
        <w:rPr>
          <w:lang w:val="en-GB"/>
        </w:rPr>
        <w:t>.</w:t>
      </w:r>
      <w:r w:rsidR="00033868">
        <w:rPr>
          <w:lang w:val="en-GB"/>
        </w:rPr>
        <w:t xml:space="preserve"> In addition, t</w:t>
      </w:r>
      <w:r w:rsidR="00033868" w:rsidRPr="00033868">
        <w:rPr>
          <w:lang w:val="en-GB"/>
        </w:rPr>
        <w:t>his research has been funded by Nazarbayev University under Faculty-Development Competitive Research Grant Program for 2019-2022 grant number 110119FD4533, E.A.</w:t>
      </w:r>
    </w:p>
    <w:p w14:paraId="55AB181C" w14:textId="77777777" w:rsidR="004F06C1" w:rsidRPr="00353A3F" w:rsidRDefault="004F06C1" w:rsidP="004F06C1">
      <w:pPr>
        <w:pStyle w:val="CETReference"/>
      </w:pPr>
      <w:r w:rsidRPr="00353A3F">
        <w:t>References</w:t>
      </w:r>
    </w:p>
    <w:p w14:paraId="505374B2" w14:textId="2A05B121" w:rsidR="0069674D" w:rsidRPr="0069674D" w:rsidRDefault="004F06C1" w:rsidP="0069674D">
      <w:pPr>
        <w:widowControl w:val="0"/>
        <w:autoSpaceDE w:val="0"/>
        <w:autoSpaceDN w:val="0"/>
        <w:adjustRightInd w:val="0"/>
        <w:spacing w:line="240" w:lineRule="auto"/>
        <w:ind w:left="480" w:hanging="480"/>
        <w:rPr>
          <w:rFonts w:cs="Arial"/>
          <w:noProof/>
          <w:szCs w:val="24"/>
        </w:rPr>
      </w:pPr>
      <w:r w:rsidRPr="00353A3F">
        <w:rPr>
          <w:szCs w:val="18"/>
        </w:rPr>
        <w:fldChar w:fldCharType="begin" w:fldLock="1"/>
      </w:r>
      <w:r w:rsidRPr="00353A3F">
        <w:rPr>
          <w:szCs w:val="18"/>
        </w:rPr>
        <w:instrText xml:space="preserve">ADDIN Mendeley Bibliography CSL_BIBLIOGRAPHY </w:instrText>
      </w:r>
      <w:r w:rsidRPr="00353A3F">
        <w:rPr>
          <w:szCs w:val="18"/>
        </w:rPr>
        <w:fldChar w:fldCharType="separate"/>
      </w:r>
      <w:r w:rsidR="0069674D" w:rsidRPr="0069674D">
        <w:rPr>
          <w:rFonts w:cs="Arial"/>
          <w:noProof/>
          <w:szCs w:val="24"/>
        </w:rPr>
        <w:t xml:space="preserve">Anipsitakis, George P., and Dionysios D. Dionysiou. 2004. “Radical Generation by the Interaction of Transition Metals with Common Oxidants.” </w:t>
      </w:r>
      <w:r w:rsidR="0069674D" w:rsidRPr="0069674D">
        <w:rPr>
          <w:rFonts w:cs="Arial"/>
          <w:i/>
          <w:iCs/>
          <w:noProof/>
          <w:szCs w:val="24"/>
        </w:rPr>
        <w:t>Environmental Science and Technology</w:t>
      </w:r>
      <w:r w:rsidR="0069674D" w:rsidRPr="0069674D">
        <w:rPr>
          <w:rFonts w:cs="Arial"/>
          <w:noProof/>
          <w:szCs w:val="24"/>
        </w:rPr>
        <w:t xml:space="preserve"> 38(13):3705–12. doi: 10.1021/es035121o.</w:t>
      </w:r>
    </w:p>
    <w:p w14:paraId="2CB0ABB4" w14:textId="77777777" w:rsidR="0069674D" w:rsidRPr="0069674D" w:rsidRDefault="0069674D" w:rsidP="0069674D">
      <w:pPr>
        <w:widowControl w:val="0"/>
        <w:autoSpaceDE w:val="0"/>
        <w:autoSpaceDN w:val="0"/>
        <w:adjustRightInd w:val="0"/>
        <w:spacing w:line="240" w:lineRule="auto"/>
        <w:ind w:left="480" w:hanging="480"/>
        <w:rPr>
          <w:rFonts w:cs="Arial"/>
          <w:noProof/>
          <w:szCs w:val="24"/>
        </w:rPr>
      </w:pPr>
      <w:r w:rsidRPr="0069674D">
        <w:rPr>
          <w:rFonts w:cs="Arial"/>
          <w:noProof/>
          <w:szCs w:val="24"/>
        </w:rPr>
        <w:t xml:space="preserve">Chen, Jiao, Juan Shu, Zhang Anqi, Heng Juyuan, Zhengyu Yan, and Jianqiu Chen. 2016. “Synthesis of Carbon Quantum Dots/TiO2 Nanocomposite for Photo-Degradation of Rhodamine B and Cefradine.” </w:t>
      </w:r>
      <w:r w:rsidRPr="0069674D">
        <w:rPr>
          <w:rFonts w:cs="Arial"/>
          <w:i/>
          <w:iCs/>
          <w:noProof/>
          <w:szCs w:val="24"/>
        </w:rPr>
        <w:t>Diamond and Related Materials</w:t>
      </w:r>
      <w:r w:rsidRPr="0069674D">
        <w:rPr>
          <w:rFonts w:cs="Arial"/>
          <w:noProof/>
          <w:szCs w:val="24"/>
        </w:rPr>
        <w:t xml:space="preserve"> 70:137–44. doi: 10.1016/j.diamond.2016.10.023.</w:t>
      </w:r>
    </w:p>
    <w:p w14:paraId="10B7E678" w14:textId="77777777" w:rsidR="0069674D" w:rsidRPr="0069674D" w:rsidRDefault="0069674D" w:rsidP="0069674D">
      <w:pPr>
        <w:widowControl w:val="0"/>
        <w:autoSpaceDE w:val="0"/>
        <w:autoSpaceDN w:val="0"/>
        <w:adjustRightInd w:val="0"/>
        <w:spacing w:line="240" w:lineRule="auto"/>
        <w:ind w:left="480" w:hanging="480"/>
        <w:rPr>
          <w:rFonts w:cs="Arial"/>
          <w:noProof/>
          <w:szCs w:val="24"/>
        </w:rPr>
      </w:pPr>
      <w:r w:rsidRPr="0069674D">
        <w:rPr>
          <w:rFonts w:cs="Arial"/>
          <w:noProof/>
          <w:szCs w:val="24"/>
        </w:rPr>
        <w:t xml:space="preserve">Deng, Yang, and Casey M. Ezyske. 2011. “Sulfate Radical-Advanced Oxidation Process (SR-AOP) for Simultaneous Removal of Refractory Organic Contaminants and Ammonia in Landfill Leachate.” </w:t>
      </w:r>
      <w:r w:rsidRPr="0069674D">
        <w:rPr>
          <w:rFonts w:cs="Arial"/>
          <w:i/>
          <w:iCs/>
          <w:noProof/>
          <w:szCs w:val="24"/>
        </w:rPr>
        <w:t>Water Research</w:t>
      </w:r>
      <w:r w:rsidRPr="0069674D">
        <w:rPr>
          <w:rFonts w:cs="Arial"/>
          <w:noProof/>
          <w:szCs w:val="24"/>
        </w:rPr>
        <w:t xml:space="preserve"> 45(18):6189–94. doi: 10.1016/j.watres.2011.09.015.</w:t>
      </w:r>
    </w:p>
    <w:p w14:paraId="7A114768" w14:textId="77777777" w:rsidR="0069674D" w:rsidRPr="0069674D" w:rsidRDefault="0069674D" w:rsidP="0069674D">
      <w:pPr>
        <w:widowControl w:val="0"/>
        <w:autoSpaceDE w:val="0"/>
        <w:autoSpaceDN w:val="0"/>
        <w:adjustRightInd w:val="0"/>
        <w:spacing w:line="240" w:lineRule="auto"/>
        <w:ind w:left="480" w:hanging="480"/>
        <w:rPr>
          <w:rFonts w:cs="Arial"/>
          <w:noProof/>
          <w:szCs w:val="24"/>
        </w:rPr>
      </w:pPr>
      <w:r w:rsidRPr="0069674D">
        <w:rPr>
          <w:rFonts w:cs="Arial"/>
          <w:noProof/>
          <w:szCs w:val="24"/>
        </w:rPr>
        <w:t>ISO11733. 2004. “ISO 11733:2004 Water Quality — Determination of the Elimination and Biodegradability of Organic Compounds in an Aqueous Medium — Activated Sludge Simulation Test.” Retrieved (https://www.iso.org/standard/34416.html).</w:t>
      </w:r>
    </w:p>
    <w:p w14:paraId="03ED5B5E" w14:textId="77777777" w:rsidR="0069674D" w:rsidRPr="0069674D" w:rsidRDefault="0069674D" w:rsidP="0069674D">
      <w:pPr>
        <w:widowControl w:val="0"/>
        <w:autoSpaceDE w:val="0"/>
        <w:autoSpaceDN w:val="0"/>
        <w:adjustRightInd w:val="0"/>
        <w:spacing w:line="240" w:lineRule="auto"/>
        <w:ind w:left="480" w:hanging="480"/>
        <w:rPr>
          <w:rFonts w:cs="Arial"/>
          <w:noProof/>
          <w:szCs w:val="24"/>
        </w:rPr>
      </w:pPr>
      <w:r w:rsidRPr="0069674D">
        <w:rPr>
          <w:rFonts w:cs="Arial"/>
          <w:noProof/>
          <w:szCs w:val="24"/>
        </w:rPr>
        <w:t xml:space="preserve">Izadifard, Maryam, Gopal Achari, and Cooper H. Langford. 2017. “Degradation of Sulfolane Using Activated Persulfate with UV and UV-Ozone.” </w:t>
      </w:r>
      <w:r w:rsidRPr="0069674D">
        <w:rPr>
          <w:rFonts w:cs="Arial"/>
          <w:i/>
          <w:iCs/>
          <w:noProof/>
          <w:szCs w:val="24"/>
        </w:rPr>
        <w:t>Water Research</w:t>
      </w:r>
      <w:r w:rsidRPr="0069674D">
        <w:rPr>
          <w:rFonts w:cs="Arial"/>
          <w:noProof/>
          <w:szCs w:val="24"/>
        </w:rPr>
        <w:t xml:space="preserve"> 125:325–31. doi: 10.1016/j.watres.2017.07.042.</w:t>
      </w:r>
    </w:p>
    <w:p w14:paraId="43D6DEEB" w14:textId="4FECBB48" w:rsidR="0069674D" w:rsidRPr="0069674D" w:rsidRDefault="0069674D" w:rsidP="0069674D">
      <w:pPr>
        <w:widowControl w:val="0"/>
        <w:autoSpaceDE w:val="0"/>
        <w:autoSpaceDN w:val="0"/>
        <w:adjustRightInd w:val="0"/>
        <w:spacing w:line="240" w:lineRule="auto"/>
        <w:ind w:left="480" w:hanging="480"/>
        <w:rPr>
          <w:rFonts w:cs="Arial"/>
          <w:noProof/>
          <w:szCs w:val="24"/>
        </w:rPr>
      </w:pPr>
      <w:r w:rsidRPr="0069674D">
        <w:rPr>
          <w:rFonts w:cs="Arial"/>
          <w:noProof/>
          <w:szCs w:val="24"/>
        </w:rPr>
        <w:t xml:space="preserve">Kanafin, Yerkanat N., Ardak Makhatova, Vasilios Zarikas, Elizabeth Arkhangelsky, and Stavros G. Poulopoulos. 2021. “Photo-Fenton-like Treatment of Municipal Wastewater.” </w:t>
      </w:r>
      <w:r w:rsidRPr="0069674D">
        <w:rPr>
          <w:rFonts w:cs="Arial"/>
          <w:i/>
          <w:iCs/>
          <w:noProof/>
          <w:szCs w:val="24"/>
        </w:rPr>
        <w:t>Catalysts</w:t>
      </w:r>
      <w:r w:rsidRPr="0069674D">
        <w:rPr>
          <w:rFonts w:cs="Arial"/>
          <w:noProof/>
          <w:szCs w:val="24"/>
        </w:rPr>
        <w:t xml:space="preserve"> 11(10):1206.</w:t>
      </w:r>
      <w:r w:rsidR="00453165">
        <w:rPr>
          <w:rFonts w:cs="Arial"/>
          <w:noProof/>
          <w:szCs w:val="24"/>
        </w:rPr>
        <w:t xml:space="preserve"> </w:t>
      </w:r>
      <w:r w:rsidR="00453165" w:rsidRPr="00453165">
        <w:rPr>
          <w:rFonts w:cs="Arial"/>
          <w:noProof/>
          <w:szCs w:val="24"/>
        </w:rPr>
        <w:t>doi.org/10.3390/catal11101206</w:t>
      </w:r>
    </w:p>
    <w:p w14:paraId="2532B8EF" w14:textId="77777777" w:rsidR="0069674D" w:rsidRPr="0069674D" w:rsidRDefault="0069674D" w:rsidP="0069674D">
      <w:pPr>
        <w:widowControl w:val="0"/>
        <w:autoSpaceDE w:val="0"/>
        <w:autoSpaceDN w:val="0"/>
        <w:adjustRightInd w:val="0"/>
        <w:spacing w:line="240" w:lineRule="auto"/>
        <w:ind w:left="480" w:hanging="480"/>
        <w:rPr>
          <w:rFonts w:cs="Arial"/>
          <w:noProof/>
          <w:szCs w:val="24"/>
        </w:rPr>
      </w:pPr>
      <w:r w:rsidRPr="0069674D">
        <w:rPr>
          <w:rFonts w:cs="Arial"/>
          <w:noProof/>
          <w:szCs w:val="24"/>
        </w:rPr>
        <w:t xml:space="preserve">Kanafin, Yerkanat N., Aliya Satayeva, Elizabeth Arkhangelsky, and Stavros G. Poulopoulos. 2021. “Treatment of a Biological Effluent Containing Metronidazole.” </w:t>
      </w:r>
      <w:r w:rsidRPr="0069674D">
        <w:rPr>
          <w:rFonts w:cs="Arial"/>
          <w:i/>
          <w:iCs/>
          <w:noProof/>
          <w:szCs w:val="24"/>
        </w:rPr>
        <w:t>Chemical Engineering Transactions</w:t>
      </w:r>
      <w:r w:rsidRPr="0069674D">
        <w:rPr>
          <w:rFonts w:cs="Arial"/>
          <w:noProof/>
          <w:szCs w:val="24"/>
        </w:rPr>
        <w:t xml:space="preserve"> 86:595–600. doi: 10.3303/CET2186100.</w:t>
      </w:r>
    </w:p>
    <w:p w14:paraId="25ED8151" w14:textId="77777777" w:rsidR="0069674D" w:rsidRPr="0069674D" w:rsidRDefault="0069674D" w:rsidP="0069674D">
      <w:pPr>
        <w:widowControl w:val="0"/>
        <w:autoSpaceDE w:val="0"/>
        <w:autoSpaceDN w:val="0"/>
        <w:adjustRightInd w:val="0"/>
        <w:spacing w:line="240" w:lineRule="auto"/>
        <w:ind w:left="480" w:hanging="480"/>
        <w:rPr>
          <w:rFonts w:cs="Arial"/>
          <w:noProof/>
          <w:szCs w:val="24"/>
        </w:rPr>
      </w:pPr>
      <w:r w:rsidRPr="00033868">
        <w:rPr>
          <w:rFonts w:cs="Arial"/>
          <w:noProof/>
          <w:szCs w:val="24"/>
          <w:lang w:val="de-DE"/>
        </w:rPr>
        <w:t xml:space="preserve">Lee, Jaesang, Urs Von Gunten, and Jae Hong Kim. 2020. </w:t>
      </w:r>
      <w:r w:rsidRPr="0069674D">
        <w:rPr>
          <w:rFonts w:cs="Arial"/>
          <w:noProof/>
          <w:szCs w:val="24"/>
        </w:rPr>
        <w:t xml:space="preserve">“Persulfate-Based Advanced Oxidation: Critical Assessment of Opportunities and Roadblocks.” </w:t>
      </w:r>
      <w:r w:rsidRPr="0069674D">
        <w:rPr>
          <w:rFonts w:cs="Arial"/>
          <w:i/>
          <w:iCs/>
          <w:noProof/>
          <w:szCs w:val="24"/>
        </w:rPr>
        <w:t>Environmental Science and Technology</w:t>
      </w:r>
      <w:r w:rsidRPr="0069674D">
        <w:rPr>
          <w:rFonts w:cs="Arial"/>
          <w:noProof/>
          <w:szCs w:val="24"/>
        </w:rPr>
        <w:t xml:space="preserve"> 54(6):3064–81.</w:t>
      </w:r>
    </w:p>
    <w:p w14:paraId="2386C7C2" w14:textId="77777777" w:rsidR="0069674D" w:rsidRPr="0069674D" w:rsidRDefault="0069674D" w:rsidP="0069674D">
      <w:pPr>
        <w:widowControl w:val="0"/>
        <w:autoSpaceDE w:val="0"/>
        <w:autoSpaceDN w:val="0"/>
        <w:adjustRightInd w:val="0"/>
        <w:spacing w:line="240" w:lineRule="auto"/>
        <w:ind w:left="480" w:hanging="480"/>
        <w:rPr>
          <w:rFonts w:cs="Arial"/>
          <w:noProof/>
          <w:szCs w:val="24"/>
        </w:rPr>
      </w:pPr>
      <w:r w:rsidRPr="0069674D">
        <w:rPr>
          <w:rFonts w:cs="Arial"/>
          <w:noProof/>
          <w:szCs w:val="24"/>
        </w:rPr>
        <w:t xml:space="preserve">Li, Ruiping, Shaoming Hong, Xiaocong Li, Bin Zhang, Hailin Tian, and Yingping Huang. 2019. “Optimization of Photocatalytic Degradation of Cefradine Using a ‘Green’ Goethite/H2O2 System.” </w:t>
      </w:r>
      <w:r w:rsidRPr="0069674D">
        <w:rPr>
          <w:rFonts w:cs="Arial"/>
          <w:i/>
          <w:iCs/>
          <w:noProof/>
          <w:szCs w:val="24"/>
        </w:rPr>
        <w:t>Journal of Industrial and Engineering Chemistry</w:t>
      </w:r>
      <w:r w:rsidRPr="0069674D">
        <w:rPr>
          <w:rFonts w:cs="Arial"/>
          <w:noProof/>
          <w:szCs w:val="24"/>
        </w:rPr>
        <w:t xml:space="preserve"> 78:90–96. doi: 10.1016/j.jiec.2019.06.035.</w:t>
      </w:r>
    </w:p>
    <w:p w14:paraId="04AA3453" w14:textId="77777777" w:rsidR="0069674D" w:rsidRPr="0069674D" w:rsidRDefault="0069674D" w:rsidP="0069674D">
      <w:pPr>
        <w:widowControl w:val="0"/>
        <w:autoSpaceDE w:val="0"/>
        <w:autoSpaceDN w:val="0"/>
        <w:adjustRightInd w:val="0"/>
        <w:spacing w:line="240" w:lineRule="auto"/>
        <w:ind w:left="480" w:hanging="480"/>
        <w:rPr>
          <w:rFonts w:cs="Arial"/>
          <w:noProof/>
          <w:szCs w:val="24"/>
        </w:rPr>
      </w:pPr>
      <w:r w:rsidRPr="0069674D">
        <w:rPr>
          <w:rFonts w:cs="Arial"/>
          <w:noProof/>
          <w:szCs w:val="24"/>
        </w:rPr>
        <w:t xml:space="preserve">Mergenbayeva, Saule, Timur Sh Atabaev, and Stavros G. Poulopoulos. 2021. “Ti2O3/TiO2-Assisted Solar Photocatalytic Degradation of 4-Tert-Butylphenol in Water.” </w:t>
      </w:r>
      <w:r w:rsidRPr="0069674D">
        <w:rPr>
          <w:rFonts w:cs="Arial"/>
          <w:i/>
          <w:iCs/>
          <w:noProof/>
          <w:szCs w:val="24"/>
        </w:rPr>
        <w:t>Catalysts</w:t>
      </w:r>
      <w:r w:rsidRPr="0069674D">
        <w:rPr>
          <w:rFonts w:cs="Arial"/>
          <w:noProof/>
          <w:szCs w:val="24"/>
        </w:rPr>
        <w:t xml:space="preserve"> 11(11):18–20. doi: 10.3390/catal11111379.</w:t>
      </w:r>
    </w:p>
    <w:p w14:paraId="10A5F546" w14:textId="77777777" w:rsidR="0069674D" w:rsidRPr="0069674D" w:rsidRDefault="0069674D" w:rsidP="0069674D">
      <w:pPr>
        <w:widowControl w:val="0"/>
        <w:autoSpaceDE w:val="0"/>
        <w:autoSpaceDN w:val="0"/>
        <w:adjustRightInd w:val="0"/>
        <w:spacing w:line="240" w:lineRule="auto"/>
        <w:ind w:left="480" w:hanging="480"/>
        <w:rPr>
          <w:rFonts w:cs="Arial"/>
          <w:noProof/>
          <w:szCs w:val="24"/>
        </w:rPr>
      </w:pPr>
      <w:r w:rsidRPr="0069674D">
        <w:rPr>
          <w:rFonts w:cs="Arial"/>
          <w:noProof/>
          <w:szCs w:val="24"/>
        </w:rPr>
        <w:t xml:space="preserve">Mergenbayeva, Saule, and Stavros G. Poulopoulos. 2022. “Comparative Study on UV-AOPs for Efficient Continuous Flow Removal of 4-Tert-Butylphenol.” </w:t>
      </w:r>
      <w:r w:rsidRPr="0069674D">
        <w:rPr>
          <w:rFonts w:cs="Arial"/>
          <w:i/>
          <w:iCs/>
          <w:noProof/>
          <w:szCs w:val="24"/>
        </w:rPr>
        <w:t>Processes</w:t>
      </w:r>
      <w:r w:rsidRPr="0069674D">
        <w:rPr>
          <w:rFonts w:cs="Arial"/>
          <w:noProof/>
          <w:szCs w:val="24"/>
        </w:rPr>
        <w:t xml:space="preserve"> 10(1). doi: 10.3390/pr10010008.</w:t>
      </w:r>
    </w:p>
    <w:p w14:paraId="49BF3CD8" w14:textId="77777777" w:rsidR="0069674D" w:rsidRPr="0069674D" w:rsidRDefault="0069674D" w:rsidP="0069674D">
      <w:pPr>
        <w:widowControl w:val="0"/>
        <w:autoSpaceDE w:val="0"/>
        <w:autoSpaceDN w:val="0"/>
        <w:adjustRightInd w:val="0"/>
        <w:spacing w:line="240" w:lineRule="auto"/>
        <w:ind w:left="480" w:hanging="480"/>
        <w:rPr>
          <w:rFonts w:cs="Arial"/>
          <w:noProof/>
          <w:szCs w:val="24"/>
        </w:rPr>
      </w:pPr>
      <w:r w:rsidRPr="0069674D">
        <w:rPr>
          <w:rFonts w:cs="Arial"/>
          <w:noProof/>
          <w:szCs w:val="24"/>
        </w:rPr>
        <w:t xml:space="preserve">Philippopoulos, C. J., and S. G. Poulopoulos. 2003. “Photo-Assisted Oxidation of an Oily Wastewater Using Hydrogen Peroxide.” </w:t>
      </w:r>
      <w:r w:rsidRPr="0069674D">
        <w:rPr>
          <w:rFonts w:cs="Arial"/>
          <w:i/>
          <w:iCs/>
          <w:noProof/>
          <w:szCs w:val="24"/>
        </w:rPr>
        <w:t>Journal of Hazardous Materials</w:t>
      </w:r>
      <w:r w:rsidRPr="0069674D">
        <w:rPr>
          <w:rFonts w:cs="Arial"/>
          <w:noProof/>
          <w:szCs w:val="24"/>
        </w:rPr>
        <w:t xml:space="preserve"> 98(1–3):201–10. doi: 10.1016/S0304-3894(02)00357-6.</w:t>
      </w:r>
    </w:p>
    <w:p w14:paraId="488E1012" w14:textId="77777777" w:rsidR="0069674D" w:rsidRPr="0069674D" w:rsidRDefault="0069674D" w:rsidP="0069674D">
      <w:pPr>
        <w:widowControl w:val="0"/>
        <w:autoSpaceDE w:val="0"/>
        <w:autoSpaceDN w:val="0"/>
        <w:adjustRightInd w:val="0"/>
        <w:spacing w:line="240" w:lineRule="auto"/>
        <w:ind w:left="480" w:hanging="480"/>
        <w:rPr>
          <w:rFonts w:cs="Arial"/>
          <w:noProof/>
          <w:szCs w:val="24"/>
        </w:rPr>
      </w:pPr>
      <w:r w:rsidRPr="0069674D">
        <w:rPr>
          <w:rFonts w:cs="Arial"/>
          <w:noProof/>
          <w:szCs w:val="24"/>
        </w:rPr>
        <w:t xml:space="preserve">Sato, Toshio, Manzoor Qadir, Sadahiro Yamamoto, Tsuneyoshi Endo, and Ahmad Zahoor. 2013. “Global, Regional, and Country Level Need for Data on Wastewater Generation, Treatment, and Use.” </w:t>
      </w:r>
      <w:r w:rsidRPr="0069674D">
        <w:rPr>
          <w:rFonts w:cs="Arial"/>
          <w:i/>
          <w:iCs/>
          <w:noProof/>
          <w:szCs w:val="24"/>
        </w:rPr>
        <w:t>Agricultural Water Management</w:t>
      </w:r>
      <w:r w:rsidRPr="0069674D">
        <w:rPr>
          <w:rFonts w:cs="Arial"/>
          <w:noProof/>
          <w:szCs w:val="24"/>
        </w:rPr>
        <w:t xml:space="preserve"> 130:1–13. doi: 10.1016/j.agwat.2013.08.007.</w:t>
      </w:r>
    </w:p>
    <w:p w14:paraId="0D0B6812" w14:textId="77777777" w:rsidR="0069674D" w:rsidRPr="0069674D" w:rsidRDefault="0069674D" w:rsidP="0069674D">
      <w:pPr>
        <w:widowControl w:val="0"/>
        <w:autoSpaceDE w:val="0"/>
        <w:autoSpaceDN w:val="0"/>
        <w:adjustRightInd w:val="0"/>
        <w:spacing w:line="240" w:lineRule="auto"/>
        <w:ind w:left="480" w:hanging="480"/>
        <w:rPr>
          <w:rFonts w:cs="Arial"/>
          <w:noProof/>
          <w:szCs w:val="24"/>
        </w:rPr>
      </w:pPr>
      <w:r w:rsidRPr="0069674D">
        <w:rPr>
          <w:rFonts w:cs="Arial"/>
          <w:noProof/>
          <w:szCs w:val="24"/>
        </w:rPr>
        <w:t xml:space="preserve">Wu, Dan, Xukai Li, Jingxian Zhang, Weirui Chen, Ping Lu, Yiming Tang, and Laisheng Li. 2018. “Efficient PFOA Degradation by Persulfate-Assisted Photocatalytic Ozonation.” </w:t>
      </w:r>
      <w:r w:rsidRPr="0069674D">
        <w:rPr>
          <w:rFonts w:cs="Arial"/>
          <w:i/>
          <w:iCs/>
          <w:noProof/>
          <w:szCs w:val="24"/>
        </w:rPr>
        <w:t>Separation and Purification Technology</w:t>
      </w:r>
      <w:r w:rsidRPr="0069674D">
        <w:rPr>
          <w:rFonts w:cs="Arial"/>
          <w:noProof/>
          <w:szCs w:val="24"/>
        </w:rPr>
        <w:t xml:space="preserve"> 207(June):255–61. doi: 10.1016/j.seppur.2018.06.059.</w:t>
      </w:r>
    </w:p>
    <w:p w14:paraId="37A61FCE" w14:textId="494764CC" w:rsidR="00DA24C6" w:rsidRPr="004F06C1" w:rsidRDefault="0069674D" w:rsidP="006A74B3">
      <w:pPr>
        <w:widowControl w:val="0"/>
        <w:autoSpaceDE w:val="0"/>
        <w:autoSpaceDN w:val="0"/>
        <w:adjustRightInd w:val="0"/>
        <w:spacing w:line="240" w:lineRule="auto"/>
        <w:ind w:left="480" w:hanging="480"/>
        <w:rPr>
          <w:szCs w:val="18"/>
        </w:rPr>
      </w:pPr>
      <w:r w:rsidRPr="0069674D">
        <w:rPr>
          <w:rFonts w:cs="Arial"/>
          <w:noProof/>
          <w:szCs w:val="24"/>
        </w:rPr>
        <w:t xml:space="preserve">Zhang, Hui, Yanli Li, Xiaogang Wu, Yanjun Zhang, and Daobin Zhang. 2010. “Application of Response Surface Methodology to the Treatment Landfill Leachate in a Three-Dimensional Electrochemical Reactor.” </w:t>
      </w:r>
      <w:r w:rsidRPr="0069674D">
        <w:rPr>
          <w:rFonts w:cs="Arial"/>
          <w:i/>
          <w:iCs/>
          <w:noProof/>
          <w:szCs w:val="24"/>
        </w:rPr>
        <w:t xml:space="preserve">Waste </w:t>
      </w:r>
      <w:r w:rsidRPr="0069674D">
        <w:rPr>
          <w:rFonts w:cs="Arial"/>
          <w:i/>
          <w:iCs/>
          <w:noProof/>
          <w:szCs w:val="24"/>
        </w:rPr>
        <w:lastRenderedPageBreak/>
        <w:t>Management</w:t>
      </w:r>
      <w:r w:rsidRPr="0069674D">
        <w:rPr>
          <w:rFonts w:cs="Arial"/>
          <w:noProof/>
          <w:szCs w:val="24"/>
        </w:rPr>
        <w:t xml:space="preserve"> 30(11):2096–2102. doi: 10.1016/j.wasman.2010.04.029.</w:t>
      </w:r>
      <w:r w:rsidR="004F06C1" w:rsidRPr="00353A3F">
        <w:rPr>
          <w:szCs w:val="18"/>
        </w:rPr>
        <w:fldChar w:fldCharType="end"/>
      </w:r>
    </w:p>
    <w:sectPr w:rsidR="00DA24C6" w:rsidRPr="004F06C1"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2C5CC" w14:textId="77777777" w:rsidR="007C0A59" w:rsidRDefault="007C0A59" w:rsidP="004F5E36">
      <w:r>
        <w:separator/>
      </w:r>
    </w:p>
  </w:endnote>
  <w:endnote w:type="continuationSeparator" w:id="0">
    <w:p w14:paraId="7BF79F99" w14:textId="77777777" w:rsidR="007C0A59" w:rsidRDefault="007C0A5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6DFA3" w14:textId="77777777" w:rsidR="007C0A59" w:rsidRDefault="007C0A59" w:rsidP="004F5E36">
      <w:r>
        <w:separator/>
      </w:r>
    </w:p>
  </w:footnote>
  <w:footnote w:type="continuationSeparator" w:id="0">
    <w:p w14:paraId="09E5863D" w14:textId="77777777" w:rsidR="007C0A59" w:rsidRDefault="007C0A5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54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22B505C"/>
    <w:multiLevelType w:val="hybridMultilevel"/>
    <w:tmpl w:val="C9BE1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E3818A2"/>
    <w:multiLevelType w:val="multilevel"/>
    <w:tmpl w:val="7D188E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20"/>
  </w:num>
  <w:num w:numId="16">
    <w:abstractNumId w:val="19"/>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2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27C0"/>
    <w:rsid w:val="000052FB"/>
    <w:rsid w:val="000117CB"/>
    <w:rsid w:val="00025113"/>
    <w:rsid w:val="0003148D"/>
    <w:rsid w:val="00033868"/>
    <w:rsid w:val="00051566"/>
    <w:rsid w:val="00052723"/>
    <w:rsid w:val="00055DAE"/>
    <w:rsid w:val="00056D2F"/>
    <w:rsid w:val="00062A9A"/>
    <w:rsid w:val="00065058"/>
    <w:rsid w:val="00065910"/>
    <w:rsid w:val="00086C39"/>
    <w:rsid w:val="00090844"/>
    <w:rsid w:val="000A03B2"/>
    <w:rsid w:val="000B7697"/>
    <w:rsid w:val="000D34BE"/>
    <w:rsid w:val="000D3FE8"/>
    <w:rsid w:val="000E102F"/>
    <w:rsid w:val="000E122C"/>
    <w:rsid w:val="000E2E9B"/>
    <w:rsid w:val="000E36F1"/>
    <w:rsid w:val="000E3A73"/>
    <w:rsid w:val="000E414A"/>
    <w:rsid w:val="000E4415"/>
    <w:rsid w:val="000F093C"/>
    <w:rsid w:val="000F787B"/>
    <w:rsid w:val="00114D7D"/>
    <w:rsid w:val="0012091F"/>
    <w:rsid w:val="00126BC2"/>
    <w:rsid w:val="001308B6"/>
    <w:rsid w:val="0013121F"/>
    <w:rsid w:val="00131FE6"/>
    <w:rsid w:val="0013263F"/>
    <w:rsid w:val="00134DE4"/>
    <w:rsid w:val="0014034D"/>
    <w:rsid w:val="0014464F"/>
    <w:rsid w:val="00150E59"/>
    <w:rsid w:val="00152DE3"/>
    <w:rsid w:val="00155D51"/>
    <w:rsid w:val="00160695"/>
    <w:rsid w:val="00164951"/>
    <w:rsid w:val="00164CF9"/>
    <w:rsid w:val="0017227B"/>
    <w:rsid w:val="00172F88"/>
    <w:rsid w:val="00174A4F"/>
    <w:rsid w:val="001753AD"/>
    <w:rsid w:val="001758D7"/>
    <w:rsid w:val="00180860"/>
    <w:rsid w:val="00180DF1"/>
    <w:rsid w:val="00184AD6"/>
    <w:rsid w:val="00196E70"/>
    <w:rsid w:val="001A1651"/>
    <w:rsid w:val="001A4779"/>
    <w:rsid w:val="001A5B78"/>
    <w:rsid w:val="001B0349"/>
    <w:rsid w:val="001B17DC"/>
    <w:rsid w:val="001B65C1"/>
    <w:rsid w:val="001C684B"/>
    <w:rsid w:val="001C6E05"/>
    <w:rsid w:val="001D53FC"/>
    <w:rsid w:val="001D7062"/>
    <w:rsid w:val="001E10A0"/>
    <w:rsid w:val="001F01C8"/>
    <w:rsid w:val="001F42A5"/>
    <w:rsid w:val="001F7B9D"/>
    <w:rsid w:val="002148F7"/>
    <w:rsid w:val="002224B4"/>
    <w:rsid w:val="00236805"/>
    <w:rsid w:val="002447EF"/>
    <w:rsid w:val="00251550"/>
    <w:rsid w:val="00254447"/>
    <w:rsid w:val="00262E37"/>
    <w:rsid w:val="00263B05"/>
    <w:rsid w:val="00270343"/>
    <w:rsid w:val="0027221A"/>
    <w:rsid w:val="002727CE"/>
    <w:rsid w:val="00275B61"/>
    <w:rsid w:val="00280E77"/>
    <w:rsid w:val="00281B44"/>
    <w:rsid w:val="00282656"/>
    <w:rsid w:val="00286120"/>
    <w:rsid w:val="0028656F"/>
    <w:rsid w:val="00287A59"/>
    <w:rsid w:val="00294380"/>
    <w:rsid w:val="00296B83"/>
    <w:rsid w:val="002970EF"/>
    <w:rsid w:val="002A168A"/>
    <w:rsid w:val="002A6321"/>
    <w:rsid w:val="002B78CE"/>
    <w:rsid w:val="002C068E"/>
    <w:rsid w:val="002C2FB6"/>
    <w:rsid w:val="002D32BE"/>
    <w:rsid w:val="002D4EC0"/>
    <w:rsid w:val="002E6AFE"/>
    <w:rsid w:val="002F0F99"/>
    <w:rsid w:val="002F5334"/>
    <w:rsid w:val="002F7BEF"/>
    <w:rsid w:val="003009B1"/>
    <w:rsid w:val="003009B7"/>
    <w:rsid w:val="00300E56"/>
    <w:rsid w:val="0030469C"/>
    <w:rsid w:val="00304FF6"/>
    <w:rsid w:val="00317C3B"/>
    <w:rsid w:val="00321CA6"/>
    <w:rsid w:val="00322456"/>
    <w:rsid w:val="00334C09"/>
    <w:rsid w:val="003421E7"/>
    <w:rsid w:val="00345229"/>
    <w:rsid w:val="00352E0A"/>
    <w:rsid w:val="003658EF"/>
    <w:rsid w:val="003723D4"/>
    <w:rsid w:val="00381754"/>
    <w:rsid w:val="00383F4B"/>
    <w:rsid w:val="00384CC8"/>
    <w:rsid w:val="003871FD"/>
    <w:rsid w:val="003A1E30"/>
    <w:rsid w:val="003A7993"/>
    <w:rsid w:val="003A7D1C"/>
    <w:rsid w:val="003B063D"/>
    <w:rsid w:val="003B304B"/>
    <w:rsid w:val="003B3146"/>
    <w:rsid w:val="003B3171"/>
    <w:rsid w:val="003F015E"/>
    <w:rsid w:val="003F2B99"/>
    <w:rsid w:val="00400414"/>
    <w:rsid w:val="0041446B"/>
    <w:rsid w:val="00415855"/>
    <w:rsid w:val="0042248C"/>
    <w:rsid w:val="00426556"/>
    <w:rsid w:val="00435291"/>
    <w:rsid w:val="0044329C"/>
    <w:rsid w:val="004440D9"/>
    <w:rsid w:val="00450223"/>
    <w:rsid w:val="00453165"/>
    <w:rsid w:val="004577FE"/>
    <w:rsid w:val="00457B9C"/>
    <w:rsid w:val="0046164A"/>
    <w:rsid w:val="004628D2"/>
    <w:rsid w:val="00462DCD"/>
    <w:rsid w:val="004648AD"/>
    <w:rsid w:val="00467975"/>
    <w:rsid w:val="004703A9"/>
    <w:rsid w:val="004760DE"/>
    <w:rsid w:val="00480C28"/>
    <w:rsid w:val="00490A9A"/>
    <w:rsid w:val="004912AF"/>
    <w:rsid w:val="004A004E"/>
    <w:rsid w:val="004A24CF"/>
    <w:rsid w:val="004A5CA5"/>
    <w:rsid w:val="004B0334"/>
    <w:rsid w:val="004B376D"/>
    <w:rsid w:val="004B4393"/>
    <w:rsid w:val="004C3D1D"/>
    <w:rsid w:val="004C7913"/>
    <w:rsid w:val="004E3E16"/>
    <w:rsid w:val="004E4DD6"/>
    <w:rsid w:val="004E5D9F"/>
    <w:rsid w:val="004E61A6"/>
    <w:rsid w:val="004F06C1"/>
    <w:rsid w:val="004F5E36"/>
    <w:rsid w:val="005003B7"/>
    <w:rsid w:val="00507B47"/>
    <w:rsid w:val="00507CC9"/>
    <w:rsid w:val="005101E2"/>
    <w:rsid w:val="005119A5"/>
    <w:rsid w:val="00514143"/>
    <w:rsid w:val="00516D93"/>
    <w:rsid w:val="005228E0"/>
    <w:rsid w:val="005278B7"/>
    <w:rsid w:val="00532016"/>
    <w:rsid w:val="005346C8"/>
    <w:rsid w:val="00541A0B"/>
    <w:rsid w:val="00543E7D"/>
    <w:rsid w:val="00546664"/>
    <w:rsid w:val="00547A68"/>
    <w:rsid w:val="005531C9"/>
    <w:rsid w:val="00564724"/>
    <w:rsid w:val="00565BFB"/>
    <w:rsid w:val="00576715"/>
    <w:rsid w:val="0058007A"/>
    <w:rsid w:val="00580326"/>
    <w:rsid w:val="005841E3"/>
    <w:rsid w:val="00584CD8"/>
    <w:rsid w:val="005A3E9C"/>
    <w:rsid w:val="005B2110"/>
    <w:rsid w:val="005B4E24"/>
    <w:rsid w:val="005B61E6"/>
    <w:rsid w:val="005C3ACB"/>
    <w:rsid w:val="005C77E1"/>
    <w:rsid w:val="005D1B90"/>
    <w:rsid w:val="005D21A4"/>
    <w:rsid w:val="005D6A2F"/>
    <w:rsid w:val="005E1A7D"/>
    <w:rsid w:val="005E1A82"/>
    <w:rsid w:val="005E67DF"/>
    <w:rsid w:val="005E794C"/>
    <w:rsid w:val="005F07ED"/>
    <w:rsid w:val="005F0A28"/>
    <w:rsid w:val="005F0E5E"/>
    <w:rsid w:val="005F1C11"/>
    <w:rsid w:val="005F2D5D"/>
    <w:rsid w:val="00600535"/>
    <w:rsid w:val="00600FDD"/>
    <w:rsid w:val="0060147B"/>
    <w:rsid w:val="00604D97"/>
    <w:rsid w:val="00610CD6"/>
    <w:rsid w:val="00620C11"/>
    <w:rsid w:val="00620DEE"/>
    <w:rsid w:val="00621F92"/>
    <w:rsid w:val="006224BC"/>
    <w:rsid w:val="006229D4"/>
    <w:rsid w:val="00623F88"/>
    <w:rsid w:val="006241B1"/>
    <w:rsid w:val="00625639"/>
    <w:rsid w:val="00631B33"/>
    <w:rsid w:val="00635541"/>
    <w:rsid w:val="006362E0"/>
    <w:rsid w:val="00640B03"/>
    <w:rsid w:val="0064184D"/>
    <w:rsid w:val="006424E0"/>
    <w:rsid w:val="00653208"/>
    <w:rsid w:val="00660E3E"/>
    <w:rsid w:val="00662E74"/>
    <w:rsid w:val="00680C23"/>
    <w:rsid w:val="00687125"/>
    <w:rsid w:val="006902FC"/>
    <w:rsid w:val="00692403"/>
    <w:rsid w:val="00693766"/>
    <w:rsid w:val="0069674D"/>
    <w:rsid w:val="006A2132"/>
    <w:rsid w:val="006A3281"/>
    <w:rsid w:val="006A74B3"/>
    <w:rsid w:val="006B1767"/>
    <w:rsid w:val="006B276D"/>
    <w:rsid w:val="006B4888"/>
    <w:rsid w:val="006C1D46"/>
    <w:rsid w:val="006C2E45"/>
    <w:rsid w:val="006C359C"/>
    <w:rsid w:val="006C5579"/>
    <w:rsid w:val="006C7C84"/>
    <w:rsid w:val="006E737D"/>
    <w:rsid w:val="006F44DB"/>
    <w:rsid w:val="006F4E55"/>
    <w:rsid w:val="007016F7"/>
    <w:rsid w:val="00713821"/>
    <w:rsid w:val="00720A24"/>
    <w:rsid w:val="00723AC6"/>
    <w:rsid w:val="00726887"/>
    <w:rsid w:val="00730C3A"/>
    <w:rsid w:val="00730E58"/>
    <w:rsid w:val="00732386"/>
    <w:rsid w:val="00743A41"/>
    <w:rsid w:val="007447F3"/>
    <w:rsid w:val="00746C5C"/>
    <w:rsid w:val="00751C99"/>
    <w:rsid w:val="00753CB1"/>
    <w:rsid w:val="0075499F"/>
    <w:rsid w:val="007661C8"/>
    <w:rsid w:val="0077098D"/>
    <w:rsid w:val="007A5B4A"/>
    <w:rsid w:val="007A7BBA"/>
    <w:rsid w:val="007B0C50"/>
    <w:rsid w:val="007C0A59"/>
    <w:rsid w:val="007C0FF3"/>
    <w:rsid w:val="007C1A43"/>
    <w:rsid w:val="007C2622"/>
    <w:rsid w:val="007C2BD9"/>
    <w:rsid w:val="007E3B80"/>
    <w:rsid w:val="007E456D"/>
    <w:rsid w:val="007F310E"/>
    <w:rsid w:val="007F4D6B"/>
    <w:rsid w:val="007F7273"/>
    <w:rsid w:val="008031DA"/>
    <w:rsid w:val="0080529A"/>
    <w:rsid w:val="00813288"/>
    <w:rsid w:val="008143EF"/>
    <w:rsid w:val="008154EE"/>
    <w:rsid w:val="00815668"/>
    <w:rsid w:val="008168FC"/>
    <w:rsid w:val="0082589D"/>
    <w:rsid w:val="00830996"/>
    <w:rsid w:val="00832DD6"/>
    <w:rsid w:val="008345F1"/>
    <w:rsid w:val="00841AB9"/>
    <w:rsid w:val="00843417"/>
    <w:rsid w:val="0084754B"/>
    <w:rsid w:val="00850363"/>
    <w:rsid w:val="008524AC"/>
    <w:rsid w:val="00853D5F"/>
    <w:rsid w:val="00857D6A"/>
    <w:rsid w:val="00862D77"/>
    <w:rsid w:val="00865B07"/>
    <w:rsid w:val="008667EA"/>
    <w:rsid w:val="00873D70"/>
    <w:rsid w:val="0087637F"/>
    <w:rsid w:val="00876D4E"/>
    <w:rsid w:val="00883060"/>
    <w:rsid w:val="00892AD5"/>
    <w:rsid w:val="00893305"/>
    <w:rsid w:val="008A1512"/>
    <w:rsid w:val="008D433B"/>
    <w:rsid w:val="008E566E"/>
    <w:rsid w:val="008F01CB"/>
    <w:rsid w:val="008F07A9"/>
    <w:rsid w:val="008F51F5"/>
    <w:rsid w:val="0090161A"/>
    <w:rsid w:val="00901EB6"/>
    <w:rsid w:val="00904AD0"/>
    <w:rsid w:val="00904C62"/>
    <w:rsid w:val="00906298"/>
    <w:rsid w:val="00916674"/>
    <w:rsid w:val="0092447D"/>
    <w:rsid w:val="00924DAC"/>
    <w:rsid w:val="00927058"/>
    <w:rsid w:val="00932572"/>
    <w:rsid w:val="009450CE"/>
    <w:rsid w:val="00946853"/>
    <w:rsid w:val="009468AA"/>
    <w:rsid w:val="00947179"/>
    <w:rsid w:val="009500C3"/>
    <w:rsid w:val="0095164B"/>
    <w:rsid w:val="00954090"/>
    <w:rsid w:val="009573E7"/>
    <w:rsid w:val="00963E05"/>
    <w:rsid w:val="009643A5"/>
    <w:rsid w:val="00967D54"/>
    <w:rsid w:val="00986795"/>
    <w:rsid w:val="009872B3"/>
    <w:rsid w:val="00996483"/>
    <w:rsid w:val="00996F5A"/>
    <w:rsid w:val="00996FBA"/>
    <w:rsid w:val="00997CF4"/>
    <w:rsid w:val="009B041A"/>
    <w:rsid w:val="009B69FE"/>
    <w:rsid w:val="009C7C86"/>
    <w:rsid w:val="009D2FF7"/>
    <w:rsid w:val="009E6968"/>
    <w:rsid w:val="009E7884"/>
    <w:rsid w:val="009E788A"/>
    <w:rsid w:val="009F0E08"/>
    <w:rsid w:val="009F13E3"/>
    <w:rsid w:val="009F1CE1"/>
    <w:rsid w:val="009F29DE"/>
    <w:rsid w:val="009F2AD8"/>
    <w:rsid w:val="009F7F64"/>
    <w:rsid w:val="00A0645C"/>
    <w:rsid w:val="00A1557C"/>
    <w:rsid w:val="00A1763D"/>
    <w:rsid w:val="00A17CEC"/>
    <w:rsid w:val="00A27EF0"/>
    <w:rsid w:val="00A31B43"/>
    <w:rsid w:val="00A471B0"/>
    <w:rsid w:val="00A50B20"/>
    <w:rsid w:val="00A51390"/>
    <w:rsid w:val="00A60D13"/>
    <w:rsid w:val="00A70DF6"/>
    <w:rsid w:val="00A72745"/>
    <w:rsid w:val="00A75808"/>
    <w:rsid w:val="00A76EFC"/>
    <w:rsid w:val="00A83255"/>
    <w:rsid w:val="00A85C75"/>
    <w:rsid w:val="00A91010"/>
    <w:rsid w:val="00A97F29"/>
    <w:rsid w:val="00AA020B"/>
    <w:rsid w:val="00AA54B4"/>
    <w:rsid w:val="00AA702E"/>
    <w:rsid w:val="00AB0964"/>
    <w:rsid w:val="00AB3E3D"/>
    <w:rsid w:val="00AB4F11"/>
    <w:rsid w:val="00AB5011"/>
    <w:rsid w:val="00AC507B"/>
    <w:rsid w:val="00AC7368"/>
    <w:rsid w:val="00AD16B9"/>
    <w:rsid w:val="00AD2F95"/>
    <w:rsid w:val="00AD5451"/>
    <w:rsid w:val="00AE377D"/>
    <w:rsid w:val="00AE6EA6"/>
    <w:rsid w:val="00AF2CC6"/>
    <w:rsid w:val="00B11110"/>
    <w:rsid w:val="00B16A78"/>
    <w:rsid w:val="00B17FBD"/>
    <w:rsid w:val="00B26A9A"/>
    <w:rsid w:val="00B315A6"/>
    <w:rsid w:val="00B31813"/>
    <w:rsid w:val="00B33365"/>
    <w:rsid w:val="00B50EDD"/>
    <w:rsid w:val="00B57B36"/>
    <w:rsid w:val="00B64027"/>
    <w:rsid w:val="00B8500E"/>
    <w:rsid w:val="00B8686D"/>
    <w:rsid w:val="00B86DCD"/>
    <w:rsid w:val="00B877C9"/>
    <w:rsid w:val="00B96ECF"/>
    <w:rsid w:val="00BB3288"/>
    <w:rsid w:val="00BB5F4B"/>
    <w:rsid w:val="00BC30C9"/>
    <w:rsid w:val="00BD4EBB"/>
    <w:rsid w:val="00BD78A1"/>
    <w:rsid w:val="00BD7E59"/>
    <w:rsid w:val="00BE3E58"/>
    <w:rsid w:val="00BF2E07"/>
    <w:rsid w:val="00BF5CE3"/>
    <w:rsid w:val="00BF65AF"/>
    <w:rsid w:val="00C002B4"/>
    <w:rsid w:val="00C01616"/>
    <w:rsid w:val="00C0162B"/>
    <w:rsid w:val="00C03DD2"/>
    <w:rsid w:val="00C05296"/>
    <w:rsid w:val="00C054F9"/>
    <w:rsid w:val="00C345B1"/>
    <w:rsid w:val="00C40142"/>
    <w:rsid w:val="00C4569B"/>
    <w:rsid w:val="00C5699C"/>
    <w:rsid w:val="00C57182"/>
    <w:rsid w:val="00C57863"/>
    <w:rsid w:val="00C65407"/>
    <w:rsid w:val="00C655FD"/>
    <w:rsid w:val="00C710CC"/>
    <w:rsid w:val="00C71A65"/>
    <w:rsid w:val="00C71FB5"/>
    <w:rsid w:val="00C76559"/>
    <w:rsid w:val="00C870A8"/>
    <w:rsid w:val="00C94434"/>
    <w:rsid w:val="00C97F03"/>
    <w:rsid w:val="00CA0D75"/>
    <w:rsid w:val="00CA1C95"/>
    <w:rsid w:val="00CA5A9C"/>
    <w:rsid w:val="00CC3384"/>
    <w:rsid w:val="00CD46CA"/>
    <w:rsid w:val="00CD5CFB"/>
    <w:rsid w:val="00CD5FE2"/>
    <w:rsid w:val="00CE05C0"/>
    <w:rsid w:val="00CE7C68"/>
    <w:rsid w:val="00CF0939"/>
    <w:rsid w:val="00D02B4C"/>
    <w:rsid w:val="00D040C4"/>
    <w:rsid w:val="00D13436"/>
    <w:rsid w:val="00D22EE4"/>
    <w:rsid w:val="00D23CB2"/>
    <w:rsid w:val="00D363F8"/>
    <w:rsid w:val="00D36FDD"/>
    <w:rsid w:val="00D372AA"/>
    <w:rsid w:val="00D4089C"/>
    <w:rsid w:val="00D46E46"/>
    <w:rsid w:val="00D53384"/>
    <w:rsid w:val="00D5424D"/>
    <w:rsid w:val="00D57C84"/>
    <w:rsid w:val="00D6057D"/>
    <w:rsid w:val="00D76EDF"/>
    <w:rsid w:val="00D77548"/>
    <w:rsid w:val="00D84576"/>
    <w:rsid w:val="00D866EB"/>
    <w:rsid w:val="00D90840"/>
    <w:rsid w:val="00DA1399"/>
    <w:rsid w:val="00DA24C6"/>
    <w:rsid w:val="00DA4834"/>
    <w:rsid w:val="00DA4D7B"/>
    <w:rsid w:val="00DA65A9"/>
    <w:rsid w:val="00DB5D75"/>
    <w:rsid w:val="00DD1381"/>
    <w:rsid w:val="00DD1DB8"/>
    <w:rsid w:val="00DD4945"/>
    <w:rsid w:val="00DE264A"/>
    <w:rsid w:val="00E02D18"/>
    <w:rsid w:val="00E02D52"/>
    <w:rsid w:val="00E041E7"/>
    <w:rsid w:val="00E11B99"/>
    <w:rsid w:val="00E23CA1"/>
    <w:rsid w:val="00E25025"/>
    <w:rsid w:val="00E409A8"/>
    <w:rsid w:val="00E43346"/>
    <w:rsid w:val="00E50C12"/>
    <w:rsid w:val="00E56CA8"/>
    <w:rsid w:val="00E65B91"/>
    <w:rsid w:val="00E7209D"/>
    <w:rsid w:val="00E77223"/>
    <w:rsid w:val="00E821AA"/>
    <w:rsid w:val="00E8528B"/>
    <w:rsid w:val="00E85B94"/>
    <w:rsid w:val="00E973D7"/>
    <w:rsid w:val="00E978D0"/>
    <w:rsid w:val="00EA4613"/>
    <w:rsid w:val="00EA51F0"/>
    <w:rsid w:val="00EA7F91"/>
    <w:rsid w:val="00EB1523"/>
    <w:rsid w:val="00EC0E49"/>
    <w:rsid w:val="00EC4CAE"/>
    <w:rsid w:val="00EC508A"/>
    <w:rsid w:val="00EC6199"/>
    <w:rsid w:val="00ED625E"/>
    <w:rsid w:val="00ED6D61"/>
    <w:rsid w:val="00EE0131"/>
    <w:rsid w:val="00EF2394"/>
    <w:rsid w:val="00EF6EF3"/>
    <w:rsid w:val="00F02DAD"/>
    <w:rsid w:val="00F076C9"/>
    <w:rsid w:val="00F13A4C"/>
    <w:rsid w:val="00F30C64"/>
    <w:rsid w:val="00F32CDB"/>
    <w:rsid w:val="00F60717"/>
    <w:rsid w:val="00F63A70"/>
    <w:rsid w:val="00F77A27"/>
    <w:rsid w:val="00F812A7"/>
    <w:rsid w:val="00F81708"/>
    <w:rsid w:val="00F958CA"/>
    <w:rsid w:val="00F97CA4"/>
    <w:rsid w:val="00FA21D0"/>
    <w:rsid w:val="00FA5F5F"/>
    <w:rsid w:val="00FB3EE0"/>
    <w:rsid w:val="00FB5971"/>
    <w:rsid w:val="00FB60A0"/>
    <w:rsid w:val="00FB730C"/>
    <w:rsid w:val="00FC2695"/>
    <w:rsid w:val="00FC3E03"/>
    <w:rsid w:val="00FC3FC1"/>
    <w:rsid w:val="00FC6EFC"/>
    <w:rsid w:val="00FE480D"/>
    <w:rsid w:val="00FF333D"/>
    <w:rsid w:val="00FF3D21"/>
    <w:rsid w:val="00FF637D"/>
    <w:rsid w:val="00FF6653"/>
    <w:rsid w:val="00FF7A8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21FE475A-837F-4751-9984-5B4DC94D6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4F06C1"/>
    <w:pPr>
      <w:ind w:left="720"/>
      <w:contextualSpacing/>
    </w:pPr>
  </w:style>
  <w:style w:type="paragraph" w:customStyle="1" w:styleId="Figurecaption">
    <w:name w:val="Figure caption"/>
    <w:basedOn w:val="Normal"/>
    <w:next w:val="Normal"/>
    <w:qFormat/>
    <w:rsid w:val="004F06C1"/>
    <w:pPr>
      <w:tabs>
        <w:tab w:val="clear" w:pos="7100"/>
      </w:tabs>
      <w:spacing w:before="240" w:line="360" w:lineRule="auto"/>
      <w:jc w:val="left"/>
    </w:pPr>
    <w:rPr>
      <w:rFonts w:ascii="Times New Roman" w:hAnsi="Times New Roman"/>
      <w:sz w:val="24"/>
      <w:szCs w:val="24"/>
      <w:lang w:eastAsia="en-GB"/>
    </w:rPr>
  </w:style>
  <w:style w:type="character" w:styleId="PlaceholderText">
    <w:name w:val="Placeholder Text"/>
    <w:basedOn w:val="DefaultParagraphFont"/>
    <w:uiPriority w:val="99"/>
    <w:semiHidden/>
    <w:rsid w:val="009F1C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87724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228D0-0194-4E68-BD02-876750F2A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10326</Words>
  <Characters>58864</Characters>
  <Application>Microsoft Office Word</Application>
  <DocSecurity>0</DocSecurity>
  <Lines>490</Lines>
  <Paragraphs>138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69052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YK</cp:lastModifiedBy>
  <cp:revision>5</cp:revision>
  <cp:lastPrinted>2015-05-12T18:31:00Z</cp:lastPrinted>
  <dcterms:created xsi:type="dcterms:W3CDTF">2022-08-04T05:23:00Z</dcterms:created>
  <dcterms:modified xsi:type="dcterms:W3CDTF">2022-09-25T11:56:00Z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Citation Style_1">
    <vt:lpwstr>http://www.zotero.org/styles/american-sociological-association</vt:lpwstr>
  </property>
  <property fmtid="{D5CDD505-2E9C-101B-9397-08002B2CF9AE}" pid="6" name="Mendeley Unique User Id_1">
    <vt:lpwstr>cc8d5917-6f78-3d83-868b-ba0cf0ea311d</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7th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 6th edition</vt:lpwstr>
  </property>
  <property fmtid="{D5CDD505-2E9C-101B-9397-08002B2CF9AE}" pid="13" name="Mendeley Recent Style Id 3_1">
    <vt:lpwstr>http://www.zotero.org/styles/chemical-engineering-journal</vt:lpwstr>
  </property>
  <property fmtid="{D5CDD505-2E9C-101B-9397-08002B2CF9AE}" pid="14" name="Mendeley Recent Style Name 3_1">
    <vt:lpwstr>Chemical Engineering Journal</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11th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