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50596E" w14:paraId="55BB9245" w14:textId="77777777" w:rsidTr="0050596E">
        <w:trPr>
          <w:trHeight w:val="852"/>
          <w:jc w:val="center"/>
        </w:trPr>
        <w:tc>
          <w:tcPr>
            <w:tcW w:w="6946" w:type="dxa"/>
            <w:vMerge w:val="restart"/>
            <w:tcBorders>
              <w:top w:val="nil"/>
              <w:left w:val="nil"/>
              <w:bottom w:val="nil"/>
              <w:right w:val="single" w:sz="4" w:space="0" w:color="auto"/>
            </w:tcBorders>
            <w:hideMark/>
          </w:tcPr>
          <w:p w14:paraId="602A23AE" w14:textId="3EF3EF14" w:rsidR="0050596E" w:rsidRDefault="0050596E">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4C18B3DF" wp14:editId="3FE4934E">
                  <wp:extent cx="638175" cy="371475"/>
                  <wp:effectExtent l="0" t="0" r="9525" b="9525"/>
                  <wp:docPr id="4" name="Immagine 4"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4BA7BF8C" w14:textId="77777777" w:rsidR="0050596E" w:rsidRDefault="0050596E">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7D6C48EE" w14:textId="77777777" w:rsidR="0050596E" w:rsidRDefault="0050596E">
            <w:pPr>
              <w:spacing w:line="140" w:lineRule="atLeast"/>
              <w:jc w:val="right"/>
              <w:rPr>
                <w:rFonts w:cs="Arial"/>
                <w:sz w:val="14"/>
                <w:szCs w:val="14"/>
              </w:rPr>
            </w:pPr>
            <w:r>
              <w:rPr>
                <w:rFonts w:cs="Arial"/>
                <w:sz w:val="14"/>
                <w:szCs w:val="14"/>
              </w:rPr>
              <w:t>A publication of</w:t>
            </w:r>
          </w:p>
          <w:p w14:paraId="3E36C1F4" w14:textId="23F2B111" w:rsidR="0050596E" w:rsidRDefault="0050596E">
            <w:pPr>
              <w:jc w:val="right"/>
            </w:pPr>
            <w:r>
              <w:rPr>
                <w:noProof/>
                <w:lang w:val="it-IT" w:eastAsia="it-IT"/>
              </w:rPr>
              <w:drawing>
                <wp:inline distT="0" distB="0" distL="0" distR="0" wp14:anchorId="6AB9421C" wp14:editId="05EE59AB">
                  <wp:extent cx="666750" cy="361950"/>
                  <wp:effectExtent l="0" t="0" r="0" b="0"/>
                  <wp:docPr id="3" name="Immagine 3"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50596E" w14:paraId="7D965866" w14:textId="77777777" w:rsidTr="0050596E">
        <w:trPr>
          <w:trHeight w:val="567"/>
          <w:jc w:val="center"/>
        </w:trPr>
        <w:tc>
          <w:tcPr>
            <w:tcW w:w="0" w:type="auto"/>
            <w:vMerge/>
            <w:tcBorders>
              <w:top w:val="nil"/>
              <w:left w:val="nil"/>
              <w:bottom w:val="nil"/>
              <w:right w:val="single" w:sz="4" w:space="0" w:color="auto"/>
            </w:tcBorders>
            <w:vAlign w:val="center"/>
            <w:hideMark/>
          </w:tcPr>
          <w:p w14:paraId="17E738BC" w14:textId="77777777" w:rsidR="0050596E" w:rsidRDefault="0050596E">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1C784BB5" w14:textId="77777777" w:rsidR="0050596E" w:rsidRDefault="0050596E">
            <w:pPr>
              <w:spacing w:line="140" w:lineRule="atLeast"/>
              <w:jc w:val="right"/>
              <w:rPr>
                <w:rFonts w:cs="Arial"/>
                <w:sz w:val="14"/>
                <w:szCs w:val="14"/>
              </w:rPr>
            </w:pPr>
            <w:r>
              <w:rPr>
                <w:rFonts w:cs="Arial"/>
                <w:sz w:val="14"/>
                <w:szCs w:val="14"/>
              </w:rPr>
              <w:t>The Italian Association</w:t>
            </w:r>
          </w:p>
          <w:p w14:paraId="4DFD1633" w14:textId="77777777" w:rsidR="0050596E" w:rsidRDefault="0050596E">
            <w:pPr>
              <w:spacing w:line="140" w:lineRule="atLeast"/>
              <w:jc w:val="right"/>
              <w:rPr>
                <w:rFonts w:cs="Arial"/>
                <w:sz w:val="14"/>
                <w:szCs w:val="14"/>
              </w:rPr>
            </w:pPr>
            <w:r>
              <w:rPr>
                <w:rFonts w:cs="Arial"/>
                <w:sz w:val="14"/>
                <w:szCs w:val="14"/>
              </w:rPr>
              <w:t>of Chemical Engineering</w:t>
            </w:r>
          </w:p>
          <w:p w14:paraId="01498C41" w14:textId="77777777" w:rsidR="0050596E" w:rsidRDefault="0050596E">
            <w:pPr>
              <w:spacing w:line="140" w:lineRule="atLeast"/>
              <w:jc w:val="right"/>
              <w:rPr>
                <w:rFonts w:cs="Arial"/>
                <w:sz w:val="13"/>
                <w:szCs w:val="13"/>
              </w:rPr>
            </w:pPr>
            <w:r>
              <w:rPr>
                <w:rFonts w:cs="Arial"/>
                <w:sz w:val="13"/>
                <w:szCs w:val="13"/>
              </w:rPr>
              <w:t>Online at www.cetjournal.it</w:t>
            </w:r>
          </w:p>
        </w:tc>
      </w:tr>
      <w:tr w:rsidR="0050596E" w14:paraId="480C8F9F" w14:textId="77777777" w:rsidTr="0050596E">
        <w:trPr>
          <w:trHeight w:val="68"/>
          <w:jc w:val="center"/>
        </w:trPr>
        <w:tc>
          <w:tcPr>
            <w:tcW w:w="8789" w:type="dxa"/>
            <w:gridSpan w:val="2"/>
            <w:tcBorders>
              <w:top w:val="nil"/>
              <w:left w:val="nil"/>
              <w:bottom w:val="single" w:sz="4" w:space="0" w:color="auto"/>
              <w:right w:val="nil"/>
            </w:tcBorders>
            <w:hideMark/>
          </w:tcPr>
          <w:p w14:paraId="0BCA4981" w14:textId="77777777" w:rsidR="0050596E" w:rsidRDefault="0050596E">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6A729009" w14:textId="77777777" w:rsidR="0050596E" w:rsidRDefault="0050596E">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B57B36" w:rsidRDefault="000A03B2" w:rsidP="000A03B2">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0F6FFC6F" w:rsidR="00E978D0" w:rsidRPr="00B57B36" w:rsidRDefault="00AB1570" w:rsidP="00AB1570">
      <w:pPr>
        <w:pStyle w:val="CETTitle"/>
      </w:pPr>
      <w:bookmarkStart w:id="1" w:name="_Hlk43469287"/>
      <w:r>
        <w:lastRenderedPageBreak/>
        <w:t xml:space="preserve">Integration </w:t>
      </w:r>
      <w:r w:rsidR="00616913">
        <w:t xml:space="preserve">Between </w:t>
      </w:r>
      <w:r>
        <w:t xml:space="preserve">Occupational </w:t>
      </w:r>
      <w:r w:rsidR="00616913">
        <w:t xml:space="preserve">and </w:t>
      </w:r>
      <w:r>
        <w:t>Process Safety</w:t>
      </w:r>
      <w:r w:rsidR="00616913">
        <w:t xml:space="preserve">: </w:t>
      </w:r>
      <w:r>
        <w:t xml:space="preserve">Existing </w:t>
      </w:r>
      <w:r w:rsidR="00616913">
        <w:t>Approaches and Challenges for an Enhanced Framework</w:t>
      </w:r>
      <w:bookmarkEnd w:id="1"/>
    </w:p>
    <w:p w14:paraId="08BDD337" w14:textId="755C9A40" w:rsidR="00AB1570" w:rsidRPr="00095C28" w:rsidRDefault="00AB1570" w:rsidP="00AB5011">
      <w:pPr>
        <w:pStyle w:val="CETAuthors"/>
        <w:rPr>
          <w:lang w:val="it-IT"/>
        </w:rPr>
      </w:pPr>
      <w:r w:rsidRPr="00095C28">
        <w:rPr>
          <w:lang w:val="it-IT"/>
        </w:rPr>
        <w:t>Elena Stefana</w:t>
      </w:r>
      <w:r w:rsidR="00600535" w:rsidRPr="00095C28">
        <w:rPr>
          <w:vertAlign w:val="superscript"/>
          <w:lang w:val="it-IT"/>
        </w:rPr>
        <w:t>a</w:t>
      </w:r>
      <w:r w:rsidRPr="00095C28">
        <w:rPr>
          <w:vertAlign w:val="superscript"/>
          <w:lang w:val="it-IT"/>
        </w:rPr>
        <w:t>,</w:t>
      </w:r>
      <w:r w:rsidRPr="00095C28">
        <w:rPr>
          <w:lang w:val="it-IT"/>
        </w:rPr>
        <w:t>*</w:t>
      </w:r>
      <w:r w:rsidR="00600535" w:rsidRPr="00095C28">
        <w:rPr>
          <w:lang w:val="it-IT"/>
        </w:rPr>
        <w:t xml:space="preserve">, </w:t>
      </w:r>
      <w:r w:rsidRPr="00095C28">
        <w:rPr>
          <w:lang w:val="it-IT"/>
        </w:rPr>
        <w:t>Nicola Paltrinieri</w:t>
      </w:r>
      <w:r w:rsidR="00600535" w:rsidRPr="00095C28">
        <w:rPr>
          <w:vertAlign w:val="superscript"/>
          <w:lang w:val="it-IT"/>
        </w:rPr>
        <w:t>b</w:t>
      </w:r>
    </w:p>
    <w:p w14:paraId="5053C5A8" w14:textId="5F601C13" w:rsidR="00E978D0" w:rsidRPr="00AB1570" w:rsidRDefault="00E978D0" w:rsidP="00E978D0">
      <w:pPr>
        <w:pStyle w:val="CETAddress"/>
        <w:rPr>
          <w:lang w:val="it-IT"/>
        </w:rPr>
      </w:pPr>
      <w:r w:rsidRPr="00AB1570">
        <w:rPr>
          <w:vertAlign w:val="superscript"/>
          <w:lang w:val="it-IT"/>
        </w:rPr>
        <w:t>a</w:t>
      </w:r>
      <w:r w:rsidR="00AB1570" w:rsidRPr="00AB1570">
        <w:rPr>
          <w:lang w:val="it-IT"/>
        </w:rPr>
        <w:t xml:space="preserve">Dipartimento di Ingegneria Meccanica e Industriale, Università degli Studi </w:t>
      </w:r>
      <w:r w:rsidR="00C052F4">
        <w:rPr>
          <w:lang w:val="it-IT"/>
        </w:rPr>
        <w:t xml:space="preserve">di </w:t>
      </w:r>
      <w:r w:rsidR="00AB1570" w:rsidRPr="00AB1570">
        <w:rPr>
          <w:lang w:val="it-IT"/>
        </w:rPr>
        <w:t>Brescia, via Branze 38, 25123 Brescia, Italia</w:t>
      </w:r>
    </w:p>
    <w:p w14:paraId="38D29194" w14:textId="4FE84BED" w:rsidR="00E978D0" w:rsidRPr="00B57B36" w:rsidRDefault="00E978D0" w:rsidP="00E978D0">
      <w:pPr>
        <w:pStyle w:val="CETAddress"/>
      </w:pPr>
      <w:r w:rsidRPr="00B57B36">
        <w:rPr>
          <w:vertAlign w:val="superscript"/>
        </w:rPr>
        <w:t>b</w:t>
      </w:r>
      <w:r w:rsidR="00AB1570" w:rsidRPr="00AB1570">
        <w:t>Department of Mechanical and Industrial Engineering, Norwegian University of Science and Technology NTNU, S.P. Andersens veg 3, 7031, Trondheim, Norway</w:t>
      </w:r>
    </w:p>
    <w:p w14:paraId="0127A28D" w14:textId="23691CBF" w:rsidR="00E978D0" w:rsidRPr="00B57B36" w:rsidRDefault="00AB1570" w:rsidP="00E978D0">
      <w:pPr>
        <w:pStyle w:val="CETemail"/>
      </w:pPr>
      <w:r w:rsidRPr="00AB1570">
        <w:t>elena.stefana@unibs.it</w:t>
      </w:r>
    </w:p>
    <w:p w14:paraId="4A6F8A1D" w14:textId="7E8DF878" w:rsidR="00AB6D33" w:rsidRPr="001712E4" w:rsidRDefault="00EA79AF" w:rsidP="00EA79AF">
      <w:pPr>
        <w:pStyle w:val="CETBodytext"/>
        <w:rPr>
          <w:lang w:val="en-GB"/>
        </w:rPr>
      </w:pPr>
      <w:bookmarkStart w:id="2" w:name="_Hlk495475023"/>
      <w:r w:rsidRPr="001712E4">
        <w:rPr>
          <w:lang w:val="en-GB"/>
        </w:rPr>
        <w:t xml:space="preserve">Occupational safety is traditionally managed distinctly from process safety. The former puts the emphasis on high frequency and low consequence incidents, and refers to hazards that could provoke </w:t>
      </w:r>
      <w:r w:rsidR="00D80ED3">
        <w:rPr>
          <w:lang w:val="en-GB"/>
        </w:rPr>
        <w:t xml:space="preserve">human </w:t>
      </w:r>
      <w:r w:rsidRPr="001712E4">
        <w:rPr>
          <w:lang w:val="en-GB"/>
        </w:rPr>
        <w:t xml:space="preserve">consequences. In contrast, the latter focuses on releases of chemicals, energy, or hazardous materials, leading to low </w:t>
      </w:r>
      <w:r w:rsidR="00023731" w:rsidRPr="001712E4">
        <w:rPr>
          <w:lang w:val="en-GB"/>
        </w:rPr>
        <w:t>likelihood</w:t>
      </w:r>
      <w:r w:rsidRPr="001712E4">
        <w:rPr>
          <w:lang w:val="en-GB"/>
        </w:rPr>
        <w:t xml:space="preserve"> but high consequence accidents </w:t>
      </w:r>
      <w:r w:rsidR="00365A2E">
        <w:rPr>
          <w:lang w:val="en-GB"/>
        </w:rPr>
        <w:t>with</w:t>
      </w:r>
      <w:r w:rsidRPr="001712E4">
        <w:rPr>
          <w:lang w:val="en-GB"/>
        </w:rPr>
        <w:t xml:space="preserve"> severe negative effects to people, environment, assets, and/or business. However, </w:t>
      </w:r>
      <w:r w:rsidR="00105081" w:rsidRPr="001712E4">
        <w:rPr>
          <w:lang w:val="en-GB"/>
        </w:rPr>
        <w:t xml:space="preserve">neither personal safety </w:t>
      </w:r>
      <w:r w:rsidR="00782B03" w:rsidRPr="00782B03">
        <w:rPr>
          <w:lang w:val="en-GB"/>
        </w:rPr>
        <w:t>nor</w:t>
      </w:r>
      <w:r w:rsidR="00105081" w:rsidRPr="001712E4">
        <w:rPr>
          <w:lang w:val="en-GB"/>
        </w:rPr>
        <w:t xml:space="preserve"> process safety should be compromised, and </w:t>
      </w:r>
      <w:r w:rsidRPr="001712E4">
        <w:rPr>
          <w:lang w:val="en-GB"/>
        </w:rPr>
        <w:t>the</w:t>
      </w:r>
      <w:r w:rsidR="00B929B1">
        <w:rPr>
          <w:lang w:val="en-GB"/>
        </w:rPr>
        <w:t>ir</w:t>
      </w:r>
      <w:r w:rsidRPr="001712E4">
        <w:rPr>
          <w:lang w:val="en-GB"/>
        </w:rPr>
        <w:t xml:space="preserve"> common priority should remain the elimination and mitigation of adverse consequences for workers. The aim of this paper is to provide an overview of </w:t>
      </w:r>
      <w:r w:rsidR="00E323D6" w:rsidRPr="001712E4">
        <w:rPr>
          <w:lang w:val="en-GB"/>
        </w:rPr>
        <w:t>existing</w:t>
      </w:r>
      <w:r w:rsidRPr="001712E4">
        <w:rPr>
          <w:lang w:val="en-GB"/>
        </w:rPr>
        <w:t xml:space="preserve"> approaches for </w:t>
      </w:r>
      <w:r w:rsidR="00C406A9" w:rsidRPr="001712E4">
        <w:rPr>
          <w:lang w:val="en-GB"/>
        </w:rPr>
        <w:t>harmonising the assessments of</w:t>
      </w:r>
      <w:r w:rsidRPr="001712E4">
        <w:rPr>
          <w:lang w:val="en-GB"/>
        </w:rPr>
        <w:t xml:space="preserve"> personal and process safety risks, pointing out the main challenges to be addressed for developing a future enhanced framework.</w:t>
      </w:r>
      <w:r w:rsidR="00FA2DCE" w:rsidRPr="001712E4">
        <w:rPr>
          <w:lang w:val="en-GB"/>
        </w:rPr>
        <w:t xml:space="preserve"> </w:t>
      </w:r>
      <w:r w:rsidR="00B929B1">
        <w:rPr>
          <w:lang w:val="en-GB"/>
        </w:rPr>
        <w:t>To achieve</w:t>
      </w:r>
      <w:r w:rsidR="00FA2DCE" w:rsidRPr="001712E4">
        <w:rPr>
          <w:lang w:val="en-GB"/>
        </w:rPr>
        <w:t xml:space="preserve"> this aim, </w:t>
      </w:r>
      <w:r w:rsidRPr="001712E4">
        <w:rPr>
          <w:lang w:val="en-GB"/>
        </w:rPr>
        <w:t>a systematic literature review in databases of scientific publications</w:t>
      </w:r>
      <w:r w:rsidR="00FA2DCE" w:rsidRPr="001712E4">
        <w:rPr>
          <w:lang w:val="en-GB"/>
        </w:rPr>
        <w:t xml:space="preserve"> </w:t>
      </w:r>
      <w:r w:rsidR="00FA2DCE" w:rsidRPr="00B82BEA">
        <w:rPr>
          <w:lang w:val="en-GB"/>
        </w:rPr>
        <w:t>was carried out</w:t>
      </w:r>
      <w:r w:rsidRPr="00B82BEA">
        <w:rPr>
          <w:lang w:val="en-GB"/>
        </w:rPr>
        <w:t xml:space="preserve">. The review returned </w:t>
      </w:r>
      <w:r w:rsidR="009A26F3" w:rsidRPr="00B82BEA">
        <w:rPr>
          <w:lang w:val="en-GB"/>
        </w:rPr>
        <w:t>14</w:t>
      </w:r>
      <w:r w:rsidRPr="00B82BEA">
        <w:rPr>
          <w:lang w:val="en-GB"/>
        </w:rPr>
        <w:t xml:space="preserve"> studies, </w:t>
      </w:r>
      <w:r w:rsidR="008E47DA" w:rsidRPr="00B82BEA">
        <w:rPr>
          <w:lang w:val="en-GB"/>
        </w:rPr>
        <w:t>m</w:t>
      </w:r>
      <w:r w:rsidR="008C21C3" w:rsidRPr="00B82BEA">
        <w:rPr>
          <w:lang w:val="en-GB"/>
        </w:rPr>
        <w:t>ost of</w:t>
      </w:r>
      <w:r w:rsidR="00637CAB" w:rsidRPr="00B82BEA">
        <w:rPr>
          <w:lang w:val="en-GB"/>
        </w:rPr>
        <w:t xml:space="preserve"> </w:t>
      </w:r>
      <w:r w:rsidR="008E47DA" w:rsidRPr="00B82BEA">
        <w:rPr>
          <w:lang w:val="en-GB"/>
        </w:rPr>
        <w:t>which</w:t>
      </w:r>
      <w:r w:rsidR="00637CAB" w:rsidRPr="00B82BEA">
        <w:rPr>
          <w:lang w:val="en-GB"/>
        </w:rPr>
        <w:t xml:space="preserve"> </w:t>
      </w:r>
      <w:r w:rsidR="000D20B6" w:rsidRPr="00B82BEA">
        <w:rPr>
          <w:lang w:val="en-GB"/>
        </w:rPr>
        <w:t xml:space="preserve">propose </w:t>
      </w:r>
      <w:r w:rsidR="00637CAB" w:rsidRPr="00B82BEA">
        <w:rPr>
          <w:lang w:val="en-GB"/>
        </w:rPr>
        <w:t>a new method or tool</w:t>
      </w:r>
      <w:r w:rsidR="002D1864" w:rsidRPr="00B82BEA">
        <w:rPr>
          <w:lang w:val="en-GB"/>
        </w:rPr>
        <w:t xml:space="preserve"> (e.g., risk</w:t>
      </w:r>
      <w:r w:rsidR="002D1864" w:rsidRPr="001712E4">
        <w:rPr>
          <w:lang w:val="en-GB"/>
        </w:rPr>
        <w:t xml:space="preserve"> index)</w:t>
      </w:r>
      <w:r w:rsidR="008C21C3" w:rsidRPr="001712E4">
        <w:rPr>
          <w:lang w:val="en-GB"/>
        </w:rPr>
        <w:t xml:space="preserve">. </w:t>
      </w:r>
      <w:r w:rsidR="00B5026A" w:rsidRPr="00093282">
        <w:rPr>
          <w:lang w:val="en-GB"/>
        </w:rPr>
        <w:t>The</w:t>
      </w:r>
      <w:r w:rsidRPr="00093282">
        <w:rPr>
          <w:lang w:val="en-GB"/>
        </w:rPr>
        <w:t xml:space="preserve"> critical analysis</w:t>
      </w:r>
      <w:r w:rsidR="00B5026A" w:rsidRPr="00093282">
        <w:rPr>
          <w:lang w:val="en-GB"/>
        </w:rPr>
        <w:t xml:space="preserve"> of these results</w:t>
      </w:r>
      <w:r w:rsidRPr="00093282">
        <w:rPr>
          <w:lang w:val="en-GB"/>
        </w:rPr>
        <w:t xml:space="preserve"> </w:t>
      </w:r>
      <w:r w:rsidR="00093282">
        <w:rPr>
          <w:lang w:val="en-GB"/>
        </w:rPr>
        <w:t>indicated</w:t>
      </w:r>
      <w:r w:rsidRPr="00093282">
        <w:rPr>
          <w:lang w:val="en-GB"/>
        </w:rPr>
        <w:t xml:space="preserve"> </w:t>
      </w:r>
      <w:r w:rsidR="007A1506" w:rsidRPr="00093282">
        <w:rPr>
          <w:lang w:val="en-GB"/>
        </w:rPr>
        <w:t xml:space="preserve">the strengths and </w:t>
      </w:r>
      <w:r w:rsidRPr="00093282">
        <w:rPr>
          <w:lang w:val="en-GB"/>
        </w:rPr>
        <w:t xml:space="preserve">weaknesses of each approach that </w:t>
      </w:r>
      <w:r w:rsidR="007A1506" w:rsidRPr="001712E4">
        <w:rPr>
          <w:lang w:val="en-GB"/>
        </w:rPr>
        <w:t>represent helpful starting points for an enhance</w:t>
      </w:r>
      <w:r w:rsidR="00852EC2">
        <w:rPr>
          <w:lang w:val="en-GB"/>
        </w:rPr>
        <w:t>d</w:t>
      </w:r>
      <w:r w:rsidR="007A1506" w:rsidRPr="001712E4">
        <w:rPr>
          <w:lang w:val="en-GB"/>
        </w:rPr>
        <w:t xml:space="preserve"> framework</w:t>
      </w:r>
      <w:r w:rsidRPr="001712E4">
        <w:rPr>
          <w:lang w:val="en-GB"/>
        </w:rPr>
        <w:t xml:space="preserve">. </w:t>
      </w:r>
      <w:r w:rsidR="00B929B1" w:rsidRPr="001712E4">
        <w:rPr>
          <w:lang w:val="en-GB"/>
        </w:rPr>
        <w:t>Such</w:t>
      </w:r>
      <w:r w:rsidR="007A1506" w:rsidRPr="001712E4">
        <w:rPr>
          <w:lang w:val="en-GB"/>
        </w:rPr>
        <w:t xml:space="preserve"> a </w:t>
      </w:r>
      <w:r w:rsidRPr="001712E4">
        <w:rPr>
          <w:lang w:val="en-GB"/>
        </w:rPr>
        <w:t xml:space="preserve">framework should </w:t>
      </w:r>
      <w:r w:rsidR="00402FD9" w:rsidRPr="001712E4">
        <w:rPr>
          <w:lang w:val="en-GB"/>
        </w:rPr>
        <w:t xml:space="preserve">systematically </w:t>
      </w:r>
      <w:r w:rsidR="00503C7A" w:rsidRPr="001712E4">
        <w:rPr>
          <w:lang w:val="en-GB"/>
        </w:rPr>
        <w:t>identify</w:t>
      </w:r>
      <w:r w:rsidR="00402FD9" w:rsidRPr="001712E4">
        <w:rPr>
          <w:lang w:val="en-GB"/>
        </w:rPr>
        <w:t xml:space="preserve"> hazards, hazardous events, and exposure conditions </w:t>
      </w:r>
      <w:r w:rsidR="0071136E" w:rsidRPr="001712E4">
        <w:rPr>
          <w:lang w:val="en-GB"/>
        </w:rPr>
        <w:t xml:space="preserve">that </w:t>
      </w:r>
      <w:r w:rsidR="006C6C1B">
        <w:rPr>
          <w:lang w:val="en-GB"/>
        </w:rPr>
        <w:t>cause</w:t>
      </w:r>
      <w:r w:rsidR="0071136E" w:rsidRPr="001712E4">
        <w:rPr>
          <w:lang w:val="en-GB"/>
        </w:rPr>
        <w:t xml:space="preserve"> harm to employees, </w:t>
      </w:r>
      <w:r w:rsidR="00AB6D33" w:rsidRPr="001712E4">
        <w:rPr>
          <w:lang w:val="en-GB"/>
        </w:rPr>
        <w:t xml:space="preserve">and </w:t>
      </w:r>
      <w:r w:rsidR="004C46AB">
        <w:rPr>
          <w:lang w:val="en-GB"/>
        </w:rPr>
        <w:t xml:space="preserve">should </w:t>
      </w:r>
      <w:r w:rsidR="00C2261E" w:rsidRPr="001712E4">
        <w:rPr>
          <w:lang w:val="en-GB"/>
        </w:rPr>
        <w:t>establish</w:t>
      </w:r>
      <w:r w:rsidR="00AB6D33" w:rsidRPr="001712E4">
        <w:rPr>
          <w:lang w:val="en-GB"/>
        </w:rPr>
        <w:t xml:space="preserve"> a ranking of the risks </w:t>
      </w:r>
      <w:r w:rsidR="00C2261E" w:rsidRPr="001712E4">
        <w:rPr>
          <w:lang w:val="en-GB"/>
        </w:rPr>
        <w:t>according to their criticality for</w:t>
      </w:r>
      <w:r w:rsidR="00AB6D33" w:rsidRPr="001712E4">
        <w:rPr>
          <w:lang w:val="en-GB"/>
        </w:rPr>
        <w:t xml:space="preserve"> prioritising risk management efforts.</w:t>
      </w:r>
    </w:p>
    <w:bookmarkEnd w:id="2"/>
    <w:p w14:paraId="476B2F2E" w14:textId="146B5692" w:rsidR="00600535" w:rsidRPr="001712E4" w:rsidRDefault="00600535" w:rsidP="00600535">
      <w:pPr>
        <w:pStyle w:val="CETHeading1"/>
        <w:rPr>
          <w:lang w:val="en-GB"/>
        </w:rPr>
      </w:pPr>
      <w:r w:rsidRPr="001712E4">
        <w:rPr>
          <w:lang w:val="en-GB"/>
        </w:rPr>
        <w:t>Introduction</w:t>
      </w:r>
    </w:p>
    <w:p w14:paraId="359A81AD" w14:textId="05979462" w:rsidR="00ED71A7" w:rsidRPr="001712E4" w:rsidRDefault="0043077F" w:rsidP="00EA79AF">
      <w:pPr>
        <w:pStyle w:val="CETBodytext"/>
        <w:rPr>
          <w:lang w:val="en-GB"/>
        </w:rPr>
      </w:pPr>
      <w:r>
        <w:rPr>
          <w:lang w:val="en-GB"/>
        </w:rPr>
        <w:t>A current</w:t>
      </w:r>
      <w:r w:rsidR="00ED71A7" w:rsidRPr="001712E4">
        <w:rPr>
          <w:lang w:val="en-GB"/>
        </w:rPr>
        <w:t xml:space="preserve"> confusion about the differences between occupational safety and process safety </w:t>
      </w:r>
      <w:r>
        <w:rPr>
          <w:lang w:val="en-GB"/>
        </w:rPr>
        <w:t xml:space="preserve">is noticed </w:t>
      </w:r>
      <w:r w:rsidR="00A16FDC" w:rsidRPr="001712E4">
        <w:rPr>
          <w:lang w:val="en-GB"/>
        </w:rPr>
        <w:t>(Aldrich et al., 2015)</w:t>
      </w:r>
      <w:r w:rsidR="001E5C59" w:rsidRPr="001712E4">
        <w:rPr>
          <w:lang w:val="en-GB"/>
        </w:rPr>
        <w:t xml:space="preserve">. Leclercq et al. (2018) highlight the existence of a fuzzy perimeter between process and occupational accidents. Moreover, </w:t>
      </w:r>
      <w:r w:rsidR="0046250F" w:rsidRPr="001712E4">
        <w:rPr>
          <w:lang w:val="en-GB"/>
        </w:rPr>
        <w:t xml:space="preserve">Occupational Safety and Health (OSH) and Major Accident Hazard (MAH) risks have been </w:t>
      </w:r>
      <w:r w:rsidR="001E5C59" w:rsidRPr="001712E4">
        <w:rPr>
          <w:lang w:val="en-GB"/>
        </w:rPr>
        <w:t xml:space="preserve">traditionally </w:t>
      </w:r>
      <w:r w:rsidR="0046250F" w:rsidRPr="001712E4">
        <w:rPr>
          <w:lang w:val="en-GB"/>
        </w:rPr>
        <w:t>analy</w:t>
      </w:r>
      <w:r w:rsidR="00957734" w:rsidRPr="001712E4">
        <w:rPr>
          <w:lang w:val="en-GB"/>
        </w:rPr>
        <w:t>s</w:t>
      </w:r>
      <w:r w:rsidR="0046250F" w:rsidRPr="001712E4">
        <w:rPr>
          <w:lang w:val="en-GB"/>
        </w:rPr>
        <w:t xml:space="preserve">ed </w:t>
      </w:r>
      <w:r w:rsidR="00957734" w:rsidRPr="001712E4">
        <w:rPr>
          <w:lang w:val="en-GB"/>
        </w:rPr>
        <w:t>separately</w:t>
      </w:r>
      <w:r w:rsidR="0046250F" w:rsidRPr="001712E4">
        <w:rPr>
          <w:lang w:val="en-GB"/>
        </w:rPr>
        <w:t xml:space="preserve"> (Gnoni </w:t>
      </w:r>
      <w:r w:rsidR="00957734" w:rsidRPr="001712E4">
        <w:rPr>
          <w:lang w:val="en-GB"/>
        </w:rPr>
        <w:t>and</w:t>
      </w:r>
      <w:r w:rsidR="0046250F" w:rsidRPr="001712E4">
        <w:rPr>
          <w:lang w:val="en-GB"/>
        </w:rPr>
        <w:t xml:space="preserve"> Bragatto, 2013).</w:t>
      </w:r>
    </w:p>
    <w:p w14:paraId="4C819B38" w14:textId="2781FE38" w:rsidR="00F04C43" w:rsidRPr="001712E4" w:rsidRDefault="007D6917" w:rsidP="00EA79AF">
      <w:pPr>
        <w:pStyle w:val="CETBodytext"/>
        <w:rPr>
          <w:lang w:val="en-GB"/>
        </w:rPr>
      </w:pPr>
      <w:r w:rsidRPr="001712E4">
        <w:rPr>
          <w:lang w:val="en-GB"/>
        </w:rPr>
        <w:t xml:space="preserve">On one hand, </w:t>
      </w:r>
      <w:r w:rsidR="003B1893" w:rsidRPr="001712E4">
        <w:rPr>
          <w:lang w:val="en-GB"/>
        </w:rPr>
        <w:t>OSH</w:t>
      </w:r>
      <w:r w:rsidR="00935D42">
        <w:rPr>
          <w:lang w:val="en-GB"/>
        </w:rPr>
        <w:t xml:space="preserve"> (</w:t>
      </w:r>
      <w:r w:rsidR="000568AF" w:rsidRPr="001712E4">
        <w:rPr>
          <w:lang w:val="en-GB"/>
        </w:rPr>
        <w:t>also referred to as personal or personnel safety</w:t>
      </w:r>
      <w:r w:rsidR="00935D42">
        <w:rPr>
          <w:lang w:val="en-GB"/>
        </w:rPr>
        <w:t>)</w:t>
      </w:r>
      <w:r w:rsidR="000568AF" w:rsidRPr="001712E4">
        <w:rPr>
          <w:lang w:val="en-GB"/>
        </w:rPr>
        <w:t xml:space="preserve"> </w:t>
      </w:r>
      <w:r w:rsidR="00A85D3D" w:rsidRPr="001712E4">
        <w:rPr>
          <w:lang w:val="en-GB"/>
        </w:rPr>
        <w:t xml:space="preserve">has the </w:t>
      </w:r>
      <w:r w:rsidR="000F54A1" w:rsidRPr="001712E4">
        <w:rPr>
          <w:lang w:val="en-GB"/>
        </w:rPr>
        <w:t>objective</w:t>
      </w:r>
      <w:r w:rsidR="00A85D3D" w:rsidRPr="001712E4">
        <w:rPr>
          <w:lang w:val="en-GB"/>
        </w:rPr>
        <w:t xml:space="preserve"> to prevent any injury or fatality of individual worker (Vallerotonda et al., 2018)</w:t>
      </w:r>
      <w:r w:rsidR="008B06AF" w:rsidRPr="001712E4">
        <w:rPr>
          <w:lang w:val="en-GB"/>
        </w:rPr>
        <w:t>. P</w:t>
      </w:r>
      <w:r w:rsidR="007F4093" w:rsidRPr="001712E4">
        <w:rPr>
          <w:lang w:val="en-GB"/>
        </w:rPr>
        <w:t xml:space="preserve">ersonal safety hazards affect individuals but have little to do with the </w:t>
      </w:r>
      <w:r w:rsidR="003C5B8A" w:rsidRPr="001712E4">
        <w:rPr>
          <w:lang w:val="en-GB"/>
        </w:rPr>
        <w:t xml:space="preserve">plant </w:t>
      </w:r>
      <w:r w:rsidR="007F4093" w:rsidRPr="001712E4">
        <w:rPr>
          <w:lang w:val="en-GB"/>
        </w:rPr>
        <w:t xml:space="preserve">processing activity </w:t>
      </w:r>
      <w:r w:rsidR="00F67BF5" w:rsidRPr="001712E4">
        <w:rPr>
          <w:lang w:val="en-GB"/>
        </w:rPr>
        <w:t>(Hopkins, 200</w:t>
      </w:r>
      <w:r w:rsidR="00285CB0">
        <w:rPr>
          <w:lang w:val="en-GB"/>
        </w:rPr>
        <w:t>9</w:t>
      </w:r>
      <w:r w:rsidR="00F67BF5" w:rsidRPr="001712E4">
        <w:rPr>
          <w:lang w:val="en-GB"/>
        </w:rPr>
        <w:t xml:space="preserve">). They result in incidents that are not in a large scale at once (Mataqi and Srikanth Adivi, 2013), and typically give rise to </w:t>
      </w:r>
      <w:r w:rsidR="00222067" w:rsidRPr="001712E4">
        <w:rPr>
          <w:lang w:val="en-GB"/>
        </w:rPr>
        <w:t>falls, trips, electrocutions</w:t>
      </w:r>
      <w:r w:rsidR="006A15EA" w:rsidRPr="001712E4">
        <w:rPr>
          <w:lang w:val="en-GB"/>
        </w:rPr>
        <w:t>,</w:t>
      </w:r>
      <w:r w:rsidR="00222067" w:rsidRPr="001712E4">
        <w:rPr>
          <w:lang w:val="en-GB"/>
        </w:rPr>
        <w:t xml:space="preserve"> and vehicle accidents (Hopkins, 200</w:t>
      </w:r>
      <w:r w:rsidR="00285CB0">
        <w:rPr>
          <w:lang w:val="en-GB"/>
        </w:rPr>
        <w:t>9</w:t>
      </w:r>
      <w:r w:rsidR="00222067" w:rsidRPr="001712E4">
        <w:rPr>
          <w:lang w:val="en-GB"/>
        </w:rPr>
        <w:t>).</w:t>
      </w:r>
      <w:r w:rsidR="008B06AF" w:rsidRPr="001712E4">
        <w:rPr>
          <w:lang w:val="en-GB"/>
        </w:rPr>
        <w:t xml:space="preserve"> </w:t>
      </w:r>
      <w:r w:rsidR="00157ED0">
        <w:rPr>
          <w:lang w:val="en-GB"/>
        </w:rPr>
        <w:t>ISO</w:t>
      </w:r>
      <w:r w:rsidR="00831575" w:rsidRPr="001712E4">
        <w:rPr>
          <w:lang w:val="en-GB"/>
        </w:rPr>
        <w:t xml:space="preserve"> (2018</w:t>
      </w:r>
      <w:r w:rsidR="00C0375C" w:rsidRPr="001712E4">
        <w:rPr>
          <w:lang w:val="en-GB"/>
        </w:rPr>
        <w:t>b</w:t>
      </w:r>
      <w:r w:rsidR="00831575" w:rsidRPr="001712E4">
        <w:rPr>
          <w:lang w:val="en-GB"/>
        </w:rPr>
        <w:t>) define</w:t>
      </w:r>
      <w:r w:rsidR="00157ED0">
        <w:rPr>
          <w:lang w:val="en-GB"/>
        </w:rPr>
        <w:t>s</w:t>
      </w:r>
      <w:r w:rsidR="00831575" w:rsidRPr="001712E4">
        <w:rPr>
          <w:lang w:val="en-GB"/>
        </w:rPr>
        <w:t xml:space="preserve"> an </w:t>
      </w:r>
      <w:r w:rsidR="001F464E" w:rsidRPr="001712E4">
        <w:rPr>
          <w:lang w:val="en-GB"/>
        </w:rPr>
        <w:t xml:space="preserve">OSH risk </w:t>
      </w:r>
      <w:r w:rsidR="00831575" w:rsidRPr="001712E4">
        <w:rPr>
          <w:lang w:val="en-GB"/>
        </w:rPr>
        <w:t>as</w:t>
      </w:r>
      <w:r w:rsidR="001F464E" w:rsidRPr="001712E4">
        <w:rPr>
          <w:lang w:val="en-GB"/>
        </w:rPr>
        <w:t xml:space="preserve"> the “combination of the likelihood of occurrence of a work-related hazardous event(s) or exposure(s) and the severity of injury and ill health that can be caused by the event(s) or exposure(s)”.</w:t>
      </w:r>
      <w:r w:rsidR="00CC6B8E" w:rsidRPr="001712E4">
        <w:rPr>
          <w:lang w:val="en-GB"/>
        </w:rPr>
        <w:t xml:space="preserve"> Aldrich et al. (2015) well summarise the characteristics of occupational safety hazards: limited in extent and harm, generally affecting a small number of people, </w:t>
      </w:r>
      <w:r w:rsidR="00CC6B8E" w:rsidRPr="00B73823">
        <w:rPr>
          <w:lang w:val="en-GB"/>
        </w:rPr>
        <w:t>cause and consequences are generally closely related in time and location, events are relatively common and within the general experience of the workforce, and typically a simple chain of events leading to harmful consequences.</w:t>
      </w:r>
    </w:p>
    <w:p w14:paraId="76B78021" w14:textId="4102701A" w:rsidR="001C04DD" w:rsidRPr="001712E4" w:rsidRDefault="00E71A87" w:rsidP="00EA79AF">
      <w:pPr>
        <w:pStyle w:val="CETBodytext"/>
        <w:rPr>
          <w:lang w:val="en-GB"/>
        </w:rPr>
      </w:pPr>
      <w:r w:rsidRPr="001712E4">
        <w:rPr>
          <w:lang w:val="en-GB"/>
        </w:rPr>
        <w:t>On the other hand, process safety (sometimes</w:t>
      </w:r>
      <w:r w:rsidR="00AD3FE6">
        <w:rPr>
          <w:lang w:val="en-GB"/>
        </w:rPr>
        <w:t>,</w:t>
      </w:r>
      <w:r w:rsidRPr="001712E4">
        <w:rPr>
          <w:lang w:val="en-GB"/>
        </w:rPr>
        <w:t xml:space="preserve"> asset or technical integrity)</w:t>
      </w:r>
      <w:r w:rsidR="005D52BD" w:rsidRPr="001712E4">
        <w:rPr>
          <w:lang w:val="en-GB"/>
        </w:rPr>
        <w:t xml:space="preserve"> </w:t>
      </w:r>
      <w:r w:rsidR="00A74249" w:rsidRPr="001712E4">
        <w:rPr>
          <w:lang w:val="en-GB"/>
        </w:rPr>
        <w:t xml:space="preserve">can be </w:t>
      </w:r>
      <w:r w:rsidR="0090658D">
        <w:rPr>
          <w:lang w:val="en-GB"/>
        </w:rPr>
        <w:t>described</w:t>
      </w:r>
      <w:r w:rsidR="0090658D" w:rsidRPr="0090658D">
        <w:rPr>
          <w:lang w:val="en-GB"/>
        </w:rPr>
        <w:t xml:space="preserve"> </w:t>
      </w:r>
      <w:r w:rsidR="00A74249" w:rsidRPr="001712E4">
        <w:rPr>
          <w:lang w:val="en-GB"/>
        </w:rPr>
        <w:t xml:space="preserve">as </w:t>
      </w:r>
      <w:r w:rsidR="00F64699" w:rsidRPr="00F64699">
        <w:rPr>
          <w:lang w:val="en-GB"/>
        </w:rPr>
        <w:t>a disciplined framework for managing the integrity of operating systems and processes handling hazardous substances (Khan et al., 2016).</w:t>
      </w:r>
      <w:r w:rsidR="00F64699">
        <w:rPr>
          <w:lang w:val="en-GB"/>
        </w:rPr>
        <w:t xml:space="preserve"> It </w:t>
      </w:r>
      <w:r w:rsidR="005D52BD" w:rsidRPr="001712E4">
        <w:rPr>
          <w:lang w:val="en-GB"/>
        </w:rPr>
        <w:t xml:space="preserve">focuses on major incident hazards associated with release of energy, chemicals, or other hazardous substances (Mataqi and Srikanth Adivi, 2013). </w:t>
      </w:r>
      <w:r w:rsidR="008E0120" w:rsidRPr="001712E4">
        <w:rPr>
          <w:lang w:val="en-GB"/>
        </w:rPr>
        <w:t xml:space="preserve">A major accident is defined by European </w:t>
      </w:r>
      <w:r w:rsidR="008E0120" w:rsidRPr="001712E4">
        <w:rPr>
          <w:lang w:val="en-GB"/>
        </w:rPr>
        <w:lastRenderedPageBreak/>
        <w:t xml:space="preserve">Union (2012) as “an occurrence such as a major emission, fire, or explosion resulting from uncontrolled developments in the course of the operation of any establishment […], and leading to serious danger to human health or the environment, immediate or delayed, inside or outside the </w:t>
      </w:r>
      <w:r w:rsidR="008E0120" w:rsidRPr="0036180D">
        <w:rPr>
          <w:lang w:val="en-GB"/>
        </w:rPr>
        <w:t xml:space="preserve">establishment, and involving one or more dangerous substances”. </w:t>
      </w:r>
      <w:r w:rsidR="007643C1" w:rsidRPr="0036180D">
        <w:rPr>
          <w:lang w:val="en-GB"/>
        </w:rPr>
        <w:t>Therefore, major accidents have consequences not restricted to the immediate occupational area (Jørgensen, 2016)</w:t>
      </w:r>
      <w:r w:rsidR="0036180D" w:rsidRPr="0036180D">
        <w:rPr>
          <w:lang w:val="en-GB"/>
        </w:rPr>
        <w:t xml:space="preserve">, and can result in multiple injuries and fatalities, in addition to economic, property, and environmental damage (Baker et al., 2007). </w:t>
      </w:r>
      <w:r w:rsidR="007643C1" w:rsidRPr="0036180D">
        <w:rPr>
          <w:lang w:val="en-GB"/>
        </w:rPr>
        <w:t>P</w:t>
      </w:r>
      <w:r w:rsidR="008237F5" w:rsidRPr="0036180D">
        <w:rPr>
          <w:lang w:val="en-GB"/>
        </w:rPr>
        <w:t>rocess safety hazards arise from the processing activity in which a plant may be engaged (Hopkins, 200</w:t>
      </w:r>
      <w:r w:rsidR="00285CB0">
        <w:rPr>
          <w:lang w:val="en-GB"/>
        </w:rPr>
        <w:t>9</w:t>
      </w:r>
      <w:r w:rsidR="008237F5" w:rsidRPr="0036180D">
        <w:rPr>
          <w:lang w:val="en-GB"/>
        </w:rPr>
        <w:t>).</w:t>
      </w:r>
      <w:r w:rsidR="00B24E83" w:rsidRPr="0036180D">
        <w:rPr>
          <w:lang w:val="en-GB"/>
        </w:rPr>
        <w:t xml:space="preserve"> </w:t>
      </w:r>
      <w:r w:rsidR="00B24E83" w:rsidRPr="001712E4">
        <w:rPr>
          <w:lang w:val="en-GB"/>
        </w:rPr>
        <w:t>According to Aldrich et al. (2015), process safety hazards are potential for causing widespread harm and large numbers of casualties, causes and consequences may be widely separated, there is often a considerable time difference between the cause and the consequence of an incident, events are infrequent and unlikely to be experienced during a typical working life, and chains of events are often complex.</w:t>
      </w:r>
    </w:p>
    <w:p w14:paraId="70A6C4EF" w14:textId="5E64E773" w:rsidR="00C75D32" w:rsidRPr="001712E4" w:rsidRDefault="000C2273" w:rsidP="00EA79AF">
      <w:pPr>
        <w:pStyle w:val="CETBodytext"/>
      </w:pPr>
      <w:r w:rsidRPr="001712E4">
        <w:t xml:space="preserve">Although personal safety and process safety are often distinguished, there is an acknowledged advantage in their integration (Leclercq et al., 2018). Indeed, process safety should be integrated with occupational safety: good process safety, integrated with effective personal safety management, ensures good safety performance </w:t>
      </w:r>
      <w:r w:rsidRPr="00E30EB7">
        <w:rPr>
          <w:lang w:val="en-GB"/>
        </w:rPr>
        <w:t>of an organisation (Mataqi and Srikanth Adivi, 2013)</w:t>
      </w:r>
      <w:r w:rsidR="00BF6314" w:rsidRPr="00E30EB7">
        <w:rPr>
          <w:lang w:val="en-GB"/>
        </w:rPr>
        <w:t>.</w:t>
      </w:r>
      <w:r w:rsidR="00A179D9" w:rsidRPr="00E30EB7">
        <w:rPr>
          <w:lang w:val="en-GB"/>
        </w:rPr>
        <w:t xml:space="preserve"> Consequently, the aim </w:t>
      </w:r>
      <w:r w:rsidR="00ED71A7" w:rsidRPr="00E30EB7">
        <w:rPr>
          <w:lang w:val="en-GB"/>
        </w:rPr>
        <w:t>of this paper is to provide an</w:t>
      </w:r>
      <w:r w:rsidR="00ED71A7" w:rsidRPr="001712E4">
        <w:t xml:space="preserve"> overview of the </w:t>
      </w:r>
      <w:bookmarkStart w:id="3" w:name="_Hlk34681331"/>
      <w:r w:rsidR="00BC2764">
        <w:t xml:space="preserve">existing </w:t>
      </w:r>
      <w:r w:rsidR="00ED71A7" w:rsidRPr="001712E4">
        <w:t xml:space="preserve">approaches </w:t>
      </w:r>
      <w:r w:rsidR="00A179D9" w:rsidRPr="001712E4">
        <w:t>that integrate</w:t>
      </w:r>
      <w:r w:rsidR="00ED71A7" w:rsidRPr="001712E4">
        <w:t xml:space="preserve"> personal and process safety risks</w:t>
      </w:r>
      <w:bookmarkEnd w:id="3"/>
      <w:r w:rsidR="00ED71A7" w:rsidRPr="001712E4">
        <w:t>, pointing out the main challenges to be addressed for developing a future enhanced framework.</w:t>
      </w:r>
    </w:p>
    <w:p w14:paraId="0D3F5A9D" w14:textId="204E7B9D" w:rsidR="00EA79AF" w:rsidRPr="001712E4" w:rsidRDefault="00EA79AF" w:rsidP="00EA79AF">
      <w:pPr>
        <w:pStyle w:val="CETHeading1"/>
        <w:tabs>
          <w:tab w:val="clear" w:pos="360"/>
          <w:tab w:val="right" w:pos="7100"/>
        </w:tabs>
        <w:jc w:val="both"/>
        <w:rPr>
          <w:lang w:val="en-GB"/>
        </w:rPr>
      </w:pPr>
      <w:r w:rsidRPr="001712E4">
        <w:rPr>
          <w:lang w:val="en-GB"/>
        </w:rPr>
        <w:t>Methods</w:t>
      </w:r>
    </w:p>
    <w:p w14:paraId="17A8D14E" w14:textId="44142708" w:rsidR="002547F9" w:rsidRDefault="00D80EC4" w:rsidP="00EA79AF">
      <w:pPr>
        <w:pStyle w:val="CETBodytext"/>
        <w:rPr>
          <w:lang w:val="en-GB"/>
        </w:rPr>
      </w:pPr>
      <w:r w:rsidRPr="001712E4">
        <w:rPr>
          <w:lang w:val="en-GB"/>
        </w:rPr>
        <w:t>To achieve th</w:t>
      </w:r>
      <w:r w:rsidR="004E3C48" w:rsidRPr="001712E4">
        <w:rPr>
          <w:lang w:val="en-GB"/>
        </w:rPr>
        <w:t>is</w:t>
      </w:r>
      <w:r w:rsidRPr="001712E4">
        <w:rPr>
          <w:lang w:val="en-GB"/>
        </w:rPr>
        <w:t xml:space="preserve"> objective, </w:t>
      </w:r>
      <w:r w:rsidR="000A2310" w:rsidRPr="001712E4">
        <w:rPr>
          <w:lang w:val="en-GB"/>
        </w:rPr>
        <w:t>a systematic literature review was conducted</w:t>
      </w:r>
      <w:r w:rsidR="00604E23" w:rsidRPr="001712E4">
        <w:rPr>
          <w:lang w:val="en-GB"/>
        </w:rPr>
        <w:t xml:space="preserve">. </w:t>
      </w:r>
      <w:r w:rsidR="007A5DD3" w:rsidRPr="007A5DD3">
        <w:rPr>
          <w:lang w:val="en-GB"/>
        </w:rPr>
        <w:t xml:space="preserve">A systematic review is an explicit and reproducible research methodology to answer a specific research question on a specific topic, and allows </w:t>
      </w:r>
      <w:r w:rsidR="006A622F">
        <w:rPr>
          <w:lang w:val="en-GB"/>
        </w:rPr>
        <w:t>pinpointing</w:t>
      </w:r>
      <w:r w:rsidR="006A622F" w:rsidRPr="007A5DD3">
        <w:rPr>
          <w:lang w:val="en-GB"/>
        </w:rPr>
        <w:t xml:space="preserve"> </w:t>
      </w:r>
      <w:r w:rsidR="007A5DD3" w:rsidRPr="007A5DD3">
        <w:rPr>
          <w:lang w:val="en-GB"/>
        </w:rPr>
        <w:t xml:space="preserve">all relevant studies that meet the inclusion criteria, critically appraising </w:t>
      </w:r>
      <w:r w:rsidR="00424708">
        <w:rPr>
          <w:lang w:val="en-GB"/>
        </w:rPr>
        <w:t>them</w:t>
      </w:r>
      <w:r w:rsidR="007A5DD3" w:rsidRPr="007A5DD3">
        <w:rPr>
          <w:lang w:val="en-GB"/>
        </w:rPr>
        <w:t>, and summarising the state of the art on the topic of interest (Stefana et al., 2015).</w:t>
      </w:r>
      <w:r w:rsidR="007A5DD3">
        <w:rPr>
          <w:lang w:val="en-GB"/>
        </w:rPr>
        <w:t xml:space="preserve"> </w:t>
      </w:r>
      <w:r w:rsidR="005240FC" w:rsidRPr="001712E4">
        <w:rPr>
          <w:lang w:val="en-GB"/>
        </w:rPr>
        <w:t xml:space="preserve">The research question formulated for </w:t>
      </w:r>
      <w:r w:rsidR="00C55B12" w:rsidRPr="001712E4">
        <w:rPr>
          <w:lang w:val="en-GB"/>
        </w:rPr>
        <w:t>the</w:t>
      </w:r>
      <w:r w:rsidR="005240FC" w:rsidRPr="001712E4">
        <w:rPr>
          <w:lang w:val="en-GB"/>
        </w:rPr>
        <w:t xml:space="preserve"> study is: “Which approaches are available in the literature to integrate occupational safety and health and process safety?”.</w:t>
      </w:r>
      <w:r w:rsidR="002D4E21" w:rsidRPr="001712E4">
        <w:rPr>
          <w:lang w:val="en-GB"/>
        </w:rPr>
        <w:t xml:space="preserve"> The definition of this research question and the identification of keywords and their related synonyms </w:t>
      </w:r>
      <w:r w:rsidR="00424708" w:rsidRPr="008A02BD">
        <w:rPr>
          <w:lang w:val="en-GB"/>
        </w:rPr>
        <w:t xml:space="preserve">permitted </w:t>
      </w:r>
      <w:r w:rsidR="008A02BD" w:rsidRPr="008A02BD">
        <w:rPr>
          <w:lang w:val="en-GB"/>
        </w:rPr>
        <w:t xml:space="preserve">designing </w:t>
      </w:r>
      <w:r w:rsidR="002D4E21" w:rsidRPr="008A02BD">
        <w:rPr>
          <w:lang w:val="en-GB"/>
        </w:rPr>
        <w:t xml:space="preserve">a search string by means of Boolean operators AND </w:t>
      </w:r>
      <w:proofErr w:type="spellStart"/>
      <w:r w:rsidR="002D4E21" w:rsidRPr="008A02BD">
        <w:rPr>
          <w:lang w:val="en-GB"/>
        </w:rPr>
        <w:t>and</w:t>
      </w:r>
      <w:proofErr w:type="spellEnd"/>
      <w:r w:rsidR="002D4E21" w:rsidRPr="008A02BD">
        <w:rPr>
          <w:lang w:val="en-GB"/>
        </w:rPr>
        <w:t xml:space="preserve"> OR.</w:t>
      </w:r>
      <w:r w:rsidR="00C45BD1" w:rsidRPr="008A02BD">
        <w:rPr>
          <w:lang w:val="en-GB"/>
        </w:rPr>
        <w:t xml:space="preserve"> </w:t>
      </w:r>
      <w:r w:rsidR="00A226A4" w:rsidRPr="008A02BD">
        <w:rPr>
          <w:lang w:val="en-GB"/>
        </w:rPr>
        <w:t xml:space="preserve">The search string was </w:t>
      </w:r>
      <w:r w:rsidR="002E25E3" w:rsidRPr="001712E4">
        <w:rPr>
          <w:lang w:val="en-GB"/>
        </w:rPr>
        <w:t xml:space="preserve">implemented </w:t>
      </w:r>
      <w:r w:rsidR="00C12460" w:rsidRPr="001712E4">
        <w:rPr>
          <w:lang w:val="en-GB"/>
        </w:rPr>
        <w:t>in title, abstract, and keywords fields in</w:t>
      </w:r>
      <w:r w:rsidR="002D4E21" w:rsidRPr="001712E4">
        <w:rPr>
          <w:lang w:val="en-GB"/>
        </w:rPr>
        <w:t xml:space="preserve"> the following electronic (bibliographic) databases of scientific publications: Scopus and Web of Science</w:t>
      </w:r>
      <w:r w:rsidR="00E401DE" w:rsidRPr="001712E4">
        <w:rPr>
          <w:lang w:val="en-GB"/>
        </w:rPr>
        <w:t xml:space="preserve">. </w:t>
      </w:r>
      <w:r w:rsidR="00114D4A" w:rsidRPr="001712E4">
        <w:rPr>
          <w:lang w:val="en-GB"/>
        </w:rPr>
        <w:t xml:space="preserve">To consider all potentially relevant papers, a starting date </w:t>
      </w:r>
      <w:r w:rsidR="00114D4A" w:rsidRPr="0090658D">
        <w:rPr>
          <w:lang w:val="en-GB"/>
        </w:rPr>
        <w:t xml:space="preserve">was not </w:t>
      </w:r>
      <w:r w:rsidR="0090658D">
        <w:rPr>
          <w:lang w:val="en-GB"/>
        </w:rPr>
        <w:t>established</w:t>
      </w:r>
      <w:r w:rsidR="00F463BF" w:rsidRPr="0090658D">
        <w:rPr>
          <w:lang w:val="en-GB"/>
        </w:rPr>
        <w:t>,</w:t>
      </w:r>
      <w:r w:rsidR="00114D4A" w:rsidRPr="0090658D">
        <w:rPr>
          <w:lang w:val="en-GB"/>
        </w:rPr>
        <w:t xml:space="preserve"> and documents were retrieved </w:t>
      </w:r>
      <w:r w:rsidR="00E401DE" w:rsidRPr="0090658D">
        <w:rPr>
          <w:lang w:val="en-GB"/>
        </w:rPr>
        <w:t>until 16 November 2019</w:t>
      </w:r>
      <w:r w:rsidR="002D4E21" w:rsidRPr="0090658D">
        <w:rPr>
          <w:lang w:val="en-GB"/>
        </w:rPr>
        <w:t>.</w:t>
      </w:r>
      <w:r w:rsidR="00FC7AA8" w:rsidRPr="0090658D">
        <w:rPr>
          <w:lang w:val="en-GB"/>
        </w:rPr>
        <w:t xml:space="preserve"> </w:t>
      </w:r>
      <w:r w:rsidR="00E401DE" w:rsidRPr="0090658D">
        <w:rPr>
          <w:lang w:val="en-GB"/>
        </w:rPr>
        <w:t xml:space="preserve">Only English documents were </w:t>
      </w:r>
      <w:r w:rsidR="00E00B73">
        <w:rPr>
          <w:lang w:val="en-GB"/>
        </w:rPr>
        <w:t>examined</w:t>
      </w:r>
      <w:r w:rsidR="00E401DE" w:rsidRPr="001712E4">
        <w:rPr>
          <w:lang w:val="en-GB"/>
        </w:rPr>
        <w:t xml:space="preserve">. </w:t>
      </w:r>
      <w:r w:rsidR="00FF4B0F" w:rsidRPr="001712E4">
        <w:rPr>
          <w:lang w:val="en-GB"/>
        </w:rPr>
        <w:t>The search was limited to source</w:t>
      </w:r>
      <w:r w:rsidR="00E401DE" w:rsidRPr="001712E4">
        <w:rPr>
          <w:lang w:val="en-GB"/>
        </w:rPr>
        <w:t xml:space="preserve"> titles </w:t>
      </w:r>
      <w:r w:rsidR="00DE4C46" w:rsidRPr="001712E4">
        <w:rPr>
          <w:lang w:val="en-GB"/>
        </w:rPr>
        <w:t xml:space="preserve">that are pertinent to </w:t>
      </w:r>
      <w:r w:rsidR="00114D4A" w:rsidRPr="001712E4">
        <w:rPr>
          <w:lang w:val="en-GB"/>
        </w:rPr>
        <w:t>the</w:t>
      </w:r>
      <w:r w:rsidR="00DE4C46" w:rsidRPr="001712E4">
        <w:rPr>
          <w:lang w:val="en-GB"/>
        </w:rPr>
        <w:t xml:space="preserve"> research topic and scope: for instance, </w:t>
      </w:r>
      <w:r w:rsidR="00A226A4" w:rsidRPr="001712E4">
        <w:rPr>
          <w:lang w:val="en-GB"/>
        </w:rPr>
        <w:t>Safety Science</w:t>
      </w:r>
      <w:r w:rsidR="00FF4B0F" w:rsidRPr="001712E4">
        <w:rPr>
          <w:lang w:val="en-GB"/>
        </w:rPr>
        <w:t xml:space="preserve"> </w:t>
      </w:r>
      <w:r w:rsidR="00A226A4" w:rsidRPr="001712E4">
        <w:rPr>
          <w:lang w:val="en-GB"/>
        </w:rPr>
        <w:t>and Journal of Occupational and Environmental Hygiene were included, whereas BMC Public Health and BMJ Open were excluded.</w:t>
      </w:r>
      <w:r w:rsidR="009A26F3" w:rsidRPr="001712E4">
        <w:rPr>
          <w:lang w:val="en-GB"/>
        </w:rPr>
        <w:t xml:space="preserve"> </w:t>
      </w:r>
      <w:r w:rsidR="00FF4B0F" w:rsidRPr="001712E4">
        <w:rPr>
          <w:lang w:val="en-GB"/>
        </w:rPr>
        <w:t>Endnote</w:t>
      </w:r>
      <w:r w:rsidR="00FF4B0F" w:rsidRPr="001712E4">
        <w:rPr>
          <w:vertAlign w:val="superscript"/>
          <w:lang w:val="en-GB"/>
        </w:rPr>
        <w:t>®</w:t>
      </w:r>
      <w:r w:rsidR="00FF4B0F" w:rsidRPr="001712E4">
        <w:rPr>
          <w:lang w:val="en-GB"/>
        </w:rPr>
        <w:t xml:space="preserve"> X9 </w:t>
      </w:r>
      <w:r w:rsidR="007D2F14" w:rsidRPr="001712E4">
        <w:rPr>
          <w:lang w:val="en-GB"/>
        </w:rPr>
        <w:t xml:space="preserve">was employed </w:t>
      </w:r>
      <w:r w:rsidR="00FF4B0F" w:rsidRPr="001712E4">
        <w:rPr>
          <w:lang w:val="en-GB"/>
        </w:rPr>
        <w:t xml:space="preserve">to manage references, remove duplicates, and create a unique reference database. </w:t>
      </w:r>
      <w:r w:rsidR="00B211DF">
        <w:rPr>
          <w:lang w:val="en-GB"/>
        </w:rPr>
        <w:t>T</w:t>
      </w:r>
      <w:r w:rsidR="000C2EDA" w:rsidRPr="001712E4">
        <w:rPr>
          <w:lang w:val="en-GB"/>
        </w:rPr>
        <w:t xml:space="preserve">o perform a sequential publication selection, the </w:t>
      </w:r>
      <w:r w:rsidR="000C2EDA" w:rsidRPr="00600FFE">
        <w:rPr>
          <w:lang w:val="en-GB"/>
        </w:rPr>
        <w:t>initial database in Endnote</w:t>
      </w:r>
      <w:r w:rsidR="000C2EDA" w:rsidRPr="00600FFE">
        <w:rPr>
          <w:vertAlign w:val="superscript"/>
          <w:lang w:val="en-GB"/>
        </w:rPr>
        <w:t>®</w:t>
      </w:r>
      <w:r w:rsidR="000C2EDA" w:rsidRPr="00600FFE">
        <w:rPr>
          <w:lang w:val="en-GB"/>
        </w:rPr>
        <w:t xml:space="preserve"> X9 </w:t>
      </w:r>
      <w:r w:rsidR="007D2F14" w:rsidRPr="00600FFE">
        <w:rPr>
          <w:lang w:val="en-GB"/>
        </w:rPr>
        <w:t xml:space="preserve">was converted </w:t>
      </w:r>
      <w:r w:rsidR="000C2EDA" w:rsidRPr="00600FFE">
        <w:rPr>
          <w:lang w:val="en-GB"/>
        </w:rPr>
        <w:t>into a Microsoft</w:t>
      </w:r>
      <w:r w:rsidR="000C2EDA" w:rsidRPr="00600FFE">
        <w:rPr>
          <w:vertAlign w:val="superscript"/>
          <w:lang w:val="en-GB"/>
        </w:rPr>
        <w:t>®</w:t>
      </w:r>
      <w:r w:rsidR="000C2EDA" w:rsidRPr="00600FFE">
        <w:rPr>
          <w:lang w:val="en-GB"/>
        </w:rPr>
        <w:t xml:space="preserve"> Excel spreadsheet. </w:t>
      </w:r>
      <w:r w:rsidR="00116023" w:rsidRPr="00600FFE">
        <w:rPr>
          <w:lang w:val="en-GB"/>
        </w:rPr>
        <w:t xml:space="preserve">The </w:t>
      </w:r>
      <w:r w:rsidR="00600FFE">
        <w:rPr>
          <w:lang w:val="en-GB"/>
        </w:rPr>
        <w:t>specification</w:t>
      </w:r>
      <w:r w:rsidR="00600FFE" w:rsidRPr="00600FFE">
        <w:rPr>
          <w:lang w:val="en-GB"/>
        </w:rPr>
        <w:t xml:space="preserve"> </w:t>
      </w:r>
      <w:r w:rsidR="00116023" w:rsidRPr="00600FFE">
        <w:rPr>
          <w:lang w:val="en-GB"/>
        </w:rPr>
        <w:t xml:space="preserve">of </w:t>
      </w:r>
      <w:r w:rsidR="009C56AC" w:rsidRPr="00600FFE">
        <w:rPr>
          <w:lang w:val="en-GB"/>
        </w:rPr>
        <w:t xml:space="preserve">several </w:t>
      </w:r>
      <w:r w:rsidR="009C56AC" w:rsidRPr="008A2C3D">
        <w:rPr>
          <w:lang w:val="en-GB"/>
        </w:rPr>
        <w:t xml:space="preserve">inclusion criteria </w:t>
      </w:r>
      <w:r w:rsidR="008A2C3D">
        <w:rPr>
          <w:lang w:val="en-GB"/>
        </w:rPr>
        <w:t>allowed</w:t>
      </w:r>
      <w:r w:rsidR="008A2C3D" w:rsidRPr="008A2C3D">
        <w:rPr>
          <w:lang w:val="en-GB"/>
        </w:rPr>
        <w:t xml:space="preserve"> </w:t>
      </w:r>
      <w:r w:rsidR="009C56AC" w:rsidRPr="008A2C3D">
        <w:rPr>
          <w:lang w:val="en-GB"/>
        </w:rPr>
        <w:t xml:space="preserve">filtering relevant articles. If papers did not meet such inclusion criteria, they were </w:t>
      </w:r>
      <w:r w:rsidR="009C56AC" w:rsidRPr="001712E4">
        <w:rPr>
          <w:lang w:val="en-GB"/>
        </w:rPr>
        <w:t xml:space="preserve">not considered in results. </w:t>
      </w:r>
      <w:r w:rsidR="00282931" w:rsidRPr="001712E4">
        <w:rPr>
          <w:lang w:val="en-GB"/>
        </w:rPr>
        <w:t xml:space="preserve">The records were rated based on the relevance of their titles, abstracts, keywords, and full-texts. </w:t>
      </w:r>
      <w:r w:rsidR="00600FFE">
        <w:rPr>
          <w:lang w:val="en-GB"/>
        </w:rPr>
        <w:t>S</w:t>
      </w:r>
      <w:r w:rsidR="009C56AC" w:rsidRPr="001712E4">
        <w:rPr>
          <w:lang w:val="en-GB"/>
        </w:rPr>
        <w:t xml:space="preserve">tudies were excluded if focused solely on a specific risk </w:t>
      </w:r>
      <w:r w:rsidR="004E0629">
        <w:rPr>
          <w:lang w:val="en-GB"/>
        </w:rPr>
        <w:t>kind</w:t>
      </w:r>
      <w:r w:rsidR="009C56AC" w:rsidRPr="001712E4">
        <w:rPr>
          <w:lang w:val="en-GB"/>
        </w:rPr>
        <w:t xml:space="preserve">, </w:t>
      </w:r>
      <w:r w:rsidR="00234C88" w:rsidRPr="001712E4">
        <w:rPr>
          <w:lang w:val="en-GB"/>
        </w:rPr>
        <w:t xml:space="preserve">on </w:t>
      </w:r>
      <w:r w:rsidR="009C56AC" w:rsidRPr="001712E4">
        <w:rPr>
          <w:lang w:val="en-GB"/>
        </w:rPr>
        <w:t xml:space="preserve">analysis of types, causes, and characteristics of accidents, </w:t>
      </w:r>
      <w:r w:rsidR="00234C88" w:rsidRPr="001712E4">
        <w:rPr>
          <w:lang w:val="en-GB"/>
        </w:rPr>
        <w:t>on safety culture and climate, on features of work-related injuries, on emergency issues, on estimations of individual risk</w:t>
      </w:r>
      <w:r w:rsidR="0025269F" w:rsidRPr="001712E4">
        <w:rPr>
          <w:lang w:val="en-GB"/>
        </w:rPr>
        <w:t xml:space="preserve">. Additionally, review papers and researches </w:t>
      </w:r>
      <w:r w:rsidR="00BC1830" w:rsidRPr="001712E4">
        <w:rPr>
          <w:lang w:val="en-GB"/>
        </w:rPr>
        <w:t xml:space="preserve">applying an </w:t>
      </w:r>
      <w:r w:rsidR="00BC1830" w:rsidRPr="00D30C72">
        <w:rPr>
          <w:lang w:val="en-GB"/>
        </w:rPr>
        <w:t xml:space="preserve">existing framework were </w:t>
      </w:r>
      <w:r w:rsidR="00E00B73">
        <w:rPr>
          <w:lang w:val="en-GB"/>
        </w:rPr>
        <w:t>ignored</w:t>
      </w:r>
      <w:r w:rsidR="0025269F" w:rsidRPr="00D30C72">
        <w:rPr>
          <w:lang w:val="en-GB"/>
        </w:rPr>
        <w:t>.</w:t>
      </w:r>
      <w:r w:rsidR="00BA6735" w:rsidRPr="00D30C72">
        <w:rPr>
          <w:lang w:val="en-GB"/>
        </w:rPr>
        <w:t xml:space="preserve"> Studies proposing a</w:t>
      </w:r>
      <w:r w:rsidR="001671A3" w:rsidRPr="00D30C72">
        <w:rPr>
          <w:lang w:val="en-GB"/>
        </w:rPr>
        <w:t>n original</w:t>
      </w:r>
      <w:r w:rsidR="00BA6735" w:rsidRPr="00D30C72">
        <w:rPr>
          <w:lang w:val="en-GB"/>
        </w:rPr>
        <w:t xml:space="preserve"> </w:t>
      </w:r>
      <w:r w:rsidR="004E0629" w:rsidRPr="00D30C72">
        <w:rPr>
          <w:lang w:val="en-GB"/>
        </w:rPr>
        <w:t>approach</w:t>
      </w:r>
      <w:r w:rsidR="00BA6735" w:rsidRPr="00D30C72">
        <w:rPr>
          <w:lang w:val="en-GB"/>
        </w:rPr>
        <w:t xml:space="preserve"> </w:t>
      </w:r>
      <w:r w:rsidR="001671A3" w:rsidRPr="00D30C72">
        <w:rPr>
          <w:lang w:val="en-GB"/>
        </w:rPr>
        <w:t xml:space="preserve">whose </w:t>
      </w:r>
      <w:r w:rsidR="00D30C72">
        <w:rPr>
          <w:lang w:val="en-GB"/>
        </w:rPr>
        <w:t>intent</w:t>
      </w:r>
      <w:r w:rsidR="00D30C72" w:rsidRPr="00D30C72">
        <w:rPr>
          <w:lang w:val="en-GB"/>
        </w:rPr>
        <w:t xml:space="preserve"> </w:t>
      </w:r>
      <w:r w:rsidR="001671A3" w:rsidRPr="00D30C72">
        <w:rPr>
          <w:lang w:val="en-GB"/>
        </w:rPr>
        <w:t xml:space="preserve">is not to </w:t>
      </w:r>
      <w:r w:rsidR="00E25C84">
        <w:rPr>
          <w:lang w:val="en-GB"/>
        </w:rPr>
        <w:t>combine</w:t>
      </w:r>
      <w:r w:rsidR="00E25C84" w:rsidRPr="00805348">
        <w:rPr>
          <w:lang w:val="en-GB"/>
        </w:rPr>
        <w:t xml:space="preserve"> </w:t>
      </w:r>
      <w:r w:rsidR="001671A3" w:rsidRPr="00805348">
        <w:rPr>
          <w:lang w:val="en-GB"/>
        </w:rPr>
        <w:t>personal and process safety, but implicitly consider both the domains and their risks were included in the results.</w:t>
      </w:r>
      <w:r w:rsidR="007B1D5D" w:rsidRPr="001712E4">
        <w:rPr>
          <w:lang w:val="en-GB"/>
        </w:rPr>
        <w:t xml:space="preserve"> The search string and the different selection process steps are reported in Figure 1.</w:t>
      </w:r>
    </w:p>
    <w:p w14:paraId="0AA09438" w14:textId="4D62D23A" w:rsidR="00AE0292" w:rsidRDefault="00AE0292" w:rsidP="00EA79AF">
      <w:pPr>
        <w:pStyle w:val="CETBodytext"/>
        <w:rPr>
          <w:lang w:val="en-GB"/>
        </w:rPr>
      </w:pPr>
    </w:p>
    <w:p w14:paraId="6327E983" w14:textId="630216C1" w:rsidR="00AE0292" w:rsidRDefault="005555A0" w:rsidP="00EA79AF">
      <w:pPr>
        <w:pStyle w:val="CETBodytext"/>
        <w:rPr>
          <w:lang w:val="en-GB"/>
        </w:rPr>
      </w:pPr>
      <w:r w:rsidRPr="005555A0">
        <w:rPr>
          <w:noProof/>
          <w:lang w:val="it-IT" w:eastAsia="it-IT"/>
        </w:rPr>
        <w:drawing>
          <wp:inline distT="0" distB="0" distL="0" distR="0" wp14:anchorId="4149FACA" wp14:editId="159846B4">
            <wp:extent cx="5579745" cy="183134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1831340"/>
                    </a:xfrm>
                    <a:prstGeom prst="rect">
                      <a:avLst/>
                    </a:prstGeom>
                    <a:noFill/>
                    <a:ln>
                      <a:noFill/>
                    </a:ln>
                  </pic:spPr>
                </pic:pic>
              </a:graphicData>
            </a:graphic>
          </wp:inline>
        </w:drawing>
      </w:r>
    </w:p>
    <w:p w14:paraId="21DB1DE1" w14:textId="77777777" w:rsidR="002547F9" w:rsidRPr="001712E4" w:rsidRDefault="002547F9" w:rsidP="002547F9">
      <w:pPr>
        <w:pStyle w:val="CETCaption"/>
      </w:pPr>
      <w:r w:rsidRPr="001712E4">
        <w:t>Figure 1: Search string and steps of the systematic review</w:t>
      </w:r>
    </w:p>
    <w:p w14:paraId="1F18717E" w14:textId="6C48BC0C" w:rsidR="00EA79AF" w:rsidRPr="001712E4" w:rsidRDefault="00EA79AF" w:rsidP="00EA79AF">
      <w:pPr>
        <w:pStyle w:val="CETHeading1"/>
        <w:tabs>
          <w:tab w:val="clear" w:pos="360"/>
          <w:tab w:val="right" w:pos="7100"/>
        </w:tabs>
        <w:jc w:val="both"/>
        <w:rPr>
          <w:lang w:val="en-GB"/>
        </w:rPr>
      </w:pPr>
      <w:r w:rsidRPr="001712E4">
        <w:rPr>
          <w:lang w:val="en-GB"/>
        </w:rPr>
        <w:lastRenderedPageBreak/>
        <w:t>Results</w:t>
      </w:r>
    </w:p>
    <w:p w14:paraId="78E25B09" w14:textId="701038C7" w:rsidR="006643D4" w:rsidRDefault="00340F60" w:rsidP="00EA79AF">
      <w:pPr>
        <w:pStyle w:val="CETBodytext"/>
        <w:rPr>
          <w:lang w:val="en-GB"/>
        </w:rPr>
      </w:pPr>
      <w:r w:rsidRPr="00B82BEA">
        <w:rPr>
          <w:lang w:val="en-GB"/>
        </w:rPr>
        <w:t xml:space="preserve">The </w:t>
      </w:r>
      <w:r w:rsidR="002C25FA" w:rsidRPr="00B82BEA">
        <w:rPr>
          <w:lang w:val="en-GB"/>
        </w:rPr>
        <w:t xml:space="preserve">results of the screening process </w:t>
      </w:r>
      <w:r w:rsidRPr="00B82BEA">
        <w:rPr>
          <w:lang w:val="en-GB"/>
        </w:rPr>
        <w:t xml:space="preserve">are </w:t>
      </w:r>
      <w:r w:rsidR="004C46AB">
        <w:rPr>
          <w:lang w:val="en-GB"/>
        </w:rPr>
        <w:t>shown</w:t>
      </w:r>
      <w:r w:rsidR="004C46AB" w:rsidRPr="00B82BEA">
        <w:rPr>
          <w:lang w:val="en-GB"/>
        </w:rPr>
        <w:t xml:space="preserve"> </w:t>
      </w:r>
      <w:r w:rsidRPr="00B82BEA">
        <w:rPr>
          <w:lang w:val="en-GB"/>
        </w:rPr>
        <w:t xml:space="preserve">in Figure </w:t>
      </w:r>
      <w:r w:rsidR="00A21B0E" w:rsidRPr="00B82BEA">
        <w:rPr>
          <w:lang w:val="en-GB"/>
        </w:rPr>
        <w:t>1</w:t>
      </w:r>
      <w:r w:rsidRPr="00B82BEA">
        <w:rPr>
          <w:lang w:val="en-GB"/>
        </w:rPr>
        <w:t xml:space="preserve">. </w:t>
      </w:r>
      <w:r w:rsidR="00395A1B" w:rsidRPr="00B82BEA">
        <w:rPr>
          <w:lang w:val="en-GB"/>
        </w:rPr>
        <w:t>In the</w:t>
      </w:r>
      <w:r w:rsidR="00330C7D" w:rsidRPr="00B82BEA">
        <w:rPr>
          <w:lang w:val="en-GB"/>
        </w:rPr>
        <w:t xml:space="preserve"> analysed</w:t>
      </w:r>
      <w:r w:rsidR="00395A1B" w:rsidRPr="00B82BEA">
        <w:rPr>
          <w:lang w:val="en-GB"/>
        </w:rPr>
        <w:t xml:space="preserve"> literature, </w:t>
      </w:r>
      <w:r w:rsidR="00A21B0E" w:rsidRPr="00B82BEA">
        <w:rPr>
          <w:lang w:val="en-GB"/>
        </w:rPr>
        <w:t>14</w:t>
      </w:r>
      <w:r w:rsidRPr="00B82BEA">
        <w:rPr>
          <w:lang w:val="en-GB"/>
        </w:rPr>
        <w:t xml:space="preserve"> articles </w:t>
      </w:r>
      <w:r w:rsidR="00395A1B" w:rsidRPr="00B82BEA">
        <w:rPr>
          <w:lang w:val="en-GB"/>
        </w:rPr>
        <w:t>propose</w:t>
      </w:r>
      <w:r w:rsidRPr="00B82BEA">
        <w:rPr>
          <w:lang w:val="en-GB"/>
        </w:rPr>
        <w:t xml:space="preserve"> approaches able to </w:t>
      </w:r>
      <w:r w:rsidR="00E25C84" w:rsidRPr="00B82BEA">
        <w:rPr>
          <w:lang w:val="en-GB"/>
        </w:rPr>
        <w:t xml:space="preserve">combine </w:t>
      </w:r>
      <w:r w:rsidR="00395A1B" w:rsidRPr="00B82BEA">
        <w:rPr>
          <w:lang w:val="en-GB"/>
        </w:rPr>
        <w:t>o</w:t>
      </w:r>
      <w:r w:rsidRPr="00B82BEA">
        <w:rPr>
          <w:lang w:val="en-GB"/>
        </w:rPr>
        <w:t xml:space="preserve">ccupational safety and </w:t>
      </w:r>
      <w:r w:rsidR="00395A1B" w:rsidRPr="00B82BEA">
        <w:rPr>
          <w:lang w:val="en-GB"/>
        </w:rPr>
        <w:t>p</w:t>
      </w:r>
      <w:r w:rsidRPr="00B82BEA">
        <w:rPr>
          <w:lang w:val="en-GB"/>
        </w:rPr>
        <w:t>rocess safety.</w:t>
      </w:r>
      <w:r w:rsidR="00802C73" w:rsidRPr="00B82BEA">
        <w:rPr>
          <w:lang w:val="en-GB"/>
        </w:rPr>
        <w:t xml:space="preserve"> </w:t>
      </w:r>
      <w:r w:rsidR="004E6F45" w:rsidRPr="00B82BEA">
        <w:rPr>
          <w:lang w:val="en-GB"/>
        </w:rPr>
        <w:t xml:space="preserve">For each approach, </w:t>
      </w:r>
      <w:r w:rsidR="00523422" w:rsidRPr="00B82BEA">
        <w:rPr>
          <w:lang w:val="en-GB"/>
        </w:rPr>
        <w:t xml:space="preserve">Table 1 reports a brief description, while </w:t>
      </w:r>
      <w:r w:rsidR="00802C73" w:rsidRPr="00B82BEA">
        <w:rPr>
          <w:lang w:val="en-GB"/>
        </w:rPr>
        <w:t xml:space="preserve">Table </w:t>
      </w:r>
      <w:r w:rsidR="004E6F45" w:rsidRPr="00B82BEA">
        <w:rPr>
          <w:lang w:val="en-GB"/>
        </w:rPr>
        <w:t>2</w:t>
      </w:r>
      <w:r w:rsidR="00802C73" w:rsidRPr="00B82BEA">
        <w:rPr>
          <w:lang w:val="en-GB"/>
        </w:rPr>
        <w:t xml:space="preserve"> </w:t>
      </w:r>
      <w:r w:rsidR="00330C7D" w:rsidRPr="00B82BEA">
        <w:rPr>
          <w:lang w:val="en-GB"/>
        </w:rPr>
        <w:t>a possible</w:t>
      </w:r>
      <w:r w:rsidR="00C15797" w:rsidRPr="00B82BEA">
        <w:rPr>
          <w:lang w:val="en-GB"/>
        </w:rPr>
        <w:t xml:space="preserve"> </w:t>
      </w:r>
      <w:r w:rsidR="0091418A" w:rsidRPr="00B82BEA">
        <w:rPr>
          <w:lang w:val="en-GB"/>
        </w:rPr>
        <w:t xml:space="preserve">type </w:t>
      </w:r>
      <w:r w:rsidR="00C15797" w:rsidRPr="00B82BEA">
        <w:rPr>
          <w:lang w:val="en-GB"/>
        </w:rPr>
        <w:t xml:space="preserve">classification </w:t>
      </w:r>
      <w:r w:rsidR="008648BC" w:rsidRPr="00B82BEA">
        <w:rPr>
          <w:lang w:val="en-GB"/>
        </w:rPr>
        <w:t xml:space="preserve">and the focus. </w:t>
      </w:r>
      <w:r w:rsidR="0023387F" w:rsidRPr="00B82BEA">
        <w:rPr>
          <w:lang w:val="en-GB"/>
        </w:rPr>
        <w:t>T</w:t>
      </w:r>
      <w:r w:rsidR="008648BC" w:rsidRPr="00B82BEA">
        <w:rPr>
          <w:lang w:val="en-GB"/>
        </w:rPr>
        <w:t xml:space="preserve">he </w:t>
      </w:r>
      <w:r w:rsidR="006B2D26" w:rsidRPr="00B82BEA">
        <w:rPr>
          <w:lang w:val="en-GB"/>
        </w:rPr>
        <w:t>consideration of the</w:t>
      </w:r>
      <w:r w:rsidR="008648BC" w:rsidRPr="00B82BEA">
        <w:rPr>
          <w:lang w:val="en-GB"/>
        </w:rPr>
        <w:t xml:space="preserve"> focus allows differentiating i</w:t>
      </w:r>
      <w:r w:rsidR="0030524F" w:rsidRPr="00B82BEA">
        <w:rPr>
          <w:lang w:val="en-GB"/>
        </w:rPr>
        <w:t xml:space="preserve">f the approach is developed for </w:t>
      </w:r>
      <w:r w:rsidR="00F95738" w:rsidRPr="00B82BEA">
        <w:rPr>
          <w:lang w:val="en-GB"/>
        </w:rPr>
        <w:t xml:space="preserve">properly </w:t>
      </w:r>
      <w:r w:rsidR="0030524F" w:rsidRPr="00B82BEA">
        <w:rPr>
          <w:lang w:val="en-GB"/>
        </w:rPr>
        <w:t>addressing both occupational and process safety or</w:t>
      </w:r>
      <w:r w:rsidR="00F95738" w:rsidRPr="00B82BEA">
        <w:rPr>
          <w:lang w:val="en-GB"/>
        </w:rPr>
        <w:t>, alternatively,</w:t>
      </w:r>
      <w:r w:rsidR="0030524F" w:rsidRPr="00B82BEA">
        <w:rPr>
          <w:lang w:val="en-GB"/>
        </w:rPr>
        <w:t xml:space="preserve"> </w:t>
      </w:r>
      <w:r w:rsidR="00AA79B3" w:rsidRPr="00B82BEA">
        <w:rPr>
          <w:lang w:val="en-GB"/>
        </w:rPr>
        <w:t xml:space="preserve">if the article aim is not to provide an integration between the safety domains and/or the overall focus is </w:t>
      </w:r>
      <w:r w:rsidR="001D24AF" w:rsidRPr="00B82BEA">
        <w:rPr>
          <w:lang w:val="en-GB"/>
        </w:rPr>
        <w:t xml:space="preserve">mainly </w:t>
      </w:r>
      <w:r w:rsidR="00AA79B3" w:rsidRPr="00B82BEA">
        <w:rPr>
          <w:lang w:val="en-GB"/>
        </w:rPr>
        <w:t xml:space="preserve">on </w:t>
      </w:r>
      <w:r w:rsidR="001D24AF" w:rsidRPr="00B82BEA">
        <w:rPr>
          <w:lang w:val="en-GB"/>
        </w:rPr>
        <w:t>a</w:t>
      </w:r>
      <w:r w:rsidR="00AA79B3" w:rsidRPr="00B82BEA">
        <w:rPr>
          <w:lang w:val="en-GB"/>
        </w:rPr>
        <w:t xml:space="preserve"> prospective. </w:t>
      </w:r>
      <w:r w:rsidR="00950D6C" w:rsidRPr="00B82BEA">
        <w:rPr>
          <w:lang w:val="en-GB"/>
        </w:rPr>
        <w:t>The approaches are largely heterogeneous</w:t>
      </w:r>
      <w:r w:rsidR="00235164" w:rsidRPr="00B82BEA">
        <w:rPr>
          <w:lang w:val="en-GB"/>
        </w:rPr>
        <w:t xml:space="preserve"> and </w:t>
      </w:r>
      <w:r w:rsidR="00BA3CA6" w:rsidRPr="00B82BEA">
        <w:rPr>
          <w:lang w:val="en-GB"/>
        </w:rPr>
        <w:t>adopt different perspectives</w:t>
      </w:r>
      <w:r w:rsidR="00987143" w:rsidRPr="00B82BEA">
        <w:rPr>
          <w:lang w:val="en-GB"/>
        </w:rPr>
        <w:t xml:space="preserve"> (e.g., </w:t>
      </w:r>
      <w:r w:rsidR="00987143" w:rsidRPr="00B82BEA">
        <w:t>Jørgensen (2016) shift</w:t>
      </w:r>
      <w:r w:rsidR="00AC1939" w:rsidRPr="00B82BEA">
        <w:t>s</w:t>
      </w:r>
      <w:r w:rsidR="00987143" w:rsidRPr="00B82BEA">
        <w:t xml:space="preserve"> his </w:t>
      </w:r>
      <w:r w:rsidR="00C23302" w:rsidRPr="00B82BEA">
        <w:t>attention</w:t>
      </w:r>
      <w:r w:rsidR="00987143" w:rsidRPr="00B82BEA">
        <w:t xml:space="preserve"> from risks to safety barriers</w:t>
      </w:r>
      <w:r w:rsidR="00987143" w:rsidRPr="00B82BEA">
        <w:rPr>
          <w:lang w:val="en-GB"/>
        </w:rPr>
        <w:t>)</w:t>
      </w:r>
      <w:r w:rsidR="00BA3CA6" w:rsidRPr="00B82BEA">
        <w:rPr>
          <w:lang w:val="en-GB"/>
        </w:rPr>
        <w:t xml:space="preserve">. </w:t>
      </w:r>
      <w:r w:rsidR="009B73A4" w:rsidRPr="00B82BEA">
        <w:rPr>
          <w:lang w:val="en-GB"/>
        </w:rPr>
        <w:t xml:space="preserve">The level of detail changes considerably among the approaches: </w:t>
      </w:r>
      <w:r w:rsidR="0023387F" w:rsidRPr="00B82BEA">
        <w:rPr>
          <w:lang w:val="en-GB"/>
        </w:rPr>
        <w:t>e.g.</w:t>
      </w:r>
      <w:r w:rsidR="009B73A4" w:rsidRPr="00B82BEA">
        <w:rPr>
          <w:lang w:val="en-GB"/>
        </w:rPr>
        <w:t xml:space="preserve">, Gnoni and Bragatto (2013) quantify a risk level, Leclercq et al. (2018) offer a harmonised hazard characterisation for every accident, and Lee et al. (2011) discuss about </w:t>
      </w:r>
      <w:r w:rsidR="006B2D26" w:rsidRPr="00B82BEA">
        <w:rPr>
          <w:lang w:val="en-GB"/>
        </w:rPr>
        <w:t>a</w:t>
      </w:r>
      <w:r w:rsidR="009B73A4" w:rsidRPr="00B82BEA">
        <w:rPr>
          <w:lang w:val="en-GB"/>
        </w:rPr>
        <w:t xml:space="preserve"> development plan for an integrated Health, Safety and Environmental </w:t>
      </w:r>
      <w:r w:rsidR="00F6061D" w:rsidRPr="00B82BEA">
        <w:rPr>
          <w:lang w:val="en-GB"/>
        </w:rPr>
        <w:t xml:space="preserve">(HSE) </w:t>
      </w:r>
      <w:r w:rsidR="009B73A4" w:rsidRPr="00B82BEA">
        <w:rPr>
          <w:lang w:val="en-GB"/>
        </w:rPr>
        <w:t>management system.</w:t>
      </w:r>
      <w:r w:rsidR="00915E4F" w:rsidRPr="00B82BEA">
        <w:rPr>
          <w:lang w:val="en-GB"/>
        </w:rPr>
        <w:t xml:space="preserve"> Some studies are not generic and are right fit for specific industries</w:t>
      </w:r>
      <w:r w:rsidR="006B2D26" w:rsidRPr="00B82BEA">
        <w:rPr>
          <w:lang w:val="en-GB"/>
        </w:rPr>
        <w:t xml:space="preserve"> (</w:t>
      </w:r>
      <w:r w:rsidR="0023387F" w:rsidRPr="00B82BEA">
        <w:rPr>
          <w:lang w:val="en-GB"/>
        </w:rPr>
        <w:t>e.g.</w:t>
      </w:r>
      <w:r w:rsidR="00915E4F" w:rsidRPr="00B82BEA">
        <w:rPr>
          <w:lang w:val="en-GB"/>
        </w:rPr>
        <w:t xml:space="preserve">, Yu et al. </w:t>
      </w:r>
      <w:r w:rsidR="00915E4F" w:rsidRPr="00B82BEA">
        <w:t xml:space="preserve">(2017) </w:t>
      </w:r>
      <w:r w:rsidR="00227C56" w:rsidRPr="00B82BEA">
        <w:t xml:space="preserve">describe </w:t>
      </w:r>
      <w:r w:rsidR="006B2D26" w:rsidRPr="00B82BEA">
        <w:t xml:space="preserve">an approach </w:t>
      </w:r>
      <w:r w:rsidR="00915E4F" w:rsidRPr="00B82BEA">
        <w:t>for the drilling and servicing operations</w:t>
      </w:r>
      <w:r w:rsidR="006B2D26" w:rsidRPr="00B82BEA">
        <w:t>)</w:t>
      </w:r>
      <w:r w:rsidR="00915E4F" w:rsidRPr="00B82BEA">
        <w:t xml:space="preserve">. </w:t>
      </w:r>
      <w:r w:rsidR="00C82DEE" w:rsidRPr="00B82BEA">
        <w:t>Not</w:t>
      </w:r>
      <w:r w:rsidR="00BA3CA6" w:rsidRPr="00B82BEA">
        <w:rPr>
          <w:lang w:val="en-GB"/>
        </w:rPr>
        <w:t xml:space="preserve"> all the studies refer to the term</w:t>
      </w:r>
      <w:r w:rsidR="00987143" w:rsidRPr="00B82BEA">
        <w:rPr>
          <w:lang w:val="en-GB"/>
        </w:rPr>
        <w:t>s</w:t>
      </w:r>
      <w:r w:rsidR="00BA3CA6" w:rsidRPr="00B82BEA">
        <w:rPr>
          <w:lang w:val="en-GB"/>
        </w:rPr>
        <w:t xml:space="preserve"> occupational and process safety, deal</w:t>
      </w:r>
      <w:r w:rsidR="00B82BEA">
        <w:rPr>
          <w:lang w:val="en-GB"/>
        </w:rPr>
        <w:t>ing</w:t>
      </w:r>
      <w:r w:rsidR="00BA3CA6" w:rsidRPr="00B82BEA">
        <w:rPr>
          <w:lang w:val="en-GB"/>
        </w:rPr>
        <w:t xml:space="preserve"> with </w:t>
      </w:r>
      <w:r w:rsidR="00987143" w:rsidRPr="00B82BEA">
        <w:rPr>
          <w:lang w:val="en-GB"/>
        </w:rPr>
        <w:t xml:space="preserve">the concepts of </w:t>
      </w:r>
      <w:r w:rsidR="00BA3CA6" w:rsidRPr="00B82BEA">
        <w:rPr>
          <w:lang w:val="en-GB"/>
        </w:rPr>
        <w:t xml:space="preserve">minor </w:t>
      </w:r>
      <w:r w:rsidR="00987143" w:rsidRPr="00B82BEA">
        <w:rPr>
          <w:lang w:val="en-GB"/>
        </w:rPr>
        <w:t xml:space="preserve">and major </w:t>
      </w:r>
      <w:r w:rsidR="00BA3CA6" w:rsidRPr="00B82BEA">
        <w:rPr>
          <w:lang w:val="en-GB"/>
        </w:rPr>
        <w:t>accident</w:t>
      </w:r>
      <w:r w:rsidR="00987143" w:rsidRPr="00B82BEA">
        <w:rPr>
          <w:lang w:val="en-GB"/>
        </w:rPr>
        <w:t>s</w:t>
      </w:r>
      <w:r w:rsidR="000D6380" w:rsidRPr="00B82BEA">
        <w:rPr>
          <w:lang w:val="en-GB"/>
        </w:rPr>
        <w:t xml:space="preserve"> (</w:t>
      </w:r>
      <w:r w:rsidR="00987143" w:rsidRPr="00B82BEA">
        <w:rPr>
          <w:lang w:val="en-GB"/>
        </w:rPr>
        <w:t>e.g., Amir-Heidari et al. (2016)</w:t>
      </w:r>
      <w:r w:rsidR="000D6380" w:rsidRPr="00B82BEA">
        <w:rPr>
          <w:lang w:val="en-GB"/>
        </w:rPr>
        <w:t>)</w:t>
      </w:r>
      <w:r w:rsidR="00BA3CA6" w:rsidRPr="00B82BEA">
        <w:rPr>
          <w:lang w:val="en-GB"/>
        </w:rPr>
        <w:t xml:space="preserve">. </w:t>
      </w:r>
      <w:r w:rsidR="00B82BEA">
        <w:rPr>
          <w:lang w:val="en-GB"/>
        </w:rPr>
        <w:t>T</w:t>
      </w:r>
      <w:r w:rsidR="00987143" w:rsidRPr="00B82BEA">
        <w:rPr>
          <w:lang w:val="en-GB"/>
        </w:rPr>
        <w:t>he results highlight how the line separating occupational and process safety is not clear and well mapped out.</w:t>
      </w:r>
    </w:p>
    <w:p w14:paraId="5A969E80" w14:textId="73447524" w:rsidR="006A7E75" w:rsidRPr="001712E4" w:rsidRDefault="006A7E75" w:rsidP="006A7E75">
      <w:pPr>
        <w:pStyle w:val="CETTabletitle"/>
      </w:pPr>
      <w:r w:rsidRPr="001712E4">
        <w:t xml:space="preserve">Table </w:t>
      </w:r>
      <w:r w:rsidR="00523422">
        <w:t>1</w:t>
      </w:r>
      <w:r w:rsidRPr="001712E4">
        <w:t>: Brief description of approaches</w:t>
      </w:r>
    </w:p>
    <w:tbl>
      <w:tblPr>
        <w:tblW w:w="500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561"/>
        <w:gridCol w:w="7226"/>
      </w:tblGrid>
      <w:tr w:rsidR="006A7E75" w:rsidRPr="001712E4" w14:paraId="77461C1E" w14:textId="77777777" w:rsidTr="00E07BC7">
        <w:tc>
          <w:tcPr>
            <w:tcW w:w="888" w:type="pct"/>
            <w:tcBorders>
              <w:top w:val="single" w:sz="12" w:space="0" w:color="008000"/>
              <w:bottom w:val="single" w:sz="6" w:space="0" w:color="008000"/>
            </w:tcBorders>
            <w:shd w:val="clear" w:color="auto" w:fill="FFFFFF"/>
          </w:tcPr>
          <w:p w14:paraId="5F4B8C89" w14:textId="63358595" w:rsidR="006A7E75" w:rsidRPr="001712E4" w:rsidRDefault="001322AF" w:rsidP="00B84339">
            <w:pPr>
              <w:pStyle w:val="CETBodytext"/>
              <w:rPr>
                <w:lang w:val="en-GB"/>
              </w:rPr>
            </w:pPr>
            <w:r>
              <w:rPr>
                <w:lang w:val="en-GB"/>
              </w:rPr>
              <w:t>Reference</w:t>
            </w:r>
          </w:p>
        </w:tc>
        <w:tc>
          <w:tcPr>
            <w:tcW w:w="4112" w:type="pct"/>
            <w:tcBorders>
              <w:top w:val="single" w:sz="12" w:space="0" w:color="008000"/>
              <w:bottom w:val="single" w:sz="6" w:space="0" w:color="008000"/>
            </w:tcBorders>
            <w:shd w:val="clear" w:color="auto" w:fill="FFFFFF"/>
          </w:tcPr>
          <w:p w14:paraId="705B3D28" w14:textId="77777777" w:rsidR="006A7E75" w:rsidRPr="001712E4" w:rsidRDefault="006A7E75" w:rsidP="00B84339">
            <w:pPr>
              <w:pStyle w:val="CETBodytext"/>
              <w:ind w:left="113"/>
              <w:rPr>
                <w:lang w:val="en-GB"/>
              </w:rPr>
            </w:pPr>
            <w:r w:rsidRPr="001712E4">
              <w:rPr>
                <w:lang w:val="en-GB"/>
              </w:rPr>
              <w:t>Brief description</w:t>
            </w:r>
          </w:p>
        </w:tc>
      </w:tr>
      <w:tr w:rsidR="006A7E75" w:rsidRPr="001712E4" w14:paraId="0A5932B8" w14:textId="77777777" w:rsidTr="00E07BC7">
        <w:tc>
          <w:tcPr>
            <w:tcW w:w="888" w:type="pct"/>
            <w:shd w:val="clear" w:color="auto" w:fill="FFFFFF"/>
          </w:tcPr>
          <w:p w14:paraId="57B19D03" w14:textId="77777777" w:rsidR="006A7E75" w:rsidRPr="001712E4" w:rsidRDefault="006A7E75" w:rsidP="00B84339">
            <w:pPr>
              <w:pStyle w:val="CETBodytext"/>
              <w:rPr>
                <w:lang w:val="en-GB"/>
              </w:rPr>
            </w:pPr>
            <w:r w:rsidRPr="001712E4">
              <w:rPr>
                <w:lang w:val="en-GB"/>
              </w:rPr>
              <w:t>Ale et al. (2014)</w:t>
            </w:r>
          </w:p>
        </w:tc>
        <w:tc>
          <w:tcPr>
            <w:tcW w:w="4112" w:type="pct"/>
            <w:shd w:val="clear" w:color="auto" w:fill="FFFFFF"/>
          </w:tcPr>
          <w:p w14:paraId="53E16E81" w14:textId="77777777" w:rsidR="006A7E75" w:rsidRPr="001712E4" w:rsidRDefault="006A7E75" w:rsidP="00B84339">
            <w:pPr>
              <w:pStyle w:val="CETBodytext"/>
              <w:ind w:left="113"/>
              <w:rPr>
                <w:lang w:val="en-GB"/>
              </w:rPr>
            </w:pPr>
            <w:r w:rsidRPr="001712E4">
              <w:rPr>
                <w:lang w:val="en-GB"/>
              </w:rPr>
              <w:t>Dynamic risk management support tool based on Bayesian Belief Nets. Risk contributing factors (combined in a top node): a runaway reaction in a thermal cracker, overflow in a storage tank, pipe rupture in a jetty-arm, and occupational risks.</w:t>
            </w:r>
          </w:p>
        </w:tc>
      </w:tr>
      <w:tr w:rsidR="00BE339B" w:rsidRPr="00BE339B" w14:paraId="47B22908" w14:textId="77777777" w:rsidTr="00E07BC7">
        <w:tc>
          <w:tcPr>
            <w:tcW w:w="888" w:type="pct"/>
            <w:shd w:val="clear" w:color="auto" w:fill="FFFFFF"/>
          </w:tcPr>
          <w:p w14:paraId="1AFB66E2" w14:textId="77777777" w:rsidR="006A7E75" w:rsidRPr="00BE339B" w:rsidRDefault="006A7E75" w:rsidP="00B84339">
            <w:pPr>
              <w:pStyle w:val="CETBodytext"/>
              <w:rPr>
                <w:lang w:val="en-GB"/>
              </w:rPr>
            </w:pPr>
            <w:r w:rsidRPr="00BE339B">
              <w:rPr>
                <w:lang w:val="en-GB"/>
              </w:rPr>
              <w:t>Amir-Heidari et al. (2016)</w:t>
            </w:r>
          </w:p>
        </w:tc>
        <w:tc>
          <w:tcPr>
            <w:tcW w:w="4112" w:type="pct"/>
            <w:shd w:val="clear" w:color="auto" w:fill="FFFFFF"/>
          </w:tcPr>
          <w:p w14:paraId="39A69BC2" w14:textId="70630104" w:rsidR="006A7E75" w:rsidRPr="00BE339B" w:rsidRDefault="006A7E75" w:rsidP="00B84339">
            <w:pPr>
              <w:pStyle w:val="CETBodytext"/>
              <w:ind w:left="113"/>
              <w:rPr>
                <w:lang w:val="en-GB"/>
              </w:rPr>
            </w:pPr>
            <w:r w:rsidRPr="00BE339B">
              <w:rPr>
                <w:lang w:val="en-GB"/>
              </w:rPr>
              <w:t xml:space="preserve">Comprehensive risk assessment for </w:t>
            </w:r>
            <w:r w:rsidR="00BE339B" w:rsidRPr="00BE339B">
              <w:rPr>
                <w:lang w:val="en-GB"/>
              </w:rPr>
              <w:t>identifying</w:t>
            </w:r>
            <w:r w:rsidRPr="00BE339B">
              <w:rPr>
                <w:lang w:val="en-GB"/>
              </w:rPr>
              <w:t xml:space="preserve"> significant risks, </w:t>
            </w:r>
            <w:r w:rsidR="00BD19C1">
              <w:rPr>
                <w:lang w:val="en-GB"/>
              </w:rPr>
              <w:t>by means of</w:t>
            </w:r>
            <w:r w:rsidRPr="00BE339B">
              <w:rPr>
                <w:lang w:val="en-GB"/>
              </w:rPr>
              <w:t xml:space="preserve"> past research and accident statistics, checklist, expert opinion, estimation of the contribution of each factor, semi-quantitative structured methodology, risk matrix, and controls.</w:t>
            </w:r>
          </w:p>
        </w:tc>
      </w:tr>
      <w:tr w:rsidR="006A7E75" w:rsidRPr="001712E4" w14:paraId="06063AB6" w14:textId="77777777" w:rsidTr="00E07BC7">
        <w:tc>
          <w:tcPr>
            <w:tcW w:w="888" w:type="pct"/>
            <w:shd w:val="clear" w:color="auto" w:fill="FFFFFF"/>
          </w:tcPr>
          <w:p w14:paraId="18DD03A8" w14:textId="77777777" w:rsidR="006A7E75" w:rsidRPr="001712E4" w:rsidRDefault="006A7E75" w:rsidP="00B84339">
            <w:pPr>
              <w:pStyle w:val="CETBodytext"/>
              <w:rPr>
                <w:lang w:val="en-GB"/>
              </w:rPr>
            </w:pPr>
            <w:r w:rsidRPr="001712E4">
              <w:rPr>
                <w:lang w:val="en-GB"/>
              </w:rPr>
              <w:t>Casson Moreno et al. (2016)</w:t>
            </w:r>
          </w:p>
        </w:tc>
        <w:tc>
          <w:tcPr>
            <w:tcW w:w="4112" w:type="pct"/>
            <w:shd w:val="clear" w:color="auto" w:fill="FFFFFF"/>
          </w:tcPr>
          <w:p w14:paraId="71E1FF26" w14:textId="77777777" w:rsidR="006A7E75" w:rsidRPr="001712E4" w:rsidRDefault="006A7E75" w:rsidP="00B84339">
            <w:pPr>
              <w:pStyle w:val="CETBodytext"/>
              <w:ind w:left="113"/>
              <w:rPr>
                <w:lang w:val="en-GB"/>
              </w:rPr>
            </w:pPr>
            <w:r w:rsidRPr="001712E4">
              <w:rPr>
                <w:lang w:val="en-GB"/>
              </w:rPr>
              <w:t>Checklist for performing a first step in bioprocesses hazard identification, based on engineering process, operating procedures, and plant layout.</w:t>
            </w:r>
          </w:p>
        </w:tc>
      </w:tr>
      <w:tr w:rsidR="006A7E75" w:rsidRPr="001712E4" w14:paraId="09BA7D79" w14:textId="77777777" w:rsidTr="00E07BC7">
        <w:tc>
          <w:tcPr>
            <w:tcW w:w="888" w:type="pct"/>
            <w:shd w:val="clear" w:color="auto" w:fill="FFFFFF"/>
          </w:tcPr>
          <w:p w14:paraId="38070CCB" w14:textId="77777777" w:rsidR="006A7E75" w:rsidRPr="001712E4" w:rsidRDefault="006A7E75" w:rsidP="00B84339">
            <w:pPr>
              <w:pStyle w:val="CETBodytext"/>
              <w:rPr>
                <w:lang w:val="en-GB"/>
              </w:rPr>
            </w:pPr>
            <w:r w:rsidRPr="001712E4">
              <w:rPr>
                <w:lang w:val="en-GB"/>
              </w:rPr>
              <w:t>Collins (2010)</w:t>
            </w:r>
          </w:p>
        </w:tc>
        <w:tc>
          <w:tcPr>
            <w:tcW w:w="4112" w:type="pct"/>
            <w:shd w:val="clear" w:color="auto" w:fill="FFFFFF"/>
          </w:tcPr>
          <w:p w14:paraId="018295D3" w14:textId="536CF4AB" w:rsidR="006A7E75" w:rsidRPr="001712E4" w:rsidRDefault="006A7E75" w:rsidP="00B84339">
            <w:pPr>
              <w:pStyle w:val="CETBodytext"/>
              <w:ind w:left="113"/>
              <w:rPr>
                <w:lang w:val="en-GB"/>
              </w:rPr>
            </w:pPr>
            <w:r w:rsidRPr="001712E4">
              <w:rPr>
                <w:lang w:val="en-GB"/>
              </w:rPr>
              <w:t xml:space="preserve">Systematic framework to integrate Job Safety Analysis into Process Hazard Analysis techniques, </w:t>
            </w:r>
            <w:r w:rsidR="00BD19C1">
              <w:rPr>
                <w:lang w:val="en-GB"/>
              </w:rPr>
              <w:t>considering</w:t>
            </w:r>
            <w:r w:rsidRPr="001712E4">
              <w:rPr>
                <w:lang w:val="en-GB"/>
              </w:rPr>
              <w:t xml:space="preserve"> potential modes of operation, process-related initiating events or upsets, and contact possibilities.</w:t>
            </w:r>
          </w:p>
        </w:tc>
      </w:tr>
      <w:tr w:rsidR="006A7E75" w:rsidRPr="001712E4" w14:paraId="69D2BB69" w14:textId="77777777" w:rsidTr="00E07BC7">
        <w:tc>
          <w:tcPr>
            <w:tcW w:w="888" w:type="pct"/>
            <w:shd w:val="clear" w:color="auto" w:fill="FFFFFF"/>
          </w:tcPr>
          <w:p w14:paraId="526C38D0" w14:textId="77777777" w:rsidR="006A7E75" w:rsidRPr="001712E4" w:rsidRDefault="006A7E75" w:rsidP="00B84339">
            <w:pPr>
              <w:pStyle w:val="CETBodytext"/>
              <w:rPr>
                <w:lang w:val="en-GB"/>
              </w:rPr>
            </w:pPr>
            <w:r w:rsidRPr="001712E4">
              <w:rPr>
                <w:lang w:val="en-GB"/>
              </w:rPr>
              <w:t>Gnoni and Bragatto (2013)</w:t>
            </w:r>
          </w:p>
        </w:tc>
        <w:tc>
          <w:tcPr>
            <w:tcW w:w="4112" w:type="pct"/>
            <w:shd w:val="clear" w:color="auto" w:fill="FFFFFF"/>
          </w:tcPr>
          <w:p w14:paraId="1CCC6F33" w14:textId="0704A8E2" w:rsidR="006A7E75" w:rsidRPr="001712E4" w:rsidRDefault="006A7E75" w:rsidP="00B84339">
            <w:pPr>
              <w:pStyle w:val="CETBodytext"/>
              <w:ind w:left="113"/>
              <w:rPr>
                <w:lang w:val="en-GB"/>
              </w:rPr>
            </w:pPr>
            <w:r w:rsidRPr="001712E4">
              <w:rPr>
                <w:lang w:val="en-GB"/>
              </w:rPr>
              <w:t xml:space="preserve">Risk index for representing the criticality level characterising each job profile during </w:t>
            </w:r>
            <w:r w:rsidR="000D71FE">
              <w:rPr>
                <w:lang w:val="en-GB"/>
              </w:rPr>
              <w:t>a</w:t>
            </w:r>
            <w:r w:rsidRPr="001712E4">
              <w:rPr>
                <w:lang w:val="en-GB"/>
              </w:rPr>
              <w:t xml:space="preserve"> shift at Seveso plants, which depends on the percentage of the working time spent by each worker in any unit, hazards, and accidental scenarios.</w:t>
            </w:r>
          </w:p>
        </w:tc>
      </w:tr>
      <w:tr w:rsidR="006A7E75" w:rsidRPr="001712E4" w14:paraId="4CFEF706" w14:textId="77777777" w:rsidTr="00E07BC7">
        <w:tc>
          <w:tcPr>
            <w:tcW w:w="888" w:type="pct"/>
            <w:shd w:val="clear" w:color="auto" w:fill="FFFFFF"/>
          </w:tcPr>
          <w:p w14:paraId="546C9AB6" w14:textId="77777777" w:rsidR="006A7E75" w:rsidRPr="001712E4" w:rsidRDefault="006A7E75" w:rsidP="00B84339">
            <w:pPr>
              <w:pStyle w:val="CETBodytext"/>
              <w:rPr>
                <w:lang w:val="en-GB"/>
              </w:rPr>
            </w:pPr>
            <w:r w:rsidRPr="001712E4">
              <w:rPr>
                <w:lang w:val="en-GB"/>
              </w:rPr>
              <w:t>Jørgensen (2016)</w:t>
            </w:r>
          </w:p>
        </w:tc>
        <w:tc>
          <w:tcPr>
            <w:tcW w:w="4112" w:type="pct"/>
            <w:shd w:val="clear" w:color="auto" w:fill="FFFFFF"/>
          </w:tcPr>
          <w:p w14:paraId="657823B6" w14:textId="77777777" w:rsidR="006A7E75" w:rsidRPr="001712E4" w:rsidRDefault="006A7E75" w:rsidP="00B84339">
            <w:pPr>
              <w:pStyle w:val="CETBodytext"/>
              <w:ind w:left="113"/>
              <w:rPr>
                <w:lang w:val="en-GB"/>
              </w:rPr>
            </w:pPr>
            <w:r w:rsidRPr="001712E4">
              <w:rPr>
                <w:lang w:val="en-GB"/>
              </w:rPr>
              <w:t>INFO cards for covering all hazard sources and connected information: generic (needed in all kinds of risk situations), cross-cutting, and specific (for specific risks) safety barriers.</w:t>
            </w:r>
          </w:p>
        </w:tc>
      </w:tr>
      <w:tr w:rsidR="006A7E75" w:rsidRPr="001712E4" w14:paraId="1A9BED3F" w14:textId="77777777" w:rsidTr="00E07BC7">
        <w:tc>
          <w:tcPr>
            <w:tcW w:w="888" w:type="pct"/>
            <w:shd w:val="clear" w:color="auto" w:fill="FFFFFF"/>
          </w:tcPr>
          <w:p w14:paraId="6C578F52" w14:textId="77777777" w:rsidR="006A7E75" w:rsidRPr="001712E4" w:rsidRDefault="006A7E75" w:rsidP="00B84339">
            <w:pPr>
              <w:pStyle w:val="CETBodytext"/>
              <w:rPr>
                <w:lang w:val="en-GB"/>
              </w:rPr>
            </w:pPr>
            <w:r w:rsidRPr="001712E4">
              <w:rPr>
                <w:lang w:val="en-GB"/>
              </w:rPr>
              <w:t>Leclercq et al. (2018)</w:t>
            </w:r>
          </w:p>
        </w:tc>
        <w:tc>
          <w:tcPr>
            <w:tcW w:w="4112" w:type="pct"/>
            <w:shd w:val="clear" w:color="auto" w:fill="FFFFFF"/>
          </w:tcPr>
          <w:p w14:paraId="76223D70" w14:textId="77777777" w:rsidR="006A7E75" w:rsidRPr="001712E4" w:rsidRDefault="006A7E75" w:rsidP="00B84339">
            <w:pPr>
              <w:pStyle w:val="CETBodytext"/>
              <w:ind w:left="113"/>
              <w:rPr>
                <w:lang w:val="en-GB"/>
              </w:rPr>
            </w:pPr>
            <w:r w:rsidRPr="001712E4">
              <w:rPr>
                <w:lang w:val="en-GB"/>
              </w:rPr>
              <w:t>Damage production model from the loss of control of energy characterising the hazard for any accident, based on different targets exposed to hazard, personal (human movements) energy, and energies specific to process operation / external to human.</w:t>
            </w:r>
          </w:p>
        </w:tc>
      </w:tr>
      <w:tr w:rsidR="006A7E75" w:rsidRPr="001712E4" w14:paraId="60EA125F" w14:textId="77777777" w:rsidTr="00E07BC7">
        <w:tc>
          <w:tcPr>
            <w:tcW w:w="888" w:type="pct"/>
            <w:shd w:val="clear" w:color="auto" w:fill="FFFFFF"/>
          </w:tcPr>
          <w:p w14:paraId="6AE95197" w14:textId="77777777" w:rsidR="006A7E75" w:rsidRPr="001712E4" w:rsidRDefault="006A7E75" w:rsidP="00B84339">
            <w:pPr>
              <w:pStyle w:val="CETBodytext"/>
              <w:rPr>
                <w:lang w:val="en-GB"/>
              </w:rPr>
            </w:pPr>
            <w:r w:rsidRPr="001712E4">
              <w:rPr>
                <w:lang w:val="en-GB"/>
              </w:rPr>
              <w:t>Lee et al. (2011)</w:t>
            </w:r>
          </w:p>
        </w:tc>
        <w:tc>
          <w:tcPr>
            <w:tcW w:w="4112" w:type="pct"/>
            <w:shd w:val="clear" w:color="auto" w:fill="FFFFFF"/>
          </w:tcPr>
          <w:p w14:paraId="13EC078B" w14:textId="5E5B4EF1" w:rsidR="006A7E75" w:rsidRPr="001712E4" w:rsidRDefault="006A7E75" w:rsidP="00B84339">
            <w:pPr>
              <w:pStyle w:val="CETBodytext"/>
              <w:ind w:left="113"/>
              <w:rPr>
                <w:lang w:val="en-GB"/>
              </w:rPr>
            </w:pPr>
            <w:r w:rsidRPr="001712E4">
              <w:rPr>
                <w:lang w:val="en-GB"/>
              </w:rPr>
              <w:t xml:space="preserve">Integrated </w:t>
            </w:r>
            <w:r w:rsidR="00F6061D">
              <w:rPr>
                <w:lang w:val="en-GB"/>
              </w:rPr>
              <w:t>HSE</w:t>
            </w:r>
            <w:r w:rsidRPr="001712E4">
              <w:rPr>
                <w:lang w:val="en-GB"/>
              </w:rPr>
              <w:t xml:space="preserve"> management system, with foundational and framework standards, key performance indicators for safety, and for operation integrity and process safety.</w:t>
            </w:r>
          </w:p>
        </w:tc>
      </w:tr>
      <w:tr w:rsidR="006A7E75" w:rsidRPr="001712E4" w14:paraId="4E6AA0D7" w14:textId="77777777" w:rsidTr="00E07BC7">
        <w:tc>
          <w:tcPr>
            <w:tcW w:w="888" w:type="pct"/>
            <w:shd w:val="clear" w:color="auto" w:fill="FFFFFF"/>
          </w:tcPr>
          <w:p w14:paraId="0ECFAD2B" w14:textId="77777777" w:rsidR="006A7E75" w:rsidRPr="001712E4" w:rsidRDefault="006A7E75" w:rsidP="00B84339">
            <w:pPr>
              <w:pStyle w:val="CETBodytext"/>
              <w:rPr>
                <w:lang w:val="en-GB"/>
              </w:rPr>
            </w:pPr>
            <w:r w:rsidRPr="001712E4">
              <w:rPr>
                <w:lang w:val="en-GB"/>
              </w:rPr>
              <w:t>Leino (2002)</w:t>
            </w:r>
          </w:p>
        </w:tc>
        <w:tc>
          <w:tcPr>
            <w:tcW w:w="4112" w:type="pct"/>
            <w:shd w:val="clear" w:color="auto" w:fill="FFFFFF"/>
          </w:tcPr>
          <w:p w14:paraId="5032F840" w14:textId="77777777" w:rsidR="006A7E75" w:rsidRPr="001712E4" w:rsidRDefault="006A7E75" w:rsidP="00B84339">
            <w:pPr>
              <w:pStyle w:val="CETBodytext"/>
              <w:ind w:left="113"/>
              <w:rPr>
                <w:lang w:val="en-GB"/>
              </w:rPr>
            </w:pPr>
            <w:r w:rsidRPr="001712E4">
              <w:rPr>
                <w:lang w:val="en-GB"/>
              </w:rPr>
              <w:t>Quality, Occupational Safety, and Health Management System, composed by risk assessment and safety instructions, responsibilities of personnel involved in the management of major hazards, procedures for systematic assessing of major hazards.</w:t>
            </w:r>
          </w:p>
        </w:tc>
      </w:tr>
      <w:tr w:rsidR="006A7E75" w:rsidRPr="001712E4" w14:paraId="40D0317A" w14:textId="77777777" w:rsidTr="00E07BC7">
        <w:tc>
          <w:tcPr>
            <w:tcW w:w="888" w:type="pct"/>
            <w:shd w:val="clear" w:color="auto" w:fill="FFFFFF"/>
          </w:tcPr>
          <w:p w14:paraId="6BA94007" w14:textId="77777777" w:rsidR="006A7E75" w:rsidRPr="001712E4" w:rsidRDefault="006A7E75" w:rsidP="00B84339">
            <w:pPr>
              <w:pStyle w:val="CETBodytext"/>
              <w:rPr>
                <w:lang w:val="en-GB"/>
              </w:rPr>
            </w:pPr>
            <w:r w:rsidRPr="001712E4">
              <w:rPr>
                <w:lang w:val="en-GB"/>
              </w:rPr>
              <w:t>Marhavilas et al. (2019)</w:t>
            </w:r>
          </w:p>
        </w:tc>
        <w:tc>
          <w:tcPr>
            <w:tcW w:w="4112" w:type="pct"/>
            <w:shd w:val="clear" w:color="auto" w:fill="FFFFFF"/>
          </w:tcPr>
          <w:p w14:paraId="570A4A46" w14:textId="2D0D4DEB" w:rsidR="006A7E75" w:rsidRPr="001712E4" w:rsidRDefault="006A7E75" w:rsidP="00B84339">
            <w:pPr>
              <w:pStyle w:val="CETBodytext"/>
              <w:ind w:left="113"/>
              <w:rPr>
                <w:lang w:val="en-GB"/>
              </w:rPr>
            </w:pPr>
            <w:r w:rsidRPr="001712E4">
              <w:rPr>
                <w:lang w:val="en-GB"/>
              </w:rPr>
              <w:t>E-HAZOP framework that integrates Hazard and Operability study with Decision-Matrix Risk Assessment technique and Analytical Hierarchy Process to identify critical points and potential hazards and prioritise risks in industry.</w:t>
            </w:r>
          </w:p>
        </w:tc>
      </w:tr>
      <w:tr w:rsidR="006A7E75" w:rsidRPr="001712E4" w14:paraId="5FDAACDC" w14:textId="77777777" w:rsidTr="00E07BC7">
        <w:tc>
          <w:tcPr>
            <w:tcW w:w="888" w:type="pct"/>
            <w:shd w:val="clear" w:color="auto" w:fill="FFFFFF"/>
          </w:tcPr>
          <w:p w14:paraId="0E06EB31" w14:textId="77777777" w:rsidR="006A7E75" w:rsidRPr="001712E4" w:rsidRDefault="006A7E75" w:rsidP="00B84339">
            <w:pPr>
              <w:pStyle w:val="CETBodytext"/>
              <w:rPr>
                <w:lang w:val="en-GB"/>
              </w:rPr>
            </w:pPr>
            <w:r w:rsidRPr="001712E4">
              <w:rPr>
                <w:lang w:val="en-GB"/>
              </w:rPr>
              <w:t>Papadakis and Chalkidou (2008)</w:t>
            </w:r>
          </w:p>
        </w:tc>
        <w:tc>
          <w:tcPr>
            <w:tcW w:w="4112" w:type="pct"/>
            <w:shd w:val="clear" w:color="auto" w:fill="FFFFFF"/>
          </w:tcPr>
          <w:p w14:paraId="3A79706C" w14:textId="39955EDA" w:rsidR="006A7E75" w:rsidRPr="001712E4" w:rsidRDefault="006A7E75" w:rsidP="00B84339">
            <w:pPr>
              <w:pStyle w:val="CETBodytext"/>
              <w:ind w:left="113"/>
              <w:rPr>
                <w:lang w:val="en-GB"/>
              </w:rPr>
            </w:pPr>
            <w:r w:rsidRPr="001712E4">
              <w:rPr>
                <w:lang w:val="en-GB"/>
              </w:rPr>
              <w:t>Individual occupational risk index based on the quantitative risk assessment principles for MAH control as a probability function of the active hazard frequency, probability of employee presence at a workplace, consequence zones, and employee vulnerability.</w:t>
            </w:r>
          </w:p>
        </w:tc>
      </w:tr>
      <w:tr w:rsidR="006A7E75" w:rsidRPr="001712E4" w14:paraId="6B1B9FEB" w14:textId="77777777" w:rsidTr="00E07BC7">
        <w:tc>
          <w:tcPr>
            <w:tcW w:w="888" w:type="pct"/>
            <w:shd w:val="clear" w:color="auto" w:fill="FFFFFF"/>
          </w:tcPr>
          <w:p w14:paraId="632654A7" w14:textId="77777777" w:rsidR="006A7E75" w:rsidRPr="001712E4" w:rsidRDefault="006A7E75" w:rsidP="00B84339">
            <w:pPr>
              <w:pStyle w:val="CETBodytext"/>
              <w:rPr>
                <w:lang w:val="en-GB"/>
              </w:rPr>
            </w:pPr>
            <w:r w:rsidRPr="001712E4">
              <w:rPr>
                <w:lang w:val="en-GB"/>
              </w:rPr>
              <w:t>Pitblado and Tahilramani (2010)</w:t>
            </w:r>
          </w:p>
        </w:tc>
        <w:tc>
          <w:tcPr>
            <w:tcW w:w="4112" w:type="pct"/>
            <w:shd w:val="clear" w:color="auto" w:fill="FFFFFF"/>
          </w:tcPr>
          <w:p w14:paraId="508A779D" w14:textId="77777777" w:rsidR="006A7E75" w:rsidRPr="001712E4" w:rsidRDefault="006A7E75" w:rsidP="00B84339">
            <w:pPr>
              <w:pStyle w:val="CETBodytext"/>
              <w:ind w:left="113"/>
              <w:rPr>
                <w:lang w:val="en-GB"/>
              </w:rPr>
            </w:pPr>
            <w:r w:rsidRPr="001712E4">
              <w:rPr>
                <w:lang w:val="en-GB"/>
              </w:rPr>
              <w:t>Web-based solution for integrated risk management (facility and process risks), containing procedures, performance, bow tie reports, hazard and effects risk registers.</w:t>
            </w:r>
          </w:p>
        </w:tc>
      </w:tr>
      <w:tr w:rsidR="006A7E75" w:rsidRPr="001712E4" w14:paraId="2B3731ED" w14:textId="77777777" w:rsidTr="00E07BC7">
        <w:tc>
          <w:tcPr>
            <w:tcW w:w="888" w:type="pct"/>
            <w:shd w:val="clear" w:color="auto" w:fill="FFFFFF"/>
          </w:tcPr>
          <w:p w14:paraId="1DD2EB11" w14:textId="77777777" w:rsidR="006A7E75" w:rsidRPr="001712E4" w:rsidRDefault="006A7E75" w:rsidP="00B84339">
            <w:pPr>
              <w:pStyle w:val="CETBodytext"/>
              <w:ind w:right="-1"/>
              <w:rPr>
                <w:rFonts w:cs="Arial"/>
                <w:szCs w:val="18"/>
                <w:lang w:val="en-GB"/>
              </w:rPr>
            </w:pPr>
            <w:r w:rsidRPr="001712E4">
              <w:rPr>
                <w:rFonts w:cs="Arial"/>
                <w:szCs w:val="18"/>
                <w:lang w:val="en-GB"/>
              </w:rPr>
              <w:t>Wang et al. (2012)</w:t>
            </w:r>
          </w:p>
        </w:tc>
        <w:tc>
          <w:tcPr>
            <w:tcW w:w="4112" w:type="pct"/>
            <w:shd w:val="clear" w:color="auto" w:fill="FFFFFF"/>
          </w:tcPr>
          <w:p w14:paraId="3F90A5D8" w14:textId="77777777" w:rsidR="006A7E75" w:rsidRPr="001712E4" w:rsidRDefault="006A7E75" w:rsidP="00B84339">
            <w:pPr>
              <w:pStyle w:val="CETBodytext"/>
              <w:ind w:left="113" w:right="-1"/>
              <w:rPr>
                <w:rFonts w:cs="Arial"/>
                <w:szCs w:val="18"/>
                <w:lang w:val="en-GB"/>
              </w:rPr>
            </w:pPr>
            <w:r w:rsidRPr="001712E4">
              <w:rPr>
                <w:rFonts w:cs="Arial"/>
                <w:szCs w:val="18"/>
                <w:lang w:val="en-GB"/>
              </w:rPr>
              <w:t>Risk-Based Maintenance strategy, composed by system scope identification (subsystems and facilities), risk assessment (failure probability estimation and consequence analysis) and evaluation (definition of a risk index based on weight factors), and maintenance planning.</w:t>
            </w:r>
          </w:p>
        </w:tc>
      </w:tr>
      <w:tr w:rsidR="006A7E75" w:rsidRPr="001712E4" w14:paraId="01EBC977" w14:textId="77777777" w:rsidTr="00E07BC7">
        <w:tc>
          <w:tcPr>
            <w:tcW w:w="888" w:type="pct"/>
            <w:shd w:val="clear" w:color="auto" w:fill="FFFFFF"/>
          </w:tcPr>
          <w:p w14:paraId="7F831E7F" w14:textId="77777777" w:rsidR="006A7E75" w:rsidRPr="001712E4" w:rsidRDefault="006A7E75" w:rsidP="00B84339">
            <w:pPr>
              <w:pStyle w:val="CETBodytext"/>
              <w:ind w:right="-1"/>
              <w:rPr>
                <w:rFonts w:cs="Arial"/>
                <w:szCs w:val="18"/>
                <w:lang w:val="en-GB"/>
              </w:rPr>
            </w:pPr>
            <w:r w:rsidRPr="001712E4">
              <w:rPr>
                <w:rFonts w:cs="Arial"/>
                <w:szCs w:val="18"/>
                <w:lang w:val="en-GB"/>
              </w:rPr>
              <w:t>Yu et al. (2017)</w:t>
            </w:r>
          </w:p>
        </w:tc>
        <w:tc>
          <w:tcPr>
            <w:tcW w:w="4112" w:type="pct"/>
            <w:shd w:val="clear" w:color="auto" w:fill="FFFFFF"/>
          </w:tcPr>
          <w:p w14:paraId="6435E053" w14:textId="77777777" w:rsidR="006A7E75" w:rsidRPr="001712E4" w:rsidRDefault="006A7E75" w:rsidP="00B84339">
            <w:pPr>
              <w:pStyle w:val="CETBodytext"/>
              <w:ind w:left="113" w:right="-1"/>
              <w:rPr>
                <w:rFonts w:cs="Arial"/>
                <w:szCs w:val="18"/>
                <w:lang w:val="en-GB"/>
              </w:rPr>
            </w:pPr>
            <w:r w:rsidRPr="001712E4">
              <w:rPr>
                <w:rFonts w:cs="Arial"/>
                <w:szCs w:val="18"/>
                <w:lang w:val="en-GB"/>
              </w:rPr>
              <w:t>Integrated Safety Management System by means of causal factors of incidents (e.g., personal protective equipment, equipment selection, inspection and maintenance, hazard assessment, work practice, training, and emergency response planning).</w:t>
            </w:r>
          </w:p>
        </w:tc>
      </w:tr>
    </w:tbl>
    <w:p w14:paraId="1915BDAE" w14:textId="2B7CFB04" w:rsidR="00E274C3" w:rsidRPr="001712E4" w:rsidRDefault="00E274C3" w:rsidP="00E274C3">
      <w:pPr>
        <w:pStyle w:val="CETTabletitle"/>
      </w:pPr>
      <w:r w:rsidRPr="001712E4">
        <w:lastRenderedPageBreak/>
        <w:t xml:space="preserve">Table </w:t>
      </w:r>
      <w:r w:rsidR="00523422">
        <w:t>2</w:t>
      </w:r>
      <w:r w:rsidRPr="001712E4">
        <w:t xml:space="preserve">: </w:t>
      </w:r>
      <w:r w:rsidR="00A72BBA" w:rsidRPr="001712E4">
        <w:t>Type of approach</w:t>
      </w:r>
      <w:r w:rsidR="00124E85">
        <w:t>es</w:t>
      </w:r>
      <w:r w:rsidR="00A72BBA" w:rsidRPr="001712E4">
        <w:t xml:space="preserve"> and focus</w:t>
      </w:r>
      <w:r w:rsidRPr="001712E4">
        <w:t xml:space="preserve"> of the relevant publications selected</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4320"/>
        <w:gridCol w:w="951"/>
        <w:gridCol w:w="822"/>
      </w:tblGrid>
      <w:tr w:rsidR="00D528B7" w:rsidRPr="001712E4" w14:paraId="1FE194FF" w14:textId="18EA62D0" w:rsidTr="0088742B">
        <w:trPr>
          <w:trHeight w:val="1168"/>
        </w:trPr>
        <w:tc>
          <w:tcPr>
            <w:tcW w:w="1533" w:type="pct"/>
            <w:tcBorders>
              <w:top w:val="single" w:sz="12" w:space="0" w:color="008000"/>
              <w:bottom w:val="single" w:sz="6" w:space="0" w:color="008000"/>
            </w:tcBorders>
            <w:shd w:val="clear" w:color="auto" w:fill="FFFFFF"/>
          </w:tcPr>
          <w:p w14:paraId="721A6D36" w14:textId="51D7FCBD" w:rsidR="00EC7794" w:rsidRPr="001712E4" w:rsidRDefault="00C531BB" w:rsidP="00BA6735">
            <w:pPr>
              <w:pStyle w:val="CETBodytext"/>
              <w:rPr>
                <w:lang w:val="en-GB"/>
              </w:rPr>
            </w:pPr>
            <w:r>
              <w:rPr>
                <w:lang w:val="en-GB"/>
              </w:rPr>
              <w:t>Reference</w:t>
            </w:r>
          </w:p>
        </w:tc>
        <w:tc>
          <w:tcPr>
            <w:tcW w:w="2458" w:type="pct"/>
            <w:tcBorders>
              <w:top w:val="single" w:sz="12" w:space="0" w:color="008000"/>
              <w:bottom w:val="single" w:sz="6" w:space="0" w:color="008000"/>
            </w:tcBorders>
            <w:shd w:val="clear" w:color="auto" w:fill="FFFFFF"/>
          </w:tcPr>
          <w:p w14:paraId="7ADCA8E0" w14:textId="1A9D0A07" w:rsidR="00EC7794" w:rsidRPr="001712E4" w:rsidRDefault="00EC7794" w:rsidP="00694923">
            <w:pPr>
              <w:pStyle w:val="CETBodytext"/>
              <w:ind w:left="113"/>
              <w:rPr>
                <w:lang w:val="en-GB"/>
              </w:rPr>
            </w:pPr>
            <w:r w:rsidRPr="001712E4">
              <w:rPr>
                <w:lang w:val="en-GB"/>
              </w:rPr>
              <w:t>Type of approach</w:t>
            </w:r>
            <w:r w:rsidR="00124E85">
              <w:rPr>
                <w:lang w:val="en-GB"/>
              </w:rPr>
              <w:t>es</w:t>
            </w:r>
          </w:p>
        </w:tc>
        <w:tc>
          <w:tcPr>
            <w:tcW w:w="541" w:type="pct"/>
            <w:tcBorders>
              <w:top w:val="single" w:sz="12" w:space="0" w:color="008000"/>
              <w:bottom w:val="single" w:sz="6" w:space="0" w:color="008000"/>
            </w:tcBorders>
            <w:shd w:val="clear" w:color="auto" w:fill="auto"/>
          </w:tcPr>
          <w:p w14:paraId="25B32F7A" w14:textId="10EE74CA" w:rsidR="00EC7794" w:rsidRPr="001712E4" w:rsidRDefault="00EC7794" w:rsidP="00694923">
            <w:pPr>
              <w:pStyle w:val="CETBodytext"/>
              <w:ind w:left="113"/>
              <w:rPr>
                <w:lang w:val="en-GB"/>
              </w:rPr>
            </w:pPr>
            <w:r w:rsidRPr="001712E4">
              <w:rPr>
                <w:lang w:val="en-GB"/>
              </w:rPr>
              <w:t>Focus on personal and process safety</w:t>
            </w:r>
          </w:p>
        </w:tc>
        <w:tc>
          <w:tcPr>
            <w:tcW w:w="468" w:type="pct"/>
            <w:tcBorders>
              <w:top w:val="single" w:sz="12" w:space="0" w:color="008000"/>
              <w:bottom w:val="single" w:sz="6" w:space="0" w:color="008000"/>
            </w:tcBorders>
            <w:shd w:val="clear" w:color="auto" w:fill="auto"/>
          </w:tcPr>
          <w:p w14:paraId="390736DB" w14:textId="1E9BCC45" w:rsidR="00EC7794" w:rsidRPr="001712E4" w:rsidRDefault="00EC7794" w:rsidP="00694923">
            <w:pPr>
              <w:pStyle w:val="CETBodytext"/>
              <w:ind w:left="113"/>
              <w:rPr>
                <w:lang w:val="en-GB"/>
              </w:rPr>
            </w:pPr>
            <w:r w:rsidRPr="001712E4">
              <w:rPr>
                <w:lang w:val="en-GB"/>
              </w:rPr>
              <w:t>Other aim and/or focus</w:t>
            </w:r>
          </w:p>
        </w:tc>
      </w:tr>
      <w:tr w:rsidR="00D528B7" w:rsidRPr="001712E4" w14:paraId="23B4AB84" w14:textId="3870242A" w:rsidTr="00ED20E9">
        <w:tc>
          <w:tcPr>
            <w:tcW w:w="1533" w:type="pct"/>
            <w:tcBorders>
              <w:top w:val="single" w:sz="6" w:space="0" w:color="008000"/>
            </w:tcBorders>
            <w:shd w:val="clear" w:color="auto" w:fill="FFFFFF"/>
          </w:tcPr>
          <w:p w14:paraId="2C1DBCCD" w14:textId="7FCEAC32" w:rsidR="00A72BBA" w:rsidRPr="001712E4" w:rsidRDefault="00A72BBA" w:rsidP="00E274C3">
            <w:pPr>
              <w:pStyle w:val="CETBodytext"/>
              <w:rPr>
                <w:lang w:val="en-GB"/>
              </w:rPr>
            </w:pPr>
            <w:r w:rsidRPr="001712E4">
              <w:rPr>
                <w:lang w:val="en-GB"/>
              </w:rPr>
              <w:t>Ale et al. (2014)</w:t>
            </w:r>
          </w:p>
        </w:tc>
        <w:tc>
          <w:tcPr>
            <w:tcW w:w="2458" w:type="pct"/>
            <w:tcBorders>
              <w:top w:val="single" w:sz="6" w:space="0" w:color="008000"/>
            </w:tcBorders>
            <w:shd w:val="clear" w:color="auto" w:fill="FFFFFF"/>
          </w:tcPr>
          <w:p w14:paraId="0BE0C6DD" w14:textId="04FC2BC5" w:rsidR="00A72BBA" w:rsidRPr="001712E4" w:rsidRDefault="002158E7" w:rsidP="00694923">
            <w:pPr>
              <w:pStyle w:val="CETBodytext"/>
              <w:ind w:left="113"/>
              <w:rPr>
                <w:lang w:val="en-GB"/>
              </w:rPr>
            </w:pPr>
            <w:r w:rsidRPr="001712E4">
              <w:rPr>
                <w:lang w:val="en-GB"/>
              </w:rPr>
              <w:t>Adjustment</w:t>
            </w:r>
            <w:r w:rsidR="00A72BBA" w:rsidRPr="001712E4">
              <w:rPr>
                <w:lang w:val="en-GB"/>
              </w:rPr>
              <w:t xml:space="preserve"> of an existing </w:t>
            </w:r>
            <w:r w:rsidRPr="001712E4">
              <w:rPr>
                <w:lang w:val="en-GB"/>
              </w:rPr>
              <w:t>method</w:t>
            </w:r>
          </w:p>
        </w:tc>
        <w:tc>
          <w:tcPr>
            <w:tcW w:w="541" w:type="pct"/>
            <w:tcBorders>
              <w:top w:val="single" w:sz="6" w:space="0" w:color="008000"/>
            </w:tcBorders>
            <w:shd w:val="clear" w:color="auto" w:fill="FFFFFF"/>
          </w:tcPr>
          <w:p w14:paraId="07F101A8" w14:textId="77777777" w:rsidR="00A72BBA" w:rsidRPr="001712E4" w:rsidRDefault="00A72BBA" w:rsidP="00694923">
            <w:pPr>
              <w:pStyle w:val="CETBodytext"/>
              <w:ind w:left="113"/>
              <w:rPr>
                <w:lang w:val="en-GB"/>
              </w:rPr>
            </w:pPr>
          </w:p>
        </w:tc>
        <w:tc>
          <w:tcPr>
            <w:tcW w:w="468" w:type="pct"/>
            <w:tcBorders>
              <w:top w:val="single" w:sz="6" w:space="0" w:color="008000"/>
            </w:tcBorders>
            <w:shd w:val="clear" w:color="auto" w:fill="FFFFFF"/>
          </w:tcPr>
          <w:p w14:paraId="23049D9A" w14:textId="1CABF248" w:rsidR="00A72BBA" w:rsidRPr="001712E4" w:rsidRDefault="002253D3" w:rsidP="00694923">
            <w:pPr>
              <w:pStyle w:val="CETBodytext"/>
              <w:ind w:left="113"/>
              <w:rPr>
                <w:lang w:val="en-GB"/>
              </w:rPr>
            </w:pPr>
            <w:r w:rsidRPr="001712E4">
              <w:rPr>
                <w:lang w:val="en-GB"/>
              </w:rPr>
              <w:t>×</w:t>
            </w:r>
          </w:p>
        </w:tc>
      </w:tr>
      <w:tr w:rsidR="00D528B7" w:rsidRPr="001712E4" w14:paraId="5B37794C" w14:textId="3D06DE11" w:rsidTr="00EC7794">
        <w:tc>
          <w:tcPr>
            <w:tcW w:w="1533" w:type="pct"/>
            <w:shd w:val="clear" w:color="auto" w:fill="FFFFFF"/>
          </w:tcPr>
          <w:p w14:paraId="3E6D94D4" w14:textId="55008ED1" w:rsidR="00A72BBA" w:rsidRPr="001712E4" w:rsidRDefault="00A72BBA" w:rsidP="00E274C3">
            <w:pPr>
              <w:pStyle w:val="CETBodytext"/>
              <w:rPr>
                <w:lang w:val="en-GB"/>
              </w:rPr>
            </w:pPr>
            <w:r w:rsidRPr="001712E4">
              <w:rPr>
                <w:lang w:val="en-GB"/>
              </w:rPr>
              <w:t>Amir-Heidari et al. (2016)</w:t>
            </w:r>
          </w:p>
        </w:tc>
        <w:tc>
          <w:tcPr>
            <w:tcW w:w="2458" w:type="pct"/>
            <w:shd w:val="clear" w:color="auto" w:fill="FFFFFF"/>
          </w:tcPr>
          <w:p w14:paraId="0CF35166" w14:textId="5C102C51" w:rsidR="00A72BBA" w:rsidRPr="001712E4" w:rsidRDefault="00A72BBA" w:rsidP="00694923">
            <w:pPr>
              <w:pStyle w:val="CETBodytext"/>
              <w:ind w:left="113"/>
              <w:rPr>
                <w:lang w:val="en-GB"/>
              </w:rPr>
            </w:pPr>
            <w:r w:rsidRPr="001712E4">
              <w:rPr>
                <w:lang w:val="en-GB"/>
              </w:rPr>
              <w:t>Combination of existing methods</w:t>
            </w:r>
          </w:p>
        </w:tc>
        <w:tc>
          <w:tcPr>
            <w:tcW w:w="541" w:type="pct"/>
            <w:shd w:val="clear" w:color="auto" w:fill="FFFFFF"/>
          </w:tcPr>
          <w:p w14:paraId="0235DD97" w14:textId="77777777" w:rsidR="00A72BBA" w:rsidRPr="001712E4" w:rsidRDefault="00A72BBA" w:rsidP="00694923">
            <w:pPr>
              <w:pStyle w:val="CETBodytext"/>
              <w:ind w:left="113"/>
              <w:rPr>
                <w:lang w:val="en-GB"/>
              </w:rPr>
            </w:pPr>
          </w:p>
        </w:tc>
        <w:tc>
          <w:tcPr>
            <w:tcW w:w="468" w:type="pct"/>
            <w:shd w:val="clear" w:color="auto" w:fill="FFFFFF"/>
          </w:tcPr>
          <w:p w14:paraId="54CBFBC1" w14:textId="0322FF16" w:rsidR="00A72BBA" w:rsidRPr="001712E4" w:rsidRDefault="002253D3" w:rsidP="00694923">
            <w:pPr>
              <w:pStyle w:val="CETBodytext"/>
              <w:ind w:left="113"/>
              <w:rPr>
                <w:lang w:val="en-GB"/>
              </w:rPr>
            </w:pPr>
            <w:r w:rsidRPr="001712E4">
              <w:rPr>
                <w:lang w:val="en-GB"/>
              </w:rPr>
              <w:t>×</w:t>
            </w:r>
          </w:p>
        </w:tc>
      </w:tr>
      <w:tr w:rsidR="00D528B7" w:rsidRPr="001712E4" w14:paraId="5D518DB4" w14:textId="5821FAF8" w:rsidTr="00EC7794">
        <w:tc>
          <w:tcPr>
            <w:tcW w:w="1533" w:type="pct"/>
            <w:shd w:val="clear" w:color="auto" w:fill="FFFFFF"/>
          </w:tcPr>
          <w:p w14:paraId="658284A2" w14:textId="37ADC830" w:rsidR="00A72BBA" w:rsidRPr="001712E4" w:rsidRDefault="00A72BBA" w:rsidP="00E274C3">
            <w:pPr>
              <w:pStyle w:val="CETBodytext"/>
              <w:rPr>
                <w:lang w:val="en-GB"/>
              </w:rPr>
            </w:pPr>
            <w:r w:rsidRPr="001712E4">
              <w:rPr>
                <w:lang w:val="en-GB"/>
              </w:rPr>
              <w:t>Casson Moreno et al. (2016)</w:t>
            </w:r>
          </w:p>
        </w:tc>
        <w:tc>
          <w:tcPr>
            <w:tcW w:w="2458" w:type="pct"/>
            <w:shd w:val="clear" w:color="auto" w:fill="FFFFFF"/>
          </w:tcPr>
          <w:p w14:paraId="5B272F83" w14:textId="172F0D15" w:rsidR="00A72BBA" w:rsidRPr="001712E4" w:rsidRDefault="002158E7" w:rsidP="00694923">
            <w:pPr>
              <w:pStyle w:val="CETBodytext"/>
              <w:ind w:left="113"/>
              <w:rPr>
                <w:lang w:val="en-GB"/>
              </w:rPr>
            </w:pPr>
            <w:r w:rsidRPr="001712E4">
              <w:rPr>
                <w:lang w:val="en-GB"/>
              </w:rPr>
              <w:t>New method or tool</w:t>
            </w:r>
          </w:p>
        </w:tc>
        <w:tc>
          <w:tcPr>
            <w:tcW w:w="541" w:type="pct"/>
            <w:shd w:val="clear" w:color="auto" w:fill="FFFFFF"/>
          </w:tcPr>
          <w:p w14:paraId="17A9E544" w14:textId="6B1189D0" w:rsidR="00A72BBA" w:rsidRPr="001712E4" w:rsidRDefault="002253D3" w:rsidP="00694923">
            <w:pPr>
              <w:pStyle w:val="CETBodytext"/>
              <w:ind w:left="113"/>
              <w:rPr>
                <w:lang w:val="en-GB"/>
              </w:rPr>
            </w:pPr>
            <w:r w:rsidRPr="001712E4">
              <w:rPr>
                <w:lang w:val="en-GB"/>
              </w:rPr>
              <w:t>×</w:t>
            </w:r>
          </w:p>
        </w:tc>
        <w:tc>
          <w:tcPr>
            <w:tcW w:w="468" w:type="pct"/>
            <w:shd w:val="clear" w:color="auto" w:fill="FFFFFF"/>
          </w:tcPr>
          <w:p w14:paraId="1D24880D" w14:textId="67829563" w:rsidR="00A72BBA" w:rsidRPr="001712E4" w:rsidRDefault="00A72BBA" w:rsidP="00694923">
            <w:pPr>
              <w:pStyle w:val="CETBodytext"/>
              <w:ind w:left="113"/>
              <w:rPr>
                <w:lang w:val="en-GB"/>
              </w:rPr>
            </w:pPr>
          </w:p>
        </w:tc>
      </w:tr>
      <w:tr w:rsidR="00D528B7" w:rsidRPr="001712E4" w14:paraId="79E568E3" w14:textId="366C0ABD" w:rsidTr="00EC7794">
        <w:tc>
          <w:tcPr>
            <w:tcW w:w="1533" w:type="pct"/>
            <w:shd w:val="clear" w:color="auto" w:fill="FFFFFF"/>
          </w:tcPr>
          <w:p w14:paraId="1D323A7B" w14:textId="6D98AEE9" w:rsidR="00A72BBA" w:rsidRPr="001712E4" w:rsidRDefault="00A72BBA" w:rsidP="00E274C3">
            <w:pPr>
              <w:pStyle w:val="CETBodytext"/>
              <w:rPr>
                <w:lang w:val="en-GB"/>
              </w:rPr>
            </w:pPr>
            <w:r w:rsidRPr="001712E4">
              <w:rPr>
                <w:lang w:val="en-GB"/>
              </w:rPr>
              <w:t>Collins (2010)</w:t>
            </w:r>
          </w:p>
        </w:tc>
        <w:tc>
          <w:tcPr>
            <w:tcW w:w="2458" w:type="pct"/>
            <w:shd w:val="clear" w:color="auto" w:fill="FFFFFF"/>
          </w:tcPr>
          <w:p w14:paraId="2AFA4DA3" w14:textId="3873C08F" w:rsidR="00A72BBA" w:rsidRPr="001712E4" w:rsidRDefault="00A72BBA" w:rsidP="00694923">
            <w:pPr>
              <w:pStyle w:val="CETBodytext"/>
              <w:ind w:left="113"/>
              <w:rPr>
                <w:lang w:val="en-GB"/>
              </w:rPr>
            </w:pPr>
            <w:r w:rsidRPr="001712E4">
              <w:rPr>
                <w:lang w:val="en-GB"/>
              </w:rPr>
              <w:t>Combination of existing methods</w:t>
            </w:r>
          </w:p>
        </w:tc>
        <w:tc>
          <w:tcPr>
            <w:tcW w:w="541" w:type="pct"/>
            <w:shd w:val="clear" w:color="auto" w:fill="FFFFFF"/>
          </w:tcPr>
          <w:p w14:paraId="358CF911" w14:textId="77777777" w:rsidR="00A72BBA" w:rsidRPr="001712E4" w:rsidRDefault="00A72BBA" w:rsidP="00694923">
            <w:pPr>
              <w:pStyle w:val="CETBodytext"/>
              <w:ind w:left="113"/>
              <w:rPr>
                <w:lang w:val="en-GB"/>
              </w:rPr>
            </w:pPr>
          </w:p>
        </w:tc>
        <w:tc>
          <w:tcPr>
            <w:tcW w:w="468" w:type="pct"/>
            <w:shd w:val="clear" w:color="auto" w:fill="FFFFFF"/>
          </w:tcPr>
          <w:p w14:paraId="71F89FF8" w14:textId="4351F240" w:rsidR="00A72BBA" w:rsidRPr="001712E4" w:rsidRDefault="002253D3" w:rsidP="00694923">
            <w:pPr>
              <w:pStyle w:val="CETBodytext"/>
              <w:ind w:left="113"/>
              <w:rPr>
                <w:lang w:val="en-GB"/>
              </w:rPr>
            </w:pPr>
            <w:r w:rsidRPr="001712E4">
              <w:rPr>
                <w:lang w:val="en-GB"/>
              </w:rPr>
              <w:t>×</w:t>
            </w:r>
          </w:p>
        </w:tc>
      </w:tr>
      <w:tr w:rsidR="00D528B7" w:rsidRPr="001712E4" w14:paraId="3DB5BCD9" w14:textId="09D895EB" w:rsidTr="00EC7794">
        <w:tc>
          <w:tcPr>
            <w:tcW w:w="1533" w:type="pct"/>
            <w:shd w:val="clear" w:color="auto" w:fill="FFFFFF"/>
          </w:tcPr>
          <w:p w14:paraId="694BF25A" w14:textId="7411428B" w:rsidR="00A72BBA" w:rsidRPr="001712E4" w:rsidRDefault="00A72BBA" w:rsidP="00E274C3">
            <w:pPr>
              <w:pStyle w:val="CETBodytext"/>
              <w:rPr>
                <w:lang w:val="en-GB"/>
              </w:rPr>
            </w:pPr>
            <w:r w:rsidRPr="001712E4">
              <w:rPr>
                <w:lang w:val="en-GB"/>
              </w:rPr>
              <w:t>Gnoni and Bragatto (2013)</w:t>
            </w:r>
          </w:p>
        </w:tc>
        <w:tc>
          <w:tcPr>
            <w:tcW w:w="2458" w:type="pct"/>
            <w:shd w:val="clear" w:color="auto" w:fill="FFFFFF"/>
          </w:tcPr>
          <w:p w14:paraId="219D43AF" w14:textId="116E5FC6" w:rsidR="00A72BBA" w:rsidRPr="001712E4" w:rsidRDefault="00A72BBA" w:rsidP="00694923">
            <w:pPr>
              <w:pStyle w:val="CETBodytext"/>
              <w:ind w:left="113"/>
              <w:rPr>
                <w:lang w:val="en-GB"/>
              </w:rPr>
            </w:pPr>
            <w:r w:rsidRPr="001712E4">
              <w:rPr>
                <w:lang w:val="en-GB"/>
              </w:rPr>
              <w:t>New method or tool</w:t>
            </w:r>
          </w:p>
        </w:tc>
        <w:tc>
          <w:tcPr>
            <w:tcW w:w="541" w:type="pct"/>
            <w:shd w:val="clear" w:color="auto" w:fill="FFFFFF"/>
          </w:tcPr>
          <w:p w14:paraId="1BC762BC" w14:textId="6C5CE508" w:rsidR="00A72BBA" w:rsidRPr="001712E4" w:rsidRDefault="002253D3" w:rsidP="00694923">
            <w:pPr>
              <w:pStyle w:val="CETBodytext"/>
              <w:ind w:left="113"/>
              <w:rPr>
                <w:lang w:val="en-GB"/>
              </w:rPr>
            </w:pPr>
            <w:r w:rsidRPr="001712E4">
              <w:rPr>
                <w:lang w:val="en-GB"/>
              </w:rPr>
              <w:t>×</w:t>
            </w:r>
          </w:p>
        </w:tc>
        <w:tc>
          <w:tcPr>
            <w:tcW w:w="468" w:type="pct"/>
            <w:shd w:val="clear" w:color="auto" w:fill="FFFFFF"/>
          </w:tcPr>
          <w:p w14:paraId="14D58005" w14:textId="7C3BC37C" w:rsidR="00A72BBA" w:rsidRPr="001712E4" w:rsidRDefault="00A72BBA" w:rsidP="00694923">
            <w:pPr>
              <w:pStyle w:val="CETBodytext"/>
              <w:ind w:left="113"/>
              <w:rPr>
                <w:lang w:val="en-GB"/>
              </w:rPr>
            </w:pPr>
          </w:p>
        </w:tc>
      </w:tr>
      <w:tr w:rsidR="00D528B7" w:rsidRPr="001712E4" w14:paraId="1A162277" w14:textId="6311E481" w:rsidTr="00EC7794">
        <w:tc>
          <w:tcPr>
            <w:tcW w:w="1533" w:type="pct"/>
            <w:shd w:val="clear" w:color="auto" w:fill="FFFFFF"/>
          </w:tcPr>
          <w:p w14:paraId="4E9239BD" w14:textId="70E95B68" w:rsidR="00A72BBA" w:rsidRPr="001712E4" w:rsidRDefault="00A72BBA" w:rsidP="00E274C3">
            <w:pPr>
              <w:pStyle w:val="CETBodytext"/>
              <w:rPr>
                <w:lang w:val="en-GB"/>
              </w:rPr>
            </w:pPr>
            <w:r w:rsidRPr="001712E4">
              <w:rPr>
                <w:lang w:val="en-GB"/>
              </w:rPr>
              <w:t>Jørgensen (2016)</w:t>
            </w:r>
          </w:p>
        </w:tc>
        <w:tc>
          <w:tcPr>
            <w:tcW w:w="2458" w:type="pct"/>
            <w:shd w:val="clear" w:color="auto" w:fill="FFFFFF"/>
          </w:tcPr>
          <w:p w14:paraId="5ABDF342" w14:textId="50BCE467" w:rsidR="00A72BBA" w:rsidRPr="001712E4" w:rsidRDefault="00A72BBA" w:rsidP="00694923">
            <w:pPr>
              <w:pStyle w:val="CETBodytext"/>
              <w:ind w:left="113"/>
              <w:rPr>
                <w:lang w:val="en-GB"/>
              </w:rPr>
            </w:pPr>
            <w:r w:rsidRPr="001712E4">
              <w:rPr>
                <w:lang w:val="en-GB"/>
              </w:rPr>
              <w:t>New method or tool</w:t>
            </w:r>
          </w:p>
        </w:tc>
        <w:tc>
          <w:tcPr>
            <w:tcW w:w="541" w:type="pct"/>
            <w:shd w:val="clear" w:color="auto" w:fill="FFFFFF"/>
          </w:tcPr>
          <w:p w14:paraId="2F254303" w14:textId="394C1C0B" w:rsidR="00A72BBA" w:rsidRPr="001712E4" w:rsidRDefault="002253D3" w:rsidP="00694923">
            <w:pPr>
              <w:pStyle w:val="CETBodytext"/>
              <w:ind w:left="113"/>
              <w:rPr>
                <w:lang w:val="en-GB"/>
              </w:rPr>
            </w:pPr>
            <w:r w:rsidRPr="001712E4">
              <w:rPr>
                <w:lang w:val="en-GB"/>
              </w:rPr>
              <w:t>×</w:t>
            </w:r>
          </w:p>
        </w:tc>
        <w:tc>
          <w:tcPr>
            <w:tcW w:w="468" w:type="pct"/>
            <w:shd w:val="clear" w:color="auto" w:fill="FFFFFF"/>
          </w:tcPr>
          <w:p w14:paraId="6B985A1C" w14:textId="4B239559" w:rsidR="00A72BBA" w:rsidRPr="001712E4" w:rsidRDefault="00A72BBA" w:rsidP="00694923">
            <w:pPr>
              <w:pStyle w:val="CETBodytext"/>
              <w:ind w:left="113"/>
              <w:rPr>
                <w:lang w:val="en-GB"/>
              </w:rPr>
            </w:pPr>
          </w:p>
        </w:tc>
      </w:tr>
      <w:tr w:rsidR="00D528B7" w:rsidRPr="001712E4" w14:paraId="1A3DC1F3" w14:textId="59A1A751" w:rsidTr="00EC7794">
        <w:tc>
          <w:tcPr>
            <w:tcW w:w="1533" w:type="pct"/>
            <w:shd w:val="clear" w:color="auto" w:fill="FFFFFF"/>
          </w:tcPr>
          <w:p w14:paraId="2DBBD810" w14:textId="422D4F9C" w:rsidR="00A72BBA" w:rsidRPr="001712E4" w:rsidRDefault="00A72BBA" w:rsidP="00E274C3">
            <w:pPr>
              <w:pStyle w:val="CETBodytext"/>
              <w:rPr>
                <w:lang w:val="en-GB"/>
              </w:rPr>
            </w:pPr>
            <w:r w:rsidRPr="001712E4">
              <w:rPr>
                <w:lang w:val="en-GB"/>
              </w:rPr>
              <w:t>Leclercq et al. (2018)</w:t>
            </w:r>
          </w:p>
        </w:tc>
        <w:tc>
          <w:tcPr>
            <w:tcW w:w="2458" w:type="pct"/>
            <w:shd w:val="clear" w:color="auto" w:fill="FFFFFF"/>
          </w:tcPr>
          <w:p w14:paraId="1A5C9988" w14:textId="2652C0A7" w:rsidR="00A72BBA" w:rsidRPr="001712E4" w:rsidRDefault="00A72BBA" w:rsidP="00694923">
            <w:pPr>
              <w:pStyle w:val="CETBodytext"/>
              <w:ind w:left="113"/>
              <w:rPr>
                <w:lang w:val="en-GB"/>
              </w:rPr>
            </w:pPr>
            <w:r w:rsidRPr="001712E4">
              <w:rPr>
                <w:lang w:val="en-GB"/>
              </w:rPr>
              <w:t>New method or tool</w:t>
            </w:r>
          </w:p>
        </w:tc>
        <w:tc>
          <w:tcPr>
            <w:tcW w:w="541" w:type="pct"/>
            <w:shd w:val="clear" w:color="auto" w:fill="FFFFFF"/>
          </w:tcPr>
          <w:p w14:paraId="68E69715" w14:textId="0A964A4A" w:rsidR="00A72BBA" w:rsidRPr="001712E4" w:rsidRDefault="002253D3" w:rsidP="00694923">
            <w:pPr>
              <w:pStyle w:val="CETBodytext"/>
              <w:ind w:left="113"/>
              <w:rPr>
                <w:lang w:val="en-GB"/>
              </w:rPr>
            </w:pPr>
            <w:r w:rsidRPr="001712E4">
              <w:rPr>
                <w:lang w:val="en-GB"/>
              </w:rPr>
              <w:t>×</w:t>
            </w:r>
          </w:p>
        </w:tc>
        <w:tc>
          <w:tcPr>
            <w:tcW w:w="468" w:type="pct"/>
            <w:shd w:val="clear" w:color="auto" w:fill="FFFFFF"/>
          </w:tcPr>
          <w:p w14:paraId="1838EFAA" w14:textId="43888F19" w:rsidR="00A72BBA" w:rsidRPr="001712E4" w:rsidRDefault="00A72BBA" w:rsidP="00694923">
            <w:pPr>
              <w:pStyle w:val="CETBodytext"/>
              <w:ind w:left="113"/>
              <w:rPr>
                <w:lang w:val="en-GB"/>
              </w:rPr>
            </w:pPr>
          </w:p>
        </w:tc>
      </w:tr>
      <w:tr w:rsidR="00D528B7" w:rsidRPr="001712E4" w14:paraId="509E9FE2" w14:textId="7B8DF7C0" w:rsidTr="00EC7794">
        <w:tc>
          <w:tcPr>
            <w:tcW w:w="1533" w:type="pct"/>
            <w:shd w:val="clear" w:color="auto" w:fill="FFFFFF"/>
          </w:tcPr>
          <w:p w14:paraId="0FDBE007" w14:textId="648F3D74" w:rsidR="00A72BBA" w:rsidRPr="001712E4" w:rsidRDefault="00A72BBA" w:rsidP="00E274C3">
            <w:pPr>
              <w:pStyle w:val="CETBodytext"/>
              <w:rPr>
                <w:lang w:val="en-GB"/>
              </w:rPr>
            </w:pPr>
            <w:r w:rsidRPr="001712E4">
              <w:rPr>
                <w:lang w:val="en-GB"/>
              </w:rPr>
              <w:t>Lee et al. (2011)</w:t>
            </w:r>
          </w:p>
        </w:tc>
        <w:tc>
          <w:tcPr>
            <w:tcW w:w="2458" w:type="pct"/>
            <w:shd w:val="clear" w:color="auto" w:fill="FFFFFF"/>
          </w:tcPr>
          <w:p w14:paraId="012E29C4" w14:textId="4BAEF56E" w:rsidR="00A72BBA" w:rsidRPr="001712E4" w:rsidRDefault="00A72BBA" w:rsidP="00694923">
            <w:pPr>
              <w:pStyle w:val="CETBodytext"/>
              <w:ind w:left="113"/>
              <w:rPr>
                <w:lang w:val="en-GB"/>
              </w:rPr>
            </w:pPr>
            <w:r w:rsidRPr="001712E4">
              <w:rPr>
                <w:lang w:val="en-GB"/>
              </w:rPr>
              <w:t>Integrated management system / risk management</w:t>
            </w:r>
          </w:p>
        </w:tc>
        <w:tc>
          <w:tcPr>
            <w:tcW w:w="541" w:type="pct"/>
            <w:shd w:val="clear" w:color="auto" w:fill="FFFFFF"/>
          </w:tcPr>
          <w:p w14:paraId="183546E2" w14:textId="0F05E768" w:rsidR="00A72BBA" w:rsidRPr="001712E4" w:rsidRDefault="002253D3" w:rsidP="00694923">
            <w:pPr>
              <w:pStyle w:val="CETBodytext"/>
              <w:ind w:left="113"/>
              <w:rPr>
                <w:lang w:val="en-GB"/>
              </w:rPr>
            </w:pPr>
            <w:r w:rsidRPr="001712E4">
              <w:rPr>
                <w:lang w:val="en-GB"/>
              </w:rPr>
              <w:t>×</w:t>
            </w:r>
          </w:p>
        </w:tc>
        <w:tc>
          <w:tcPr>
            <w:tcW w:w="468" w:type="pct"/>
            <w:shd w:val="clear" w:color="auto" w:fill="FFFFFF"/>
          </w:tcPr>
          <w:p w14:paraId="00307654" w14:textId="713EFB22" w:rsidR="00A72BBA" w:rsidRPr="001712E4" w:rsidRDefault="00A72BBA" w:rsidP="00694923">
            <w:pPr>
              <w:pStyle w:val="CETBodytext"/>
              <w:ind w:left="113"/>
              <w:rPr>
                <w:lang w:val="en-GB"/>
              </w:rPr>
            </w:pPr>
          </w:p>
        </w:tc>
      </w:tr>
      <w:tr w:rsidR="00D528B7" w:rsidRPr="001712E4" w14:paraId="47069E56" w14:textId="44AAC234" w:rsidTr="00EC7794">
        <w:tc>
          <w:tcPr>
            <w:tcW w:w="1533" w:type="pct"/>
            <w:shd w:val="clear" w:color="auto" w:fill="FFFFFF"/>
          </w:tcPr>
          <w:p w14:paraId="7B9EBA34" w14:textId="198164B3" w:rsidR="00A72BBA" w:rsidRPr="001712E4" w:rsidRDefault="00A72BBA" w:rsidP="00E274C3">
            <w:pPr>
              <w:pStyle w:val="CETBodytext"/>
              <w:rPr>
                <w:lang w:val="en-GB"/>
              </w:rPr>
            </w:pPr>
            <w:r w:rsidRPr="001712E4">
              <w:rPr>
                <w:lang w:val="en-GB"/>
              </w:rPr>
              <w:t>Leino (2002)</w:t>
            </w:r>
          </w:p>
        </w:tc>
        <w:tc>
          <w:tcPr>
            <w:tcW w:w="2458" w:type="pct"/>
            <w:shd w:val="clear" w:color="auto" w:fill="FFFFFF"/>
          </w:tcPr>
          <w:p w14:paraId="135A5BE6" w14:textId="120A61BE" w:rsidR="00A72BBA" w:rsidRPr="001712E4" w:rsidRDefault="00A72BBA" w:rsidP="00694923">
            <w:pPr>
              <w:pStyle w:val="CETBodytext"/>
              <w:ind w:left="113"/>
              <w:rPr>
                <w:lang w:val="en-GB"/>
              </w:rPr>
            </w:pPr>
            <w:r w:rsidRPr="001712E4">
              <w:rPr>
                <w:lang w:val="en-GB"/>
              </w:rPr>
              <w:t>Integrated management system / risk management</w:t>
            </w:r>
          </w:p>
        </w:tc>
        <w:tc>
          <w:tcPr>
            <w:tcW w:w="541" w:type="pct"/>
            <w:shd w:val="clear" w:color="auto" w:fill="FFFFFF"/>
          </w:tcPr>
          <w:p w14:paraId="75FB9817" w14:textId="038E537F" w:rsidR="00A72BBA" w:rsidRPr="001712E4" w:rsidRDefault="002253D3" w:rsidP="00694923">
            <w:pPr>
              <w:pStyle w:val="CETBodytext"/>
              <w:ind w:left="113"/>
              <w:rPr>
                <w:lang w:val="en-GB"/>
              </w:rPr>
            </w:pPr>
            <w:r w:rsidRPr="001712E4">
              <w:rPr>
                <w:lang w:val="en-GB"/>
              </w:rPr>
              <w:t>×</w:t>
            </w:r>
          </w:p>
        </w:tc>
        <w:tc>
          <w:tcPr>
            <w:tcW w:w="468" w:type="pct"/>
            <w:shd w:val="clear" w:color="auto" w:fill="FFFFFF"/>
          </w:tcPr>
          <w:p w14:paraId="298E8207" w14:textId="4EED0592" w:rsidR="00A72BBA" w:rsidRPr="001712E4" w:rsidRDefault="00A72BBA" w:rsidP="00694923">
            <w:pPr>
              <w:pStyle w:val="CETBodytext"/>
              <w:ind w:left="113"/>
              <w:rPr>
                <w:lang w:val="en-GB"/>
              </w:rPr>
            </w:pPr>
          </w:p>
        </w:tc>
      </w:tr>
      <w:tr w:rsidR="00D528B7" w:rsidRPr="001712E4" w14:paraId="6A9E4E2E" w14:textId="38F9B860" w:rsidTr="00EC7794">
        <w:tc>
          <w:tcPr>
            <w:tcW w:w="1533" w:type="pct"/>
            <w:shd w:val="clear" w:color="auto" w:fill="FFFFFF"/>
          </w:tcPr>
          <w:p w14:paraId="6ABFA77D" w14:textId="2561C0DD" w:rsidR="00A72BBA" w:rsidRPr="001712E4" w:rsidRDefault="00A72BBA" w:rsidP="00E274C3">
            <w:pPr>
              <w:pStyle w:val="CETBodytext"/>
              <w:rPr>
                <w:lang w:val="en-GB"/>
              </w:rPr>
            </w:pPr>
            <w:r w:rsidRPr="001712E4">
              <w:rPr>
                <w:lang w:val="en-GB"/>
              </w:rPr>
              <w:t>Marhavilas et al. (2019)</w:t>
            </w:r>
          </w:p>
        </w:tc>
        <w:tc>
          <w:tcPr>
            <w:tcW w:w="2458" w:type="pct"/>
            <w:shd w:val="clear" w:color="auto" w:fill="FFFFFF"/>
          </w:tcPr>
          <w:p w14:paraId="55895574" w14:textId="10032E13" w:rsidR="00A72BBA" w:rsidRPr="001712E4" w:rsidRDefault="00A72BBA" w:rsidP="00694923">
            <w:pPr>
              <w:pStyle w:val="CETBodytext"/>
              <w:ind w:left="113"/>
              <w:rPr>
                <w:lang w:val="en-GB"/>
              </w:rPr>
            </w:pPr>
            <w:r w:rsidRPr="001712E4">
              <w:rPr>
                <w:lang w:val="en-GB"/>
              </w:rPr>
              <w:t>Combination of existing methods</w:t>
            </w:r>
          </w:p>
        </w:tc>
        <w:tc>
          <w:tcPr>
            <w:tcW w:w="541" w:type="pct"/>
            <w:shd w:val="clear" w:color="auto" w:fill="FFFFFF"/>
          </w:tcPr>
          <w:p w14:paraId="274EE9CA" w14:textId="77777777" w:rsidR="00A72BBA" w:rsidRPr="001712E4" w:rsidRDefault="00A72BBA" w:rsidP="00694923">
            <w:pPr>
              <w:pStyle w:val="CETBodytext"/>
              <w:ind w:left="113"/>
              <w:rPr>
                <w:lang w:val="en-GB"/>
              </w:rPr>
            </w:pPr>
          </w:p>
        </w:tc>
        <w:tc>
          <w:tcPr>
            <w:tcW w:w="468" w:type="pct"/>
            <w:shd w:val="clear" w:color="auto" w:fill="FFFFFF"/>
          </w:tcPr>
          <w:p w14:paraId="536F49AE" w14:textId="05117B98" w:rsidR="00A72BBA" w:rsidRPr="001712E4" w:rsidRDefault="002253D3" w:rsidP="00694923">
            <w:pPr>
              <w:pStyle w:val="CETBodytext"/>
              <w:ind w:left="113"/>
              <w:rPr>
                <w:lang w:val="en-GB"/>
              </w:rPr>
            </w:pPr>
            <w:r w:rsidRPr="001712E4">
              <w:rPr>
                <w:lang w:val="en-GB"/>
              </w:rPr>
              <w:t>×</w:t>
            </w:r>
          </w:p>
        </w:tc>
      </w:tr>
      <w:tr w:rsidR="00D528B7" w:rsidRPr="001712E4" w14:paraId="64EEF0E0" w14:textId="61291347" w:rsidTr="00EC7794">
        <w:tc>
          <w:tcPr>
            <w:tcW w:w="1533" w:type="pct"/>
            <w:shd w:val="clear" w:color="auto" w:fill="FFFFFF"/>
          </w:tcPr>
          <w:p w14:paraId="66F5CC35" w14:textId="614957D4" w:rsidR="00A72BBA" w:rsidRPr="001712E4" w:rsidRDefault="00A72BBA" w:rsidP="00E274C3">
            <w:pPr>
              <w:pStyle w:val="CETBodytext"/>
              <w:rPr>
                <w:lang w:val="en-GB"/>
              </w:rPr>
            </w:pPr>
            <w:r w:rsidRPr="001712E4">
              <w:rPr>
                <w:lang w:val="en-GB"/>
              </w:rPr>
              <w:t>Papadakis and Chalkidou (2008)</w:t>
            </w:r>
          </w:p>
        </w:tc>
        <w:tc>
          <w:tcPr>
            <w:tcW w:w="2458" w:type="pct"/>
            <w:shd w:val="clear" w:color="auto" w:fill="FFFFFF"/>
          </w:tcPr>
          <w:p w14:paraId="7EA7EDD5" w14:textId="0D2653C0" w:rsidR="00A72BBA" w:rsidRPr="001712E4" w:rsidRDefault="00A72BBA" w:rsidP="00694923">
            <w:pPr>
              <w:pStyle w:val="CETBodytext"/>
              <w:ind w:left="113"/>
              <w:rPr>
                <w:lang w:val="en-GB"/>
              </w:rPr>
            </w:pPr>
            <w:r w:rsidRPr="001712E4">
              <w:rPr>
                <w:lang w:val="en-GB"/>
              </w:rPr>
              <w:t>New method or tool</w:t>
            </w:r>
          </w:p>
        </w:tc>
        <w:tc>
          <w:tcPr>
            <w:tcW w:w="541" w:type="pct"/>
            <w:shd w:val="clear" w:color="auto" w:fill="FFFFFF"/>
          </w:tcPr>
          <w:p w14:paraId="5348936D" w14:textId="77777777" w:rsidR="00A72BBA" w:rsidRPr="001712E4" w:rsidRDefault="00A72BBA" w:rsidP="00694923">
            <w:pPr>
              <w:pStyle w:val="CETBodytext"/>
              <w:ind w:left="113"/>
              <w:rPr>
                <w:lang w:val="en-GB"/>
              </w:rPr>
            </w:pPr>
          </w:p>
        </w:tc>
        <w:tc>
          <w:tcPr>
            <w:tcW w:w="468" w:type="pct"/>
            <w:shd w:val="clear" w:color="auto" w:fill="FFFFFF"/>
          </w:tcPr>
          <w:p w14:paraId="617B1055" w14:textId="5489B01B" w:rsidR="00A72BBA" w:rsidRPr="001712E4" w:rsidRDefault="002253D3" w:rsidP="00694923">
            <w:pPr>
              <w:pStyle w:val="CETBodytext"/>
              <w:ind w:left="113"/>
              <w:rPr>
                <w:lang w:val="en-GB"/>
              </w:rPr>
            </w:pPr>
            <w:r w:rsidRPr="001712E4">
              <w:rPr>
                <w:lang w:val="en-GB"/>
              </w:rPr>
              <w:t>×</w:t>
            </w:r>
          </w:p>
        </w:tc>
      </w:tr>
      <w:tr w:rsidR="00D528B7" w:rsidRPr="001712E4" w14:paraId="26306FFE" w14:textId="3C28A27E" w:rsidTr="00EC7794">
        <w:tc>
          <w:tcPr>
            <w:tcW w:w="1533" w:type="pct"/>
            <w:shd w:val="clear" w:color="auto" w:fill="FFFFFF"/>
          </w:tcPr>
          <w:p w14:paraId="610BB7B2" w14:textId="7AE49872" w:rsidR="00A72BBA" w:rsidRPr="001712E4" w:rsidRDefault="00A72BBA" w:rsidP="00E274C3">
            <w:pPr>
              <w:pStyle w:val="CETBodytext"/>
              <w:rPr>
                <w:lang w:val="en-GB"/>
              </w:rPr>
            </w:pPr>
            <w:r w:rsidRPr="001712E4">
              <w:rPr>
                <w:lang w:val="en-GB"/>
              </w:rPr>
              <w:t>Pitblado and Tahilramani (2010)</w:t>
            </w:r>
          </w:p>
        </w:tc>
        <w:tc>
          <w:tcPr>
            <w:tcW w:w="2458" w:type="pct"/>
            <w:shd w:val="clear" w:color="auto" w:fill="FFFFFF"/>
          </w:tcPr>
          <w:p w14:paraId="19930879" w14:textId="33547544" w:rsidR="00A72BBA" w:rsidRPr="001712E4" w:rsidRDefault="00A72BBA" w:rsidP="00694923">
            <w:pPr>
              <w:pStyle w:val="CETBodytext"/>
              <w:ind w:left="113"/>
              <w:rPr>
                <w:lang w:val="en-GB"/>
              </w:rPr>
            </w:pPr>
            <w:r w:rsidRPr="001712E4">
              <w:rPr>
                <w:lang w:val="en-GB"/>
              </w:rPr>
              <w:t>Integrated management system / risk management</w:t>
            </w:r>
          </w:p>
        </w:tc>
        <w:tc>
          <w:tcPr>
            <w:tcW w:w="541" w:type="pct"/>
            <w:shd w:val="clear" w:color="auto" w:fill="FFFFFF"/>
          </w:tcPr>
          <w:p w14:paraId="6FC6B1C3" w14:textId="231501B9" w:rsidR="00A72BBA" w:rsidRPr="001712E4" w:rsidRDefault="002253D3" w:rsidP="00694923">
            <w:pPr>
              <w:pStyle w:val="CETBodytext"/>
              <w:ind w:left="113"/>
              <w:rPr>
                <w:lang w:val="en-GB"/>
              </w:rPr>
            </w:pPr>
            <w:r w:rsidRPr="001712E4">
              <w:rPr>
                <w:lang w:val="en-GB"/>
              </w:rPr>
              <w:t>×</w:t>
            </w:r>
          </w:p>
        </w:tc>
        <w:tc>
          <w:tcPr>
            <w:tcW w:w="468" w:type="pct"/>
            <w:shd w:val="clear" w:color="auto" w:fill="FFFFFF"/>
          </w:tcPr>
          <w:p w14:paraId="179CCAB0" w14:textId="224C9A43" w:rsidR="00A72BBA" w:rsidRPr="001712E4" w:rsidRDefault="00A72BBA" w:rsidP="00694923">
            <w:pPr>
              <w:pStyle w:val="CETBodytext"/>
              <w:ind w:left="113"/>
              <w:rPr>
                <w:lang w:val="en-GB"/>
              </w:rPr>
            </w:pPr>
          </w:p>
        </w:tc>
      </w:tr>
      <w:tr w:rsidR="00D528B7" w:rsidRPr="001712E4" w14:paraId="709C96B9" w14:textId="45617489" w:rsidTr="00EC7794">
        <w:tc>
          <w:tcPr>
            <w:tcW w:w="1533" w:type="pct"/>
            <w:shd w:val="clear" w:color="auto" w:fill="FFFFFF"/>
          </w:tcPr>
          <w:p w14:paraId="6524B759" w14:textId="2C7E9AE5" w:rsidR="00A72BBA" w:rsidRPr="001712E4" w:rsidRDefault="00A72BBA" w:rsidP="00E274C3">
            <w:pPr>
              <w:pStyle w:val="CETBodytext"/>
              <w:ind w:right="-1"/>
              <w:rPr>
                <w:rFonts w:cs="Arial"/>
                <w:szCs w:val="18"/>
                <w:lang w:val="en-GB"/>
              </w:rPr>
            </w:pPr>
            <w:r w:rsidRPr="001712E4">
              <w:rPr>
                <w:rFonts w:cs="Arial"/>
                <w:szCs w:val="18"/>
                <w:lang w:val="en-GB"/>
              </w:rPr>
              <w:t>Wang et al. (2012)</w:t>
            </w:r>
          </w:p>
        </w:tc>
        <w:tc>
          <w:tcPr>
            <w:tcW w:w="2458" w:type="pct"/>
            <w:shd w:val="clear" w:color="auto" w:fill="FFFFFF"/>
          </w:tcPr>
          <w:p w14:paraId="4C9ACDB6" w14:textId="1C681F77" w:rsidR="00A72BBA" w:rsidRPr="001712E4" w:rsidRDefault="00A72BBA" w:rsidP="00694923">
            <w:pPr>
              <w:pStyle w:val="CETBodytext"/>
              <w:ind w:left="113" w:right="-1"/>
              <w:rPr>
                <w:rFonts w:cs="Arial"/>
                <w:szCs w:val="18"/>
                <w:lang w:val="en-GB"/>
              </w:rPr>
            </w:pPr>
            <w:r w:rsidRPr="001712E4">
              <w:rPr>
                <w:lang w:val="en-GB"/>
              </w:rPr>
              <w:t>New method or tool</w:t>
            </w:r>
          </w:p>
        </w:tc>
        <w:tc>
          <w:tcPr>
            <w:tcW w:w="541" w:type="pct"/>
            <w:shd w:val="clear" w:color="auto" w:fill="FFFFFF"/>
          </w:tcPr>
          <w:p w14:paraId="3DB7A621" w14:textId="77777777" w:rsidR="00A72BBA" w:rsidRPr="001712E4" w:rsidRDefault="00A72BBA" w:rsidP="00694923">
            <w:pPr>
              <w:pStyle w:val="CETBodytext"/>
              <w:ind w:left="113" w:right="-1"/>
              <w:rPr>
                <w:lang w:val="en-GB"/>
              </w:rPr>
            </w:pPr>
          </w:p>
        </w:tc>
        <w:tc>
          <w:tcPr>
            <w:tcW w:w="468" w:type="pct"/>
            <w:shd w:val="clear" w:color="auto" w:fill="FFFFFF"/>
          </w:tcPr>
          <w:p w14:paraId="45CD7BA5" w14:textId="1D837FA7" w:rsidR="00A72BBA" w:rsidRPr="001712E4" w:rsidRDefault="002253D3" w:rsidP="00694923">
            <w:pPr>
              <w:pStyle w:val="CETBodytext"/>
              <w:ind w:left="113" w:right="-1"/>
              <w:rPr>
                <w:lang w:val="en-GB"/>
              </w:rPr>
            </w:pPr>
            <w:r w:rsidRPr="001712E4">
              <w:rPr>
                <w:lang w:val="en-GB"/>
              </w:rPr>
              <w:t>×</w:t>
            </w:r>
          </w:p>
        </w:tc>
      </w:tr>
      <w:tr w:rsidR="00D528B7" w:rsidRPr="001712E4" w14:paraId="19ABC7D7" w14:textId="61121784" w:rsidTr="00EC7794">
        <w:tc>
          <w:tcPr>
            <w:tcW w:w="1533" w:type="pct"/>
            <w:shd w:val="clear" w:color="auto" w:fill="FFFFFF"/>
          </w:tcPr>
          <w:p w14:paraId="039D3B8B" w14:textId="3FA22091" w:rsidR="00A72BBA" w:rsidRPr="001712E4" w:rsidRDefault="00A72BBA" w:rsidP="00E274C3">
            <w:pPr>
              <w:pStyle w:val="CETBodytext"/>
              <w:ind w:right="-1"/>
              <w:rPr>
                <w:rFonts w:cs="Arial"/>
                <w:szCs w:val="18"/>
                <w:lang w:val="en-GB"/>
              </w:rPr>
            </w:pPr>
            <w:r w:rsidRPr="001712E4">
              <w:rPr>
                <w:rFonts w:cs="Arial"/>
                <w:szCs w:val="18"/>
                <w:lang w:val="en-GB"/>
              </w:rPr>
              <w:t>Yu et al. (2017)</w:t>
            </w:r>
          </w:p>
        </w:tc>
        <w:tc>
          <w:tcPr>
            <w:tcW w:w="2458" w:type="pct"/>
            <w:shd w:val="clear" w:color="auto" w:fill="FFFFFF"/>
          </w:tcPr>
          <w:p w14:paraId="420205BC" w14:textId="4A2370DE" w:rsidR="00A72BBA" w:rsidRPr="001712E4" w:rsidRDefault="00A72BBA" w:rsidP="00694923">
            <w:pPr>
              <w:pStyle w:val="CETBodytext"/>
              <w:ind w:left="113" w:right="-1"/>
              <w:rPr>
                <w:lang w:val="en-GB"/>
              </w:rPr>
            </w:pPr>
            <w:r w:rsidRPr="001712E4">
              <w:rPr>
                <w:lang w:val="en-GB"/>
              </w:rPr>
              <w:t>Integrated management system / risk management</w:t>
            </w:r>
          </w:p>
        </w:tc>
        <w:tc>
          <w:tcPr>
            <w:tcW w:w="541" w:type="pct"/>
            <w:shd w:val="clear" w:color="auto" w:fill="FFFFFF"/>
          </w:tcPr>
          <w:p w14:paraId="793CCEEB" w14:textId="3D4359FE" w:rsidR="00A72BBA" w:rsidRPr="001712E4" w:rsidRDefault="002253D3" w:rsidP="00694923">
            <w:pPr>
              <w:pStyle w:val="CETBodytext"/>
              <w:ind w:left="113" w:right="-1"/>
              <w:rPr>
                <w:lang w:val="en-GB"/>
              </w:rPr>
            </w:pPr>
            <w:r w:rsidRPr="001712E4">
              <w:rPr>
                <w:lang w:val="en-GB"/>
              </w:rPr>
              <w:t>×</w:t>
            </w:r>
          </w:p>
        </w:tc>
        <w:tc>
          <w:tcPr>
            <w:tcW w:w="468" w:type="pct"/>
            <w:shd w:val="clear" w:color="auto" w:fill="FFFFFF"/>
          </w:tcPr>
          <w:p w14:paraId="54D8AC88" w14:textId="496D17F4" w:rsidR="00A72BBA" w:rsidRPr="001712E4" w:rsidRDefault="00A72BBA" w:rsidP="00694923">
            <w:pPr>
              <w:pStyle w:val="CETBodytext"/>
              <w:ind w:left="113" w:right="-1"/>
              <w:rPr>
                <w:lang w:val="en-GB"/>
              </w:rPr>
            </w:pPr>
          </w:p>
        </w:tc>
      </w:tr>
    </w:tbl>
    <w:p w14:paraId="501CED87" w14:textId="1E082B42" w:rsidR="00EA79AF" w:rsidRPr="001712E4" w:rsidRDefault="00EA79AF" w:rsidP="00EA79AF">
      <w:pPr>
        <w:pStyle w:val="CETHeading1"/>
        <w:tabs>
          <w:tab w:val="clear" w:pos="360"/>
          <w:tab w:val="right" w:pos="7100"/>
        </w:tabs>
        <w:jc w:val="both"/>
        <w:rPr>
          <w:lang w:val="en-GB"/>
        </w:rPr>
      </w:pPr>
      <w:r w:rsidRPr="001712E4">
        <w:rPr>
          <w:lang w:val="en-GB"/>
        </w:rPr>
        <w:t>Discussion</w:t>
      </w:r>
    </w:p>
    <w:p w14:paraId="3B692EF5" w14:textId="4E78CB44" w:rsidR="00404E13" w:rsidRPr="001712E4" w:rsidRDefault="00A035B7" w:rsidP="00EA79AF">
      <w:pPr>
        <w:pStyle w:val="CETBodytext"/>
        <w:rPr>
          <w:lang w:val="en-GB"/>
        </w:rPr>
      </w:pPr>
      <w:r w:rsidRPr="00FE13C5">
        <w:rPr>
          <w:lang w:val="en-GB"/>
        </w:rPr>
        <w:t>The critical analysis of the retrieved approaches allows identifying both strengths on which to leverage and</w:t>
      </w:r>
      <w:r w:rsidRPr="001712E4">
        <w:rPr>
          <w:lang w:val="en-GB"/>
        </w:rPr>
        <w:t xml:space="preserve"> weaknesses to </w:t>
      </w:r>
      <w:r w:rsidR="0014059B" w:rsidRPr="001712E4">
        <w:rPr>
          <w:lang w:val="en-GB"/>
        </w:rPr>
        <w:t>be addressed for the development of a</w:t>
      </w:r>
      <w:r w:rsidR="00404E13" w:rsidRPr="001712E4">
        <w:rPr>
          <w:lang w:val="en-GB"/>
        </w:rPr>
        <w:t xml:space="preserve"> future</w:t>
      </w:r>
      <w:r w:rsidR="0014059B" w:rsidRPr="001712E4">
        <w:rPr>
          <w:lang w:val="en-GB"/>
        </w:rPr>
        <w:t xml:space="preserve"> enhanced </w:t>
      </w:r>
      <w:r w:rsidR="00036C8B" w:rsidRPr="001712E4">
        <w:rPr>
          <w:lang w:val="en-GB"/>
        </w:rPr>
        <w:t>approach</w:t>
      </w:r>
      <w:r w:rsidR="0014059B" w:rsidRPr="001712E4">
        <w:rPr>
          <w:lang w:val="en-GB"/>
        </w:rPr>
        <w:t xml:space="preserve">. </w:t>
      </w:r>
      <w:r w:rsidR="00036C8B" w:rsidRPr="001712E4">
        <w:rPr>
          <w:lang w:val="en-GB"/>
        </w:rPr>
        <w:t xml:space="preserve">This approach should be represented by a structured framework </w:t>
      </w:r>
      <w:r w:rsidR="00F9310B" w:rsidRPr="001712E4">
        <w:rPr>
          <w:lang w:val="en-GB"/>
        </w:rPr>
        <w:t xml:space="preserve">with the </w:t>
      </w:r>
      <w:r w:rsidR="000F54A1" w:rsidRPr="001712E4">
        <w:rPr>
          <w:lang w:val="en-GB"/>
        </w:rPr>
        <w:t>purpose</w:t>
      </w:r>
      <w:r w:rsidR="00F9310B" w:rsidRPr="001712E4">
        <w:rPr>
          <w:lang w:val="en-GB"/>
        </w:rPr>
        <w:t xml:space="preserve"> </w:t>
      </w:r>
      <w:r w:rsidR="00C85625">
        <w:rPr>
          <w:lang w:val="en-GB"/>
        </w:rPr>
        <w:t>to integrate</w:t>
      </w:r>
      <w:r w:rsidR="00F9310B" w:rsidRPr="001712E4">
        <w:rPr>
          <w:lang w:val="en-GB"/>
        </w:rPr>
        <w:t xml:space="preserve"> occupational and process safety, considering hazards</w:t>
      </w:r>
      <w:r w:rsidR="00DF34AC" w:rsidRPr="001712E4">
        <w:rPr>
          <w:lang w:val="en-GB"/>
        </w:rPr>
        <w:t>,</w:t>
      </w:r>
      <w:r w:rsidR="00F9310B" w:rsidRPr="001712E4">
        <w:rPr>
          <w:lang w:val="en-GB"/>
        </w:rPr>
        <w:t xml:space="preserve"> hazardous conditions</w:t>
      </w:r>
      <w:r w:rsidR="00DF34AC" w:rsidRPr="001712E4">
        <w:rPr>
          <w:lang w:val="en-GB"/>
        </w:rPr>
        <w:t>, and risks</w:t>
      </w:r>
      <w:r w:rsidR="00F9310B" w:rsidRPr="001712E4">
        <w:rPr>
          <w:lang w:val="en-GB"/>
        </w:rPr>
        <w:t xml:space="preserve"> arising from </w:t>
      </w:r>
      <w:bookmarkStart w:id="4" w:name="_Hlk34862273"/>
      <w:r w:rsidR="00DF34AC" w:rsidRPr="001712E4">
        <w:rPr>
          <w:lang w:val="en-GB"/>
        </w:rPr>
        <w:t>traditional and non-traditional operation modes</w:t>
      </w:r>
      <w:bookmarkEnd w:id="4"/>
      <w:r w:rsidR="00CC6FED" w:rsidRPr="001712E4">
        <w:rPr>
          <w:lang w:val="en-GB"/>
        </w:rPr>
        <w:t xml:space="preserve"> (e.g., </w:t>
      </w:r>
      <w:r w:rsidR="008019D1" w:rsidRPr="001712E4">
        <w:rPr>
          <w:lang w:val="en-GB"/>
        </w:rPr>
        <w:t xml:space="preserve">production </w:t>
      </w:r>
      <w:r w:rsidR="00302450">
        <w:rPr>
          <w:lang w:val="en-GB"/>
        </w:rPr>
        <w:t>activities</w:t>
      </w:r>
      <w:r w:rsidR="008019D1" w:rsidRPr="001712E4">
        <w:rPr>
          <w:lang w:val="en-GB"/>
        </w:rPr>
        <w:t>, inspection and maintenance tasks, planned shutdowns, non-routine maintenance tasks, temporary activities, emergency operations</w:t>
      </w:r>
      <w:r w:rsidR="00CC6FED" w:rsidRPr="001712E4">
        <w:rPr>
          <w:lang w:val="en-GB"/>
        </w:rPr>
        <w:t>)</w:t>
      </w:r>
      <w:r w:rsidR="008019D1" w:rsidRPr="001712E4">
        <w:rPr>
          <w:lang w:val="en-GB"/>
        </w:rPr>
        <w:t>.</w:t>
      </w:r>
      <w:r w:rsidR="00E643D1" w:rsidRPr="001712E4">
        <w:rPr>
          <w:lang w:val="en-GB"/>
        </w:rPr>
        <w:t xml:space="preserve"> </w:t>
      </w:r>
      <w:r w:rsidR="00404E13" w:rsidRPr="001712E4">
        <w:rPr>
          <w:lang w:val="en-GB"/>
        </w:rPr>
        <w:t xml:space="preserve">The framework is intended to be used by a wide range of organisations </w:t>
      </w:r>
      <w:r w:rsidR="00CC6FED" w:rsidRPr="001712E4">
        <w:rPr>
          <w:lang w:val="en-GB"/>
        </w:rPr>
        <w:t>and</w:t>
      </w:r>
      <w:r w:rsidR="00404E13" w:rsidRPr="001712E4">
        <w:rPr>
          <w:lang w:val="en-GB"/>
        </w:rPr>
        <w:t xml:space="preserve"> industries</w:t>
      </w:r>
      <w:r w:rsidR="001E3C13">
        <w:rPr>
          <w:lang w:val="en-GB"/>
        </w:rPr>
        <w:t xml:space="preserve">, and </w:t>
      </w:r>
      <w:r w:rsidR="00404E13" w:rsidRPr="001712E4">
        <w:rPr>
          <w:lang w:val="en-GB"/>
        </w:rPr>
        <w:t>should permit includ</w:t>
      </w:r>
      <w:r w:rsidR="00CC6FED" w:rsidRPr="001712E4">
        <w:rPr>
          <w:lang w:val="en-GB"/>
        </w:rPr>
        <w:t>ing</w:t>
      </w:r>
      <w:r w:rsidR="00404E13" w:rsidRPr="001712E4">
        <w:rPr>
          <w:lang w:val="en-GB"/>
        </w:rPr>
        <w:t xml:space="preserve"> new information and evidence when available to dynamically assess both occupational safety and process safety.</w:t>
      </w:r>
      <w:r w:rsidR="001E3C13">
        <w:rPr>
          <w:lang w:val="en-GB"/>
        </w:rPr>
        <w:t xml:space="preserve"> It comprises both qualitative and quantitative risk assessments.</w:t>
      </w:r>
    </w:p>
    <w:p w14:paraId="4F03E55A" w14:textId="0B1AD22A" w:rsidR="00302450" w:rsidRDefault="002113F5" w:rsidP="00EA79AF">
      <w:pPr>
        <w:pStyle w:val="CETBodytext"/>
        <w:rPr>
          <w:lang w:val="en-GB"/>
        </w:rPr>
      </w:pPr>
      <w:r w:rsidRPr="001712E4">
        <w:rPr>
          <w:lang w:val="en-GB"/>
        </w:rPr>
        <w:t xml:space="preserve">A preliminary enhanced framework is </w:t>
      </w:r>
      <w:r w:rsidR="009A72DF">
        <w:rPr>
          <w:lang w:val="en-GB"/>
        </w:rPr>
        <w:t>depicted</w:t>
      </w:r>
      <w:r w:rsidR="009A72DF" w:rsidRPr="001712E4">
        <w:rPr>
          <w:lang w:val="en-GB"/>
        </w:rPr>
        <w:t xml:space="preserve"> </w:t>
      </w:r>
      <w:r w:rsidRPr="001712E4">
        <w:rPr>
          <w:lang w:val="en-GB"/>
        </w:rPr>
        <w:t xml:space="preserve">in Figure 2. This framework is based on </w:t>
      </w:r>
      <w:r w:rsidR="00320C52" w:rsidRPr="001712E4">
        <w:rPr>
          <w:lang w:val="en-GB"/>
        </w:rPr>
        <w:t>the definitions of risk, hazard, exposure</w:t>
      </w:r>
      <w:r w:rsidR="006711A2" w:rsidRPr="001712E4">
        <w:rPr>
          <w:lang w:val="en-GB"/>
        </w:rPr>
        <w:t>, consequence</w:t>
      </w:r>
      <w:r w:rsidR="00320C52" w:rsidRPr="001712E4">
        <w:rPr>
          <w:lang w:val="en-GB"/>
        </w:rPr>
        <w:t xml:space="preserve"> (</w:t>
      </w:r>
      <w:r w:rsidR="00AD1008">
        <w:rPr>
          <w:lang w:val="en-GB"/>
        </w:rPr>
        <w:t>ISO</w:t>
      </w:r>
      <w:r w:rsidR="00320C52" w:rsidRPr="001712E4">
        <w:rPr>
          <w:lang w:val="en-GB"/>
        </w:rPr>
        <w:t>, 2009), risk elements, hazardous event and situation (</w:t>
      </w:r>
      <w:r w:rsidR="00AD1008">
        <w:rPr>
          <w:lang w:val="en-GB"/>
        </w:rPr>
        <w:t>ISO</w:t>
      </w:r>
      <w:r w:rsidR="00320C52" w:rsidRPr="001712E4">
        <w:rPr>
          <w:lang w:val="en-GB"/>
        </w:rPr>
        <w:t xml:space="preserve">, 2010), and </w:t>
      </w:r>
      <w:r w:rsidRPr="001712E4">
        <w:rPr>
          <w:lang w:val="en-GB"/>
        </w:rPr>
        <w:t xml:space="preserve">the </w:t>
      </w:r>
      <w:r w:rsidR="00E87B4D" w:rsidRPr="001712E4">
        <w:rPr>
          <w:lang w:val="en-GB"/>
        </w:rPr>
        <w:t>widespread</w:t>
      </w:r>
      <w:r w:rsidRPr="001712E4">
        <w:rPr>
          <w:lang w:val="en-GB"/>
        </w:rPr>
        <w:t xml:space="preserve"> process of risk management </w:t>
      </w:r>
      <w:r w:rsidR="00E87B4D" w:rsidRPr="001712E4">
        <w:rPr>
          <w:lang w:val="en-GB"/>
        </w:rPr>
        <w:t xml:space="preserve">by </w:t>
      </w:r>
      <w:r w:rsidR="00AD1008">
        <w:rPr>
          <w:lang w:val="en-GB"/>
        </w:rPr>
        <w:t>ISO</w:t>
      </w:r>
      <w:r w:rsidR="00E87B4D" w:rsidRPr="001712E4">
        <w:rPr>
          <w:lang w:val="en-GB"/>
        </w:rPr>
        <w:t xml:space="preserve"> (</w:t>
      </w:r>
      <w:r w:rsidR="00C0375C" w:rsidRPr="001712E4">
        <w:rPr>
          <w:lang w:val="en-GB"/>
        </w:rPr>
        <w:t>2018a</w:t>
      </w:r>
      <w:r w:rsidRPr="001712E4">
        <w:rPr>
          <w:lang w:val="en-GB"/>
        </w:rPr>
        <w:t>)</w:t>
      </w:r>
      <w:r w:rsidR="00320C52" w:rsidRPr="001712E4">
        <w:rPr>
          <w:lang w:val="en-GB"/>
        </w:rPr>
        <w:t xml:space="preserve">. </w:t>
      </w:r>
      <w:r w:rsidR="00D849ED" w:rsidRPr="001712E4">
        <w:rPr>
          <w:lang w:val="en-GB"/>
        </w:rPr>
        <w:t>The basic element of the risk management process is a specific department of the site under investigation</w:t>
      </w:r>
      <w:r w:rsidR="00EE7A30" w:rsidRPr="001712E4">
        <w:rPr>
          <w:lang w:val="en-GB"/>
        </w:rPr>
        <w:t>.</w:t>
      </w:r>
    </w:p>
    <w:p w14:paraId="17D76DE9" w14:textId="02C10FAB" w:rsidR="00302450" w:rsidRDefault="0044680B" w:rsidP="00EA79AF">
      <w:pPr>
        <w:pStyle w:val="CETBodytext"/>
        <w:rPr>
          <w:lang w:val="en-GB"/>
        </w:rPr>
      </w:pPr>
      <w:r w:rsidRPr="001712E4">
        <w:rPr>
          <w:lang w:val="en-GB"/>
        </w:rPr>
        <w:t xml:space="preserve">The focus is on the three elements constituting any risk assessment: people, process, and plant. </w:t>
      </w:r>
      <w:r w:rsidR="00424C44" w:rsidRPr="001712E4">
        <w:rPr>
          <w:lang w:val="en-GB"/>
        </w:rPr>
        <w:t>A deep analysis of each of t</w:t>
      </w:r>
      <w:r w:rsidRPr="001712E4">
        <w:rPr>
          <w:lang w:val="en-GB"/>
        </w:rPr>
        <w:t xml:space="preserve">hese elements </w:t>
      </w:r>
      <w:r w:rsidRPr="00FB15F5">
        <w:rPr>
          <w:lang w:val="en-GB"/>
        </w:rPr>
        <w:t>help</w:t>
      </w:r>
      <w:r w:rsidR="00AB6D33" w:rsidRPr="00FB15F5">
        <w:rPr>
          <w:lang w:val="en-GB"/>
        </w:rPr>
        <w:t>s</w:t>
      </w:r>
      <w:r w:rsidRPr="00FB15F5">
        <w:rPr>
          <w:lang w:val="en-GB"/>
        </w:rPr>
        <w:t xml:space="preserve"> </w:t>
      </w:r>
      <w:r w:rsidR="00FB15F5">
        <w:rPr>
          <w:lang w:val="en-GB"/>
        </w:rPr>
        <w:t>to screen</w:t>
      </w:r>
      <w:r w:rsidR="00FB15F5" w:rsidRPr="001712E4">
        <w:rPr>
          <w:lang w:val="en-GB"/>
        </w:rPr>
        <w:t xml:space="preserve"> </w:t>
      </w:r>
      <w:r w:rsidR="00424C44" w:rsidRPr="001712E4">
        <w:rPr>
          <w:lang w:val="en-GB"/>
        </w:rPr>
        <w:t>hazards, hazardous events, exposures, and their combination</w:t>
      </w:r>
      <w:r w:rsidR="005E56D0" w:rsidRPr="001712E4">
        <w:rPr>
          <w:lang w:val="en-GB"/>
        </w:rPr>
        <w:t>s</w:t>
      </w:r>
      <w:r w:rsidR="00424C44" w:rsidRPr="001712E4">
        <w:rPr>
          <w:lang w:val="en-GB"/>
        </w:rPr>
        <w:t xml:space="preserve"> in order to </w:t>
      </w:r>
      <w:r w:rsidR="00E531D1">
        <w:rPr>
          <w:lang w:val="en-GB"/>
        </w:rPr>
        <w:t>recognise</w:t>
      </w:r>
      <w:r w:rsidR="00E531D1" w:rsidRPr="001712E4">
        <w:rPr>
          <w:lang w:val="en-GB"/>
        </w:rPr>
        <w:t xml:space="preserve"> </w:t>
      </w:r>
      <w:r w:rsidR="00424C44" w:rsidRPr="001712E4">
        <w:rPr>
          <w:lang w:val="en-GB"/>
        </w:rPr>
        <w:t>risks and consequences.</w:t>
      </w:r>
      <w:r w:rsidR="00C244DE" w:rsidRPr="001712E4">
        <w:rPr>
          <w:lang w:val="en-GB"/>
        </w:rPr>
        <w:t xml:space="preserve"> Although process safety also regards consequences to population and environment, an enhanced framework should concentrate on employees and facility personnel as asset category, and on all possible consequence categories (e.g., loss of life and health, personal injury, reduction in life expectancy). </w:t>
      </w:r>
      <w:r w:rsidR="00D849ED" w:rsidRPr="001712E4">
        <w:rPr>
          <w:lang w:val="en-GB"/>
        </w:rPr>
        <w:t>With particular regard to hazardous events, t</w:t>
      </w:r>
      <w:r w:rsidR="006D13B8" w:rsidRPr="001712E4">
        <w:rPr>
          <w:lang w:val="en-GB"/>
        </w:rPr>
        <w:t>he</w:t>
      </w:r>
      <w:r w:rsidR="00D849ED" w:rsidRPr="001712E4">
        <w:rPr>
          <w:lang w:val="en-GB"/>
        </w:rPr>
        <w:t>ir</w:t>
      </w:r>
      <w:r w:rsidR="006D13B8" w:rsidRPr="001712E4">
        <w:rPr>
          <w:lang w:val="en-GB"/>
        </w:rPr>
        <w:t xml:space="preserve"> identification should </w:t>
      </w:r>
      <w:r w:rsidR="008124F7">
        <w:rPr>
          <w:lang w:val="en-GB"/>
        </w:rPr>
        <w:t>investigate</w:t>
      </w:r>
      <w:r w:rsidR="008124F7" w:rsidRPr="001712E4">
        <w:rPr>
          <w:lang w:val="en-GB"/>
        </w:rPr>
        <w:t xml:space="preserve"> </w:t>
      </w:r>
      <w:r w:rsidRPr="001712E4">
        <w:rPr>
          <w:lang w:val="en-GB"/>
        </w:rPr>
        <w:t>different types of</w:t>
      </w:r>
      <w:r w:rsidR="006D13B8" w:rsidRPr="001712E4">
        <w:rPr>
          <w:lang w:val="en-GB"/>
        </w:rPr>
        <w:t xml:space="preserve"> undesired and unexpected set of circumstances</w:t>
      </w:r>
      <w:r w:rsidRPr="001712E4">
        <w:rPr>
          <w:lang w:val="en-GB"/>
        </w:rPr>
        <w:t xml:space="preserve"> both inside and outside the department (e.g., </w:t>
      </w:r>
      <w:r w:rsidR="006D13B8" w:rsidRPr="001712E4">
        <w:rPr>
          <w:lang w:val="en-GB"/>
        </w:rPr>
        <w:t>loss of containment, loss of control, human errors, component failures, anomalies, and malfunctions</w:t>
      </w:r>
      <w:r w:rsidRPr="001712E4">
        <w:rPr>
          <w:lang w:val="en-GB"/>
        </w:rPr>
        <w:t>)</w:t>
      </w:r>
      <w:r w:rsidR="006D13B8" w:rsidRPr="001712E4">
        <w:rPr>
          <w:lang w:val="en-GB"/>
        </w:rPr>
        <w:t>.</w:t>
      </w:r>
      <w:r w:rsidR="005061FF" w:rsidRPr="001712E4">
        <w:rPr>
          <w:lang w:val="en-GB"/>
        </w:rPr>
        <w:t xml:space="preserve"> </w:t>
      </w:r>
      <w:r w:rsidR="00BB7FA4" w:rsidRPr="001712E4">
        <w:rPr>
          <w:lang w:val="en-GB"/>
        </w:rPr>
        <w:t xml:space="preserve">Potential hazardous event classes can be: (1) external circumstances that could produce adverse impacts on </w:t>
      </w:r>
      <w:r w:rsidR="00BD08C4">
        <w:rPr>
          <w:lang w:val="en-GB"/>
        </w:rPr>
        <w:t xml:space="preserve">the </w:t>
      </w:r>
      <w:r w:rsidR="00BB7FA4" w:rsidRPr="001712E4">
        <w:rPr>
          <w:lang w:val="en-GB"/>
        </w:rPr>
        <w:t xml:space="preserve">department under study, (2) undesired events at the boundary of the department, (3) technical circumstances related to the process and plant (by means of analyses of equipment, system components, substances), (4) unwanted events related to human errors and/or failures, and (5) negative interferences among process, plant, and/or people. </w:t>
      </w:r>
      <w:r w:rsidR="00E643D1" w:rsidRPr="001712E4">
        <w:rPr>
          <w:lang w:val="en-GB"/>
        </w:rPr>
        <w:t>T</w:t>
      </w:r>
      <w:r w:rsidR="005061FF" w:rsidRPr="001712E4">
        <w:rPr>
          <w:lang w:val="en-GB"/>
        </w:rPr>
        <w:t xml:space="preserve">o perform such complete risk identification, the enhanced </w:t>
      </w:r>
      <w:r w:rsidR="005061FF" w:rsidRPr="008B6B09">
        <w:rPr>
          <w:lang w:val="en-GB"/>
        </w:rPr>
        <w:t xml:space="preserve">framework could be based on </w:t>
      </w:r>
      <w:r w:rsidR="00F44F4D">
        <w:rPr>
          <w:lang w:val="en-GB"/>
        </w:rPr>
        <w:t xml:space="preserve">the </w:t>
      </w:r>
      <w:r w:rsidR="005061FF" w:rsidRPr="008B6B09">
        <w:rPr>
          <w:lang w:val="en-GB"/>
        </w:rPr>
        <w:t xml:space="preserve">influence diagram tool. Indeed, the influence diagram could </w:t>
      </w:r>
      <w:r w:rsidR="008B6B09" w:rsidRPr="008B6B09">
        <w:rPr>
          <w:lang w:val="en-GB"/>
        </w:rPr>
        <w:t>clearly</w:t>
      </w:r>
      <w:r w:rsidR="008B6B09" w:rsidRPr="001712E4">
        <w:rPr>
          <w:lang w:val="en-GB"/>
        </w:rPr>
        <w:t xml:space="preserve"> </w:t>
      </w:r>
      <w:r w:rsidR="008B6B09">
        <w:rPr>
          <w:lang w:val="en-GB"/>
        </w:rPr>
        <w:t>outline</w:t>
      </w:r>
      <w:r w:rsidR="005061FF" w:rsidRPr="008B6B09">
        <w:rPr>
          <w:lang w:val="en-GB"/>
        </w:rPr>
        <w:t xml:space="preserve"> </w:t>
      </w:r>
      <w:r w:rsidR="005061FF" w:rsidRPr="001712E4">
        <w:rPr>
          <w:lang w:val="en-GB"/>
        </w:rPr>
        <w:t xml:space="preserve">the several nodes related to causes, intermediate events, and consequences, showing the various interconnections and causal relationships, </w:t>
      </w:r>
      <w:r w:rsidR="008F2649" w:rsidRPr="001712E4">
        <w:rPr>
          <w:lang w:val="en-GB"/>
        </w:rPr>
        <w:t>and capturing different possible concatenation</w:t>
      </w:r>
      <w:r w:rsidR="00BD08C4">
        <w:rPr>
          <w:lang w:val="en-GB"/>
        </w:rPr>
        <w:t>s</w:t>
      </w:r>
      <w:r w:rsidR="008F2649" w:rsidRPr="001712E4">
        <w:rPr>
          <w:lang w:val="en-GB"/>
        </w:rPr>
        <w:t xml:space="preserve"> and </w:t>
      </w:r>
      <w:r w:rsidR="00BD08C4" w:rsidRPr="00BD08C4">
        <w:rPr>
          <w:lang w:val="en-GB"/>
        </w:rPr>
        <w:t>dependencies</w:t>
      </w:r>
      <w:r w:rsidR="00BD08C4" w:rsidRPr="00BD08C4" w:rsidDel="00BD08C4">
        <w:rPr>
          <w:lang w:val="en-GB"/>
        </w:rPr>
        <w:t xml:space="preserve"> </w:t>
      </w:r>
      <w:r w:rsidR="008F2649" w:rsidRPr="001712E4">
        <w:rPr>
          <w:lang w:val="en-GB"/>
        </w:rPr>
        <w:t>of events involved in the contemporary consideration of occupational and process safety.</w:t>
      </w:r>
    </w:p>
    <w:p w14:paraId="7D61F913" w14:textId="56428FDF" w:rsidR="00712FD3" w:rsidRDefault="00603837" w:rsidP="00EA79AF">
      <w:pPr>
        <w:pStyle w:val="CETBodytext"/>
        <w:rPr>
          <w:lang w:val="en-GB"/>
        </w:rPr>
      </w:pPr>
      <w:r w:rsidRPr="001712E4">
        <w:rPr>
          <w:lang w:val="en-GB"/>
        </w:rPr>
        <w:t xml:space="preserve">In </w:t>
      </w:r>
      <w:r w:rsidR="00A74AB2" w:rsidRPr="001712E4">
        <w:rPr>
          <w:lang w:val="en-GB"/>
        </w:rPr>
        <w:t xml:space="preserve">the </w:t>
      </w:r>
      <w:r w:rsidRPr="001712E4">
        <w:rPr>
          <w:lang w:val="en-GB"/>
        </w:rPr>
        <w:t xml:space="preserve">risk analysis </w:t>
      </w:r>
      <w:r w:rsidR="00EF2F4F">
        <w:rPr>
          <w:lang w:val="en-GB"/>
        </w:rPr>
        <w:t xml:space="preserve">and evaluation </w:t>
      </w:r>
      <w:r w:rsidRPr="001712E4">
        <w:rPr>
          <w:lang w:val="en-GB"/>
        </w:rPr>
        <w:t>step</w:t>
      </w:r>
      <w:r w:rsidR="00EF2F4F">
        <w:rPr>
          <w:lang w:val="en-GB"/>
        </w:rPr>
        <w:t>s</w:t>
      </w:r>
      <w:r w:rsidRPr="001712E4">
        <w:rPr>
          <w:lang w:val="en-GB"/>
        </w:rPr>
        <w:t xml:space="preserve">, </w:t>
      </w:r>
      <w:r w:rsidR="00A74AB2" w:rsidRPr="001712E4">
        <w:rPr>
          <w:lang w:val="en-GB"/>
        </w:rPr>
        <w:t>a valuable technique could be a tailored Failure Modes and Effects and Criticality Analysis (FMECA)</w:t>
      </w:r>
      <w:r w:rsidR="00193A93" w:rsidRPr="001712E4">
        <w:rPr>
          <w:lang w:val="en-GB"/>
        </w:rPr>
        <w:t>. This allows providing a risk ranking and thus facilitating the assignment of priorities in terms of preventive and/or protective measures in the risk treatment phase.</w:t>
      </w:r>
      <w:r w:rsidR="004625EA" w:rsidRPr="001712E4">
        <w:rPr>
          <w:lang w:val="en-GB"/>
        </w:rPr>
        <w:t xml:space="preserve"> </w:t>
      </w:r>
      <w:r w:rsidR="00F431C9" w:rsidRPr="001712E4">
        <w:rPr>
          <w:lang w:val="en-GB"/>
        </w:rPr>
        <w:t>As an alternative to</w:t>
      </w:r>
      <w:r w:rsidR="004625EA" w:rsidRPr="001712E4">
        <w:rPr>
          <w:lang w:val="en-GB"/>
        </w:rPr>
        <w:t xml:space="preserve"> </w:t>
      </w:r>
      <w:r w:rsidR="00DE2644">
        <w:rPr>
          <w:lang w:val="en-GB"/>
        </w:rPr>
        <w:t>a</w:t>
      </w:r>
      <w:r w:rsidR="00DE2644" w:rsidRPr="001712E4">
        <w:rPr>
          <w:lang w:val="en-GB"/>
        </w:rPr>
        <w:t xml:space="preserve"> </w:t>
      </w:r>
      <w:r w:rsidR="004625EA" w:rsidRPr="00DE2644">
        <w:rPr>
          <w:lang w:val="en-GB"/>
        </w:rPr>
        <w:t>global risk ranking,</w:t>
      </w:r>
      <w:r w:rsidR="00DE2644" w:rsidRPr="00DE2644">
        <w:rPr>
          <w:lang w:val="en-GB"/>
        </w:rPr>
        <w:t xml:space="preserve"> two separate rankings (one for the severity and one for the likelihood)</w:t>
      </w:r>
      <w:r w:rsidR="004625EA" w:rsidRPr="00DE2644">
        <w:rPr>
          <w:lang w:val="en-GB"/>
        </w:rPr>
        <w:t xml:space="preserve"> appear more</w:t>
      </w:r>
      <w:r w:rsidR="004625EA" w:rsidRPr="001712E4">
        <w:rPr>
          <w:lang w:val="en-GB"/>
        </w:rPr>
        <w:t xml:space="preserve"> informative for visualising the most severe and/or the most frequent consequences and for keeping </w:t>
      </w:r>
      <w:r w:rsidR="00DE2644" w:rsidRPr="001712E4">
        <w:rPr>
          <w:lang w:val="en-GB"/>
        </w:rPr>
        <w:t>distinct</w:t>
      </w:r>
      <w:r w:rsidR="004625EA" w:rsidRPr="001712E4">
        <w:rPr>
          <w:lang w:val="en-GB"/>
        </w:rPr>
        <w:t xml:space="preserve"> </w:t>
      </w:r>
      <w:r w:rsidR="004625EA" w:rsidRPr="001712E4">
        <w:rPr>
          <w:lang w:val="en-GB"/>
        </w:rPr>
        <w:lastRenderedPageBreak/>
        <w:t>these two scales</w:t>
      </w:r>
      <w:r w:rsidR="00F431C9" w:rsidRPr="001712E4">
        <w:rPr>
          <w:lang w:val="en-GB"/>
        </w:rPr>
        <w:t xml:space="preserve"> (that could</w:t>
      </w:r>
      <w:r w:rsidR="004625EA" w:rsidRPr="001712E4">
        <w:rPr>
          <w:lang w:val="en-GB"/>
        </w:rPr>
        <w:t xml:space="preserve"> be completely different in terms of </w:t>
      </w:r>
      <w:r w:rsidR="00F431C9" w:rsidRPr="001712E4">
        <w:rPr>
          <w:lang w:val="en-GB"/>
        </w:rPr>
        <w:t>occupational safety and process safety).</w:t>
      </w:r>
      <w:r w:rsidR="00AD5322">
        <w:rPr>
          <w:lang w:val="en-GB"/>
        </w:rPr>
        <w:t xml:space="preserve"> Particular attention should be dedicated to the probability estimation: the likelihood of occurrence of a harm depends on </w:t>
      </w:r>
      <w:r w:rsidR="00663261">
        <w:rPr>
          <w:lang w:val="en-GB"/>
        </w:rPr>
        <w:t>the probability of each causal factor and event. Therefore, exposure frequency and duration</w:t>
      </w:r>
      <w:r w:rsidR="00CF5EC8">
        <w:rPr>
          <w:lang w:val="en-GB"/>
        </w:rPr>
        <w:t>,</w:t>
      </w:r>
      <w:r w:rsidR="00663261">
        <w:rPr>
          <w:lang w:val="en-GB"/>
        </w:rPr>
        <w:t xml:space="preserve"> and conditional probabilities should be taken into account. Note that the exposure duration is based on </w:t>
      </w:r>
      <w:r w:rsidR="00663261" w:rsidRPr="00663261">
        <w:rPr>
          <w:lang w:val="en-GB"/>
        </w:rPr>
        <w:t xml:space="preserve">the expected duration of the </w:t>
      </w:r>
      <w:r w:rsidR="00DC5885">
        <w:rPr>
          <w:lang w:val="en-GB"/>
        </w:rPr>
        <w:t>activities</w:t>
      </w:r>
      <w:r w:rsidR="00663261">
        <w:rPr>
          <w:lang w:val="en-GB"/>
        </w:rPr>
        <w:t xml:space="preserve"> performed by the worker and</w:t>
      </w:r>
      <w:r w:rsidR="00663261" w:rsidRPr="00663261">
        <w:rPr>
          <w:lang w:val="en-GB"/>
        </w:rPr>
        <w:t xml:space="preserve"> the consequence</w:t>
      </w:r>
      <w:r w:rsidR="00663261">
        <w:rPr>
          <w:lang w:val="en-GB"/>
        </w:rPr>
        <w:t xml:space="preserve"> persistence.</w:t>
      </w:r>
    </w:p>
    <w:p w14:paraId="36E35ACF" w14:textId="4B1F947C" w:rsidR="00D95F46" w:rsidRDefault="00D95F46" w:rsidP="00EA79AF">
      <w:pPr>
        <w:pStyle w:val="CETBodytext"/>
        <w:rPr>
          <w:lang w:val="en-GB"/>
        </w:rPr>
      </w:pPr>
    </w:p>
    <w:p w14:paraId="1590385C" w14:textId="2EFC72F3" w:rsidR="00D95F46" w:rsidRDefault="005555A0" w:rsidP="00EA79AF">
      <w:pPr>
        <w:pStyle w:val="CETBodytext"/>
        <w:rPr>
          <w:lang w:val="en-GB"/>
        </w:rPr>
      </w:pPr>
      <w:r w:rsidRPr="005555A0">
        <w:rPr>
          <w:noProof/>
          <w:lang w:val="it-IT" w:eastAsia="it-IT"/>
        </w:rPr>
        <w:drawing>
          <wp:inline distT="0" distB="0" distL="0" distR="0" wp14:anchorId="30F8F25A" wp14:editId="1F768DBC">
            <wp:extent cx="5579745" cy="312674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3126740"/>
                    </a:xfrm>
                    <a:prstGeom prst="rect">
                      <a:avLst/>
                    </a:prstGeom>
                    <a:noFill/>
                    <a:ln>
                      <a:noFill/>
                    </a:ln>
                  </pic:spPr>
                </pic:pic>
              </a:graphicData>
            </a:graphic>
          </wp:inline>
        </w:drawing>
      </w:r>
    </w:p>
    <w:p w14:paraId="6EAB5CF1" w14:textId="256300B6" w:rsidR="00D408AD" w:rsidRPr="004D3722" w:rsidRDefault="00A511EC" w:rsidP="00EF2F4F">
      <w:pPr>
        <w:pStyle w:val="CETCaption"/>
      </w:pPr>
      <w:r w:rsidRPr="00B57B36">
        <w:t xml:space="preserve">Figure </w:t>
      </w:r>
      <w:r>
        <w:t>2</w:t>
      </w:r>
      <w:r w:rsidRPr="00B57B36">
        <w:t xml:space="preserve">: </w:t>
      </w:r>
      <w:r>
        <w:t>Enhanced framework for integrating occupational and process safety</w:t>
      </w:r>
    </w:p>
    <w:p w14:paraId="04EAB26C" w14:textId="09FBA3E9" w:rsidR="00EA79AF" w:rsidRPr="00692A15" w:rsidRDefault="00EA79AF" w:rsidP="00EA79AF">
      <w:pPr>
        <w:pStyle w:val="CETHeading1"/>
        <w:tabs>
          <w:tab w:val="clear" w:pos="360"/>
          <w:tab w:val="right" w:pos="7100"/>
        </w:tabs>
        <w:jc w:val="both"/>
        <w:rPr>
          <w:lang w:val="en-GB"/>
        </w:rPr>
      </w:pPr>
      <w:r w:rsidRPr="00692A15">
        <w:rPr>
          <w:lang w:val="en-GB"/>
        </w:rPr>
        <w:t>Conclusions</w:t>
      </w:r>
    </w:p>
    <w:p w14:paraId="6E44F51C" w14:textId="4ACA4682" w:rsidR="00A84964" w:rsidRPr="00692A15" w:rsidRDefault="005F2AEF" w:rsidP="00EA79AF">
      <w:pPr>
        <w:pStyle w:val="CETBodytext"/>
        <w:rPr>
          <w:lang w:val="en-GB"/>
        </w:rPr>
      </w:pPr>
      <w:r w:rsidRPr="00692A15">
        <w:rPr>
          <w:lang w:val="en-GB"/>
        </w:rPr>
        <w:t xml:space="preserve">A systematic literature review about the existing approaches integrating occupational safety and health and process safety is proposed. In the analysed databases of scientific publications, 14 </w:t>
      </w:r>
      <w:r w:rsidR="00522CBA" w:rsidRPr="00692A15">
        <w:rPr>
          <w:lang w:val="en-GB"/>
        </w:rPr>
        <w:t>studies</w:t>
      </w:r>
      <w:r w:rsidRPr="00692A15">
        <w:rPr>
          <w:lang w:val="en-GB"/>
        </w:rPr>
        <w:t xml:space="preserve"> are selected</w:t>
      </w:r>
      <w:r w:rsidR="00522CBA" w:rsidRPr="00692A15">
        <w:rPr>
          <w:lang w:val="en-GB"/>
        </w:rPr>
        <w:t xml:space="preserve">, each of them </w:t>
      </w:r>
      <w:r w:rsidR="0025207A" w:rsidRPr="00692A15">
        <w:rPr>
          <w:lang w:val="en-GB"/>
        </w:rPr>
        <w:t>provides a completely different approach</w:t>
      </w:r>
      <w:r w:rsidRPr="00692A15">
        <w:rPr>
          <w:lang w:val="en-GB"/>
        </w:rPr>
        <w:t xml:space="preserve">. </w:t>
      </w:r>
      <w:r w:rsidR="00FD2970" w:rsidRPr="00692A15">
        <w:rPr>
          <w:lang w:val="en-GB"/>
        </w:rPr>
        <w:t>The proposal of a new method or tool</w:t>
      </w:r>
      <w:r w:rsidR="00CE48B9" w:rsidRPr="00692A15">
        <w:rPr>
          <w:lang w:val="en-GB"/>
        </w:rPr>
        <w:t xml:space="preserve">, a combination of existing techniques, the description of an integrated management system or risk management, and adjustments of an existing method are the approach types </w:t>
      </w:r>
      <w:r w:rsidR="00E01CFF">
        <w:rPr>
          <w:lang w:val="en-GB"/>
        </w:rPr>
        <w:t>pointed out</w:t>
      </w:r>
      <w:r w:rsidR="00E01CFF" w:rsidRPr="00692A15">
        <w:rPr>
          <w:lang w:val="en-GB"/>
        </w:rPr>
        <w:t xml:space="preserve"> </w:t>
      </w:r>
      <w:r w:rsidR="00CE48B9" w:rsidRPr="00692A15">
        <w:rPr>
          <w:lang w:val="en-GB"/>
        </w:rPr>
        <w:t xml:space="preserve">by the analysis. </w:t>
      </w:r>
      <w:r w:rsidR="00287092" w:rsidRPr="00692A15">
        <w:rPr>
          <w:lang w:val="en-GB"/>
        </w:rPr>
        <w:t xml:space="preserve">In a minority of </w:t>
      </w:r>
      <w:r w:rsidR="00287092" w:rsidRPr="00CB1B66">
        <w:rPr>
          <w:lang w:val="en-GB"/>
        </w:rPr>
        <w:t xml:space="preserve">approaches (6 out of 14), the </w:t>
      </w:r>
      <w:r w:rsidR="00665006" w:rsidRPr="00CB1B66">
        <w:rPr>
          <w:lang w:val="en-GB"/>
        </w:rPr>
        <w:t xml:space="preserve">associated </w:t>
      </w:r>
      <w:r w:rsidR="00287092" w:rsidRPr="00CB1B66">
        <w:rPr>
          <w:lang w:val="en-GB"/>
        </w:rPr>
        <w:t xml:space="preserve">article aim is not to </w:t>
      </w:r>
      <w:r w:rsidR="00CB1B66">
        <w:rPr>
          <w:lang w:val="en-GB"/>
        </w:rPr>
        <w:t>suggest</w:t>
      </w:r>
      <w:r w:rsidR="00CB1B66" w:rsidRPr="00CB1B66">
        <w:rPr>
          <w:lang w:val="en-GB"/>
        </w:rPr>
        <w:t xml:space="preserve"> </w:t>
      </w:r>
      <w:r w:rsidR="00287092" w:rsidRPr="00CB1B66">
        <w:rPr>
          <w:lang w:val="en-GB"/>
        </w:rPr>
        <w:t xml:space="preserve">an integration between the two safety </w:t>
      </w:r>
      <w:r w:rsidR="00287092" w:rsidRPr="00692A15">
        <w:rPr>
          <w:lang w:val="en-GB"/>
        </w:rPr>
        <w:t>domains and/or the overall publication focus is mainly on a prospective.</w:t>
      </w:r>
      <w:r w:rsidR="00887CAC" w:rsidRPr="00692A15">
        <w:rPr>
          <w:lang w:val="en-GB"/>
        </w:rPr>
        <w:t xml:space="preserve"> The main features, strengths, and weaknesses of the entire set of the results allow drawing attention to </w:t>
      </w:r>
      <w:r w:rsidR="00883FA0" w:rsidRPr="00692A15">
        <w:rPr>
          <w:lang w:val="en-GB"/>
        </w:rPr>
        <w:t xml:space="preserve">several challenges to be addressed for developing a future enhanced framework. Such a framework is intended to </w:t>
      </w:r>
      <w:r w:rsidR="006B6C8C">
        <w:rPr>
          <w:lang w:val="en-GB"/>
        </w:rPr>
        <w:t xml:space="preserve">qualitatively and quantitatively </w:t>
      </w:r>
      <w:r w:rsidR="00A84964" w:rsidRPr="00692A15">
        <w:rPr>
          <w:lang w:val="en-GB"/>
        </w:rPr>
        <w:t xml:space="preserve">assess and rank risks </w:t>
      </w:r>
      <w:r w:rsidR="008918B2" w:rsidRPr="00692A15">
        <w:rPr>
          <w:lang w:val="en-GB"/>
        </w:rPr>
        <w:t xml:space="preserve">for employees </w:t>
      </w:r>
      <w:r w:rsidR="00A84964" w:rsidRPr="00692A15">
        <w:rPr>
          <w:lang w:val="en-GB"/>
        </w:rPr>
        <w:t xml:space="preserve">related to both personal and process safety </w:t>
      </w:r>
      <w:r w:rsidR="0064627C" w:rsidRPr="00692A15">
        <w:rPr>
          <w:lang w:val="en-GB"/>
        </w:rPr>
        <w:t xml:space="preserve">during traditional and non-traditional operation modes </w:t>
      </w:r>
      <w:r w:rsidR="00A84964" w:rsidRPr="00692A15">
        <w:rPr>
          <w:lang w:val="en-GB"/>
        </w:rPr>
        <w:t>in any activity sector.</w:t>
      </w:r>
      <w:r w:rsidR="005B01F1" w:rsidRPr="00692A15">
        <w:rPr>
          <w:lang w:val="en-GB"/>
        </w:rPr>
        <w:t xml:space="preserve"> Through a deep investigation of people, processes, and plants</w:t>
      </w:r>
      <w:r w:rsidR="006B6C8C">
        <w:rPr>
          <w:lang w:val="en-GB"/>
        </w:rPr>
        <w:t xml:space="preserve"> present in a company department</w:t>
      </w:r>
      <w:r w:rsidR="005B01F1" w:rsidRPr="00692A15">
        <w:rPr>
          <w:lang w:val="en-GB"/>
        </w:rPr>
        <w:t>, the enhanced approach permit</w:t>
      </w:r>
      <w:r w:rsidR="008918B2" w:rsidRPr="00692A15">
        <w:rPr>
          <w:lang w:val="en-GB"/>
        </w:rPr>
        <w:t>s</w:t>
      </w:r>
      <w:r w:rsidR="005B01F1" w:rsidRPr="00692A15">
        <w:rPr>
          <w:lang w:val="en-GB"/>
        </w:rPr>
        <w:t xml:space="preserve"> screening hazards, hazardous events, exposures, and their combinations in order to </w:t>
      </w:r>
      <w:r w:rsidR="007C3CB4">
        <w:rPr>
          <w:lang w:val="en-GB"/>
        </w:rPr>
        <w:t>recognise</w:t>
      </w:r>
      <w:r w:rsidR="007C3CB4" w:rsidRPr="00692A15">
        <w:rPr>
          <w:lang w:val="en-GB"/>
        </w:rPr>
        <w:t xml:space="preserve"> </w:t>
      </w:r>
      <w:r w:rsidR="005B01F1" w:rsidRPr="00692A15">
        <w:rPr>
          <w:lang w:val="en-GB"/>
        </w:rPr>
        <w:t>risks and consequences.</w:t>
      </w:r>
      <w:r w:rsidR="008918B2" w:rsidRPr="00692A15">
        <w:rPr>
          <w:lang w:val="en-GB"/>
        </w:rPr>
        <w:t xml:space="preserve"> In the risk assessment process, the influence diagram tool and a tailored FMECA represent useful techniques for properly identifying and analysing </w:t>
      </w:r>
      <w:r w:rsidR="00EA1A81">
        <w:rPr>
          <w:lang w:val="en-GB"/>
        </w:rPr>
        <w:t xml:space="preserve">such </w:t>
      </w:r>
      <w:r w:rsidR="008918B2" w:rsidRPr="00692A15">
        <w:rPr>
          <w:lang w:val="en-GB"/>
        </w:rPr>
        <w:t>risks</w:t>
      </w:r>
      <w:r w:rsidR="00EA1A81">
        <w:rPr>
          <w:lang w:val="en-GB"/>
        </w:rPr>
        <w:t xml:space="preserve"> and consequences</w:t>
      </w:r>
      <w:r w:rsidR="008918B2" w:rsidRPr="00692A15">
        <w:rPr>
          <w:lang w:val="en-GB"/>
        </w:rPr>
        <w:t>.</w:t>
      </w:r>
    </w:p>
    <w:p w14:paraId="4478A1CF" w14:textId="3264A09F" w:rsidR="00A84964" w:rsidRDefault="003B5088" w:rsidP="00EA79AF">
      <w:pPr>
        <w:pStyle w:val="CETBodytext"/>
        <w:rPr>
          <w:lang w:val="en-GB"/>
        </w:rPr>
      </w:pPr>
      <w:r w:rsidRPr="00692A15">
        <w:rPr>
          <w:lang w:val="en-GB"/>
        </w:rPr>
        <w:t xml:space="preserve">Future work should explore other literature sources for capturing further relevant studies about approaches that merge the assessments of personal and process safety risks. Finally, more research is needed to </w:t>
      </w:r>
      <w:r w:rsidR="00A32651">
        <w:rPr>
          <w:lang w:val="en-GB"/>
        </w:rPr>
        <w:t>refine</w:t>
      </w:r>
      <w:r w:rsidRPr="00692A15">
        <w:rPr>
          <w:lang w:val="en-GB"/>
        </w:rPr>
        <w:t xml:space="preserve"> the enhanced framework and to apply it in real companies</w:t>
      </w:r>
      <w:r w:rsidR="00692A15" w:rsidRPr="00692A15">
        <w:rPr>
          <w:lang w:val="en-GB"/>
        </w:rPr>
        <w:t>, also belonging to various industries</w:t>
      </w:r>
      <w:r w:rsidRPr="00692A15">
        <w:rPr>
          <w:lang w:val="en-GB"/>
        </w:rPr>
        <w:t>.</w:t>
      </w:r>
    </w:p>
    <w:p w14:paraId="4F1327F8" w14:textId="77777777" w:rsidR="00600535" w:rsidRPr="00B57B36" w:rsidRDefault="00600535" w:rsidP="00600535">
      <w:pPr>
        <w:pStyle w:val="CETReference"/>
      </w:pPr>
      <w:r w:rsidRPr="00B57B36">
        <w:t>References</w:t>
      </w:r>
    </w:p>
    <w:p w14:paraId="1090D650" w14:textId="77777777" w:rsidR="00F64699" w:rsidRPr="00A549B6" w:rsidRDefault="00F64699" w:rsidP="000E32B9">
      <w:pPr>
        <w:pStyle w:val="CETReferencetext"/>
      </w:pPr>
      <w:bookmarkStart w:id="5" w:name="_Hlk34637675"/>
      <w:bookmarkStart w:id="6" w:name="_GoBack"/>
      <w:r w:rsidRPr="00A549B6">
        <w:t>Aldrich M., Ramsden M., Steer R., Hamilton I, 2015, Golden rules to improve process safety behaviour, SPE Annual Caspian Technical Conference &amp; Exhibition, November 4-6, Baku, Azerbaijan.</w:t>
      </w:r>
    </w:p>
    <w:p w14:paraId="1F7A79EE" w14:textId="77777777" w:rsidR="00F64699" w:rsidRPr="00A549B6" w:rsidRDefault="00F64699" w:rsidP="000E32B9">
      <w:pPr>
        <w:pStyle w:val="CETReferencetext"/>
        <w:rPr>
          <w:rFonts w:cs="Arial"/>
          <w:noProof/>
          <w:szCs w:val="24"/>
        </w:rPr>
      </w:pPr>
      <w:r w:rsidRPr="00A549B6">
        <w:rPr>
          <w:rFonts w:cs="Arial"/>
          <w:noProof/>
          <w:szCs w:val="24"/>
        </w:rPr>
        <w:t>Ale B., van Gulijk C., Hanea A., Hanea D., Hudson P., Lin P.-H., Sillem S., 2014, Towards BBN based risk modelling of process plants, Safety Science, 69, 48-56.</w:t>
      </w:r>
    </w:p>
    <w:p w14:paraId="38A46226" w14:textId="77777777" w:rsidR="00F64699" w:rsidRPr="00A549B6" w:rsidRDefault="00F64699" w:rsidP="000E32B9">
      <w:pPr>
        <w:pStyle w:val="CETReferencetext"/>
        <w:rPr>
          <w:rStyle w:val="Collegamentoipertestuale"/>
          <w:rFonts w:cs="Arial"/>
          <w:noProof/>
          <w:color w:val="auto"/>
          <w:szCs w:val="24"/>
        </w:rPr>
      </w:pPr>
      <w:r w:rsidRPr="00A549B6">
        <w:rPr>
          <w:rFonts w:cs="Arial"/>
          <w:noProof/>
          <w:szCs w:val="24"/>
        </w:rPr>
        <w:lastRenderedPageBreak/>
        <w:t>Amir-Heidari P., Maknoon R., Taheri B., Bazyari M., 2016, Identification of strategies to reduce accidents and losses in drilling industry by comprehensive HSE risk assessment-A case study in Iranian drilling industry, Journal of Loss Prevention in the Process Industries, 44, 405-413.</w:t>
      </w:r>
    </w:p>
    <w:p w14:paraId="1556189C" w14:textId="77777777" w:rsidR="00F64699" w:rsidRPr="00E07BC7" w:rsidRDefault="00F64699" w:rsidP="000E32B9">
      <w:pPr>
        <w:pStyle w:val="CETReferencetext"/>
        <w:rPr>
          <w:rFonts w:cs="Arial"/>
          <w:noProof/>
          <w:szCs w:val="24"/>
        </w:rPr>
      </w:pPr>
      <w:r w:rsidRPr="00A549B6">
        <w:rPr>
          <w:rFonts w:cs="Arial"/>
          <w:noProof/>
          <w:szCs w:val="24"/>
          <w:lang w:val="en-US"/>
        </w:rPr>
        <w:t>Baker J.A. III, Bowman F.L.S., Erwin G., Gorton S., Hendershot D., Leveson N., Priest S., Rosenthal I.I., Tebo P.V., Wiegmann D.A., Wilson L.D., 2007, The report of the BP U.S. refineries independent safety review panel &lt;www.ureaknowhow.com/ukh2/library/399-2007-baker-the-rport-of-the-bp-us-refineries-independent-safety-review-panel.html&gt; accessed 12.03.2020.</w:t>
      </w:r>
    </w:p>
    <w:p w14:paraId="22FAD31E" w14:textId="77777777" w:rsidR="00F64699" w:rsidRPr="00A549B6" w:rsidRDefault="00F64699" w:rsidP="000E32B9">
      <w:pPr>
        <w:pStyle w:val="CETReferencetext"/>
        <w:rPr>
          <w:rStyle w:val="Collegamentoipertestuale"/>
          <w:rFonts w:cs="Arial"/>
          <w:noProof/>
          <w:color w:val="auto"/>
          <w:szCs w:val="24"/>
        </w:rPr>
      </w:pPr>
      <w:r w:rsidRPr="00A549B6">
        <w:rPr>
          <w:rFonts w:cs="Arial"/>
          <w:noProof/>
          <w:szCs w:val="24"/>
          <w:lang w:val="en-US"/>
        </w:rPr>
        <w:t xml:space="preserve">Casson Moreno V., Giacomini E., Cozzani V., 2016, </w:t>
      </w:r>
      <w:r w:rsidRPr="00A549B6">
        <w:rPr>
          <w:rFonts w:cs="Arial"/>
          <w:noProof/>
          <w:szCs w:val="24"/>
        </w:rPr>
        <w:t>Identification of Major Accident Hazards in industrial biological processes, Chemical Engineering Transactions, 48, 679-684.</w:t>
      </w:r>
    </w:p>
    <w:p w14:paraId="0B81F374" w14:textId="77777777" w:rsidR="00F64699" w:rsidRPr="00A549B6" w:rsidRDefault="00F64699" w:rsidP="000E32B9">
      <w:pPr>
        <w:pStyle w:val="CETReferencetext"/>
      </w:pPr>
      <w:r w:rsidRPr="00A549B6">
        <w:t>Collins R.L., 2010, Integrating Job Safety Analysis into Process Hazard Analysis, Process Safety Progress, 29(3), 242-246.</w:t>
      </w:r>
    </w:p>
    <w:p w14:paraId="13655C8B" w14:textId="77777777" w:rsidR="00F64699" w:rsidRPr="00A549B6" w:rsidRDefault="00F64699" w:rsidP="000E32B9">
      <w:pPr>
        <w:pStyle w:val="CETReferencetext"/>
      </w:pPr>
      <w:r w:rsidRPr="00A549B6">
        <w:t>European Union, 2012, Directive 2012/18/EU of the European Parliament and of the Council of 4 July 2012 on the control of major-accident hazards involving dangerous substances, amending and subsequently repealing Council Directive 96/82/EC, Official Journal of the European Union, Brussels, Belgium.</w:t>
      </w:r>
    </w:p>
    <w:p w14:paraId="329C0B33" w14:textId="77777777" w:rsidR="00F64699" w:rsidRPr="00A549B6" w:rsidRDefault="00F64699" w:rsidP="000E32B9">
      <w:pPr>
        <w:pStyle w:val="CETReferencetext"/>
      </w:pPr>
      <w:r w:rsidRPr="00A549B6">
        <w:rPr>
          <w:lang w:val="en-US"/>
        </w:rPr>
        <w:t xml:space="preserve">Gnoni M.G., Bragatto P.A., 2013, </w:t>
      </w:r>
      <w:r w:rsidRPr="00A549B6">
        <w:t>Integrating major accidents hazard into occupational risk assessment: An index approach, Journal of Loss Prevention in the Process Industries, 26, 751-758.</w:t>
      </w:r>
    </w:p>
    <w:p w14:paraId="2766810A" w14:textId="77777777" w:rsidR="00F64699" w:rsidRPr="00A549B6" w:rsidRDefault="00F64699" w:rsidP="000E32B9">
      <w:pPr>
        <w:pStyle w:val="CETReferencetext"/>
        <w:rPr>
          <w:rFonts w:cs="Arial"/>
          <w:noProof/>
          <w:szCs w:val="24"/>
          <w:lang w:val="en-US"/>
        </w:rPr>
      </w:pPr>
      <w:r w:rsidRPr="00A549B6">
        <w:rPr>
          <w:rFonts w:cs="Arial"/>
          <w:noProof/>
          <w:szCs w:val="24"/>
          <w:lang w:val="en-US"/>
        </w:rPr>
        <w:t>Hopkins A., 2009, Thinking about process safety indicators, Safety Science, 47, 460-465.</w:t>
      </w:r>
    </w:p>
    <w:p w14:paraId="22712A7C" w14:textId="77777777" w:rsidR="00F64699" w:rsidRPr="00A549B6" w:rsidRDefault="00F64699" w:rsidP="000E32B9">
      <w:pPr>
        <w:pStyle w:val="CETReferencetext"/>
        <w:rPr>
          <w:rFonts w:cs="Arial"/>
          <w:noProof/>
          <w:szCs w:val="24"/>
        </w:rPr>
      </w:pPr>
      <w:r w:rsidRPr="00A549B6">
        <w:rPr>
          <w:rFonts w:cs="Arial"/>
          <w:noProof/>
          <w:szCs w:val="24"/>
        </w:rPr>
        <w:t>ISO (International Organization for Standardization), 2009, ISO/Guide 73:2009 - Risk management - Vocabulary, Geneva, Switzerland.</w:t>
      </w:r>
    </w:p>
    <w:p w14:paraId="6A77A652" w14:textId="7D7D1CB7" w:rsidR="00F64699" w:rsidRPr="00A549B6" w:rsidRDefault="00F64699" w:rsidP="000E32B9">
      <w:pPr>
        <w:pStyle w:val="CETReferencetext"/>
        <w:rPr>
          <w:rFonts w:cs="Arial"/>
          <w:noProof/>
          <w:szCs w:val="24"/>
        </w:rPr>
      </w:pPr>
      <w:r w:rsidRPr="00A549B6">
        <w:rPr>
          <w:rFonts w:cs="Arial"/>
          <w:noProof/>
          <w:szCs w:val="24"/>
        </w:rPr>
        <w:t xml:space="preserve">ISO (International Organization for Standardization), 2010, ISO 12100:2010 </w:t>
      </w:r>
      <w:r w:rsidR="00645338" w:rsidRPr="00A549B6">
        <w:rPr>
          <w:rFonts w:cs="Arial"/>
          <w:noProof/>
          <w:szCs w:val="24"/>
        </w:rPr>
        <w:t>-</w:t>
      </w:r>
      <w:r w:rsidRPr="00A549B6">
        <w:rPr>
          <w:rFonts w:cs="Arial"/>
          <w:noProof/>
          <w:szCs w:val="24"/>
        </w:rPr>
        <w:t xml:space="preserve"> Safety of machinery </w:t>
      </w:r>
      <w:r w:rsidR="00645338" w:rsidRPr="00A549B6">
        <w:rPr>
          <w:rFonts w:cs="Arial"/>
          <w:noProof/>
          <w:szCs w:val="24"/>
        </w:rPr>
        <w:t>-</w:t>
      </w:r>
      <w:r w:rsidRPr="00A549B6">
        <w:rPr>
          <w:rFonts w:cs="Arial"/>
          <w:noProof/>
          <w:szCs w:val="24"/>
        </w:rPr>
        <w:t xml:space="preserve"> General principles for design – Risk assessment and risk reduction, Geneva, Switzerland.</w:t>
      </w:r>
    </w:p>
    <w:p w14:paraId="0B347860" w14:textId="6DCE045D" w:rsidR="00F64699" w:rsidRPr="00A549B6" w:rsidRDefault="00F64699" w:rsidP="000E32B9">
      <w:pPr>
        <w:pStyle w:val="CETReferencetext"/>
        <w:rPr>
          <w:rFonts w:cs="Arial"/>
          <w:noProof/>
          <w:szCs w:val="24"/>
          <w:lang w:val="en-US"/>
        </w:rPr>
      </w:pPr>
      <w:r w:rsidRPr="00A549B6">
        <w:rPr>
          <w:rFonts w:cs="Arial"/>
          <w:noProof/>
          <w:szCs w:val="24"/>
        </w:rPr>
        <w:t>ISO (International Organization for Standardization)</w:t>
      </w:r>
      <w:r w:rsidRPr="00A549B6">
        <w:rPr>
          <w:rFonts w:cs="Arial"/>
          <w:noProof/>
          <w:szCs w:val="24"/>
          <w:lang w:val="en-US"/>
        </w:rPr>
        <w:t xml:space="preserve">, 2018a, ISO 31000:2018 </w:t>
      </w:r>
      <w:r w:rsidR="00645338" w:rsidRPr="00A549B6">
        <w:rPr>
          <w:rFonts w:cs="Arial"/>
          <w:noProof/>
          <w:szCs w:val="24"/>
        </w:rPr>
        <w:t>-</w:t>
      </w:r>
      <w:r w:rsidRPr="00A549B6">
        <w:rPr>
          <w:rFonts w:cs="Arial"/>
          <w:noProof/>
          <w:szCs w:val="24"/>
          <w:lang w:val="en-US"/>
        </w:rPr>
        <w:t xml:space="preserve"> Risk management </w:t>
      </w:r>
      <w:r w:rsidR="00645338" w:rsidRPr="00A549B6">
        <w:rPr>
          <w:rFonts w:cs="Arial"/>
          <w:noProof/>
          <w:szCs w:val="24"/>
        </w:rPr>
        <w:t>-</w:t>
      </w:r>
      <w:r w:rsidRPr="00A549B6">
        <w:rPr>
          <w:rFonts w:cs="Arial"/>
          <w:noProof/>
          <w:szCs w:val="24"/>
          <w:lang w:val="en-US"/>
        </w:rPr>
        <w:t xml:space="preserve"> Guidelines, Geneva, Switzerland.</w:t>
      </w:r>
    </w:p>
    <w:p w14:paraId="76FAB385" w14:textId="74BD85AD" w:rsidR="00F64699" w:rsidRPr="00A549B6" w:rsidRDefault="00F64699" w:rsidP="000E32B9">
      <w:pPr>
        <w:pStyle w:val="CETReferencetext"/>
        <w:rPr>
          <w:rFonts w:cs="Arial"/>
          <w:noProof/>
          <w:szCs w:val="24"/>
          <w:lang w:val="en-US"/>
        </w:rPr>
      </w:pPr>
      <w:r w:rsidRPr="00A549B6">
        <w:rPr>
          <w:rFonts w:cs="Arial"/>
          <w:noProof/>
          <w:szCs w:val="24"/>
        </w:rPr>
        <w:t>ISO (International Organization for Standardization)</w:t>
      </w:r>
      <w:r w:rsidRPr="00A549B6">
        <w:rPr>
          <w:rFonts w:cs="Arial"/>
          <w:noProof/>
          <w:szCs w:val="24"/>
          <w:lang w:val="en-US"/>
        </w:rPr>
        <w:t xml:space="preserve">, 2018b, ISO 45001:2018 </w:t>
      </w:r>
      <w:r w:rsidR="00645338" w:rsidRPr="00A549B6">
        <w:rPr>
          <w:rFonts w:cs="Arial"/>
          <w:noProof/>
          <w:szCs w:val="24"/>
        </w:rPr>
        <w:t>-</w:t>
      </w:r>
      <w:r w:rsidRPr="00A549B6">
        <w:rPr>
          <w:rFonts w:cs="Arial"/>
          <w:noProof/>
          <w:szCs w:val="24"/>
          <w:lang w:val="en-US"/>
        </w:rPr>
        <w:t xml:space="preserve"> Occupational health and safety management systems </w:t>
      </w:r>
      <w:r w:rsidR="00645338" w:rsidRPr="00A549B6">
        <w:rPr>
          <w:rFonts w:cs="Arial"/>
          <w:noProof/>
          <w:szCs w:val="24"/>
        </w:rPr>
        <w:t>-</w:t>
      </w:r>
      <w:r w:rsidRPr="00A549B6">
        <w:rPr>
          <w:rFonts w:cs="Arial"/>
          <w:noProof/>
          <w:szCs w:val="24"/>
          <w:lang w:val="en-US"/>
        </w:rPr>
        <w:t xml:space="preserve"> Requirements with guidance for use, Geneva, Switzerland.</w:t>
      </w:r>
    </w:p>
    <w:p w14:paraId="0AC5DB72" w14:textId="77777777" w:rsidR="00F64699" w:rsidRPr="00A549B6" w:rsidRDefault="00F64699" w:rsidP="000E32B9">
      <w:pPr>
        <w:pStyle w:val="CETReferencetext"/>
        <w:rPr>
          <w:rFonts w:cs="Arial"/>
          <w:noProof/>
          <w:szCs w:val="24"/>
        </w:rPr>
      </w:pPr>
      <w:r w:rsidRPr="00A549B6">
        <w:rPr>
          <w:rFonts w:cs="Arial"/>
          <w:noProof/>
          <w:szCs w:val="24"/>
        </w:rPr>
        <w:t>Jørgensen K., 2016, Prevention of “simple accidents at work” with major consequences, Safety Science, 81, 46-58.</w:t>
      </w:r>
    </w:p>
    <w:p w14:paraId="63806E11" w14:textId="77777777" w:rsidR="00F64699" w:rsidRPr="00B17582" w:rsidRDefault="00F64699" w:rsidP="000E32B9">
      <w:pPr>
        <w:pStyle w:val="CETReferencetext"/>
        <w:rPr>
          <w:rFonts w:cs="Arial"/>
          <w:noProof/>
          <w:szCs w:val="24"/>
        </w:rPr>
      </w:pPr>
      <w:r w:rsidRPr="00A3106F">
        <w:rPr>
          <w:rFonts w:cs="Arial"/>
          <w:noProof/>
          <w:szCs w:val="24"/>
          <w:lang w:val="en-US"/>
        </w:rPr>
        <w:t xml:space="preserve">Khan F., Hashemi S.J., Paltrinieri N., Amyotte P., Cozzani V., Reniers G., 2016, </w:t>
      </w:r>
      <w:r w:rsidRPr="00F64699">
        <w:rPr>
          <w:rFonts w:cs="Arial"/>
          <w:noProof/>
          <w:szCs w:val="24"/>
        </w:rPr>
        <w:t>Dynamic risk management: a contemporary approach to process safety management</w:t>
      </w:r>
      <w:r>
        <w:rPr>
          <w:rFonts w:cs="Arial"/>
          <w:noProof/>
          <w:szCs w:val="24"/>
        </w:rPr>
        <w:t>,</w:t>
      </w:r>
      <w:r w:rsidRPr="00F64699">
        <w:rPr>
          <w:rFonts w:cs="Arial"/>
          <w:noProof/>
          <w:szCs w:val="24"/>
        </w:rPr>
        <w:t xml:space="preserve"> Current Opinion in Chemical Engineering, 14, 9</w:t>
      </w:r>
      <w:r>
        <w:rPr>
          <w:rFonts w:cs="Arial"/>
          <w:noProof/>
          <w:szCs w:val="24"/>
        </w:rPr>
        <w:t>-</w:t>
      </w:r>
      <w:r w:rsidRPr="00F64699">
        <w:rPr>
          <w:rFonts w:cs="Arial"/>
          <w:noProof/>
          <w:szCs w:val="24"/>
        </w:rPr>
        <w:t>17.</w:t>
      </w:r>
    </w:p>
    <w:p w14:paraId="510B7138" w14:textId="77777777" w:rsidR="00F64699" w:rsidRPr="00A549B6" w:rsidRDefault="00F64699" w:rsidP="000E32B9">
      <w:pPr>
        <w:pStyle w:val="CETReferencetext"/>
        <w:rPr>
          <w:rFonts w:cs="Arial"/>
          <w:noProof/>
          <w:szCs w:val="24"/>
        </w:rPr>
      </w:pPr>
      <w:r w:rsidRPr="00A549B6">
        <w:rPr>
          <w:rFonts w:cs="Arial"/>
          <w:noProof/>
          <w:szCs w:val="24"/>
        </w:rPr>
        <w:t>Leclercq S., Morel G., Chauvin C., 2018, Process versus personal accidents within sociotechnical systems: Loss of control of process versus personal energy?, Safety Science, 102, 60-67.</w:t>
      </w:r>
    </w:p>
    <w:p w14:paraId="3F035287" w14:textId="77777777" w:rsidR="00F64699" w:rsidRPr="00A549B6" w:rsidRDefault="00F64699" w:rsidP="000E32B9">
      <w:pPr>
        <w:pStyle w:val="CETReferencetext"/>
      </w:pPr>
      <w:r w:rsidRPr="00A549B6">
        <w:t>Lee J., Bailey E., Jones R., 2011, When management systems collide..., 7th Global Congress on Process Safety, March 13-16, Chicago, Illinois.</w:t>
      </w:r>
    </w:p>
    <w:p w14:paraId="7D81CF12" w14:textId="77777777" w:rsidR="00F64699" w:rsidRPr="00A549B6" w:rsidRDefault="00F64699" w:rsidP="000E32B9">
      <w:pPr>
        <w:pStyle w:val="CETReferencetext"/>
        <w:rPr>
          <w:rFonts w:cs="Arial"/>
          <w:noProof/>
          <w:szCs w:val="24"/>
        </w:rPr>
      </w:pPr>
      <w:r w:rsidRPr="00A549B6">
        <w:rPr>
          <w:rFonts w:cs="Arial"/>
          <w:noProof/>
          <w:szCs w:val="24"/>
        </w:rPr>
        <w:t>Leino A., 2002, Intranet-based safety documentation in management of major hazards and occupational health and safety, International Journal of Occupational Safety and Ergonomics, 8(3), 331-338.</w:t>
      </w:r>
    </w:p>
    <w:p w14:paraId="77F1D10F" w14:textId="77777777" w:rsidR="00F64699" w:rsidRPr="00A549B6" w:rsidRDefault="00F64699" w:rsidP="000E32B9">
      <w:pPr>
        <w:pStyle w:val="CETReferencetext"/>
        <w:rPr>
          <w:rFonts w:cs="Arial"/>
          <w:noProof/>
          <w:szCs w:val="24"/>
        </w:rPr>
      </w:pPr>
      <w:r w:rsidRPr="00A549B6">
        <w:rPr>
          <w:rFonts w:cs="Arial"/>
          <w:noProof/>
          <w:szCs w:val="24"/>
        </w:rPr>
        <w:t>Marhavilas P.K., Filippidis M., Koulinas G.K., Koulouriotis D.E., 2019, The integration of HAZOP study with risk-matrix and the analytical-hierarchy process for identifying critical control-points and prioritizing risks in industry – A case study, Journal of Loss Prevention in the Process Industries, 62, 103981.</w:t>
      </w:r>
    </w:p>
    <w:p w14:paraId="12EE1F78" w14:textId="77777777" w:rsidR="00F64699" w:rsidRPr="00A549B6" w:rsidRDefault="00F64699" w:rsidP="000E32B9">
      <w:pPr>
        <w:pStyle w:val="CETReferencetext"/>
      </w:pPr>
      <w:r w:rsidRPr="00A549B6">
        <w:t>Mataqi I.Y., Srikanth Adivi B.S., 2013, Process safety vs. personal safety: Can’t we get along with one?, ASSE Professional Development Conference and Exposition, Session No. 758.</w:t>
      </w:r>
    </w:p>
    <w:p w14:paraId="5439EB2D" w14:textId="77777777" w:rsidR="00F64699" w:rsidRPr="00A549B6" w:rsidRDefault="00F64699" w:rsidP="000E32B9">
      <w:pPr>
        <w:pStyle w:val="CETReferencetext"/>
        <w:rPr>
          <w:rFonts w:cs="Arial"/>
          <w:noProof/>
          <w:szCs w:val="24"/>
          <w:lang w:val="en-US"/>
        </w:rPr>
      </w:pPr>
      <w:r w:rsidRPr="00A549B6">
        <w:rPr>
          <w:rFonts w:cs="Arial"/>
          <w:noProof/>
          <w:szCs w:val="24"/>
        </w:rPr>
        <w:t xml:space="preserve">Papadakis G.A., Chalkidou A.A., 2008, The exposure-damage approach in the quantification of occupational risk in workplaces involving dangerous substances, </w:t>
      </w:r>
      <w:r w:rsidRPr="00A549B6">
        <w:rPr>
          <w:rFonts w:cs="Arial"/>
          <w:noProof/>
          <w:szCs w:val="24"/>
          <w:lang w:val="en-US"/>
        </w:rPr>
        <w:t>Safety Science, 46, 972-991.</w:t>
      </w:r>
    </w:p>
    <w:p w14:paraId="4CFFFA1C" w14:textId="77777777" w:rsidR="00F64699" w:rsidRPr="00A549B6" w:rsidRDefault="00F64699" w:rsidP="000E32B9">
      <w:pPr>
        <w:pStyle w:val="CETReferencetext"/>
        <w:rPr>
          <w:rFonts w:cs="Arial"/>
          <w:noProof/>
          <w:szCs w:val="24"/>
        </w:rPr>
      </w:pPr>
      <w:r w:rsidRPr="00A549B6">
        <w:rPr>
          <w:rFonts w:cs="Arial"/>
          <w:noProof/>
          <w:szCs w:val="24"/>
        </w:rPr>
        <w:t>Pitblado R., Tahilramani R., 2010, Barrier diagrams the next stage for enhancing offshore operations safety, Proceedings of the Annual Offshore Technology Conference, 1(1), 357-366.</w:t>
      </w:r>
    </w:p>
    <w:p w14:paraId="132AD912" w14:textId="77777777" w:rsidR="00F64699" w:rsidRDefault="00F64699" w:rsidP="000E32B9">
      <w:pPr>
        <w:pStyle w:val="CETReferencetext"/>
        <w:rPr>
          <w:rFonts w:cs="Arial"/>
          <w:noProof/>
          <w:szCs w:val="24"/>
        </w:rPr>
      </w:pPr>
      <w:r w:rsidRPr="00A3106F">
        <w:rPr>
          <w:rFonts w:cs="Arial"/>
          <w:noProof/>
          <w:szCs w:val="24"/>
          <w:lang w:val="en-US"/>
        </w:rPr>
        <w:t xml:space="preserve">Stefana E., Marciano F., Cocca P., Alberti M., 2015, </w:t>
      </w:r>
      <w:r w:rsidRPr="008B14D2">
        <w:rPr>
          <w:rFonts w:cs="Arial"/>
          <w:noProof/>
          <w:szCs w:val="24"/>
        </w:rPr>
        <w:t>Predictive models to assess Oxygen Deficiency Hazard (ODH): A systematic review</w:t>
      </w:r>
      <w:r>
        <w:rPr>
          <w:rFonts w:cs="Arial"/>
          <w:noProof/>
          <w:szCs w:val="24"/>
        </w:rPr>
        <w:t>,</w:t>
      </w:r>
      <w:r w:rsidRPr="008B14D2">
        <w:rPr>
          <w:rFonts w:cs="Arial"/>
          <w:noProof/>
          <w:szCs w:val="24"/>
        </w:rPr>
        <w:t xml:space="preserve"> Safety Science, 75</w:t>
      </w:r>
      <w:r>
        <w:rPr>
          <w:rFonts w:cs="Arial"/>
          <w:noProof/>
          <w:szCs w:val="24"/>
        </w:rPr>
        <w:t>, 1-14.</w:t>
      </w:r>
    </w:p>
    <w:p w14:paraId="6DD6334B" w14:textId="77777777" w:rsidR="00F64699" w:rsidRPr="00A549B6" w:rsidRDefault="00F64699" w:rsidP="000E32B9">
      <w:pPr>
        <w:pStyle w:val="CETReferencetext"/>
        <w:rPr>
          <w:rFonts w:cs="Arial"/>
          <w:noProof/>
          <w:szCs w:val="24"/>
        </w:rPr>
      </w:pPr>
      <w:r w:rsidRPr="00A549B6">
        <w:rPr>
          <w:rFonts w:cs="Arial"/>
          <w:noProof/>
          <w:szCs w:val="24"/>
          <w:lang w:val="en-US"/>
        </w:rPr>
        <w:t xml:space="preserve">Vallerotonda R., Leva A., Ansaldi S.M., 2018, </w:t>
      </w:r>
      <w:r w:rsidRPr="00A549B6">
        <w:rPr>
          <w:rFonts w:cs="Arial"/>
          <w:noProof/>
          <w:szCs w:val="24"/>
        </w:rPr>
        <w:t>Modeling and training: How system dynamics is usable in OSH and MAH frameworks, Chemical Engineering Transactions, 67, 325-330.</w:t>
      </w:r>
    </w:p>
    <w:p w14:paraId="4D7AC772" w14:textId="77777777" w:rsidR="00F64699" w:rsidRPr="00A549B6" w:rsidRDefault="00F64699" w:rsidP="000E32B9">
      <w:pPr>
        <w:pStyle w:val="CETReferencetext"/>
        <w:rPr>
          <w:rFonts w:cs="Arial"/>
          <w:noProof/>
          <w:szCs w:val="24"/>
        </w:rPr>
      </w:pPr>
      <w:r w:rsidRPr="00F84CAE">
        <w:rPr>
          <w:rFonts w:cs="Arial"/>
          <w:noProof/>
          <w:szCs w:val="24"/>
        </w:rPr>
        <w:t>Wang Y., Cheng G., Hu H., Wu W., 2012, Development of a risk-based maintenance strategy using FMEA for a continuous catalytic reforming plant, Journal of Loss Prevention in the Process Industries, 25, 958-965.</w:t>
      </w:r>
    </w:p>
    <w:p w14:paraId="7A423C59" w14:textId="77777777" w:rsidR="00F64699" w:rsidRDefault="00F64699" w:rsidP="000E32B9">
      <w:pPr>
        <w:pStyle w:val="CETReferencetext"/>
        <w:rPr>
          <w:rFonts w:cs="Arial"/>
          <w:noProof/>
          <w:szCs w:val="24"/>
        </w:rPr>
      </w:pPr>
      <w:r w:rsidRPr="00A549B6">
        <w:rPr>
          <w:rFonts w:cs="Arial"/>
          <w:noProof/>
          <w:szCs w:val="24"/>
        </w:rPr>
        <w:t>Yu M., Quddus N., Peres S.C., Sachdeva S., Mannan M.S., 2017, Development of a safety management system (SMS) for drilling and servicing operations within OSHA jurisdiction area of Texas, Journal of Loss Prevention in the Process Industries, 50, 266-274.</w:t>
      </w:r>
    </w:p>
    <w:bookmarkEnd w:id="5"/>
    <w:bookmarkEnd w:id="6"/>
    <w:p w14:paraId="3E857757" w14:textId="1CD3D5D6" w:rsidR="00F64699" w:rsidRPr="00B17582" w:rsidRDefault="00F64699" w:rsidP="000E32B9">
      <w:pPr>
        <w:pStyle w:val="CETReferencetext"/>
        <w:rPr>
          <w:rFonts w:cs="Arial"/>
          <w:noProof/>
          <w:szCs w:val="24"/>
        </w:rPr>
      </w:pPr>
    </w:p>
    <w:sectPr w:rsidR="00F64699" w:rsidRPr="00B1758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8BE0D" w14:textId="77777777" w:rsidR="00E95895" w:rsidRDefault="00E95895" w:rsidP="004F5E36">
      <w:r>
        <w:separator/>
      </w:r>
    </w:p>
  </w:endnote>
  <w:endnote w:type="continuationSeparator" w:id="0">
    <w:p w14:paraId="508BC49F" w14:textId="77777777" w:rsidR="00E95895" w:rsidRDefault="00E9589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25A06" w14:textId="77777777" w:rsidR="00E95895" w:rsidRDefault="00E95895" w:rsidP="004F5E36">
      <w:r>
        <w:separator/>
      </w:r>
    </w:p>
  </w:footnote>
  <w:footnote w:type="continuationSeparator" w:id="0">
    <w:p w14:paraId="56C379E1" w14:textId="77777777" w:rsidR="00E95895" w:rsidRDefault="00E9589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0BA1025"/>
    <w:multiLevelType w:val="hybridMultilevel"/>
    <w:tmpl w:val="3BE2E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A23E01"/>
    <w:multiLevelType w:val="hybridMultilevel"/>
    <w:tmpl w:val="EF529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C12D1F"/>
    <w:multiLevelType w:val="hybridMultilevel"/>
    <w:tmpl w:val="94169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5B1FAD"/>
    <w:multiLevelType w:val="hybridMultilevel"/>
    <w:tmpl w:val="086C8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325224E6"/>
    <w:multiLevelType w:val="hybridMultilevel"/>
    <w:tmpl w:val="8BA4BCBC"/>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6">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8AD7369"/>
    <w:multiLevelType w:val="hybridMultilevel"/>
    <w:tmpl w:val="C9BE3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53C93"/>
    <w:multiLevelType w:val="hybridMultilevel"/>
    <w:tmpl w:val="2ED89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3FCB04C8"/>
    <w:multiLevelType w:val="hybridMultilevel"/>
    <w:tmpl w:val="24DEB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496404"/>
    <w:multiLevelType w:val="hybridMultilevel"/>
    <w:tmpl w:val="5E6CB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487FE8"/>
    <w:multiLevelType w:val="hybridMultilevel"/>
    <w:tmpl w:val="75A83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715D33"/>
    <w:multiLevelType w:val="hybridMultilevel"/>
    <w:tmpl w:val="8BA22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547B40"/>
    <w:multiLevelType w:val="hybridMultilevel"/>
    <w:tmpl w:val="16481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B5D39BE"/>
    <w:multiLevelType w:val="hybridMultilevel"/>
    <w:tmpl w:val="DAACA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9727B33"/>
    <w:multiLevelType w:val="hybridMultilevel"/>
    <w:tmpl w:val="38F0C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DDA015F"/>
    <w:multiLevelType w:val="hybridMultilevel"/>
    <w:tmpl w:val="AE66F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4E3F5A"/>
    <w:multiLevelType w:val="hybridMultilevel"/>
    <w:tmpl w:val="63426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0861E47"/>
    <w:multiLevelType w:val="hybridMultilevel"/>
    <w:tmpl w:val="72082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C36B70"/>
    <w:multiLevelType w:val="hybridMultilevel"/>
    <w:tmpl w:val="E49CC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C35AB9"/>
    <w:multiLevelType w:val="hybridMultilevel"/>
    <w:tmpl w:val="63B0C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B97EE4"/>
    <w:multiLevelType w:val="hybridMultilevel"/>
    <w:tmpl w:val="681EB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17"/>
  </w:num>
  <w:num w:numId="14">
    <w:abstractNumId w:val="29"/>
  </w:num>
  <w:num w:numId="15">
    <w:abstractNumId w:val="32"/>
  </w:num>
  <w:num w:numId="16">
    <w:abstractNumId w:val="31"/>
  </w:num>
  <w:num w:numId="17">
    <w:abstractNumId w:val="16"/>
  </w:num>
  <w:num w:numId="18">
    <w:abstractNumId w:val="17"/>
    <w:lvlOverride w:ilvl="0">
      <w:startOverride w:val="1"/>
    </w:lvlOverride>
  </w:num>
  <w:num w:numId="19">
    <w:abstractNumId w:val="27"/>
  </w:num>
  <w:num w:numId="20">
    <w:abstractNumId w:val="26"/>
  </w:num>
  <w:num w:numId="21">
    <w:abstractNumId w:val="20"/>
  </w:num>
  <w:num w:numId="22">
    <w:abstractNumId w:val="19"/>
  </w:num>
  <w:num w:numId="23">
    <w:abstractNumId w:val="11"/>
  </w:num>
  <w:num w:numId="24">
    <w:abstractNumId w:val="35"/>
  </w:num>
  <w:num w:numId="25">
    <w:abstractNumId w:val="38"/>
  </w:num>
  <w:num w:numId="26">
    <w:abstractNumId w:val="23"/>
  </w:num>
  <w:num w:numId="27">
    <w:abstractNumId w:val="25"/>
  </w:num>
  <w:num w:numId="28">
    <w:abstractNumId w:val="18"/>
  </w:num>
  <w:num w:numId="29">
    <w:abstractNumId w:val="21"/>
  </w:num>
  <w:num w:numId="30">
    <w:abstractNumId w:val="36"/>
  </w:num>
  <w:num w:numId="31">
    <w:abstractNumId w:val="10"/>
  </w:num>
  <w:num w:numId="32">
    <w:abstractNumId w:val="13"/>
  </w:num>
  <w:num w:numId="33">
    <w:abstractNumId w:val="24"/>
  </w:num>
  <w:num w:numId="34">
    <w:abstractNumId w:val="12"/>
  </w:num>
  <w:num w:numId="35">
    <w:abstractNumId w:val="39"/>
  </w:num>
  <w:num w:numId="36">
    <w:abstractNumId w:val="34"/>
  </w:num>
  <w:num w:numId="37">
    <w:abstractNumId w:val="22"/>
  </w:num>
  <w:num w:numId="38">
    <w:abstractNumId w:val="37"/>
  </w:num>
  <w:num w:numId="39">
    <w:abstractNumId w:val="33"/>
  </w:num>
  <w:num w:numId="40">
    <w:abstractNumId w:val="3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F2E"/>
    <w:rsid w:val="000027C0"/>
    <w:rsid w:val="00002A98"/>
    <w:rsid w:val="000039B9"/>
    <w:rsid w:val="00004CA7"/>
    <w:rsid w:val="000052FB"/>
    <w:rsid w:val="00006261"/>
    <w:rsid w:val="000067D5"/>
    <w:rsid w:val="00006C9A"/>
    <w:rsid w:val="00007288"/>
    <w:rsid w:val="00007B19"/>
    <w:rsid w:val="00010637"/>
    <w:rsid w:val="000117CB"/>
    <w:rsid w:val="00011DAB"/>
    <w:rsid w:val="00012D2C"/>
    <w:rsid w:val="00013B24"/>
    <w:rsid w:val="0001468D"/>
    <w:rsid w:val="0001546B"/>
    <w:rsid w:val="00016343"/>
    <w:rsid w:val="00017D12"/>
    <w:rsid w:val="00017D81"/>
    <w:rsid w:val="00020FAC"/>
    <w:rsid w:val="00021830"/>
    <w:rsid w:val="000219DD"/>
    <w:rsid w:val="0002299D"/>
    <w:rsid w:val="00023731"/>
    <w:rsid w:val="00024D5E"/>
    <w:rsid w:val="00025380"/>
    <w:rsid w:val="00030641"/>
    <w:rsid w:val="00030DEE"/>
    <w:rsid w:val="0003148D"/>
    <w:rsid w:val="0003174C"/>
    <w:rsid w:val="0003184E"/>
    <w:rsid w:val="00032F28"/>
    <w:rsid w:val="000330D9"/>
    <w:rsid w:val="000339AD"/>
    <w:rsid w:val="00034A44"/>
    <w:rsid w:val="00034FAD"/>
    <w:rsid w:val="000353EB"/>
    <w:rsid w:val="00036C8B"/>
    <w:rsid w:val="0003790A"/>
    <w:rsid w:val="0004052C"/>
    <w:rsid w:val="0004193C"/>
    <w:rsid w:val="000429C0"/>
    <w:rsid w:val="000448A3"/>
    <w:rsid w:val="00046596"/>
    <w:rsid w:val="000468F9"/>
    <w:rsid w:val="000475C7"/>
    <w:rsid w:val="00047919"/>
    <w:rsid w:val="00050009"/>
    <w:rsid w:val="0005023C"/>
    <w:rsid w:val="000507B8"/>
    <w:rsid w:val="00051566"/>
    <w:rsid w:val="00051CE8"/>
    <w:rsid w:val="00054E3B"/>
    <w:rsid w:val="0005576D"/>
    <w:rsid w:val="00055B60"/>
    <w:rsid w:val="000568AF"/>
    <w:rsid w:val="000568D0"/>
    <w:rsid w:val="0005794A"/>
    <w:rsid w:val="000603F1"/>
    <w:rsid w:val="000608A6"/>
    <w:rsid w:val="00060CD9"/>
    <w:rsid w:val="00061323"/>
    <w:rsid w:val="00062A9A"/>
    <w:rsid w:val="0006337A"/>
    <w:rsid w:val="000633F5"/>
    <w:rsid w:val="00063977"/>
    <w:rsid w:val="00065058"/>
    <w:rsid w:val="000672AC"/>
    <w:rsid w:val="00071BD4"/>
    <w:rsid w:val="00071EEE"/>
    <w:rsid w:val="000727EC"/>
    <w:rsid w:val="0007327A"/>
    <w:rsid w:val="00073927"/>
    <w:rsid w:val="00073D04"/>
    <w:rsid w:val="000748CF"/>
    <w:rsid w:val="00074F27"/>
    <w:rsid w:val="00075C90"/>
    <w:rsid w:val="000762C2"/>
    <w:rsid w:val="00080FD5"/>
    <w:rsid w:val="0008356C"/>
    <w:rsid w:val="00084616"/>
    <w:rsid w:val="00086C39"/>
    <w:rsid w:val="00087B4E"/>
    <w:rsid w:val="000914ED"/>
    <w:rsid w:val="00091C9D"/>
    <w:rsid w:val="00093282"/>
    <w:rsid w:val="000941DB"/>
    <w:rsid w:val="000946D6"/>
    <w:rsid w:val="000959B7"/>
    <w:rsid w:val="00095C28"/>
    <w:rsid w:val="00095E04"/>
    <w:rsid w:val="000967A9"/>
    <w:rsid w:val="000A03B2"/>
    <w:rsid w:val="000A2310"/>
    <w:rsid w:val="000A2434"/>
    <w:rsid w:val="000A35BB"/>
    <w:rsid w:val="000A47E4"/>
    <w:rsid w:val="000A4B67"/>
    <w:rsid w:val="000A5A62"/>
    <w:rsid w:val="000B07F4"/>
    <w:rsid w:val="000B2CB6"/>
    <w:rsid w:val="000B2E10"/>
    <w:rsid w:val="000B46D6"/>
    <w:rsid w:val="000B58E3"/>
    <w:rsid w:val="000B760E"/>
    <w:rsid w:val="000B7682"/>
    <w:rsid w:val="000C0056"/>
    <w:rsid w:val="000C2273"/>
    <w:rsid w:val="000C2DB1"/>
    <w:rsid w:val="000C2EDA"/>
    <w:rsid w:val="000D0268"/>
    <w:rsid w:val="000D1298"/>
    <w:rsid w:val="000D20B6"/>
    <w:rsid w:val="000D2401"/>
    <w:rsid w:val="000D3443"/>
    <w:rsid w:val="000D34BE"/>
    <w:rsid w:val="000D3CB3"/>
    <w:rsid w:val="000D4220"/>
    <w:rsid w:val="000D6380"/>
    <w:rsid w:val="000D71FE"/>
    <w:rsid w:val="000D7EF5"/>
    <w:rsid w:val="000E0791"/>
    <w:rsid w:val="000E102F"/>
    <w:rsid w:val="000E1401"/>
    <w:rsid w:val="000E22DD"/>
    <w:rsid w:val="000E2EE1"/>
    <w:rsid w:val="000E32B9"/>
    <w:rsid w:val="000E36F1"/>
    <w:rsid w:val="000E3A73"/>
    <w:rsid w:val="000E414A"/>
    <w:rsid w:val="000E41D7"/>
    <w:rsid w:val="000E497E"/>
    <w:rsid w:val="000E69FC"/>
    <w:rsid w:val="000E7045"/>
    <w:rsid w:val="000E7B92"/>
    <w:rsid w:val="000E7D2D"/>
    <w:rsid w:val="000F00A7"/>
    <w:rsid w:val="000F01F5"/>
    <w:rsid w:val="000F093C"/>
    <w:rsid w:val="000F0E1F"/>
    <w:rsid w:val="000F1F0F"/>
    <w:rsid w:val="000F2937"/>
    <w:rsid w:val="000F54A1"/>
    <w:rsid w:val="000F787B"/>
    <w:rsid w:val="000F7C32"/>
    <w:rsid w:val="001041A7"/>
    <w:rsid w:val="00104499"/>
    <w:rsid w:val="0010479D"/>
    <w:rsid w:val="00104B06"/>
    <w:rsid w:val="00105081"/>
    <w:rsid w:val="001052A8"/>
    <w:rsid w:val="0010594E"/>
    <w:rsid w:val="00106BAA"/>
    <w:rsid w:val="00106ECF"/>
    <w:rsid w:val="00106FC8"/>
    <w:rsid w:val="001075EC"/>
    <w:rsid w:val="00107D30"/>
    <w:rsid w:val="00110D6A"/>
    <w:rsid w:val="00111561"/>
    <w:rsid w:val="00111FFF"/>
    <w:rsid w:val="001122F0"/>
    <w:rsid w:val="00113861"/>
    <w:rsid w:val="00114D4A"/>
    <w:rsid w:val="00116023"/>
    <w:rsid w:val="00117CC5"/>
    <w:rsid w:val="0012091F"/>
    <w:rsid w:val="00120F04"/>
    <w:rsid w:val="00121DC1"/>
    <w:rsid w:val="00121E46"/>
    <w:rsid w:val="00122808"/>
    <w:rsid w:val="001232BC"/>
    <w:rsid w:val="00124E85"/>
    <w:rsid w:val="00126169"/>
    <w:rsid w:val="00126BC2"/>
    <w:rsid w:val="0012719D"/>
    <w:rsid w:val="001308B6"/>
    <w:rsid w:val="001311B9"/>
    <w:rsid w:val="0013121F"/>
    <w:rsid w:val="0013135F"/>
    <w:rsid w:val="00131FE6"/>
    <w:rsid w:val="001322AF"/>
    <w:rsid w:val="0013263F"/>
    <w:rsid w:val="00134DE4"/>
    <w:rsid w:val="001363F8"/>
    <w:rsid w:val="0013730D"/>
    <w:rsid w:val="0013775D"/>
    <w:rsid w:val="00137C90"/>
    <w:rsid w:val="00137CC7"/>
    <w:rsid w:val="00140041"/>
    <w:rsid w:val="0014034D"/>
    <w:rsid w:val="001403D6"/>
    <w:rsid w:val="0014059B"/>
    <w:rsid w:val="00141760"/>
    <w:rsid w:val="001430E7"/>
    <w:rsid w:val="00143542"/>
    <w:rsid w:val="00145C3F"/>
    <w:rsid w:val="00145E6D"/>
    <w:rsid w:val="00147794"/>
    <w:rsid w:val="001479CE"/>
    <w:rsid w:val="00150373"/>
    <w:rsid w:val="0015095D"/>
    <w:rsid w:val="00150E59"/>
    <w:rsid w:val="0015105A"/>
    <w:rsid w:val="00151270"/>
    <w:rsid w:val="00151E04"/>
    <w:rsid w:val="0015285A"/>
    <w:rsid w:val="0015296D"/>
    <w:rsid w:val="00152DE3"/>
    <w:rsid w:val="001532AC"/>
    <w:rsid w:val="00155575"/>
    <w:rsid w:val="00155E36"/>
    <w:rsid w:val="00156DB6"/>
    <w:rsid w:val="0015745B"/>
    <w:rsid w:val="00157ED0"/>
    <w:rsid w:val="00162D0B"/>
    <w:rsid w:val="00163A9A"/>
    <w:rsid w:val="00164CF9"/>
    <w:rsid w:val="001667A6"/>
    <w:rsid w:val="00166ACF"/>
    <w:rsid w:val="001671A3"/>
    <w:rsid w:val="00170987"/>
    <w:rsid w:val="001712E4"/>
    <w:rsid w:val="00175BE2"/>
    <w:rsid w:val="00176C85"/>
    <w:rsid w:val="001801CB"/>
    <w:rsid w:val="001802AC"/>
    <w:rsid w:val="001812DD"/>
    <w:rsid w:val="00181723"/>
    <w:rsid w:val="00181C71"/>
    <w:rsid w:val="001820B2"/>
    <w:rsid w:val="00183B24"/>
    <w:rsid w:val="00183D76"/>
    <w:rsid w:val="00184966"/>
    <w:rsid w:val="00184AD6"/>
    <w:rsid w:val="001900A1"/>
    <w:rsid w:val="00191088"/>
    <w:rsid w:val="001932AC"/>
    <w:rsid w:val="00193317"/>
    <w:rsid w:val="00193A93"/>
    <w:rsid w:val="001943E0"/>
    <w:rsid w:val="001951B6"/>
    <w:rsid w:val="001962D7"/>
    <w:rsid w:val="00196CBF"/>
    <w:rsid w:val="001A014F"/>
    <w:rsid w:val="001A0342"/>
    <w:rsid w:val="001A1014"/>
    <w:rsid w:val="001A1841"/>
    <w:rsid w:val="001A3E03"/>
    <w:rsid w:val="001A4829"/>
    <w:rsid w:val="001A4AF7"/>
    <w:rsid w:val="001A580A"/>
    <w:rsid w:val="001A5E04"/>
    <w:rsid w:val="001A7E3C"/>
    <w:rsid w:val="001B0349"/>
    <w:rsid w:val="001B1FC5"/>
    <w:rsid w:val="001B2941"/>
    <w:rsid w:val="001B60E8"/>
    <w:rsid w:val="001B65C1"/>
    <w:rsid w:val="001C04DD"/>
    <w:rsid w:val="001C0DA0"/>
    <w:rsid w:val="001C1E58"/>
    <w:rsid w:val="001C35F6"/>
    <w:rsid w:val="001C3B9D"/>
    <w:rsid w:val="001C4F27"/>
    <w:rsid w:val="001C6465"/>
    <w:rsid w:val="001C6522"/>
    <w:rsid w:val="001C684B"/>
    <w:rsid w:val="001C6D07"/>
    <w:rsid w:val="001C75D2"/>
    <w:rsid w:val="001C7E61"/>
    <w:rsid w:val="001D076C"/>
    <w:rsid w:val="001D24AF"/>
    <w:rsid w:val="001D269C"/>
    <w:rsid w:val="001D3673"/>
    <w:rsid w:val="001D46D4"/>
    <w:rsid w:val="001D53FC"/>
    <w:rsid w:val="001D63FF"/>
    <w:rsid w:val="001D6E56"/>
    <w:rsid w:val="001D7169"/>
    <w:rsid w:val="001E0D27"/>
    <w:rsid w:val="001E1374"/>
    <w:rsid w:val="001E28BF"/>
    <w:rsid w:val="001E2B23"/>
    <w:rsid w:val="001E2EB4"/>
    <w:rsid w:val="001E3C13"/>
    <w:rsid w:val="001E4313"/>
    <w:rsid w:val="001E445F"/>
    <w:rsid w:val="001E46EE"/>
    <w:rsid w:val="001E5327"/>
    <w:rsid w:val="001E5C59"/>
    <w:rsid w:val="001E76EE"/>
    <w:rsid w:val="001F05B5"/>
    <w:rsid w:val="001F0FBE"/>
    <w:rsid w:val="001F14BD"/>
    <w:rsid w:val="001F19F9"/>
    <w:rsid w:val="001F2B69"/>
    <w:rsid w:val="001F36C7"/>
    <w:rsid w:val="001F42A5"/>
    <w:rsid w:val="001F464E"/>
    <w:rsid w:val="001F592F"/>
    <w:rsid w:val="001F5BCC"/>
    <w:rsid w:val="001F5C04"/>
    <w:rsid w:val="001F6421"/>
    <w:rsid w:val="001F7B9D"/>
    <w:rsid w:val="00200BD5"/>
    <w:rsid w:val="002022EA"/>
    <w:rsid w:val="002060DC"/>
    <w:rsid w:val="0020620E"/>
    <w:rsid w:val="002064ED"/>
    <w:rsid w:val="00207480"/>
    <w:rsid w:val="002113F5"/>
    <w:rsid w:val="002158E7"/>
    <w:rsid w:val="00215BBD"/>
    <w:rsid w:val="0021622B"/>
    <w:rsid w:val="002218AC"/>
    <w:rsid w:val="00221D9C"/>
    <w:rsid w:val="00222067"/>
    <w:rsid w:val="0022232E"/>
    <w:rsid w:val="002224B4"/>
    <w:rsid w:val="00222EE8"/>
    <w:rsid w:val="0022307C"/>
    <w:rsid w:val="0022357D"/>
    <w:rsid w:val="00224C4E"/>
    <w:rsid w:val="00224FEA"/>
    <w:rsid w:val="002253D3"/>
    <w:rsid w:val="002259CF"/>
    <w:rsid w:val="00225BA1"/>
    <w:rsid w:val="002265F7"/>
    <w:rsid w:val="002267C8"/>
    <w:rsid w:val="00226B76"/>
    <w:rsid w:val="00227C56"/>
    <w:rsid w:val="002303BE"/>
    <w:rsid w:val="0023387F"/>
    <w:rsid w:val="00233AEE"/>
    <w:rsid w:val="00233D87"/>
    <w:rsid w:val="00234C88"/>
    <w:rsid w:val="00235164"/>
    <w:rsid w:val="002352B3"/>
    <w:rsid w:val="0023635F"/>
    <w:rsid w:val="0023644F"/>
    <w:rsid w:val="00240217"/>
    <w:rsid w:val="00241071"/>
    <w:rsid w:val="00241555"/>
    <w:rsid w:val="002447EF"/>
    <w:rsid w:val="00244DEE"/>
    <w:rsid w:val="00244FCA"/>
    <w:rsid w:val="00245525"/>
    <w:rsid w:val="00246760"/>
    <w:rsid w:val="00251550"/>
    <w:rsid w:val="002515C8"/>
    <w:rsid w:val="0025207A"/>
    <w:rsid w:val="0025269F"/>
    <w:rsid w:val="00252AC0"/>
    <w:rsid w:val="00252BD1"/>
    <w:rsid w:val="00253703"/>
    <w:rsid w:val="002547F9"/>
    <w:rsid w:val="00254A98"/>
    <w:rsid w:val="0025659D"/>
    <w:rsid w:val="00256BEF"/>
    <w:rsid w:val="00257314"/>
    <w:rsid w:val="002602A4"/>
    <w:rsid w:val="00260B15"/>
    <w:rsid w:val="00261D58"/>
    <w:rsid w:val="0026280D"/>
    <w:rsid w:val="002633C4"/>
    <w:rsid w:val="002634BC"/>
    <w:rsid w:val="00263B05"/>
    <w:rsid w:val="00263B29"/>
    <w:rsid w:val="00265D30"/>
    <w:rsid w:val="00266B57"/>
    <w:rsid w:val="00266CD9"/>
    <w:rsid w:val="00266D74"/>
    <w:rsid w:val="00266E52"/>
    <w:rsid w:val="0026725B"/>
    <w:rsid w:val="00271B2D"/>
    <w:rsid w:val="00271E82"/>
    <w:rsid w:val="0027221A"/>
    <w:rsid w:val="002748F6"/>
    <w:rsid w:val="00275B61"/>
    <w:rsid w:val="00275DE0"/>
    <w:rsid w:val="00275DFB"/>
    <w:rsid w:val="0028002B"/>
    <w:rsid w:val="0028044A"/>
    <w:rsid w:val="00280A33"/>
    <w:rsid w:val="00280E29"/>
    <w:rsid w:val="00282280"/>
    <w:rsid w:val="00282656"/>
    <w:rsid w:val="00282931"/>
    <w:rsid w:val="002832CA"/>
    <w:rsid w:val="00284A9A"/>
    <w:rsid w:val="00285CB0"/>
    <w:rsid w:val="00287092"/>
    <w:rsid w:val="00287A6E"/>
    <w:rsid w:val="0029003D"/>
    <w:rsid w:val="002901E4"/>
    <w:rsid w:val="00291688"/>
    <w:rsid w:val="002929FF"/>
    <w:rsid w:val="00293808"/>
    <w:rsid w:val="00293ADD"/>
    <w:rsid w:val="00293F11"/>
    <w:rsid w:val="00294BE0"/>
    <w:rsid w:val="00296506"/>
    <w:rsid w:val="00296B83"/>
    <w:rsid w:val="002976C8"/>
    <w:rsid w:val="0029775A"/>
    <w:rsid w:val="00297DC2"/>
    <w:rsid w:val="002A073B"/>
    <w:rsid w:val="002A10AB"/>
    <w:rsid w:val="002A1DCE"/>
    <w:rsid w:val="002A243C"/>
    <w:rsid w:val="002A2911"/>
    <w:rsid w:val="002A2EBD"/>
    <w:rsid w:val="002A4397"/>
    <w:rsid w:val="002A5A77"/>
    <w:rsid w:val="002A5F92"/>
    <w:rsid w:val="002A6629"/>
    <w:rsid w:val="002A78F6"/>
    <w:rsid w:val="002B2259"/>
    <w:rsid w:val="002B5E79"/>
    <w:rsid w:val="002B6AAF"/>
    <w:rsid w:val="002B6AB3"/>
    <w:rsid w:val="002B733E"/>
    <w:rsid w:val="002B78CE"/>
    <w:rsid w:val="002C0D03"/>
    <w:rsid w:val="002C1920"/>
    <w:rsid w:val="002C25FA"/>
    <w:rsid w:val="002C2FB6"/>
    <w:rsid w:val="002C5A39"/>
    <w:rsid w:val="002C5B24"/>
    <w:rsid w:val="002D0C07"/>
    <w:rsid w:val="002D1864"/>
    <w:rsid w:val="002D28B3"/>
    <w:rsid w:val="002D4E21"/>
    <w:rsid w:val="002D6A44"/>
    <w:rsid w:val="002D6E81"/>
    <w:rsid w:val="002D7121"/>
    <w:rsid w:val="002E1688"/>
    <w:rsid w:val="002E1D9F"/>
    <w:rsid w:val="002E2345"/>
    <w:rsid w:val="002E25E3"/>
    <w:rsid w:val="002E3FC2"/>
    <w:rsid w:val="002E43D6"/>
    <w:rsid w:val="002E4949"/>
    <w:rsid w:val="002E4D87"/>
    <w:rsid w:val="002E5F5C"/>
    <w:rsid w:val="002E6E48"/>
    <w:rsid w:val="002F2D29"/>
    <w:rsid w:val="002F3309"/>
    <w:rsid w:val="002F5D82"/>
    <w:rsid w:val="002F5EA1"/>
    <w:rsid w:val="002F6BE0"/>
    <w:rsid w:val="003009B7"/>
    <w:rsid w:val="00300E56"/>
    <w:rsid w:val="00301B87"/>
    <w:rsid w:val="00301F13"/>
    <w:rsid w:val="00302450"/>
    <w:rsid w:val="00303D6C"/>
    <w:rsid w:val="0030469C"/>
    <w:rsid w:val="0030524F"/>
    <w:rsid w:val="0030542A"/>
    <w:rsid w:val="00305EF9"/>
    <w:rsid w:val="0030665A"/>
    <w:rsid w:val="0030781A"/>
    <w:rsid w:val="00310967"/>
    <w:rsid w:val="00313AEB"/>
    <w:rsid w:val="00315082"/>
    <w:rsid w:val="00315628"/>
    <w:rsid w:val="003169BE"/>
    <w:rsid w:val="00320C52"/>
    <w:rsid w:val="00321B80"/>
    <w:rsid w:val="00321CA6"/>
    <w:rsid w:val="00322351"/>
    <w:rsid w:val="00324B91"/>
    <w:rsid w:val="00327599"/>
    <w:rsid w:val="00330A5C"/>
    <w:rsid w:val="00330C7D"/>
    <w:rsid w:val="00331539"/>
    <w:rsid w:val="00333BB0"/>
    <w:rsid w:val="0033435F"/>
    <w:rsid w:val="00334C09"/>
    <w:rsid w:val="00334C2E"/>
    <w:rsid w:val="0033643E"/>
    <w:rsid w:val="003377EC"/>
    <w:rsid w:val="00337904"/>
    <w:rsid w:val="00337995"/>
    <w:rsid w:val="003408F2"/>
    <w:rsid w:val="00340F60"/>
    <w:rsid w:val="003411CB"/>
    <w:rsid w:val="003420C1"/>
    <w:rsid w:val="00342770"/>
    <w:rsid w:val="0034449D"/>
    <w:rsid w:val="00344FFB"/>
    <w:rsid w:val="00345913"/>
    <w:rsid w:val="00345FE6"/>
    <w:rsid w:val="0034671B"/>
    <w:rsid w:val="00346A43"/>
    <w:rsid w:val="00347F95"/>
    <w:rsid w:val="00353906"/>
    <w:rsid w:val="003544A0"/>
    <w:rsid w:val="003556D6"/>
    <w:rsid w:val="003566DE"/>
    <w:rsid w:val="00360E90"/>
    <w:rsid w:val="003614EE"/>
    <w:rsid w:val="0036180D"/>
    <w:rsid w:val="00362270"/>
    <w:rsid w:val="00364B6B"/>
    <w:rsid w:val="00365A2E"/>
    <w:rsid w:val="00365E5E"/>
    <w:rsid w:val="003666C0"/>
    <w:rsid w:val="003723D4"/>
    <w:rsid w:val="00372833"/>
    <w:rsid w:val="003733C3"/>
    <w:rsid w:val="0037392C"/>
    <w:rsid w:val="003750C3"/>
    <w:rsid w:val="00376681"/>
    <w:rsid w:val="0038038B"/>
    <w:rsid w:val="00381905"/>
    <w:rsid w:val="00382AA6"/>
    <w:rsid w:val="00384CC8"/>
    <w:rsid w:val="003851FC"/>
    <w:rsid w:val="003869A8"/>
    <w:rsid w:val="003871FD"/>
    <w:rsid w:val="0039022C"/>
    <w:rsid w:val="00395A1B"/>
    <w:rsid w:val="00396263"/>
    <w:rsid w:val="00396709"/>
    <w:rsid w:val="003977D1"/>
    <w:rsid w:val="003A06B0"/>
    <w:rsid w:val="003A1E30"/>
    <w:rsid w:val="003A263D"/>
    <w:rsid w:val="003A27E2"/>
    <w:rsid w:val="003A4D23"/>
    <w:rsid w:val="003A5539"/>
    <w:rsid w:val="003A7D1C"/>
    <w:rsid w:val="003B1893"/>
    <w:rsid w:val="003B2C26"/>
    <w:rsid w:val="003B2FBF"/>
    <w:rsid w:val="003B304B"/>
    <w:rsid w:val="003B3146"/>
    <w:rsid w:val="003B483E"/>
    <w:rsid w:val="003B4FB8"/>
    <w:rsid w:val="003B5088"/>
    <w:rsid w:val="003B5D3F"/>
    <w:rsid w:val="003B7780"/>
    <w:rsid w:val="003C2ED4"/>
    <w:rsid w:val="003C4F5B"/>
    <w:rsid w:val="003C526D"/>
    <w:rsid w:val="003C5B8A"/>
    <w:rsid w:val="003C6818"/>
    <w:rsid w:val="003C766F"/>
    <w:rsid w:val="003D00BD"/>
    <w:rsid w:val="003D01D2"/>
    <w:rsid w:val="003D1CCA"/>
    <w:rsid w:val="003D1CD0"/>
    <w:rsid w:val="003D2FCB"/>
    <w:rsid w:val="003D623B"/>
    <w:rsid w:val="003D73C5"/>
    <w:rsid w:val="003D7E46"/>
    <w:rsid w:val="003E3975"/>
    <w:rsid w:val="003E3CF3"/>
    <w:rsid w:val="003E4B69"/>
    <w:rsid w:val="003E54EC"/>
    <w:rsid w:val="003E5F7C"/>
    <w:rsid w:val="003E6A45"/>
    <w:rsid w:val="003F015E"/>
    <w:rsid w:val="003F051B"/>
    <w:rsid w:val="003F4CB9"/>
    <w:rsid w:val="003F595A"/>
    <w:rsid w:val="003F6557"/>
    <w:rsid w:val="003F6CF9"/>
    <w:rsid w:val="003F70C4"/>
    <w:rsid w:val="00400414"/>
    <w:rsid w:val="004008A0"/>
    <w:rsid w:val="00400FE3"/>
    <w:rsid w:val="004017FD"/>
    <w:rsid w:val="004024A2"/>
    <w:rsid w:val="004028B3"/>
    <w:rsid w:val="00402FD9"/>
    <w:rsid w:val="00403293"/>
    <w:rsid w:val="00404E13"/>
    <w:rsid w:val="0040506C"/>
    <w:rsid w:val="004061CD"/>
    <w:rsid w:val="004069DF"/>
    <w:rsid w:val="00407D84"/>
    <w:rsid w:val="00411351"/>
    <w:rsid w:val="00411AD6"/>
    <w:rsid w:val="00412372"/>
    <w:rsid w:val="00412788"/>
    <w:rsid w:val="0041446B"/>
    <w:rsid w:val="00414B18"/>
    <w:rsid w:val="004172CE"/>
    <w:rsid w:val="00417E49"/>
    <w:rsid w:val="004201E6"/>
    <w:rsid w:val="00421E94"/>
    <w:rsid w:val="00424708"/>
    <w:rsid w:val="00424C44"/>
    <w:rsid w:val="00424F9E"/>
    <w:rsid w:val="00426F35"/>
    <w:rsid w:val="00427120"/>
    <w:rsid w:val="00427628"/>
    <w:rsid w:val="0043077F"/>
    <w:rsid w:val="00431A1B"/>
    <w:rsid w:val="00432194"/>
    <w:rsid w:val="00433332"/>
    <w:rsid w:val="004340B0"/>
    <w:rsid w:val="00434C16"/>
    <w:rsid w:val="00435B87"/>
    <w:rsid w:val="0043682C"/>
    <w:rsid w:val="004368BD"/>
    <w:rsid w:val="00436C62"/>
    <w:rsid w:val="00440190"/>
    <w:rsid w:val="004407DF"/>
    <w:rsid w:val="00440854"/>
    <w:rsid w:val="00441973"/>
    <w:rsid w:val="0044329C"/>
    <w:rsid w:val="004435F0"/>
    <w:rsid w:val="00443D10"/>
    <w:rsid w:val="00443F0C"/>
    <w:rsid w:val="00443FCB"/>
    <w:rsid w:val="00444EDA"/>
    <w:rsid w:val="004453A3"/>
    <w:rsid w:val="0044680B"/>
    <w:rsid w:val="00447162"/>
    <w:rsid w:val="0044719E"/>
    <w:rsid w:val="00450058"/>
    <w:rsid w:val="00450261"/>
    <w:rsid w:val="0045062F"/>
    <w:rsid w:val="00450F6E"/>
    <w:rsid w:val="00451467"/>
    <w:rsid w:val="00451868"/>
    <w:rsid w:val="0045286A"/>
    <w:rsid w:val="00453349"/>
    <w:rsid w:val="00455C67"/>
    <w:rsid w:val="004570A0"/>
    <w:rsid w:val="004573EA"/>
    <w:rsid w:val="004577FE"/>
    <w:rsid w:val="00457B9C"/>
    <w:rsid w:val="004607AF"/>
    <w:rsid w:val="0046164A"/>
    <w:rsid w:val="00462428"/>
    <w:rsid w:val="0046250F"/>
    <w:rsid w:val="004625EA"/>
    <w:rsid w:val="004628D2"/>
    <w:rsid w:val="00462DCD"/>
    <w:rsid w:val="00463E44"/>
    <w:rsid w:val="00464094"/>
    <w:rsid w:val="004648AD"/>
    <w:rsid w:val="00464BDC"/>
    <w:rsid w:val="00465FF9"/>
    <w:rsid w:val="00466287"/>
    <w:rsid w:val="004673F2"/>
    <w:rsid w:val="00467EA3"/>
    <w:rsid w:val="004703A9"/>
    <w:rsid w:val="00471989"/>
    <w:rsid w:val="00471D5F"/>
    <w:rsid w:val="004760DE"/>
    <w:rsid w:val="004763D7"/>
    <w:rsid w:val="004775E4"/>
    <w:rsid w:val="00477731"/>
    <w:rsid w:val="004779EC"/>
    <w:rsid w:val="00480017"/>
    <w:rsid w:val="00481ED7"/>
    <w:rsid w:val="004825FA"/>
    <w:rsid w:val="00482799"/>
    <w:rsid w:val="00482969"/>
    <w:rsid w:val="00482EC3"/>
    <w:rsid w:val="00487D66"/>
    <w:rsid w:val="00491CB5"/>
    <w:rsid w:val="00491DC0"/>
    <w:rsid w:val="00493E20"/>
    <w:rsid w:val="00495B1E"/>
    <w:rsid w:val="00497B03"/>
    <w:rsid w:val="004A004E"/>
    <w:rsid w:val="004A24CF"/>
    <w:rsid w:val="004A31A9"/>
    <w:rsid w:val="004A5080"/>
    <w:rsid w:val="004A637B"/>
    <w:rsid w:val="004A7180"/>
    <w:rsid w:val="004B0D40"/>
    <w:rsid w:val="004B1B18"/>
    <w:rsid w:val="004B227D"/>
    <w:rsid w:val="004B6D29"/>
    <w:rsid w:val="004C0D4D"/>
    <w:rsid w:val="004C2425"/>
    <w:rsid w:val="004C2E10"/>
    <w:rsid w:val="004C3D1D"/>
    <w:rsid w:val="004C46AB"/>
    <w:rsid w:val="004C4FFF"/>
    <w:rsid w:val="004C51F3"/>
    <w:rsid w:val="004C69BC"/>
    <w:rsid w:val="004C7913"/>
    <w:rsid w:val="004D11DD"/>
    <w:rsid w:val="004D1271"/>
    <w:rsid w:val="004D22A3"/>
    <w:rsid w:val="004D256E"/>
    <w:rsid w:val="004D3406"/>
    <w:rsid w:val="004D34B5"/>
    <w:rsid w:val="004D3722"/>
    <w:rsid w:val="004D3C0A"/>
    <w:rsid w:val="004D5C7C"/>
    <w:rsid w:val="004D6A66"/>
    <w:rsid w:val="004D719B"/>
    <w:rsid w:val="004D7461"/>
    <w:rsid w:val="004E0629"/>
    <w:rsid w:val="004E19B7"/>
    <w:rsid w:val="004E366F"/>
    <w:rsid w:val="004E3C48"/>
    <w:rsid w:val="004E3F9F"/>
    <w:rsid w:val="004E4DD6"/>
    <w:rsid w:val="004E6F45"/>
    <w:rsid w:val="004E6F5A"/>
    <w:rsid w:val="004F1BDF"/>
    <w:rsid w:val="004F2223"/>
    <w:rsid w:val="004F4F44"/>
    <w:rsid w:val="004F5E36"/>
    <w:rsid w:val="00503C7A"/>
    <w:rsid w:val="00504226"/>
    <w:rsid w:val="0050486B"/>
    <w:rsid w:val="0050596E"/>
    <w:rsid w:val="005061FF"/>
    <w:rsid w:val="00507B47"/>
    <w:rsid w:val="00507BEF"/>
    <w:rsid w:val="00507CC9"/>
    <w:rsid w:val="00507FEE"/>
    <w:rsid w:val="00510131"/>
    <w:rsid w:val="0051108F"/>
    <w:rsid w:val="005119A5"/>
    <w:rsid w:val="005122C8"/>
    <w:rsid w:val="00513A37"/>
    <w:rsid w:val="00515692"/>
    <w:rsid w:val="0051612C"/>
    <w:rsid w:val="00517B69"/>
    <w:rsid w:val="00520096"/>
    <w:rsid w:val="00521941"/>
    <w:rsid w:val="00522A8B"/>
    <w:rsid w:val="00522CBA"/>
    <w:rsid w:val="00523422"/>
    <w:rsid w:val="00523689"/>
    <w:rsid w:val="005240FC"/>
    <w:rsid w:val="00524886"/>
    <w:rsid w:val="00525B9B"/>
    <w:rsid w:val="005278B7"/>
    <w:rsid w:val="005318AD"/>
    <w:rsid w:val="00532016"/>
    <w:rsid w:val="00532AB4"/>
    <w:rsid w:val="00533206"/>
    <w:rsid w:val="005346C8"/>
    <w:rsid w:val="00534870"/>
    <w:rsid w:val="00535094"/>
    <w:rsid w:val="00535A87"/>
    <w:rsid w:val="00536D49"/>
    <w:rsid w:val="0054127B"/>
    <w:rsid w:val="005419A3"/>
    <w:rsid w:val="00542916"/>
    <w:rsid w:val="00542AFB"/>
    <w:rsid w:val="00543E7D"/>
    <w:rsid w:val="005453D6"/>
    <w:rsid w:val="00546291"/>
    <w:rsid w:val="00547284"/>
    <w:rsid w:val="0054764B"/>
    <w:rsid w:val="005477A8"/>
    <w:rsid w:val="00547A68"/>
    <w:rsid w:val="005513C5"/>
    <w:rsid w:val="005531C9"/>
    <w:rsid w:val="00553560"/>
    <w:rsid w:val="00554CCB"/>
    <w:rsid w:val="005555A0"/>
    <w:rsid w:val="00556501"/>
    <w:rsid w:val="0056121E"/>
    <w:rsid w:val="0056289A"/>
    <w:rsid w:val="005629F8"/>
    <w:rsid w:val="0056396F"/>
    <w:rsid w:val="00564849"/>
    <w:rsid w:val="00565182"/>
    <w:rsid w:val="00565AE0"/>
    <w:rsid w:val="00565FD5"/>
    <w:rsid w:val="00570C43"/>
    <w:rsid w:val="00572601"/>
    <w:rsid w:val="00574500"/>
    <w:rsid w:val="00574D54"/>
    <w:rsid w:val="00574F29"/>
    <w:rsid w:val="00580E7C"/>
    <w:rsid w:val="00582262"/>
    <w:rsid w:val="005833E8"/>
    <w:rsid w:val="00583C9B"/>
    <w:rsid w:val="00584946"/>
    <w:rsid w:val="0058616F"/>
    <w:rsid w:val="00591A0A"/>
    <w:rsid w:val="00594CA8"/>
    <w:rsid w:val="0059531E"/>
    <w:rsid w:val="00596229"/>
    <w:rsid w:val="005A19F5"/>
    <w:rsid w:val="005A23F4"/>
    <w:rsid w:val="005A2E81"/>
    <w:rsid w:val="005A4643"/>
    <w:rsid w:val="005A5D47"/>
    <w:rsid w:val="005A5DA9"/>
    <w:rsid w:val="005B006C"/>
    <w:rsid w:val="005B01F1"/>
    <w:rsid w:val="005B0DB6"/>
    <w:rsid w:val="005B2110"/>
    <w:rsid w:val="005B29C2"/>
    <w:rsid w:val="005B61E6"/>
    <w:rsid w:val="005B7019"/>
    <w:rsid w:val="005C16FD"/>
    <w:rsid w:val="005C1BDF"/>
    <w:rsid w:val="005C2419"/>
    <w:rsid w:val="005C3D0C"/>
    <w:rsid w:val="005C4964"/>
    <w:rsid w:val="005C5455"/>
    <w:rsid w:val="005C6CC6"/>
    <w:rsid w:val="005C77E1"/>
    <w:rsid w:val="005D01D7"/>
    <w:rsid w:val="005D1F86"/>
    <w:rsid w:val="005D2C3F"/>
    <w:rsid w:val="005D380B"/>
    <w:rsid w:val="005D45EB"/>
    <w:rsid w:val="005D52BD"/>
    <w:rsid w:val="005D6A2F"/>
    <w:rsid w:val="005D71B1"/>
    <w:rsid w:val="005E0606"/>
    <w:rsid w:val="005E147D"/>
    <w:rsid w:val="005E1A82"/>
    <w:rsid w:val="005E1EA9"/>
    <w:rsid w:val="005E2195"/>
    <w:rsid w:val="005E23C8"/>
    <w:rsid w:val="005E276F"/>
    <w:rsid w:val="005E2CC5"/>
    <w:rsid w:val="005E45AB"/>
    <w:rsid w:val="005E4BD2"/>
    <w:rsid w:val="005E5272"/>
    <w:rsid w:val="005E56D0"/>
    <w:rsid w:val="005E5D87"/>
    <w:rsid w:val="005E794C"/>
    <w:rsid w:val="005F06FE"/>
    <w:rsid w:val="005F0A28"/>
    <w:rsid w:val="005F0E5E"/>
    <w:rsid w:val="005F1C9B"/>
    <w:rsid w:val="005F27E5"/>
    <w:rsid w:val="005F2AEF"/>
    <w:rsid w:val="005F4D79"/>
    <w:rsid w:val="005F5088"/>
    <w:rsid w:val="005F6CF0"/>
    <w:rsid w:val="00600535"/>
    <w:rsid w:val="00600FFE"/>
    <w:rsid w:val="00601E36"/>
    <w:rsid w:val="00601F57"/>
    <w:rsid w:val="006031B8"/>
    <w:rsid w:val="00603837"/>
    <w:rsid w:val="00603888"/>
    <w:rsid w:val="0060389C"/>
    <w:rsid w:val="00604E23"/>
    <w:rsid w:val="00605219"/>
    <w:rsid w:val="00606235"/>
    <w:rsid w:val="00606C79"/>
    <w:rsid w:val="00610CBD"/>
    <w:rsid w:val="00610CD6"/>
    <w:rsid w:val="0061295B"/>
    <w:rsid w:val="00612EAA"/>
    <w:rsid w:val="00613B19"/>
    <w:rsid w:val="00613CE0"/>
    <w:rsid w:val="0061491C"/>
    <w:rsid w:val="006152DD"/>
    <w:rsid w:val="006166D0"/>
    <w:rsid w:val="00616913"/>
    <w:rsid w:val="0061745E"/>
    <w:rsid w:val="00617716"/>
    <w:rsid w:val="00620DEE"/>
    <w:rsid w:val="00621F92"/>
    <w:rsid w:val="0062280A"/>
    <w:rsid w:val="0062328E"/>
    <w:rsid w:val="00625639"/>
    <w:rsid w:val="0062609D"/>
    <w:rsid w:val="00627664"/>
    <w:rsid w:val="00627A2E"/>
    <w:rsid w:val="00627DD1"/>
    <w:rsid w:val="006313ED"/>
    <w:rsid w:val="006316D5"/>
    <w:rsid w:val="006318A1"/>
    <w:rsid w:val="00631B33"/>
    <w:rsid w:val="00633966"/>
    <w:rsid w:val="00633F3C"/>
    <w:rsid w:val="006350E4"/>
    <w:rsid w:val="00636176"/>
    <w:rsid w:val="006367D9"/>
    <w:rsid w:val="00637CAB"/>
    <w:rsid w:val="00640966"/>
    <w:rsid w:val="00640DB0"/>
    <w:rsid w:val="0064184D"/>
    <w:rsid w:val="00641E7F"/>
    <w:rsid w:val="006422CC"/>
    <w:rsid w:val="00643D81"/>
    <w:rsid w:val="00644523"/>
    <w:rsid w:val="00645338"/>
    <w:rsid w:val="0064576A"/>
    <w:rsid w:val="0064627C"/>
    <w:rsid w:val="006466A6"/>
    <w:rsid w:val="00651DFD"/>
    <w:rsid w:val="00652050"/>
    <w:rsid w:val="006523B2"/>
    <w:rsid w:val="0065391C"/>
    <w:rsid w:val="0065423F"/>
    <w:rsid w:val="006557D0"/>
    <w:rsid w:val="00656918"/>
    <w:rsid w:val="00657A92"/>
    <w:rsid w:val="00660025"/>
    <w:rsid w:val="00660E3E"/>
    <w:rsid w:val="00662E74"/>
    <w:rsid w:val="00663261"/>
    <w:rsid w:val="006643D4"/>
    <w:rsid w:val="006644CD"/>
    <w:rsid w:val="00665006"/>
    <w:rsid w:val="006660B8"/>
    <w:rsid w:val="00667231"/>
    <w:rsid w:val="006705B0"/>
    <w:rsid w:val="006711A2"/>
    <w:rsid w:val="00671702"/>
    <w:rsid w:val="006717C6"/>
    <w:rsid w:val="0067196D"/>
    <w:rsid w:val="006727A1"/>
    <w:rsid w:val="00672EE5"/>
    <w:rsid w:val="00675961"/>
    <w:rsid w:val="00676580"/>
    <w:rsid w:val="00676F3C"/>
    <w:rsid w:val="00677207"/>
    <w:rsid w:val="00680C23"/>
    <w:rsid w:val="00680E6C"/>
    <w:rsid w:val="00684A21"/>
    <w:rsid w:val="00685775"/>
    <w:rsid w:val="006901B6"/>
    <w:rsid w:val="00691766"/>
    <w:rsid w:val="006923D8"/>
    <w:rsid w:val="00692A15"/>
    <w:rsid w:val="00692FC6"/>
    <w:rsid w:val="00693766"/>
    <w:rsid w:val="00694923"/>
    <w:rsid w:val="00697B48"/>
    <w:rsid w:val="006A02A2"/>
    <w:rsid w:val="006A15EA"/>
    <w:rsid w:val="006A231F"/>
    <w:rsid w:val="006A3281"/>
    <w:rsid w:val="006A37B3"/>
    <w:rsid w:val="006A3DC0"/>
    <w:rsid w:val="006A4F09"/>
    <w:rsid w:val="006A4FC4"/>
    <w:rsid w:val="006A50DB"/>
    <w:rsid w:val="006A519D"/>
    <w:rsid w:val="006A54F7"/>
    <w:rsid w:val="006A5656"/>
    <w:rsid w:val="006A5DC5"/>
    <w:rsid w:val="006A622F"/>
    <w:rsid w:val="006A7E75"/>
    <w:rsid w:val="006B1649"/>
    <w:rsid w:val="006B1E23"/>
    <w:rsid w:val="006B2D26"/>
    <w:rsid w:val="006B366B"/>
    <w:rsid w:val="006B3BC6"/>
    <w:rsid w:val="006B4888"/>
    <w:rsid w:val="006B563B"/>
    <w:rsid w:val="006B6613"/>
    <w:rsid w:val="006B6C8C"/>
    <w:rsid w:val="006B7B3B"/>
    <w:rsid w:val="006B7CEE"/>
    <w:rsid w:val="006C102D"/>
    <w:rsid w:val="006C2E45"/>
    <w:rsid w:val="006C359C"/>
    <w:rsid w:val="006C5579"/>
    <w:rsid w:val="006C6C1B"/>
    <w:rsid w:val="006C758C"/>
    <w:rsid w:val="006D1080"/>
    <w:rsid w:val="006D13B8"/>
    <w:rsid w:val="006D151E"/>
    <w:rsid w:val="006D1B36"/>
    <w:rsid w:val="006D624B"/>
    <w:rsid w:val="006D76BF"/>
    <w:rsid w:val="006E3381"/>
    <w:rsid w:val="006E3AA6"/>
    <w:rsid w:val="006E53F3"/>
    <w:rsid w:val="006E5797"/>
    <w:rsid w:val="006E737D"/>
    <w:rsid w:val="006E7F9A"/>
    <w:rsid w:val="006F0B2F"/>
    <w:rsid w:val="006F0F71"/>
    <w:rsid w:val="006F199A"/>
    <w:rsid w:val="006F494C"/>
    <w:rsid w:val="006F57A5"/>
    <w:rsid w:val="006F587F"/>
    <w:rsid w:val="006F69BB"/>
    <w:rsid w:val="006F72FB"/>
    <w:rsid w:val="006F7D61"/>
    <w:rsid w:val="00700A6A"/>
    <w:rsid w:val="00702265"/>
    <w:rsid w:val="007025B0"/>
    <w:rsid w:val="0070287B"/>
    <w:rsid w:val="00706CC0"/>
    <w:rsid w:val="0071136E"/>
    <w:rsid w:val="0071164A"/>
    <w:rsid w:val="00712AD7"/>
    <w:rsid w:val="00712FD3"/>
    <w:rsid w:val="00714FD2"/>
    <w:rsid w:val="0071553C"/>
    <w:rsid w:val="00720A24"/>
    <w:rsid w:val="00721685"/>
    <w:rsid w:val="00722BD5"/>
    <w:rsid w:val="00722DF8"/>
    <w:rsid w:val="00724243"/>
    <w:rsid w:val="007244A9"/>
    <w:rsid w:val="0072481A"/>
    <w:rsid w:val="007279E6"/>
    <w:rsid w:val="00727BC5"/>
    <w:rsid w:val="00730247"/>
    <w:rsid w:val="007313DF"/>
    <w:rsid w:val="0073162D"/>
    <w:rsid w:val="00732386"/>
    <w:rsid w:val="0073514D"/>
    <w:rsid w:val="0073717F"/>
    <w:rsid w:val="0074085E"/>
    <w:rsid w:val="0074144C"/>
    <w:rsid w:val="007437DD"/>
    <w:rsid w:val="00743812"/>
    <w:rsid w:val="007447F3"/>
    <w:rsid w:val="007460AF"/>
    <w:rsid w:val="00750491"/>
    <w:rsid w:val="00750EE0"/>
    <w:rsid w:val="0075297E"/>
    <w:rsid w:val="00753161"/>
    <w:rsid w:val="007539AC"/>
    <w:rsid w:val="00753D8D"/>
    <w:rsid w:val="00753EC9"/>
    <w:rsid w:val="0075499F"/>
    <w:rsid w:val="00755AE1"/>
    <w:rsid w:val="00755C3E"/>
    <w:rsid w:val="00757F16"/>
    <w:rsid w:val="0076047D"/>
    <w:rsid w:val="00761074"/>
    <w:rsid w:val="00762193"/>
    <w:rsid w:val="00763DA4"/>
    <w:rsid w:val="00763F3A"/>
    <w:rsid w:val="007643C1"/>
    <w:rsid w:val="00764AA9"/>
    <w:rsid w:val="00764DD8"/>
    <w:rsid w:val="00765DCD"/>
    <w:rsid w:val="007661C8"/>
    <w:rsid w:val="00770743"/>
    <w:rsid w:val="0077098D"/>
    <w:rsid w:val="0077585F"/>
    <w:rsid w:val="00780751"/>
    <w:rsid w:val="00780A9B"/>
    <w:rsid w:val="00780F0A"/>
    <w:rsid w:val="00782B03"/>
    <w:rsid w:val="007832A7"/>
    <w:rsid w:val="00783386"/>
    <w:rsid w:val="00783DFB"/>
    <w:rsid w:val="00783F9D"/>
    <w:rsid w:val="00785D36"/>
    <w:rsid w:val="007871E3"/>
    <w:rsid w:val="0079182A"/>
    <w:rsid w:val="00791A8C"/>
    <w:rsid w:val="007931FA"/>
    <w:rsid w:val="007948F6"/>
    <w:rsid w:val="00794E27"/>
    <w:rsid w:val="00794F8F"/>
    <w:rsid w:val="00796413"/>
    <w:rsid w:val="00797289"/>
    <w:rsid w:val="00797375"/>
    <w:rsid w:val="00797537"/>
    <w:rsid w:val="007A01C9"/>
    <w:rsid w:val="007A0221"/>
    <w:rsid w:val="007A1506"/>
    <w:rsid w:val="007A16FE"/>
    <w:rsid w:val="007A21E8"/>
    <w:rsid w:val="007A2AF7"/>
    <w:rsid w:val="007A3833"/>
    <w:rsid w:val="007A4861"/>
    <w:rsid w:val="007A4DED"/>
    <w:rsid w:val="007A50B5"/>
    <w:rsid w:val="007A5899"/>
    <w:rsid w:val="007A5DD3"/>
    <w:rsid w:val="007A7BBA"/>
    <w:rsid w:val="007A7CFE"/>
    <w:rsid w:val="007A7D55"/>
    <w:rsid w:val="007B0C50"/>
    <w:rsid w:val="007B1B83"/>
    <w:rsid w:val="007B1D5D"/>
    <w:rsid w:val="007B4297"/>
    <w:rsid w:val="007B46E4"/>
    <w:rsid w:val="007B53BD"/>
    <w:rsid w:val="007B7467"/>
    <w:rsid w:val="007C1958"/>
    <w:rsid w:val="007C1A43"/>
    <w:rsid w:val="007C3C44"/>
    <w:rsid w:val="007C3CB4"/>
    <w:rsid w:val="007C3D66"/>
    <w:rsid w:val="007C3DB2"/>
    <w:rsid w:val="007C5BBC"/>
    <w:rsid w:val="007C609F"/>
    <w:rsid w:val="007C6348"/>
    <w:rsid w:val="007D0347"/>
    <w:rsid w:val="007D2405"/>
    <w:rsid w:val="007D2F14"/>
    <w:rsid w:val="007D3393"/>
    <w:rsid w:val="007D480B"/>
    <w:rsid w:val="007D597C"/>
    <w:rsid w:val="007D6917"/>
    <w:rsid w:val="007D6AD3"/>
    <w:rsid w:val="007E0F7E"/>
    <w:rsid w:val="007E13D6"/>
    <w:rsid w:val="007E1818"/>
    <w:rsid w:val="007E2E30"/>
    <w:rsid w:val="007E3909"/>
    <w:rsid w:val="007E3EDD"/>
    <w:rsid w:val="007E53B9"/>
    <w:rsid w:val="007E66C1"/>
    <w:rsid w:val="007E7EF6"/>
    <w:rsid w:val="007F0B15"/>
    <w:rsid w:val="007F34C5"/>
    <w:rsid w:val="007F4093"/>
    <w:rsid w:val="007F4855"/>
    <w:rsid w:val="007F58F6"/>
    <w:rsid w:val="007F5BF8"/>
    <w:rsid w:val="007F67DA"/>
    <w:rsid w:val="007F7EC2"/>
    <w:rsid w:val="0080013E"/>
    <w:rsid w:val="00800225"/>
    <w:rsid w:val="00801968"/>
    <w:rsid w:val="008019D1"/>
    <w:rsid w:val="00802C73"/>
    <w:rsid w:val="00805348"/>
    <w:rsid w:val="0080638B"/>
    <w:rsid w:val="008124F7"/>
    <w:rsid w:val="008124FB"/>
    <w:rsid w:val="00813288"/>
    <w:rsid w:val="0081412B"/>
    <w:rsid w:val="008168FC"/>
    <w:rsid w:val="00816AE1"/>
    <w:rsid w:val="008172BA"/>
    <w:rsid w:val="008216EE"/>
    <w:rsid w:val="00822592"/>
    <w:rsid w:val="008237F5"/>
    <w:rsid w:val="00823905"/>
    <w:rsid w:val="00826F01"/>
    <w:rsid w:val="00827F24"/>
    <w:rsid w:val="00830996"/>
    <w:rsid w:val="00831575"/>
    <w:rsid w:val="00831DD9"/>
    <w:rsid w:val="00832C32"/>
    <w:rsid w:val="00833020"/>
    <w:rsid w:val="008336EB"/>
    <w:rsid w:val="00833C2A"/>
    <w:rsid w:val="008345F1"/>
    <w:rsid w:val="00836597"/>
    <w:rsid w:val="00836DF8"/>
    <w:rsid w:val="00837782"/>
    <w:rsid w:val="00840F74"/>
    <w:rsid w:val="00842E11"/>
    <w:rsid w:val="0084351E"/>
    <w:rsid w:val="00844420"/>
    <w:rsid w:val="0084478F"/>
    <w:rsid w:val="00844F80"/>
    <w:rsid w:val="00844F84"/>
    <w:rsid w:val="00845157"/>
    <w:rsid w:val="008464A5"/>
    <w:rsid w:val="0084706D"/>
    <w:rsid w:val="008476D4"/>
    <w:rsid w:val="008513E7"/>
    <w:rsid w:val="008525A5"/>
    <w:rsid w:val="00852EC2"/>
    <w:rsid w:val="00854263"/>
    <w:rsid w:val="00854F4F"/>
    <w:rsid w:val="00856C4C"/>
    <w:rsid w:val="00860471"/>
    <w:rsid w:val="00863F0E"/>
    <w:rsid w:val="008648BC"/>
    <w:rsid w:val="00864BA8"/>
    <w:rsid w:val="00865B07"/>
    <w:rsid w:val="008667EA"/>
    <w:rsid w:val="00874DA9"/>
    <w:rsid w:val="0087637F"/>
    <w:rsid w:val="0087701B"/>
    <w:rsid w:val="00877F06"/>
    <w:rsid w:val="00880307"/>
    <w:rsid w:val="00880AD1"/>
    <w:rsid w:val="00882728"/>
    <w:rsid w:val="00883442"/>
    <w:rsid w:val="00883ED4"/>
    <w:rsid w:val="00883FA0"/>
    <w:rsid w:val="00884ABB"/>
    <w:rsid w:val="0088676B"/>
    <w:rsid w:val="00887242"/>
    <w:rsid w:val="00887320"/>
    <w:rsid w:val="0088742B"/>
    <w:rsid w:val="00887980"/>
    <w:rsid w:val="00887CAC"/>
    <w:rsid w:val="00887EAE"/>
    <w:rsid w:val="008904D2"/>
    <w:rsid w:val="008918B2"/>
    <w:rsid w:val="00892AD5"/>
    <w:rsid w:val="008932BF"/>
    <w:rsid w:val="00894554"/>
    <w:rsid w:val="0089455D"/>
    <w:rsid w:val="0089464D"/>
    <w:rsid w:val="008947EA"/>
    <w:rsid w:val="008948A6"/>
    <w:rsid w:val="00895003"/>
    <w:rsid w:val="008963EE"/>
    <w:rsid w:val="008964C8"/>
    <w:rsid w:val="00897D81"/>
    <w:rsid w:val="00897EA9"/>
    <w:rsid w:val="008A02BD"/>
    <w:rsid w:val="008A1512"/>
    <w:rsid w:val="008A2A38"/>
    <w:rsid w:val="008A2C3D"/>
    <w:rsid w:val="008A6C53"/>
    <w:rsid w:val="008B0275"/>
    <w:rsid w:val="008B0566"/>
    <w:rsid w:val="008B06AF"/>
    <w:rsid w:val="008B06B9"/>
    <w:rsid w:val="008B14D2"/>
    <w:rsid w:val="008B22C5"/>
    <w:rsid w:val="008B2EAE"/>
    <w:rsid w:val="008B3127"/>
    <w:rsid w:val="008B32D8"/>
    <w:rsid w:val="008B3A73"/>
    <w:rsid w:val="008B3D75"/>
    <w:rsid w:val="008B4C86"/>
    <w:rsid w:val="008B4D64"/>
    <w:rsid w:val="008B4E7B"/>
    <w:rsid w:val="008B5636"/>
    <w:rsid w:val="008B570A"/>
    <w:rsid w:val="008B6B09"/>
    <w:rsid w:val="008C0108"/>
    <w:rsid w:val="008C1085"/>
    <w:rsid w:val="008C1F19"/>
    <w:rsid w:val="008C21C3"/>
    <w:rsid w:val="008C462C"/>
    <w:rsid w:val="008C4AD5"/>
    <w:rsid w:val="008C5778"/>
    <w:rsid w:val="008C592F"/>
    <w:rsid w:val="008D15B4"/>
    <w:rsid w:val="008D1833"/>
    <w:rsid w:val="008D20C7"/>
    <w:rsid w:val="008D32B9"/>
    <w:rsid w:val="008D433B"/>
    <w:rsid w:val="008D44B4"/>
    <w:rsid w:val="008D5148"/>
    <w:rsid w:val="008D56ED"/>
    <w:rsid w:val="008D581E"/>
    <w:rsid w:val="008D7139"/>
    <w:rsid w:val="008D71B4"/>
    <w:rsid w:val="008E0120"/>
    <w:rsid w:val="008E0326"/>
    <w:rsid w:val="008E3D9D"/>
    <w:rsid w:val="008E47DA"/>
    <w:rsid w:val="008E4E2D"/>
    <w:rsid w:val="008E4FF2"/>
    <w:rsid w:val="008E566E"/>
    <w:rsid w:val="008F1261"/>
    <w:rsid w:val="008F1363"/>
    <w:rsid w:val="008F1429"/>
    <w:rsid w:val="008F2649"/>
    <w:rsid w:val="008F3761"/>
    <w:rsid w:val="008F5431"/>
    <w:rsid w:val="008F54A9"/>
    <w:rsid w:val="008F5B82"/>
    <w:rsid w:val="008F609F"/>
    <w:rsid w:val="008F72DF"/>
    <w:rsid w:val="00900FB5"/>
    <w:rsid w:val="00901457"/>
    <w:rsid w:val="0090161A"/>
    <w:rsid w:val="00901B5B"/>
    <w:rsid w:val="00901EB6"/>
    <w:rsid w:val="009038AE"/>
    <w:rsid w:val="00904C62"/>
    <w:rsid w:val="0090658D"/>
    <w:rsid w:val="009079B0"/>
    <w:rsid w:val="00910F40"/>
    <w:rsid w:val="009126AF"/>
    <w:rsid w:val="0091287A"/>
    <w:rsid w:val="0091418A"/>
    <w:rsid w:val="00915456"/>
    <w:rsid w:val="00915E4F"/>
    <w:rsid w:val="00915EBA"/>
    <w:rsid w:val="00921163"/>
    <w:rsid w:val="0092162E"/>
    <w:rsid w:val="00922BA8"/>
    <w:rsid w:val="009232C9"/>
    <w:rsid w:val="009232CE"/>
    <w:rsid w:val="00923FCA"/>
    <w:rsid w:val="009244C4"/>
    <w:rsid w:val="00924DAC"/>
    <w:rsid w:val="009251C5"/>
    <w:rsid w:val="00925D56"/>
    <w:rsid w:val="00925F49"/>
    <w:rsid w:val="00927058"/>
    <w:rsid w:val="00930BF5"/>
    <w:rsid w:val="00932B7A"/>
    <w:rsid w:val="00932C22"/>
    <w:rsid w:val="00932DF9"/>
    <w:rsid w:val="00933992"/>
    <w:rsid w:val="00933FCD"/>
    <w:rsid w:val="0093465C"/>
    <w:rsid w:val="00934A89"/>
    <w:rsid w:val="009354BD"/>
    <w:rsid w:val="00935D42"/>
    <w:rsid w:val="009362AF"/>
    <w:rsid w:val="00936514"/>
    <w:rsid w:val="0093743B"/>
    <w:rsid w:val="00937FD9"/>
    <w:rsid w:val="009407F6"/>
    <w:rsid w:val="009419B6"/>
    <w:rsid w:val="00941B05"/>
    <w:rsid w:val="00942750"/>
    <w:rsid w:val="00945061"/>
    <w:rsid w:val="009450CE"/>
    <w:rsid w:val="009453C9"/>
    <w:rsid w:val="00946BF3"/>
    <w:rsid w:val="0094715C"/>
    <w:rsid w:val="00947179"/>
    <w:rsid w:val="00950314"/>
    <w:rsid w:val="00950D6C"/>
    <w:rsid w:val="00951533"/>
    <w:rsid w:val="0095164B"/>
    <w:rsid w:val="00954090"/>
    <w:rsid w:val="00954C9D"/>
    <w:rsid w:val="00955169"/>
    <w:rsid w:val="009552B3"/>
    <w:rsid w:val="00955B00"/>
    <w:rsid w:val="00955ED4"/>
    <w:rsid w:val="009569F1"/>
    <w:rsid w:val="0095706B"/>
    <w:rsid w:val="009573E7"/>
    <w:rsid w:val="00957734"/>
    <w:rsid w:val="0095782F"/>
    <w:rsid w:val="00960815"/>
    <w:rsid w:val="0096199E"/>
    <w:rsid w:val="00961F24"/>
    <w:rsid w:val="009620AE"/>
    <w:rsid w:val="009625BA"/>
    <w:rsid w:val="009627D5"/>
    <w:rsid w:val="00962BAD"/>
    <w:rsid w:val="00963E05"/>
    <w:rsid w:val="00964C1F"/>
    <w:rsid w:val="00967076"/>
    <w:rsid w:val="009672E7"/>
    <w:rsid w:val="00967C43"/>
    <w:rsid w:val="00967D54"/>
    <w:rsid w:val="0097001D"/>
    <w:rsid w:val="009709F0"/>
    <w:rsid w:val="00971028"/>
    <w:rsid w:val="009761A1"/>
    <w:rsid w:val="009775D5"/>
    <w:rsid w:val="00981D03"/>
    <w:rsid w:val="00981D0A"/>
    <w:rsid w:val="00982FE2"/>
    <w:rsid w:val="009854AE"/>
    <w:rsid w:val="00985EDE"/>
    <w:rsid w:val="00987143"/>
    <w:rsid w:val="0098798A"/>
    <w:rsid w:val="00990486"/>
    <w:rsid w:val="00990F03"/>
    <w:rsid w:val="0099115E"/>
    <w:rsid w:val="00991EAA"/>
    <w:rsid w:val="00992C3D"/>
    <w:rsid w:val="00992FB4"/>
    <w:rsid w:val="00996483"/>
    <w:rsid w:val="00996F5A"/>
    <w:rsid w:val="009A1B50"/>
    <w:rsid w:val="009A26F3"/>
    <w:rsid w:val="009A52F2"/>
    <w:rsid w:val="009A6000"/>
    <w:rsid w:val="009A72DF"/>
    <w:rsid w:val="009B041A"/>
    <w:rsid w:val="009B0E8B"/>
    <w:rsid w:val="009B12AC"/>
    <w:rsid w:val="009B1595"/>
    <w:rsid w:val="009B5066"/>
    <w:rsid w:val="009B51D6"/>
    <w:rsid w:val="009B655F"/>
    <w:rsid w:val="009B73A4"/>
    <w:rsid w:val="009B7955"/>
    <w:rsid w:val="009C1F8B"/>
    <w:rsid w:val="009C3634"/>
    <w:rsid w:val="009C37C3"/>
    <w:rsid w:val="009C534B"/>
    <w:rsid w:val="009C56AC"/>
    <w:rsid w:val="009C6426"/>
    <w:rsid w:val="009C6ECF"/>
    <w:rsid w:val="009C7C86"/>
    <w:rsid w:val="009D0E66"/>
    <w:rsid w:val="009D26CF"/>
    <w:rsid w:val="009D2FF7"/>
    <w:rsid w:val="009D30C0"/>
    <w:rsid w:val="009D3B07"/>
    <w:rsid w:val="009D4C0B"/>
    <w:rsid w:val="009D4C98"/>
    <w:rsid w:val="009D6104"/>
    <w:rsid w:val="009E0A70"/>
    <w:rsid w:val="009E1715"/>
    <w:rsid w:val="009E4451"/>
    <w:rsid w:val="009E545D"/>
    <w:rsid w:val="009E5D06"/>
    <w:rsid w:val="009E6355"/>
    <w:rsid w:val="009E72B5"/>
    <w:rsid w:val="009E7884"/>
    <w:rsid w:val="009E788A"/>
    <w:rsid w:val="009F0119"/>
    <w:rsid w:val="009F06ED"/>
    <w:rsid w:val="009F0C60"/>
    <w:rsid w:val="009F0E08"/>
    <w:rsid w:val="009F1478"/>
    <w:rsid w:val="009F18D3"/>
    <w:rsid w:val="009F44EE"/>
    <w:rsid w:val="009F53DA"/>
    <w:rsid w:val="009F585B"/>
    <w:rsid w:val="009F61F7"/>
    <w:rsid w:val="00A002F8"/>
    <w:rsid w:val="00A00751"/>
    <w:rsid w:val="00A030ED"/>
    <w:rsid w:val="00A031AE"/>
    <w:rsid w:val="00A035B7"/>
    <w:rsid w:val="00A05A57"/>
    <w:rsid w:val="00A05F76"/>
    <w:rsid w:val="00A06BBD"/>
    <w:rsid w:val="00A07F3C"/>
    <w:rsid w:val="00A11026"/>
    <w:rsid w:val="00A1439B"/>
    <w:rsid w:val="00A146C1"/>
    <w:rsid w:val="00A16FDC"/>
    <w:rsid w:val="00A1740E"/>
    <w:rsid w:val="00A1763D"/>
    <w:rsid w:val="00A179D9"/>
    <w:rsid w:val="00A17CEC"/>
    <w:rsid w:val="00A2005B"/>
    <w:rsid w:val="00A21B0E"/>
    <w:rsid w:val="00A226A4"/>
    <w:rsid w:val="00A2346E"/>
    <w:rsid w:val="00A240C6"/>
    <w:rsid w:val="00A2422E"/>
    <w:rsid w:val="00A25C7C"/>
    <w:rsid w:val="00A26974"/>
    <w:rsid w:val="00A27EF0"/>
    <w:rsid w:val="00A3106F"/>
    <w:rsid w:val="00A32651"/>
    <w:rsid w:val="00A3307A"/>
    <w:rsid w:val="00A36FFA"/>
    <w:rsid w:val="00A379E4"/>
    <w:rsid w:val="00A424B6"/>
    <w:rsid w:val="00A438F3"/>
    <w:rsid w:val="00A44F7F"/>
    <w:rsid w:val="00A46192"/>
    <w:rsid w:val="00A46BDB"/>
    <w:rsid w:val="00A47132"/>
    <w:rsid w:val="00A5006E"/>
    <w:rsid w:val="00A50273"/>
    <w:rsid w:val="00A50B20"/>
    <w:rsid w:val="00A511EC"/>
    <w:rsid w:val="00A51390"/>
    <w:rsid w:val="00A5180A"/>
    <w:rsid w:val="00A5434C"/>
    <w:rsid w:val="00A549B6"/>
    <w:rsid w:val="00A54AC2"/>
    <w:rsid w:val="00A55FFF"/>
    <w:rsid w:val="00A6027D"/>
    <w:rsid w:val="00A60A6D"/>
    <w:rsid w:val="00A60D13"/>
    <w:rsid w:val="00A610F1"/>
    <w:rsid w:val="00A613F1"/>
    <w:rsid w:val="00A63766"/>
    <w:rsid w:val="00A64510"/>
    <w:rsid w:val="00A65C09"/>
    <w:rsid w:val="00A6798B"/>
    <w:rsid w:val="00A7035D"/>
    <w:rsid w:val="00A70997"/>
    <w:rsid w:val="00A72745"/>
    <w:rsid w:val="00A72BBA"/>
    <w:rsid w:val="00A7349E"/>
    <w:rsid w:val="00A74249"/>
    <w:rsid w:val="00A74AB2"/>
    <w:rsid w:val="00A74CA6"/>
    <w:rsid w:val="00A76EFC"/>
    <w:rsid w:val="00A77751"/>
    <w:rsid w:val="00A80669"/>
    <w:rsid w:val="00A81C78"/>
    <w:rsid w:val="00A834CF"/>
    <w:rsid w:val="00A8380A"/>
    <w:rsid w:val="00A84964"/>
    <w:rsid w:val="00A854B6"/>
    <w:rsid w:val="00A85D3D"/>
    <w:rsid w:val="00A8635C"/>
    <w:rsid w:val="00A86383"/>
    <w:rsid w:val="00A91010"/>
    <w:rsid w:val="00A92C5C"/>
    <w:rsid w:val="00A952FE"/>
    <w:rsid w:val="00A97F29"/>
    <w:rsid w:val="00AA4548"/>
    <w:rsid w:val="00AA5EED"/>
    <w:rsid w:val="00AA60CD"/>
    <w:rsid w:val="00AA702E"/>
    <w:rsid w:val="00AA79B3"/>
    <w:rsid w:val="00AA7E54"/>
    <w:rsid w:val="00AB0964"/>
    <w:rsid w:val="00AB146F"/>
    <w:rsid w:val="00AB14DC"/>
    <w:rsid w:val="00AB1570"/>
    <w:rsid w:val="00AB15D9"/>
    <w:rsid w:val="00AB24D7"/>
    <w:rsid w:val="00AB2C0E"/>
    <w:rsid w:val="00AB312C"/>
    <w:rsid w:val="00AB4081"/>
    <w:rsid w:val="00AB5011"/>
    <w:rsid w:val="00AB5065"/>
    <w:rsid w:val="00AB6CE8"/>
    <w:rsid w:val="00AB6D33"/>
    <w:rsid w:val="00AC1939"/>
    <w:rsid w:val="00AC30A9"/>
    <w:rsid w:val="00AC3E6D"/>
    <w:rsid w:val="00AC40F0"/>
    <w:rsid w:val="00AC488B"/>
    <w:rsid w:val="00AC72D4"/>
    <w:rsid w:val="00AC7368"/>
    <w:rsid w:val="00AC7747"/>
    <w:rsid w:val="00AD0B93"/>
    <w:rsid w:val="00AD1008"/>
    <w:rsid w:val="00AD136A"/>
    <w:rsid w:val="00AD16B9"/>
    <w:rsid w:val="00AD1B6C"/>
    <w:rsid w:val="00AD29A1"/>
    <w:rsid w:val="00AD3FE6"/>
    <w:rsid w:val="00AD4407"/>
    <w:rsid w:val="00AD5322"/>
    <w:rsid w:val="00AD536E"/>
    <w:rsid w:val="00AD6529"/>
    <w:rsid w:val="00AD7444"/>
    <w:rsid w:val="00AE0292"/>
    <w:rsid w:val="00AE0B2D"/>
    <w:rsid w:val="00AE1BE7"/>
    <w:rsid w:val="00AE2A13"/>
    <w:rsid w:val="00AE313D"/>
    <w:rsid w:val="00AE377D"/>
    <w:rsid w:val="00AE4F9A"/>
    <w:rsid w:val="00AE511E"/>
    <w:rsid w:val="00AE57C5"/>
    <w:rsid w:val="00AE5B9C"/>
    <w:rsid w:val="00AE5F13"/>
    <w:rsid w:val="00AE75DC"/>
    <w:rsid w:val="00AF017D"/>
    <w:rsid w:val="00AF3727"/>
    <w:rsid w:val="00AF40B0"/>
    <w:rsid w:val="00AF4518"/>
    <w:rsid w:val="00AF4A62"/>
    <w:rsid w:val="00B02C8A"/>
    <w:rsid w:val="00B04832"/>
    <w:rsid w:val="00B050D3"/>
    <w:rsid w:val="00B0718E"/>
    <w:rsid w:val="00B07FF2"/>
    <w:rsid w:val="00B10547"/>
    <w:rsid w:val="00B12B76"/>
    <w:rsid w:val="00B1402A"/>
    <w:rsid w:val="00B169FB"/>
    <w:rsid w:val="00B16CA3"/>
    <w:rsid w:val="00B17582"/>
    <w:rsid w:val="00B17FBD"/>
    <w:rsid w:val="00B20123"/>
    <w:rsid w:val="00B203C0"/>
    <w:rsid w:val="00B211DF"/>
    <w:rsid w:val="00B221A7"/>
    <w:rsid w:val="00B23DA5"/>
    <w:rsid w:val="00B24B19"/>
    <w:rsid w:val="00B24E83"/>
    <w:rsid w:val="00B260DF"/>
    <w:rsid w:val="00B312CF"/>
    <w:rsid w:val="00B315A6"/>
    <w:rsid w:val="00B31813"/>
    <w:rsid w:val="00B31C69"/>
    <w:rsid w:val="00B326A4"/>
    <w:rsid w:val="00B329CD"/>
    <w:rsid w:val="00B32D33"/>
    <w:rsid w:val="00B32E9F"/>
    <w:rsid w:val="00B33365"/>
    <w:rsid w:val="00B34136"/>
    <w:rsid w:val="00B3476D"/>
    <w:rsid w:val="00B34958"/>
    <w:rsid w:val="00B349C9"/>
    <w:rsid w:val="00B35459"/>
    <w:rsid w:val="00B36F06"/>
    <w:rsid w:val="00B3720F"/>
    <w:rsid w:val="00B37271"/>
    <w:rsid w:val="00B37A05"/>
    <w:rsid w:val="00B37C0C"/>
    <w:rsid w:val="00B40462"/>
    <w:rsid w:val="00B4106C"/>
    <w:rsid w:val="00B41500"/>
    <w:rsid w:val="00B41A97"/>
    <w:rsid w:val="00B443FC"/>
    <w:rsid w:val="00B45F5E"/>
    <w:rsid w:val="00B5026A"/>
    <w:rsid w:val="00B529F7"/>
    <w:rsid w:val="00B52FA9"/>
    <w:rsid w:val="00B54E1B"/>
    <w:rsid w:val="00B55468"/>
    <w:rsid w:val="00B555D3"/>
    <w:rsid w:val="00B55F3D"/>
    <w:rsid w:val="00B565E5"/>
    <w:rsid w:val="00B56F39"/>
    <w:rsid w:val="00B57B36"/>
    <w:rsid w:val="00B57BD6"/>
    <w:rsid w:val="00B60003"/>
    <w:rsid w:val="00B600D6"/>
    <w:rsid w:val="00B60128"/>
    <w:rsid w:val="00B61420"/>
    <w:rsid w:val="00B61CD1"/>
    <w:rsid w:val="00B61FDB"/>
    <w:rsid w:val="00B639D8"/>
    <w:rsid w:val="00B64063"/>
    <w:rsid w:val="00B646FF"/>
    <w:rsid w:val="00B65DB7"/>
    <w:rsid w:val="00B65FA7"/>
    <w:rsid w:val="00B66911"/>
    <w:rsid w:val="00B66A6F"/>
    <w:rsid w:val="00B7161C"/>
    <w:rsid w:val="00B73823"/>
    <w:rsid w:val="00B773EB"/>
    <w:rsid w:val="00B81A10"/>
    <w:rsid w:val="00B82BEA"/>
    <w:rsid w:val="00B86663"/>
    <w:rsid w:val="00B8686D"/>
    <w:rsid w:val="00B901D5"/>
    <w:rsid w:val="00B916C7"/>
    <w:rsid w:val="00B929B1"/>
    <w:rsid w:val="00B92A18"/>
    <w:rsid w:val="00B92F8B"/>
    <w:rsid w:val="00B94C50"/>
    <w:rsid w:val="00B9613D"/>
    <w:rsid w:val="00B968B4"/>
    <w:rsid w:val="00BA030D"/>
    <w:rsid w:val="00BA0935"/>
    <w:rsid w:val="00BA1D41"/>
    <w:rsid w:val="00BA2F67"/>
    <w:rsid w:val="00BA3B1D"/>
    <w:rsid w:val="00BA3CA6"/>
    <w:rsid w:val="00BA52CA"/>
    <w:rsid w:val="00BA6735"/>
    <w:rsid w:val="00BA6F1B"/>
    <w:rsid w:val="00BB05D5"/>
    <w:rsid w:val="00BB0DDC"/>
    <w:rsid w:val="00BB1DDC"/>
    <w:rsid w:val="00BB26F2"/>
    <w:rsid w:val="00BB2FFD"/>
    <w:rsid w:val="00BB51F3"/>
    <w:rsid w:val="00BB59E9"/>
    <w:rsid w:val="00BB76D4"/>
    <w:rsid w:val="00BB7FA4"/>
    <w:rsid w:val="00BC00F0"/>
    <w:rsid w:val="00BC0B6B"/>
    <w:rsid w:val="00BC0E08"/>
    <w:rsid w:val="00BC1830"/>
    <w:rsid w:val="00BC1DE2"/>
    <w:rsid w:val="00BC2764"/>
    <w:rsid w:val="00BC30C9"/>
    <w:rsid w:val="00BC3489"/>
    <w:rsid w:val="00BC4446"/>
    <w:rsid w:val="00BC44CC"/>
    <w:rsid w:val="00BC5AF8"/>
    <w:rsid w:val="00BD0681"/>
    <w:rsid w:val="00BD08C4"/>
    <w:rsid w:val="00BD19C1"/>
    <w:rsid w:val="00BD2A71"/>
    <w:rsid w:val="00BD42F1"/>
    <w:rsid w:val="00BD4A6B"/>
    <w:rsid w:val="00BD6C76"/>
    <w:rsid w:val="00BD6D07"/>
    <w:rsid w:val="00BD6F05"/>
    <w:rsid w:val="00BD7698"/>
    <w:rsid w:val="00BE12CD"/>
    <w:rsid w:val="00BE169F"/>
    <w:rsid w:val="00BE339B"/>
    <w:rsid w:val="00BE3E58"/>
    <w:rsid w:val="00BE424F"/>
    <w:rsid w:val="00BE621E"/>
    <w:rsid w:val="00BE637A"/>
    <w:rsid w:val="00BE6937"/>
    <w:rsid w:val="00BE74D5"/>
    <w:rsid w:val="00BF1857"/>
    <w:rsid w:val="00BF3CA5"/>
    <w:rsid w:val="00BF4A94"/>
    <w:rsid w:val="00BF4BBD"/>
    <w:rsid w:val="00BF6314"/>
    <w:rsid w:val="00C01616"/>
    <w:rsid w:val="00C0161A"/>
    <w:rsid w:val="00C0162B"/>
    <w:rsid w:val="00C026C5"/>
    <w:rsid w:val="00C02ABD"/>
    <w:rsid w:val="00C035E0"/>
    <w:rsid w:val="00C0375C"/>
    <w:rsid w:val="00C052F4"/>
    <w:rsid w:val="00C05753"/>
    <w:rsid w:val="00C062E1"/>
    <w:rsid w:val="00C068ED"/>
    <w:rsid w:val="00C06CBD"/>
    <w:rsid w:val="00C06EC1"/>
    <w:rsid w:val="00C07441"/>
    <w:rsid w:val="00C12460"/>
    <w:rsid w:val="00C12BF1"/>
    <w:rsid w:val="00C152F3"/>
    <w:rsid w:val="00C15797"/>
    <w:rsid w:val="00C17346"/>
    <w:rsid w:val="00C17496"/>
    <w:rsid w:val="00C17F6B"/>
    <w:rsid w:val="00C2090C"/>
    <w:rsid w:val="00C210B8"/>
    <w:rsid w:val="00C2261E"/>
    <w:rsid w:val="00C23302"/>
    <w:rsid w:val="00C23691"/>
    <w:rsid w:val="00C244DE"/>
    <w:rsid w:val="00C24A83"/>
    <w:rsid w:val="00C25FD9"/>
    <w:rsid w:val="00C2693D"/>
    <w:rsid w:val="00C27403"/>
    <w:rsid w:val="00C329D6"/>
    <w:rsid w:val="00C339B0"/>
    <w:rsid w:val="00C3447F"/>
    <w:rsid w:val="00C345B1"/>
    <w:rsid w:val="00C3477D"/>
    <w:rsid w:val="00C35DC8"/>
    <w:rsid w:val="00C36872"/>
    <w:rsid w:val="00C40142"/>
    <w:rsid w:val="00C40557"/>
    <w:rsid w:val="00C406A9"/>
    <w:rsid w:val="00C4155B"/>
    <w:rsid w:val="00C43CCB"/>
    <w:rsid w:val="00C4478D"/>
    <w:rsid w:val="00C450F7"/>
    <w:rsid w:val="00C45BD1"/>
    <w:rsid w:val="00C46025"/>
    <w:rsid w:val="00C460CC"/>
    <w:rsid w:val="00C46E4D"/>
    <w:rsid w:val="00C4733F"/>
    <w:rsid w:val="00C50096"/>
    <w:rsid w:val="00C50F3F"/>
    <w:rsid w:val="00C525BD"/>
    <w:rsid w:val="00C531BB"/>
    <w:rsid w:val="00C55B12"/>
    <w:rsid w:val="00C5662B"/>
    <w:rsid w:val="00C57182"/>
    <w:rsid w:val="00C57582"/>
    <w:rsid w:val="00C57863"/>
    <w:rsid w:val="00C615F5"/>
    <w:rsid w:val="00C61AA3"/>
    <w:rsid w:val="00C61EA2"/>
    <w:rsid w:val="00C61F9B"/>
    <w:rsid w:val="00C62F84"/>
    <w:rsid w:val="00C63379"/>
    <w:rsid w:val="00C637F1"/>
    <w:rsid w:val="00C648EC"/>
    <w:rsid w:val="00C65298"/>
    <w:rsid w:val="00C655FD"/>
    <w:rsid w:val="00C65DEB"/>
    <w:rsid w:val="00C668CA"/>
    <w:rsid w:val="00C709F9"/>
    <w:rsid w:val="00C72002"/>
    <w:rsid w:val="00C7439E"/>
    <w:rsid w:val="00C74423"/>
    <w:rsid w:val="00C753D8"/>
    <w:rsid w:val="00C75407"/>
    <w:rsid w:val="00C75D32"/>
    <w:rsid w:val="00C7606B"/>
    <w:rsid w:val="00C76D88"/>
    <w:rsid w:val="00C81249"/>
    <w:rsid w:val="00C81383"/>
    <w:rsid w:val="00C81F8D"/>
    <w:rsid w:val="00C82121"/>
    <w:rsid w:val="00C82DEE"/>
    <w:rsid w:val="00C850C1"/>
    <w:rsid w:val="00C85625"/>
    <w:rsid w:val="00C870A8"/>
    <w:rsid w:val="00C91A1B"/>
    <w:rsid w:val="00C91D2D"/>
    <w:rsid w:val="00C92F82"/>
    <w:rsid w:val="00C94434"/>
    <w:rsid w:val="00C96131"/>
    <w:rsid w:val="00C9661E"/>
    <w:rsid w:val="00C967FE"/>
    <w:rsid w:val="00C976D6"/>
    <w:rsid w:val="00C97D2A"/>
    <w:rsid w:val="00CA0D75"/>
    <w:rsid w:val="00CA1C95"/>
    <w:rsid w:val="00CA22F4"/>
    <w:rsid w:val="00CA510C"/>
    <w:rsid w:val="00CA57EA"/>
    <w:rsid w:val="00CA5A9C"/>
    <w:rsid w:val="00CA5D16"/>
    <w:rsid w:val="00CB194E"/>
    <w:rsid w:val="00CB1B66"/>
    <w:rsid w:val="00CB33A1"/>
    <w:rsid w:val="00CB49E3"/>
    <w:rsid w:val="00CB5E64"/>
    <w:rsid w:val="00CB718E"/>
    <w:rsid w:val="00CB7B82"/>
    <w:rsid w:val="00CC04F7"/>
    <w:rsid w:val="00CC0AA4"/>
    <w:rsid w:val="00CC14AE"/>
    <w:rsid w:val="00CC1D8F"/>
    <w:rsid w:val="00CC4C20"/>
    <w:rsid w:val="00CC6ACE"/>
    <w:rsid w:val="00CC6B8E"/>
    <w:rsid w:val="00CC6FED"/>
    <w:rsid w:val="00CD0E70"/>
    <w:rsid w:val="00CD138C"/>
    <w:rsid w:val="00CD1DA3"/>
    <w:rsid w:val="00CD2449"/>
    <w:rsid w:val="00CD30DE"/>
    <w:rsid w:val="00CD3517"/>
    <w:rsid w:val="00CD3CCC"/>
    <w:rsid w:val="00CD4726"/>
    <w:rsid w:val="00CD5068"/>
    <w:rsid w:val="00CD5FE2"/>
    <w:rsid w:val="00CD6A39"/>
    <w:rsid w:val="00CD720B"/>
    <w:rsid w:val="00CE2190"/>
    <w:rsid w:val="00CE320A"/>
    <w:rsid w:val="00CE48B9"/>
    <w:rsid w:val="00CE68CC"/>
    <w:rsid w:val="00CE72A9"/>
    <w:rsid w:val="00CE7C68"/>
    <w:rsid w:val="00CF3D47"/>
    <w:rsid w:val="00CF5EC8"/>
    <w:rsid w:val="00CF5FD3"/>
    <w:rsid w:val="00CF60C3"/>
    <w:rsid w:val="00CF6310"/>
    <w:rsid w:val="00CF69EF"/>
    <w:rsid w:val="00D017B8"/>
    <w:rsid w:val="00D02B4C"/>
    <w:rsid w:val="00D02D2A"/>
    <w:rsid w:val="00D0365A"/>
    <w:rsid w:val="00D040C4"/>
    <w:rsid w:val="00D05A9F"/>
    <w:rsid w:val="00D0725F"/>
    <w:rsid w:val="00D07377"/>
    <w:rsid w:val="00D10612"/>
    <w:rsid w:val="00D11C2E"/>
    <w:rsid w:val="00D14C73"/>
    <w:rsid w:val="00D14D6D"/>
    <w:rsid w:val="00D150AB"/>
    <w:rsid w:val="00D21943"/>
    <w:rsid w:val="00D2300B"/>
    <w:rsid w:val="00D2401A"/>
    <w:rsid w:val="00D243AB"/>
    <w:rsid w:val="00D24520"/>
    <w:rsid w:val="00D248DC"/>
    <w:rsid w:val="00D25246"/>
    <w:rsid w:val="00D255FF"/>
    <w:rsid w:val="00D30A6E"/>
    <w:rsid w:val="00D30C72"/>
    <w:rsid w:val="00D314C1"/>
    <w:rsid w:val="00D31DE2"/>
    <w:rsid w:val="00D32AA6"/>
    <w:rsid w:val="00D32C2D"/>
    <w:rsid w:val="00D32C7F"/>
    <w:rsid w:val="00D33360"/>
    <w:rsid w:val="00D33A01"/>
    <w:rsid w:val="00D35ADF"/>
    <w:rsid w:val="00D37518"/>
    <w:rsid w:val="00D408AD"/>
    <w:rsid w:val="00D40CB1"/>
    <w:rsid w:val="00D42152"/>
    <w:rsid w:val="00D42B28"/>
    <w:rsid w:val="00D43ECD"/>
    <w:rsid w:val="00D45199"/>
    <w:rsid w:val="00D528B7"/>
    <w:rsid w:val="00D53DC3"/>
    <w:rsid w:val="00D54C61"/>
    <w:rsid w:val="00D56EC2"/>
    <w:rsid w:val="00D57C84"/>
    <w:rsid w:val="00D6030B"/>
    <w:rsid w:val="00D6057D"/>
    <w:rsid w:val="00D62679"/>
    <w:rsid w:val="00D6285E"/>
    <w:rsid w:val="00D64B05"/>
    <w:rsid w:val="00D64B91"/>
    <w:rsid w:val="00D7136A"/>
    <w:rsid w:val="00D721E1"/>
    <w:rsid w:val="00D7437E"/>
    <w:rsid w:val="00D74772"/>
    <w:rsid w:val="00D77924"/>
    <w:rsid w:val="00D80094"/>
    <w:rsid w:val="00D80EC4"/>
    <w:rsid w:val="00D80ED3"/>
    <w:rsid w:val="00D81C4C"/>
    <w:rsid w:val="00D82174"/>
    <w:rsid w:val="00D836C5"/>
    <w:rsid w:val="00D83B90"/>
    <w:rsid w:val="00D84576"/>
    <w:rsid w:val="00D849ED"/>
    <w:rsid w:val="00D857D8"/>
    <w:rsid w:val="00D86680"/>
    <w:rsid w:val="00D87A88"/>
    <w:rsid w:val="00D90130"/>
    <w:rsid w:val="00D906D5"/>
    <w:rsid w:val="00D913AA"/>
    <w:rsid w:val="00D93466"/>
    <w:rsid w:val="00D93A4B"/>
    <w:rsid w:val="00D93E26"/>
    <w:rsid w:val="00D95B3C"/>
    <w:rsid w:val="00D95F46"/>
    <w:rsid w:val="00D97199"/>
    <w:rsid w:val="00D972DB"/>
    <w:rsid w:val="00D97DA2"/>
    <w:rsid w:val="00DA034D"/>
    <w:rsid w:val="00DA0F9D"/>
    <w:rsid w:val="00DA0FF7"/>
    <w:rsid w:val="00DA1399"/>
    <w:rsid w:val="00DA24C6"/>
    <w:rsid w:val="00DA4D7B"/>
    <w:rsid w:val="00DA517B"/>
    <w:rsid w:val="00DA54BC"/>
    <w:rsid w:val="00DA70B1"/>
    <w:rsid w:val="00DA78A3"/>
    <w:rsid w:val="00DA7E9E"/>
    <w:rsid w:val="00DB0B38"/>
    <w:rsid w:val="00DB27C9"/>
    <w:rsid w:val="00DB37B8"/>
    <w:rsid w:val="00DB4C58"/>
    <w:rsid w:val="00DB5019"/>
    <w:rsid w:val="00DB5F64"/>
    <w:rsid w:val="00DB6DCA"/>
    <w:rsid w:val="00DC0DA7"/>
    <w:rsid w:val="00DC193F"/>
    <w:rsid w:val="00DC1CCA"/>
    <w:rsid w:val="00DC1E7D"/>
    <w:rsid w:val="00DC27ED"/>
    <w:rsid w:val="00DC4FBA"/>
    <w:rsid w:val="00DC5614"/>
    <w:rsid w:val="00DC5885"/>
    <w:rsid w:val="00DC6484"/>
    <w:rsid w:val="00DC6D13"/>
    <w:rsid w:val="00DC6DB0"/>
    <w:rsid w:val="00DC6DC4"/>
    <w:rsid w:val="00DC765E"/>
    <w:rsid w:val="00DC797D"/>
    <w:rsid w:val="00DD0406"/>
    <w:rsid w:val="00DD174E"/>
    <w:rsid w:val="00DD2466"/>
    <w:rsid w:val="00DD2C23"/>
    <w:rsid w:val="00DD37A7"/>
    <w:rsid w:val="00DD50E6"/>
    <w:rsid w:val="00DD567F"/>
    <w:rsid w:val="00DD624D"/>
    <w:rsid w:val="00DD6E29"/>
    <w:rsid w:val="00DD718B"/>
    <w:rsid w:val="00DE2644"/>
    <w:rsid w:val="00DE264A"/>
    <w:rsid w:val="00DE42DB"/>
    <w:rsid w:val="00DE4C46"/>
    <w:rsid w:val="00DE5053"/>
    <w:rsid w:val="00DF28B8"/>
    <w:rsid w:val="00DF2FC8"/>
    <w:rsid w:val="00DF34AC"/>
    <w:rsid w:val="00DF4491"/>
    <w:rsid w:val="00DF5072"/>
    <w:rsid w:val="00DF6772"/>
    <w:rsid w:val="00DF7F67"/>
    <w:rsid w:val="00E00B73"/>
    <w:rsid w:val="00E01CFF"/>
    <w:rsid w:val="00E02C69"/>
    <w:rsid w:val="00E02D18"/>
    <w:rsid w:val="00E03694"/>
    <w:rsid w:val="00E040B9"/>
    <w:rsid w:val="00E041E7"/>
    <w:rsid w:val="00E04525"/>
    <w:rsid w:val="00E05212"/>
    <w:rsid w:val="00E07183"/>
    <w:rsid w:val="00E07BC7"/>
    <w:rsid w:val="00E101BA"/>
    <w:rsid w:val="00E13963"/>
    <w:rsid w:val="00E15533"/>
    <w:rsid w:val="00E170A0"/>
    <w:rsid w:val="00E237C2"/>
    <w:rsid w:val="00E23CA1"/>
    <w:rsid w:val="00E23CBE"/>
    <w:rsid w:val="00E25C84"/>
    <w:rsid w:val="00E274C3"/>
    <w:rsid w:val="00E27F1A"/>
    <w:rsid w:val="00E30EB7"/>
    <w:rsid w:val="00E319A4"/>
    <w:rsid w:val="00E322E1"/>
    <w:rsid w:val="00E323D6"/>
    <w:rsid w:val="00E34A3C"/>
    <w:rsid w:val="00E3645C"/>
    <w:rsid w:val="00E401DE"/>
    <w:rsid w:val="00E409A8"/>
    <w:rsid w:val="00E40BE9"/>
    <w:rsid w:val="00E43181"/>
    <w:rsid w:val="00E43481"/>
    <w:rsid w:val="00E45FC3"/>
    <w:rsid w:val="00E463F8"/>
    <w:rsid w:val="00E50C12"/>
    <w:rsid w:val="00E51192"/>
    <w:rsid w:val="00E52DB6"/>
    <w:rsid w:val="00E52F87"/>
    <w:rsid w:val="00E531D1"/>
    <w:rsid w:val="00E54506"/>
    <w:rsid w:val="00E54AFE"/>
    <w:rsid w:val="00E5643F"/>
    <w:rsid w:val="00E56D78"/>
    <w:rsid w:val="00E571D6"/>
    <w:rsid w:val="00E608B7"/>
    <w:rsid w:val="00E62FCD"/>
    <w:rsid w:val="00E643D1"/>
    <w:rsid w:val="00E645C4"/>
    <w:rsid w:val="00E65254"/>
    <w:rsid w:val="00E658CA"/>
    <w:rsid w:val="00E65B91"/>
    <w:rsid w:val="00E662C3"/>
    <w:rsid w:val="00E6668B"/>
    <w:rsid w:val="00E666AA"/>
    <w:rsid w:val="00E66B73"/>
    <w:rsid w:val="00E67B44"/>
    <w:rsid w:val="00E700C3"/>
    <w:rsid w:val="00E70270"/>
    <w:rsid w:val="00E71029"/>
    <w:rsid w:val="00E71A87"/>
    <w:rsid w:val="00E71F65"/>
    <w:rsid w:val="00E7209D"/>
    <w:rsid w:val="00E720FC"/>
    <w:rsid w:val="00E734F5"/>
    <w:rsid w:val="00E736B1"/>
    <w:rsid w:val="00E74E84"/>
    <w:rsid w:val="00E75686"/>
    <w:rsid w:val="00E75C3D"/>
    <w:rsid w:val="00E77223"/>
    <w:rsid w:val="00E8176B"/>
    <w:rsid w:val="00E8335F"/>
    <w:rsid w:val="00E85120"/>
    <w:rsid w:val="00E8528B"/>
    <w:rsid w:val="00E85758"/>
    <w:rsid w:val="00E85B94"/>
    <w:rsid w:val="00E86406"/>
    <w:rsid w:val="00E87B4D"/>
    <w:rsid w:val="00E900BF"/>
    <w:rsid w:val="00E92160"/>
    <w:rsid w:val="00E95895"/>
    <w:rsid w:val="00E96330"/>
    <w:rsid w:val="00E97165"/>
    <w:rsid w:val="00E978CF"/>
    <w:rsid w:val="00E978D0"/>
    <w:rsid w:val="00E97F50"/>
    <w:rsid w:val="00EA1A81"/>
    <w:rsid w:val="00EA27A6"/>
    <w:rsid w:val="00EA3FDB"/>
    <w:rsid w:val="00EA4613"/>
    <w:rsid w:val="00EA4C51"/>
    <w:rsid w:val="00EA5BB6"/>
    <w:rsid w:val="00EA73FC"/>
    <w:rsid w:val="00EA79AF"/>
    <w:rsid w:val="00EA7F4D"/>
    <w:rsid w:val="00EA7F91"/>
    <w:rsid w:val="00EB0862"/>
    <w:rsid w:val="00EB1523"/>
    <w:rsid w:val="00EB3DBB"/>
    <w:rsid w:val="00EB5478"/>
    <w:rsid w:val="00EB665D"/>
    <w:rsid w:val="00EB759C"/>
    <w:rsid w:val="00EC064E"/>
    <w:rsid w:val="00EC0E49"/>
    <w:rsid w:val="00EC101F"/>
    <w:rsid w:val="00EC2BCE"/>
    <w:rsid w:val="00EC2F2B"/>
    <w:rsid w:val="00EC466A"/>
    <w:rsid w:val="00EC6A63"/>
    <w:rsid w:val="00EC72D1"/>
    <w:rsid w:val="00EC7794"/>
    <w:rsid w:val="00EC7F1D"/>
    <w:rsid w:val="00ED0569"/>
    <w:rsid w:val="00ED198C"/>
    <w:rsid w:val="00ED1A43"/>
    <w:rsid w:val="00ED20E9"/>
    <w:rsid w:val="00ED71A7"/>
    <w:rsid w:val="00EE0131"/>
    <w:rsid w:val="00EE0AD4"/>
    <w:rsid w:val="00EE0FA7"/>
    <w:rsid w:val="00EE17B0"/>
    <w:rsid w:val="00EE183D"/>
    <w:rsid w:val="00EE5B06"/>
    <w:rsid w:val="00EE6225"/>
    <w:rsid w:val="00EE6C37"/>
    <w:rsid w:val="00EE715A"/>
    <w:rsid w:val="00EE7A30"/>
    <w:rsid w:val="00EF0092"/>
    <w:rsid w:val="00EF064A"/>
    <w:rsid w:val="00EF06D9"/>
    <w:rsid w:val="00EF2D72"/>
    <w:rsid w:val="00EF2F4F"/>
    <w:rsid w:val="00EF3D35"/>
    <w:rsid w:val="00EF5C0C"/>
    <w:rsid w:val="00EF5EA9"/>
    <w:rsid w:val="00EF7F0D"/>
    <w:rsid w:val="00F0212F"/>
    <w:rsid w:val="00F04606"/>
    <w:rsid w:val="00F04C43"/>
    <w:rsid w:val="00F05431"/>
    <w:rsid w:val="00F057FD"/>
    <w:rsid w:val="00F12193"/>
    <w:rsid w:val="00F13F24"/>
    <w:rsid w:val="00F1737B"/>
    <w:rsid w:val="00F17A91"/>
    <w:rsid w:val="00F21BAE"/>
    <w:rsid w:val="00F22BF8"/>
    <w:rsid w:val="00F24ADE"/>
    <w:rsid w:val="00F26EFB"/>
    <w:rsid w:val="00F26F95"/>
    <w:rsid w:val="00F26FBC"/>
    <w:rsid w:val="00F2726F"/>
    <w:rsid w:val="00F30C64"/>
    <w:rsid w:val="00F3162E"/>
    <w:rsid w:val="00F32CDB"/>
    <w:rsid w:val="00F339AB"/>
    <w:rsid w:val="00F353B6"/>
    <w:rsid w:val="00F40A41"/>
    <w:rsid w:val="00F41CD8"/>
    <w:rsid w:val="00F42F51"/>
    <w:rsid w:val="00F431C9"/>
    <w:rsid w:val="00F4333C"/>
    <w:rsid w:val="00F43FE0"/>
    <w:rsid w:val="00F44F4D"/>
    <w:rsid w:val="00F4547F"/>
    <w:rsid w:val="00F457B9"/>
    <w:rsid w:val="00F463BF"/>
    <w:rsid w:val="00F46A6A"/>
    <w:rsid w:val="00F47955"/>
    <w:rsid w:val="00F514DB"/>
    <w:rsid w:val="00F5181E"/>
    <w:rsid w:val="00F544FA"/>
    <w:rsid w:val="00F6061D"/>
    <w:rsid w:val="00F60B4F"/>
    <w:rsid w:val="00F60DB7"/>
    <w:rsid w:val="00F6148C"/>
    <w:rsid w:val="00F6162B"/>
    <w:rsid w:val="00F61ACB"/>
    <w:rsid w:val="00F627BE"/>
    <w:rsid w:val="00F62C14"/>
    <w:rsid w:val="00F63A70"/>
    <w:rsid w:val="00F63DF8"/>
    <w:rsid w:val="00F64188"/>
    <w:rsid w:val="00F64699"/>
    <w:rsid w:val="00F648C1"/>
    <w:rsid w:val="00F666B5"/>
    <w:rsid w:val="00F6672D"/>
    <w:rsid w:val="00F67BF5"/>
    <w:rsid w:val="00F70F53"/>
    <w:rsid w:val="00F71BA7"/>
    <w:rsid w:val="00F73045"/>
    <w:rsid w:val="00F75D27"/>
    <w:rsid w:val="00F75DA3"/>
    <w:rsid w:val="00F77511"/>
    <w:rsid w:val="00F775CC"/>
    <w:rsid w:val="00F77636"/>
    <w:rsid w:val="00F80E20"/>
    <w:rsid w:val="00F816D4"/>
    <w:rsid w:val="00F81EB3"/>
    <w:rsid w:val="00F83183"/>
    <w:rsid w:val="00F83D9D"/>
    <w:rsid w:val="00F84CAE"/>
    <w:rsid w:val="00F85502"/>
    <w:rsid w:val="00F85669"/>
    <w:rsid w:val="00F85F60"/>
    <w:rsid w:val="00F86800"/>
    <w:rsid w:val="00F874D2"/>
    <w:rsid w:val="00F87832"/>
    <w:rsid w:val="00F9310B"/>
    <w:rsid w:val="00F936C2"/>
    <w:rsid w:val="00F93E5B"/>
    <w:rsid w:val="00F93FAF"/>
    <w:rsid w:val="00F94084"/>
    <w:rsid w:val="00F94913"/>
    <w:rsid w:val="00F955BF"/>
    <w:rsid w:val="00F95738"/>
    <w:rsid w:val="00F95DC5"/>
    <w:rsid w:val="00FA21D0"/>
    <w:rsid w:val="00FA2DCE"/>
    <w:rsid w:val="00FA32DB"/>
    <w:rsid w:val="00FA3B2F"/>
    <w:rsid w:val="00FA45EB"/>
    <w:rsid w:val="00FA4811"/>
    <w:rsid w:val="00FA5F5F"/>
    <w:rsid w:val="00FA6CAF"/>
    <w:rsid w:val="00FA74E7"/>
    <w:rsid w:val="00FB15F5"/>
    <w:rsid w:val="00FB2EE0"/>
    <w:rsid w:val="00FB730C"/>
    <w:rsid w:val="00FC0232"/>
    <w:rsid w:val="00FC0C79"/>
    <w:rsid w:val="00FC1B3B"/>
    <w:rsid w:val="00FC2695"/>
    <w:rsid w:val="00FC3903"/>
    <w:rsid w:val="00FC3E03"/>
    <w:rsid w:val="00FC3FC1"/>
    <w:rsid w:val="00FC49B9"/>
    <w:rsid w:val="00FC4AAB"/>
    <w:rsid w:val="00FC4BDC"/>
    <w:rsid w:val="00FC6596"/>
    <w:rsid w:val="00FC7AA8"/>
    <w:rsid w:val="00FD07F5"/>
    <w:rsid w:val="00FD2970"/>
    <w:rsid w:val="00FD77BF"/>
    <w:rsid w:val="00FE13C0"/>
    <w:rsid w:val="00FE13C5"/>
    <w:rsid w:val="00FE4F26"/>
    <w:rsid w:val="00FE5391"/>
    <w:rsid w:val="00FE6CF6"/>
    <w:rsid w:val="00FE7270"/>
    <w:rsid w:val="00FE729F"/>
    <w:rsid w:val="00FE7EDD"/>
    <w:rsid w:val="00FF01E2"/>
    <w:rsid w:val="00FF0CBD"/>
    <w:rsid w:val="00FF22E5"/>
    <w:rsid w:val="00FF4B0F"/>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522CBA"/>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UnresolvedMention">
    <w:name w:val="Unresolved Mention"/>
    <w:basedOn w:val="Carpredefinitoparagrafo"/>
    <w:uiPriority w:val="99"/>
    <w:semiHidden/>
    <w:unhideWhenUsed/>
    <w:rsid w:val="00344FFB"/>
    <w:rPr>
      <w:color w:val="605E5C"/>
      <w:shd w:val="clear" w:color="auto" w:fill="E1DFDD"/>
    </w:rPr>
  </w:style>
  <w:style w:type="character" w:styleId="Rimandonotaapidipagina">
    <w:name w:val="footnote reference"/>
    <w:basedOn w:val="Carpredefinitoparagrafo"/>
    <w:uiPriority w:val="99"/>
    <w:semiHidden/>
    <w:unhideWhenUsed/>
    <w:rsid w:val="0056121E"/>
    <w:rPr>
      <w:vertAlign w:val="superscript"/>
    </w:rPr>
  </w:style>
  <w:style w:type="paragraph" w:styleId="Paragrafoelenco">
    <w:name w:val="List Paragraph"/>
    <w:basedOn w:val="Normale"/>
    <w:uiPriority w:val="34"/>
    <w:rsid w:val="00E857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522CBA"/>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UnresolvedMention">
    <w:name w:val="Unresolved Mention"/>
    <w:basedOn w:val="Carpredefinitoparagrafo"/>
    <w:uiPriority w:val="99"/>
    <w:semiHidden/>
    <w:unhideWhenUsed/>
    <w:rsid w:val="00344FFB"/>
    <w:rPr>
      <w:color w:val="605E5C"/>
      <w:shd w:val="clear" w:color="auto" w:fill="E1DFDD"/>
    </w:rPr>
  </w:style>
  <w:style w:type="character" w:styleId="Rimandonotaapidipagina">
    <w:name w:val="footnote reference"/>
    <w:basedOn w:val="Carpredefinitoparagrafo"/>
    <w:uiPriority w:val="99"/>
    <w:semiHidden/>
    <w:unhideWhenUsed/>
    <w:rsid w:val="0056121E"/>
    <w:rPr>
      <w:vertAlign w:val="superscript"/>
    </w:rPr>
  </w:style>
  <w:style w:type="paragraph" w:styleId="Paragrafoelenco">
    <w:name w:val="List Paragraph"/>
    <w:basedOn w:val="Normale"/>
    <w:uiPriority w:val="34"/>
    <w:rsid w:val="00E85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255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341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E31A-713F-42A6-AFA2-FB910E59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3735</Words>
  <Characters>21706</Characters>
  <Application>Microsoft Office Word</Application>
  <DocSecurity>0</DocSecurity>
  <Lines>344</Lines>
  <Paragraphs>145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262</cp:revision>
  <cp:lastPrinted>2015-05-12T18:31:00Z</cp:lastPrinted>
  <dcterms:created xsi:type="dcterms:W3CDTF">2020-05-29T13:25:00Z</dcterms:created>
  <dcterms:modified xsi:type="dcterms:W3CDTF">2020-08-31T13:04:00Z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5ded8b74-9dff-3de0-bb05-03d015f1c453</vt:lpwstr>
  </property>
  <property fmtid="{D5CDD505-2E9C-101B-9397-08002B2CF9AE}" pid="26" name="Mendeley Citation Style_1">
    <vt:lpwstr>http://www.zotero.org/styles/apa</vt:lpwstr>
  </property>
</Properties>
</file>