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843"/>
      </w:tblGrid>
      <w:tr w:rsidR="005C4E5E" w14:paraId="06C8B460" w14:textId="77777777" w:rsidTr="005C4E5E">
        <w:trPr>
          <w:trHeight w:val="852"/>
          <w:jc w:val="center"/>
        </w:trPr>
        <w:tc>
          <w:tcPr>
            <w:tcW w:w="69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891DA2" w14:textId="7124CE41" w:rsidR="005C4E5E" w:rsidRDefault="005C4E5E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bookmarkStart w:id="0" w:name="_Hlk48826247"/>
            <w:r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10F1BFC6" wp14:editId="48DD697D">
                  <wp:extent cx="638175" cy="371475"/>
                  <wp:effectExtent l="0" t="0" r="9525" b="9525"/>
                  <wp:docPr id="7" name="Immagine 7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1A428C3F" w14:textId="77777777" w:rsidR="005C4E5E" w:rsidRDefault="005C4E5E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val="en-US" w:eastAsia="it-IT"/>
              </w:rPr>
            </w:pPr>
            <w:r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 82, 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0B0FCD" w14:textId="77777777" w:rsidR="005C4E5E" w:rsidRDefault="005C4E5E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 publication of</w:t>
            </w:r>
          </w:p>
          <w:p w14:paraId="7169E6D0" w14:textId="551EB692" w:rsidR="005C4E5E" w:rsidRDefault="005C4E5E">
            <w:pPr>
              <w:jc w:val="right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2556D72A" wp14:editId="4456E868">
                  <wp:extent cx="666750" cy="361950"/>
                  <wp:effectExtent l="0" t="0" r="0" b="0"/>
                  <wp:docPr id="4" name="Immagine 4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E5E" w14:paraId="3EB1E590" w14:textId="77777777" w:rsidTr="005C4E5E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BC6F43" w14:textId="77777777" w:rsidR="005C4E5E" w:rsidRDefault="005C4E5E">
            <w:pPr>
              <w:tabs>
                <w:tab w:val="clear" w:pos="7100"/>
              </w:tabs>
              <w:spacing w:line="276" w:lineRule="auto"/>
              <w:jc w:val="left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val="en-US" w:eastAsia="it-I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053382" w14:textId="77777777" w:rsidR="005C4E5E" w:rsidRDefault="005C4E5E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The Italian Association</w:t>
            </w:r>
          </w:p>
          <w:p w14:paraId="1695D7B9" w14:textId="77777777" w:rsidR="005C4E5E" w:rsidRDefault="005C4E5E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of Chemical Engineering</w:t>
            </w:r>
          </w:p>
          <w:p w14:paraId="0D81915A" w14:textId="77777777" w:rsidR="005C4E5E" w:rsidRDefault="005C4E5E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5C4E5E" w14:paraId="5118042B" w14:textId="77777777" w:rsidTr="005C4E5E">
        <w:trPr>
          <w:trHeight w:val="68"/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C0A42C" w14:textId="77777777" w:rsidR="005C4E5E" w:rsidRDefault="005C4E5E">
            <w:pPr>
              <w:ind w:left="-107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Guest Editors: Bruno Fabiano, Valerio </w:t>
            </w:r>
            <w:proofErr w:type="spellStart"/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Cozzani</w:t>
            </w:r>
            <w:proofErr w:type="spellEnd"/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4B4942"/>
                <w:sz w:val="14"/>
                <w:szCs w:val="14"/>
              </w:rPr>
              <w:t>Genserik</w:t>
            </w:r>
            <w:proofErr w:type="spellEnd"/>
            <w:r>
              <w:rPr>
                <w:rFonts w:ascii="Tahoma" w:hAnsi="Tahoma" w:cs="Tahoma"/>
                <w:color w:val="4B494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B4942"/>
                <w:sz w:val="14"/>
                <w:szCs w:val="14"/>
              </w:rPr>
              <w:t>Reniers</w:t>
            </w:r>
            <w:proofErr w:type="spellEnd"/>
          </w:p>
          <w:p w14:paraId="7E67042C" w14:textId="77777777" w:rsidR="005C4E5E" w:rsidRDefault="005C4E5E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Copyright © 2020, AIDIC </w:t>
            </w:r>
            <w:proofErr w:type="spellStart"/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978-88-95608-80-8</w:t>
            </w: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; </w:t>
            </w:r>
            <w:r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  <w:bookmarkEnd w:id="0"/>
      </w:tr>
    </w:tbl>
    <w:p w14:paraId="10DAA130" w14:textId="77777777" w:rsidR="000A03B2" w:rsidRPr="00B00D56" w:rsidRDefault="000A03B2" w:rsidP="00B00D56">
      <w:pPr>
        <w:pStyle w:val="CETTitle"/>
        <w:spacing w:before="0"/>
        <w:sectPr w:rsidR="000A03B2" w:rsidRPr="00B00D56" w:rsidSect="008B32D8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09AE899B" w14:textId="7982EFA8" w:rsidR="00926044" w:rsidRPr="00B42B77" w:rsidRDefault="00F928B2" w:rsidP="00B42B77">
      <w:pPr>
        <w:pStyle w:val="CETTitle"/>
      </w:pPr>
      <w:r w:rsidRPr="00B42B77">
        <w:lastRenderedPageBreak/>
        <w:t xml:space="preserve">Application </w:t>
      </w:r>
      <w:r w:rsidR="00B42B77">
        <w:t>o</w:t>
      </w:r>
      <w:r w:rsidR="00B42B77" w:rsidRPr="00B42B77">
        <w:t>f Mu</w:t>
      </w:r>
      <w:r w:rsidR="00B42B77">
        <w:t>ltivariate Statistical Methods t</w:t>
      </w:r>
      <w:r w:rsidR="00B42B77" w:rsidRPr="00B42B77">
        <w:t xml:space="preserve">o </w:t>
      </w:r>
      <w:r w:rsidR="00B42B77">
        <w:t>the Modelling o</w:t>
      </w:r>
      <w:r w:rsidR="00B42B77" w:rsidRPr="00B42B77">
        <w:t xml:space="preserve">f </w:t>
      </w:r>
      <w:r w:rsidR="00B42B77">
        <w:t>a Flue Gas Treatment Stage in a Waste-t</w:t>
      </w:r>
      <w:r w:rsidR="00B42B77" w:rsidRPr="00B42B77">
        <w:t>o-Energy Plant</w:t>
      </w:r>
    </w:p>
    <w:p w14:paraId="2CF9EF70" w14:textId="6B9E28F3" w:rsidR="001A2E18" w:rsidRPr="007E3950" w:rsidRDefault="001A2E18" w:rsidP="004E493C">
      <w:pPr>
        <w:pStyle w:val="CETAuthors"/>
        <w:rPr>
          <w:lang w:val="it-IT"/>
        </w:rPr>
      </w:pPr>
      <w:r w:rsidRPr="007E3950">
        <w:rPr>
          <w:lang w:val="it-IT"/>
        </w:rPr>
        <w:t>Giacomo Muratori, Alessandro Dal Pozzo</w:t>
      </w:r>
      <w:r w:rsidR="00A9096A" w:rsidRPr="007E3950">
        <w:rPr>
          <w:lang w:val="it-IT"/>
        </w:rPr>
        <w:t>*</w:t>
      </w:r>
      <w:r w:rsidRPr="007E3950">
        <w:rPr>
          <w:lang w:val="it-IT"/>
        </w:rPr>
        <w:t>, Giacomo Antonioni, Valerio Cozzani</w:t>
      </w:r>
    </w:p>
    <w:p w14:paraId="3C72B60E" w14:textId="2E745891" w:rsidR="00893F63" w:rsidRPr="007E3950" w:rsidRDefault="00913185" w:rsidP="00F15D32">
      <w:pPr>
        <w:pStyle w:val="CETAddress"/>
        <w:jc w:val="both"/>
        <w:rPr>
          <w:lang w:val="it-IT"/>
        </w:rPr>
      </w:pPr>
      <w:r w:rsidRPr="007E3950">
        <w:rPr>
          <w:lang w:val="it-IT"/>
        </w:rPr>
        <w:t>LISES – Dipartimento di Ingegneria Civile, Chimica, Ambientale e dei Materiali</w:t>
      </w:r>
      <w:r w:rsidR="00ED7987" w:rsidRPr="007E3950">
        <w:rPr>
          <w:lang w:val="it-IT"/>
        </w:rPr>
        <w:t xml:space="preserve"> </w:t>
      </w:r>
      <w:r w:rsidR="00760C64" w:rsidRPr="007E3950">
        <w:rPr>
          <w:lang w:val="it-IT"/>
        </w:rPr>
        <w:t xml:space="preserve">- </w:t>
      </w:r>
      <w:r w:rsidRPr="007E3950">
        <w:rPr>
          <w:lang w:val="it-IT"/>
        </w:rPr>
        <w:t>Alma Mater Studiorum - Università di Bologna, via Terracini n.28, 40131 Bologna, Italy</w:t>
      </w:r>
      <w:r w:rsidR="00AB5011" w:rsidRPr="007E3950">
        <w:rPr>
          <w:lang w:val="it-IT"/>
        </w:rPr>
        <w:t xml:space="preserve"> </w:t>
      </w:r>
    </w:p>
    <w:p w14:paraId="514E58A7" w14:textId="59791424" w:rsidR="004B1D46" w:rsidRPr="00281BDC" w:rsidRDefault="00A9096A" w:rsidP="00F15D32">
      <w:pPr>
        <w:pStyle w:val="CETemail"/>
        <w:jc w:val="both"/>
      </w:pPr>
      <w:r w:rsidRPr="00281BDC">
        <w:t>a.dalpozzo@unibo.it</w:t>
      </w:r>
      <w:r w:rsidR="00600535" w:rsidRPr="00281BDC">
        <w:t xml:space="preserve"> </w:t>
      </w:r>
    </w:p>
    <w:p w14:paraId="442FE900" w14:textId="77777777" w:rsidR="00C969C3" w:rsidRDefault="00456EDD" w:rsidP="0035499E">
      <w:pPr>
        <w:pStyle w:val="CETHeading1"/>
        <w:numPr>
          <w:ilvl w:val="0"/>
          <w:numId w:val="0"/>
        </w:numPr>
        <w:spacing w:line="264" w:lineRule="auto"/>
        <w:contextualSpacing/>
        <w:jc w:val="both"/>
        <w:rPr>
          <w:b w:val="0"/>
          <w:sz w:val="18"/>
          <w:lang w:val="en-GB"/>
        </w:rPr>
      </w:pPr>
      <w:r w:rsidRPr="00281BDC">
        <w:rPr>
          <w:b w:val="0"/>
          <w:sz w:val="18"/>
          <w:lang w:val="en-GB"/>
        </w:rPr>
        <w:t>Among all the macro-pollutants released by waste combustion, acid contaminants such as su</w:t>
      </w:r>
      <w:r w:rsidR="004F57BC" w:rsidRPr="00281BDC">
        <w:rPr>
          <w:b w:val="0"/>
          <w:sz w:val="18"/>
          <w:lang w:val="en-GB"/>
        </w:rPr>
        <w:t>lph</w:t>
      </w:r>
      <w:r w:rsidRPr="00281BDC">
        <w:rPr>
          <w:b w:val="0"/>
          <w:sz w:val="18"/>
          <w:lang w:val="en-GB"/>
        </w:rPr>
        <w:t>ur dioxide, hydrogen chloride and hydrogen fluoride have the lowest emission standards in</w:t>
      </w:r>
      <w:r w:rsidR="00873339" w:rsidRPr="00281BDC">
        <w:rPr>
          <w:b w:val="0"/>
          <w:sz w:val="18"/>
          <w:lang w:val="en-GB"/>
        </w:rPr>
        <w:t xml:space="preserve"> environmental regulations in</w:t>
      </w:r>
      <w:r w:rsidRPr="00281BDC">
        <w:rPr>
          <w:b w:val="0"/>
          <w:sz w:val="18"/>
          <w:lang w:val="en-GB"/>
        </w:rPr>
        <w:t xml:space="preserve"> EU, USA and China. Their removal is thus a key step of flue gas treatment in waste-to-energy (</w:t>
      </w:r>
      <w:proofErr w:type="spellStart"/>
      <w:r w:rsidRPr="00281BDC">
        <w:rPr>
          <w:b w:val="0"/>
          <w:sz w:val="18"/>
          <w:lang w:val="en-GB"/>
        </w:rPr>
        <w:t>WtE</w:t>
      </w:r>
      <w:proofErr w:type="spellEnd"/>
      <w:r w:rsidRPr="00281BDC">
        <w:rPr>
          <w:b w:val="0"/>
          <w:sz w:val="18"/>
          <w:lang w:val="en-GB"/>
        </w:rPr>
        <w:t xml:space="preserve">) plants. A widespread approach for acid gas removal is </w:t>
      </w:r>
      <w:r w:rsidR="00EF7F43" w:rsidRPr="00281BDC">
        <w:rPr>
          <w:b w:val="0"/>
          <w:sz w:val="18"/>
          <w:lang w:val="en-GB"/>
        </w:rPr>
        <w:t>by</w:t>
      </w:r>
      <w:r w:rsidRPr="00281BDC">
        <w:rPr>
          <w:b w:val="0"/>
          <w:sz w:val="18"/>
          <w:lang w:val="en-GB"/>
        </w:rPr>
        <w:t xml:space="preserve"> </w:t>
      </w:r>
      <w:r w:rsidR="00EF7F43" w:rsidRPr="00281BDC">
        <w:rPr>
          <w:b w:val="0"/>
          <w:sz w:val="18"/>
          <w:lang w:val="en-GB"/>
        </w:rPr>
        <w:t>in-duct</w:t>
      </w:r>
      <w:r w:rsidRPr="00281BDC">
        <w:rPr>
          <w:b w:val="0"/>
          <w:sz w:val="18"/>
          <w:lang w:val="en-GB"/>
        </w:rPr>
        <w:t xml:space="preserve"> injection of dry powdered sorbents</w:t>
      </w:r>
      <w:r w:rsidR="00C420B0" w:rsidRPr="00281BDC">
        <w:rPr>
          <w:b w:val="0"/>
          <w:sz w:val="18"/>
          <w:lang w:val="en-GB"/>
        </w:rPr>
        <w:t>,</w:t>
      </w:r>
      <w:r w:rsidRPr="00281BDC">
        <w:rPr>
          <w:b w:val="0"/>
          <w:sz w:val="18"/>
          <w:lang w:val="en-GB"/>
        </w:rPr>
        <w:t xml:space="preserve"> which neutralize the acid pollutants by gas-solid reaction.</w:t>
      </w:r>
      <w:r w:rsidR="007E3950">
        <w:rPr>
          <w:b w:val="0"/>
          <w:sz w:val="18"/>
          <w:lang w:val="en-GB"/>
        </w:rPr>
        <w:t xml:space="preserve"> </w:t>
      </w:r>
      <w:r w:rsidR="00AA6A56">
        <w:rPr>
          <w:b w:val="0"/>
          <w:sz w:val="18"/>
          <w:lang w:val="en-GB"/>
        </w:rPr>
        <w:t xml:space="preserve">However, systems </w:t>
      </w:r>
      <w:r w:rsidR="00AF4EB9">
        <w:rPr>
          <w:b w:val="0"/>
          <w:sz w:val="18"/>
          <w:lang w:val="en-GB"/>
        </w:rPr>
        <w:t xml:space="preserve">based on dry injection, albeit </w:t>
      </w:r>
      <w:r w:rsidR="007E3950">
        <w:rPr>
          <w:b w:val="0"/>
          <w:sz w:val="18"/>
          <w:lang w:val="en-GB"/>
        </w:rPr>
        <w:t xml:space="preserve">cost-effective and easy to operate, </w:t>
      </w:r>
      <w:r w:rsidR="008F6BFC">
        <w:rPr>
          <w:b w:val="0"/>
          <w:sz w:val="18"/>
          <w:lang w:val="en-GB"/>
        </w:rPr>
        <w:t xml:space="preserve">suffer from a </w:t>
      </w:r>
      <w:r w:rsidR="00F72DA7">
        <w:rPr>
          <w:b w:val="0"/>
          <w:sz w:val="18"/>
          <w:lang w:val="en-GB"/>
        </w:rPr>
        <w:t xml:space="preserve">limited knowledge of the gas-solid reaction process </w:t>
      </w:r>
      <w:r w:rsidR="001353C9">
        <w:rPr>
          <w:b w:val="0"/>
          <w:sz w:val="18"/>
          <w:lang w:val="en-GB"/>
        </w:rPr>
        <w:t>at industrial operating conditions</w:t>
      </w:r>
      <w:r w:rsidR="009A0164">
        <w:rPr>
          <w:b w:val="0"/>
          <w:sz w:val="18"/>
          <w:lang w:val="en-GB"/>
        </w:rPr>
        <w:t xml:space="preserve">. </w:t>
      </w:r>
      <w:r w:rsidR="00BD0DDE">
        <w:rPr>
          <w:b w:val="0"/>
          <w:sz w:val="18"/>
          <w:lang w:val="en-GB"/>
        </w:rPr>
        <w:t>High excess of sorbent feed rate is generally required to obtain high acid gas removal efficiencies</w:t>
      </w:r>
      <w:r w:rsidR="003D1AD8">
        <w:rPr>
          <w:b w:val="0"/>
          <w:sz w:val="18"/>
          <w:lang w:val="en-GB"/>
        </w:rPr>
        <w:t xml:space="preserve">. </w:t>
      </w:r>
    </w:p>
    <w:p w14:paraId="4D618A83" w14:textId="6370C501" w:rsidR="00771A29" w:rsidRPr="00C969C3" w:rsidRDefault="00494EF8" w:rsidP="0035499E">
      <w:pPr>
        <w:pStyle w:val="CETHeading1"/>
        <w:numPr>
          <w:ilvl w:val="0"/>
          <w:numId w:val="0"/>
        </w:numPr>
        <w:spacing w:line="264" w:lineRule="auto"/>
        <w:contextualSpacing/>
        <w:jc w:val="both"/>
        <w:rPr>
          <w:b w:val="0"/>
          <w:sz w:val="18"/>
          <w:lang w:val="en-GB"/>
        </w:rPr>
      </w:pPr>
      <w:r>
        <w:rPr>
          <w:b w:val="0"/>
          <w:sz w:val="18"/>
          <w:lang w:val="en-GB"/>
        </w:rPr>
        <w:t>The present study</w:t>
      </w:r>
      <w:r w:rsidR="00456EDD" w:rsidRPr="00281BDC">
        <w:rPr>
          <w:b w:val="0"/>
          <w:sz w:val="18"/>
          <w:lang w:val="en-GB"/>
        </w:rPr>
        <w:t xml:space="preserve"> </w:t>
      </w:r>
      <w:r w:rsidR="000816DA">
        <w:rPr>
          <w:b w:val="0"/>
          <w:sz w:val="18"/>
          <w:lang w:val="en-GB"/>
        </w:rPr>
        <w:t>propose</w:t>
      </w:r>
      <w:r>
        <w:rPr>
          <w:b w:val="0"/>
          <w:sz w:val="18"/>
          <w:lang w:val="en-GB"/>
        </w:rPr>
        <w:t>s</w:t>
      </w:r>
      <w:r w:rsidR="002900D8">
        <w:rPr>
          <w:b w:val="0"/>
          <w:sz w:val="18"/>
          <w:lang w:val="en-GB"/>
        </w:rPr>
        <w:t xml:space="preserve"> a </w:t>
      </w:r>
      <w:r w:rsidR="000816DA">
        <w:rPr>
          <w:b w:val="0"/>
          <w:sz w:val="18"/>
          <w:lang w:val="en-GB"/>
        </w:rPr>
        <w:t>mul</w:t>
      </w:r>
      <w:r w:rsidR="008534EB">
        <w:rPr>
          <w:b w:val="0"/>
          <w:sz w:val="18"/>
          <w:lang w:val="en-GB"/>
        </w:rPr>
        <w:t xml:space="preserve">tivariate </w:t>
      </w:r>
      <w:r w:rsidR="002900D8">
        <w:rPr>
          <w:b w:val="0"/>
          <w:sz w:val="18"/>
          <w:lang w:val="en-GB"/>
        </w:rPr>
        <w:t xml:space="preserve">statistical approach to the modelling of </w:t>
      </w:r>
      <w:r w:rsidR="00677D66">
        <w:rPr>
          <w:b w:val="0"/>
          <w:sz w:val="18"/>
          <w:lang w:val="en-GB"/>
        </w:rPr>
        <w:t xml:space="preserve">acid gas </w:t>
      </w:r>
      <w:r w:rsidR="00267E4C">
        <w:rPr>
          <w:b w:val="0"/>
          <w:sz w:val="18"/>
          <w:lang w:val="en-GB"/>
        </w:rPr>
        <w:t>treatment</w:t>
      </w:r>
      <w:r w:rsidR="00677D66">
        <w:rPr>
          <w:b w:val="0"/>
          <w:sz w:val="18"/>
          <w:lang w:val="en-GB"/>
        </w:rPr>
        <w:t xml:space="preserve"> units</w:t>
      </w:r>
      <w:r>
        <w:rPr>
          <w:b w:val="0"/>
          <w:sz w:val="18"/>
          <w:lang w:val="en-GB"/>
        </w:rPr>
        <w:t xml:space="preserve">, with the aim of extracting information from real process data in order to derive a </w:t>
      </w:r>
      <w:r w:rsidR="0048466D">
        <w:rPr>
          <w:b w:val="0"/>
          <w:sz w:val="18"/>
          <w:lang w:val="en-GB"/>
        </w:rPr>
        <w:t xml:space="preserve">predictive model of </w:t>
      </w:r>
      <w:r w:rsidR="00267E4C">
        <w:rPr>
          <w:b w:val="0"/>
          <w:sz w:val="18"/>
          <w:lang w:val="en-GB"/>
        </w:rPr>
        <w:t>dynamic</w:t>
      </w:r>
      <w:r w:rsidR="00F52FD2">
        <w:rPr>
          <w:b w:val="0"/>
          <w:sz w:val="18"/>
          <w:lang w:val="en-GB"/>
        </w:rPr>
        <w:t xml:space="preserve"> acid gas removal</w:t>
      </w:r>
      <w:r w:rsidR="00C77D5A">
        <w:rPr>
          <w:b w:val="0"/>
          <w:sz w:val="18"/>
          <w:lang w:val="en-GB"/>
        </w:rPr>
        <w:t xml:space="preserve"> efficiency. </w:t>
      </w:r>
      <w:r w:rsidR="007F4594" w:rsidRPr="00281BDC">
        <w:rPr>
          <w:b w:val="0"/>
          <w:sz w:val="18"/>
          <w:lang w:val="en-GB"/>
        </w:rPr>
        <w:t>Specifically, p</w:t>
      </w:r>
      <w:r w:rsidR="00456EDD" w:rsidRPr="00281BDC">
        <w:rPr>
          <w:b w:val="0"/>
          <w:sz w:val="18"/>
          <w:lang w:val="en-GB"/>
        </w:rPr>
        <w:t xml:space="preserve">rocess data regarding the composition of the flue gas, the sorbent feed and other operating conditions were elaborated to characterise the different phenomena that influence acid gas abatement. Eventually, a </w:t>
      </w:r>
      <w:r w:rsidR="00916C25">
        <w:rPr>
          <w:b w:val="0"/>
          <w:sz w:val="18"/>
          <w:lang w:val="en-GB"/>
        </w:rPr>
        <w:t xml:space="preserve">partial least squares (PLS) </w:t>
      </w:r>
      <w:r w:rsidR="00456EDD" w:rsidRPr="00281BDC">
        <w:rPr>
          <w:b w:val="0"/>
          <w:sz w:val="18"/>
          <w:lang w:val="en-GB"/>
        </w:rPr>
        <w:t xml:space="preserve">regression was set up to predict the outlet concentration of </w:t>
      </w:r>
      <w:r w:rsidR="00137328">
        <w:rPr>
          <w:b w:val="0"/>
          <w:sz w:val="18"/>
          <w:lang w:val="en-GB"/>
        </w:rPr>
        <w:t>hydrogen chloride</w:t>
      </w:r>
      <w:r w:rsidR="00456EDD" w:rsidRPr="00281BDC">
        <w:rPr>
          <w:b w:val="0"/>
          <w:sz w:val="18"/>
          <w:lang w:val="en-GB"/>
        </w:rPr>
        <w:t xml:space="preserve"> as a function of the measured process variables. The resulting model</w:t>
      </w:r>
      <w:r w:rsidR="00430CAB">
        <w:rPr>
          <w:b w:val="0"/>
          <w:sz w:val="18"/>
          <w:lang w:val="en-GB"/>
        </w:rPr>
        <w:t xml:space="preserve"> </w:t>
      </w:r>
      <w:r w:rsidR="00651931" w:rsidRPr="00281BDC">
        <w:rPr>
          <w:b w:val="0"/>
          <w:sz w:val="18"/>
          <w:lang w:val="en-GB"/>
        </w:rPr>
        <w:t>is a</w:t>
      </w:r>
      <w:r w:rsidR="00CC11CD" w:rsidRPr="00281BDC">
        <w:rPr>
          <w:b w:val="0"/>
          <w:sz w:val="18"/>
          <w:lang w:val="en-GB"/>
        </w:rPr>
        <w:t xml:space="preserve"> </w:t>
      </w:r>
      <w:r w:rsidR="00456EDD" w:rsidRPr="00281BDC">
        <w:rPr>
          <w:b w:val="0"/>
          <w:sz w:val="18"/>
          <w:lang w:val="en-GB"/>
        </w:rPr>
        <w:t xml:space="preserve">step forward with respect to </w:t>
      </w:r>
      <w:r w:rsidR="00C75737" w:rsidRPr="00281BDC">
        <w:rPr>
          <w:b w:val="0"/>
          <w:sz w:val="18"/>
          <w:lang w:val="en-GB"/>
        </w:rPr>
        <w:t>previously</w:t>
      </w:r>
      <w:r w:rsidR="00701DDE" w:rsidRPr="00281BDC">
        <w:rPr>
          <w:b w:val="0"/>
          <w:sz w:val="18"/>
          <w:lang w:val="en-GB"/>
        </w:rPr>
        <w:t xml:space="preserve"> available </w:t>
      </w:r>
      <w:r w:rsidR="00456EDD" w:rsidRPr="00281BDC">
        <w:rPr>
          <w:b w:val="0"/>
          <w:sz w:val="18"/>
          <w:lang w:val="en-GB"/>
        </w:rPr>
        <w:t>stationary models.</w:t>
      </w:r>
      <w:r w:rsidR="002F0D08">
        <w:rPr>
          <w:b w:val="0"/>
          <w:sz w:val="18"/>
          <w:lang w:val="en-GB"/>
        </w:rPr>
        <w:t xml:space="preserve"> Its simplicity and low computational cost </w:t>
      </w:r>
      <w:r w:rsidR="00720EDE">
        <w:rPr>
          <w:b w:val="0"/>
          <w:sz w:val="18"/>
          <w:lang w:val="en-GB"/>
        </w:rPr>
        <w:t xml:space="preserve">could </w:t>
      </w:r>
      <w:r w:rsidR="002F0D08">
        <w:rPr>
          <w:b w:val="0"/>
          <w:sz w:val="18"/>
          <w:lang w:val="en-GB"/>
        </w:rPr>
        <w:t>ma</w:t>
      </w:r>
      <w:r w:rsidR="00916C25">
        <w:rPr>
          <w:b w:val="0"/>
          <w:sz w:val="18"/>
          <w:lang w:val="en-GB"/>
        </w:rPr>
        <w:t xml:space="preserve">ke PLS a </w:t>
      </w:r>
      <w:r w:rsidR="00EE3419">
        <w:rPr>
          <w:b w:val="0"/>
          <w:sz w:val="18"/>
          <w:lang w:val="en-GB"/>
        </w:rPr>
        <w:t xml:space="preserve">promising candidate for model-based process control. </w:t>
      </w:r>
      <w:r w:rsidR="001A598D">
        <w:rPr>
          <w:b w:val="0"/>
          <w:sz w:val="18"/>
          <w:lang w:val="en-GB"/>
        </w:rPr>
        <w:t xml:space="preserve">Nonetheless, </w:t>
      </w:r>
      <w:r w:rsidR="00626420">
        <w:rPr>
          <w:b w:val="0"/>
          <w:sz w:val="18"/>
          <w:lang w:val="en-GB"/>
        </w:rPr>
        <w:t xml:space="preserve">a linear approach such as PLS </w:t>
      </w:r>
      <w:r w:rsidR="00720EDE">
        <w:rPr>
          <w:b w:val="0"/>
          <w:sz w:val="18"/>
          <w:lang w:val="en-GB"/>
        </w:rPr>
        <w:t xml:space="preserve">still comes short of </w:t>
      </w:r>
      <w:r w:rsidR="005453D3">
        <w:rPr>
          <w:b w:val="0"/>
          <w:sz w:val="18"/>
          <w:lang w:val="en-GB"/>
        </w:rPr>
        <w:t xml:space="preserve">predicting </w:t>
      </w:r>
      <w:r w:rsidR="00C5610A">
        <w:rPr>
          <w:b w:val="0"/>
          <w:sz w:val="18"/>
          <w:lang w:val="en-GB"/>
        </w:rPr>
        <w:t xml:space="preserve">large instantaneous deviations </w:t>
      </w:r>
      <w:r w:rsidR="001D578B">
        <w:rPr>
          <w:b w:val="0"/>
          <w:sz w:val="18"/>
          <w:lang w:val="en-GB"/>
        </w:rPr>
        <w:t>from the typical range of operation (</w:t>
      </w:r>
      <w:r w:rsidR="001D578B" w:rsidRPr="001D578B">
        <w:rPr>
          <w:b w:val="0"/>
          <w:i/>
          <w:iCs/>
          <w:sz w:val="18"/>
          <w:lang w:val="en-GB"/>
        </w:rPr>
        <w:t>e.g.</w:t>
      </w:r>
      <w:r w:rsidR="001D578B">
        <w:rPr>
          <w:b w:val="0"/>
          <w:sz w:val="18"/>
          <w:lang w:val="en-GB"/>
        </w:rPr>
        <w:t xml:space="preserve"> abrupt peaks in inlet acid gas load)</w:t>
      </w:r>
      <w:r w:rsidR="00844E79">
        <w:rPr>
          <w:b w:val="0"/>
          <w:sz w:val="18"/>
          <w:lang w:val="en-GB"/>
        </w:rPr>
        <w:t>, for which a</w:t>
      </w:r>
      <w:r w:rsidR="00410F4A">
        <w:rPr>
          <w:b w:val="0"/>
          <w:sz w:val="18"/>
          <w:lang w:val="en-GB"/>
        </w:rPr>
        <w:t xml:space="preserve"> modification of the PLS model to</w:t>
      </w:r>
      <w:r w:rsidR="001D578B">
        <w:rPr>
          <w:b w:val="0"/>
          <w:sz w:val="18"/>
          <w:lang w:val="en-GB"/>
        </w:rPr>
        <w:t xml:space="preserve"> incorporate non-linear behaviour</w:t>
      </w:r>
      <w:r w:rsidR="00410F4A">
        <w:rPr>
          <w:b w:val="0"/>
          <w:sz w:val="18"/>
          <w:lang w:val="en-GB"/>
        </w:rPr>
        <w:t xml:space="preserve"> is envisaged. </w:t>
      </w:r>
      <w:r w:rsidR="00720EDE">
        <w:rPr>
          <w:b w:val="0"/>
          <w:sz w:val="18"/>
          <w:lang w:val="en-GB"/>
        </w:rPr>
        <w:t xml:space="preserve"> </w:t>
      </w:r>
      <w:r w:rsidR="001D22C9">
        <w:rPr>
          <w:b w:val="0"/>
          <w:sz w:val="18"/>
          <w:lang w:val="en-GB"/>
        </w:rPr>
        <w:t xml:space="preserve"> </w:t>
      </w:r>
    </w:p>
    <w:p w14:paraId="476B2F2E" w14:textId="0239F23B" w:rsidR="00600535" w:rsidRPr="00281BDC" w:rsidRDefault="00600535" w:rsidP="00A279CF">
      <w:pPr>
        <w:pStyle w:val="CETHeading1"/>
        <w:rPr>
          <w:lang w:val="en-GB"/>
        </w:rPr>
      </w:pPr>
      <w:r w:rsidRPr="00281BDC">
        <w:rPr>
          <w:lang w:val="en-GB"/>
        </w:rPr>
        <w:t>Introduction</w:t>
      </w:r>
    </w:p>
    <w:p w14:paraId="70A9B293" w14:textId="0ACA6654" w:rsidR="00697074" w:rsidRPr="00281BDC" w:rsidRDefault="00FE3B4A" w:rsidP="000A6E7F">
      <w:pPr>
        <w:pStyle w:val="CETBodytext"/>
        <w:rPr>
          <w:lang w:val="en-GB"/>
        </w:rPr>
      </w:pPr>
      <w:r w:rsidRPr="00281BDC">
        <w:rPr>
          <w:lang w:val="en-GB"/>
        </w:rPr>
        <w:t>Waste incineration is a waste-to-energy (</w:t>
      </w:r>
      <w:proofErr w:type="spellStart"/>
      <w:r w:rsidRPr="00281BDC">
        <w:rPr>
          <w:lang w:val="en-GB"/>
        </w:rPr>
        <w:t>WtE</w:t>
      </w:r>
      <w:proofErr w:type="spellEnd"/>
      <w:r w:rsidRPr="00281BDC">
        <w:rPr>
          <w:lang w:val="en-GB"/>
        </w:rPr>
        <w:t xml:space="preserve">) process that </w:t>
      </w:r>
      <w:r w:rsidR="004359EE" w:rsidRPr="00281BDC">
        <w:rPr>
          <w:lang w:val="en-GB"/>
        </w:rPr>
        <w:t xml:space="preserve">allows the </w:t>
      </w:r>
      <w:r w:rsidR="00DB18A7" w:rsidRPr="00281BDC">
        <w:rPr>
          <w:lang w:val="en-GB"/>
        </w:rPr>
        <w:t>v</w:t>
      </w:r>
      <w:r w:rsidR="000A6E7F" w:rsidRPr="00281BDC">
        <w:rPr>
          <w:lang w:val="en-GB"/>
        </w:rPr>
        <w:t xml:space="preserve">olume and hazard reduction of </w:t>
      </w:r>
      <w:r w:rsidR="00DB18A7" w:rsidRPr="00281BDC">
        <w:rPr>
          <w:lang w:val="en-GB"/>
        </w:rPr>
        <w:t xml:space="preserve">unsorted </w:t>
      </w:r>
      <w:r w:rsidR="000A6E7F" w:rsidRPr="00281BDC">
        <w:rPr>
          <w:lang w:val="en-GB"/>
        </w:rPr>
        <w:t>waste</w:t>
      </w:r>
      <w:r w:rsidR="00564925" w:rsidRPr="00281BDC">
        <w:rPr>
          <w:lang w:val="en-GB"/>
        </w:rPr>
        <w:t xml:space="preserve">, while recovering energy and thus reducing the </w:t>
      </w:r>
      <w:r w:rsidR="00DD36AE" w:rsidRPr="00281BDC">
        <w:rPr>
          <w:lang w:val="en-GB"/>
        </w:rPr>
        <w:t>use of fossil fuels</w:t>
      </w:r>
      <w:r w:rsidR="0012168E" w:rsidRPr="00281BDC">
        <w:rPr>
          <w:lang w:val="en-GB"/>
        </w:rPr>
        <w:t xml:space="preserve">. </w:t>
      </w:r>
      <w:r w:rsidR="00420ECC" w:rsidRPr="00281BDC">
        <w:rPr>
          <w:lang w:val="en-GB"/>
        </w:rPr>
        <w:t>Waste combustion</w:t>
      </w:r>
      <w:r w:rsidR="000A6E7F" w:rsidRPr="00281BDC">
        <w:rPr>
          <w:lang w:val="en-GB"/>
        </w:rPr>
        <w:t xml:space="preserve"> transfers </w:t>
      </w:r>
      <w:r w:rsidR="00494449" w:rsidRPr="00281BDC">
        <w:rPr>
          <w:lang w:val="en-GB"/>
        </w:rPr>
        <w:t xml:space="preserve">75-80 </w:t>
      </w:r>
      <w:proofErr w:type="spellStart"/>
      <w:r w:rsidR="00494449" w:rsidRPr="00281BDC">
        <w:rPr>
          <w:lang w:val="en-GB"/>
        </w:rPr>
        <w:t>wt</w:t>
      </w:r>
      <w:proofErr w:type="spellEnd"/>
      <w:r w:rsidR="00437B2F" w:rsidRPr="00281BDC">
        <w:rPr>
          <w:lang w:val="en-GB"/>
        </w:rPr>
        <w:t>%</w:t>
      </w:r>
      <w:r w:rsidR="000A6E7F" w:rsidRPr="00281BDC">
        <w:rPr>
          <w:lang w:val="en-GB"/>
        </w:rPr>
        <w:t xml:space="preserve"> of the burnt matter</w:t>
      </w:r>
      <w:r w:rsidR="008C6779" w:rsidRPr="00281BDC">
        <w:rPr>
          <w:lang w:val="en-GB"/>
        </w:rPr>
        <w:t xml:space="preserve"> (</w:t>
      </w:r>
      <w:proofErr w:type="spellStart"/>
      <w:r w:rsidR="008C6779" w:rsidRPr="00281BDC">
        <w:rPr>
          <w:lang w:val="en-GB"/>
        </w:rPr>
        <w:t>Biasenbauer</w:t>
      </w:r>
      <w:proofErr w:type="spellEnd"/>
      <w:r w:rsidR="008C6779" w:rsidRPr="00281BDC">
        <w:rPr>
          <w:lang w:val="en-GB"/>
        </w:rPr>
        <w:t xml:space="preserve"> et al., 2020)</w:t>
      </w:r>
      <w:r w:rsidR="000A6E7F" w:rsidRPr="00281BDC">
        <w:rPr>
          <w:lang w:val="en-GB"/>
        </w:rPr>
        <w:t xml:space="preserve"> into </w:t>
      </w:r>
      <w:r w:rsidR="00437B2F" w:rsidRPr="00281BDC">
        <w:rPr>
          <w:lang w:val="en-GB"/>
        </w:rPr>
        <w:t>a</w:t>
      </w:r>
      <w:r w:rsidR="000A6E7F" w:rsidRPr="00281BDC">
        <w:rPr>
          <w:lang w:val="en-GB"/>
        </w:rPr>
        <w:t xml:space="preserve"> flue gas that is mainly composed of CO</w:t>
      </w:r>
      <w:r w:rsidR="00184339" w:rsidRPr="00281BDC">
        <w:rPr>
          <w:vertAlign w:val="subscript"/>
          <w:lang w:val="en-GB"/>
        </w:rPr>
        <w:t>2</w:t>
      </w:r>
      <w:r w:rsidR="000A6E7F" w:rsidRPr="00281BDC">
        <w:rPr>
          <w:vertAlign w:val="subscript"/>
          <w:lang w:val="en-GB"/>
        </w:rPr>
        <w:t xml:space="preserve"> </w:t>
      </w:r>
      <w:r w:rsidR="000A6E7F" w:rsidRPr="00281BDC">
        <w:rPr>
          <w:lang w:val="en-GB"/>
        </w:rPr>
        <w:t>and water</w:t>
      </w:r>
      <w:r w:rsidR="00F34AA6" w:rsidRPr="00281BDC">
        <w:rPr>
          <w:lang w:val="en-GB"/>
        </w:rPr>
        <w:t xml:space="preserve"> vapo</w:t>
      </w:r>
      <w:r w:rsidR="00F6512C" w:rsidRPr="00281BDC">
        <w:rPr>
          <w:lang w:val="en-GB"/>
        </w:rPr>
        <w:t>u</w:t>
      </w:r>
      <w:r w:rsidR="00F34AA6" w:rsidRPr="00281BDC">
        <w:rPr>
          <w:lang w:val="en-GB"/>
        </w:rPr>
        <w:t>r</w:t>
      </w:r>
      <w:r w:rsidR="00626CF3">
        <w:rPr>
          <w:lang w:val="en-GB"/>
        </w:rPr>
        <w:t xml:space="preserve"> </w:t>
      </w:r>
      <w:r w:rsidR="008C6779" w:rsidRPr="00281BDC">
        <w:rPr>
          <w:lang w:val="en-GB"/>
        </w:rPr>
        <w:t xml:space="preserve">but </w:t>
      </w:r>
      <w:r w:rsidR="00A82EC2" w:rsidRPr="00281BDC">
        <w:rPr>
          <w:lang w:val="en-GB"/>
        </w:rPr>
        <w:t xml:space="preserve">contains several </w:t>
      </w:r>
      <w:r w:rsidR="003C7603" w:rsidRPr="00281BDC">
        <w:rPr>
          <w:lang w:val="en-GB"/>
        </w:rPr>
        <w:t>pollutants</w:t>
      </w:r>
      <w:r w:rsidR="005E6729" w:rsidRPr="00281BDC">
        <w:rPr>
          <w:lang w:val="en-GB"/>
        </w:rPr>
        <w:t xml:space="preserve"> </w:t>
      </w:r>
      <w:r w:rsidR="00446580" w:rsidRPr="00281BDC">
        <w:rPr>
          <w:lang w:val="en-GB"/>
        </w:rPr>
        <w:t>that are potentially harmful</w:t>
      </w:r>
      <w:r w:rsidR="00A76A4E" w:rsidRPr="00281BDC">
        <w:rPr>
          <w:lang w:val="en-GB"/>
        </w:rPr>
        <w:t xml:space="preserve"> </w:t>
      </w:r>
      <w:r w:rsidR="00770A71" w:rsidRPr="00281BDC">
        <w:rPr>
          <w:lang w:val="en-GB"/>
        </w:rPr>
        <w:t xml:space="preserve">for human health and the environment. </w:t>
      </w:r>
      <w:r w:rsidR="0083569E" w:rsidRPr="00281BDC">
        <w:rPr>
          <w:lang w:val="en-GB"/>
        </w:rPr>
        <w:t xml:space="preserve">In Europe, the </w:t>
      </w:r>
      <w:r w:rsidR="00D677CD" w:rsidRPr="00281BDC">
        <w:rPr>
          <w:lang w:val="en-GB"/>
        </w:rPr>
        <w:t xml:space="preserve">Industrial Emissions Directive (IED) prescribes </w:t>
      </w:r>
      <w:r w:rsidR="005B2B98" w:rsidRPr="00281BDC">
        <w:rPr>
          <w:lang w:val="en-GB"/>
        </w:rPr>
        <w:t xml:space="preserve">stringent </w:t>
      </w:r>
      <w:r w:rsidR="00D52ACB" w:rsidRPr="00281BDC">
        <w:rPr>
          <w:lang w:val="en-GB"/>
        </w:rPr>
        <w:t xml:space="preserve">emission standards </w:t>
      </w:r>
      <w:r w:rsidR="00F5552D" w:rsidRPr="00281BDC">
        <w:rPr>
          <w:lang w:val="en-GB"/>
        </w:rPr>
        <w:t xml:space="preserve">to ensure the environmental sustainability of </w:t>
      </w:r>
      <w:proofErr w:type="spellStart"/>
      <w:r w:rsidR="00F5552D" w:rsidRPr="00281BDC">
        <w:rPr>
          <w:lang w:val="en-GB"/>
        </w:rPr>
        <w:t>WtE</w:t>
      </w:r>
      <w:proofErr w:type="spellEnd"/>
      <w:r w:rsidR="00F5552D" w:rsidRPr="00281BDC">
        <w:rPr>
          <w:lang w:val="en-GB"/>
        </w:rPr>
        <w:t xml:space="preserve"> operation. </w:t>
      </w:r>
    </w:p>
    <w:p w14:paraId="3313B78F" w14:textId="1A144F8F" w:rsidR="00991C24" w:rsidRPr="00281BDC" w:rsidRDefault="002B2A09" w:rsidP="008C186F">
      <w:pPr>
        <w:pStyle w:val="CETBodytext"/>
        <w:rPr>
          <w:lang w:val="en-GB"/>
        </w:rPr>
      </w:pPr>
      <w:r w:rsidRPr="00281BDC">
        <w:rPr>
          <w:lang w:val="en-GB"/>
        </w:rPr>
        <w:t xml:space="preserve">The atmospheric emission of </w:t>
      </w:r>
      <w:r w:rsidR="00607C2D" w:rsidRPr="00281BDC">
        <w:rPr>
          <w:lang w:val="en-GB"/>
        </w:rPr>
        <w:t xml:space="preserve">acid pollutants, </w:t>
      </w:r>
      <w:r w:rsidR="009925DE" w:rsidRPr="00281BDC">
        <w:rPr>
          <w:lang w:val="en-GB"/>
        </w:rPr>
        <w:t>namely hydrogen chloride (HCl), sul</w:t>
      </w:r>
      <w:r w:rsidR="004F57BC" w:rsidRPr="00281BDC">
        <w:rPr>
          <w:lang w:val="en-GB"/>
        </w:rPr>
        <w:t>ph</w:t>
      </w:r>
      <w:r w:rsidR="009925DE" w:rsidRPr="00281BDC">
        <w:rPr>
          <w:lang w:val="en-GB"/>
        </w:rPr>
        <w:t>ur dioxide (SO</w:t>
      </w:r>
      <w:r w:rsidR="009925DE" w:rsidRPr="00281BDC">
        <w:rPr>
          <w:vertAlign w:val="subscript"/>
          <w:lang w:val="en-GB"/>
        </w:rPr>
        <w:t>2</w:t>
      </w:r>
      <w:r w:rsidR="009925DE" w:rsidRPr="00281BDC">
        <w:rPr>
          <w:lang w:val="en-GB"/>
        </w:rPr>
        <w:t xml:space="preserve">) and hydrogen fluoride (HF), </w:t>
      </w:r>
      <w:r w:rsidR="005D5327" w:rsidRPr="00281BDC">
        <w:rPr>
          <w:lang w:val="en-GB"/>
        </w:rPr>
        <w:t xml:space="preserve">is </w:t>
      </w:r>
      <w:r w:rsidR="00C766A0" w:rsidRPr="00281BDC">
        <w:rPr>
          <w:lang w:val="en-GB"/>
        </w:rPr>
        <w:t>of particular concern</w:t>
      </w:r>
      <w:r w:rsidR="00CF068D" w:rsidRPr="00281BDC">
        <w:rPr>
          <w:lang w:val="en-GB"/>
        </w:rPr>
        <w:t xml:space="preserve"> (</w:t>
      </w:r>
      <w:r w:rsidR="00C1450D" w:rsidRPr="00281BDC">
        <w:rPr>
          <w:lang w:val="en-GB"/>
        </w:rPr>
        <w:t>Zhang et al., 2019</w:t>
      </w:r>
      <w:r w:rsidR="00CF068D" w:rsidRPr="00281BDC">
        <w:rPr>
          <w:lang w:val="en-GB"/>
        </w:rPr>
        <w:t>)</w:t>
      </w:r>
      <w:r w:rsidR="00C766A0" w:rsidRPr="00281BDC">
        <w:rPr>
          <w:lang w:val="en-GB"/>
        </w:rPr>
        <w:t xml:space="preserve">. </w:t>
      </w:r>
      <w:r w:rsidR="00490E1C" w:rsidRPr="00281BDC">
        <w:rPr>
          <w:lang w:val="en-GB"/>
        </w:rPr>
        <w:t xml:space="preserve">Acid gas </w:t>
      </w:r>
      <w:r w:rsidR="0024760F" w:rsidRPr="00281BDC">
        <w:rPr>
          <w:lang w:val="en-GB"/>
        </w:rPr>
        <w:t>abatement</w:t>
      </w:r>
      <w:r w:rsidR="00490E1C" w:rsidRPr="00281BDC">
        <w:rPr>
          <w:lang w:val="en-GB"/>
        </w:rPr>
        <w:t xml:space="preserve"> is frequently</w:t>
      </w:r>
      <w:r w:rsidR="0024760F" w:rsidRPr="00281BDC">
        <w:rPr>
          <w:lang w:val="en-GB"/>
        </w:rPr>
        <w:t xml:space="preserve"> performed </w:t>
      </w:r>
      <w:r w:rsidR="00375F9D" w:rsidRPr="00281BDC">
        <w:rPr>
          <w:lang w:val="en-GB"/>
        </w:rPr>
        <w:t xml:space="preserve">by means of </w:t>
      </w:r>
      <w:r w:rsidR="00626CF3">
        <w:rPr>
          <w:lang w:val="en-GB"/>
        </w:rPr>
        <w:t>d</w:t>
      </w:r>
      <w:r w:rsidR="00375F9D" w:rsidRPr="00281BDC">
        <w:rPr>
          <w:lang w:val="en-GB"/>
        </w:rPr>
        <w:t xml:space="preserve">ry </w:t>
      </w:r>
      <w:r w:rsidR="00626CF3">
        <w:rPr>
          <w:lang w:val="en-GB"/>
        </w:rPr>
        <w:t>t</w:t>
      </w:r>
      <w:r w:rsidR="00375F9D" w:rsidRPr="00281BDC">
        <w:rPr>
          <w:lang w:val="en-GB"/>
        </w:rPr>
        <w:t xml:space="preserve">reatment </w:t>
      </w:r>
      <w:r w:rsidR="00626CF3">
        <w:rPr>
          <w:lang w:val="en-GB"/>
        </w:rPr>
        <w:t>s</w:t>
      </w:r>
      <w:r w:rsidR="00375F9D" w:rsidRPr="00281BDC">
        <w:rPr>
          <w:lang w:val="en-GB"/>
        </w:rPr>
        <w:t>ystems (DTS)</w:t>
      </w:r>
      <w:r w:rsidR="00435927" w:rsidRPr="00281BDC">
        <w:rPr>
          <w:lang w:val="en-GB"/>
        </w:rPr>
        <w:t xml:space="preserve">. DTS configurations are </w:t>
      </w:r>
      <w:r w:rsidR="00145F0F" w:rsidRPr="00281BDC">
        <w:rPr>
          <w:lang w:val="en-GB"/>
        </w:rPr>
        <w:t>diverse</w:t>
      </w:r>
      <w:r w:rsidR="00435927" w:rsidRPr="00281BDC">
        <w:rPr>
          <w:lang w:val="en-GB"/>
        </w:rPr>
        <w:t xml:space="preserve"> and highly customized</w:t>
      </w:r>
      <w:r w:rsidR="0046192C" w:rsidRPr="00281BDC">
        <w:rPr>
          <w:lang w:val="en-GB"/>
        </w:rPr>
        <w:t>,</w:t>
      </w:r>
      <w:r w:rsidR="00435927" w:rsidRPr="00281BDC">
        <w:rPr>
          <w:lang w:val="en-GB"/>
        </w:rPr>
        <w:t xml:space="preserve"> depending on the amount and typ</w:t>
      </w:r>
      <w:r w:rsidR="0046192C" w:rsidRPr="00281BDC">
        <w:rPr>
          <w:lang w:val="en-GB"/>
        </w:rPr>
        <w:t>e</w:t>
      </w:r>
      <w:r w:rsidR="00435927" w:rsidRPr="00281BDC">
        <w:rPr>
          <w:lang w:val="en-GB"/>
        </w:rPr>
        <w:t xml:space="preserve"> of waste burnt</w:t>
      </w:r>
      <w:r w:rsidR="0046192C" w:rsidRPr="00281BDC">
        <w:rPr>
          <w:lang w:val="en-GB"/>
        </w:rPr>
        <w:t xml:space="preserve">, but they all consist in the in-duct </w:t>
      </w:r>
      <w:r w:rsidR="00EA660C" w:rsidRPr="00281BDC">
        <w:rPr>
          <w:lang w:val="en-GB"/>
        </w:rPr>
        <w:t xml:space="preserve">injection </w:t>
      </w:r>
      <w:r w:rsidR="00E05BE9" w:rsidRPr="00281BDC">
        <w:rPr>
          <w:lang w:val="en-GB"/>
        </w:rPr>
        <w:t xml:space="preserve">of solid sorbents </w:t>
      </w:r>
      <w:r w:rsidR="00C57BE4" w:rsidRPr="00281BDC">
        <w:rPr>
          <w:lang w:val="en-GB"/>
        </w:rPr>
        <w:t xml:space="preserve">that </w:t>
      </w:r>
      <w:r w:rsidR="007E7E8A" w:rsidRPr="00281BDC">
        <w:rPr>
          <w:lang w:val="en-GB"/>
        </w:rPr>
        <w:t>remove acid pollutants via gas-solid neutralization reactions</w:t>
      </w:r>
      <w:r w:rsidR="00EA4C0F" w:rsidRPr="00281BDC">
        <w:rPr>
          <w:lang w:val="en-GB"/>
        </w:rPr>
        <w:t xml:space="preserve"> (</w:t>
      </w:r>
      <w:proofErr w:type="spellStart"/>
      <w:r w:rsidR="006B7B2A" w:rsidRPr="00281BDC">
        <w:rPr>
          <w:lang w:val="en-GB"/>
        </w:rPr>
        <w:t>Vehlow</w:t>
      </w:r>
      <w:proofErr w:type="spellEnd"/>
      <w:r w:rsidR="006B7B2A" w:rsidRPr="00281BDC">
        <w:rPr>
          <w:lang w:val="en-GB"/>
        </w:rPr>
        <w:t xml:space="preserve">, 2015). </w:t>
      </w:r>
      <w:r w:rsidR="00D872B5" w:rsidRPr="00281BDC">
        <w:rPr>
          <w:lang w:val="en-GB"/>
        </w:rPr>
        <w:t>The injection of sorbents for a</w:t>
      </w:r>
      <w:r w:rsidR="00645D21" w:rsidRPr="00281BDC">
        <w:rPr>
          <w:lang w:val="en-GB"/>
        </w:rPr>
        <w:t xml:space="preserve">cid gas </w:t>
      </w:r>
      <w:r w:rsidR="00D872B5" w:rsidRPr="00281BDC">
        <w:rPr>
          <w:lang w:val="en-GB"/>
        </w:rPr>
        <w:t>removal</w:t>
      </w:r>
      <w:r w:rsidR="00645D21" w:rsidRPr="00281BDC">
        <w:rPr>
          <w:lang w:val="en-GB"/>
        </w:rPr>
        <w:t xml:space="preserve"> is usually the first pollution control step </w:t>
      </w:r>
      <w:r w:rsidR="00DE4EBC" w:rsidRPr="00281BDC">
        <w:rPr>
          <w:lang w:val="en-GB"/>
        </w:rPr>
        <w:t>downstream of the heat recovery section</w:t>
      </w:r>
      <w:r w:rsidR="00541538" w:rsidRPr="00281BDC">
        <w:rPr>
          <w:lang w:val="en-GB"/>
        </w:rPr>
        <w:t xml:space="preserve"> and upstream of </w:t>
      </w:r>
      <w:r w:rsidR="001F610E" w:rsidRPr="00281BDC">
        <w:rPr>
          <w:lang w:val="en-GB"/>
        </w:rPr>
        <w:t xml:space="preserve">the de-dusting equipment </w:t>
      </w:r>
      <w:r w:rsidR="00AE35FB" w:rsidRPr="00281BDC">
        <w:rPr>
          <w:lang w:val="en-GB"/>
        </w:rPr>
        <w:t xml:space="preserve">(electrostatic precipitator of fabric filter) </w:t>
      </w:r>
      <w:r w:rsidR="001F610E" w:rsidRPr="00281BDC">
        <w:rPr>
          <w:lang w:val="en-GB"/>
        </w:rPr>
        <w:t>used for the separation of particulate matter released by waste combustion.</w:t>
      </w:r>
      <w:r w:rsidR="00012ED6" w:rsidRPr="00281BDC">
        <w:rPr>
          <w:lang w:val="en-GB"/>
        </w:rPr>
        <w:t xml:space="preserve"> </w:t>
      </w:r>
      <w:r w:rsidR="006D2DF3" w:rsidRPr="00281BDC">
        <w:rPr>
          <w:lang w:val="en-GB"/>
        </w:rPr>
        <w:t xml:space="preserve">In case a fabric filter is used, the injected sorbents </w:t>
      </w:r>
      <w:r w:rsidR="00645D21" w:rsidRPr="00281BDC">
        <w:rPr>
          <w:lang w:val="en-GB"/>
        </w:rPr>
        <w:t xml:space="preserve">settle on the </w:t>
      </w:r>
      <w:r w:rsidR="00FF1FA3" w:rsidRPr="00281BDC">
        <w:rPr>
          <w:lang w:val="en-GB"/>
        </w:rPr>
        <w:t>filter bags</w:t>
      </w:r>
      <w:r w:rsidR="00A36847" w:rsidRPr="00281BDC">
        <w:rPr>
          <w:lang w:val="en-GB"/>
        </w:rPr>
        <w:t xml:space="preserve">, forming a </w:t>
      </w:r>
      <w:r w:rsidR="009963A5" w:rsidRPr="00281BDC">
        <w:rPr>
          <w:lang w:val="en-GB"/>
        </w:rPr>
        <w:t xml:space="preserve">reactant cake </w:t>
      </w:r>
      <w:r w:rsidR="004F35AC" w:rsidRPr="00281BDC">
        <w:rPr>
          <w:lang w:val="en-GB"/>
        </w:rPr>
        <w:t>that acts as a fixed bed for acid gas conversion,</w:t>
      </w:r>
      <w:r w:rsidR="00250F8A" w:rsidRPr="00281BDC">
        <w:rPr>
          <w:lang w:val="en-GB"/>
        </w:rPr>
        <w:t xml:space="preserve"> </w:t>
      </w:r>
      <w:r w:rsidR="00FA39AD" w:rsidRPr="00281BDC">
        <w:rPr>
          <w:lang w:val="en-GB"/>
        </w:rPr>
        <w:t xml:space="preserve">hence leading </w:t>
      </w:r>
      <w:r w:rsidR="00645D21" w:rsidRPr="00281BDC">
        <w:rPr>
          <w:lang w:val="en-GB"/>
        </w:rPr>
        <w:t xml:space="preserve">to </w:t>
      </w:r>
      <w:r w:rsidR="00FA39AD" w:rsidRPr="00281BDC">
        <w:rPr>
          <w:lang w:val="en-GB"/>
        </w:rPr>
        <w:t>a higher abatement</w:t>
      </w:r>
      <w:r w:rsidR="00645D21" w:rsidRPr="00281BDC">
        <w:rPr>
          <w:lang w:val="en-GB"/>
        </w:rPr>
        <w:t xml:space="preserve"> performance</w:t>
      </w:r>
      <w:r w:rsidR="00FA39AD" w:rsidRPr="00281BDC">
        <w:rPr>
          <w:lang w:val="en-GB"/>
        </w:rPr>
        <w:t xml:space="preserve"> (</w:t>
      </w:r>
      <w:r w:rsidR="00160BE0">
        <w:rPr>
          <w:lang w:val="en-GB"/>
        </w:rPr>
        <w:t xml:space="preserve">Antonioni et al., 2016; </w:t>
      </w:r>
      <w:r w:rsidR="00EE5CA6">
        <w:rPr>
          <w:lang w:val="en-GB"/>
        </w:rPr>
        <w:t xml:space="preserve">Chisholm and Rochelle, 1999). </w:t>
      </w:r>
      <w:r w:rsidR="00EF53E9" w:rsidRPr="00281BDC">
        <w:rPr>
          <w:lang w:val="en-GB"/>
        </w:rPr>
        <w:t xml:space="preserve"> </w:t>
      </w:r>
    </w:p>
    <w:p w14:paraId="0CC36347" w14:textId="76E39ACE" w:rsidR="00F3517E" w:rsidRPr="00281BDC" w:rsidRDefault="00991C24" w:rsidP="00F3517E">
      <w:pPr>
        <w:pStyle w:val="CETBodytext"/>
        <w:rPr>
          <w:lang w:val="en-GB"/>
        </w:rPr>
      </w:pPr>
      <w:r w:rsidRPr="00281BDC">
        <w:rPr>
          <w:lang w:val="en-GB"/>
        </w:rPr>
        <w:t xml:space="preserve">DTS </w:t>
      </w:r>
      <w:r w:rsidR="00BF4A37" w:rsidRPr="00281BDC">
        <w:rPr>
          <w:lang w:val="en-GB"/>
        </w:rPr>
        <w:t xml:space="preserve">configurations </w:t>
      </w:r>
      <w:r w:rsidRPr="00281BDC">
        <w:rPr>
          <w:lang w:val="en-GB"/>
        </w:rPr>
        <w:t xml:space="preserve">have </w:t>
      </w:r>
      <w:r w:rsidR="00720390" w:rsidRPr="00281BDC">
        <w:rPr>
          <w:lang w:val="en-GB"/>
        </w:rPr>
        <w:t xml:space="preserve">proved to be </w:t>
      </w:r>
      <w:r w:rsidR="00F34B29" w:rsidRPr="00281BDC">
        <w:rPr>
          <w:lang w:val="en-GB"/>
        </w:rPr>
        <w:t xml:space="preserve">reliable and versatile </w:t>
      </w:r>
      <w:r w:rsidR="000F3693" w:rsidRPr="00281BDC">
        <w:rPr>
          <w:lang w:val="en-GB"/>
        </w:rPr>
        <w:t xml:space="preserve">systems, </w:t>
      </w:r>
      <w:r w:rsidR="00A07358" w:rsidRPr="00281BDC">
        <w:rPr>
          <w:lang w:val="en-GB"/>
        </w:rPr>
        <w:t xml:space="preserve">often preferred to </w:t>
      </w:r>
      <w:r w:rsidR="007D0F14" w:rsidRPr="00281BDC">
        <w:rPr>
          <w:lang w:val="en-GB"/>
        </w:rPr>
        <w:t xml:space="preserve">wet scrubbing alternatives </w:t>
      </w:r>
      <w:r w:rsidR="004C4F09" w:rsidRPr="00281BDC">
        <w:rPr>
          <w:lang w:val="en-GB"/>
        </w:rPr>
        <w:t xml:space="preserve">thanks to their </w:t>
      </w:r>
      <w:r w:rsidR="00667CB5">
        <w:rPr>
          <w:lang w:val="en-GB"/>
        </w:rPr>
        <w:t>low investment cost</w:t>
      </w:r>
      <w:r w:rsidR="004C4F09" w:rsidRPr="00281BDC">
        <w:rPr>
          <w:lang w:val="en-GB"/>
        </w:rPr>
        <w:t xml:space="preserve">, ease of operation and absence of </w:t>
      </w:r>
      <w:r w:rsidR="005E0D2F" w:rsidRPr="00281BDC">
        <w:rPr>
          <w:lang w:val="en-GB"/>
        </w:rPr>
        <w:t>“rain-out” issues at stack</w:t>
      </w:r>
      <w:r w:rsidR="009F24B7" w:rsidRPr="00281BDC">
        <w:rPr>
          <w:lang w:val="en-GB"/>
        </w:rPr>
        <w:t xml:space="preserve"> (</w:t>
      </w:r>
      <w:proofErr w:type="spellStart"/>
      <w:r w:rsidR="009F24B7" w:rsidRPr="00281BDC">
        <w:rPr>
          <w:lang w:val="en-GB"/>
        </w:rPr>
        <w:t>Margraf</w:t>
      </w:r>
      <w:proofErr w:type="spellEnd"/>
      <w:r w:rsidR="009F24B7" w:rsidRPr="00281BDC">
        <w:rPr>
          <w:lang w:val="en-GB"/>
        </w:rPr>
        <w:t>, 2015)</w:t>
      </w:r>
      <w:r w:rsidR="00DD0902" w:rsidRPr="00281BDC">
        <w:rPr>
          <w:lang w:val="en-GB"/>
        </w:rPr>
        <w:t xml:space="preserve">. </w:t>
      </w:r>
      <w:r w:rsidR="008E431B" w:rsidRPr="00281BDC">
        <w:rPr>
          <w:lang w:val="en-GB"/>
        </w:rPr>
        <w:t xml:space="preserve">On the other hand, </w:t>
      </w:r>
      <w:r w:rsidR="00D107EB" w:rsidRPr="00281BDC">
        <w:rPr>
          <w:lang w:val="en-GB"/>
        </w:rPr>
        <w:t xml:space="preserve">the </w:t>
      </w:r>
      <w:r w:rsidR="00573ACF" w:rsidRPr="00281BDC">
        <w:rPr>
          <w:lang w:val="en-GB"/>
        </w:rPr>
        <w:t>understanding</w:t>
      </w:r>
      <w:r w:rsidR="00D107EB" w:rsidRPr="00281BDC">
        <w:rPr>
          <w:lang w:val="en-GB"/>
        </w:rPr>
        <w:t xml:space="preserve"> o</w:t>
      </w:r>
      <w:r w:rsidR="00573ACF" w:rsidRPr="00281BDC">
        <w:rPr>
          <w:lang w:val="en-GB"/>
        </w:rPr>
        <w:t>f</w:t>
      </w:r>
      <w:r w:rsidR="00D107EB" w:rsidRPr="00281BDC">
        <w:rPr>
          <w:lang w:val="en-GB"/>
        </w:rPr>
        <w:t xml:space="preserve"> gas-solid reactions</w:t>
      </w:r>
      <w:r w:rsidR="00573ACF" w:rsidRPr="00281BDC">
        <w:rPr>
          <w:lang w:val="en-GB"/>
        </w:rPr>
        <w:t xml:space="preserve"> at relevant process conditions</w:t>
      </w:r>
      <w:r w:rsidR="00D107EB" w:rsidRPr="00281BDC">
        <w:rPr>
          <w:lang w:val="en-GB"/>
        </w:rPr>
        <w:t xml:space="preserve"> is </w:t>
      </w:r>
      <w:r w:rsidR="00D107EB" w:rsidRPr="00281BDC">
        <w:rPr>
          <w:lang w:val="en-GB"/>
        </w:rPr>
        <w:lastRenderedPageBreak/>
        <w:t xml:space="preserve">still </w:t>
      </w:r>
      <w:r w:rsidR="00573ACF" w:rsidRPr="00281BDC">
        <w:rPr>
          <w:lang w:val="en-GB"/>
        </w:rPr>
        <w:t xml:space="preserve">relatively </w:t>
      </w:r>
      <w:r w:rsidR="00D107EB" w:rsidRPr="002C6F49">
        <w:rPr>
          <w:lang w:val="en-GB"/>
        </w:rPr>
        <w:t>scarce</w:t>
      </w:r>
      <w:r w:rsidR="00573ACF" w:rsidRPr="002C6F49">
        <w:rPr>
          <w:lang w:val="en-GB"/>
        </w:rPr>
        <w:t xml:space="preserve"> (Foo et al., 201</w:t>
      </w:r>
      <w:r w:rsidR="002C6F49" w:rsidRPr="002C6F49">
        <w:rPr>
          <w:lang w:val="en-GB"/>
        </w:rPr>
        <w:t>6</w:t>
      </w:r>
      <w:r w:rsidR="00573ACF" w:rsidRPr="002C6F49">
        <w:rPr>
          <w:lang w:val="en-GB"/>
        </w:rPr>
        <w:t>)</w:t>
      </w:r>
      <w:r w:rsidR="00D107EB" w:rsidRPr="00281BDC">
        <w:rPr>
          <w:lang w:val="en-GB"/>
        </w:rPr>
        <w:t xml:space="preserve"> and</w:t>
      </w:r>
      <w:r w:rsidR="00573ACF" w:rsidRPr="00281BDC">
        <w:rPr>
          <w:lang w:val="en-GB"/>
        </w:rPr>
        <w:t xml:space="preserve"> </w:t>
      </w:r>
      <w:r w:rsidR="00BA4962" w:rsidRPr="00281BDC">
        <w:rPr>
          <w:lang w:val="en-GB"/>
        </w:rPr>
        <w:t>the operation of DTS unit</w:t>
      </w:r>
      <w:r w:rsidR="00444C2F" w:rsidRPr="00281BDC">
        <w:rPr>
          <w:lang w:val="en-GB"/>
        </w:rPr>
        <w:t xml:space="preserve">s is still highly empirical. </w:t>
      </w:r>
      <w:r w:rsidR="00A04012" w:rsidRPr="00281BDC">
        <w:rPr>
          <w:lang w:val="en-GB"/>
        </w:rPr>
        <w:t>To ensure safe operation, the sorbent is typically injected in high excess</w:t>
      </w:r>
      <w:r w:rsidR="00DC4E6E" w:rsidRPr="00281BDC">
        <w:rPr>
          <w:lang w:val="en-GB"/>
        </w:rPr>
        <w:t xml:space="preserve">. </w:t>
      </w:r>
      <w:r w:rsidR="00F24CBC" w:rsidRPr="00281BDC">
        <w:rPr>
          <w:lang w:val="en-GB"/>
        </w:rPr>
        <w:t>Th</w:t>
      </w:r>
      <w:r w:rsidR="00C15439" w:rsidRPr="00281BDC">
        <w:rPr>
          <w:lang w:val="en-GB"/>
        </w:rPr>
        <w:t xml:space="preserve">e resulting </w:t>
      </w:r>
      <w:r w:rsidR="004816FB" w:rsidRPr="00281BDC">
        <w:rPr>
          <w:lang w:val="en-GB"/>
        </w:rPr>
        <w:t>overproduction of solid process residues represent</w:t>
      </w:r>
      <w:r w:rsidR="0067317A" w:rsidRPr="00281BDC">
        <w:rPr>
          <w:lang w:val="en-GB"/>
        </w:rPr>
        <w:t xml:space="preserve">s both </w:t>
      </w:r>
      <w:r w:rsidR="00FF2841" w:rsidRPr="00281BDC">
        <w:rPr>
          <w:lang w:val="en-GB"/>
        </w:rPr>
        <w:t>an extra cost and an environmental burden</w:t>
      </w:r>
      <w:r w:rsidR="001E7B24">
        <w:rPr>
          <w:lang w:val="en-GB"/>
        </w:rPr>
        <w:t>, as the</w:t>
      </w:r>
      <w:r w:rsidR="00A86538">
        <w:rPr>
          <w:lang w:val="en-GB"/>
        </w:rPr>
        <w:t>y are typically disposed of in</w:t>
      </w:r>
      <w:r w:rsidR="00D119E0">
        <w:rPr>
          <w:lang w:val="en-GB"/>
        </w:rPr>
        <w:t xml:space="preserve"> </w:t>
      </w:r>
      <w:r w:rsidR="00A86538">
        <w:rPr>
          <w:lang w:val="en-GB"/>
        </w:rPr>
        <w:t xml:space="preserve">landfills, although some </w:t>
      </w:r>
      <w:proofErr w:type="spellStart"/>
      <w:r w:rsidR="00A86538">
        <w:rPr>
          <w:lang w:val="en-GB"/>
        </w:rPr>
        <w:t>valorization</w:t>
      </w:r>
      <w:proofErr w:type="spellEnd"/>
      <w:r w:rsidR="00A86538">
        <w:rPr>
          <w:lang w:val="en-GB"/>
        </w:rPr>
        <w:t xml:space="preserve"> routes are currently under study</w:t>
      </w:r>
      <w:r w:rsidR="00FF2841" w:rsidRPr="00281BDC">
        <w:rPr>
          <w:lang w:val="en-GB"/>
        </w:rPr>
        <w:t xml:space="preserve"> (Dal Pozzo et al., 2018a</w:t>
      </w:r>
      <w:r w:rsidR="00A86538">
        <w:rPr>
          <w:lang w:val="en-GB"/>
        </w:rPr>
        <w:t>; Dal Pozzo et al., 2019a</w:t>
      </w:r>
      <w:r w:rsidR="00FF2841" w:rsidRPr="00281BDC">
        <w:rPr>
          <w:lang w:val="en-GB"/>
        </w:rPr>
        <w:t xml:space="preserve">). </w:t>
      </w:r>
      <w:r w:rsidR="00A04012" w:rsidRPr="00281BDC">
        <w:rPr>
          <w:lang w:val="en-GB"/>
        </w:rPr>
        <w:t xml:space="preserve"> </w:t>
      </w:r>
    </w:p>
    <w:p w14:paraId="2807A665" w14:textId="3956FFE3" w:rsidR="00390596" w:rsidRPr="00281BDC" w:rsidRDefault="00F3517E" w:rsidP="00AE1FEA">
      <w:pPr>
        <w:pStyle w:val="CETBodytext"/>
        <w:rPr>
          <w:lang w:val="en-GB"/>
        </w:rPr>
      </w:pPr>
      <w:r w:rsidRPr="00281BDC">
        <w:rPr>
          <w:lang w:val="en-GB"/>
        </w:rPr>
        <w:t xml:space="preserve">Simplified operational models have been proposed to </w:t>
      </w:r>
      <w:r w:rsidR="005F5D71" w:rsidRPr="00281BDC">
        <w:rPr>
          <w:lang w:val="en-GB"/>
        </w:rPr>
        <w:t xml:space="preserve">describe the relation between sorbent feed rate and </w:t>
      </w:r>
      <w:r w:rsidR="00227EA8" w:rsidRPr="00281BDC">
        <w:rPr>
          <w:lang w:val="en-GB"/>
        </w:rPr>
        <w:t>resulting acid gas removal efficiency of the DTS (</w:t>
      </w:r>
      <w:proofErr w:type="spellStart"/>
      <w:r w:rsidR="00227EA8" w:rsidRPr="00281BDC">
        <w:rPr>
          <w:lang w:val="en-GB"/>
        </w:rPr>
        <w:t>Harriott</w:t>
      </w:r>
      <w:proofErr w:type="spellEnd"/>
      <w:r w:rsidR="00227EA8" w:rsidRPr="00281BDC">
        <w:rPr>
          <w:lang w:val="en-GB"/>
        </w:rPr>
        <w:t xml:space="preserve">, 1990; </w:t>
      </w:r>
      <w:r w:rsidR="00DE28F2" w:rsidRPr="00281BDC">
        <w:rPr>
          <w:lang w:val="en-GB"/>
        </w:rPr>
        <w:t xml:space="preserve">Dal </w:t>
      </w:r>
      <w:proofErr w:type="spellStart"/>
      <w:r w:rsidR="00DE28F2" w:rsidRPr="00281BDC">
        <w:rPr>
          <w:lang w:val="en-GB"/>
        </w:rPr>
        <w:t>Pozzo</w:t>
      </w:r>
      <w:proofErr w:type="spellEnd"/>
      <w:r w:rsidR="00DE28F2" w:rsidRPr="00281BDC">
        <w:rPr>
          <w:lang w:val="en-GB"/>
        </w:rPr>
        <w:t xml:space="preserve"> et al., 2016). </w:t>
      </w:r>
      <w:r w:rsidR="000D1441" w:rsidRPr="00281BDC">
        <w:rPr>
          <w:lang w:val="en-GB"/>
        </w:rPr>
        <w:t xml:space="preserve">These </w:t>
      </w:r>
      <w:r w:rsidR="006351D4" w:rsidRPr="00281BDC">
        <w:rPr>
          <w:lang w:val="en-GB"/>
        </w:rPr>
        <w:t xml:space="preserve">pseudo-stationary </w:t>
      </w:r>
      <w:r w:rsidR="000D1441" w:rsidRPr="00281BDC">
        <w:rPr>
          <w:lang w:val="en-GB"/>
        </w:rPr>
        <w:t xml:space="preserve">approaches </w:t>
      </w:r>
      <w:r w:rsidR="008F741E" w:rsidRPr="00281BDC">
        <w:rPr>
          <w:lang w:val="en-GB"/>
        </w:rPr>
        <w:t>are effective</w:t>
      </w:r>
      <w:r w:rsidR="006351D4" w:rsidRPr="00281BDC">
        <w:rPr>
          <w:lang w:val="en-GB"/>
        </w:rPr>
        <w:t xml:space="preserve"> at describing the overall </w:t>
      </w:r>
      <w:r w:rsidR="00FC53A4" w:rsidRPr="00281BDC">
        <w:rPr>
          <w:lang w:val="en-GB"/>
        </w:rPr>
        <w:t xml:space="preserve">average </w:t>
      </w:r>
      <w:r w:rsidR="006351D4" w:rsidRPr="00281BDC">
        <w:rPr>
          <w:lang w:val="en-GB"/>
        </w:rPr>
        <w:t xml:space="preserve">performance of DTS </w:t>
      </w:r>
      <w:r w:rsidR="007027F0" w:rsidRPr="00281BDC">
        <w:rPr>
          <w:lang w:val="en-GB"/>
        </w:rPr>
        <w:t xml:space="preserve">and </w:t>
      </w:r>
      <w:r w:rsidR="00F60C98" w:rsidRPr="00281BDC">
        <w:rPr>
          <w:lang w:val="en-GB"/>
        </w:rPr>
        <w:t>particularly suitable</w:t>
      </w:r>
      <w:r w:rsidR="007027F0" w:rsidRPr="00281BDC">
        <w:rPr>
          <w:lang w:val="en-GB"/>
        </w:rPr>
        <w:t xml:space="preserve"> for </w:t>
      </w:r>
      <w:r w:rsidR="00F60C98" w:rsidRPr="00281BDC">
        <w:rPr>
          <w:lang w:val="en-GB"/>
        </w:rPr>
        <w:t>process optimisation studies (Dal Pozzo et al., 20</w:t>
      </w:r>
      <w:r w:rsidR="003106E8">
        <w:rPr>
          <w:lang w:val="en-GB"/>
        </w:rPr>
        <w:t>20</w:t>
      </w:r>
      <w:r w:rsidR="00F60C98" w:rsidRPr="00281BDC">
        <w:rPr>
          <w:lang w:val="en-GB"/>
        </w:rPr>
        <w:t xml:space="preserve">). </w:t>
      </w:r>
      <w:r w:rsidR="00AE1FEA" w:rsidRPr="00281BDC">
        <w:rPr>
          <w:lang w:val="en-GB"/>
        </w:rPr>
        <w:t xml:space="preserve">However, they do not consider </w:t>
      </w:r>
      <w:r w:rsidR="007463A3" w:rsidRPr="00281BDC">
        <w:rPr>
          <w:lang w:val="en-GB"/>
        </w:rPr>
        <w:t xml:space="preserve">the high time variability of waste composition (and, thus, raw flue gas composition) and so come short of describing the </w:t>
      </w:r>
      <w:r w:rsidR="0098776B" w:rsidRPr="00281BDC">
        <w:rPr>
          <w:lang w:val="en-GB"/>
        </w:rPr>
        <w:t xml:space="preserve">instantaneous </w:t>
      </w:r>
      <w:r w:rsidR="007463A3" w:rsidRPr="00281BDC">
        <w:rPr>
          <w:lang w:val="en-GB"/>
        </w:rPr>
        <w:t xml:space="preserve">behaviour of the </w:t>
      </w:r>
      <w:r w:rsidR="00C53DB4" w:rsidRPr="00281BDC">
        <w:rPr>
          <w:lang w:val="en-GB"/>
        </w:rPr>
        <w:t>DTS</w:t>
      </w:r>
      <w:r w:rsidR="007463A3" w:rsidRPr="00281BDC">
        <w:rPr>
          <w:lang w:val="en-GB"/>
        </w:rPr>
        <w:t xml:space="preserve"> in presence of abrupt variations in the operating conditions (e.g. temporary peaks of the acid pollutant load entering the system). </w:t>
      </w:r>
      <w:r w:rsidR="00F22B22" w:rsidRPr="00281BDC">
        <w:rPr>
          <w:lang w:val="en-GB"/>
        </w:rPr>
        <w:t>There is need of m</w:t>
      </w:r>
      <w:r w:rsidR="00FE6E97" w:rsidRPr="00281BDC">
        <w:rPr>
          <w:lang w:val="en-GB"/>
        </w:rPr>
        <w:t xml:space="preserve">odels capable of </w:t>
      </w:r>
      <w:r w:rsidR="00E639A3" w:rsidRPr="00281BDC">
        <w:rPr>
          <w:lang w:val="en-GB"/>
        </w:rPr>
        <w:t>capturing such a dynamic behaviour</w:t>
      </w:r>
      <w:r w:rsidR="006767C8" w:rsidRPr="00281BDC">
        <w:rPr>
          <w:lang w:val="en-GB"/>
        </w:rPr>
        <w:t>.</w:t>
      </w:r>
      <w:r w:rsidR="00D17838" w:rsidRPr="00281BDC">
        <w:rPr>
          <w:lang w:val="en-GB"/>
        </w:rPr>
        <w:t xml:space="preserve"> </w:t>
      </w:r>
    </w:p>
    <w:p w14:paraId="0CCEB09A" w14:textId="7C95DC61" w:rsidR="00C23434" w:rsidRPr="00281BDC" w:rsidRDefault="00390596" w:rsidP="00C23434">
      <w:pPr>
        <w:pStyle w:val="CETBodytext"/>
        <w:rPr>
          <w:lang w:val="en-GB"/>
        </w:rPr>
      </w:pPr>
      <w:r w:rsidRPr="00281BDC">
        <w:rPr>
          <w:lang w:val="en-GB"/>
        </w:rPr>
        <w:t xml:space="preserve">The present study </w:t>
      </w:r>
      <w:r w:rsidR="00CD4B3F" w:rsidRPr="00281BDC">
        <w:rPr>
          <w:lang w:val="en-GB"/>
        </w:rPr>
        <w:t xml:space="preserve">– to the best of the authors’ knowledge – </w:t>
      </w:r>
      <w:r w:rsidR="00316F8E" w:rsidRPr="00281BDC">
        <w:rPr>
          <w:lang w:val="en-GB"/>
        </w:rPr>
        <w:t>is</w:t>
      </w:r>
      <w:r w:rsidR="00CD4B3F" w:rsidRPr="00281BDC">
        <w:rPr>
          <w:lang w:val="en-GB"/>
        </w:rPr>
        <w:t xml:space="preserve"> a first attempt at </w:t>
      </w:r>
      <w:r w:rsidR="00445CF5" w:rsidRPr="00281BDC">
        <w:rPr>
          <w:lang w:val="en-GB"/>
        </w:rPr>
        <w:t>employing the tools of chemometric analysis</w:t>
      </w:r>
      <w:r w:rsidR="009D1950" w:rsidRPr="00281BDC">
        <w:rPr>
          <w:lang w:val="en-GB"/>
        </w:rPr>
        <w:t xml:space="preserve"> for the interpretation of </w:t>
      </w:r>
      <w:r w:rsidR="001211D3" w:rsidRPr="00281BDC">
        <w:rPr>
          <w:lang w:val="en-GB"/>
        </w:rPr>
        <w:t>acid gas removal process data.</w:t>
      </w:r>
      <w:r w:rsidR="00021ED4" w:rsidRPr="00281BDC">
        <w:rPr>
          <w:lang w:val="en-GB"/>
        </w:rPr>
        <w:t xml:space="preserve"> Like </w:t>
      </w:r>
      <w:r w:rsidR="00D32D62" w:rsidRPr="00281BDC">
        <w:rPr>
          <w:lang w:val="en-GB"/>
        </w:rPr>
        <w:t>a chemical process unit</w:t>
      </w:r>
      <w:r w:rsidR="00021ED4" w:rsidRPr="00281BDC">
        <w:rPr>
          <w:lang w:val="en-GB"/>
        </w:rPr>
        <w:t xml:space="preserve">, </w:t>
      </w:r>
      <w:r w:rsidR="00D32D62" w:rsidRPr="00281BDC">
        <w:rPr>
          <w:lang w:val="en-GB"/>
        </w:rPr>
        <w:t>a DTS</w:t>
      </w:r>
      <w:r w:rsidR="00021ED4" w:rsidRPr="00281BDC">
        <w:rPr>
          <w:lang w:val="en-GB"/>
        </w:rPr>
        <w:t xml:space="preserve"> </w:t>
      </w:r>
      <w:r w:rsidR="00D32D62" w:rsidRPr="00281BDC">
        <w:rPr>
          <w:lang w:val="en-GB"/>
        </w:rPr>
        <w:t xml:space="preserve">is </w:t>
      </w:r>
      <w:r w:rsidR="00021ED4" w:rsidRPr="00281BDC">
        <w:rPr>
          <w:lang w:val="en-GB"/>
        </w:rPr>
        <w:t xml:space="preserve">equipped with instrumentation </w:t>
      </w:r>
      <w:r w:rsidR="00D32D62" w:rsidRPr="00281BDC">
        <w:rPr>
          <w:lang w:val="en-GB"/>
        </w:rPr>
        <w:t>measuring process variable</w:t>
      </w:r>
      <w:r w:rsidR="00021ED4" w:rsidRPr="00281BDC">
        <w:rPr>
          <w:lang w:val="en-GB"/>
        </w:rPr>
        <w:t xml:space="preserve"> at high frequencies </w:t>
      </w:r>
      <w:r w:rsidR="005514EA" w:rsidRPr="00281BDC">
        <w:rPr>
          <w:lang w:val="en-GB"/>
        </w:rPr>
        <w:t>for</w:t>
      </w:r>
      <w:r w:rsidR="00021ED4" w:rsidRPr="00281BDC">
        <w:rPr>
          <w:lang w:val="en-GB"/>
        </w:rPr>
        <w:t xml:space="preserve"> monitoring and control</w:t>
      </w:r>
      <w:r w:rsidR="005514EA" w:rsidRPr="00281BDC">
        <w:rPr>
          <w:lang w:val="en-GB"/>
        </w:rPr>
        <w:t xml:space="preserve"> purposes</w:t>
      </w:r>
      <w:r w:rsidR="00021ED4" w:rsidRPr="00281BDC">
        <w:rPr>
          <w:lang w:val="en-GB"/>
        </w:rPr>
        <w:t xml:space="preserve">. These data represent a great deal of information that by means of statistical methods can be extracted and employed to study the DTS ruling phenomena and </w:t>
      </w:r>
      <w:r w:rsidR="00AA701E" w:rsidRPr="00281BDC">
        <w:rPr>
          <w:lang w:val="en-GB"/>
        </w:rPr>
        <w:t>calibrate</w:t>
      </w:r>
      <w:r w:rsidR="00021ED4" w:rsidRPr="00281BDC">
        <w:rPr>
          <w:lang w:val="en-GB"/>
        </w:rPr>
        <w:t xml:space="preserve"> a statistical model aimed </w:t>
      </w:r>
      <w:r w:rsidR="00CF5026" w:rsidRPr="00281BDC">
        <w:rPr>
          <w:lang w:val="en-GB"/>
        </w:rPr>
        <w:t>at</w:t>
      </w:r>
      <w:r w:rsidR="00021ED4" w:rsidRPr="00281BDC">
        <w:rPr>
          <w:lang w:val="en-GB"/>
        </w:rPr>
        <w:t xml:space="preserve"> produc</w:t>
      </w:r>
      <w:r w:rsidR="00CF5026" w:rsidRPr="00281BDC">
        <w:rPr>
          <w:lang w:val="en-GB"/>
        </w:rPr>
        <w:t>ing</w:t>
      </w:r>
      <w:r w:rsidR="00021ED4" w:rsidRPr="00281BDC">
        <w:rPr>
          <w:lang w:val="en-GB"/>
        </w:rPr>
        <w:t xml:space="preserve"> reliable instantaneous predictions</w:t>
      </w:r>
      <w:r w:rsidR="00CF5026" w:rsidRPr="00281BDC">
        <w:rPr>
          <w:lang w:val="en-GB"/>
        </w:rPr>
        <w:t xml:space="preserve"> of </w:t>
      </w:r>
      <w:r w:rsidR="007F7DC8" w:rsidRPr="00281BDC">
        <w:rPr>
          <w:lang w:val="en-GB"/>
        </w:rPr>
        <w:t>system performance</w:t>
      </w:r>
      <w:r w:rsidR="00021ED4" w:rsidRPr="00281BDC">
        <w:rPr>
          <w:lang w:val="en-GB"/>
        </w:rPr>
        <w:t>.</w:t>
      </w:r>
      <w:r w:rsidR="00C23434" w:rsidRPr="00281BDC">
        <w:rPr>
          <w:lang w:val="en-GB"/>
        </w:rPr>
        <w:t xml:space="preserve"> </w:t>
      </w:r>
    </w:p>
    <w:p w14:paraId="6D10E5D6" w14:textId="7B549FE6" w:rsidR="00984083" w:rsidRPr="00281BDC" w:rsidRDefault="00B14333" w:rsidP="00A279CF">
      <w:pPr>
        <w:pStyle w:val="CETHeading1"/>
        <w:rPr>
          <w:lang w:val="en-GB"/>
        </w:rPr>
      </w:pPr>
      <w:r w:rsidRPr="00281BDC">
        <w:rPr>
          <w:lang w:val="en-GB"/>
        </w:rPr>
        <w:t>Modelling approach</w:t>
      </w:r>
    </w:p>
    <w:p w14:paraId="0802507E" w14:textId="3382DFE5" w:rsidR="006F0912" w:rsidRPr="00281BDC" w:rsidRDefault="00344EE9" w:rsidP="00091E46">
      <w:pPr>
        <w:pStyle w:val="CETBodytext"/>
        <w:rPr>
          <w:lang w:val="en-GB"/>
        </w:rPr>
      </w:pPr>
      <w:r w:rsidRPr="00281BDC">
        <w:rPr>
          <w:lang w:val="en-GB"/>
        </w:rPr>
        <w:t>Chemometrics is the application of mathematical and statistical tools on a chemical system in order to characteri</w:t>
      </w:r>
      <w:r w:rsidR="00177059" w:rsidRPr="00281BDC">
        <w:rPr>
          <w:lang w:val="en-GB"/>
        </w:rPr>
        <w:t>s</w:t>
      </w:r>
      <w:r w:rsidRPr="00281BDC">
        <w:rPr>
          <w:lang w:val="en-GB"/>
        </w:rPr>
        <w:t>e the mutual relations among the available measures and study the state of the system</w:t>
      </w:r>
      <w:r w:rsidR="006627B2" w:rsidRPr="00281BDC">
        <w:rPr>
          <w:lang w:val="en-GB"/>
        </w:rPr>
        <w:t xml:space="preserve"> (Wold et al., 2001)</w:t>
      </w:r>
      <w:r w:rsidRPr="00281BDC">
        <w:rPr>
          <w:lang w:val="en-GB"/>
        </w:rPr>
        <w:t xml:space="preserve">. </w:t>
      </w:r>
      <w:r w:rsidR="00FF64AE" w:rsidRPr="00281BDC">
        <w:rPr>
          <w:lang w:val="en-GB"/>
        </w:rPr>
        <w:t>T</w:t>
      </w:r>
      <w:r w:rsidRPr="00281BDC">
        <w:rPr>
          <w:lang w:val="en-GB"/>
        </w:rPr>
        <w:t xml:space="preserve">his approach is </w:t>
      </w:r>
      <w:r w:rsidR="00FF64AE" w:rsidRPr="00281BDC">
        <w:rPr>
          <w:lang w:val="en-GB"/>
        </w:rPr>
        <w:t xml:space="preserve">typically </w:t>
      </w:r>
      <w:r w:rsidRPr="00281BDC">
        <w:rPr>
          <w:lang w:val="en-GB"/>
        </w:rPr>
        <w:t>applied to on-purpose designed experiments</w:t>
      </w:r>
      <w:r w:rsidR="00C34D2D" w:rsidRPr="00281BDC">
        <w:rPr>
          <w:lang w:val="en-GB"/>
        </w:rPr>
        <w:t>,</w:t>
      </w:r>
      <w:r w:rsidRPr="00281BDC">
        <w:rPr>
          <w:lang w:val="en-GB"/>
        </w:rPr>
        <w:t xml:space="preserve"> performed on controlled conditions</w:t>
      </w:r>
      <w:r w:rsidR="00C34D2D" w:rsidRPr="00281BDC">
        <w:rPr>
          <w:lang w:val="en-GB"/>
        </w:rPr>
        <w:t xml:space="preserve">, </w:t>
      </w:r>
      <w:r w:rsidRPr="00281BDC">
        <w:rPr>
          <w:lang w:val="en-GB"/>
        </w:rPr>
        <w:t>where high precision data are collected with high reliability.</w:t>
      </w:r>
      <w:r w:rsidR="003E550D" w:rsidRPr="00281BDC">
        <w:rPr>
          <w:lang w:val="en-GB"/>
        </w:rPr>
        <w:t xml:space="preserve"> A</w:t>
      </w:r>
      <w:r w:rsidR="00261016" w:rsidRPr="00281BDC">
        <w:rPr>
          <w:lang w:val="en-GB"/>
        </w:rPr>
        <w:t xml:space="preserve"> flue gas treatment system, having online measurement of several process variables, is a suitable proving ground for chemometric techniques</w:t>
      </w:r>
      <w:r w:rsidR="003B5C70" w:rsidRPr="00281BDC">
        <w:rPr>
          <w:lang w:val="en-GB"/>
        </w:rPr>
        <w:t xml:space="preserve">. </w:t>
      </w:r>
      <w:r w:rsidR="007B6A05" w:rsidRPr="00281BDC">
        <w:rPr>
          <w:lang w:val="en-GB"/>
        </w:rPr>
        <w:t>However,</w:t>
      </w:r>
      <w:r w:rsidR="00CE111B" w:rsidRPr="00281BDC">
        <w:rPr>
          <w:lang w:val="en-GB"/>
        </w:rPr>
        <w:t xml:space="preserve"> </w:t>
      </w:r>
      <w:r w:rsidR="00261016" w:rsidRPr="00281BDC">
        <w:rPr>
          <w:lang w:val="en-GB"/>
        </w:rPr>
        <w:t xml:space="preserve">given that </w:t>
      </w:r>
      <w:r w:rsidRPr="00281BDC">
        <w:rPr>
          <w:lang w:val="en-GB"/>
        </w:rPr>
        <w:t xml:space="preserve">process data are not </w:t>
      </w:r>
      <w:r w:rsidR="007E2752">
        <w:rPr>
          <w:lang w:val="en-GB"/>
        </w:rPr>
        <w:t>acquired</w:t>
      </w:r>
      <w:r w:rsidRPr="00281BDC">
        <w:rPr>
          <w:lang w:val="en-GB"/>
        </w:rPr>
        <w:t xml:space="preserve"> primarily for the chemometric analysis</w:t>
      </w:r>
      <w:r w:rsidR="001148F7" w:rsidRPr="00281BDC">
        <w:rPr>
          <w:lang w:val="en-GB"/>
        </w:rPr>
        <w:t>,</w:t>
      </w:r>
      <w:r w:rsidR="00AF7B28" w:rsidRPr="00281BDC">
        <w:rPr>
          <w:lang w:val="en-GB"/>
        </w:rPr>
        <w:t xml:space="preserve"> </w:t>
      </w:r>
      <w:r w:rsidRPr="00281BDC">
        <w:rPr>
          <w:lang w:val="en-GB"/>
        </w:rPr>
        <w:t xml:space="preserve">they must be checked and cleaned </w:t>
      </w:r>
      <w:r w:rsidR="0098345D" w:rsidRPr="00281BDC">
        <w:rPr>
          <w:lang w:val="en-GB"/>
        </w:rPr>
        <w:t>to comply with</w:t>
      </w:r>
      <w:r w:rsidRPr="00281BDC">
        <w:rPr>
          <w:lang w:val="en-GB"/>
        </w:rPr>
        <w:t xml:space="preserve"> specific requirements of type, ordering and quality</w:t>
      </w:r>
      <w:r w:rsidR="00F15CA1">
        <w:rPr>
          <w:lang w:val="en-GB"/>
        </w:rPr>
        <w:t xml:space="preserve"> (Wise and Gallagher, 1995)</w:t>
      </w:r>
      <w:r w:rsidRPr="00281BDC">
        <w:rPr>
          <w:lang w:val="en-GB"/>
        </w:rPr>
        <w:t xml:space="preserve">. </w:t>
      </w:r>
      <w:r w:rsidR="002F594C" w:rsidRPr="00281BDC">
        <w:rPr>
          <w:lang w:val="en-GB"/>
        </w:rPr>
        <w:t>Once a preliminary data cleansing</w:t>
      </w:r>
      <w:r w:rsidR="00A4395C" w:rsidRPr="00281BDC">
        <w:rPr>
          <w:lang w:val="en-GB"/>
        </w:rPr>
        <w:t xml:space="preserve"> is performed, the </w:t>
      </w:r>
      <w:r w:rsidR="00A34F66" w:rsidRPr="00281BDC">
        <w:rPr>
          <w:lang w:val="en-GB"/>
        </w:rPr>
        <w:t>available dataset</w:t>
      </w:r>
      <w:r w:rsidR="00BA1DDE" w:rsidRPr="00281BDC">
        <w:rPr>
          <w:lang w:val="en-GB"/>
        </w:rPr>
        <w:t xml:space="preserve"> </w:t>
      </w:r>
      <w:r w:rsidR="00A4395C" w:rsidRPr="00281BDC">
        <w:rPr>
          <w:lang w:val="en-GB"/>
        </w:rPr>
        <w:t>can be studied to</w:t>
      </w:r>
      <w:r w:rsidR="00BA1DDE" w:rsidRPr="00281BDC">
        <w:rPr>
          <w:lang w:val="en-GB"/>
        </w:rPr>
        <w:t xml:space="preserve"> </w:t>
      </w:r>
      <w:r w:rsidR="00BD78E6" w:rsidRPr="00281BDC">
        <w:rPr>
          <w:lang w:val="en-GB"/>
        </w:rPr>
        <w:t>characteri</w:t>
      </w:r>
      <w:r w:rsidR="00A4395C" w:rsidRPr="00281BDC">
        <w:rPr>
          <w:lang w:val="en-GB"/>
        </w:rPr>
        <w:t>s</w:t>
      </w:r>
      <w:r w:rsidR="00BD78E6" w:rsidRPr="00281BDC">
        <w:rPr>
          <w:lang w:val="en-GB"/>
        </w:rPr>
        <w:t>e the system</w:t>
      </w:r>
      <w:r w:rsidR="00502230" w:rsidRPr="00281BDC">
        <w:rPr>
          <w:lang w:val="en-GB"/>
        </w:rPr>
        <w:t xml:space="preserve">. </w:t>
      </w:r>
    </w:p>
    <w:p w14:paraId="0F18505F" w14:textId="04AA8A02" w:rsidR="0090108A" w:rsidRPr="00281BDC" w:rsidRDefault="001C00D8" w:rsidP="00244422">
      <w:pPr>
        <w:pStyle w:val="CETBodytext"/>
        <w:rPr>
          <w:lang w:val="en-GB"/>
        </w:rPr>
      </w:pPr>
      <w:r w:rsidRPr="00281BDC">
        <w:rPr>
          <w:lang w:val="en-GB"/>
        </w:rPr>
        <w:t>Process sensors</w:t>
      </w:r>
      <w:r w:rsidR="003C0BCA" w:rsidRPr="00281BDC">
        <w:rPr>
          <w:lang w:val="en-GB"/>
        </w:rPr>
        <w:t xml:space="preserve"> measure </w:t>
      </w:r>
      <w:r w:rsidR="0060285C" w:rsidRPr="00281BDC">
        <w:rPr>
          <w:lang w:val="en-GB"/>
        </w:rPr>
        <w:t xml:space="preserve">several </w:t>
      </w:r>
      <w:r w:rsidR="003C0BCA" w:rsidRPr="00281BDC">
        <w:rPr>
          <w:lang w:val="en-GB"/>
        </w:rPr>
        <w:t>variables at high frequencies</w:t>
      </w:r>
      <w:r w:rsidR="0060285C" w:rsidRPr="00281BDC">
        <w:rPr>
          <w:lang w:val="en-GB"/>
        </w:rPr>
        <w:t xml:space="preserve">, providing a </w:t>
      </w:r>
      <w:r w:rsidR="003C0BCA" w:rsidRPr="00281BDC">
        <w:rPr>
          <w:lang w:val="en-GB"/>
        </w:rPr>
        <w:t>large amount of data</w:t>
      </w:r>
      <w:r w:rsidR="00863B16" w:rsidRPr="00281BDC">
        <w:rPr>
          <w:lang w:val="en-GB"/>
        </w:rPr>
        <w:t xml:space="preserve">. These data </w:t>
      </w:r>
      <w:r w:rsidR="00AB3222" w:rsidRPr="00281BDC">
        <w:rPr>
          <w:lang w:val="en-GB"/>
        </w:rPr>
        <w:t xml:space="preserve">might </w:t>
      </w:r>
      <w:r w:rsidR="00744F9C" w:rsidRPr="00281BDC">
        <w:rPr>
          <w:lang w:val="en-GB"/>
        </w:rPr>
        <w:t xml:space="preserve">present </w:t>
      </w:r>
      <w:r w:rsidR="00062043" w:rsidRPr="00281BDC">
        <w:rPr>
          <w:lang w:val="en-GB"/>
        </w:rPr>
        <w:t xml:space="preserve">an </w:t>
      </w:r>
      <w:r w:rsidR="00744F9C" w:rsidRPr="00281BDC">
        <w:rPr>
          <w:lang w:val="en-GB"/>
        </w:rPr>
        <w:t xml:space="preserve">amount </w:t>
      </w:r>
      <w:r w:rsidR="003C0BCA" w:rsidRPr="00281BDC">
        <w:rPr>
          <w:lang w:val="en-GB"/>
        </w:rPr>
        <w:t xml:space="preserve">of correlated and redundant </w:t>
      </w:r>
      <w:r w:rsidR="005F7BD7" w:rsidRPr="00281BDC">
        <w:rPr>
          <w:lang w:val="en-GB"/>
        </w:rPr>
        <w:t>information</w:t>
      </w:r>
      <w:r w:rsidR="003C0BCA" w:rsidRPr="00281BDC">
        <w:rPr>
          <w:lang w:val="en-GB"/>
        </w:rPr>
        <w:t xml:space="preserve"> that</w:t>
      </w:r>
      <w:r w:rsidR="00BE296E" w:rsidRPr="00281BDC">
        <w:rPr>
          <w:lang w:val="en-GB"/>
        </w:rPr>
        <w:t>,</w:t>
      </w:r>
      <w:r w:rsidR="003C0BCA" w:rsidRPr="00281BDC">
        <w:rPr>
          <w:lang w:val="en-GB"/>
        </w:rPr>
        <w:t xml:space="preserve"> even if relevant for some control systems</w:t>
      </w:r>
      <w:r w:rsidR="00BE296E" w:rsidRPr="00281BDC">
        <w:rPr>
          <w:lang w:val="en-GB"/>
        </w:rPr>
        <w:t>,</w:t>
      </w:r>
      <w:r w:rsidR="003C0BCA" w:rsidRPr="00281BDC">
        <w:rPr>
          <w:lang w:val="en-GB"/>
        </w:rPr>
        <w:t xml:space="preserve"> may not </w:t>
      </w:r>
      <w:r w:rsidR="004C163B" w:rsidRPr="00281BDC">
        <w:rPr>
          <w:lang w:val="en-GB"/>
        </w:rPr>
        <w:t>significantly affect</w:t>
      </w:r>
      <w:r w:rsidR="00A0731A" w:rsidRPr="00281BDC">
        <w:rPr>
          <w:lang w:val="en-GB"/>
        </w:rPr>
        <w:t xml:space="preserve"> </w:t>
      </w:r>
      <w:r w:rsidR="003C0BCA" w:rsidRPr="00281BDC">
        <w:rPr>
          <w:lang w:val="en-GB"/>
        </w:rPr>
        <w:t xml:space="preserve">the whole process. </w:t>
      </w:r>
      <w:r w:rsidR="00682624" w:rsidRPr="00281BDC">
        <w:rPr>
          <w:lang w:val="en-GB"/>
        </w:rPr>
        <w:t xml:space="preserve">This </w:t>
      </w:r>
      <w:r w:rsidR="00175027" w:rsidRPr="00281BDC">
        <w:rPr>
          <w:lang w:val="en-GB"/>
        </w:rPr>
        <w:t xml:space="preserve">can </w:t>
      </w:r>
      <w:r w:rsidR="00682624" w:rsidRPr="00281BDC">
        <w:rPr>
          <w:lang w:val="en-GB"/>
        </w:rPr>
        <w:t>make</w:t>
      </w:r>
      <w:r w:rsidR="00175027" w:rsidRPr="00281BDC">
        <w:rPr>
          <w:lang w:val="en-GB"/>
        </w:rPr>
        <w:t xml:space="preserve"> </w:t>
      </w:r>
      <w:r w:rsidR="0000404E" w:rsidRPr="00281BDC">
        <w:rPr>
          <w:lang w:val="en-GB"/>
        </w:rPr>
        <w:t xml:space="preserve">visual and basic statistical analysis </w:t>
      </w:r>
      <w:r w:rsidR="00091E46" w:rsidRPr="00281BDC">
        <w:rPr>
          <w:lang w:val="en-GB"/>
        </w:rPr>
        <w:t>ineffective</w:t>
      </w:r>
      <w:r w:rsidR="005B357A" w:rsidRPr="00281BDC">
        <w:rPr>
          <w:lang w:val="en-GB"/>
        </w:rPr>
        <w:t xml:space="preserve">, suggesting </w:t>
      </w:r>
      <w:r w:rsidR="003B6A04" w:rsidRPr="00281BDC">
        <w:rPr>
          <w:lang w:val="en-GB"/>
        </w:rPr>
        <w:t>more advanced approaches</w:t>
      </w:r>
      <w:r w:rsidR="00091E46" w:rsidRPr="00281BDC">
        <w:rPr>
          <w:lang w:val="en-GB"/>
        </w:rPr>
        <w:t xml:space="preserve"> </w:t>
      </w:r>
      <w:r w:rsidR="000107D1" w:rsidRPr="00281BDC">
        <w:rPr>
          <w:lang w:val="en-GB"/>
        </w:rPr>
        <w:t xml:space="preserve">to </w:t>
      </w:r>
      <w:r w:rsidR="00357854" w:rsidRPr="00281BDC">
        <w:rPr>
          <w:lang w:val="en-GB"/>
        </w:rPr>
        <w:t>seek and extract</w:t>
      </w:r>
      <w:r w:rsidR="00284302" w:rsidRPr="00281BDC">
        <w:rPr>
          <w:lang w:val="en-GB"/>
        </w:rPr>
        <w:t xml:space="preserve"> the</w:t>
      </w:r>
      <w:r w:rsidR="001F5B4C" w:rsidRPr="00281BDC">
        <w:rPr>
          <w:lang w:val="en-GB"/>
        </w:rPr>
        <w:t xml:space="preserve"> </w:t>
      </w:r>
      <w:r w:rsidR="00357854" w:rsidRPr="00281BDC">
        <w:rPr>
          <w:lang w:val="en-GB"/>
        </w:rPr>
        <w:t xml:space="preserve">important </w:t>
      </w:r>
      <w:r w:rsidR="001F5B4C" w:rsidRPr="00281BDC">
        <w:rPr>
          <w:lang w:val="en-GB"/>
        </w:rPr>
        <w:t xml:space="preserve">information </w:t>
      </w:r>
      <w:r w:rsidR="00CC3331" w:rsidRPr="00281BDC">
        <w:rPr>
          <w:lang w:val="en-GB"/>
        </w:rPr>
        <w:t xml:space="preserve">and </w:t>
      </w:r>
      <w:r w:rsidR="001F5B4C" w:rsidRPr="00281BDC">
        <w:rPr>
          <w:lang w:val="en-GB"/>
        </w:rPr>
        <w:t>neglect</w:t>
      </w:r>
      <w:r w:rsidR="00CC3331" w:rsidRPr="00281BDC">
        <w:rPr>
          <w:lang w:val="en-GB"/>
        </w:rPr>
        <w:t xml:space="preserve"> </w:t>
      </w:r>
      <w:r w:rsidR="001F5B4C" w:rsidRPr="00281BDC">
        <w:rPr>
          <w:lang w:val="en-GB"/>
        </w:rPr>
        <w:t>what is not of interest</w:t>
      </w:r>
      <w:r w:rsidR="00C35EE8" w:rsidRPr="00281BDC">
        <w:rPr>
          <w:lang w:val="en-GB"/>
        </w:rPr>
        <w:t>. Th</w:t>
      </w:r>
      <w:r w:rsidR="00101C77" w:rsidRPr="00281BDC">
        <w:rPr>
          <w:lang w:val="en-GB"/>
        </w:rPr>
        <w:t>is</w:t>
      </w:r>
      <w:r w:rsidR="00C35EE8" w:rsidRPr="00281BDC">
        <w:rPr>
          <w:lang w:val="en-GB"/>
        </w:rPr>
        <w:t xml:space="preserve"> </w:t>
      </w:r>
      <w:r w:rsidR="00272F28" w:rsidRPr="00281BDC">
        <w:rPr>
          <w:lang w:val="en-GB"/>
        </w:rPr>
        <w:t>so-called</w:t>
      </w:r>
      <w:r w:rsidR="003C0BCA" w:rsidRPr="00281BDC">
        <w:rPr>
          <w:lang w:val="en-GB"/>
        </w:rPr>
        <w:t xml:space="preserve"> data mining</w:t>
      </w:r>
      <w:r w:rsidR="00BE296E" w:rsidRPr="00281BDC">
        <w:rPr>
          <w:lang w:val="en-GB"/>
        </w:rPr>
        <w:t xml:space="preserve"> procedure</w:t>
      </w:r>
      <w:r w:rsidR="003C0BCA" w:rsidRPr="00281BDC">
        <w:rPr>
          <w:lang w:val="en-GB"/>
        </w:rPr>
        <w:t xml:space="preserve"> </w:t>
      </w:r>
      <w:r w:rsidR="00C35EE8" w:rsidRPr="00281BDC">
        <w:rPr>
          <w:lang w:val="en-GB"/>
        </w:rPr>
        <w:t>can be performed with</w:t>
      </w:r>
      <w:r w:rsidR="004A56B0" w:rsidRPr="00281BDC">
        <w:rPr>
          <w:lang w:val="en-GB"/>
        </w:rPr>
        <w:t xml:space="preserve"> </w:t>
      </w:r>
      <w:r w:rsidR="00272F28" w:rsidRPr="00281BDC">
        <w:rPr>
          <w:lang w:val="en-GB"/>
        </w:rPr>
        <w:t xml:space="preserve">several </w:t>
      </w:r>
      <w:r w:rsidR="00F03C5B" w:rsidRPr="00281BDC">
        <w:rPr>
          <w:lang w:val="en-GB"/>
        </w:rPr>
        <w:t>techniques</w:t>
      </w:r>
      <w:r w:rsidR="00CA2007" w:rsidRPr="00281BDC">
        <w:rPr>
          <w:lang w:val="en-GB"/>
        </w:rPr>
        <w:t>,</w:t>
      </w:r>
      <w:r w:rsidR="00F03C5B" w:rsidRPr="00281BDC">
        <w:rPr>
          <w:lang w:val="en-GB"/>
        </w:rPr>
        <w:t xml:space="preserve"> among which </w:t>
      </w:r>
      <w:r w:rsidR="00747923" w:rsidRPr="00281BDC">
        <w:rPr>
          <w:lang w:val="en-GB"/>
        </w:rPr>
        <w:t>l</w:t>
      </w:r>
      <w:r w:rsidR="004A56B0" w:rsidRPr="00281BDC">
        <w:rPr>
          <w:lang w:val="en-GB"/>
        </w:rPr>
        <w:t xml:space="preserve">atent </w:t>
      </w:r>
      <w:r w:rsidR="00747923" w:rsidRPr="00281BDC">
        <w:rPr>
          <w:lang w:val="en-GB"/>
        </w:rPr>
        <w:t>v</w:t>
      </w:r>
      <w:r w:rsidR="004A56B0" w:rsidRPr="00281BDC">
        <w:rPr>
          <w:lang w:val="en-GB"/>
        </w:rPr>
        <w:t>ariable techniques</w:t>
      </w:r>
      <w:r w:rsidR="00502230" w:rsidRPr="00281BDC">
        <w:rPr>
          <w:lang w:val="en-GB"/>
        </w:rPr>
        <w:t xml:space="preserve"> (LVs)</w:t>
      </w:r>
      <w:r w:rsidR="00F03C5B" w:rsidRPr="00281BDC">
        <w:rPr>
          <w:lang w:val="en-GB"/>
        </w:rPr>
        <w:t xml:space="preserve"> </w:t>
      </w:r>
      <w:r w:rsidR="004874F2" w:rsidRPr="00281BDC">
        <w:rPr>
          <w:lang w:val="en-GB"/>
        </w:rPr>
        <w:t xml:space="preserve">have been found to be the most </w:t>
      </w:r>
      <w:r w:rsidR="003B5EA4" w:rsidRPr="00281BDC">
        <w:rPr>
          <w:lang w:val="en-GB"/>
        </w:rPr>
        <w:t>simple and relevant</w:t>
      </w:r>
      <w:r w:rsidR="00436DD8" w:rsidRPr="00281BDC">
        <w:rPr>
          <w:lang w:val="en-GB"/>
        </w:rPr>
        <w:t xml:space="preserve"> for this work</w:t>
      </w:r>
      <w:r w:rsidR="005F16B4" w:rsidRPr="00281BDC">
        <w:rPr>
          <w:lang w:val="en-GB"/>
        </w:rPr>
        <w:t xml:space="preserve">. </w:t>
      </w:r>
    </w:p>
    <w:p w14:paraId="7CDFE43D" w14:textId="040CFCAF" w:rsidR="00244422" w:rsidRPr="00281BDC" w:rsidRDefault="00124F05" w:rsidP="00244422">
      <w:pPr>
        <w:pStyle w:val="CETBodytext"/>
        <w:rPr>
          <w:lang w:val="en-GB"/>
        </w:rPr>
      </w:pPr>
      <w:r w:rsidRPr="00281BDC">
        <w:rPr>
          <w:lang w:val="en-GB"/>
        </w:rPr>
        <w:t xml:space="preserve">LVs are based on the </w:t>
      </w:r>
      <w:r w:rsidR="00D30B98" w:rsidRPr="00281BDC">
        <w:rPr>
          <w:lang w:val="en-GB"/>
        </w:rPr>
        <w:t xml:space="preserve">following </w:t>
      </w:r>
      <w:r w:rsidRPr="00281BDC">
        <w:rPr>
          <w:lang w:val="en-GB"/>
        </w:rPr>
        <w:t>assumption</w:t>
      </w:r>
      <w:r w:rsidR="00D30B98" w:rsidRPr="00281BDC">
        <w:rPr>
          <w:lang w:val="en-GB"/>
        </w:rPr>
        <w:t>. I</w:t>
      </w:r>
      <w:r w:rsidR="004A29CD" w:rsidRPr="00281BDC">
        <w:rPr>
          <w:lang w:val="en-GB"/>
        </w:rPr>
        <w:t xml:space="preserve">f </w:t>
      </w:r>
      <w:r w:rsidR="00502230" w:rsidRPr="00281BDC">
        <w:rPr>
          <w:lang w:val="en-GB"/>
        </w:rPr>
        <w:t>t</w:t>
      </w:r>
      <w:r w:rsidR="003C0BCA" w:rsidRPr="00281BDC">
        <w:rPr>
          <w:lang w:val="en-GB"/>
        </w:rPr>
        <w:t>he whole variables dataset</w:t>
      </w:r>
      <w:r w:rsidR="00502230" w:rsidRPr="00281BDC">
        <w:rPr>
          <w:lang w:val="en-GB"/>
        </w:rPr>
        <w:t xml:space="preserve"> is thought </w:t>
      </w:r>
      <w:r w:rsidR="003C0BCA" w:rsidRPr="00281BDC">
        <w:rPr>
          <w:lang w:val="en-GB"/>
        </w:rPr>
        <w:t xml:space="preserve">as a </w:t>
      </w:r>
      <w:r w:rsidR="003C0BCA" w:rsidRPr="00281BDC">
        <w:rPr>
          <w:i/>
          <w:iCs/>
          <w:lang w:val="en-GB"/>
        </w:rPr>
        <w:t>n</w:t>
      </w:r>
      <w:r w:rsidR="003C0BCA" w:rsidRPr="00281BDC">
        <w:rPr>
          <w:lang w:val="en-GB"/>
        </w:rPr>
        <w:t xml:space="preserve"> multi-dimensional space where each measure is represented on a different space dimension</w:t>
      </w:r>
      <w:r w:rsidR="004A29CD" w:rsidRPr="00281BDC">
        <w:rPr>
          <w:lang w:val="en-GB"/>
        </w:rPr>
        <w:t>, i</w:t>
      </w:r>
      <w:r w:rsidR="003C0BCA" w:rsidRPr="00281BDC">
        <w:rPr>
          <w:lang w:val="en-GB"/>
        </w:rPr>
        <w:t>n case that some redundancy</w:t>
      </w:r>
      <w:r w:rsidR="00AD55BD" w:rsidRPr="00281BDC">
        <w:rPr>
          <w:lang w:val="en-GB"/>
        </w:rPr>
        <w:t xml:space="preserve"> or correlation among variables</w:t>
      </w:r>
      <w:r w:rsidR="003C0BCA" w:rsidRPr="00281BDC">
        <w:rPr>
          <w:lang w:val="en-GB"/>
        </w:rPr>
        <w:t xml:space="preserve"> exists the </w:t>
      </w:r>
      <w:r w:rsidR="00CF6E54" w:rsidRPr="00281BDC">
        <w:rPr>
          <w:lang w:val="en-GB"/>
        </w:rPr>
        <w:t>actual</w:t>
      </w:r>
      <w:r w:rsidR="003C0BCA" w:rsidRPr="00281BDC">
        <w:rPr>
          <w:lang w:val="en-GB"/>
        </w:rPr>
        <w:t xml:space="preserve"> dimension</w:t>
      </w:r>
      <w:r w:rsidR="005870A6" w:rsidRPr="00281BDC">
        <w:rPr>
          <w:lang w:val="en-GB"/>
        </w:rPr>
        <w:t>s</w:t>
      </w:r>
      <w:r w:rsidR="003C0BCA" w:rsidRPr="00281BDC">
        <w:rPr>
          <w:lang w:val="en-GB"/>
        </w:rPr>
        <w:t xml:space="preserve"> of the space on which the process data vary can be reduced. </w:t>
      </w:r>
      <w:r w:rsidR="00CC087D" w:rsidRPr="00281BDC">
        <w:rPr>
          <w:lang w:val="en-GB"/>
        </w:rPr>
        <w:t>LVs</w:t>
      </w:r>
      <w:r w:rsidR="003C0BCA" w:rsidRPr="00281BDC">
        <w:rPr>
          <w:lang w:val="en-GB"/>
        </w:rPr>
        <w:t xml:space="preserve"> are algebraic methods that rearrange </w:t>
      </w:r>
      <w:r w:rsidR="00792FEE" w:rsidRPr="00281BDC">
        <w:rPr>
          <w:lang w:val="en-GB"/>
        </w:rPr>
        <w:t>such a</w:t>
      </w:r>
      <w:r w:rsidR="003C0BCA" w:rsidRPr="00281BDC">
        <w:rPr>
          <w:lang w:val="en-GB"/>
        </w:rPr>
        <w:t xml:space="preserve"> multidimensional space to find new dimensions called latent variables, on which the information is maximized</w:t>
      </w:r>
      <w:r w:rsidR="00530903" w:rsidRPr="00281BDC">
        <w:rPr>
          <w:lang w:val="en-GB"/>
        </w:rPr>
        <w:t>.</w:t>
      </w:r>
      <w:r w:rsidR="00784CE9" w:rsidRPr="00281BDC">
        <w:rPr>
          <w:lang w:val="en-GB"/>
        </w:rPr>
        <w:t xml:space="preserve"> After </w:t>
      </w:r>
      <w:r w:rsidR="007F57BB" w:rsidRPr="00281BDC">
        <w:rPr>
          <w:lang w:val="en-GB"/>
        </w:rPr>
        <w:t xml:space="preserve">determining </w:t>
      </w:r>
      <w:r w:rsidR="00784CE9" w:rsidRPr="00281BDC">
        <w:rPr>
          <w:lang w:val="en-GB"/>
        </w:rPr>
        <w:t>a proper LVs set</w:t>
      </w:r>
      <w:r w:rsidR="007F57BB" w:rsidRPr="00281BDC">
        <w:rPr>
          <w:lang w:val="en-GB"/>
        </w:rPr>
        <w:t>,</w:t>
      </w:r>
      <w:r w:rsidR="00784CE9" w:rsidRPr="00281BDC">
        <w:rPr>
          <w:lang w:val="en-GB"/>
        </w:rPr>
        <w:t xml:space="preserve"> </w:t>
      </w:r>
      <w:r w:rsidR="00056E24" w:rsidRPr="00281BDC">
        <w:rPr>
          <w:lang w:val="en-GB"/>
        </w:rPr>
        <w:t xml:space="preserve">a compression of </w:t>
      </w:r>
      <w:r w:rsidR="00D0531B" w:rsidRPr="00281BDC">
        <w:rPr>
          <w:lang w:val="en-GB"/>
        </w:rPr>
        <w:t>the space dimensions is possible</w:t>
      </w:r>
      <w:r w:rsidR="00784CE9" w:rsidRPr="00281BDC">
        <w:rPr>
          <w:lang w:val="en-GB"/>
        </w:rPr>
        <w:t xml:space="preserve"> </w:t>
      </w:r>
      <w:r w:rsidR="007F57BB" w:rsidRPr="00281BDC">
        <w:rPr>
          <w:lang w:val="en-GB"/>
        </w:rPr>
        <w:t xml:space="preserve">by </w:t>
      </w:r>
      <w:r w:rsidR="00784CE9" w:rsidRPr="00281BDC">
        <w:rPr>
          <w:lang w:val="en-GB"/>
        </w:rPr>
        <w:t xml:space="preserve">choosing only </w:t>
      </w:r>
      <w:r w:rsidR="001F6200" w:rsidRPr="00281BDC">
        <w:rPr>
          <w:lang w:val="en-GB"/>
        </w:rPr>
        <w:t xml:space="preserve">the most important latent variables, </w:t>
      </w:r>
      <w:r w:rsidR="001F6200" w:rsidRPr="00281BDC">
        <w:rPr>
          <w:i/>
          <w:iCs/>
          <w:lang w:val="en-GB"/>
        </w:rPr>
        <w:t>i.e.</w:t>
      </w:r>
      <w:r w:rsidR="001F6200" w:rsidRPr="00281BDC">
        <w:rPr>
          <w:lang w:val="en-GB"/>
        </w:rPr>
        <w:t xml:space="preserve"> the ones </w:t>
      </w:r>
      <w:r w:rsidR="00784CE9" w:rsidRPr="00281BDC">
        <w:rPr>
          <w:lang w:val="en-GB"/>
        </w:rPr>
        <w:t xml:space="preserve">that retain the largest amount of information. </w:t>
      </w:r>
      <w:r w:rsidR="001850D4" w:rsidRPr="00281BDC">
        <w:rPr>
          <w:lang w:val="en-GB"/>
        </w:rPr>
        <w:t xml:space="preserve">As such, </w:t>
      </w:r>
      <w:r w:rsidR="00784CE9" w:rsidRPr="00281BDC">
        <w:rPr>
          <w:lang w:val="en-GB"/>
        </w:rPr>
        <w:t xml:space="preserve">problems of process analysis, monitoring, and </w:t>
      </w:r>
      <w:r w:rsidR="00384801" w:rsidRPr="00281BDC">
        <w:rPr>
          <w:lang w:val="en-GB"/>
        </w:rPr>
        <w:t>control</w:t>
      </w:r>
      <w:r w:rsidR="00784CE9" w:rsidRPr="00281BDC">
        <w:rPr>
          <w:lang w:val="en-GB"/>
        </w:rPr>
        <w:t xml:space="preserve"> are greatly simplified</w:t>
      </w:r>
      <w:r w:rsidR="003244F3" w:rsidRPr="00281BDC">
        <w:rPr>
          <w:lang w:val="en-GB"/>
        </w:rPr>
        <w:t>:</w:t>
      </w:r>
      <w:r w:rsidR="00784CE9" w:rsidRPr="00281BDC">
        <w:rPr>
          <w:lang w:val="en-GB"/>
        </w:rPr>
        <w:t xml:space="preserve"> also </w:t>
      </w:r>
      <w:r w:rsidR="00957327" w:rsidRPr="00281BDC">
        <w:rPr>
          <w:lang w:val="en-GB"/>
        </w:rPr>
        <w:t>highly</w:t>
      </w:r>
      <w:r w:rsidR="00384801" w:rsidRPr="00281BDC">
        <w:rPr>
          <w:lang w:val="en-GB"/>
        </w:rPr>
        <w:t xml:space="preserve"> </w:t>
      </w:r>
      <w:r w:rsidR="00CC3331" w:rsidRPr="00281BDC">
        <w:rPr>
          <w:lang w:val="en-GB"/>
        </w:rPr>
        <w:t xml:space="preserve">populated </w:t>
      </w:r>
      <w:r w:rsidR="00784CE9" w:rsidRPr="00281BDC">
        <w:rPr>
          <w:lang w:val="en-GB"/>
        </w:rPr>
        <w:t>multivariate systems</w:t>
      </w:r>
      <w:r w:rsidR="00010CCE" w:rsidRPr="00281BDC">
        <w:rPr>
          <w:lang w:val="en-GB"/>
        </w:rPr>
        <w:t xml:space="preserve"> </w:t>
      </w:r>
      <w:r w:rsidR="00784CE9" w:rsidRPr="00281BDC">
        <w:rPr>
          <w:lang w:val="en-GB"/>
        </w:rPr>
        <w:t xml:space="preserve">can be </w:t>
      </w:r>
      <w:r w:rsidR="00010CCE" w:rsidRPr="00281BDC">
        <w:rPr>
          <w:lang w:val="en-GB"/>
        </w:rPr>
        <w:t>reduced</w:t>
      </w:r>
      <w:r w:rsidR="00784CE9" w:rsidRPr="00281BDC">
        <w:rPr>
          <w:lang w:val="en-GB"/>
        </w:rPr>
        <w:t xml:space="preserve">. </w:t>
      </w:r>
      <w:r w:rsidR="000605B9" w:rsidRPr="00281BDC">
        <w:rPr>
          <w:lang w:val="en-GB"/>
        </w:rPr>
        <w:t xml:space="preserve">The </w:t>
      </w:r>
      <w:r w:rsidR="007F62C8" w:rsidRPr="00281BDC">
        <w:rPr>
          <w:lang w:val="en-GB"/>
        </w:rPr>
        <w:t xml:space="preserve">reduced LVs set can then be used to </w:t>
      </w:r>
      <w:r w:rsidR="007679DC" w:rsidRPr="00281BDC">
        <w:rPr>
          <w:lang w:val="en-GB"/>
        </w:rPr>
        <w:t>formulate a model</w:t>
      </w:r>
      <w:r w:rsidR="002C6EEF" w:rsidRPr="00281BDC">
        <w:rPr>
          <w:lang w:val="en-GB"/>
        </w:rPr>
        <w:t xml:space="preserve"> that, if correctly validated, </w:t>
      </w:r>
      <w:r w:rsidR="000A1CEE" w:rsidRPr="00281BDC">
        <w:rPr>
          <w:lang w:val="en-GB"/>
        </w:rPr>
        <w:t xml:space="preserve">can </w:t>
      </w:r>
      <w:r w:rsidR="00244422" w:rsidRPr="00281BDC">
        <w:rPr>
          <w:lang w:val="en-GB"/>
        </w:rPr>
        <w:t xml:space="preserve">predict with a certain </w:t>
      </w:r>
      <w:r w:rsidR="00E43F64" w:rsidRPr="00281BDC">
        <w:rPr>
          <w:lang w:val="en-GB"/>
        </w:rPr>
        <w:t>accuracy grade</w:t>
      </w:r>
      <w:r w:rsidR="00244422" w:rsidRPr="00281BDC">
        <w:rPr>
          <w:lang w:val="en-GB"/>
        </w:rPr>
        <w:t xml:space="preserve"> the system state</w:t>
      </w:r>
      <w:r w:rsidR="000A1CEE" w:rsidRPr="00281BDC">
        <w:rPr>
          <w:lang w:val="en-GB"/>
        </w:rPr>
        <w:t>.</w:t>
      </w:r>
    </w:p>
    <w:p w14:paraId="7969A065" w14:textId="0FA2A326" w:rsidR="00FF6690" w:rsidRPr="00B42B77" w:rsidRDefault="00E97CB8" w:rsidP="00B42B77">
      <w:pPr>
        <w:pStyle w:val="CETheadingx"/>
      </w:pPr>
      <w:r w:rsidRPr="00B42B77">
        <w:t>Latent variable</w:t>
      </w:r>
      <w:r w:rsidR="00A1320F" w:rsidRPr="00B42B77">
        <w:t xml:space="preserve"> methods </w:t>
      </w:r>
    </w:p>
    <w:p w14:paraId="1D8FFCAE" w14:textId="3FAE69F2" w:rsidR="00C952EA" w:rsidRPr="00281BDC" w:rsidRDefault="00C952EA" w:rsidP="00C952EA">
      <w:pPr>
        <w:pStyle w:val="CETBodytext"/>
        <w:rPr>
          <w:lang w:val="en-GB"/>
        </w:rPr>
      </w:pPr>
      <w:r w:rsidRPr="00281BDC">
        <w:rPr>
          <w:lang w:val="en-GB"/>
        </w:rPr>
        <w:t xml:space="preserve">The most common </w:t>
      </w:r>
      <w:r w:rsidR="00F73D9C" w:rsidRPr="00281BDC">
        <w:rPr>
          <w:lang w:val="en-GB"/>
        </w:rPr>
        <w:t>latent variable</w:t>
      </w:r>
      <w:r w:rsidRPr="00281BDC">
        <w:rPr>
          <w:lang w:val="en-GB"/>
        </w:rPr>
        <w:t xml:space="preserve"> technique is the </w:t>
      </w:r>
      <w:r w:rsidR="002B65FF" w:rsidRPr="00281BDC">
        <w:rPr>
          <w:lang w:val="en-GB"/>
        </w:rPr>
        <w:t>p</w:t>
      </w:r>
      <w:r w:rsidRPr="00281BDC">
        <w:rPr>
          <w:lang w:val="en-GB"/>
        </w:rPr>
        <w:t xml:space="preserve">rincipal </w:t>
      </w:r>
      <w:r w:rsidR="002B65FF" w:rsidRPr="00281BDC">
        <w:rPr>
          <w:lang w:val="en-GB"/>
        </w:rPr>
        <w:t>c</w:t>
      </w:r>
      <w:r w:rsidRPr="00281BDC">
        <w:rPr>
          <w:lang w:val="en-GB"/>
        </w:rPr>
        <w:t xml:space="preserve">omponent </w:t>
      </w:r>
      <w:r w:rsidR="002B65FF" w:rsidRPr="00281BDC">
        <w:rPr>
          <w:lang w:val="en-GB"/>
        </w:rPr>
        <w:t>a</w:t>
      </w:r>
      <w:r w:rsidRPr="00281BDC">
        <w:rPr>
          <w:lang w:val="en-GB"/>
        </w:rPr>
        <w:t>nalysis (PCA</w:t>
      </w:r>
      <w:r w:rsidR="00253EF2" w:rsidRPr="00281BDC">
        <w:rPr>
          <w:lang w:val="en-GB"/>
        </w:rPr>
        <w:t>)</w:t>
      </w:r>
      <w:r w:rsidR="00FE7562" w:rsidRPr="00281BDC">
        <w:rPr>
          <w:lang w:val="en-GB"/>
        </w:rPr>
        <w:t>,</w:t>
      </w:r>
      <w:r w:rsidR="00253EF2" w:rsidRPr="00281BDC">
        <w:rPr>
          <w:lang w:val="en-GB"/>
        </w:rPr>
        <w:t xml:space="preserve"> a method </w:t>
      </w:r>
      <w:r w:rsidR="00FE7562" w:rsidRPr="00281BDC">
        <w:rPr>
          <w:lang w:val="en-GB"/>
        </w:rPr>
        <w:t xml:space="preserve">which is </w:t>
      </w:r>
      <w:r w:rsidRPr="00281BDC">
        <w:rPr>
          <w:lang w:val="en-GB"/>
        </w:rPr>
        <w:t xml:space="preserve">successfully applied to </w:t>
      </w:r>
      <w:r w:rsidR="0040518D" w:rsidRPr="00281BDC">
        <w:rPr>
          <w:lang w:val="en-GB"/>
        </w:rPr>
        <w:t>the analysis and monitoring of batch and</w:t>
      </w:r>
      <w:r w:rsidRPr="00281BDC">
        <w:rPr>
          <w:lang w:val="en-GB"/>
        </w:rPr>
        <w:t xml:space="preserve"> continuous </w:t>
      </w:r>
      <w:r w:rsidR="00760C64" w:rsidRPr="00281BDC">
        <w:rPr>
          <w:lang w:val="en-GB"/>
        </w:rPr>
        <w:t>chemical</w:t>
      </w:r>
      <w:r w:rsidRPr="00281BDC">
        <w:rPr>
          <w:lang w:val="en-GB"/>
        </w:rPr>
        <w:t xml:space="preserve"> processes. Mathematically speaking, PCA relies on the eigenvector decomposition of the covariance matrix of the </w:t>
      </w:r>
      <w:r w:rsidR="00FE7562" w:rsidRPr="00281BDC">
        <w:rPr>
          <w:lang w:val="en-GB"/>
        </w:rPr>
        <w:t xml:space="preserve">starting </w:t>
      </w:r>
      <w:r w:rsidRPr="00281BDC">
        <w:rPr>
          <w:lang w:val="en-GB"/>
        </w:rPr>
        <w:t>dataset</w:t>
      </w:r>
      <w:r w:rsidR="00C252DB" w:rsidRPr="00281BDC">
        <w:rPr>
          <w:lang w:val="en-GB"/>
        </w:rPr>
        <w:t xml:space="preserve"> </w:t>
      </w:r>
      <w:r w:rsidR="00C252DB" w:rsidRPr="00281BDC">
        <w:rPr>
          <w:i/>
          <w:iCs/>
          <w:lang w:val="en-GB"/>
        </w:rPr>
        <w:t>X</w:t>
      </w:r>
      <w:r w:rsidRPr="00281BDC">
        <w:rPr>
          <w:lang w:val="en-GB"/>
        </w:rPr>
        <w:t xml:space="preserve"> consisting of </w:t>
      </w:r>
      <w:r w:rsidR="00FE7562" w:rsidRPr="00281BDC">
        <w:rPr>
          <w:i/>
          <w:iCs/>
          <w:lang w:val="en-GB"/>
        </w:rPr>
        <w:t>m</w:t>
      </w:r>
      <w:r w:rsidRPr="00281BDC">
        <w:rPr>
          <w:lang w:val="en-GB"/>
        </w:rPr>
        <w:t xml:space="preserve"> measures of the </w:t>
      </w:r>
      <w:r w:rsidR="00FE7562" w:rsidRPr="00281BDC">
        <w:rPr>
          <w:i/>
          <w:iCs/>
          <w:lang w:val="en-GB"/>
        </w:rPr>
        <w:t>n</w:t>
      </w:r>
      <w:r w:rsidR="000014A4" w:rsidRPr="00281BDC">
        <w:rPr>
          <w:lang w:val="en-GB"/>
        </w:rPr>
        <w:t xml:space="preserve"> available process</w:t>
      </w:r>
      <w:r w:rsidRPr="00281BDC">
        <w:rPr>
          <w:lang w:val="en-GB"/>
        </w:rPr>
        <w:t xml:space="preserve"> variables: </w:t>
      </w:r>
    </w:p>
    <w:p w14:paraId="44EFEB1D" w14:textId="18A0534A" w:rsidR="00C952EA" w:rsidRPr="00281BDC" w:rsidRDefault="000014A4" w:rsidP="00B42B77">
      <w:pPr>
        <w:pStyle w:val="CETEquation"/>
        <w:spacing w:before="0" w:after="0"/>
      </w:pPr>
      <m:oMath>
        <m:r>
          <w:rPr>
            <w:rFonts w:ascii="Cambria Math" w:hAnsi="Cambria Math"/>
          </w:rPr>
          <m:t>cov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den>
        </m:f>
      </m:oMath>
      <w:r w:rsidR="00E06A8A" w:rsidRPr="00281BDC">
        <w:t xml:space="preserve">                                                                                                                                                     (1)</w:t>
      </w:r>
    </w:p>
    <w:p w14:paraId="13443EC4" w14:textId="5882E06D" w:rsidR="005702F2" w:rsidRPr="00281BDC" w:rsidRDefault="00C952EA" w:rsidP="00236175">
      <w:pPr>
        <w:pStyle w:val="CETBodytext"/>
        <w:rPr>
          <w:lang w:val="en-GB"/>
        </w:rPr>
      </w:pPr>
      <w:r w:rsidRPr="00281BDC">
        <w:rPr>
          <w:lang w:val="en-GB"/>
        </w:rPr>
        <w:t xml:space="preserve">The eigenvectors of </w:t>
      </w:r>
      <w:r w:rsidR="008E7303" w:rsidRPr="00281BDC">
        <w:rPr>
          <w:lang w:val="en-GB"/>
        </w:rPr>
        <w:t xml:space="preserve">the </w:t>
      </w:r>
      <w:proofErr w:type="spellStart"/>
      <w:r w:rsidRPr="00281BDC">
        <w:rPr>
          <w:i/>
          <w:iCs/>
          <w:lang w:val="en-GB"/>
        </w:rPr>
        <w:t>cov</w:t>
      </w:r>
      <w:proofErr w:type="spellEnd"/>
      <w:r w:rsidRPr="00281BDC">
        <w:rPr>
          <w:i/>
          <w:iCs/>
          <w:lang w:val="en-GB"/>
        </w:rPr>
        <w:t>(X)</w:t>
      </w:r>
      <w:r w:rsidR="008E7303" w:rsidRPr="00281BDC">
        <w:rPr>
          <w:lang w:val="en-GB"/>
        </w:rPr>
        <w:t xml:space="preserve"> matrix</w:t>
      </w:r>
      <w:r w:rsidR="00C27FF8" w:rsidRPr="00281BDC">
        <w:rPr>
          <w:lang w:val="en-GB"/>
        </w:rPr>
        <w:t xml:space="preserve"> are the </w:t>
      </w:r>
      <w:r w:rsidR="00373D93" w:rsidRPr="00281BDC">
        <w:rPr>
          <w:lang w:val="en-GB"/>
        </w:rPr>
        <w:t>so-called</w:t>
      </w:r>
      <w:r w:rsidRPr="00281BDC">
        <w:rPr>
          <w:lang w:val="en-GB"/>
        </w:rPr>
        <w:t xml:space="preserve"> principal components and are </w:t>
      </w:r>
      <w:r w:rsidR="00B16995" w:rsidRPr="00281BDC">
        <w:rPr>
          <w:lang w:val="en-GB"/>
        </w:rPr>
        <w:t>put in descending order with regards to</w:t>
      </w:r>
      <w:r w:rsidRPr="00281BDC">
        <w:rPr>
          <w:lang w:val="en-GB"/>
        </w:rPr>
        <w:t xml:space="preserve"> the magnitude of the </w:t>
      </w:r>
      <w:r w:rsidR="005A13E1" w:rsidRPr="00281BDC">
        <w:rPr>
          <w:lang w:val="en-GB"/>
        </w:rPr>
        <w:t>corresponding</w:t>
      </w:r>
      <w:r w:rsidRPr="00281BDC">
        <w:rPr>
          <w:lang w:val="en-GB"/>
        </w:rPr>
        <w:t xml:space="preserve"> eigenvalue</w:t>
      </w:r>
      <w:r w:rsidR="004A2236" w:rsidRPr="00281BDC">
        <w:rPr>
          <w:lang w:val="en-GB"/>
        </w:rPr>
        <w:t xml:space="preserve">: </w:t>
      </w:r>
      <w:r w:rsidRPr="00281BDC">
        <w:rPr>
          <w:lang w:val="en-GB"/>
        </w:rPr>
        <w:t xml:space="preserve">the first accounts for the space trajectory with the </w:t>
      </w:r>
      <w:r w:rsidR="004055DE" w:rsidRPr="00281BDC">
        <w:rPr>
          <w:lang w:val="en-GB"/>
        </w:rPr>
        <w:t>highest</w:t>
      </w:r>
      <w:r w:rsidRPr="00281BDC">
        <w:rPr>
          <w:lang w:val="en-GB"/>
        </w:rPr>
        <w:t xml:space="preserve"> variance </w:t>
      </w:r>
      <w:r w:rsidR="004055DE" w:rsidRPr="00281BDC">
        <w:rPr>
          <w:lang w:val="en-GB"/>
        </w:rPr>
        <w:t>(</w:t>
      </w:r>
      <w:r w:rsidR="004055DE" w:rsidRPr="00281BDC">
        <w:rPr>
          <w:i/>
          <w:iCs/>
          <w:lang w:val="en-GB"/>
        </w:rPr>
        <w:t>i.e.</w:t>
      </w:r>
      <w:r w:rsidR="004055DE" w:rsidRPr="00281BDC">
        <w:rPr>
          <w:lang w:val="en-GB"/>
        </w:rPr>
        <w:t xml:space="preserve"> carried information) </w:t>
      </w:r>
      <w:r w:rsidRPr="00281BDC">
        <w:rPr>
          <w:lang w:val="en-GB"/>
        </w:rPr>
        <w:t xml:space="preserve">and each succeeding component in turn, orthogonal to the previous, </w:t>
      </w:r>
      <w:r w:rsidR="00940EEA" w:rsidRPr="00281BDC">
        <w:rPr>
          <w:lang w:val="en-GB"/>
        </w:rPr>
        <w:t>carries</w:t>
      </w:r>
      <w:r w:rsidRPr="00281BDC">
        <w:rPr>
          <w:lang w:val="en-GB"/>
        </w:rPr>
        <w:t xml:space="preserve"> the highest </w:t>
      </w:r>
      <w:r w:rsidR="00940EEA" w:rsidRPr="00281BDC">
        <w:rPr>
          <w:lang w:val="en-GB"/>
        </w:rPr>
        <w:t xml:space="preserve">remaining </w:t>
      </w:r>
      <w:r w:rsidRPr="00281BDC">
        <w:rPr>
          <w:lang w:val="en-GB"/>
        </w:rPr>
        <w:t>varianc</w:t>
      </w:r>
      <w:r w:rsidR="00940EEA" w:rsidRPr="00281BDC">
        <w:rPr>
          <w:lang w:val="en-GB"/>
        </w:rPr>
        <w:t>e</w:t>
      </w:r>
      <w:r w:rsidRPr="00281BDC">
        <w:rPr>
          <w:lang w:val="en-GB"/>
        </w:rPr>
        <w:t>.</w:t>
      </w:r>
      <w:r w:rsidR="00005460" w:rsidRPr="00281BDC">
        <w:rPr>
          <w:lang w:val="en-GB"/>
        </w:rPr>
        <w:t xml:space="preserve"> PCA </w:t>
      </w:r>
      <w:r w:rsidR="000B1237" w:rsidRPr="00281BDC">
        <w:rPr>
          <w:lang w:val="en-GB"/>
        </w:rPr>
        <w:t xml:space="preserve">is useful for </w:t>
      </w:r>
      <w:r w:rsidR="00BD134C" w:rsidRPr="00281BDC">
        <w:rPr>
          <w:lang w:val="en-GB"/>
        </w:rPr>
        <w:t xml:space="preserve">understanding the variance-covariance </w:t>
      </w:r>
      <w:r w:rsidR="00BD134C" w:rsidRPr="00281BDC">
        <w:rPr>
          <w:lang w:val="en-GB"/>
        </w:rPr>
        <w:lastRenderedPageBreak/>
        <w:t>structure of the original dataset</w:t>
      </w:r>
      <w:r w:rsidR="00C31BA8" w:rsidRPr="00281BDC">
        <w:rPr>
          <w:lang w:val="en-GB"/>
        </w:rPr>
        <w:t xml:space="preserve">, but is not particularly suited for </w:t>
      </w:r>
      <w:r w:rsidR="00A64136" w:rsidRPr="00281BDC">
        <w:rPr>
          <w:lang w:val="en-GB"/>
        </w:rPr>
        <w:t xml:space="preserve">multivariate regression, as no importance is given to how each predictive variable is related to </w:t>
      </w:r>
      <w:r w:rsidR="00365297" w:rsidRPr="00281BDC">
        <w:rPr>
          <w:lang w:val="en-GB"/>
        </w:rPr>
        <w:t xml:space="preserve">a </w:t>
      </w:r>
      <w:r w:rsidR="00806AB3" w:rsidRPr="00281BDC">
        <w:rPr>
          <w:lang w:val="en-GB"/>
        </w:rPr>
        <w:t>dependent variable t</w:t>
      </w:r>
      <w:r w:rsidR="00365297" w:rsidRPr="00281BDC">
        <w:rPr>
          <w:lang w:val="en-GB"/>
        </w:rPr>
        <w:t>hat</w:t>
      </w:r>
      <w:r w:rsidR="00E57B89" w:rsidRPr="00281BDC">
        <w:rPr>
          <w:lang w:val="en-GB"/>
        </w:rPr>
        <w:t xml:space="preserve"> is selected as outcome of the model. </w:t>
      </w:r>
      <w:r w:rsidR="00CE6142" w:rsidRPr="00281BDC">
        <w:rPr>
          <w:lang w:val="en-GB"/>
        </w:rPr>
        <w:t xml:space="preserve">To overcome this limit, </w:t>
      </w:r>
      <w:r w:rsidR="004F3D7D" w:rsidRPr="00281BDC">
        <w:rPr>
          <w:lang w:val="en-GB"/>
        </w:rPr>
        <w:t>a different technique, p</w:t>
      </w:r>
      <w:r w:rsidR="008A5EBD" w:rsidRPr="00281BDC">
        <w:rPr>
          <w:lang w:val="en-GB"/>
        </w:rPr>
        <w:t xml:space="preserve">artial </w:t>
      </w:r>
      <w:r w:rsidR="004F3D7D" w:rsidRPr="00281BDC">
        <w:rPr>
          <w:lang w:val="en-GB"/>
        </w:rPr>
        <w:t>l</w:t>
      </w:r>
      <w:r w:rsidR="008A5EBD" w:rsidRPr="00281BDC">
        <w:rPr>
          <w:lang w:val="en-GB"/>
        </w:rPr>
        <w:t xml:space="preserve">east </w:t>
      </w:r>
      <w:r w:rsidR="004F3D7D" w:rsidRPr="00281BDC">
        <w:rPr>
          <w:lang w:val="en-GB"/>
        </w:rPr>
        <w:t>s</w:t>
      </w:r>
      <w:r w:rsidR="008A5EBD" w:rsidRPr="00281BDC">
        <w:rPr>
          <w:lang w:val="en-GB"/>
        </w:rPr>
        <w:t>quare</w:t>
      </w:r>
      <w:r w:rsidR="004F3D7D" w:rsidRPr="00281BDC">
        <w:rPr>
          <w:lang w:val="en-GB"/>
        </w:rPr>
        <w:t xml:space="preserve"> (PLS)</w:t>
      </w:r>
      <w:r w:rsidR="008A5EBD" w:rsidRPr="00281BDC">
        <w:rPr>
          <w:lang w:val="en-GB"/>
        </w:rPr>
        <w:t xml:space="preserve"> regression</w:t>
      </w:r>
      <w:r w:rsidR="00236175" w:rsidRPr="00281BDC">
        <w:rPr>
          <w:lang w:val="en-GB"/>
        </w:rPr>
        <w:t xml:space="preserve">, </w:t>
      </w:r>
      <w:r w:rsidR="00DA1794" w:rsidRPr="00281BDC">
        <w:rPr>
          <w:lang w:val="en-GB"/>
        </w:rPr>
        <w:t xml:space="preserve">can be </w:t>
      </w:r>
      <w:r w:rsidR="00236175" w:rsidRPr="00281BDC">
        <w:rPr>
          <w:lang w:val="en-GB"/>
        </w:rPr>
        <w:t>used</w:t>
      </w:r>
      <w:r w:rsidR="00A421F4" w:rsidRPr="00281BDC">
        <w:rPr>
          <w:lang w:val="en-GB"/>
        </w:rPr>
        <w:t>. PLS is a regression</w:t>
      </w:r>
      <w:r w:rsidR="004A1015" w:rsidRPr="00281BDC">
        <w:rPr>
          <w:lang w:val="en-GB"/>
        </w:rPr>
        <w:t>-</w:t>
      </w:r>
      <w:r w:rsidR="00A421F4" w:rsidRPr="00281BDC">
        <w:rPr>
          <w:lang w:val="en-GB"/>
        </w:rPr>
        <w:t xml:space="preserve">aimed LVs technique </w:t>
      </w:r>
      <w:r w:rsidR="00F351DD" w:rsidRPr="00281BDC">
        <w:rPr>
          <w:lang w:val="en-GB"/>
        </w:rPr>
        <w:t>wh</w:t>
      </w:r>
      <w:r w:rsidR="00E9120C" w:rsidRPr="00281BDC">
        <w:rPr>
          <w:lang w:val="en-GB"/>
        </w:rPr>
        <w:t xml:space="preserve">ere the starting dataset is </w:t>
      </w:r>
      <w:r w:rsidR="00916D93" w:rsidRPr="00281BDC">
        <w:rPr>
          <w:lang w:val="en-GB"/>
        </w:rPr>
        <w:t>preliminarily</w:t>
      </w:r>
      <w:r w:rsidR="006655B4" w:rsidRPr="00281BDC">
        <w:rPr>
          <w:lang w:val="en-GB"/>
        </w:rPr>
        <w:t xml:space="preserve"> </w:t>
      </w:r>
      <w:r w:rsidR="006E5CB9" w:rsidRPr="00281BDC">
        <w:rPr>
          <w:lang w:val="en-GB"/>
        </w:rPr>
        <w:t>divided in</w:t>
      </w:r>
      <w:r w:rsidR="000C0074" w:rsidRPr="00281BDC">
        <w:rPr>
          <w:lang w:val="en-GB"/>
        </w:rPr>
        <w:t xml:space="preserve">to </w:t>
      </w:r>
      <w:r w:rsidR="0098053D" w:rsidRPr="00281BDC">
        <w:rPr>
          <w:lang w:val="en-GB"/>
        </w:rPr>
        <w:t xml:space="preserve">two </w:t>
      </w:r>
      <w:r w:rsidR="006A020C" w:rsidRPr="00281BDC">
        <w:rPr>
          <w:lang w:val="en-GB"/>
        </w:rPr>
        <w:t>set</w:t>
      </w:r>
      <w:r w:rsidR="007320B3" w:rsidRPr="00281BDC">
        <w:rPr>
          <w:lang w:val="en-GB"/>
        </w:rPr>
        <w:t>s</w:t>
      </w:r>
      <w:r w:rsidR="00663924" w:rsidRPr="00281BDC">
        <w:rPr>
          <w:lang w:val="en-GB"/>
        </w:rPr>
        <w:t xml:space="preserve"> of</w:t>
      </w:r>
      <w:r w:rsidR="006A020C" w:rsidRPr="00281BDC">
        <w:rPr>
          <w:lang w:val="en-GB"/>
        </w:rPr>
        <w:t xml:space="preserve"> predict</w:t>
      </w:r>
      <w:r w:rsidR="001A0C09" w:rsidRPr="00281BDC">
        <w:rPr>
          <w:lang w:val="en-GB"/>
        </w:rPr>
        <w:t>ive</w:t>
      </w:r>
      <w:r w:rsidR="00881EE0" w:rsidRPr="00281BDC">
        <w:rPr>
          <w:lang w:val="en-GB"/>
        </w:rPr>
        <w:t xml:space="preserve"> (or explanatory)</w:t>
      </w:r>
      <w:r w:rsidR="00A57168" w:rsidRPr="00281BDC">
        <w:rPr>
          <w:lang w:val="en-GB"/>
        </w:rPr>
        <w:t xml:space="preserve"> variables</w:t>
      </w:r>
      <w:r w:rsidR="00221E25" w:rsidRPr="00281BDC">
        <w:rPr>
          <w:lang w:val="en-GB"/>
        </w:rPr>
        <w:t>, also known as predictors,</w:t>
      </w:r>
      <w:r w:rsidR="00A57168" w:rsidRPr="00281BDC">
        <w:rPr>
          <w:lang w:val="en-GB"/>
        </w:rPr>
        <w:t xml:space="preserve"> </w:t>
      </w:r>
      <w:r w:rsidR="001B6E3C" w:rsidRPr="00281BDC">
        <w:rPr>
          <w:lang w:val="en-GB"/>
        </w:rPr>
        <w:t xml:space="preserve">and </w:t>
      </w:r>
      <w:r w:rsidR="00FA331C" w:rsidRPr="00281BDC">
        <w:rPr>
          <w:lang w:val="en-GB"/>
        </w:rPr>
        <w:t xml:space="preserve">predicted </w:t>
      </w:r>
      <w:r w:rsidR="00881EE0" w:rsidRPr="00281BDC">
        <w:rPr>
          <w:lang w:val="en-GB"/>
        </w:rPr>
        <w:t xml:space="preserve">(or dependent) </w:t>
      </w:r>
      <w:r w:rsidR="00FA331C" w:rsidRPr="00281BDC">
        <w:rPr>
          <w:lang w:val="en-GB"/>
        </w:rPr>
        <w:t>variables</w:t>
      </w:r>
      <w:r w:rsidR="006A020C" w:rsidRPr="00281BDC">
        <w:rPr>
          <w:lang w:val="en-GB"/>
        </w:rPr>
        <w:t>.</w:t>
      </w:r>
      <w:r w:rsidR="000C0074" w:rsidRPr="00281BDC">
        <w:rPr>
          <w:lang w:val="en-GB"/>
        </w:rPr>
        <w:t xml:space="preserve"> </w:t>
      </w:r>
      <w:r w:rsidR="001324BF" w:rsidRPr="00281BDC">
        <w:rPr>
          <w:lang w:val="en-GB"/>
        </w:rPr>
        <w:t>Then</w:t>
      </w:r>
      <w:r w:rsidR="00896EBA" w:rsidRPr="00281BDC">
        <w:rPr>
          <w:lang w:val="en-GB"/>
        </w:rPr>
        <w:t>,</w:t>
      </w:r>
      <w:r w:rsidR="001324BF" w:rsidRPr="00281BDC">
        <w:rPr>
          <w:lang w:val="en-GB"/>
        </w:rPr>
        <w:t xml:space="preserve"> </w:t>
      </w:r>
      <w:r w:rsidR="00915603" w:rsidRPr="00281BDC">
        <w:rPr>
          <w:lang w:val="en-GB"/>
        </w:rPr>
        <w:t>the</w:t>
      </w:r>
      <w:r w:rsidR="000C398E" w:rsidRPr="00281BDC">
        <w:rPr>
          <w:lang w:val="en-GB"/>
        </w:rPr>
        <w:t xml:space="preserve"> </w:t>
      </w:r>
      <w:r w:rsidR="00760C64" w:rsidRPr="00281BDC">
        <w:rPr>
          <w:lang w:val="en-GB"/>
        </w:rPr>
        <w:t>dataset</w:t>
      </w:r>
      <w:r w:rsidR="000C398E" w:rsidRPr="00281BDC">
        <w:rPr>
          <w:lang w:val="en-GB"/>
        </w:rPr>
        <w:t xml:space="preserve"> space </w:t>
      </w:r>
      <w:r w:rsidR="00915603" w:rsidRPr="00281BDC">
        <w:rPr>
          <w:lang w:val="en-GB"/>
        </w:rPr>
        <w:t>rearrangement</w:t>
      </w:r>
      <w:r w:rsidR="000C398E" w:rsidRPr="00281BDC">
        <w:rPr>
          <w:lang w:val="en-GB"/>
        </w:rPr>
        <w:t xml:space="preserve"> is performed on the </w:t>
      </w:r>
      <w:r w:rsidR="00161030" w:rsidRPr="00281BDC">
        <w:rPr>
          <w:lang w:val="en-GB"/>
        </w:rPr>
        <w:t>predictor</w:t>
      </w:r>
      <w:r w:rsidR="003C2802" w:rsidRPr="00281BDC">
        <w:rPr>
          <w:lang w:val="en-GB"/>
        </w:rPr>
        <w:t xml:space="preserve"> dataset,</w:t>
      </w:r>
      <w:r w:rsidR="00161030" w:rsidRPr="00281BDC">
        <w:rPr>
          <w:lang w:val="en-GB"/>
        </w:rPr>
        <w:t xml:space="preserve"> not only pursuing the maximi</w:t>
      </w:r>
      <w:r w:rsidR="00D81548" w:rsidRPr="00281BDC">
        <w:rPr>
          <w:lang w:val="en-GB"/>
        </w:rPr>
        <w:t>s</w:t>
      </w:r>
      <w:r w:rsidR="00161030" w:rsidRPr="00281BDC">
        <w:rPr>
          <w:lang w:val="en-GB"/>
        </w:rPr>
        <w:t xml:space="preserve">ation of the </w:t>
      </w:r>
      <w:r w:rsidR="002028A2" w:rsidRPr="00281BDC">
        <w:rPr>
          <w:lang w:val="en-GB"/>
        </w:rPr>
        <w:t xml:space="preserve">information </w:t>
      </w:r>
      <w:r w:rsidR="00997B2E" w:rsidRPr="00281BDC">
        <w:rPr>
          <w:lang w:val="en-GB"/>
        </w:rPr>
        <w:t xml:space="preserve">on the </w:t>
      </w:r>
      <w:r w:rsidR="00D67078" w:rsidRPr="00281BDC">
        <w:rPr>
          <w:lang w:val="en-GB"/>
        </w:rPr>
        <w:t xml:space="preserve">new </w:t>
      </w:r>
      <w:r w:rsidR="00997B2E" w:rsidRPr="00281BDC">
        <w:rPr>
          <w:lang w:val="en-GB"/>
        </w:rPr>
        <w:t>latent</w:t>
      </w:r>
      <w:r w:rsidR="00385F9A" w:rsidRPr="00281BDC">
        <w:rPr>
          <w:lang w:val="en-GB"/>
        </w:rPr>
        <w:t xml:space="preserve"> variables of</w:t>
      </w:r>
      <w:r w:rsidR="00161030" w:rsidRPr="00281BDC">
        <w:rPr>
          <w:lang w:val="en-GB"/>
        </w:rPr>
        <w:t xml:space="preserve"> th</w:t>
      </w:r>
      <w:r w:rsidR="001D4717" w:rsidRPr="00281BDC">
        <w:rPr>
          <w:lang w:val="en-GB"/>
        </w:rPr>
        <w:t xml:space="preserve">e </w:t>
      </w:r>
      <w:r w:rsidR="005E44B2" w:rsidRPr="00281BDC">
        <w:rPr>
          <w:lang w:val="en-GB"/>
        </w:rPr>
        <w:t xml:space="preserve">predictors </w:t>
      </w:r>
      <w:r w:rsidR="00161030" w:rsidRPr="00281BDC">
        <w:rPr>
          <w:lang w:val="en-GB"/>
        </w:rPr>
        <w:t>space</w:t>
      </w:r>
      <w:r w:rsidR="003C2802" w:rsidRPr="00281BDC">
        <w:rPr>
          <w:lang w:val="en-GB"/>
        </w:rPr>
        <w:t xml:space="preserve">, </w:t>
      </w:r>
      <w:r w:rsidR="00161030" w:rsidRPr="00281BDC">
        <w:rPr>
          <w:lang w:val="en-GB"/>
        </w:rPr>
        <w:t>but also maximi</w:t>
      </w:r>
      <w:r w:rsidR="006B56B0" w:rsidRPr="00281BDC">
        <w:rPr>
          <w:lang w:val="en-GB"/>
        </w:rPr>
        <w:t>s</w:t>
      </w:r>
      <w:r w:rsidR="00161030" w:rsidRPr="00281BDC">
        <w:rPr>
          <w:lang w:val="en-GB"/>
        </w:rPr>
        <w:t xml:space="preserve">ing the correlation of </w:t>
      </w:r>
      <w:r w:rsidR="006E3188" w:rsidRPr="00281BDC">
        <w:rPr>
          <w:lang w:val="en-GB"/>
        </w:rPr>
        <w:t>the LVs</w:t>
      </w:r>
      <w:r w:rsidR="00161030" w:rsidRPr="00281BDC">
        <w:rPr>
          <w:lang w:val="en-GB"/>
        </w:rPr>
        <w:t xml:space="preserve"> with the</w:t>
      </w:r>
      <w:r w:rsidR="001F0809" w:rsidRPr="00281BDC">
        <w:rPr>
          <w:lang w:val="en-GB"/>
        </w:rPr>
        <w:t xml:space="preserve"> </w:t>
      </w:r>
      <w:r w:rsidR="00EF6D74" w:rsidRPr="00281BDC">
        <w:rPr>
          <w:lang w:val="en-GB"/>
        </w:rPr>
        <w:t>predicted variables</w:t>
      </w:r>
      <w:r w:rsidR="00373554" w:rsidRPr="00281BDC">
        <w:rPr>
          <w:lang w:val="en-GB"/>
        </w:rPr>
        <w:t>.</w:t>
      </w:r>
      <w:r w:rsidR="005C5DB1" w:rsidRPr="00281BDC">
        <w:rPr>
          <w:lang w:val="en-GB"/>
        </w:rPr>
        <w:t xml:space="preserve"> </w:t>
      </w:r>
    </w:p>
    <w:p w14:paraId="38F4611E" w14:textId="6DD914E5" w:rsidR="001D6F1B" w:rsidRPr="00281BDC" w:rsidRDefault="008A5EBD" w:rsidP="00236175">
      <w:pPr>
        <w:pStyle w:val="CETBodytext"/>
        <w:rPr>
          <w:lang w:val="en-GB"/>
        </w:rPr>
      </w:pPr>
      <w:r w:rsidRPr="00281BDC">
        <w:rPr>
          <w:lang w:val="en-GB"/>
        </w:rPr>
        <w:t xml:space="preserve">Formally, if </w:t>
      </w:r>
      <w:r w:rsidR="0069462E" w:rsidRPr="00281BDC">
        <w:rPr>
          <w:i/>
          <w:iCs/>
          <w:lang w:val="en-GB"/>
        </w:rPr>
        <w:t>X</w:t>
      </w:r>
      <w:r w:rsidRPr="00281BDC">
        <w:rPr>
          <w:lang w:val="en-GB"/>
        </w:rPr>
        <w:t xml:space="preserve"> and </w:t>
      </w:r>
      <w:r w:rsidR="0069462E" w:rsidRPr="00281BDC">
        <w:rPr>
          <w:i/>
          <w:iCs/>
          <w:lang w:val="en-GB"/>
        </w:rPr>
        <w:t>Y</w:t>
      </w:r>
      <w:r w:rsidRPr="00281BDC">
        <w:rPr>
          <w:lang w:val="en-GB"/>
        </w:rPr>
        <w:t xml:space="preserve"> are the </w:t>
      </w:r>
      <w:r w:rsidR="001D6F1B" w:rsidRPr="00281BDC">
        <w:rPr>
          <w:lang w:val="en-GB"/>
        </w:rPr>
        <w:t xml:space="preserve">original </w:t>
      </w:r>
      <w:r w:rsidR="0069462E" w:rsidRPr="00281BDC">
        <w:rPr>
          <w:lang w:val="en-GB"/>
        </w:rPr>
        <w:t>predictors</w:t>
      </w:r>
      <w:r w:rsidRPr="00281BDC">
        <w:rPr>
          <w:lang w:val="en-GB"/>
        </w:rPr>
        <w:t xml:space="preserve"> and </w:t>
      </w:r>
      <w:r w:rsidR="0069462E" w:rsidRPr="00281BDC">
        <w:rPr>
          <w:lang w:val="en-GB"/>
        </w:rPr>
        <w:t>predicted</w:t>
      </w:r>
      <w:r w:rsidRPr="00281BDC">
        <w:rPr>
          <w:lang w:val="en-GB"/>
        </w:rPr>
        <w:t xml:space="preserve"> variables sets</w:t>
      </w:r>
      <w:r w:rsidR="0069462E" w:rsidRPr="00281BDC">
        <w:rPr>
          <w:lang w:val="en-GB"/>
        </w:rPr>
        <w:t>,</w:t>
      </w:r>
      <w:r w:rsidRPr="00281BDC">
        <w:rPr>
          <w:lang w:val="en-GB"/>
        </w:rPr>
        <w:t xml:space="preserve"> they can be </w:t>
      </w:r>
      <w:r w:rsidR="00794FC8" w:rsidRPr="00281BDC">
        <w:rPr>
          <w:lang w:val="en-GB"/>
        </w:rPr>
        <w:t xml:space="preserve">linearly decomposed </w:t>
      </w:r>
      <w:r w:rsidR="001D6F1B" w:rsidRPr="00281BDC">
        <w:rPr>
          <w:lang w:val="en-GB"/>
        </w:rPr>
        <w:t>as:</w:t>
      </w:r>
    </w:p>
    <w:p w14:paraId="6829D253" w14:textId="6BEDAA47" w:rsidR="001D6F1B" w:rsidRPr="00281BDC" w:rsidRDefault="001D6F1B" w:rsidP="00B42B77">
      <w:pPr>
        <w:pStyle w:val="CETEquation"/>
        <w:tabs>
          <w:tab w:val="clear" w:pos="7100"/>
        </w:tabs>
        <w:spacing w:before="0" w:after="0"/>
      </w:pPr>
      <m:oMath>
        <m:r>
          <w:rPr>
            <w:rFonts w:ascii="Cambria Math" w:hAnsi="Cambria Math"/>
          </w:rPr>
          <m:t>X=T∙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+E</m:t>
        </m:r>
      </m:oMath>
      <w:r w:rsidRPr="00281BDC">
        <w:t xml:space="preserve">      </w:t>
      </w:r>
      <w:r w:rsidRPr="00281BDC">
        <w:tab/>
        <w:t xml:space="preserve">                                                                                                            </w:t>
      </w:r>
      <w:r w:rsidRPr="00281BDC">
        <w:tab/>
        <w:t xml:space="preserve">               (2)</w:t>
      </w:r>
    </w:p>
    <w:p w14:paraId="2776A680" w14:textId="5F861C5F" w:rsidR="001D6F1B" w:rsidRPr="00281BDC" w:rsidRDefault="001D6F1B" w:rsidP="00B42B77">
      <w:pPr>
        <w:pStyle w:val="CETEquation"/>
        <w:tabs>
          <w:tab w:val="clear" w:pos="7100"/>
        </w:tabs>
        <w:spacing w:before="0" w:after="0"/>
      </w:pPr>
      <m:oMath>
        <m:r>
          <w:rPr>
            <w:rFonts w:ascii="Cambria Math" w:hAnsi="Cambria Math"/>
          </w:rPr>
          <m:t>Y=U∙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+F</m:t>
        </m:r>
      </m:oMath>
      <w:r w:rsidRPr="00281BDC">
        <w:t xml:space="preserve">                                                                                                             </w:t>
      </w:r>
      <w:r w:rsidRPr="00281BDC">
        <w:tab/>
      </w:r>
      <w:r w:rsidRPr="00281BDC">
        <w:tab/>
        <w:t xml:space="preserve">               (3)</w:t>
      </w:r>
    </w:p>
    <w:p w14:paraId="132AF8B9" w14:textId="425443AF" w:rsidR="008A5EBD" w:rsidRPr="00281BDC" w:rsidRDefault="00F823DA" w:rsidP="00236175">
      <w:pPr>
        <w:pStyle w:val="CETBodytext"/>
        <w:rPr>
          <w:lang w:val="en-GB"/>
        </w:rPr>
      </w:pPr>
      <w:r w:rsidRPr="00281BDC">
        <w:rPr>
          <w:lang w:val="en-GB"/>
        </w:rPr>
        <w:t>w</w:t>
      </w:r>
      <w:r w:rsidR="000002DF" w:rsidRPr="00281BDC">
        <w:rPr>
          <w:lang w:val="en-GB"/>
        </w:rPr>
        <w:t>here m</w:t>
      </w:r>
      <w:r w:rsidR="00760C64" w:rsidRPr="00281BDC">
        <w:rPr>
          <w:lang w:val="en-GB"/>
        </w:rPr>
        <w:t xml:space="preserve">atrices </w:t>
      </w:r>
      <w:r w:rsidR="00186E2A" w:rsidRPr="00281BDC">
        <w:rPr>
          <w:i/>
          <w:iCs/>
          <w:lang w:val="en-GB"/>
        </w:rPr>
        <w:t>T</w:t>
      </w:r>
      <w:r w:rsidR="008A5EBD" w:rsidRPr="00281BDC">
        <w:rPr>
          <w:lang w:val="en-GB"/>
        </w:rPr>
        <w:t xml:space="preserve"> and </w:t>
      </w:r>
      <w:r w:rsidR="00186E2A" w:rsidRPr="00281BDC">
        <w:rPr>
          <w:i/>
          <w:iCs/>
          <w:lang w:val="en-GB"/>
        </w:rPr>
        <w:t>U</w:t>
      </w:r>
      <w:r w:rsidR="008A5EBD" w:rsidRPr="00281BDC">
        <w:rPr>
          <w:i/>
          <w:iCs/>
          <w:lang w:val="en-GB"/>
        </w:rPr>
        <w:t xml:space="preserve"> </w:t>
      </w:r>
      <w:r w:rsidR="008A5EBD" w:rsidRPr="00281BDC">
        <w:rPr>
          <w:lang w:val="en-GB"/>
        </w:rPr>
        <w:t>are the</w:t>
      </w:r>
      <w:r w:rsidR="00186E2A" w:rsidRPr="00281BDC">
        <w:rPr>
          <w:lang w:val="en-GB"/>
        </w:rPr>
        <w:t xml:space="preserve"> latent</w:t>
      </w:r>
      <w:r w:rsidR="008A5EBD" w:rsidRPr="00281BDC">
        <w:rPr>
          <w:lang w:val="en-GB"/>
        </w:rPr>
        <w:t xml:space="preserve"> variables </w:t>
      </w:r>
      <w:r w:rsidR="00760C64" w:rsidRPr="00281BDC">
        <w:rPr>
          <w:lang w:val="en-GB"/>
        </w:rPr>
        <w:t>space basis</w:t>
      </w:r>
      <w:r w:rsidRPr="00281BDC">
        <w:rPr>
          <w:lang w:val="en-GB"/>
        </w:rPr>
        <w:t xml:space="preserve">, </w:t>
      </w:r>
      <w:r w:rsidRPr="00281BDC">
        <w:rPr>
          <w:i/>
          <w:iCs/>
          <w:lang w:val="en-GB"/>
        </w:rPr>
        <w:t>P</w:t>
      </w:r>
      <w:r w:rsidRPr="00281BDC">
        <w:rPr>
          <w:lang w:val="en-GB"/>
        </w:rPr>
        <w:t xml:space="preserve"> e </w:t>
      </w:r>
      <w:r w:rsidRPr="00281BDC">
        <w:rPr>
          <w:i/>
          <w:iCs/>
          <w:lang w:val="en-GB"/>
        </w:rPr>
        <w:t>Q</w:t>
      </w:r>
      <w:r w:rsidRPr="00281BDC">
        <w:rPr>
          <w:lang w:val="en-GB"/>
        </w:rPr>
        <w:t xml:space="preserve"> the </w:t>
      </w:r>
      <w:r w:rsidR="00FC696C" w:rsidRPr="00281BDC">
        <w:rPr>
          <w:lang w:val="en-GB"/>
        </w:rPr>
        <w:t xml:space="preserve">loadings (i.e. the weights </w:t>
      </w:r>
      <w:r w:rsidR="00545407" w:rsidRPr="00281BDC">
        <w:rPr>
          <w:lang w:val="en-GB"/>
        </w:rPr>
        <w:t xml:space="preserve">for each original variable projected on the new latent variables) and </w:t>
      </w:r>
      <w:r w:rsidR="00540D22" w:rsidRPr="00281BDC">
        <w:rPr>
          <w:i/>
          <w:iCs/>
          <w:lang w:val="en-GB"/>
        </w:rPr>
        <w:t>E</w:t>
      </w:r>
      <w:r w:rsidR="00540D22" w:rsidRPr="00281BDC">
        <w:rPr>
          <w:lang w:val="en-GB"/>
        </w:rPr>
        <w:t xml:space="preserve"> and </w:t>
      </w:r>
      <w:r w:rsidR="00540D22" w:rsidRPr="00281BDC">
        <w:rPr>
          <w:i/>
          <w:iCs/>
          <w:lang w:val="en-GB"/>
        </w:rPr>
        <w:t>F</w:t>
      </w:r>
      <w:r w:rsidR="00540D22" w:rsidRPr="00281BDC">
        <w:rPr>
          <w:lang w:val="en-GB"/>
        </w:rPr>
        <w:t xml:space="preserve"> the residuals. The decomposition</w:t>
      </w:r>
      <w:r w:rsidR="001F6F73" w:rsidRPr="00281BDC">
        <w:rPr>
          <w:lang w:val="en-GB"/>
        </w:rPr>
        <w:t xml:space="preserve"> is per</w:t>
      </w:r>
      <w:r w:rsidR="00BE7514" w:rsidRPr="00281BDC">
        <w:rPr>
          <w:lang w:val="en-GB"/>
        </w:rPr>
        <w:t xml:space="preserve">formed to maximise covariance between </w:t>
      </w:r>
      <w:r w:rsidR="00BE7514" w:rsidRPr="00281BDC">
        <w:rPr>
          <w:i/>
          <w:iCs/>
          <w:lang w:val="en-GB"/>
        </w:rPr>
        <w:t>T</w:t>
      </w:r>
      <w:r w:rsidR="00BE7514" w:rsidRPr="00281BDC">
        <w:rPr>
          <w:lang w:val="en-GB"/>
        </w:rPr>
        <w:t xml:space="preserve"> and </w:t>
      </w:r>
      <w:r w:rsidR="00BE7514" w:rsidRPr="00281BDC">
        <w:rPr>
          <w:i/>
          <w:iCs/>
          <w:lang w:val="en-GB"/>
        </w:rPr>
        <w:t>U</w:t>
      </w:r>
      <w:r w:rsidR="00BE7514" w:rsidRPr="00281BDC">
        <w:rPr>
          <w:lang w:val="en-GB"/>
        </w:rPr>
        <w:t xml:space="preserve">: </w:t>
      </w:r>
      <w:r w:rsidR="00540D22" w:rsidRPr="00281BDC">
        <w:rPr>
          <w:lang w:val="en-GB"/>
        </w:rPr>
        <w:t xml:space="preserve"> </w:t>
      </w:r>
      <w:r w:rsidR="00760C64" w:rsidRPr="00281BDC">
        <w:rPr>
          <w:lang w:val="en-GB"/>
        </w:rPr>
        <w:t xml:space="preserve"> </w:t>
      </w:r>
    </w:p>
    <w:p w14:paraId="4ABE991F" w14:textId="56E1EAA9" w:rsidR="00E06A8A" w:rsidRPr="00281BDC" w:rsidRDefault="000E5C63" w:rsidP="00B42B77">
      <w:pPr>
        <w:pStyle w:val="CETEquation"/>
        <w:spacing w:before="0" w:after="0"/>
      </w:pPr>
      <m:oMath>
        <m:r>
          <w:rPr>
            <w:rFonts w:ascii="Cambria Math" w:hAnsi="Cambria Math"/>
          </w:rPr>
          <m:t>max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co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T,U</m:t>
                </m:r>
              </m:e>
            </m:d>
            <m:r>
              <w:rPr>
                <w:rFonts w:ascii="Cambria Math" w:hAnsi="Cambria Math"/>
              </w:rPr>
              <m:t>,var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*var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</m:e>
        </m:d>
      </m:oMath>
      <w:r w:rsidR="00E06A8A" w:rsidRPr="00281BDC">
        <w:t xml:space="preserve">                                                                                                                      (</w:t>
      </w:r>
      <w:r w:rsidR="001D6F1B" w:rsidRPr="00281BDC">
        <w:t>4</w:t>
      </w:r>
      <w:r w:rsidR="00E06A8A" w:rsidRPr="00281BDC">
        <w:t>)</w:t>
      </w:r>
    </w:p>
    <w:p w14:paraId="47A13C9D" w14:textId="0220F300" w:rsidR="00523FD2" w:rsidRPr="00281BDC" w:rsidRDefault="008A5EBD" w:rsidP="008A5EBD">
      <w:pPr>
        <w:pStyle w:val="CETBodytext"/>
        <w:rPr>
          <w:lang w:val="en-GB"/>
        </w:rPr>
      </w:pPr>
      <w:r w:rsidRPr="00281BDC">
        <w:rPr>
          <w:lang w:val="en-GB"/>
        </w:rPr>
        <w:t>Once this new "</w:t>
      </w:r>
      <w:r w:rsidR="00BA4E83" w:rsidRPr="00281BDC">
        <w:rPr>
          <w:lang w:val="en-GB"/>
        </w:rPr>
        <w:t>modelling</w:t>
      </w:r>
      <w:r w:rsidRPr="00281BDC">
        <w:rPr>
          <w:lang w:val="en-GB"/>
        </w:rPr>
        <w:t xml:space="preserve"> conscious" reference system has been </w:t>
      </w:r>
      <w:r w:rsidR="00171887" w:rsidRPr="00281BDC">
        <w:rPr>
          <w:lang w:val="en-GB"/>
        </w:rPr>
        <w:t>constructed</w:t>
      </w:r>
      <w:r w:rsidR="00760C64" w:rsidRPr="00281BDC">
        <w:rPr>
          <w:lang w:val="en-GB"/>
        </w:rPr>
        <w:t>,</w:t>
      </w:r>
      <w:r w:rsidR="000F2264" w:rsidRPr="00281BDC">
        <w:rPr>
          <w:lang w:val="en-GB"/>
        </w:rPr>
        <w:t xml:space="preserve"> </w:t>
      </w:r>
      <w:r w:rsidR="00A72B5E" w:rsidRPr="00281BDC">
        <w:rPr>
          <w:lang w:val="en-GB"/>
        </w:rPr>
        <w:t xml:space="preserve">only a </w:t>
      </w:r>
      <w:r w:rsidR="0090330B" w:rsidRPr="00281BDC">
        <w:rPr>
          <w:lang w:val="en-GB"/>
        </w:rPr>
        <w:t xml:space="preserve">number of the </w:t>
      </w:r>
      <w:r w:rsidR="005562AB" w:rsidRPr="00281BDC">
        <w:rPr>
          <w:lang w:val="en-GB"/>
        </w:rPr>
        <w:t>LVs</w:t>
      </w:r>
      <w:r w:rsidR="00333265" w:rsidRPr="00281BDC">
        <w:rPr>
          <w:lang w:val="en-GB"/>
        </w:rPr>
        <w:t xml:space="preserve"> is retained</w:t>
      </w:r>
      <w:r w:rsidR="00F761E0" w:rsidRPr="00281BDC">
        <w:rPr>
          <w:lang w:val="en-GB"/>
        </w:rPr>
        <w:t xml:space="preserve">, hence performing </w:t>
      </w:r>
      <w:r w:rsidR="003C6A50" w:rsidRPr="00281BDC">
        <w:rPr>
          <w:lang w:val="en-GB"/>
        </w:rPr>
        <w:t xml:space="preserve">a </w:t>
      </w:r>
      <w:r w:rsidR="00F761E0" w:rsidRPr="00281BDC">
        <w:rPr>
          <w:lang w:val="en-GB"/>
        </w:rPr>
        <w:t>reduction</w:t>
      </w:r>
      <w:r w:rsidR="003C6A50" w:rsidRPr="00281BDC">
        <w:rPr>
          <w:lang w:val="en-GB"/>
        </w:rPr>
        <w:t xml:space="preserve"> of the predictors dataset and remov</w:t>
      </w:r>
      <w:r w:rsidR="00F761E0" w:rsidRPr="00281BDC">
        <w:rPr>
          <w:lang w:val="en-GB"/>
        </w:rPr>
        <w:t>ing</w:t>
      </w:r>
      <w:r w:rsidR="003C6A50" w:rsidRPr="00281BDC">
        <w:rPr>
          <w:lang w:val="en-GB"/>
        </w:rPr>
        <w:t xml:space="preserve"> </w:t>
      </w:r>
      <w:r w:rsidR="005F6EA3" w:rsidRPr="00281BDC">
        <w:rPr>
          <w:lang w:val="en-GB"/>
        </w:rPr>
        <w:t xml:space="preserve">redundant and </w:t>
      </w:r>
      <w:r w:rsidR="000F2264" w:rsidRPr="00281BDC">
        <w:rPr>
          <w:lang w:val="en-GB"/>
        </w:rPr>
        <w:t xml:space="preserve">unnecessary </w:t>
      </w:r>
      <w:r w:rsidRPr="00281BDC">
        <w:rPr>
          <w:lang w:val="en-GB"/>
        </w:rPr>
        <w:t>information</w:t>
      </w:r>
      <w:r w:rsidR="000F2264" w:rsidRPr="00281BDC">
        <w:rPr>
          <w:lang w:val="en-GB"/>
        </w:rPr>
        <w:t xml:space="preserve">, </w:t>
      </w:r>
      <w:r w:rsidRPr="00281BDC">
        <w:rPr>
          <w:lang w:val="en-GB"/>
        </w:rPr>
        <w:t xml:space="preserve">condensed inside </w:t>
      </w:r>
      <w:r w:rsidR="00463005" w:rsidRPr="00281BDC">
        <w:rPr>
          <w:lang w:val="en-GB"/>
        </w:rPr>
        <w:t>the</w:t>
      </w:r>
      <w:r w:rsidRPr="00281BDC">
        <w:rPr>
          <w:lang w:val="en-GB"/>
        </w:rPr>
        <w:t xml:space="preserve"> residual matrices </w:t>
      </w:r>
      <w:r w:rsidR="00D50904" w:rsidRPr="00281BDC">
        <w:rPr>
          <w:i/>
          <w:iCs/>
          <w:lang w:val="en-GB"/>
        </w:rPr>
        <w:t>E</w:t>
      </w:r>
      <w:r w:rsidR="00D50904" w:rsidRPr="00281BDC">
        <w:rPr>
          <w:lang w:val="en-GB"/>
        </w:rPr>
        <w:t xml:space="preserve"> </w:t>
      </w:r>
      <w:r w:rsidRPr="00281BDC">
        <w:rPr>
          <w:lang w:val="en-GB"/>
        </w:rPr>
        <w:t xml:space="preserve">and </w:t>
      </w:r>
      <w:r w:rsidR="00D50904" w:rsidRPr="00281BDC">
        <w:rPr>
          <w:i/>
          <w:iCs/>
          <w:lang w:val="en-GB"/>
        </w:rPr>
        <w:t>F</w:t>
      </w:r>
      <w:r w:rsidR="00D50904" w:rsidRPr="00281BDC">
        <w:rPr>
          <w:lang w:val="en-GB"/>
        </w:rPr>
        <w:t>.</w:t>
      </w:r>
      <w:r w:rsidRPr="00281BDC">
        <w:rPr>
          <w:lang w:val="en-GB"/>
        </w:rPr>
        <w:t xml:space="preserve"> </w:t>
      </w:r>
    </w:p>
    <w:p w14:paraId="49DE6D8E" w14:textId="7D33CA58" w:rsidR="00EA5BE3" w:rsidRPr="00281BDC" w:rsidRDefault="00EE7A1A" w:rsidP="008A5EBD">
      <w:pPr>
        <w:pStyle w:val="CETBodytext"/>
        <w:rPr>
          <w:lang w:val="en-GB"/>
        </w:rPr>
      </w:pPr>
      <w:r w:rsidRPr="00281BDC">
        <w:rPr>
          <w:lang w:val="en-GB"/>
        </w:rPr>
        <w:t>The retained</w:t>
      </w:r>
      <w:r w:rsidR="00857AF4" w:rsidRPr="00281BDC">
        <w:rPr>
          <w:lang w:val="en-GB"/>
        </w:rPr>
        <w:t xml:space="preserve"> LVs</w:t>
      </w:r>
      <w:r w:rsidR="00316AA2" w:rsidRPr="00281BDC">
        <w:rPr>
          <w:lang w:val="en-GB"/>
        </w:rPr>
        <w:t xml:space="preserve"> can then </w:t>
      </w:r>
      <w:r w:rsidR="00857AF4" w:rsidRPr="00281BDC">
        <w:rPr>
          <w:lang w:val="en-GB"/>
        </w:rPr>
        <w:t>take part</w:t>
      </w:r>
      <w:r w:rsidR="00D7166C" w:rsidRPr="00281BDC">
        <w:rPr>
          <w:lang w:val="en-GB"/>
        </w:rPr>
        <w:t xml:space="preserve"> finally</w:t>
      </w:r>
      <w:r w:rsidR="00857AF4" w:rsidRPr="00281BDC">
        <w:rPr>
          <w:lang w:val="en-GB"/>
        </w:rPr>
        <w:t xml:space="preserve"> as</w:t>
      </w:r>
      <w:r w:rsidR="00316AA2" w:rsidRPr="00281BDC">
        <w:rPr>
          <w:lang w:val="en-GB"/>
        </w:rPr>
        <w:t xml:space="preserve"> </w:t>
      </w:r>
      <w:r w:rsidR="00687A5C" w:rsidRPr="00281BDC">
        <w:rPr>
          <w:lang w:val="en-GB"/>
        </w:rPr>
        <w:t>features</w:t>
      </w:r>
      <w:r w:rsidR="00857AF4" w:rsidRPr="00281BDC">
        <w:rPr>
          <w:lang w:val="en-GB"/>
        </w:rPr>
        <w:t xml:space="preserve"> in a linear </w:t>
      </w:r>
      <w:r w:rsidR="0003731B" w:rsidRPr="00281BDC">
        <w:rPr>
          <w:lang w:val="en-GB"/>
        </w:rPr>
        <w:t xml:space="preserve">regression </w:t>
      </w:r>
      <w:r w:rsidR="00857AF4" w:rsidRPr="00281BDC">
        <w:rPr>
          <w:lang w:val="en-GB"/>
        </w:rPr>
        <w:t>model</w:t>
      </w:r>
      <w:r w:rsidR="0003731B" w:rsidRPr="00281BDC">
        <w:rPr>
          <w:lang w:val="en-GB"/>
        </w:rPr>
        <w:t>:</w:t>
      </w:r>
    </w:p>
    <w:p w14:paraId="7FD11490" w14:textId="1C96E04C" w:rsidR="00D83C6A" w:rsidRPr="00281BDC" w:rsidRDefault="00A57EF9" w:rsidP="00B42B77">
      <w:pPr>
        <w:pStyle w:val="CETEquation"/>
        <w:spacing w:before="0" w:after="0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+ ... 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A39BC" w:rsidRPr="00281BDC">
        <w:t xml:space="preserve">  </w:t>
      </w:r>
      <w:r w:rsidR="00E06A8A" w:rsidRPr="00281BDC">
        <w:t xml:space="preserve"> </w:t>
      </w:r>
      <w:r w:rsidR="00400C77">
        <w:tab/>
      </w:r>
      <w:r w:rsidR="00400C77">
        <w:tab/>
      </w:r>
      <w:r w:rsidR="00400C77">
        <w:tab/>
      </w:r>
      <w:r w:rsidR="00E06A8A" w:rsidRPr="00281BDC">
        <w:t>(</w:t>
      </w:r>
      <w:r w:rsidR="00EA67C4">
        <w:t>5</w:t>
      </w:r>
      <w:r w:rsidR="00E06A8A" w:rsidRPr="00281BDC">
        <w:t xml:space="preserve">)          </w:t>
      </w:r>
    </w:p>
    <w:p w14:paraId="499AF3EA" w14:textId="5E14055B" w:rsidR="008A5EBD" w:rsidRPr="00281BDC" w:rsidRDefault="0003731B" w:rsidP="008A5EBD">
      <w:pPr>
        <w:pStyle w:val="CETBodytext"/>
        <w:rPr>
          <w:lang w:val="en-GB"/>
        </w:rPr>
      </w:pPr>
      <w:r w:rsidRPr="00DC3A2C">
        <w:t xml:space="preserve">where f are the model features and </w:t>
      </w:r>
      <m:oMath>
        <m:r>
          <w:rPr>
            <w:rFonts w:ascii="Cambria Math" w:hAnsi="Cambria Math"/>
          </w:rPr>
          <m:t>θ</m:t>
        </m:r>
      </m:oMath>
      <w:r w:rsidRPr="00DC3A2C">
        <w:t xml:space="preserve"> the model weights. </w:t>
      </w:r>
      <w:r w:rsidR="00A1630E" w:rsidRPr="009A14A1">
        <w:t xml:space="preserve">Compared to a linear regression performed directly </w:t>
      </w:r>
      <w:r w:rsidR="00F45C2B" w:rsidRPr="009A14A1">
        <w:t>on</w:t>
      </w:r>
      <w:r w:rsidR="00A1630E" w:rsidRPr="009A14A1">
        <w:t xml:space="preserve"> the dataset of the original variables, </w:t>
      </w:r>
      <w:r w:rsidR="00F45C2B" w:rsidRPr="009A14A1">
        <w:t xml:space="preserve">the regression performed on LVs </w:t>
      </w:r>
      <w:r w:rsidR="000C0B3B" w:rsidRPr="009A14A1">
        <w:t xml:space="preserve">generally avoids </w:t>
      </w:r>
      <w:r w:rsidR="00A52133" w:rsidRPr="009A14A1">
        <w:t xml:space="preserve">overfitting issues, thanks to </w:t>
      </w:r>
      <w:r w:rsidR="00861E1A" w:rsidRPr="009A14A1">
        <w:t>the dimension reduction of the problem</w:t>
      </w:r>
      <w:r w:rsidR="00C3773B" w:rsidRPr="009A14A1">
        <w:t xml:space="preserve"> (Faber and </w:t>
      </w:r>
      <w:proofErr w:type="spellStart"/>
      <w:r w:rsidR="00C3773B" w:rsidRPr="009A14A1">
        <w:t>Rajko</w:t>
      </w:r>
      <w:proofErr w:type="spellEnd"/>
      <w:r w:rsidR="00C3773B" w:rsidRPr="009A14A1">
        <w:t>, 2007).</w:t>
      </w:r>
      <w:r w:rsidR="00FC51A7">
        <w:t xml:space="preserve"> </w:t>
      </w:r>
      <w:r w:rsidR="009B740F" w:rsidRPr="00281BDC">
        <w:rPr>
          <w:lang w:val="en-GB"/>
        </w:rPr>
        <w:t xml:space="preserve">At the same time, </w:t>
      </w:r>
      <w:r w:rsidR="008A5EBD" w:rsidRPr="00281BDC">
        <w:rPr>
          <w:lang w:val="en-GB"/>
        </w:rPr>
        <w:t xml:space="preserve">PLS </w:t>
      </w:r>
      <w:r w:rsidR="004634B8" w:rsidRPr="00281BDC">
        <w:rPr>
          <w:lang w:val="en-GB"/>
        </w:rPr>
        <w:t xml:space="preserve">regression </w:t>
      </w:r>
      <w:r w:rsidR="008A5EBD" w:rsidRPr="00281BDC">
        <w:rPr>
          <w:lang w:val="en-GB"/>
        </w:rPr>
        <w:t>produces very simple</w:t>
      </w:r>
      <w:r w:rsidR="00D10E47" w:rsidRPr="00281BDC">
        <w:rPr>
          <w:lang w:val="en-GB"/>
        </w:rPr>
        <w:t xml:space="preserve"> linear </w:t>
      </w:r>
      <w:r w:rsidR="008A5EBD" w:rsidRPr="00281BDC">
        <w:rPr>
          <w:lang w:val="en-GB"/>
        </w:rPr>
        <w:t xml:space="preserve">models </w:t>
      </w:r>
      <w:r w:rsidR="00596154" w:rsidRPr="00281BDC">
        <w:rPr>
          <w:lang w:val="en-GB"/>
        </w:rPr>
        <w:t>requiring</w:t>
      </w:r>
      <w:r w:rsidR="008A5EBD" w:rsidRPr="00281BDC">
        <w:rPr>
          <w:lang w:val="en-GB"/>
        </w:rPr>
        <w:t xml:space="preserve"> low computational expense. Moreover, in addition to the system state prediction, the model features and parameters can be </w:t>
      </w:r>
      <w:r w:rsidR="00915603" w:rsidRPr="00281BDC">
        <w:rPr>
          <w:lang w:val="en-GB"/>
        </w:rPr>
        <w:t>analysed</w:t>
      </w:r>
      <w:r w:rsidR="008A5EBD" w:rsidRPr="00281BDC">
        <w:rPr>
          <w:lang w:val="en-GB"/>
        </w:rPr>
        <w:t xml:space="preserve"> for an integrative investigation of the dataset</w:t>
      </w:r>
      <w:r w:rsidR="003913CE" w:rsidRPr="00281BDC">
        <w:rPr>
          <w:lang w:val="en-GB"/>
        </w:rPr>
        <w:t>.</w:t>
      </w:r>
      <w:r w:rsidR="00A06E4A" w:rsidRPr="00281BDC">
        <w:rPr>
          <w:lang w:val="en-GB"/>
        </w:rPr>
        <w:t xml:space="preserve"> Specifically, </w:t>
      </w:r>
      <w:r w:rsidR="00BA4CAE">
        <w:rPr>
          <w:lang w:val="en-GB"/>
        </w:rPr>
        <w:t>by the inverse projection of</w:t>
      </w:r>
      <w:r w:rsidR="0009706A" w:rsidRPr="00281BDC">
        <w:rPr>
          <w:lang w:val="en-GB"/>
        </w:rPr>
        <w:t xml:space="preserve"> the final PLS weights, resulting from the </w:t>
      </w:r>
      <w:r w:rsidR="007D40A7" w:rsidRPr="00281BDC">
        <w:rPr>
          <w:lang w:val="en-GB"/>
        </w:rPr>
        <w:t>linear model training and validation,</w:t>
      </w:r>
      <w:r w:rsidR="00D15802" w:rsidRPr="00D15802">
        <w:rPr>
          <w:lang w:val="en-GB"/>
        </w:rPr>
        <w:t xml:space="preserve"> </w:t>
      </w:r>
      <w:r w:rsidR="00D15802">
        <w:rPr>
          <w:lang w:val="en-GB"/>
        </w:rPr>
        <w:t xml:space="preserve">on the starting variables set </w:t>
      </w:r>
      <w:r w:rsidR="00D15802" w:rsidRPr="00D15802">
        <w:rPr>
          <w:i/>
          <w:iCs/>
          <w:lang w:val="en-GB"/>
        </w:rPr>
        <w:t>X</w:t>
      </w:r>
      <w:r w:rsidR="007D40A7" w:rsidRPr="00281BDC">
        <w:rPr>
          <w:lang w:val="en-GB"/>
        </w:rPr>
        <w:t xml:space="preserve"> </w:t>
      </w:r>
      <w:r w:rsidR="00D15802">
        <w:rPr>
          <w:lang w:val="en-GB"/>
        </w:rPr>
        <w:t xml:space="preserve">it is possible to estimate </w:t>
      </w:r>
      <w:r w:rsidR="006B424F" w:rsidRPr="00281BDC">
        <w:rPr>
          <w:lang w:val="en-GB"/>
        </w:rPr>
        <w:t xml:space="preserve">the relative </w:t>
      </w:r>
      <w:r w:rsidR="00C87B86" w:rsidRPr="00281BDC">
        <w:rPr>
          <w:lang w:val="en-GB"/>
        </w:rPr>
        <w:t xml:space="preserve">influence of each </w:t>
      </w:r>
      <w:r w:rsidR="006B424F" w:rsidRPr="00281BDC">
        <w:rPr>
          <w:lang w:val="en-GB"/>
        </w:rPr>
        <w:t xml:space="preserve">original </w:t>
      </w:r>
      <w:r w:rsidR="00C87B86" w:rsidRPr="00281BDC">
        <w:rPr>
          <w:lang w:val="en-GB"/>
        </w:rPr>
        <w:t>variable on the system</w:t>
      </w:r>
      <w:r w:rsidR="006B424F" w:rsidRPr="00281BDC">
        <w:rPr>
          <w:lang w:val="en-GB"/>
        </w:rPr>
        <w:t xml:space="preserve"> performance.</w:t>
      </w:r>
      <w:r w:rsidR="00C87B86" w:rsidRPr="00281BDC">
        <w:rPr>
          <w:lang w:val="en-GB"/>
        </w:rPr>
        <w:t xml:space="preserve"> </w:t>
      </w:r>
      <w:r w:rsidR="004A6B9E" w:rsidRPr="00281BDC">
        <w:rPr>
          <w:lang w:val="en-GB"/>
        </w:rPr>
        <w:t xml:space="preserve"> </w:t>
      </w:r>
      <w:r w:rsidR="0009706A" w:rsidRPr="00281BDC">
        <w:rPr>
          <w:lang w:val="en-GB"/>
        </w:rPr>
        <w:t xml:space="preserve"> </w:t>
      </w:r>
    </w:p>
    <w:p w14:paraId="1018FACE" w14:textId="507D564E" w:rsidR="00A9510A" w:rsidRPr="00281BDC" w:rsidRDefault="00A9510A" w:rsidP="00A9510A">
      <w:pPr>
        <w:pStyle w:val="CETHeading1"/>
        <w:numPr>
          <w:ilvl w:val="0"/>
          <w:numId w:val="22"/>
        </w:numPr>
        <w:rPr>
          <w:lang w:val="en-GB"/>
        </w:rPr>
      </w:pPr>
      <w:r w:rsidRPr="00281BDC">
        <w:rPr>
          <w:lang w:val="en-GB"/>
        </w:rPr>
        <w:t xml:space="preserve">Case study </w:t>
      </w:r>
    </w:p>
    <w:p w14:paraId="7364C301" w14:textId="5D97F3A6" w:rsidR="002347FB" w:rsidRPr="00281BDC" w:rsidRDefault="00C6309D" w:rsidP="00B42B77">
      <w:pPr>
        <w:pStyle w:val="CETheadingx"/>
        <w:numPr>
          <w:ilvl w:val="1"/>
          <w:numId w:val="22"/>
        </w:numPr>
      </w:pPr>
      <w:r w:rsidRPr="00281BDC">
        <w:t xml:space="preserve">The </w:t>
      </w:r>
      <w:r w:rsidR="005E122B" w:rsidRPr="00281BDC">
        <w:t>reference system</w:t>
      </w:r>
      <w:r w:rsidRPr="00281BDC">
        <w:t xml:space="preserve"> </w:t>
      </w:r>
    </w:p>
    <w:p w14:paraId="31929E91" w14:textId="77777777" w:rsidR="00545704" w:rsidRPr="00281BDC" w:rsidRDefault="005376F9" w:rsidP="00545704">
      <w:pPr>
        <w:pStyle w:val="CETBodytext"/>
        <w:keepNext/>
        <w:rPr>
          <w:lang w:val="en-GB"/>
        </w:rPr>
      </w:pPr>
      <w:r w:rsidRPr="00281BDC">
        <w:rPr>
          <w:noProof/>
          <w:lang w:val="it-IT" w:eastAsia="it-IT"/>
        </w:rPr>
        <w:drawing>
          <wp:inline distT="0" distB="0" distL="0" distR="0" wp14:anchorId="2C57630B" wp14:editId="43923E23">
            <wp:extent cx="2895600" cy="166159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695" cy="16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61709" w14:textId="5DD5B98A" w:rsidR="00F950D9" w:rsidRPr="00281BDC" w:rsidRDefault="00545704" w:rsidP="00B42B77">
      <w:pPr>
        <w:pStyle w:val="CETCaption"/>
        <w:spacing w:before="120" w:after="120"/>
      </w:pPr>
      <w:r w:rsidRPr="00281BDC">
        <w:t xml:space="preserve">Figure </w:t>
      </w:r>
      <w:r w:rsidRPr="00281BDC">
        <w:fldChar w:fldCharType="begin"/>
      </w:r>
      <w:r w:rsidRPr="00281BDC">
        <w:instrText xml:space="preserve"> SEQ Figure \* ARABIC </w:instrText>
      </w:r>
      <w:r w:rsidRPr="00281BDC">
        <w:fldChar w:fldCharType="separate"/>
      </w:r>
      <w:r w:rsidR="00D821C8" w:rsidRPr="00281BDC">
        <w:rPr>
          <w:noProof/>
        </w:rPr>
        <w:t>1</w:t>
      </w:r>
      <w:r w:rsidRPr="00281BDC">
        <w:fldChar w:fldCharType="end"/>
      </w:r>
      <w:r w:rsidRPr="00281BDC">
        <w:t xml:space="preserve">: </w:t>
      </w:r>
      <w:r w:rsidR="00786C7A" w:rsidRPr="00281BDC">
        <w:t xml:space="preserve">Scheme of the selected DTS with sodium bicarbonate injection. </w:t>
      </w:r>
    </w:p>
    <w:p w14:paraId="52DFF26F" w14:textId="110D4C12" w:rsidR="00400C77" w:rsidRDefault="0028405A" w:rsidP="008728EA">
      <w:pPr>
        <w:pStyle w:val="CETBodytext"/>
        <w:rPr>
          <w:lang w:val="en-GB"/>
        </w:rPr>
      </w:pPr>
      <w:r w:rsidRPr="00281BDC">
        <w:rPr>
          <w:lang w:val="en-GB"/>
        </w:rPr>
        <w:t xml:space="preserve">A </w:t>
      </w:r>
      <w:r w:rsidR="006349DF">
        <w:rPr>
          <w:lang w:val="en-GB"/>
        </w:rPr>
        <w:t xml:space="preserve">DTS </w:t>
      </w:r>
      <w:r w:rsidR="00083F11" w:rsidRPr="00281BDC">
        <w:rPr>
          <w:lang w:val="en-GB"/>
        </w:rPr>
        <w:t xml:space="preserve">of a </w:t>
      </w:r>
      <w:proofErr w:type="spellStart"/>
      <w:r w:rsidR="00977883" w:rsidRPr="00281BDC">
        <w:rPr>
          <w:lang w:val="en-GB"/>
        </w:rPr>
        <w:t>WtE</w:t>
      </w:r>
      <w:proofErr w:type="spellEnd"/>
      <w:r w:rsidR="00083F11" w:rsidRPr="00281BDC">
        <w:rPr>
          <w:lang w:val="en-GB"/>
        </w:rPr>
        <w:t xml:space="preserve"> plant located in Northern Italy was taken as </w:t>
      </w:r>
      <w:r w:rsidR="00464A45" w:rsidRPr="00281BDC">
        <w:rPr>
          <w:lang w:val="en-GB"/>
        </w:rPr>
        <w:t xml:space="preserve">case study for the application of PLS regression. </w:t>
      </w:r>
      <w:r w:rsidR="00244ECA" w:rsidRPr="00281BDC">
        <w:rPr>
          <w:lang w:val="en-GB"/>
        </w:rPr>
        <w:t>Th</w:t>
      </w:r>
      <w:r w:rsidR="00B42B77">
        <w:rPr>
          <w:lang w:val="en-GB"/>
        </w:rPr>
        <w:t>e selected DTS, sketched in Figure</w:t>
      </w:r>
      <w:r w:rsidR="00244ECA" w:rsidRPr="00281BDC">
        <w:rPr>
          <w:lang w:val="en-GB"/>
        </w:rPr>
        <w:t xml:space="preserve"> 1, </w:t>
      </w:r>
      <w:r w:rsidR="00977BEB" w:rsidRPr="00281BDC">
        <w:rPr>
          <w:lang w:val="en-GB"/>
        </w:rPr>
        <w:t xml:space="preserve">is based on the injection of </w:t>
      </w:r>
      <w:r w:rsidR="00486270" w:rsidRPr="00281BDC">
        <w:rPr>
          <w:lang w:val="en-GB"/>
        </w:rPr>
        <w:t>powdered s</w:t>
      </w:r>
      <w:r w:rsidR="007107B3" w:rsidRPr="00281BDC">
        <w:rPr>
          <w:lang w:val="en-GB"/>
        </w:rPr>
        <w:t>odium bicarbonate</w:t>
      </w:r>
      <w:r w:rsidR="001776D7" w:rsidRPr="00281BDC">
        <w:rPr>
          <w:lang w:val="en-GB"/>
        </w:rPr>
        <w:t xml:space="preserve"> (NaHCO</w:t>
      </w:r>
      <w:r w:rsidR="001776D7" w:rsidRPr="00281BDC">
        <w:rPr>
          <w:vertAlign w:val="subscript"/>
          <w:lang w:val="en-GB"/>
        </w:rPr>
        <w:t>3</w:t>
      </w:r>
      <w:r w:rsidR="001776D7" w:rsidRPr="00281BDC">
        <w:rPr>
          <w:lang w:val="en-GB"/>
        </w:rPr>
        <w:t>)</w:t>
      </w:r>
      <w:r w:rsidR="00865606" w:rsidRPr="00281BDC">
        <w:rPr>
          <w:lang w:val="en-GB"/>
        </w:rPr>
        <w:t>, which is one</w:t>
      </w:r>
      <w:r w:rsidR="007107B3" w:rsidRPr="00281BDC">
        <w:rPr>
          <w:lang w:val="en-GB"/>
        </w:rPr>
        <w:t xml:space="preserve"> </w:t>
      </w:r>
      <w:r w:rsidR="00865606" w:rsidRPr="00281BDC">
        <w:rPr>
          <w:lang w:val="en-GB"/>
        </w:rPr>
        <w:t>of</w:t>
      </w:r>
      <w:r w:rsidR="00B12280" w:rsidRPr="00281BDC">
        <w:rPr>
          <w:lang w:val="en-GB"/>
        </w:rPr>
        <w:t xml:space="preserve"> the most common</w:t>
      </w:r>
      <w:r w:rsidR="00865606" w:rsidRPr="00281BDC">
        <w:rPr>
          <w:lang w:val="en-GB"/>
        </w:rPr>
        <w:t xml:space="preserve"> reactants adopted for dry acid gas treatment</w:t>
      </w:r>
      <w:r w:rsidR="00B12280" w:rsidRPr="00281BDC">
        <w:rPr>
          <w:lang w:val="en-GB"/>
        </w:rPr>
        <w:t xml:space="preserve"> (Dal Pozzo et al., 2019</w:t>
      </w:r>
      <w:r w:rsidR="00EC7CB1">
        <w:rPr>
          <w:lang w:val="en-GB"/>
        </w:rPr>
        <w:t>b</w:t>
      </w:r>
      <w:r w:rsidR="00B12280" w:rsidRPr="00281BDC">
        <w:rPr>
          <w:lang w:val="en-GB"/>
        </w:rPr>
        <w:t xml:space="preserve">; </w:t>
      </w:r>
      <w:proofErr w:type="spellStart"/>
      <w:r w:rsidR="00B12280" w:rsidRPr="00281BDC">
        <w:rPr>
          <w:lang w:val="en-GB"/>
        </w:rPr>
        <w:t>Tsubouchi</w:t>
      </w:r>
      <w:proofErr w:type="spellEnd"/>
      <w:r w:rsidR="00B12280" w:rsidRPr="00281BDC">
        <w:rPr>
          <w:lang w:val="en-GB"/>
        </w:rPr>
        <w:t xml:space="preserve"> et al., 2020)</w:t>
      </w:r>
      <w:r w:rsidR="00865606" w:rsidRPr="00281BDC">
        <w:rPr>
          <w:lang w:val="en-GB"/>
        </w:rPr>
        <w:t xml:space="preserve">. </w:t>
      </w:r>
      <w:r w:rsidR="00BD7360">
        <w:rPr>
          <w:lang w:val="en-GB"/>
        </w:rPr>
        <w:t xml:space="preserve">With reference to HCl capture, </w:t>
      </w:r>
      <w:r w:rsidR="00400C77">
        <w:rPr>
          <w:lang w:val="en-GB"/>
        </w:rPr>
        <w:t>the overall neutralisation reaction is the following:</w:t>
      </w:r>
    </w:p>
    <w:p w14:paraId="7BEAFA58" w14:textId="00C92EB3" w:rsidR="00400C77" w:rsidRPr="00281BDC" w:rsidRDefault="001B7447" w:rsidP="00B42B77">
      <w:pPr>
        <w:pStyle w:val="CETEquation"/>
        <w:spacing w:before="0" w:after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NaHCO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+HCl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NaCl+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O+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400C77" w:rsidRPr="00281BDC">
        <w:t xml:space="preserve">   </w:t>
      </w:r>
      <w:r w:rsidR="00400C77">
        <w:tab/>
      </w:r>
      <w:r w:rsidR="00400C77">
        <w:tab/>
      </w:r>
      <w:r w:rsidR="00400C77">
        <w:tab/>
      </w:r>
      <w:r w:rsidR="00400C77" w:rsidRPr="00281BDC">
        <w:t>(</w:t>
      </w:r>
      <w:r w:rsidR="002F49A1">
        <w:t>6</w:t>
      </w:r>
      <w:r w:rsidR="00400C77" w:rsidRPr="00281BDC">
        <w:t xml:space="preserve">)          </w:t>
      </w:r>
    </w:p>
    <w:p w14:paraId="16481A84" w14:textId="62E47769" w:rsidR="00441B5C" w:rsidRPr="00281BDC" w:rsidRDefault="00860442" w:rsidP="008728EA">
      <w:pPr>
        <w:pStyle w:val="CETBodytext"/>
        <w:rPr>
          <w:lang w:val="en-GB"/>
        </w:rPr>
      </w:pPr>
      <w:r w:rsidRPr="00281BDC">
        <w:rPr>
          <w:lang w:val="en-GB"/>
        </w:rPr>
        <w:t xml:space="preserve">The DTS receives </w:t>
      </w:r>
      <w:r w:rsidR="00977883" w:rsidRPr="00281BDC">
        <w:rPr>
          <w:lang w:val="en-GB"/>
        </w:rPr>
        <w:t>the raw flue gas coming from the combustion chamber</w:t>
      </w:r>
      <w:r w:rsidR="00B77773" w:rsidRPr="00281BDC">
        <w:rPr>
          <w:lang w:val="en-GB"/>
        </w:rPr>
        <w:t xml:space="preserve">. </w:t>
      </w:r>
      <w:r w:rsidR="0056097D" w:rsidRPr="00281BDC">
        <w:rPr>
          <w:lang w:val="en-GB"/>
        </w:rPr>
        <w:t>T</w:t>
      </w:r>
      <w:r w:rsidR="00441B5C" w:rsidRPr="00281BDC">
        <w:rPr>
          <w:lang w:val="en-GB"/>
        </w:rPr>
        <w:t>he</w:t>
      </w:r>
      <w:r w:rsidR="00B538BC" w:rsidRPr="00281BDC">
        <w:rPr>
          <w:lang w:val="en-GB"/>
        </w:rPr>
        <w:t xml:space="preserve"> </w:t>
      </w:r>
      <w:r w:rsidR="00A34E10" w:rsidRPr="00281BDC">
        <w:rPr>
          <w:lang w:val="en-GB"/>
        </w:rPr>
        <w:t xml:space="preserve">feed rate of bicarbonate injected in the unit is regulated by </w:t>
      </w:r>
      <w:r w:rsidR="00F81AF7" w:rsidRPr="00281BDC">
        <w:rPr>
          <w:lang w:val="en-GB"/>
        </w:rPr>
        <w:t xml:space="preserve">a feedback loop </w:t>
      </w:r>
      <w:r w:rsidR="00A34E10" w:rsidRPr="00281BDC">
        <w:rPr>
          <w:lang w:val="en-GB"/>
        </w:rPr>
        <w:t>whose controlled variable is the</w:t>
      </w:r>
      <w:r w:rsidR="00900A6A" w:rsidRPr="00281BDC">
        <w:rPr>
          <w:lang w:val="en-GB"/>
        </w:rPr>
        <w:t xml:space="preserve"> </w:t>
      </w:r>
      <w:r w:rsidR="00485120">
        <w:rPr>
          <w:lang w:val="en-GB"/>
        </w:rPr>
        <w:t xml:space="preserve">combined </w:t>
      </w:r>
      <w:r w:rsidR="001C5B06" w:rsidRPr="00281BDC">
        <w:rPr>
          <w:lang w:val="en-GB"/>
        </w:rPr>
        <w:t>outlet mass flow of HCl</w:t>
      </w:r>
      <w:r w:rsidR="00485120">
        <w:rPr>
          <w:lang w:val="en-GB"/>
        </w:rPr>
        <w:t xml:space="preserve"> and SO</w:t>
      </w:r>
      <w:r w:rsidR="00485120" w:rsidRPr="00485120">
        <w:rPr>
          <w:vertAlign w:val="subscript"/>
          <w:lang w:val="en-GB"/>
        </w:rPr>
        <w:t>2</w:t>
      </w:r>
      <w:r w:rsidR="001C5B06" w:rsidRPr="00281BDC">
        <w:rPr>
          <w:lang w:val="en-GB"/>
        </w:rPr>
        <w:t xml:space="preserve">. </w:t>
      </w:r>
      <w:r w:rsidR="004C7AA9" w:rsidRPr="00281BDC">
        <w:rPr>
          <w:lang w:val="en-GB"/>
        </w:rPr>
        <w:t>The injected bicarbonate undergoes a mean residence tim</w:t>
      </w:r>
      <w:r w:rsidR="008D4C10" w:rsidRPr="00281BDC">
        <w:rPr>
          <w:lang w:val="en-GB"/>
        </w:rPr>
        <w:t>e of 2 s inside a contacting tower</w:t>
      </w:r>
      <w:r w:rsidR="00366193" w:rsidRPr="00281BDC">
        <w:rPr>
          <w:lang w:val="en-GB"/>
        </w:rPr>
        <w:t xml:space="preserve"> and then adheres </w:t>
      </w:r>
      <w:r w:rsidR="00427766" w:rsidRPr="00281BDC">
        <w:rPr>
          <w:lang w:val="en-GB"/>
        </w:rPr>
        <w:t>on</w:t>
      </w:r>
      <w:r w:rsidR="00366193" w:rsidRPr="00281BDC">
        <w:rPr>
          <w:lang w:val="en-GB"/>
        </w:rPr>
        <w:t xml:space="preserve"> the filter bags of the downstream fabric filter. </w:t>
      </w:r>
      <w:r w:rsidR="00427766" w:rsidRPr="00281BDC">
        <w:rPr>
          <w:lang w:val="en-GB"/>
        </w:rPr>
        <w:t xml:space="preserve">Here, </w:t>
      </w:r>
      <w:r w:rsidR="00E10E1A" w:rsidRPr="00281BDC">
        <w:rPr>
          <w:lang w:val="en-GB"/>
        </w:rPr>
        <w:t>bicarbonate continues reacting as part of a reactant filter cake</w:t>
      </w:r>
      <w:r w:rsidR="00BF1A39" w:rsidRPr="00281BDC">
        <w:rPr>
          <w:lang w:val="en-GB"/>
        </w:rPr>
        <w:t xml:space="preserve"> until the bags are cleansed by periodic </w:t>
      </w:r>
      <w:r w:rsidR="00C1066A" w:rsidRPr="00281BDC">
        <w:rPr>
          <w:lang w:val="en-GB"/>
        </w:rPr>
        <w:t xml:space="preserve">pulse jet cleaning. </w:t>
      </w:r>
      <w:r w:rsidR="00D61E2D" w:rsidRPr="00281BDC">
        <w:rPr>
          <w:lang w:val="en-GB"/>
        </w:rPr>
        <w:t>As such, the system is continuous for the gaseous acid pollutant</w:t>
      </w:r>
      <w:r w:rsidR="002916DE" w:rsidRPr="00281BDC">
        <w:rPr>
          <w:lang w:val="en-GB"/>
        </w:rPr>
        <w:t xml:space="preserve">s and semi-batch for the </w:t>
      </w:r>
      <w:r w:rsidR="008E4254" w:rsidRPr="00281BDC">
        <w:rPr>
          <w:lang w:val="en-GB"/>
        </w:rPr>
        <w:t xml:space="preserve">solid reactant. </w:t>
      </w:r>
    </w:p>
    <w:p w14:paraId="470487F4" w14:textId="3A0FA263" w:rsidR="00C6309D" w:rsidRPr="00281BDC" w:rsidRDefault="00C6309D" w:rsidP="00B42B77">
      <w:pPr>
        <w:pStyle w:val="CETheadingx"/>
        <w:numPr>
          <w:ilvl w:val="1"/>
          <w:numId w:val="22"/>
        </w:numPr>
      </w:pPr>
      <w:r w:rsidRPr="00281BDC">
        <w:lastRenderedPageBreak/>
        <w:t xml:space="preserve">Available measures </w:t>
      </w:r>
      <w:r w:rsidR="00C32648" w:rsidRPr="00281BDC">
        <w:t xml:space="preserve">and choice of </w:t>
      </w:r>
      <w:r w:rsidR="00410113" w:rsidRPr="00281BDC">
        <w:t>dataset</w:t>
      </w:r>
      <w:r w:rsidR="00154A85" w:rsidRPr="00281BDC">
        <w:t xml:space="preserve"> </w:t>
      </w:r>
    </w:p>
    <w:p w14:paraId="2CD0FAC1" w14:textId="77777777" w:rsidR="00952F11" w:rsidRPr="00281BDC" w:rsidRDefault="00971A12" w:rsidP="008F3994">
      <w:pPr>
        <w:pStyle w:val="CETBodytext"/>
        <w:rPr>
          <w:lang w:val="en-GB"/>
        </w:rPr>
      </w:pPr>
      <w:r w:rsidRPr="00281BDC">
        <w:rPr>
          <w:lang w:val="en-GB"/>
        </w:rPr>
        <w:t>Table 1 lists the relevant process variables that</w:t>
      </w:r>
      <w:r w:rsidR="00557391" w:rsidRPr="00281BDC">
        <w:rPr>
          <w:lang w:val="en-GB"/>
        </w:rPr>
        <w:t xml:space="preserve"> are continuously measured in the DTS of Fig. 1. </w:t>
      </w:r>
      <w:r w:rsidR="009558D3" w:rsidRPr="00281BDC">
        <w:rPr>
          <w:lang w:val="en-GB"/>
        </w:rPr>
        <w:t xml:space="preserve">FTIR spectrometers </w:t>
      </w:r>
      <w:r w:rsidR="004E2AFD" w:rsidRPr="00281BDC">
        <w:rPr>
          <w:lang w:val="en-GB"/>
        </w:rPr>
        <w:t xml:space="preserve">positioned upstream and downstream of the DTS </w:t>
      </w:r>
      <w:r w:rsidR="00055B7B" w:rsidRPr="00281BDC">
        <w:rPr>
          <w:lang w:val="en-GB"/>
        </w:rPr>
        <w:t>monitor</w:t>
      </w:r>
      <w:r w:rsidR="00994CBE" w:rsidRPr="00281BDC">
        <w:rPr>
          <w:lang w:val="en-GB"/>
        </w:rPr>
        <w:t xml:space="preserve"> flue gas composition (concentrations of HCl, SO</w:t>
      </w:r>
      <w:r w:rsidR="00994CBE" w:rsidRPr="00281BDC">
        <w:rPr>
          <w:vertAlign w:val="subscript"/>
          <w:lang w:val="en-GB"/>
        </w:rPr>
        <w:t>2</w:t>
      </w:r>
      <w:r w:rsidR="008F3994" w:rsidRPr="00281BDC">
        <w:rPr>
          <w:lang w:val="en-GB"/>
        </w:rPr>
        <w:t>, H</w:t>
      </w:r>
      <w:r w:rsidR="008F3994" w:rsidRPr="00281BDC">
        <w:rPr>
          <w:vertAlign w:val="subscript"/>
          <w:lang w:val="en-GB"/>
        </w:rPr>
        <w:t>2</w:t>
      </w:r>
      <w:r w:rsidR="008F3994" w:rsidRPr="00281BDC">
        <w:rPr>
          <w:lang w:val="en-GB"/>
        </w:rPr>
        <w:t>O, CO</w:t>
      </w:r>
      <w:r w:rsidR="008F3994" w:rsidRPr="00281BDC">
        <w:rPr>
          <w:vertAlign w:val="subscript"/>
          <w:lang w:val="en-GB"/>
        </w:rPr>
        <w:t>2</w:t>
      </w:r>
      <w:r w:rsidR="008F3994" w:rsidRPr="00281BDC">
        <w:rPr>
          <w:lang w:val="en-GB"/>
        </w:rPr>
        <w:t xml:space="preserve"> and O</w:t>
      </w:r>
      <w:r w:rsidR="008F3994" w:rsidRPr="00281BDC">
        <w:rPr>
          <w:vertAlign w:val="subscript"/>
          <w:lang w:val="en-GB"/>
        </w:rPr>
        <w:t>2</w:t>
      </w:r>
      <w:r w:rsidR="00994CBE" w:rsidRPr="00281BDC">
        <w:rPr>
          <w:lang w:val="en-GB"/>
        </w:rPr>
        <w:t xml:space="preserve">). </w:t>
      </w:r>
      <w:r w:rsidR="00832C1D" w:rsidRPr="00281BDC">
        <w:rPr>
          <w:lang w:val="en-GB"/>
        </w:rPr>
        <w:t>Temperature and flow rate of the</w:t>
      </w:r>
      <w:r w:rsidR="004106B9" w:rsidRPr="00281BDC">
        <w:rPr>
          <w:lang w:val="en-GB"/>
        </w:rPr>
        <w:t xml:space="preserve"> inlet</w:t>
      </w:r>
      <w:r w:rsidR="00832C1D" w:rsidRPr="00281BDC">
        <w:rPr>
          <w:lang w:val="en-GB"/>
        </w:rPr>
        <w:t xml:space="preserve"> flue gas are also measured</w:t>
      </w:r>
      <w:r w:rsidR="00E5512D" w:rsidRPr="00281BDC">
        <w:rPr>
          <w:lang w:val="en-GB"/>
        </w:rPr>
        <w:t>, allowing to con</w:t>
      </w:r>
      <w:r w:rsidR="001534E1" w:rsidRPr="00281BDC">
        <w:rPr>
          <w:lang w:val="en-GB"/>
        </w:rPr>
        <w:t xml:space="preserve">vert the measured concentrations of gas species into </w:t>
      </w:r>
      <w:r w:rsidR="00E53E7F" w:rsidRPr="00281BDC">
        <w:rPr>
          <w:lang w:val="en-GB"/>
        </w:rPr>
        <w:t xml:space="preserve">molar flows. </w:t>
      </w:r>
      <w:r w:rsidR="00DB4EC5" w:rsidRPr="00281BDC">
        <w:rPr>
          <w:lang w:val="en-GB"/>
        </w:rPr>
        <w:t xml:space="preserve">In addition, </w:t>
      </w:r>
      <w:r w:rsidR="001F29E2" w:rsidRPr="00281BDC">
        <w:rPr>
          <w:lang w:val="en-GB"/>
        </w:rPr>
        <w:t xml:space="preserve">the system registers </w:t>
      </w:r>
      <w:r w:rsidR="00C34E8D" w:rsidRPr="00281BDC">
        <w:rPr>
          <w:lang w:val="en-GB"/>
        </w:rPr>
        <w:t xml:space="preserve">the </w:t>
      </w:r>
      <w:r w:rsidR="001C77AF" w:rsidRPr="00281BDC">
        <w:rPr>
          <w:lang w:val="en-GB"/>
        </w:rPr>
        <w:t xml:space="preserve">bicarbonate feed rate and the pressure drop at the fabric filter, which is a proxy measurement of </w:t>
      </w:r>
      <w:r w:rsidR="00EF7665" w:rsidRPr="00281BDC">
        <w:rPr>
          <w:lang w:val="en-GB"/>
        </w:rPr>
        <w:t xml:space="preserve">the accumulation of solids on the filter bags. </w:t>
      </w:r>
      <w:r w:rsidR="009D452C" w:rsidRPr="00281BDC">
        <w:rPr>
          <w:lang w:val="en-GB"/>
        </w:rPr>
        <w:t xml:space="preserve">The variables in Table 1 are acquired with a frequency of 1/min. </w:t>
      </w:r>
      <w:r w:rsidR="00DF3EF7" w:rsidRPr="00281BDC">
        <w:rPr>
          <w:lang w:val="en-GB"/>
        </w:rPr>
        <w:t>In the present study, a</w:t>
      </w:r>
      <w:r w:rsidR="000E64E2" w:rsidRPr="00281BDC">
        <w:rPr>
          <w:lang w:val="en-GB"/>
        </w:rPr>
        <w:t xml:space="preserve">ll these variables were used as </w:t>
      </w:r>
      <w:r w:rsidR="005146F2" w:rsidRPr="00281BDC">
        <w:rPr>
          <w:lang w:val="en-GB"/>
        </w:rPr>
        <w:t>predictors</w:t>
      </w:r>
      <w:r w:rsidR="001D6689" w:rsidRPr="00281BDC">
        <w:rPr>
          <w:lang w:val="en-GB"/>
        </w:rPr>
        <w:t xml:space="preserve"> of system performance. </w:t>
      </w:r>
      <w:r w:rsidR="003D57C6" w:rsidRPr="00281BDC">
        <w:rPr>
          <w:lang w:val="en-GB"/>
        </w:rPr>
        <w:t xml:space="preserve">For the bicarbonate </w:t>
      </w:r>
      <w:r w:rsidR="00EB7AF3" w:rsidRPr="00281BDC">
        <w:rPr>
          <w:lang w:val="en-GB"/>
        </w:rPr>
        <w:t xml:space="preserve">feed rate, </w:t>
      </w:r>
      <w:r w:rsidR="00B9634A" w:rsidRPr="00281BDC">
        <w:rPr>
          <w:lang w:val="en-GB"/>
        </w:rPr>
        <w:t xml:space="preserve">instead of the </w:t>
      </w:r>
      <w:r w:rsidR="004C40D5" w:rsidRPr="00281BDC">
        <w:rPr>
          <w:lang w:val="en-GB"/>
        </w:rPr>
        <w:t>instantaneous measurement</w:t>
      </w:r>
      <w:r w:rsidR="00CA5251" w:rsidRPr="00281BDC">
        <w:rPr>
          <w:lang w:val="en-GB"/>
        </w:rPr>
        <w:t xml:space="preserve">, a cumulated feed rate on a 15-min timespan was considered. </w:t>
      </w:r>
      <w:r w:rsidR="000D1D29" w:rsidRPr="00281BDC">
        <w:rPr>
          <w:lang w:val="en-GB"/>
        </w:rPr>
        <w:t xml:space="preserve">This </w:t>
      </w:r>
      <w:r w:rsidR="00A31DA7" w:rsidRPr="00281BDC">
        <w:rPr>
          <w:lang w:val="en-GB"/>
        </w:rPr>
        <w:t xml:space="preserve">approach allowed </w:t>
      </w:r>
      <w:r w:rsidR="00503A68" w:rsidRPr="00281BDC">
        <w:rPr>
          <w:lang w:val="en-GB"/>
        </w:rPr>
        <w:t xml:space="preserve">taking into account </w:t>
      </w:r>
      <w:r w:rsidR="007C5248" w:rsidRPr="00281BDC">
        <w:rPr>
          <w:lang w:val="en-GB"/>
        </w:rPr>
        <w:t xml:space="preserve">the contribution to acid gas removal given by the reactant cake accumulated on the </w:t>
      </w:r>
      <w:r w:rsidR="00FE38C2" w:rsidRPr="00281BDC">
        <w:rPr>
          <w:lang w:val="en-GB"/>
        </w:rPr>
        <w:t>fabric filter.</w:t>
      </w:r>
    </w:p>
    <w:p w14:paraId="58B84D71" w14:textId="1714C1EF" w:rsidR="00CA2134" w:rsidRPr="00281BDC" w:rsidRDefault="00F80944" w:rsidP="008F3994">
      <w:pPr>
        <w:pStyle w:val="CETBodytext"/>
        <w:rPr>
          <w:lang w:val="en-GB"/>
        </w:rPr>
      </w:pPr>
      <w:r w:rsidRPr="00281BDC">
        <w:rPr>
          <w:lang w:val="en-GB"/>
        </w:rPr>
        <w:t>The outlet molar flow rate of HCl was chosen as estimator of system performance</w:t>
      </w:r>
      <w:r w:rsidR="00FC78B9" w:rsidRPr="00281BDC">
        <w:rPr>
          <w:lang w:val="en-GB"/>
        </w:rPr>
        <w:t xml:space="preserve">, </w:t>
      </w:r>
      <w:r w:rsidR="00FC78B9" w:rsidRPr="00281BDC">
        <w:rPr>
          <w:i/>
          <w:iCs/>
          <w:lang w:val="en-GB"/>
        </w:rPr>
        <w:t>i.e.</w:t>
      </w:r>
      <w:r w:rsidR="00FC78B9" w:rsidRPr="00281BDC">
        <w:rPr>
          <w:lang w:val="en-GB"/>
        </w:rPr>
        <w:t xml:space="preserve"> the predicted variable</w:t>
      </w:r>
      <w:r w:rsidR="00F47D17" w:rsidRPr="00281BDC">
        <w:rPr>
          <w:lang w:val="en-GB"/>
        </w:rPr>
        <w:t xml:space="preserve"> Y in </w:t>
      </w:r>
      <w:r w:rsidR="00410113" w:rsidRPr="00281BDC">
        <w:rPr>
          <w:lang w:val="en-GB"/>
        </w:rPr>
        <w:t xml:space="preserve">eq. </w:t>
      </w:r>
      <w:r w:rsidR="00AB06A2">
        <w:rPr>
          <w:lang w:val="en-GB"/>
        </w:rPr>
        <w:t>5</w:t>
      </w:r>
      <w:r w:rsidR="00410113" w:rsidRPr="00281BDC">
        <w:rPr>
          <w:lang w:val="en-GB"/>
        </w:rPr>
        <w:t xml:space="preserve">. </w:t>
      </w:r>
      <w:r w:rsidR="00793DDC" w:rsidRPr="00281BDC">
        <w:rPr>
          <w:lang w:val="en-GB"/>
        </w:rPr>
        <w:t xml:space="preserve">It should be noted that </w:t>
      </w:r>
      <w:r w:rsidR="00A61282" w:rsidRPr="00281BDC">
        <w:rPr>
          <w:lang w:val="en-GB"/>
        </w:rPr>
        <w:t xml:space="preserve">the PLS method </w:t>
      </w:r>
      <w:r w:rsidR="002D3DF4" w:rsidRPr="00281BDC">
        <w:rPr>
          <w:lang w:val="en-GB"/>
        </w:rPr>
        <w:t xml:space="preserve">does not have any co-domain restriction, </w:t>
      </w:r>
      <w:r w:rsidR="00A61282" w:rsidRPr="00281BDC">
        <w:rPr>
          <w:i/>
          <w:iCs/>
          <w:lang w:val="en-GB"/>
        </w:rPr>
        <w:t>i.e.</w:t>
      </w:r>
      <w:r w:rsidR="002D3DF4" w:rsidRPr="00281BDC">
        <w:rPr>
          <w:i/>
          <w:iCs/>
          <w:lang w:val="en-GB"/>
        </w:rPr>
        <w:t xml:space="preserve"> </w:t>
      </w:r>
      <w:r w:rsidR="002D3DF4" w:rsidRPr="00281BDC">
        <w:rPr>
          <w:lang w:val="en-GB"/>
        </w:rPr>
        <w:t xml:space="preserve">the outlet </w:t>
      </w:r>
      <w:r w:rsidR="00A61282" w:rsidRPr="00281BDC">
        <w:rPr>
          <w:lang w:val="en-GB"/>
        </w:rPr>
        <w:t>molar flow rate of HCl</w:t>
      </w:r>
      <w:r w:rsidR="002D3DF4" w:rsidRPr="00281BDC">
        <w:rPr>
          <w:lang w:val="en-GB"/>
        </w:rPr>
        <w:t xml:space="preserve"> can assume any value. </w:t>
      </w:r>
      <w:r w:rsidR="00EA6697" w:rsidRPr="00281BDC">
        <w:rPr>
          <w:lang w:val="en-GB"/>
        </w:rPr>
        <w:t xml:space="preserve">A physical constraint was introduced by </w:t>
      </w:r>
      <w:r w:rsidR="00544204" w:rsidRPr="00281BDC">
        <w:rPr>
          <w:lang w:val="en-GB"/>
        </w:rPr>
        <w:t>imposing that the predicted value of outlet HCl molar flow rate</w:t>
      </w:r>
      <w:r w:rsidR="00DE2C81" w:rsidRPr="00281BDC">
        <w:rPr>
          <w:lang w:val="en-GB"/>
        </w:rPr>
        <w:t xml:space="preserve"> </w:t>
      </w:r>
      <w:proofErr w:type="spellStart"/>
      <w:r w:rsidR="00DE2C81" w:rsidRPr="00281BDC">
        <w:rPr>
          <w:i/>
          <w:iCs/>
          <w:lang w:val="en-GB"/>
        </w:rPr>
        <w:t>n</w:t>
      </w:r>
      <w:r w:rsidR="00DE2C81" w:rsidRPr="00281BDC">
        <w:rPr>
          <w:i/>
          <w:iCs/>
          <w:vertAlign w:val="subscript"/>
          <w:lang w:val="en-GB"/>
        </w:rPr>
        <w:t>HCl,out</w:t>
      </w:r>
      <w:proofErr w:type="spellEnd"/>
      <w:r w:rsidR="00544204" w:rsidRPr="00281BDC">
        <w:rPr>
          <w:lang w:val="en-GB"/>
        </w:rPr>
        <w:t xml:space="preserve"> </w:t>
      </w:r>
      <w:r w:rsidR="00086090" w:rsidRPr="00281BDC">
        <w:rPr>
          <w:lang w:val="en-GB"/>
        </w:rPr>
        <w:t xml:space="preserve">must lie </w:t>
      </w:r>
      <w:r w:rsidR="00DE2C81" w:rsidRPr="00281BDC">
        <w:rPr>
          <w:lang w:val="en-GB"/>
        </w:rPr>
        <w:t>in the interval</w:t>
      </w:r>
      <w:r w:rsidR="002D3DF4" w:rsidRPr="00281BDC">
        <w:rPr>
          <w:lang w:val="en-GB"/>
        </w:rPr>
        <w:t xml:space="preserve"> </w:t>
      </w:r>
      <w:r w:rsidR="00DE2C81" w:rsidRPr="00281BDC">
        <w:rPr>
          <w:lang w:val="en-GB"/>
        </w:rPr>
        <w:t>[0,</w:t>
      </w:r>
      <w:r w:rsidR="00DE2C81" w:rsidRPr="00281BDC">
        <w:rPr>
          <w:i/>
          <w:iCs/>
          <w:lang w:val="en-GB"/>
        </w:rPr>
        <w:t xml:space="preserve"> </w:t>
      </w:r>
      <w:proofErr w:type="spellStart"/>
      <w:r w:rsidR="00DE2C81" w:rsidRPr="00281BDC">
        <w:rPr>
          <w:i/>
          <w:iCs/>
          <w:lang w:val="en-GB"/>
        </w:rPr>
        <w:t>n</w:t>
      </w:r>
      <w:r w:rsidR="00DE2C81" w:rsidRPr="00281BDC">
        <w:rPr>
          <w:i/>
          <w:iCs/>
          <w:vertAlign w:val="subscript"/>
          <w:lang w:val="en-GB"/>
        </w:rPr>
        <w:t>HCl</w:t>
      </w:r>
      <w:proofErr w:type="spellEnd"/>
      <w:r w:rsidR="006D484B" w:rsidRPr="00281BDC" w:rsidDel="006D484B">
        <w:rPr>
          <w:i/>
          <w:iCs/>
          <w:vertAlign w:val="subscript"/>
          <w:lang w:val="en-GB"/>
        </w:rPr>
        <w:t xml:space="preserve"> </w:t>
      </w:r>
      <w:r w:rsidR="006D484B">
        <w:rPr>
          <w:i/>
          <w:iCs/>
          <w:vertAlign w:val="subscript"/>
          <w:lang w:val="en-GB"/>
        </w:rPr>
        <w:t>in</w:t>
      </w:r>
      <w:r w:rsidR="00DE2C81" w:rsidRPr="00281BDC">
        <w:rPr>
          <w:lang w:val="en-GB"/>
        </w:rPr>
        <w:t xml:space="preserve">]. </w:t>
      </w:r>
    </w:p>
    <w:p w14:paraId="2F56C54A" w14:textId="2A06C5B8" w:rsidR="0015664F" w:rsidRPr="00281BDC" w:rsidRDefault="00D23A65" w:rsidP="008F3994">
      <w:pPr>
        <w:pStyle w:val="CETBodytext"/>
        <w:rPr>
          <w:lang w:val="en-GB"/>
        </w:rPr>
      </w:pPr>
      <w:r w:rsidRPr="00281BDC">
        <w:rPr>
          <w:lang w:val="en-GB"/>
        </w:rPr>
        <w:t xml:space="preserve">The considered dataset of measurements covered </w:t>
      </w:r>
      <w:r w:rsidR="00A9755F" w:rsidRPr="00281BDC">
        <w:rPr>
          <w:lang w:val="en-GB"/>
        </w:rPr>
        <w:t xml:space="preserve">two weeks of DTS operation. </w:t>
      </w:r>
      <w:r w:rsidR="00E14312" w:rsidRPr="00281BDC">
        <w:rPr>
          <w:lang w:val="en-GB"/>
        </w:rPr>
        <w:t xml:space="preserve">This dataset was </w:t>
      </w:r>
      <w:r w:rsidR="00DE6F6B" w:rsidRPr="00281BDC">
        <w:rPr>
          <w:lang w:val="en-GB"/>
        </w:rPr>
        <w:t>divided into three subsets</w:t>
      </w:r>
      <w:r w:rsidR="00B4518D" w:rsidRPr="00281BDC">
        <w:rPr>
          <w:lang w:val="en-GB"/>
        </w:rPr>
        <w:t xml:space="preserve">, </w:t>
      </w:r>
      <w:r w:rsidR="0015664F" w:rsidRPr="00281BDC">
        <w:rPr>
          <w:lang w:val="en-GB"/>
        </w:rPr>
        <w:t xml:space="preserve">aimed respectively </w:t>
      </w:r>
      <w:r w:rsidR="00B4518D" w:rsidRPr="00281BDC">
        <w:rPr>
          <w:lang w:val="en-GB"/>
        </w:rPr>
        <w:t>at</w:t>
      </w:r>
      <w:r w:rsidR="0015664F" w:rsidRPr="00281BDC">
        <w:rPr>
          <w:lang w:val="en-GB"/>
        </w:rPr>
        <w:t xml:space="preserve"> the training of the model</w:t>
      </w:r>
      <w:r w:rsidR="00BA20F8" w:rsidRPr="00281BDC">
        <w:rPr>
          <w:lang w:val="en-GB"/>
        </w:rPr>
        <w:t xml:space="preserve"> (training set)</w:t>
      </w:r>
      <w:r w:rsidR="0015664F" w:rsidRPr="00281BDC">
        <w:rPr>
          <w:lang w:val="en-GB"/>
        </w:rPr>
        <w:t>, the determination of its structure</w:t>
      </w:r>
      <w:r w:rsidR="00BA20F8" w:rsidRPr="00281BDC">
        <w:rPr>
          <w:lang w:val="en-GB"/>
        </w:rPr>
        <w:t xml:space="preserve"> (cross-validation set)</w:t>
      </w:r>
      <w:r w:rsidR="0015664F" w:rsidRPr="00281BDC">
        <w:rPr>
          <w:lang w:val="en-GB"/>
        </w:rPr>
        <w:t xml:space="preserve"> and its final performance validation</w:t>
      </w:r>
      <w:r w:rsidR="00BA20F8" w:rsidRPr="00281BDC">
        <w:rPr>
          <w:lang w:val="en-GB"/>
        </w:rPr>
        <w:t xml:space="preserve"> (validation set)</w:t>
      </w:r>
      <w:r w:rsidR="0015664F" w:rsidRPr="00281BDC">
        <w:rPr>
          <w:lang w:val="en-GB"/>
        </w:rPr>
        <w:t xml:space="preserve">. Each subset </w:t>
      </w:r>
      <w:r w:rsidR="00861863" w:rsidRPr="00281BDC">
        <w:rPr>
          <w:lang w:val="en-GB"/>
        </w:rPr>
        <w:t>gives</w:t>
      </w:r>
      <w:r w:rsidR="0015664F" w:rsidRPr="00281BDC">
        <w:rPr>
          <w:lang w:val="en-GB"/>
        </w:rPr>
        <w:t xml:space="preserve"> a complete and equivalent representation of the system behaviour.</w:t>
      </w:r>
    </w:p>
    <w:p w14:paraId="4966969E" w14:textId="77777777" w:rsidR="00685818" w:rsidRPr="00281BDC" w:rsidRDefault="00685818" w:rsidP="00685818">
      <w:pPr>
        <w:pStyle w:val="CETTabletitle"/>
      </w:pPr>
      <w:r w:rsidRPr="00281BDC">
        <w:t xml:space="preserve">Table 1: </w:t>
      </w:r>
      <w:r>
        <w:t>Original variables measured in the DTS and their use as predictors and performance estimators.</w:t>
      </w:r>
      <w:r w:rsidRPr="00281BDC">
        <w:t xml:space="preserve"> </w:t>
      </w:r>
    </w:p>
    <w:tbl>
      <w:tblPr>
        <w:tblW w:w="8787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850"/>
        <w:gridCol w:w="850"/>
        <w:gridCol w:w="851"/>
        <w:gridCol w:w="850"/>
        <w:gridCol w:w="850"/>
        <w:gridCol w:w="851"/>
        <w:gridCol w:w="850"/>
        <w:gridCol w:w="850"/>
        <w:gridCol w:w="851"/>
      </w:tblGrid>
      <w:tr w:rsidR="00685818" w:rsidRPr="00B42B77" w14:paraId="4ED0E824" w14:textId="77777777" w:rsidTr="005314A9">
        <w:trPr>
          <w:trHeight w:val="339"/>
        </w:trPr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FACFB7E" w14:textId="77777777" w:rsidR="00685818" w:rsidRPr="00B42B77" w:rsidRDefault="00685818" w:rsidP="005314A9">
            <w:pPr>
              <w:pStyle w:val="CETBodytext"/>
              <w:jc w:val="left"/>
              <w:rPr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t>Variable</w:t>
            </w:r>
          </w:p>
        </w:tc>
        <w:tc>
          <w:tcPr>
            <w:tcW w:w="85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A3917A5" w14:textId="77777777" w:rsidR="00685818" w:rsidRPr="00B42B77" w:rsidRDefault="00685818" w:rsidP="005314A9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t>Flue gas flow rate</w:t>
            </w:r>
          </w:p>
        </w:tc>
        <w:tc>
          <w:tcPr>
            <w:tcW w:w="85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B4CECFB" w14:textId="77777777" w:rsidR="00685818" w:rsidRPr="00B42B77" w:rsidRDefault="00685818" w:rsidP="005314A9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t>Flue gas</w:t>
            </w:r>
          </w:p>
          <w:p w14:paraId="012C4370" w14:textId="77777777" w:rsidR="00685818" w:rsidRPr="00B42B77" w:rsidRDefault="00685818" w:rsidP="005314A9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t>T</w:t>
            </w:r>
          </w:p>
        </w:tc>
        <w:tc>
          <w:tcPr>
            <w:tcW w:w="85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A23C2AF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vertAlign w:val="subscript"/>
                <w:lang w:val="en-GB"/>
              </w:rPr>
            </w:pPr>
            <w:proofErr w:type="spellStart"/>
            <w:r w:rsidRPr="00B42B77">
              <w:rPr>
                <w:rFonts w:cs="Arial"/>
                <w:sz w:val="16"/>
                <w:szCs w:val="16"/>
                <w:lang w:val="en-GB"/>
              </w:rPr>
              <w:t>n</w:t>
            </w:r>
            <w:r w:rsidRPr="00B42B77">
              <w:rPr>
                <w:rFonts w:cs="Arial"/>
                <w:sz w:val="16"/>
                <w:szCs w:val="16"/>
                <w:vertAlign w:val="subscript"/>
                <w:lang w:val="en-GB"/>
              </w:rPr>
              <w:t>HCl,in</w:t>
            </w:r>
            <w:proofErr w:type="spellEnd"/>
          </w:p>
          <w:p w14:paraId="68F06061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8AE6667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vertAlign w:val="subscript"/>
                <w:lang w:val="en-GB"/>
              </w:rPr>
            </w:pPr>
            <w:r w:rsidRPr="00B42B77">
              <w:rPr>
                <w:rFonts w:cs="Arial"/>
                <w:sz w:val="16"/>
                <w:szCs w:val="16"/>
                <w:lang w:val="en-GB"/>
              </w:rPr>
              <w:t>n</w:t>
            </w:r>
            <w:r w:rsidRPr="00B42B77">
              <w:rPr>
                <w:rFonts w:cs="Arial"/>
                <w:sz w:val="16"/>
                <w:szCs w:val="16"/>
                <w:vertAlign w:val="subscript"/>
                <w:lang w:val="en-GB"/>
              </w:rPr>
              <w:t>SO2,in</w:t>
            </w:r>
          </w:p>
          <w:p w14:paraId="059B7B00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8CA72F6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rFonts w:cs="Arial"/>
                <w:sz w:val="16"/>
                <w:szCs w:val="16"/>
                <w:lang w:val="en-GB"/>
              </w:rPr>
              <w:t>y</w:t>
            </w:r>
            <w:r w:rsidRPr="00B42B77">
              <w:rPr>
                <w:rFonts w:cs="Arial"/>
                <w:sz w:val="16"/>
                <w:szCs w:val="16"/>
                <w:vertAlign w:val="subscript"/>
                <w:lang w:val="en-GB"/>
              </w:rPr>
              <w:t>CO2,in</w:t>
            </w:r>
          </w:p>
        </w:tc>
        <w:tc>
          <w:tcPr>
            <w:tcW w:w="85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9A9178A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rFonts w:cs="Arial"/>
                <w:sz w:val="16"/>
                <w:szCs w:val="16"/>
                <w:lang w:val="en-GB"/>
              </w:rPr>
              <w:t>y</w:t>
            </w:r>
            <w:r w:rsidRPr="00B42B77">
              <w:rPr>
                <w:rFonts w:cs="Arial"/>
                <w:sz w:val="16"/>
                <w:szCs w:val="16"/>
                <w:vertAlign w:val="subscript"/>
                <w:lang w:val="en-GB"/>
              </w:rPr>
              <w:t>H2O,in</w:t>
            </w:r>
          </w:p>
        </w:tc>
        <w:tc>
          <w:tcPr>
            <w:tcW w:w="85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6F8F09B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rFonts w:cs="Arial"/>
                <w:sz w:val="16"/>
                <w:szCs w:val="16"/>
                <w:lang w:val="en-GB"/>
              </w:rPr>
              <w:t>NaHCO</w:t>
            </w:r>
            <w:r w:rsidRPr="00B42B77">
              <w:rPr>
                <w:rFonts w:cs="Arial"/>
                <w:sz w:val="16"/>
                <w:szCs w:val="16"/>
                <w:vertAlign w:val="subscript"/>
                <w:lang w:val="en-GB"/>
              </w:rPr>
              <w:t>3</w:t>
            </w:r>
            <w:r w:rsidRPr="00B42B77">
              <w:rPr>
                <w:rFonts w:cs="Arial"/>
                <w:sz w:val="16"/>
                <w:szCs w:val="16"/>
                <w:lang w:val="en-GB"/>
              </w:rPr>
              <w:t xml:space="preserve"> feed rate</w:t>
            </w:r>
          </w:p>
        </w:tc>
        <w:tc>
          <w:tcPr>
            <w:tcW w:w="85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7336497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rFonts w:cs="Arial"/>
                <w:sz w:val="16"/>
                <w:szCs w:val="16"/>
                <w:lang w:val="en-GB"/>
              </w:rPr>
              <w:t>ΔP at fabric filter</w:t>
            </w:r>
          </w:p>
        </w:tc>
        <w:tc>
          <w:tcPr>
            <w:tcW w:w="85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9A6DF7B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vertAlign w:val="subscript"/>
                <w:lang w:val="en-GB"/>
              </w:rPr>
            </w:pPr>
            <w:proofErr w:type="spellStart"/>
            <w:r w:rsidRPr="00B42B77">
              <w:rPr>
                <w:rFonts w:cs="Arial"/>
                <w:sz w:val="16"/>
                <w:szCs w:val="16"/>
                <w:lang w:val="en-GB"/>
              </w:rPr>
              <w:t>n</w:t>
            </w:r>
            <w:r w:rsidRPr="00B42B77">
              <w:rPr>
                <w:rFonts w:cs="Arial"/>
                <w:sz w:val="16"/>
                <w:szCs w:val="16"/>
                <w:vertAlign w:val="subscript"/>
                <w:lang w:val="en-GB"/>
              </w:rPr>
              <w:t>HCl,out</w:t>
            </w:r>
            <w:proofErr w:type="spellEnd"/>
          </w:p>
          <w:p w14:paraId="31D8375E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85818" w:rsidRPr="00B42B77" w14:paraId="4617E62D" w14:textId="77777777" w:rsidTr="005314A9">
        <w:trPr>
          <w:trHeight w:val="232"/>
        </w:trPr>
        <w:tc>
          <w:tcPr>
            <w:tcW w:w="1134" w:type="dxa"/>
            <w:shd w:val="clear" w:color="auto" w:fill="FFFFFF"/>
          </w:tcPr>
          <w:p w14:paraId="3F66827F" w14:textId="77777777" w:rsidR="00685818" w:rsidRPr="00B42B77" w:rsidRDefault="00685818" w:rsidP="005314A9">
            <w:pPr>
              <w:pStyle w:val="CETBodytext"/>
              <w:jc w:val="left"/>
              <w:rPr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t>U.M.</w:t>
            </w:r>
          </w:p>
        </w:tc>
        <w:tc>
          <w:tcPr>
            <w:tcW w:w="850" w:type="dxa"/>
            <w:shd w:val="clear" w:color="auto" w:fill="FFFFFF"/>
          </w:tcPr>
          <w:p w14:paraId="5AA91EAC" w14:textId="77777777" w:rsidR="00685818" w:rsidRPr="00B42B77" w:rsidRDefault="00685818" w:rsidP="005314A9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t>Nm</w:t>
            </w:r>
            <w:r w:rsidRPr="00B42B77">
              <w:rPr>
                <w:sz w:val="16"/>
                <w:szCs w:val="16"/>
                <w:vertAlign w:val="superscript"/>
                <w:lang w:val="en-GB"/>
              </w:rPr>
              <w:t>3</w:t>
            </w:r>
            <w:r w:rsidRPr="00B42B77">
              <w:rPr>
                <w:sz w:val="16"/>
                <w:szCs w:val="16"/>
                <w:lang w:val="en-GB"/>
              </w:rPr>
              <w:t>/h</w:t>
            </w:r>
          </w:p>
        </w:tc>
        <w:tc>
          <w:tcPr>
            <w:tcW w:w="850" w:type="dxa"/>
            <w:shd w:val="clear" w:color="auto" w:fill="FFFFFF"/>
          </w:tcPr>
          <w:p w14:paraId="250A92D7" w14:textId="77777777" w:rsidR="00685818" w:rsidRPr="00B42B77" w:rsidRDefault="00685818" w:rsidP="005314A9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t>°C</w:t>
            </w:r>
          </w:p>
        </w:tc>
        <w:tc>
          <w:tcPr>
            <w:tcW w:w="851" w:type="dxa"/>
            <w:shd w:val="clear" w:color="auto" w:fill="FFFFFF"/>
          </w:tcPr>
          <w:p w14:paraId="21AFFA3B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B42B77">
              <w:rPr>
                <w:rFonts w:cs="Arial"/>
                <w:sz w:val="16"/>
                <w:szCs w:val="16"/>
                <w:lang w:val="en-GB"/>
              </w:rPr>
              <w:t>kmol</w:t>
            </w:r>
            <w:proofErr w:type="spellEnd"/>
            <w:r w:rsidRPr="00B42B77">
              <w:rPr>
                <w:rFonts w:cs="Arial"/>
                <w:sz w:val="16"/>
                <w:szCs w:val="16"/>
                <w:lang w:val="en-GB"/>
              </w:rPr>
              <w:t>/h</w:t>
            </w:r>
          </w:p>
        </w:tc>
        <w:tc>
          <w:tcPr>
            <w:tcW w:w="850" w:type="dxa"/>
            <w:shd w:val="clear" w:color="auto" w:fill="FFFFFF"/>
          </w:tcPr>
          <w:p w14:paraId="771F5EC8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B42B77">
              <w:rPr>
                <w:rFonts w:cs="Arial"/>
                <w:sz w:val="16"/>
                <w:szCs w:val="16"/>
                <w:lang w:val="en-GB"/>
              </w:rPr>
              <w:t>kmol</w:t>
            </w:r>
            <w:proofErr w:type="spellEnd"/>
            <w:r w:rsidRPr="00B42B77">
              <w:rPr>
                <w:rFonts w:cs="Arial"/>
                <w:sz w:val="16"/>
                <w:szCs w:val="16"/>
                <w:lang w:val="en-GB"/>
              </w:rPr>
              <w:t>/h</w:t>
            </w:r>
          </w:p>
        </w:tc>
        <w:tc>
          <w:tcPr>
            <w:tcW w:w="850" w:type="dxa"/>
            <w:shd w:val="clear" w:color="auto" w:fill="FFFFFF"/>
          </w:tcPr>
          <w:p w14:paraId="09840516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rFonts w:cs="Arial"/>
                <w:sz w:val="16"/>
                <w:szCs w:val="16"/>
                <w:lang w:val="en-GB"/>
              </w:rPr>
              <w:t>vol%</w:t>
            </w:r>
          </w:p>
        </w:tc>
        <w:tc>
          <w:tcPr>
            <w:tcW w:w="851" w:type="dxa"/>
            <w:shd w:val="clear" w:color="auto" w:fill="FFFFFF"/>
          </w:tcPr>
          <w:p w14:paraId="28C3DC29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rFonts w:cs="Arial"/>
                <w:sz w:val="16"/>
                <w:szCs w:val="16"/>
                <w:lang w:val="en-GB"/>
              </w:rPr>
              <w:t>vol%</w:t>
            </w:r>
          </w:p>
        </w:tc>
        <w:tc>
          <w:tcPr>
            <w:tcW w:w="850" w:type="dxa"/>
            <w:shd w:val="clear" w:color="auto" w:fill="FFFFFF"/>
          </w:tcPr>
          <w:p w14:paraId="7CE1C916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B42B77">
              <w:rPr>
                <w:rFonts w:cs="Arial"/>
                <w:sz w:val="16"/>
                <w:szCs w:val="16"/>
                <w:lang w:val="en-GB"/>
              </w:rPr>
              <w:t>kmol</w:t>
            </w:r>
            <w:proofErr w:type="spellEnd"/>
            <w:r w:rsidRPr="00B42B77">
              <w:rPr>
                <w:rFonts w:cs="Arial"/>
                <w:sz w:val="16"/>
                <w:szCs w:val="16"/>
                <w:lang w:val="en-GB"/>
              </w:rPr>
              <w:t>/h</w:t>
            </w:r>
          </w:p>
        </w:tc>
        <w:tc>
          <w:tcPr>
            <w:tcW w:w="850" w:type="dxa"/>
            <w:shd w:val="clear" w:color="auto" w:fill="FFFFFF"/>
          </w:tcPr>
          <w:p w14:paraId="7CEC5A08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rFonts w:cs="Arial"/>
                <w:sz w:val="16"/>
                <w:szCs w:val="16"/>
                <w:lang w:val="en-GB"/>
              </w:rPr>
              <w:t>mbar</w:t>
            </w:r>
          </w:p>
        </w:tc>
        <w:tc>
          <w:tcPr>
            <w:tcW w:w="851" w:type="dxa"/>
            <w:shd w:val="clear" w:color="auto" w:fill="FFFFFF"/>
          </w:tcPr>
          <w:p w14:paraId="1246EDA7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B42B77">
              <w:rPr>
                <w:rFonts w:cs="Arial"/>
                <w:sz w:val="16"/>
                <w:szCs w:val="16"/>
                <w:lang w:val="en-GB"/>
              </w:rPr>
              <w:t>kmol</w:t>
            </w:r>
            <w:proofErr w:type="spellEnd"/>
            <w:r w:rsidRPr="00B42B77">
              <w:rPr>
                <w:rFonts w:cs="Arial"/>
                <w:sz w:val="16"/>
                <w:szCs w:val="16"/>
                <w:lang w:val="en-GB"/>
              </w:rPr>
              <w:t>/h</w:t>
            </w:r>
          </w:p>
        </w:tc>
      </w:tr>
      <w:tr w:rsidR="00685818" w:rsidRPr="00B42B77" w14:paraId="7D23A06E" w14:textId="77777777" w:rsidTr="005314A9">
        <w:trPr>
          <w:trHeight w:val="241"/>
        </w:trPr>
        <w:tc>
          <w:tcPr>
            <w:tcW w:w="1134" w:type="dxa"/>
            <w:shd w:val="clear" w:color="auto" w:fill="FFFFFF"/>
          </w:tcPr>
          <w:p w14:paraId="1DE62344" w14:textId="77777777" w:rsidR="00685818" w:rsidRPr="00B42B77" w:rsidRDefault="00685818" w:rsidP="005314A9">
            <w:pPr>
              <w:pStyle w:val="CETBodytext"/>
              <w:jc w:val="left"/>
              <w:rPr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t xml:space="preserve">Time resolution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0E3B628" w14:textId="77777777" w:rsidR="00685818" w:rsidRPr="00B42B77" w:rsidRDefault="00685818" w:rsidP="005314A9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t>1/min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ACFD6D3" w14:textId="77777777" w:rsidR="00685818" w:rsidRPr="00B42B77" w:rsidRDefault="00685818" w:rsidP="005314A9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t>1/min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27142A1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rFonts w:cs="Arial"/>
                <w:sz w:val="16"/>
                <w:szCs w:val="16"/>
                <w:lang w:val="en-GB"/>
              </w:rPr>
              <w:t>1/min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E15FC7E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rFonts w:cs="Arial"/>
                <w:sz w:val="16"/>
                <w:szCs w:val="16"/>
                <w:lang w:val="en-GB"/>
              </w:rPr>
              <w:t>1/min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845E18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rFonts w:cs="Arial"/>
                <w:sz w:val="16"/>
                <w:szCs w:val="16"/>
                <w:lang w:val="en-GB"/>
              </w:rPr>
              <w:t>1/min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1A7CFB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rFonts w:cs="Arial"/>
                <w:sz w:val="16"/>
                <w:szCs w:val="16"/>
                <w:lang w:val="en-GB"/>
              </w:rPr>
              <w:t>1/min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39A737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rFonts w:cs="Arial"/>
                <w:sz w:val="16"/>
                <w:szCs w:val="16"/>
                <w:lang w:val="en-GB"/>
              </w:rPr>
              <w:t>1/min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AD0B08A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rFonts w:cs="Arial"/>
                <w:sz w:val="16"/>
                <w:szCs w:val="16"/>
                <w:lang w:val="en-GB"/>
              </w:rPr>
              <w:t>1/min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116383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rFonts w:cs="Arial"/>
                <w:sz w:val="16"/>
                <w:szCs w:val="16"/>
                <w:lang w:val="en-GB"/>
              </w:rPr>
              <w:t>1/min</w:t>
            </w:r>
          </w:p>
        </w:tc>
      </w:tr>
      <w:tr w:rsidR="00685818" w:rsidRPr="00B42B77" w14:paraId="6AE7559B" w14:textId="77777777" w:rsidTr="005314A9">
        <w:trPr>
          <w:trHeight w:val="232"/>
        </w:trPr>
        <w:tc>
          <w:tcPr>
            <w:tcW w:w="1134" w:type="dxa"/>
            <w:shd w:val="clear" w:color="auto" w:fill="FFFFFF"/>
          </w:tcPr>
          <w:p w14:paraId="5ACEA84D" w14:textId="77777777" w:rsidR="00685818" w:rsidRPr="00B42B77" w:rsidRDefault="00685818" w:rsidP="005314A9">
            <w:pPr>
              <w:pStyle w:val="CETBodytext"/>
              <w:jc w:val="left"/>
              <w:rPr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t>Predictor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51B740E" w14:textId="77777777" w:rsidR="00685818" w:rsidRPr="00B42B77" w:rsidRDefault="00685818" w:rsidP="005314A9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sym w:font="Webdings" w:char="F061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9400E02" w14:textId="77777777" w:rsidR="00685818" w:rsidRPr="00B42B77" w:rsidRDefault="00685818" w:rsidP="005314A9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sym w:font="Webdings" w:char="F061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9664329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sym w:font="Webdings" w:char="F061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32B4CF8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sym w:font="Webdings" w:char="F061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F348E19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sym w:font="Webdings" w:char="F061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E3C4447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sym w:font="Webdings" w:char="F061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914208C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sym w:font="Webdings" w:char="F061"/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4318302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sym w:font="Webdings" w:char="F061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7BD000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85818" w:rsidRPr="00B42B77" w14:paraId="1905E22F" w14:textId="77777777" w:rsidTr="005314A9">
        <w:trPr>
          <w:trHeight w:val="232"/>
        </w:trPr>
        <w:tc>
          <w:tcPr>
            <w:tcW w:w="1134" w:type="dxa"/>
            <w:shd w:val="clear" w:color="auto" w:fill="FFFFFF"/>
          </w:tcPr>
          <w:p w14:paraId="47CC11B2" w14:textId="77777777" w:rsidR="00685818" w:rsidRPr="00B42B77" w:rsidRDefault="00685818" w:rsidP="005314A9">
            <w:pPr>
              <w:pStyle w:val="CETBodytext"/>
              <w:jc w:val="left"/>
              <w:rPr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t>Performance estimator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ACFB333" w14:textId="77777777" w:rsidR="00685818" w:rsidRPr="00B42B77" w:rsidRDefault="00685818" w:rsidP="005314A9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D1AAE0E" w14:textId="77777777" w:rsidR="00685818" w:rsidRPr="00B42B77" w:rsidRDefault="00685818" w:rsidP="005314A9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39412BF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2A0040C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FC83851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F257449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AEAEDE9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1B5D1DF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74123C3" w14:textId="77777777" w:rsidR="00685818" w:rsidRPr="00B42B77" w:rsidRDefault="00685818" w:rsidP="005314A9">
            <w:pPr>
              <w:pStyle w:val="CETBodytext"/>
              <w:ind w:right="-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B42B77">
              <w:rPr>
                <w:sz w:val="16"/>
                <w:szCs w:val="16"/>
                <w:lang w:val="en-GB"/>
              </w:rPr>
              <w:sym w:font="Webdings" w:char="F061"/>
            </w:r>
          </w:p>
        </w:tc>
      </w:tr>
    </w:tbl>
    <w:p w14:paraId="0205D7EB" w14:textId="31F9A716" w:rsidR="003749E2" w:rsidRPr="00281BDC" w:rsidRDefault="003749E2" w:rsidP="00A9510A">
      <w:pPr>
        <w:pStyle w:val="CETHeading1"/>
        <w:numPr>
          <w:ilvl w:val="0"/>
          <w:numId w:val="22"/>
        </w:numPr>
        <w:rPr>
          <w:lang w:val="en-GB"/>
        </w:rPr>
      </w:pPr>
      <w:r w:rsidRPr="00281BDC">
        <w:rPr>
          <w:lang w:val="en-GB"/>
        </w:rPr>
        <w:t xml:space="preserve">Results and discussion </w:t>
      </w:r>
    </w:p>
    <w:p w14:paraId="7AB8B819" w14:textId="417FF32D" w:rsidR="00FA72FF" w:rsidRDefault="00D62C35" w:rsidP="0074637A">
      <w:pPr>
        <w:pStyle w:val="CETBodytext"/>
        <w:rPr>
          <w:lang w:val="en-GB"/>
        </w:rPr>
      </w:pPr>
      <w:r w:rsidRPr="00281BDC">
        <w:rPr>
          <w:lang w:val="en-GB"/>
        </w:rPr>
        <w:t>Starting from the previously assembled datasets</w:t>
      </w:r>
      <w:r w:rsidR="000609DE" w:rsidRPr="00281BDC">
        <w:rPr>
          <w:lang w:val="en-GB"/>
        </w:rPr>
        <w:t>,</w:t>
      </w:r>
      <w:r w:rsidRPr="00281BDC">
        <w:rPr>
          <w:lang w:val="en-GB"/>
        </w:rPr>
        <w:t xml:space="preserve"> it </w:t>
      </w:r>
      <w:r w:rsidR="0038714A" w:rsidRPr="00281BDC">
        <w:rPr>
          <w:lang w:val="en-GB"/>
        </w:rPr>
        <w:t>was</w:t>
      </w:r>
      <w:r w:rsidR="00B1612F" w:rsidRPr="00281BDC">
        <w:rPr>
          <w:lang w:val="en-GB"/>
        </w:rPr>
        <w:t xml:space="preserve"> </w:t>
      </w:r>
      <w:r w:rsidRPr="00281BDC">
        <w:rPr>
          <w:lang w:val="en-GB"/>
        </w:rPr>
        <w:t xml:space="preserve">possible to </w:t>
      </w:r>
      <w:r w:rsidR="00C45614" w:rsidRPr="00281BDC">
        <w:rPr>
          <w:lang w:val="en-GB"/>
        </w:rPr>
        <w:t>obtain a PLS model that allow</w:t>
      </w:r>
      <w:r w:rsidR="00281BDC" w:rsidRPr="00281BDC">
        <w:rPr>
          <w:lang w:val="en-GB"/>
        </w:rPr>
        <w:t xml:space="preserve">s: </w:t>
      </w:r>
      <w:proofErr w:type="spellStart"/>
      <w:r w:rsidR="00281BDC" w:rsidRPr="00281BDC">
        <w:rPr>
          <w:lang w:val="en-GB"/>
        </w:rPr>
        <w:t>i</w:t>
      </w:r>
      <w:proofErr w:type="spellEnd"/>
      <w:r w:rsidR="00281BDC" w:rsidRPr="00281BDC">
        <w:rPr>
          <w:lang w:val="en-GB"/>
        </w:rPr>
        <w:t xml:space="preserve">) </w:t>
      </w:r>
      <w:r w:rsidR="00760C64" w:rsidRPr="00281BDC">
        <w:rPr>
          <w:lang w:val="en-GB"/>
        </w:rPr>
        <w:t xml:space="preserve">a </w:t>
      </w:r>
      <w:r w:rsidR="005229A8" w:rsidRPr="00281BDC">
        <w:rPr>
          <w:lang w:val="en-GB"/>
        </w:rPr>
        <w:t>characteri</w:t>
      </w:r>
      <w:r w:rsidR="00281BDC" w:rsidRPr="00281BDC">
        <w:rPr>
          <w:lang w:val="en-GB"/>
        </w:rPr>
        <w:t>s</w:t>
      </w:r>
      <w:r w:rsidR="005229A8" w:rsidRPr="00281BDC">
        <w:rPr>
          <w:lang w:val="en-GB"/>
        </w:rPr>
        <w:t xml:space="preserve">ation of the </w:t>
      </w:r>
      <w:r w:rsidR="00810C9B" w:rsidRPr="00281BDC">
        <w:rPr>
          <w:lang w:val="en-GB"/>
        </w:rPr>
        <w:t xml:space="preserve">influence of the </w:t>
      </w:r>
      <w:r w:rsidR="00281BDC">
        <w:rPr>
          <w:lang w:val="en-GB"/>
        </w:rPr>
        <w:t>original</w:t>
      </w:r>
      <w:r w:rsidR="005229A8" w:rsidRPr="00281BDC">
        <w:rPr>
          <w:lang w:val="en-GB"/>
        </w:rPr>
        <w:t xml:space="preserve"> variables on the system</w:t>
      </w:r>
      <w:r w:rsidR="00040ED2">
        <w:rPr>
          <w:lang w:val="en-GB"/>
        </w:rPr>
        <w:t xml:space="preserve"> behaviour,</w:t>
      </w:r>
      <w:r w:rsidR="005229A8" w:rsidRPr="00281BDC">
        <w:rPr>
          <w:lang w:val="en-GB"/>
        </w:rPr>
        <w:t xml:space="preserve"> and </w:t>
      </w:r>
      <w:r w:rsidR="00040ED2">
        <w:rPr>
          <w:lang w:val="en-GB"/>
        </w:rPr>
        <w:t>ii) the prediction of</w:t>
      </w:r>
      <w:r w:rsidR="00F37867" w:rsidRPr="00281BDC">
        <w:rPr>
          <w:lang w:val="en-GB"/>
        </w:rPr>
        <w:t xml:space="preserve"> system performance. </w:t>
      </w:r>
      <w:r w:rsidR="00AB6DB1">
        <w:rPr>
          <w:lang w:val="en-GB"/>
        </w:rPr>
        <w:t>By the application of the LVs technique, t</w:t>
      </w:r>
      <w:r w:rsidR="00A10347">
        <w:rPr>
          <w:lang w:val="en-GB"/>
        </w:rPr>
        <w:t xml:space="preserve">he </w:t>
      </w:r>
      <w:r w:rsidR="00F23F75">
        <w:rPr>
          <w:lang w:val="en-GB"/>
        </w:rPr>
        <w:t xml:space="preserve">initial number of 8 original </w:t>
      </w:r>
      <w:r w:rsidR="006642C0">
        <w:rPr>
          <w:lang w:val="en-GB"/>
        </w:rPr>
        <w:t xml:space="preserve">predictors </w:t>
      </w:r>
      <w:r w:rsidR="00F23F75">
        <w:rPr>
          <w:lang w:val="en-GB"/>
        </w:rPr>
        <w:t>in Table 1 was reduce</w:t>
      </w:r>
      <w:r w:rsidR="00AB6DB1">
        <w:rPr>
          <w:lang w:val="en-GB"/>
        </w:rPr>
        <w:t xml:space="preserve">d </w:t>
      </w:r>
      <w:r w:rsidR="00603E18">
        <w:rPr>
          <w:lang w:val="en-GB"/>
        </w:rPr>
        <w:t>to a</w:t>
      </w:r>
      <w:r w:rsidR="00CE11EB" w:rsidRPr="00281BDC">
        <w:rPr>
          <w:lang w:val="en-GB"/>
        </w:rPr>
        <w:t xml:space="preserve"> </w:t>
      </w:r>
      <w:r w:rsidR="005240A8" w:rsidRPr="00281BDC">
        <w:rPr>
          <w:lang w:val="en-GB"/>
        </w:rPr>
        <w:t xml:space="preserve">variable space </w:t>
      </w:r>
      <w:r w:rsidR="00603E18">
        <w:rPr>
          <w:lang w:val="en-GB"/>
        </w:rPr>
        <w:t>of</w:t>
      </w:r>
      <w:r w:rsidR="005240A8" w:rsidRPr="00281BDC">
        <w:rPr>
          <w:lang w:val="en-GB"/>
        </w:rPr>
        <w:t xml:space="preserve"> </w:t>
      </w:r>
      <w:r w:rsidR="00603E18">
        <w:rPr>
          <w:lang w:val="en-GB"/>
        </w:rPr>
        <w:t>3</w:t>
      </w:r>
      <w:r w:rsidR="005240A8" w:rsidRPr="00281BDC">
        <w:rPr>
          <w:lang w:val="en-GB"/>
        </w:rPr>
        <w:t xml:space="preserve"> dimensions</w:t>
      </w:r>
      <w:r w:rsidR="00BA0F52">
        <w:rPr>
          <w:lang w:val="en-GB"/>
        </w:rPr>
        <w:t xml:space="preserve">, retaining </w:t>
      </w:r>
      <w:r w:rsidR="00551868">
        <w:rPr>
          <w:lang w:val="en-GB"/>
        </w:rPr>
        <w:t>most</w:t>
      </w:r>
      <w:r w:rsidR="00A733A7">
        <w:rPr>
          <w:lang w:val="en-GB"/>
        </w:rPr>
        <w:t xml:space="preserve"> of the</w:t>
      </w:r>
      <w:r w:rsidR="00FD1F40">
        <w:rPr>
          <w:lang w:val="en-GB"/>
        </w:rPr>
        <w:t>ir</w:t>
      </w:r>
      <w:r w:rsidR="00A733A7">
        <w:rPr>
          <w:lang w:val="en-GB"/>
        </w:rPr>
        <w:t xml:space="preserve"> predicting capability</w:t>
      </w:r>
      <w:r w:rsidR="00BA0F52">
        <w:rPr>
          <w:lang w:val="en-GB"/>
        </w:rPr>
        <w:t xml:space="preserve">. </w:t>
      </w:r>
      <w:r w:rsidR="007520C1">
        <w:rPr>
          <w:lang w:val="en-GB"/>
        </w:rPr>
        <w:t xml:space="preserve">In other words, given the existing mutual correlations between </w:t>
      </w:r>
      <w:r w:rsidR="00B50613">
        <w:rPr>
          <w:lang w:val="en-GB"/>
        </w:rPr>
        <w:t xml:space="preserve">the original variables and the minor role of some of them in determining system performance, the predictor dataset </w:t>
      </w:r>
      <w:r w:rsidR="008813CA">
        <w:rPr>
          <w:lang w:val="en-GB"/>
        </w:rPr>
        <w:t xml:space="preserve">could be reduced to just 3 latent variables, </w:t>
      </w:r>
      <w:r w:rsidR="00BD758C" w:rsidRPr="00281BDC">
        <w:rPr>
          <w:lang w:val="en-GB"/>
        </w:rPr>
        <w:t xml:space="preserve">used as final features of the </w:t>
      </w:r>
      <w:r w:rsidR="008813CA">
        <w:rPr>
          <w:lang w:val="en-GB"/>
        </w:rPr>
        <w:t xml:space="preserve">PLS </w:t>
      </w:r>
      <w:r w:rsidR="00BD758C" w:rsidRPr="00281BDC">
        <w:rPr>
          <w:lang w:val="en-GB"/>
        </w:rPr>
        <w:t>model</w:t>
      </w:r>
      <w:r w:rsidR="008D1542">
        <w:rPr>
          <w:lang w:val="en-GB"/>
        </w:rPr>
        <w:t xml:space="preserve"> (see eq. </w:t>
      </w:r>
      <w:r w:rsidR="004A317B">
        <w:rPr>
          <w:lang w:val="en-GB"/>
        </w:rPr>
        <w:t>5</w:t>
      </w:r>
      <w:r w:rsidR="008D1542">
        <w:rPr>
          <w:lang w:val="en-GB"/>
        </w:rPr>
        <w:t>)</w:t>
      </w:r>
      <w:r w:rsidR="00BD758C" w:rsidRPr="00281BDC">
        <w:rPr>
          <w:lang w:val="en-GB"/>
        </w:rPr>
        <w:t>.</w:t>
      </w:r>
      <w:r w:rsidR="00C85924" w:rsidRPr="00281BDC">
        <w:rPr>
          <w:lang w:val="en-GB"/>
        </w:rPr>
        <w:t xml:space="preserve"> </w:t>
      </w:r>
    </w:p>
    <w:p w14:paraId="44FD64CC" w14:textId="77777777" w:rsidR="00B42B77" w:rsidRPr="00281BDC" w:rsidRDefault="00B42B77" w:rsidP="00B42B77">
      <w:pPr>
        <w:pStyle w:val="CETCaption"/>
        <w:keepNext/>
        <w:spacing w:before="120" w:after="120"/>
      </w:pPr>
      <w:r>
        <w:rPr>
          <w:noProof/>
          <w:lang w:val="it-IT" w:eastAsia="it-IT"/>
        </w:rPr>
        <w:drawing>
          <wp:inline distT="0" distB="0" distL="0" distR="0" wp14:anchorId="4863BF23" wp14:editId="35A86AC5">
            <wp:extent cx="5394960" cy="2036973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6"/>
                    <a:stretch/>
                  </pic:blipFill>
                  <pic:spPr bwMode="auto">
                    <a:xfrm>
                      <a:off x="0" y="0"/>
                      <a:ext cx="5433106" cy="205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2706E">
        <w:rPr>
          <w:noProof/>
        </w:rPr>
        <w:t xml:space="preserve"> </w:t>
      </w:r>
    </w:p>
    <w:p w14:paraId="4810D261" w14:textId="77777777" w:rsidR="00B42B77" w:rsidRPr="00281BDC" w:rsidRDefault="00B42B77" w:rsidP="00B42B77">
      <w:pPr>
        <w:pStyle w:val="CETCaption"/>
        <w:spacing w:before="120" w:after="120"/>
      </w:pPr>
      <w:r w:rsidRPr="00281BDC">
        <w:t xml:space="preserve">Figure </w:t>
      </w:r>
      <w:r w:rsidRPr="00281BDC">
        <w:fldChar w:fldCharType="begin"/>
      </w:r>
      <w:r w:rsidRPr="00281BDC">
        <w:instrText xml:space="preserve"> SEQ Figure \* ARABIC </w:instrText>
      </w:r>
      <w:r w:rsidRPr="00281BDC">
        <w:fldChar w:fldCharType="separate"/>
      </w:r>
      <w:r w:rsidRPr="00281BDC">
        <w:rPr>
          <w:noProof/>
        </w:rPr>
        <w:t>2</w:t>
      </w:r>
      <w:r w:rsidRPr="00281BDC">
        <w:fldChar w:fldCharType="end"/>
      </w:r>
      <w:r w:rsidRPr="00281BDC">
        <w:t xml:space="preserve">: </w:t>
      </w:r>
      <w:r>
        <w:t xml:space="preserve">a) </w:t>
      </w:r>
      <w:r w:rsidRPr="00281BDC">
        <w:t xml:space="preserve">PLS weights referred to </w:t>
      </w:r>
      <w:r>
        <w:t xml:space="preserve">the original predictive variables, b) parity plot of </w:t>
      </w:r>
      <w:proofErr w:type="spellStart"/>
      <w:r>
        <w:t>HCl</w:t>
      </w:r>
      <w:proofErr w:type="spellEnd"/>
      <w:r>
        <w:t xml:space="preserve"> conversion. </w:t>
      </w:r>
    </w:p>
    <w:p w14:paraId="2895FC0C" w14:textId="683904F0" w:rsidR="00EA7801" w:rsidRPr="00281BDC" w:rsidRDefault="00B42B77" w:rsidP="00401179">
      <w:pPr>
        <w:pStyle w:val="CETBodytext"/>
        <w:rPr>
          <w:lang w:val="en-GB"/>
        </w:rPr>
      </w:pPr>
      <w:bookmarkStart w:id="1" w:name="_GoBack"/>
      <w:bookmarkEnd w:id="1"/>
      <w:r>
        <w:rPr>
          <w:lang w:val="en-GB"/>
        </w:rPr>
        <w:t>Figure</w:t>
      </w:r>
      <w:r w:rsidR="00126CFB">
        <w:rPr>
          <w:lang w:val="en-GB"/>
        </w:rPr>
        <w:t xml:space="preserve"> 2</w:t>
      </w:r>
      <w:r w:rsidR="004D0C18">
        <w:rPr>
          <w:lang w:val="en-GB"/>
        </w:rPr>
        <w:t>a</w:t>
      </w:r>
      <w:r w:rsidR="00EA7801" w:rsidRPr="00281BDC">
        <w:rPr>
          <w:lang w:val="en-GB"/>
        </w:rPr>
        <w:t xml:space="preserve"> shows the final PLS weights</w:t>
      </w:r>
      <w:r w:rsidR="00D671F8">
        <w:rPr>
          <w:lang w:val="en-GB"/>
        </w:rPr>
        <w:t xml:space="preserve"> </w:t>
      </w:r>
      <w:r w:rsidR="00EA7801" w:rsidRPr="00281BDC">
        <w:rPr>
          <w:lang w:val="en-GB"/>
        </w:rPr>
        <w:t xml:space="preserve">of each </w:t>
      </w:r>
      <w:r w:rsidR="00D671F8">
        <w:rPr>
          <w:lang w:val="en-GB"/>
        </w:rPr>
        <w:t>original</w:t>
      </w:r>
      <w:r w:rsidR="00EA7801" w:rsidRPr="00281BDC">
        <w:rPr>
          <w:lang w:val="en-GB"/>
        </w:rPr>
        <w:t xml:space="preserve"> variable in </w:t>
      </w:r>
      <w:r w:rsidR="00D671F8">
        <w:rPr>
          <w:lang w:val="en-GB"/>
        </w:rPr>
        <w:t xml:space="preserve">the </w:t>
      </w:r>
      <w:r w:rsidR="008D1542">
        <w:rPr>
          <w:lang w:val="en-GB"/>
        </w:rPr>
        <w:t>3-</w:t>
      </w:r>
      <w:r w:rsidR="00EA7801" w:rsidRPr="00281BDC">
        <w:rPr>
          <w:lang w:val="en-GB"/>
        </w:rPr>
        <w:t xml:space="preserve">feature PLS model. </w:t>
      </w:r>
      <w:r w:rsidR="00D05316">
        <w:rPr>
          <w:lang w:val="en-GB"/>
        </w:rPr>
        <w:t>I</w:t>
      </w:r>
      <w:r w:rsidR="00EA7801" w:rsidRPr="00281BDC">
        <w:rPr>
          <w:lang w:val="en-GB"/>
        </w:rPr>
        <w:t xml:space="preserve">n addition to the bias term, only three variables appear to </w:t>
      </w:r>
      <w:r w:rsidR="007D520D">
        <w:rPr>
          <w:lang w:val="en-GB"/>
        </w:rPr>
        <w:t>have a significant influence on</w:t>
      </w:r>
      <w:r w:rsidR="00EA7801" w:rsidRPr="00281BDC">
        <w:rPr>
          <w:lang w:val="en-GB"/>
        </w:rPr>
        <w:t xml:space="preserve"> the outlet </w:t>
      </w:r>
      <w:r w:rsidR="007D520D">
        <w:rPr>
          <w:lang w:val="en-GB"/>
        </w:rPr>
        <w:t>HCl</w:t>
      </w:r>
      <w:r w:rsidR="00EA7801" w:rsidRPr="00281BDC">
        <w:rPr>
          <w:lang w:val="en-GB"/>
        </w:rPr>
        <w:t xml:space="preserve"> molar flow. </w:t>
      </w:r>
      <w:r w:rsidR="0056149A">
        <w:rPr>
          <w:lang w:val="en-GB"/>
        </w:rPr>
        <w:t>A p</w:t>
      </w:r>
      <w:r w:rsidR="00586EF8">
        <w:rPr>
          <w:lang w:val="en-GB"/>
        </w:rPr>
        <w:t>ositive contribution mean</w:t>
      </w:r>
      <w:r w:rsidR="00F75736">
        <w:rPr>
          <w:lang w:val="en-GB"/>
        </w:rPr>
        <w:t>s</w:t>
      </w:r>
      <w:r w:rsidR="00586EF8">
        <w:rPr>
          <w:lang w:val="en-GB"/>
        </w:rPr>
        <w:t xml:space="preserve"> </w:t>
      </w:r>
      <w:r w:rsidR="009E6EB4">
        <w:rPr>
          <w:lang w:val="en-GB"/>
        </w:rPr>
        <w:t xml:space="preserve">that </w:t>
      </w:r>
      <w:r w:rsidR="008956A1">
        <w:rPr>
          <w:lang w:val="en-GB"/>
        </w:rPr>
        <w:t>an increase in the</w:t>
      </w:r>
      <w:r w:rsidR="009E6EB4">
        <w:rPr>
          <w:lang w:val="en-GB"/>
        </w:rPr>
        <w:t xml:space="preserve"> predictor translates into </w:t>
      </w:r>
      <w:r w:rsidR="008956A1">
        <w:rPr>
          <w:lang w:val="en-GB"/>
        </w:rPr>
        <w:t>an increase of</w:t>
      </w:r>
      <w:r w:rsidR="009E6EB4">
        <w:rPr>
          <w:lang w:val="en-GB"/>
        </w:rPr>
        <w:t xml:space="preserve"> outlet HCl</w:t>
      </w:r>
      <w:r w:rsidR="0056149A">
        <w:rPr>
          <w:lang w:val="en-GB"/>
        </w:rPr>
        <w:t xml:space="preserve">, while a negative </w:t>
      </w:r>
      <w:r w:rsidR="0056149A">
        <w:rPr>
          <w:lang w:val="en-GB"/>
        </w:rPr>
        <w:lastRenderedPageBreak/>
        <w:t xml:space="preserve">contribution is an indicator of an inverse correlation between predictor and outlet HCl. </w:t>
      </w:r>
      <w:r w:rsidR="00535FF4">
        <w:rPr>
          <w:lang w:val="en-GB"/>
        </w:rPr>
        <w:t xml:space="preserve">Clearly enough, </w:t>
      </w:r>
      <w:r w:rsidR="00954573">
        <w:rPr>
          <w:lang w:val="en-GB"/>
        </w:rPr>
        <w:t>t</w:t>
      </w:r>
      <w:r w:rsidR="00EA7801" w:rsidRPr="00281BDC">
        <w:rPr>
          <w:lang w:val="en-GB"/>
        </w:rPr>
        <w:t xml:space="preserve">he strong positive contribution of the inlet </w:t>
      </w:r>
      <w:r w:rsidR="004D6034">
        <w:rPr>
          <w:lang w:val="en-GB"/>
        </w:rPr>
        <w:t>HCl</w:t>
      </w:r>
      <w:r w:rsidR="00954573">
        <w:rPr>
          <w:lang w:val="en-GB"/>
        </w:rPr>
        <w:t xml:space="preserve"> molar flow</w:t>
      </w:r>
      <w:r w:rsidR="00EA7801" w:rsidRPr="00281BDC">
        <w:rPr>
          <w:lang w:val="en-GB"/>
        </w:rPr>
        <w:t xml:space="preserve">, </w:t>
      </w:r>
      <w:r w:rsidR="00954573">
        <w:rPr>
          <w:lang w:val="en-GB"/>
        </w:rPr>
        <w:t>as well as</w:t>
      </w:r>
      <w:r w:rsidR="00EA7801" w:rsidRPr="00281BDC">
        <w:rPr>
          <w:lang w:val="en-GB"/>
        </w:rPr>
        <w:t xml:space="preserve"> the strong negative contribution of the bicarbonate feed rate, are </w:t>
      </w:r>
      <w:r w:rsidR="00954573">
        <w:rPr>
          <w:lang w:val="en-GB"/>
        </w:rPr>
        <w:t xml:space="preserve">expected given the neutralisation reaction (eq. 6). </w:t>
      </w:r>
      <w:r w:rsidR="00401179">
        <w:rPr>
          <w:lang w:val="en-GB"/>
        </w:rPr>
        <w:t>L</w:t>
      </w:r>
      <w:r w:rsidR="00751027">
        <w:rPr>
          <w:lang w:val="en-GB"/>
        </w:rPr>
        <w:t xml:space="preserve">ess expected </w:t>
      </w:r>
      <w:r w:rsidR="00EA7801" w:rsidRPr="00281BDC">
        <w:rPr>
          <w:lang w:val="en-GB"/>
        </w:rPr>
        <w:t xml:space="preserve">is the strong negative contribution of the inlet </w:t>
      </w:r>
      <w:r w:rsidR="00401179">
        <w:rPr>
          <w:lang w:val="en-GB"/>
        </w:rPr>
        <w:t>SO</w:t>
      </w:r>
      <w:r w:rsidR="00401179" w:rsidRPr="00401179">
        <w:rPr>
          <w:vertAlign w:val="subscript"/>
          <w:lang w:val="en-GB"/>
        </w:rPr>
        <w:t>2</w:t>
      </w:r>
      <w:r w:rsidR="00EA7801" w:rsidRPr="00281BDC">
        <w:rPr>
          <w:lang w:val="en-GB"/>
        </w:rPr>
        <w:t xml:space="preserve"> molar flow</w:t>
      </w:r>
      <w:r w:rsidR="0077399E">
        <w:rPr>
          <w:lang w:val="en-GB"/>
        </w:rPr>
        <w:t xml:space="preserve">, </w:t>
      </w:r>
      <w:r w:rsidR="0077399E" w:rsidRPr="00AC5A12">
        <w:rPr>
          <w:i/>
          <w:iCs/>
          <w:lang w:val="en-GB"/>
        </w:rPr>
        <w:t>i.e.</w:t>
      </w:r>
      <w:r w:rsidR="0077399E">
        <w:rPr>
          <w:lang w:val="en-GB"/>
        </w:rPr>
        <w:t xml:space="preserve"> the fact that a high SO</w:t>
      </w:r>
      <w:r w:rsidR="0077399E" w:rsidRPr="00AC5A12">
        <w:rPr>
          <w:vertAlign w:val="subscript"/>
          <w:lang w:val="en-GB"/>
        </w:rPr>
        <w:t>2</w:t>
      </w:r>
      <w:r w:rsidR="0077399E">
        <w:rPr>
          <w:lang w:val="en-GB"/>
        </w:rPr>
        <w:t xml:space="preserve"> </w:t>
      </w:r>
      <w:r w:rsidR="00F33E22">
        <w:rPr>
          <w:lang w:val="en-GB"/>
        </w:rPr>
        <w:t xml:space="preserve">load entering the system </w:t>
      </w:r>
      <w:r w:rsidR="00AC5A12">
        <w:rPr>
          <w:lang w:val="en-GB"/>
        </w:rPr>
        <w:t xml:space="preserve">is correlated to a low HCl outlet flow. </w:t>
      </w:r>
      <w:r w:rsidR="00A61441">
        <w:rPr>
          <w:lang w:val="en-GB"/>
        </w:rPr>
        <w:t xml:space="preserve">This effect has to be ascribed </w:t>
      </w:r>
      <w:r w:rsidR="00452C5A">
        <w:rPr>
          <w:lang w:val="en-GB"/>
        </w:rPr>
        <w:t>indi</w:t>
      </w:r>
      <w:r w:rsidR="00414757">
        <w:rPr>
          <w:lang w:val="en-GB"/>
        </w:rPr>
        <w:t xml:space="preserve">rectly </w:t>
      </w:r>
      <w:r w:rsidR="00A61441">
        <w:rPr>
          <w:lang w:val="en-GB"/>
        </w:rPr>
        <w:t xml:space="preserve">to the </w:t>
      </w:r>
      <w:r w:rsidR="00B833C1">
        <w:rPr>
          <w:lang w:val="en-GB"/>
        </w:rPr>
        <w:t>control system</w:t>
      </w:r>
      <w:r w:rsidR="00166C74">
        <w:rPr>
          <w:lang w:val="en-GB"/>
        </w:rPr>
        <w:t>, which</w:t>
      </w:r>
      <w:r w:rsidR="00B86B82">
        <w:rPr>
          <w:lang w:val="en-GB"/>
        </w:rPr>
        <w:t xml:space="preserve"> increase</w:t>
      </w:r>
      <w:r w:rsidR="009A203E">
        <w:rPr>
          <w:lang w:val="en-GB"/>
        </w:rPr>
        <w:t xml:space="preserve">s the amount of </w:t>
      </w:r>
      <w:r w:rsidR="00E75639">
        <w:rPr>
          <w:lang w:val="en-GB"/>
        </w:rPr>
        <w:t xml:space="preserve">injected bicarbonate </w:t>
      </w:r>
      <w:r w:rsidR="00E72081">
        <w:rPr>
          <w:lang w:val="en-GB"/>
        </w:rPr>
        <w:t>also when a</w:t>
      </w:r>
      <w:r w:rsidR="00E47165">
        <w:rPr>
          <w:lang w:val="en-GB"/>
        </w:rPr>
        <w:t>n increase of outlet SO</w:t>
      </w:r>
      <w:r w:rsidR="00E47165" w:rsidRPr="00E47165">
        <w:rPr>
          <w:vertAlign w:val="subscript"/>
          <w:lang w:val="en-GB"/>
        </w:rPr>
        <w:t>2</w:t>
      </w:r>
      <w:r w:rsidR="00E47165">
        <w:rPr>
          <w:lang w:val="en-GB"/>
        </w:rPr>
        <w:t xml:space="preserve"> is observed</w:t>
      </w:r>
      <w:r w:rsidR="00166C74">
        <w:rPr>
          <w:lang w:val="en-GB"/>
        </w:rPr>
        <w:t>, as mentioned in section 3.1.</w:t>
      </w:r>
      <w:r w:rsidR="00E47165">
        <w:rPr>
          <w:lang w:val="en-GB"/>
        </w:rPr>
        <w:t xml:space="preserve"> </w:t>
      </w:r>
      <w:r w:rsidR="004A4942">
        <w:rPr>
          <w:lang w:val="en-GB"/>
        </w:rPr>
        <w:t xml:space="preserve">Bicarbonate </w:t>
      </w:r>
      <w:r w:rsidR="006B33A3">
        <w:rPr>
          <w:lang w:val="en-GB"/>
        </w:rPr>
        <w:t>as a sorbent has a higher reactivity towards HCl</w:t>
      </w:r>
      <w:r w:rsidR="001B3BDE">
        <w:rPr>
          <w:lang w:val="en-GB"/>
        </w:rPr>
        <w:t xml:space="preserve"> than SO</w:t>
      </w:r>
      <w:r w:rsidR="001B3BDE" w:rsidRPr="001B3BDE">
        <w:rPr>
          <w:vertAlign w:val="subscript"/>
          <w:lang w:val="en-GB"/>
        </w:rPr>
        <w:t>2</w:t>
      </w:r>
      <w:r w:rsidR="006B33A3">
        <w:rPr>
          <w:lang w:val="en-GB"/>
        </w:rPr>
        <w:t xml:space="preserve"> (Dal Pozzo et al., 2019</w:t>
      </w:r>
      <w:r w:rsidR="00EC7CB1">
        <w:rPr>
          <w:lang w:val="en-GB"/>
        </w:rPr>
        <w:t>b</w:t>
      </w:r>
      <w:r w:rsidR="006B33A3">
        <w:rPr>
          <w:lang w:val="en-GB"/>
        </w:rPr>
        <w:t>)</w:t>
      </w:r>
      <w:r w:rsidR="007D15CA">
        <w:rPr>
          <w:lang w:val="en-GB"/>
        </w:rPr>
        <w:t>, hence the excess feed</w:t>
      </w:r>
      <w:r w:rsidR="004121F4">
        <w:rPr>
          <w:lang w:val="en-GB"/>
        </w:rPr>
        <w:t xml:space="preserve"> rate </w:t>
      </w:r>
      <w:r w:rsidR="00A04250">
        <w:rPr>
          <w:lang w:val="en-GB"/>
        </w:rPr>
        <w:t xml:space="preserve">induced by the latter </w:t>
      </w:r>
      <w:r w:rsidR="0018719A">
        <w:rPr>
          <w:lang w:val="en-GB"/>
        </w:rPr>
        <w:t xml:space="preserve">generates a </w:t>
      </w:r>
      <w:r w:rsidR="001B3BDE">
        <w:rPr>
          <w:lang w:val="en-GB"/>
        </w:rPr>
        <w:t xml:space="preserve">relevant abatement of the former. </w:t>
      </w:r>
      <w:r w:rsidR="003679F4">
        <w:rPr>
          <w:lang w:val="en-GB"/>
        </w:rPr>
        <w:t xml:space="preserve">The contributions of the remaining variables are relatively </w:t>
      </w:r>
      <w:r w:rsidR="002F59A6">
        <w:rPr>
          <w:lang w:val="en-GB"/>
        </w:rPr>
        <w:t>negligibl</w:t>
      </w:r>
      <w:r w:rsidR="00634664">
        <w:rPr>
          <w:lang w:val="en-GB"/>
        </w:rPr>
        <w:t xml:space="preserve">e: their dynamic variation is modest </w:t>
      </w:r>
      <w:r w:rsidR="00972496">
        <w:rPr>
          <w:lang w:val="en-GB"/>
        </w:rPr>
        <w:t>and does not significantly influence HCl capture</w:t>
      </w:r>
      <w:r w:rsidR="00B27709">
        <w:rPr>
          <w:lang w:val="en-GB"/>
        </w:rPr>
        <w:t>.</w:t>
      </w:r>
    </w:p>
    <w:p w14:paraId="433E8EDC" w14:textId="3E664266" w:rsidR="00FA32BF" w:rsidRDefault="00F64E80" w:rsidP="00726A55">
      <w:pPr>
        <w:pStyle w:val="CETBodytext"/>
        <w:rPr>
          <w:lang w:val="en-GB"/>
        </w:rPr>
      </w:pPr>
      <w:r>
        <w:rPr>
          <w:lang w:val="en-GB"/>
        </w:rPr>
        <w:t>The</w:t>
      </w:r>
      <w:r w:rsidR="00AE0294">
        <w:rPr>
          <w:lang w:val="en-GB"/>
        </w:rPr>
        <w:t xml:space="preserve"> </w:t>
      </w:r>
      <w:r w:rsidR="009C5AF7">
        <w:rPr>
          <w:lang w:val="en-GB"/>
        </w:rPr>
        <w:t xml:space="preserve">PLS model </w:t>
      </w:r>
      <w:r>
        <w:rPr>
          <w:lang w:val="en-GB"/>
        </w:rPr>
        <w:t xml:space="preserve">was </w:t>
      </w:r>
      <w:r w:rsidR="009C5AF7">
        <w:rPr>
          <w:lang w:val="en-GB"/>
        </w:rPr>
        <w:t xml:space="preserve">obtained </w:t>
      </w:r>
      <w:r w:rsidR="00AE0294">
        <w:rPr>
          <w:lang w:val="en-GB"/>
        </w:rPr>
        <w:t>from eq. 5</w:t>
      </w:r>
      <w:r w:rsidR="00F05ADD">
        <w:rPr>
          <w:lang w:val="en-GB"/>
        </w:rPr>
        <w:t xml:space="preserve"> with the PLS weights of Fig. 2</w:t>
      </w:r>
      <w:r w:rsidR="00BD3028">
        <w:rPr>
          <w:lang w:val="en-GB"/>
        </w:rPr>
        <w:t>a</w:t>
      </w:r>
      <w:r w:rsidR="009D3303">
        <w:rPr>
          <w:lang w:val="en-GB"/>
        </w:rPr>
        <w:t xml:space="preserve">. </w:t>
      </w:r>
      <w:r w:rsidR="00403D6E">
        <w:rPr>
          <w:lang w:val="en-GB"/>
        </w:rPr>
        <w:t>The verification of its per</w:t>
      </w:r>
      <w:r w:rsidR="00737EF7">
        <w:rPr>
          <w:lang w:val="en-GB"/>
        </w:rPr>
        <w:t xml:space="preserve">formance in predicting DTS behaviour was tested against </w:t>
      </w:r>
      <w:r w:rsidR="00F26C42">
        <w:rPr>
          <w:lang w:val="en-GB"/>
        </w:rPr>
        <w:t xml:space="preserve">process data collected in the validation dataset. Fig. </w:t>
      </w:r>
      <w:r w:rsidR="00BD3028">
        <w:rPr>
          <w:lang w:val="en-GB"/>
        </w:rPr>
        <w:t>2b</w:t>
      </w:r>
      <w:r w:rsidR="00F26C42">
        <w:rPr>
          <w:lang w:val="en-GB"/>
        </w:rPr>
        <w:t xml:space="preserve"> shows the parity plot of </w:t>
      </w:r>
      <w:proofErr w:type="spellStart"/>
      <w:r w:rsidR="00F26C42">
        <w:rPr>
          <w:lang w:val="en-GB"/>
        </w:rPr>
        <w:t>HCl</w:t>
      </w:r>
      <w:proofErr w:type="spellEnd"/>
      <w:r w:rsidR="00F26C42">
        <w:rPr>
          <w:lang w:val="en-GB"/>
        </w:rPr>
        <w:t xml:space="preserve"> conversion</w:t>
      </w:r>
      <w:r w:rsidR="00B451AE">
        <w:rPr>
          <w:lang w:val="en-GB"/>
        </w:rPr>
        <w:t xml:space="preserve"> (</w:t>
      </w:r>
      <w:proofErr w:type="spellStart"/>
      <w:r w:rsidR="00B451AE" w:rsidRPr="00B451AE">
        <w:rPr>
          <w:i/>
          <w:iCs/>
          <w:lang w:val="en-GB"/>
        </w:rPr>
        <w:t>X</w:t>
      </w:r>
      <w:r w:rsidR="00B451AE" w:rsidRPr="00B451AE">
        <w:rPr>
          <w:i/>
          <w:iCs/>
          <w:vertAlign w:val="subscript"/>
          <w:lang w:val="en-GB"/>
        </w:rPr>
        <w:t>HCl</w:t>
      </w:r>
      <w:proofErr w:type="spellEnd"/>
      <w:r w:rsidR="00B451AE">
        <w:rPr>
          <w:lang w:val="en-GB"/>
        </w:rPr>
        <w:t>)</w:t>
      </w:r>
      <w:r w:rsidR="00167921">
        <w:rPr>
          <w:lang w:val="en-GB"/>
        </w:rPr>
        <w:t xml:space="preserve">. The comparison of model predictions against process data </w:t>
      </w:r>
      <w:r w:rsidR="00940139">
        <w:rPr>
          <w:lang w:val="en-GB"/>
        </w:rPr>
        <w:t xml:space="preserve">(each dot is </w:t>
      </w:r>
      <w:r w:rsidR="002A0BAC">
        <w:rPr>
          <w:lang w:val="en-GB"/>
        </w:rPr>
        <w:t xml:space="preserve">the average HCl conversion over </w:t>
      </w:r>
      <w:r w:rsidR="00ED5A4C">
        <w:rPr>
          <w:lang w:val="en-GB"/>
        </w:rPr>
        <w:t>20</w:t>
      </w:r>
      <w:r w:rsidR="002A0BAC">
        <w:rPr>
          <w:lang w:val="en-GB"/>
        </w:rPr>
        <w:t xml:space="preserve"> min)</w:t>
      </w:r>
      <w:r w:rsidR="00864F70">
        <w:rPr>
          <w:lang w:val="en-GB"/>
        </w:rPr>
        <w:t xml:space="preserve"> </w:t>
      </w:r>
      <w:r w:rsidR="00F96399">
        <w:rPr>
          <w:lang w:val="en-GB"/>
        </w:rPr>
        <w:t>demonstrate</w:t>
      </w:r>
      <w:r w:rsidR="000D75FF">
        <w:rPr>
          <w:lang w:val="en-GB"/>
        </w:rPr>
        <w:t xml:space="preserve">s a satisfactory performance </w:t>
      </w:r>
      <w:r w:rsidR="00E14CCF">
        <w:rPr>
          <w:lang w:val="en-GB"/>
        </w:rPr>
        <w:t xml:space="preserve">for HCl conversions &gt; </w:t>
      </w:r>
      <w:r w:rsidR="0015725A">
        <w:rPr>
          <w:lang w:val="en-GB"/>
        </w:rPr>
        <w:t>98%</w:t>
      </w:r>
      <w:r w:rsidR="00E84895">
        <w:rPr>
          <w:lang w:val="en-GB"/>
        </w:rPr>
        <w:t xml:space="preserve">, while for </w:t>
      </w:r>
      <w:r w:rsidR="00C17058">
        <w:rPr>
          <w:lang w:val="en-GB"/>
        </w:rPr>
        <w:t xml:space="preserve">lower </w:t>
      </w:r>
      <w:r w:rsidR="00AE6165">
        <w:rPr>
          <w:lang w:val="en-GB"/>
        </w:rPr>
        <w:t>values the model tend</w:t>
      </w:r>
      <w:r w:rsidR="00922945">
        <w:rPr>
          <w:lang w:val="en-GB"/>
        </w:rPr>
        <w:t>s</w:t>
      </w:r>
      <w:r w:rsidR="00AE6165">
        <w:rPr>
          <w:lang w:val="en-GB"/>
        </w:rPr>
        <w:t xml:space="preserve"> to overestimate the real HCl conversion. </w:t>
      </w:r>
      <w:r w:rsidR="007F51AA">
        <w:rPr>
          <w:lang w:val="en-GB"/>
        </w:rPr>
        <w:t xml:space="preserve">This </w:t>
      </w:r>
      <w:r w:rsidR="00211779">
        <w:rPr>
          <w:lang w:val="en-GB"/>
        </w:rPr>
        <w:t>can be also seen in</w:t>
      </w:r>
      <w:r w:rsidR="00BC1427">
        <w:rPr>
          <w:lang w:val="en-GB"/>
        </w:rPr>
        <w:t xml:space="preserve"> </w:t>
      </w:r>
      <w:r w:rsidR="00B2378D">
        <w:rPr>
          <w:lang w:val="en-GB"/>
        </w:rPr>
        <w:t>the</w:t>
      </w:r>
      <w:r w:rsidR="00BC1427">
        <w:rPr>
          <w:lang w:val="en-GB"/>
        </w:rPr>
        <w:t xml:space="preserve"> time series</w:t>
      </w:r>
      <w:r w:rsidR="006B37CF">
        <w:rPr>
          <w:lang w:val="en-GB"/>
        </w:rPr>
        <w:t xml:space="preserve"> of outlet HCl molar flow rate shown in Fig. </w:t>
      </w:r>
      <w:r w:rsidR="00BD3028">
        <w:rPr>
          <w:lang w:val="en-GB"/>
        </w:rPr>
        <w:t>3a</w:t>
      </w:r>
      <w:r w:rsidR="001D1C33">
        <w:rPr>
          <w:lang w:val="en-GB"/>
        </w:rPr>
        <w:t xml:space="preserve">, where the model </w:t>
      </w:r>
      <w:r w:rsidR="003E7681">
        <w:rPr>
          <w:lang w:val="en-GB"/>
        </w:rPr>
        <w:t xml:space="preserve">fits </w:t>
      </w:r>
      <w:r w:rsidR="005A369F">
        <w:rPr>
          <w:lang w:val="en-GB"/>
        </w:rPr>
        <w:t xml:space="preserve">satisfactorily </w:t>
      </w:r>
      <w:r w:rsidR="00072016">
        <w:rPr>
          <w:lang w:val="en-GB"/>
        </w:rPr>
        <w:t>the typical range of outlet HCl molar flow rate</w:t>
      </w:r>
      <w:r w:rsidR="000D36BA">
        <w:rPr>
          <w:lang w:val="en-GB"/>
        </w:rPr>
        <w:t xml:space="preserve"> </w:t>
      </w:r>
      <w:r w:rsidR="00F63AE8">
        <w:rPr>
          <w:lang w:val="en-GB"/>
        </w:rPr>
        <w:t>(0.01-0.06</w:t>
      </w:r>
      <w:r w:rsidR="000D36BA">
        <w:rPr>
          <w:lang w:val="en-GB"/>
        </w:rPr>
        <w:t xml:space="preserve"> </w:t>
      </w:r>
      <w:proofErr w:type="spellStart"/>
      <w:r w:rsidR="000D36BA">
        <w:rPr>
          <w:lang w:val="en-GB"/>
        </w:rPr>
        <w:t>kmol</w:t>
      </w:r>
      <w:proofErr w:type="spellEnd"/>
      <w:r w:rsidR="000D36BA">
        <w:rPr>
          <w:lang w:val="en-GB"/>
        </w:rPr>
        <w:t>/h)</w:t>
      </w:r>
      <w:r w:rsidR="00D969D3">
        <w:rPr>
          <w:lang w:val="en-GB"/>
        </w:rPr>
        <w:t xml:space="preserve"> but fails to predict sudden peaks of HCl breakthrough. </w:t>
      </w:r>
      <w:r w:rsidR="00A73163">
        <w:rPr>
          <w:lang w:val="en-GB"/>
        </w:rPr>
        <w:t xml:space="preserve">This phenomenon is </w:t>
      </w:r>
      <w:r w:rsidR="0033020D">
        <w:rPr>
          <w:lang w:val="en-GB"/>
        </w:rPr>
        <w:t>likely</w:t>
      </w:r>
      <w:r w:rsidR="001A4295">
        <w:rPr>
          <w:lang w:val="en-GB"/>
        </w:rPr>
        <w:t xml:space="preserve"> </w:t>
      </w:r>
      <w:r w:rsidR="001A4295" w:rsidRPr="00281BDC">
        <w:rPr>
          <w:lang w:val="en-GB"/>
        </w:rPr>
        <w:t xml:space="preserve">due to intrinsic inability of </w:t>
      </w:r>
      <w:r w:rsidR="001A4295">
        <w:rPr>
          <w:lang w:val="en-GB"/>
        </w:rPr>
        <w:t>a</w:t>
      </w:r>
      <w:r w:rsidR="001A4295" w:rsidRPr="00281BDC">
        <w:rPr>
          <w:lang w:val="en-GB"/>
        </w:rPr>
        <w:t xml:space="preserve"> linear model</w:t>
      </w:r>
      <w:r w:rsidR="001A4295">
        <w:rPr>
          <w:lang w:val="en-GB"/>
        </w:rPr>
        <w:t xml:space="preserve"> such as PLS</w:t>
      </w:r>
      <w:r w:rsidR="001A4295" w:rsidRPr="00281BDC">
        <w:rPr>
          <w:lang w:val="en-GB"/>
        </w:rPr>
        <w:t xml:space="preserve"> to </w:t>
      </w:r>
      <w:r w:rsidR="005107D8">
        <w:rPr>
          <w:lang w:val="en-GB"/>
        </w:rPr>
        <w:t>approximate effectively</w:t>
      </w:r>
      <w:r w:rsidR="0033020D">
        <w:rPr>
          <w:lang w:val="en-GB"/>
        </w:rPr>
        <w:t xml:space="preserve"> </w:t>
      </w:r>
      <w:r w:rsidR="001C25DA">
        <w:rPr>
          <w:lang w:val="en-GB"/>
        </w:rPr>
        <w:t xml:space="preserve">on a wide range of </w:t>
      </w:r>
      <w:r w:rsidR="00F82338">
        <w:rPr>
          <w:lang w:val="en-GB"/>
        </w:rPr>
        <w:t xml:space="preserve">HCl loads </w:t>
      </w:r>
      <w:r w:rsidR="002968C3">
        <w:rPr>
          <w:lang w:val="en-GB"/>
        </w:rPr>
        <w:t>the non-linear</w:t>
      </w:r>
      <w:r w:rsidR="005058DC">
        <w:rPr>
          <w:lang w:val="en-GB"/>
        </w:rPr>
        <w:t xml:space="preserve"> relation between</w:t>
      </w:r>
      <w:r w:rsidR="008C2B7E">
        <w:rPr>
          <w:lang w:val="en-GB"/>
        </w:rPr>
        <w:t xml:space="preserve"> bicarbonate feed and HCl conversion </w:t>
      </w:r>
      <w:r w:rsidR="008C1773">
        <w:rPr>
          <w:lang w:val="en-GB"/>
        </w:rPr>
        <w:t>(Dal Pozzo et al., 2018</w:t>
      </w:r>
      <w:r w:rsidR="008C7036">
        <w:rPr>
          <w:lang w:val="en-GB"/>
        </w:rPr>
        <w:t>b</w:t>
      </w:r>
      <w:r w:rsidR="008C1773">
        <w:rPr>
          <w:lang w:val="en-GB"/>
        </w:rPr>
        <w:t>)</w:t>
      </w:r>
      <w:r w:rsidR="005107D8">
        <w:rPr>
          <w:lang w:val="en-GB"/>
        </w:rPr>
        <w:t>.</w:t>
      </w:r>
      <w:r w:rsidR="00BC1427">
        <w:rPr>
          <w:lang w:val="en-GB"/>
        </w:rPr>
        <w:t xml:space="preserve"> </w:t>
      </w:r>
    </w:p>
    <w:p w14:paraId="42F2088A" w14:textId="325270E1" w:rsidR="00C86680" w:rsidRPr="00281BDC" w:rsidRDefault="00A90886" w:rsidP="00B42B77">
      <w:pPr>
        <w:pStyle w:val="CETBodytext"/>
        <w:spacing w:before="120" w:after="120"/>
        <w:jc w:val="center"/>
        <w:rPr>
          <w:lang w:val="en-GB"/>
        </w:rPr>
      </w:pPr>
      <w:r>
        <w:rPr>
          <w:noProof/>
          <w:lang w:val="it-IT" w:eastAsia="it-IT"/>
        </w:rPr>
        <w:drawing>
          <wp:inline distT="0" distB="0" distL="0" distR="0" wp14:anchorId="6906E1CF" wp14:editId="1F6CC7F6">
            <wp:extent cx="5576570" cy="1835785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A0B2" w14:textId="004EBDC6" w:rsidR="00C86680" w:rsidRPr="00281BDC" w:rsidRDefault="00C86680" w:rsidP="00B42B77">
      <w:pPr>
        <w:pStyle w:val="CETCaption"/>
        <w:spacing w:before="120" w:after="120"/>
      </w:pPr>
      <w:bookmarkStart w:id="2" w:name="_Ref33697899"/>
      <w:r>
        <w:t>F</w:t>
      </w:r>
      <w:r w:rsidRPr="00281BDC">
        <w:t xml:space="preserve">igure </w:t>
      </w:r>
      <w:bookmarkEnd w:id="2"/>
      <w:r>
        <w:t>3</w:t>
      </w:r>
      <w:r w:rsidRPr="00281BDC">
        <w:t xml:space="preserve">: </w:t>
      </w:r>
      <w:r w:rsidR="00E24002">
        <w:t xml:space="preserve">time series of outlet HCl </w:t>
      </w:r>
      <w:r w:rsidR="008F06FA">
        <w:t xml:space="preserve">molar flow: a) process data vs. PLS model, b) </w:t>
      </w:r>
      <w:r w:rsidR="004D0C18">
        <w:t xml:space="preserve">process </w:t>
      </w:r>
      <w:r w:rsidR="008F06FA">
        <w:t xml:space="preserve">data vs. </w:t>
      </w:r>
      <w:r w:rsidR="004D0C18">
        <w:t xml:space="preserve">PLS model and </w:t>
      </w:r>
      <w:r w:rsidR="008F06FA">
        <w:t xml:space="preserve">stationary model. </w:t>
      </w:r>
    </w:p>
    <w:p w14:paraId="64C39D00" w14:textId="36B4EC2A" w:rsidR="002F009C" w:rsidRDefault="00FA32BF" w:rsidP="00726A55">
      <w:pPr>
        <w:pStyle w:val="CETBodytext"/>
        <w:rPr>
          <w:lang w:val="en-GB"/>
        </w:rPr>
      </w:pPr>
      <w:r>
        <w:rPr>
          <w:lang w:val="en-GB"/>
        </w:rPr>
        <w:t xml:space="preserve">Nonetheless, </w:t>
      </w:r>
      <w:r w:rsidR="00C70C3D">
        <w:rPr>
          <w:lang w:val="en-GB"/>
        </w:rPr>
        <w:t xml:space="preserve">to put things into perspective, </w:t>
      </w:r>
      <w:r w:rsidR="00137857">
        <w:rPr>
          <w:lang w:val="en-GB"/>
        </w:rPr>
        <w:t xml:space="preserve">in Fig. 3b </w:t>
      </w:r>
      <w:r w:rsidR="00AF28FB">
        <w:rPr>
          <w:lang w:val="en-GB"/>
        </w:rPr>
        <w:t>the predictive performance of the PLS model is compared</w:t>
      </w:r>
      <w:r w:rsidR="00137857">
        <w:rPr>
          <w:lang w:val="en-GB"/>
        </w:rPr>
        <w:t xml:space="preserve"> </w:t>
      </w:r>
      <w:r w:rsidR="00AF28FB">
        <w:rPr>
          <w:lang w:val="en-GB"/>
        </w:rPr>
        <w:t xml:space="preserve">to </w:t>
      </w:r>
      <w:r w:rsidR="00361F89">
        <w:rPr>
          <w:lang w:val="en-GB"/>
        </w:rPr>
        <w:t xml:space="preserve">the results obtained </w:t>
      </w:r>
      <w:r w:rsidR="009A0CBA">
        <w:rPr>
          <w:lang w:val="en-GB"/>
        </w:rPr>
        <w:t>by fitting the process data with</w:t>
      </w:r>
      <w:r w:rsidR="00361F89">
        <w:rPr>
          <w:lang w:val="en-GB"/>
        </w:rPr>
        <w:t xml:space="preserve"> </w:t>
      </w:r>
      <w:r w:rsidR="002C236F">
        <w:rPr>
          <w:lang w:val="en-GB"/>
        </w:rPr>
        <w:t>a</w:t>
      </w:r>
      <w:r w:rsidR="00B7607F">
        <w:rPr>
          <w:lang w:val="en-GB"/>
        </w:rPr>
        <w:t xml:space="preserve"> </w:t>
      </w:r>
      <w:r w:rsidR="002C236F">
        <w:rPr>
          <w:lang w:val="en-GB"/>
        </w:rPr>
        <w:t xml:space="preserve">stationary </w:t>
      </w:r>
      <w:r w:rsidR="00A41AB2">
        <w:rPr>
          <w:lang w:val="en-GB"/>
        </w:rPr>
        <w:t xml:space="preserve">operational </w:t>
      </w:r>
      <w:r w:rsidR="002C236F">
        <w:rPr>
          <w:lang w:val="en-GB"/>
        </w:rPr>
        <w:t>model</w:t>
      </w:r>
      <w:r w:rsidR="00F012AE">
        <w:rPr>
          <w:lang w:val="en-GB"/>
        </w:rPr>
        <w:t>. The chosen stationary model</w:t>
      </w:r>
      <w:r w:rsidR="007274B0">
        <w:rPr>
          <w:lang w:val="en-GB"/>
        </w:rPr>
        <w:t>, proposed in Dal Pozzo et al. (2018</w:t>
      </w:r>
      <w:r w:rsidR="008C7036">
        <w:rPr>
          <w:lang w:val="en-GB"/>
        </w:rPr>
        <w:t>c</w:t>
      </w:r>
      <w:r w:rsidR="007274B0">
        <w:rPr>
          <w:lang w:val="en-GB"/>
        </w:rPr>
        <w:t>),</w:t>
      </w:r>
      <w:r w:rsidR="002F009C">
        <w:rPr>
          <w:lang w:val="en-GB"/>
        </w:rPr>
        <w:t xml:space="preserve"> has the following formulation:</w:t>
      </w:r>
    </w:p>
    <w:tbl>
      <w:tblPr>
        <w:tblStyle w:val="Grigliatabella"/>
        <w:tblW w:w="8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1"/>
        <w:gridCol w:w="438"/>
      </w:tblGrid>
      <w:tr w:rsidR="00D517E6" w:rsidRPr="0071134B" w14:paraId="37F3E05E" w14:textId="77777777" w:rsidTr="00EC2645">
        <w:trPr>
          <w:trHeight w:val="409"/>
        </w:trPr>
        <w:tc>
          <w:tcPr>
            <w:tcW w:w="8461" w:type="dxa"/>
            <w:vAlign w:val="center"/>
          </w:tcPr>
          <w:p w14:paraId="36204B8A" w14:textId="58798A00" w:rsidR="00D517E6" w:rsidRPr="008A6328" w:rsidRDefault="001B7447" w:rsidP="00EC2645">
            <w:pPr>
              <w:spacing w:before="120" w:line="360" w:lineRule="auto"/>
              <w:contextualSpacing/>
              <w:jc w:val="center"/>
              <w:rPr>
                <w:rFonts w:cs="Arial"/>
                <w:sz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HCl</m:t>
                    </m:r>
                  </m:sub>
                </m:sSub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SR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="Arial"/>
                        <w:szCs w:val="18"/>
                      </w:rPr>
                      <m:t>-SR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SR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="Arial"/>
                        <w:szCs w:val="18"/>
                      </w:rPr>
                      <m:t>-1</m:t>
                    </m:r>
                  </m:den>
                </m:f>
                <m:d>
                  <m:d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18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F</m:t>
                        </m:r>
                      </m:sub>
                    </m:sSub>
                    <m:ctrlPr>
                      <w:rPr>
                        <w:rFonts w:ascii="Cambria Math" w:hAnsi="Cambria Math" w:cs="Arial"/>
                        <w:i/>
                      </w:rPr>
                    </m:ctrlPr>
                  </m:e>
                </m:d>
                <m:r>
                  <w:rPr>
                    <w:rFonts w:ascii="Cambria Math" w:hAnsi="Cambria Math" w:cs="Arial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438" w:type="dxa"/>
            <w:vAlign w:val="center"/>
          </w:tcPr>
          <w:p w14:paraId="0FFEAB07" w14:textId="77777777" w:rsidR="00D517E6" w:rsidRPr="0071134B" w:rsidRDefault="00D517E6" w:rsidP="00EC2645">
            <w:pPr>
              <w:pStyle w:val="CETBodytext"/>
              <w:spacing w:before="120"/>
              <w:jc w:val="right"/>
            </w:pPr>
            <w:r w:rsidRPr="0071134B">
              <w:t>(3)</w:t>
            </w:r>
          </w:p>
        </w:tc>
      </w:tr>
    </w:tbl>
    <w:p w14:paraId="4BE08210" w14:textId="5803C6C7" w:rsidR="00DC7A53" w:rsidRPr="00281BDC" w:rsidRDefault="00B07C05" w:rsidP="00726A55">
      <w:pPr>
        <w:pStyle w:val="CETBodytext"/>
        <w:rPr>
          <w:lang w:val="en-GB"/>
        </w:rPr>
      </w:pPr>
      <w:r>
        <w:rPr>
          <w:lang w:val="en-GB"/>
        </w:rPr>
        <w:t>w</w:t>
      </w:r>
      <w:r w:rsidR="007274B0">
        <w:rPr>
          <w:lang w:val="en-GB"/>
        </w:rPr>
        <w:t>here</w:t>
      </w:r>
      <w:r>
        <w:rPr>
          <w:lang w:val="en-GB"/>
        </w:rPr>
        <w:t xml:space="preserve"> SR is the stoichiometric ratio of bicarbonate feed</w:t>
      </w:r>
      <w:r w:rsidR="00083216">
        <w:rPr>
          <w:lang w:val="en-GB"/>
        </w:rPr>
        <w:t xml:space="preserve">, while </w:t>
      </w:r>
      <w:r w:rsidR="00083216" w:rsidRPr="00616E7D">
        <w:rPr>
          <w:i/>
          <w:iCs/>
          <w:lang w:val="en-GB"/>
        </w:rPr>
        <w:t>n</w:t>
      </w:r>
      <w:r w:rsidR="00083216">
        <w:rPr>
          <w:lang w:val="en-GB"/>
        </w:rPr>
        <w:t xml:space="preserve"> and </w:t>
      </w:r>
      <w:r w:rsidR="00083216" w:rsidRPr="00616E7D">
        <w:rPr>
          <w:i/>
          <w:iCs/>
          <w:lang w:val="en-GB"/>
        </w:rPr>
        <w:t>X</w:t>
      </w:r>
      <w:r w:rsidR="00083216" w:rsidRPr="00616E7D">
        <w:rPr>
          <w:i/>
          <w:iCs/>
          <w:vertAlign w:val="subscript"/>
          <w:lang w:val="en-GB"/>
        </w:rPr>
        <w:t>F</w:t>
      </w:r>
      <w:r w:rsidR="00083216">
        <w:rPr>
          <w:lang w:val="en-GB"/>
        </w:rPr>
        <w:t xml:space="preserve"> are two fitting parameters </w:t>
      </w:r>
      <w:r w:rsidR="00616E7D">
        <w:rPr>
          <w:lang w:val="en-GB"/>
        </w:rPr>
        <w:t>accounting for the acid gas removal contributions of the reaction tower and the filter cake, respectively</w:t>
      </w:r>
      <w:r w:rsidR="007274B0">
        <w:rPr>
          <w:lang w:val="en-GB"/>
        </w:rPr>
        <w:t xml:space="preserve">. </w:t>
      </w:r>
      <w:r w:rsidR="00E4305E">
        <w:rPr>
          <w:lang w:val="en-GB"/>
        </w:rPr>
        <w:t xml:space="preserve">By design, </w:t>
      </w:r>
      <w:r w:rsidR="00A65475">
        <w:rPr>
          <w:lang w:val="en-GB"/>
        </w:rPr>
        <w:t>this simplified model</w:t>
      </w:r>
      <w:r w:rsidR="00E4305E">
        <w:rPr>
          <w:lang w:val="en-GB"/>
        </w:rPr>
        <w:t xml:space="preserve"> takes into account the non-linearity of acid gas removal and, o</w:t>
      </w:r>
      <w:r w:rsidR="00E4305E" w:rsidRPr="00E4305E">
        <w:rPr>
          <w:lang w:val="en-GB"/>
        </w:rPr>
        <w:t>nce calibrated on the pla</w:t>
      </w:r>
      <w:r w:rsidR="00B42B77">
        <w:rPr>
          <w:lang w:val="en-GB"/>
        </w:rPr>
        <w:t>nt data,</w:t>
      </w:r>
      <w:r w:rsidR="007274B0">
        <w:rPr>
          <w:lang w:val="en-GB"/>
        </w:rPr>
        <w:t xml:space="preserve"> </w:t>
      </w:r>
      <w:r w:rsidR="00E4305E">
        <w:rPr>
          <w:lang w:val="en-GB"/>
        </w:rPr>
        <w:t xml:space="preserve">it </w:t>
      </w:r>
      <w:r w:rsidR="007274B0">
        <w:rPr>
          <w:lang w:val="en-GB"/>
        </w:rPr>
        <w:t>has been prove</w:t>
      </w:r>
      <w:r w:rsidR="009B15D6">
        <w:rPr>
          <w:lang w:val="en-GB"/>
        </w:rPr>
        <w:t>n</w:t>
      </w:r>
      <w:r w:rsidR="007274B0">
        <w:rPr>
          <w:lang w:val="en-GB"/>
        </w:rPr>
        <w:t xml:space="preserve"> capable of </w:t>
      </w:r>
      <w:r w:rsidR="008726B5">
        <w:rPr>
          <w:lang w:val="en-GB"/>
        </w:rPr>
        <w:t>providing a satisfactory simulation of</w:t>
      </w:r>
      <w:r w:rsidR="005613E1">
        <w:rPr>
          <w:lang w:val="en-GB"/>
        </w:rPr>
        <w:t xml:space="preserve"> </w:t>
      </w:r>
      <w:r w:rsidR="001702DF">
        <w:rPr>
          <w:lang w:val="en-GB"/>
        </w:rPr>
        <w:t xml:space="preserve">average </w:t>
      </w:r>
      <w:r w:rsidR="00B176F2">
        <w:rPr>
          <w:lang w:val="en-GB"/>
        </w:rPr>
        <w:t>DTS</w:t>
      </w:r>
      <w:r w:rsidR="001702DF">
        <w:rPr>
          <w:lang w:val="en-GB"/>
        </w:rPr>
        <w:t xml:space="preserve"> </w:t>
      </w:r>
      <w:r w:rsidR="00B176F2">
        <w:rPr>
          <w:lang w:val="en-GB"/>
        </w:rPr>
        <w:t xml:space="preserve">behaviour, more than sufficient for </w:t>
      </w:r>
      <w:r w:rsidR="00D01B6F">
        <w:rPr>
          <w:lang w:val="en-GB"/>
        </w:rPr>
        <w:t>process optimisation purposes</w:t>
      </w:r>
      <w:r w:rsidR="00A65475">
        <w:rPr>
          <w:lang w:val="en-GB"/>
        </w:rPr>
        <w:t xml:space="preserve"> (Dal Pozzo et al., 2018</w:t>
      </w:r>
      <w:r w:rsidR="008C7036">
        <w:rPr>
          <w:lang w:val="en-GB"/>
        </w:rPr>
        <w:t>c</w:t>
      </w:r>
      <w:r w:rsidR="00A65475">
        <w:rPr>
          <w:lang w:val="en-GB"/>
        </w:rPr>
        <w:t>)</w:t>
      </w:r>
      <w:r w:rsidR="00D01B6F">
        <w:rPr>
          <w:lang w:val="en-GB"/>
        </w:rPr>
        <w:t xml:space="preserve">. </w:t>
      </w:r>
      <w:r w:rsidR="009166A6">
        <w:rPr>
          <w:lang w:val="en-GB"/>
        </w:rPr>
        <w:t>Here, it is shown that</w:t>
      </w:r>
      <w:r w:rsidR="00E4305E">
        <w:rPr>
          <w:lang w:val="en-GB"/>
        </w:rPr>
        <w:t>, when applied to the dynamic simul</w:t>
      </w:r>
      <w:r w:rsidR="001361DE">
        <w:rPr>
          <w:lang w:val="en-GB"/>
        </w:rPr>
        <w:t>ation of HCl removal at high time resolution (Fig. 3b)</w:t>
      </w:r>
      <w:r w:rsidR="00F86BB8">
        <w:rPr>
          <w:lang w:val="en-GB"/>
        </w:rPr>
        <w:t xml:space="preserve">, this </w:t>
      </w:r>
      <w:r w:rsidR="000C56F9">
        <w:rPr>
          <w:lang w:val="en-GB"/>
        </w:rPr>
        <w:t xml:space="preserve">non-linear stationary </w:t>
      </w:r>
      <w:r w:rsidR="00F86BB8">
        <w:rPr>
          <w:lang w:val="en-GB"/>
        </w:rPr>
        <w:t xml:space="preserve">model </w:t>
      </w:r>
      <w:r w:rsidR="006773DD">
        <w:rPr>
          <w:lang w:val="en-GB"/>
        </w:rPr>
        <w:t>is way less capable of handling the</w:t>
      </w:r>
      <w:r w:rsidR="000C2721">
        <w:rPr>
          <w:lang w:val="en-GB"/>
        </w:rPr>
        <w:t xml:space="preserve"> fluctuations of operating conditions</w:t>
      </w:r>
      <w:r w:rsidR="000C56F9">
        <w:rPr>
          <w:lang w:val="en-GB"/>
        </w:rPr>
        <w:t xml:space="preserve"> than the </w:t>
      </w:r>
      <w:r w:rsidR="00ED569F">
        <w:rPr>
          <w:lang w:val="en-GB"/>
        </w:rPr>
        <w:t xml:space="preserve">linear PLS model. </w:t>
      </w:r>
      <w:r w:rsidR="00194F12">
        <w:rPr>
          <w:lang w:val="en-GB"/>
        </w:rPr>
        <w:t xml:space="preserve">Thus, the performance of the PLS model, albeit lacking </w:t>
      </w:r>
      <w:r w:rsidR="00EF5559">
        <w:rPr>
          <w:lang w:val="en-GB"/>
        </w:rPr>
        <w:t xml:space="preserve">when the system deviates significantly from normal operation, </w:t>
      </w:r>
      <w:r w:rsidR="00C86680">
        <w:rPr>
          <w:lang w:val="en-GB"/>
        </w:rPr>
        <w:t xml:space="preserve">represent a clear improvement compared to stationary model in view of monitoring and control applications. </w:t>
      </w:r>
      <w:r w:rsidR="00B05F0E">
        <w:rPr>
          <w:lang w:val="en-GB"/>
        </w:rPr>
        <w:t xml:space="preserve"> </w:t>
      </w:r>
    </w:p>
    <w:p w14:paraId="25AA60DC" w14:textId="1B7729A4" w:rsidR="003749E2" w:rsidRPr="00281BDC" w:rsidRDefault="00DA60CE" w:rsidP="00A279CF">
      <w:pPr>
        <w:pStyle w:val="CETHeading1"/>
        <w:numPr>
          <w:ilvl w:val="1"/>
          <w:numId w:val="26"/>
        </w:numPr>
        <w:rPr>
          <w:lang w:val="en-GB"/>
        </w:rPr>
      </w:pPr>
      <w:r w:rsidRPr="00281BDC">
        <w:rPr>
          <w:lang w:val="en-GB"/>
        </w:rPr>
        <w:t>Conclusion</w:t>
      </w:r>
    </w:p>
    <w:p w14:paraId="314F8F7B" w14:textId="77777777" w:rsidR="00917D33" w:rsidRDefault="00010C87" w:rsidP="00344EE9">
      <w:pPr>
        <w:pStyle w:val="CETBodytext"/>
        <w:rPr>
          <w:lang w:val="en-GB"/>
        </w:rPr>
      </w:pPr>
      <w:r>
        <w:rPr>
          <w:lang w:val="en-GB"/>
        </w:rPr>
        <w:t xml:space="preserve">The present study </w:t>
      </w:r>
      <w:r w:rsidR="00EB39D2">
        <w:rPr>
          <w:lang w:val="en-GB"/>
        </w:rPr>
        <w:t xml:space="preserve">explored the potential of a chemometric approach to the modelling of </w:t>
      </w:r>
      <w:proofErr w:type="spellStart"/>
      <w:r w:rsidR="00974C3F">
        <w:rPr>
          <w:lang w:val="en-GB"/>
        </w:rPr>
        <w:t>HCl</w:t>
      </w:r>
      <w:proofErr w:type="spellEnd"/>
      <w:r w:rsidR="00EB39D2">
        <w:rPr>
          <w:lang w:val="en-GB"/>
        </w:rPr>
        <w:t xml:space="preserve"> removal in </w:t>
      </w:r>
      <w:proofErr w:type="spellStart"/>
      <w:r w:rsidR="00EB39D2">
        <w:rPr>
          <w:lang w:val="en-GB"/>
        </w:rPr>
        <w:t>WtE</w:t>
      </w:r>
      <w:proofErr w:type="spellEnd"/>
      <w:r w:rsidR="00EB39D2">
        <w:rPr>
          <w:lang w:val="en-GB"/>
        </w:rPr>
        <w:t xml:space="preserve"> plants, an industrial operation </w:t>
      </w:r>
      <w:r w:rsidR="00285671">
        <w:rPr>
          <w:lang w:val="en-GB"/>
        </w:rPr>
        <w:t xml:space="preserve">characterised by </w:t>
      </w:r>
      <w:r w:rsidR="00886025">
        <w:rPr>
          <w:lang w:val="en-GB"/>
        </w:rPr>
        <w:t>highly fluctuating operating conditions</w:t>
      </w:r>
      <w:r w:rsidR="00C3418F">
        <w:rPr>
          <w:lang w:val="en-GB"/>
        </w:rPr>
        <w:t xml:space="preserve"> and </w:t>
      </w:r>
      <w:r w:rsidR="00974C3F">
        <w:rPr>
          <w:lang w:val="en-GB"/>
        </w:rPr>
        <w:t xml:space="preserve">the </w:t>
      </w:r>
      <w:r w:rsidR="00C3418F">
        <w:rPr>
          <w:lang w:val="en-GB"/>
        </w:rPr>
        <w:t>possible influence of several variables on the</w:t>
      </w:r>
      <w:r w:rsidR="00974C3F">
        <w:rPr>
          <w:lang w:val="en-GB"/>
        </w:rPr>
        <w:t xml:space="preserve"> instantaneous HCl removal efficiency.</w:t>
      </w:r>
      <w:r w:rsidR="00C3418F">
        <w:rPr>
          <w:lang w:val="en-GB"/>
        </w:rPr>
        <w:t xml:space="preserve"> </w:t>
      </w:r>
      <w:r w:rsidR="000710BF">
        <w:rPr>
          <w:lang w:val="en-GB"/>
        </w:rPr>
        <w:t xml:space="preserve">Latent variable techniques allowed </w:t>
      </w:r>
      <w:r w:rsidR="00DA7398">
        <w:rPr>
          <w:lang w:val="en-GB"/>
        </w:rPr>
        <w:t>considering the</w:t>
      </w:r>
      <w:r w:rsidR="00545704" w:rsidRPr="00281BDC">
        <w:rPr>
          <w:lang w:val="en-GB"/>
        </w:rPr>
        <w:t xml:space="preserve"> large amount of data</w:t>
      </w:r>
      <w:r w:rsidR="00DA7398">
        <w:rPr>
          <w:lang w:val="en-GB"/>
        </w:rPr>
        <w:t xml:space="preserve"> made available by the plant instrumentation,</w:t>
      </w:r>
      <w:r w:rsidR="00545704" w:rsidRPr="00281BDC">
        <w:rPr>
          <w:lang w:val="en-GB"/>
        </w:rPr>
        <w:t xml:space="preserve"> while </w:t>
      </w:r>
      <w:r w:rsidR="00DA7398">
        <w:rPr>
          <w:lang w:val="en-GB"/>
        </w:rPr>
        <w:t xml:space="preserve">at the same time </w:t>
      </w:r>
      <w:r w:rsidR="00545704" w:rsidRPr="00281BDC">
        <w:rPr>
          <w:lang w:val="en-GB"/>
        </w:rPr>
        <w:t>reducing the complexity</w:t>
      </w:r>
      <w:r w:rsidR="00DA7398">
        <w:rPr>
          <w:lang w:val="en-GB"/>
        </w:rPr>
        <w:t xml:space="preserve"> of the system variable structure</w:t>
      </w:r>
      <w:r w:rsidR="00545704" w:rsidRPr="00281BDC">
        <w:rPr>
          <w:lang w:val="en-GB"/>
        </w:rPr>
        <w:t xml:space="preserve">. </w:t>
      </w:r>
      <w:r w:rsidR="00747169">
        <w:rPr>
          <w:lang w:val="en-GB"/>
        </w:rPr>
        <w:t>PLS</w:t>
      </w:r>
      <w:r w:rsidR="00545704" w:rsidRPr="00281BDC">
        <w:rPr>
          <w:lang w:val="en-GB"/>
        </w:rPr>
        <w:t xml:space="preserve"> regression </w:t>
      </w:r>
      <w:r w:rsidR="005A525E">
        <w:rPr>
          <w:lang w:val="en-GB"/>
        </w:rPr>
        <w:t>proved to be a useful tool</w:t>
      </w:r>
      <w:r w:rsidR="001F3DAC">
        <w:rPr>
          <w:lang w:val="en-GB"/>
        </w:rPr>
        <w:t xml:space="preserve"> for the </w:t>
      </w:r>
      <w:r w:rsidR="001F3DAC">
        <w:rPr>
          <w:lang w:val="en-GB"/>
        </w:rPr>
        <w:lastRenderedPageBreak/>
        <w:t xml:space="preserve">modelling of </w:t>
      </w:r>
      <w:r w:rsidR="00AA61FD">
        <w:rPr>
          <w:lang w:val="en-GB"/>
        </w:rPr>
        <w:t xml:space="preserve">the HCl abatement system, </w:t>
      </w:r>
      <w:r w:rsidR="0041349B">
        <w:rPr>
          <w:lang w:val="en-GB"/>
        </w:rPr>
        <w:t>coupling the interpretability of the model (</w:t>
      </w:r>
      <w:r w:rsidR="0041349B" w:rsidRPr="0041349B">
        <w:rPr>
          <w:i/>
          <w:iCs/>
          <w:lang w:val="en-GB"/>
        </w:rPr>
        <w:t>i.e.</w:t>
      </w:r>
      <w:r w:rsidR="0041349B">
        <w:rPr>
          <w:lang w:val="en-GB"/>
        </w:rPr>
        <w:t xml:space="preserve"> the study of the influence of the different variables on the final model outcome) with a</w:t>
      </w:r>
      <w:r w:rsidR="00A533FF">
        <w:rPr>
          <w:lang w:val="en-GB"/>
        </w:rPr>
        <w:t xml:space="preserve"> decent performance in predicting instantaneous HCl conversion. </w:t>
      </w:r>
      <w:r w:rsidR="0041349B">
        <w:rPr>
          <w:lang w:val="en-GB"/>
        </w:rPr>
        <w:t xml:space="preserve"> </w:t>
      </w:r>
      <w:r w:rsidR="00CF089D">
        <w:rPr>
          <w:lang w:val="en-GB"/>
        </w:rPr>
        <w:t>The PLS approach</w:t>
      </w:r>
      <w:r w:rsidR="00545704" w:rsidRPr="00281BDC">
        <w:rPr>
          <w:lang w:val="en-GB"/>
        </w:rPr>
        <w:t xml:space="preserve"> represents a step forward </w:t>
      </w:r>
      <w:r w:rsidR="008A73AA">
        <w:rPr>
          <w:lang w:val="en-GB"/>
        </w:rPr>
        <w:t xml:space="preserve">towards the dynamic modelling of </w:t>
      </w:r>
      <w:r w:rsidR="00645B90">
        <w:rPr>
          <w:lang w:val="en-GB"/>
        </w:rPr>
        <w:t xml:space="preserve">such systems </w:t>
      </w:r>
      <w:r w:rsidR="00545704" w:rsidRPr="00281BDC">
        <w:rPr>
          <w:lang w:val="en-GB"/>
        </w:rPr>
        <w:t xml:space="preserve">if compared to the </w:t>
      </w:r>
      <w:r w:rsidR="00645B90">
        <w:rPr>
          <w:lang w:val="en-GB"/>
        </w:rPr>
        <w:t>pseudo-</w:t>
      </w:r>
      <w:r w:rsidR="00B65D9C">
        <w:rPr>
          <w:lang w:val="en-GB"/>
        </w:rPr>
        <w:t xml:space="preserve">stationary </w:t>
      </w:r>
      <w:r w:rsidR="00545704" w:rsidRPr="00281BDC">
        <w:rPr>
          <w:lang w:val="en-GB"/>
        </w:rPr>
        <w:t>model</w:t>
      </w:r>
      <w:r w:rsidR="00B65D9C">
        <w:rPr>
          <w:lang w:val="en-GB"/>
        </w:rPr>
        <w:t>s available in literature</w:t>
      </w:r>
      <w:r w:rsidR="00645B90">
        <w:rPr>
          <w:lang w:val="en-GB"/>
        </w:rPr>
        <w:t>.</w:t>
      </w:r>
      <w:r w:rsidR="00545704" w:rsidRPr="00281BDC">
        <w:rPr>
          <w:lang w:val="en-GB"/>
        </w:rPr>
        <w:t xml:space="preserve"> </w:t>
      </w:r>
      <w:r w:rsidR="00FC7ECF">
        <w:rPr>
          <w:lang w:val="en-GB"/>
        </w:rPr>
        <w:t xml:space="preserve">Yet, </w:t>
      </w:r>
      <w:r w:rsidR="00545704" w:rsidRPr="00281BDC">
        <w:rPr>
          <w:lang w:val="en-GB"/>
        </w:rPr>
        <w:t xml:space="preserve">the inability of the </w:t>
      </w:r>
      <w:r w:rsidR="0027002E">
        <w:rPr>
          <w:lang w:val="en-GB"/>
        </w:rPr>
        <w:t xml:space="preserve">PLS </w:t>
      </w:r>
      <w:r w:rsidR="00545704" w:rsidRPr="00281BDC">
        <w:rPr>
          <w:lang w:val="en-GB"/>
        </w:rPr>
        <w:t>model</w:t>
      </w:r>
      <w:r w:rsidR="0027002E">
        <w:rPr>
          <w:lang w:val="en-GB"/>
        </w:rPr>
        <w:t>, linear by nature,</w:t>
      </w:r>
      <w:r w:rsidR="00545704" w:rsidRPr="00281BDC">
        <w:rPr>
          <w:lang w:val="en-GB"/>
        </w:rPr>
        <w:t xml:space="preserve"> to reproduce specific non-linear </w:t>
      </w:r>
      <w:r w:rsidR="0027002E">
        <w:rPr>
          <w:lang w:val="en-GB"/>
        </w:rPr>
        <w:t>features of the system</w:t>
      </w:r>
      <w:r w:rsidR="00545704" w:rsidRPr="00281BDC">
        <w:rPr>
          <w:lang w:val="en-GB"/>
        </w:rPr>
        <w:t xml:space="preserve"> does not allow the final </w:t>
      </w:r>
      <w:r w:rsidR="0027684E">
        <w:rPr>
          <w:lang w:val="en-GB"/>
        </w:rPr>
        <w:t xml:space="preserve">prediction </w:t>
      </w:r>
      <w:r w:rsidR="00545704" w:rsidRPr="00281BDC">
        <w:rPr>
          <w:lang w:val="en-GB"/>
        </w:rPr>
        <w:t xml:space="preserve">performance to be </w:t>
      </w:r>
      <w:r w:rsidR="00517939">
        <w:rPr>
          <w:lang w:val="en-GB"/>
        </w:rPr>
        <w:t xml:space="preserve">acceptable </w:t>
      </w:r>
      <w:r w:rsidR="0027684E">
        <w:rPr>
          <w:lang w:val="en-GB"/>
        </w:rPr>
        <w:t>for a</w:t>
      </w:r>
      <w:r w:rsidR="00545704" w:rsidRPr="00281BDC">
        <w:rPr>
          <w:lang w:val="en-GB"/>
        </w:rPr>
        <w:t xml:space="preserve"> reliable </w:t>
      </w:r>
      <w:r w:rsidR="0027684E">
        <w:rPr>
          <w:lang w:val="en-GB"/>
        </w:rPr>
        <w:t xml:space="preserve">implementation </w:t>
      </w:r>
      <w:r w:rsidR="0027684E" w:rsidRPr="0027684E">
        <w:rPr>
          <w:i/>
          <w:iCs/>
          <w:lang w:val="en-GB"/>
        </w:rPr>
        <w:t>e.g.</w:t>
      </w:r>
      <w:r w:rsidR="0027684E">
        <w:rPr>
          <w:lang w:val="en-GB"/>
        </w:rPr>
        <w:t xml:space="preserve"> in model-based control strategies. </w:t>
      </w:r>
      <w:r w:rsidR="00114C4C">
        <w:rPr>
          <w:lang w:val="en-GB"/>
        </w:rPr>
        <w:t xml:space="preserve">A necessary follow-up will be </w:t>
      </w:r>
      <w:r w:rsidR="00C65E27">
        <w:rPr>
          <w:lang w:val="en-GB"/>
        </w:rPr>
        <w:t xml:space="preserve">the </w:t>
      </w:r>
      <w:r w:rsidR="00217A59">
        <w:rPr>
          <w:lang w:val="en-GB"/>
        </w:rPr>
        <w:t>use of more advanced PLS variant</w:t>
      </w:r>
      <w:r w:rsidR="00A25052">
        <w:rPr>
          <w:lang w:val="en-GB"/>
        </w:rPr>
        <w:t>s that allow</w:t>
      </w:r>
      <w:r w:rsidR="00DE3167">
        <w:rPr>
          <w:lang w:val="en-GB"/>
        </w:rPr>
        <w:t xml:space="preserve"> introducing non-linearity in the model. </w:t>
      </w:r>
    </w:p>
    <w:p w14:paraId="27ABD262" w14:textId="77777777" w:rsidR="0099397B" w:rsidRPr="00281BDC" w:rsidRDefault="0099397B" w:rsidP="0099397B">
      <w:pPr>
        <w:pStyle w:val="CETReference"/>
      </w:pPr>
      <w:r w:rsidRPr="00281BDC">
        <w:t>References</w:t>
      </w:r>
    </w:p>
    <w:p w14:paraId="13F06E73" w14:textId="553E29F9" w:rsidR="00157D0C" w:rsidRPr="00B42B77" w:rsidRDefault="00157D0C" w:rsidP="00B42B77">
      <w:pPr>
        <w:pStyle w:val="CETReferencetext"/>
      </w:pPr>
      <w:r w:rsidRPr="00B42B77">
        <w:t xml:space="preserve">Antonioni, G., Dal </w:t>
      </w:r>
      <w:proofErr w:type="spellStart"/>
      <w:r w:rsidRPr="00B42B77">
        <w:t>Pozzo</w:t>
      </w:r>
      <w:proofErr w:type="spellEnd"/>
      <w:r w:rsidRPr="00B42B77">
        <w:t xml:space="preserve">, A., </w:t>
      </w:r>
      <w:proofErr w:type="spellStart"/>
      <w:r w:rsidRPr="00B42B77">
        <w:t>Guglielmi</w:t>
      </w:r>
      <w:proofErr w:type="spellEnd"/>
      <w:r w:rsidRPr="00B42B77">
        <w:t xml:space="preserve">, D., </w:t>
      </w:r>
      <w:proofErr w:type="spellStart"/>
      <w:r w:rsidRPr="00B42B77">
        <w:t>Tugnoli</w:t>
      </w:r>
      <w:proofErr w:type="spellEnd"/>
      <w:r w:rsidRPr="00B42B77">
        <w:t xml:space="preserve">, A., </w:t>
      </w:r>
      <w:proofErr w:type="spellStart"/>
      <w:r w:rsidRPr="00B42B77">
        <w:t>Cozzani</w:t>
      </w:r>
      <w:proofErr w:type="spellEnd"/>
      <w:r w:rsidRPr="00B42B77">
        <w:t xml:space="preserve">, V., 2016, Enhanced modelling of heterogeneous gas–solid reactions in acid gas removal dry processes, Chem. Eng. Sci. 148, 140-154. </w:t>
      </w:r>
    </w:p>
    <w:p w14:paraId="7F03E722" w14:textId="58EE1947" w:rsidR="00494449" w:rsidRPr="00B42B77" w:rsidRDefault="00552DDE" w:rsidP="00B42B77">
      <w:pPr>
        <w:pStyle w:val="CETReferencetext"/>
      </w:pPr>
      <w:proofErr w:type="spellStart"/>
      <w:r w:rsidRPr="00B42B77">
        <w:t>Blasenbauer</w:t>
      </w:r>
      <w:proofErr w:type="spellEnd"/>
      <w:r w:rsidRPr="00B42B77">
        <w:t xml:space="preserve">, D., Huber, F., </w:t>
      </w:r>
      <w:proofErr w:type="spellStart"/>
      <w:r w:rsidRPr="00B42B77">
        <w:t>Lederer</w:t>
      </w:r>
      <w:proofErr w:type="spellEnd"/>
      <w:r w:rsidRPr="00B42B77">
        <w:t xml:space="preserve">, J., (...), </w:t>
      </w:r>
      <w:proofErr w:type="spellStart"/>
      <w:r w:rsidRPr="00B42B77">
        <w:t>Wégner</w:t>
      </w:r>
      <w:proofErr w:type="spellEnd"/>
      <w:r w:rsidRPr="00B42B77">
        <w:t xml:space="preserve">, K., </w:t>
      </w:r>
      <w:proofErr w:type="spellStart"/>
      <w:r w:rsidRPr="00B42B77">
        <w:t>Fellner</w:t>
      </w:r>
      <w:proofErr w:type="spellEnd"/>
      <w:r w:rsidRPr="00B42B77">
        <w:t>, J.</w:t>
      </w:r>
      <w:r w:rsidR="007A056E" w:rsidRPr="00B42B77">
        <w:t xml:space="preserve">, 2020, </w:t>
      </w:r>
      <w:r w:rsidR="00E86EBE" w:rsidRPr="00B42B77">
        <w:t>Legal situation and current practice of waste incineration bottom ash utilisation in Europe</w:t>
      </w:r>
      <w:r w:rsidR="0069155F" w:rsidRPr="00B42B77">
        <w:t>, Waste Manage</w:t>
      </w:r>
      <w:r w:rsidR="00157D0C" w:rsidRPr="00B42B77">
        <w:t>.</w:t>
      </w:r>
      <w:r w:rsidR="0069155F" w:rsidRPr="00B42B77">
        <w:t xml:space="preserve"> </w:t>
      </w:r>
      <w:r w:rsidR="003044BF" w:rsidRPr="00B42B77">
        <w:t xml:space="preserve">102, </w:t>
      </w:r>
      <w:r w:rsidR="00494449" w:rsidRPr="00B42B77">
        <w:t>868-883.</w:t>
      </w:r>
    </w:p>
    <w:p w14:paraId="6C1B9078" w14:textId="4EE72F1A" w:rsidR="00B827EB" w:rsidRPr="00B42B77" w:rsidRDefault="00B827EB" w:rsidP="00B42B77">
      <w:pPr>
        <w:pStyle w:val="CETReferencetext"/>
      </w:pPr>
      <w:r w:rsidRPr="00B42B77">
        <w:t xml:space="preserve">Chisholm, P.N., Rochelle, G.T., 1999, Dry absorption of </w:t>
      </w:r>
      <w:proofErr w:type="spellStart"/>
      <w:r w:rsidRPr="00B42B77">
        <w:t>HCl</w:t>
      </w:r>
      <w:proofErr w:type="spellEnd"/>
      <w:r w:rsidRPr="00B42B77">
        <w:t xml:space="preserve"> and SO2 with hydrated lime from humidified flue gas, </w:t>
      </w:r>
      <w:r w:rsidR="00157D0C" w:rsidRPr="00B42B77">
        <w:t>Ind. Eng. Chem. Res.</w:t>
      </w:r>
      <w:r w:rsidRPr="00B42B77">
        <w:t xml:space="preserve"> 38 (10), 4068–4080.</w:t>
      </w:r>
    </w:p>
    <w:p w14:paraId="0B2F9720" w14:textId="1D4E1CBF" w:rsidR="003106E8" w:rsidRPr="00B42B77" w:rsidRDefault="003106E8" w:rsidP="00B42B77">
      <w:pPr>
        <w:pStyle w:val="CETReferencetext"/>
      </w:pPr>
      <w:r w:rsidRPr="00B42B77">
        <w:t xml:space="preserve">Dal </w:t>
      </w:r>
      <w:proofErr w:type="spellStart"/>
      <w:r w:rsidRPr="00B42B77">
        <w:t>Pozzo</w:t>
      </w:r>
      <w:proofErr w:type="spellEnd"/>
      <w:r w:rsidRPr="00B42B77">
        <w:t xml:space="preserve">, A., Antonioni, G., </w:t>
      </w:r>
      <w:proofErr w:type="spellStart"/>
      <w:r w:rsidRPr="00B42B77">
        <w:t>Guglielmi</w:t>
      </w:r>
      <w:proofErr w:type="spellEnd"/>
      <w:r w:rsidRPr="00B42B77">
        <w:t xml:space="preserve">, D., </w:t>
      </w:r>
      <w:proofErr w:type="spellStart"/>
      <w:r w:rsidRPr="00B42B77">
        <w:t>Stramigioli</w:t>
      </w:r>
      <w:proofErr w:type="spellEnd"/>
      <w:r w:rsidRPr="00B42B77">
        <w:t xml:space="preserve">, C., </w:t>
      </w:r>
      <w:proofErr w:type="spellStart"/>
      <w:r w:rsidRPr="00B42B77">
        <w:t>Cozzani</w:t>
      </w:r>
      <w:proofErr w:type="spellEnd"/>
      <w:r w:rsidRPr="00B42B77">
        <w:t>, V., 2016, Comparison of alternative flue gas dry treatment technologies in waste-to-energy processes, Waste Manage</w:t>
      </w:r>
      <w:r w:rsidR="00157D0C" w:rsidRPr="00B42B77">
        <w:t>.</w:t>
      </w:r>
      <w:r w:rsidRPr="00B42B77">
        <w:t xml:space="preserve"> 51, 81-90.</w:t>
      </w:r>
    </w:p>
    <w:p w14:paraId="595D50D5" w14:textId="58B19B2F" w:rsidR="008C7036" w:rsidRPr="00B42B77" w:rsidRDefault="008C7036" w:rsidP="00B42B77">
      <w:pPr>
        <w:pStyle w:val="CETReferencetext"/>
      </w:pPr>
      <w:r w:rsidRPr="00B42B77">
        <w:t xml:space="preserve">Dal </w:t>
      </w:r>
      <w:proofErr w:type="spellStart"/>
      <w:r w:rsidRPr="00B42B77">
        <w:t>Pozzo</w:t>
      </w:r>
      <w:proofErr w:type="spellEnd"/>
      <w:r w:rsidRPr="00B42B77">
        <w:t xml:space="preserve">, A., </w:t>
      </w:r>
      <w:proofErr w:type="spellStart"/>
      <w:r w:rsidRPr="00B42B77">
        <w:t>Armutlulu</w:t>
      </w:r>
      <w:proofErr w:type="spellEnd"/>
      <w:r w:rsidRPr="00B42B77">
        <w:t xml:space="preserve">, A., </w:t>
      </w:r>
      <w:proofErr w:type="spellStart"/>
      <w:r w:rsidRPr="00B42B77">
        <w:t>Rekhtina</w:t>
      </w:r>
      <w:proofErr w:type="spellEnd"/>
      <w:r w:rsidRPr="00B42B77">
        <w:t xml:space="preserve"> M., Müller C.R., </w:t>
      </w:r>
      <w:proofErr w:type="spellStart"/>
      <w:r w:rsidRPr="00B42B77">
        <w:t>Cozzani</w:t>
      </w:r>
      <w:proofErr w:type="spellEnd"/>
      <w:r w:rsidRPr="00B42B77">
        <w:t xml:space="preserve"> V., 2018a, CO2 Uptake Potential of Ca-Based Air Pollution Control Residues over Repeated Carbonation–Calcination Cycles, Energy Fuels 32 (4), 5386-5395. </w:t>
      </w:r>
    </w:p>
    <w:p w14:paraId="34DFB9BF" w14:textId="4FB654FE" w:rsidR="00D6205D" w:rsidRPr="00B42B77" w:rsidRDefault="00D6205D" w:rsidP="00B42B77">
      <w:pPr>
        <w:pStyle w:val="CETReferencetext"/>
      </w:pPr>
      <w:r w:rsidRPr="00B42B77">
        <w:t xml:space="preserve">Dal </w:t>
      </w:r>
      <w:proofErr w:type="spellStart"/>
      <w:r w:rsidRPr="00B42B77">
        <w:t>Pozzo</w:t>
      </w:r>
      <w:proofErr w:type="spellEnd"/>
      <w:r w:rsidRPr="00B42B77">
        <w:t xml:space="preserve">, A., </w:t>
      </w:r>
      <w:proofErr w:type="spellStart"/>
      <w:r w:rsidRPr="00B42B77">
        <w:t>Guglielmi</w:t>
      </w:r>
      <w:proofErr w:type="spellEnd"/>
      <w:r w:rsidRPr="00B42B77">
        <w:t xml:space="preserve">, D., Antonioni, G., </w:t>
      </w:r>
      <w:proofErr w:type="spellStart"/>
      <w:r w:rsidRPr="00B42B77">
        <w:t>Tugnoli</w:t>
      </w:r>
      <w:proofErr w:type="spellEnd"/>
      <w:r w:rsidRPr="00B42B77">
        <w:t>, A., 2018</w:t>
      </w:r>
      <w:r w:rsidR="008C7036" w:rsidRPr="00B42B77">
        <w:t>b</w:t>
      </w:r>
      <w:r w:rsidRPr="00B42B77">
        <w:t>, Environmental and economic performance assessment of alternative acid gas removal technologies for waste-to-energy plants, Sustainable Prod</w:t>
      </w:r>
      <w:r w:rsidR="00157D0C" w:rsidRPr="00B42B77">
        <w:t>.</w:t>
      </w:r>
      <w:r w:rsidRPr="00B42B77">
        <w:t xml:space="preserve"> Consumption 16, 202– 215.</w:t>
      </w:r>
    </w:p>
    <w:p w14:paraId="4298B4A4" w14:textId="27AE6FA1" w:rsidR="009847C6" w:rsidRPr="00B42B77" w:rsidRDefault="009847C6" w:rsidP="00B42B77">
      <w:pPr>
        <w:pStyle w:val="CETReferencetext"/>
      </w:pPr>
      <w:r w:rsidRPr="00B42B77">
        <w:t xml:space="preserve">Dal </w:t>
      </w:r>
      <w:proofErr w:type="spellStart"/>
      <w:r w:rsidRPr="00B42B77">
        <w:t>Pozzo</w:t>
      </w:r>
      <w:proofErr w:type="spellEnd"/>
      <w:r w:rsidRPr="00B42B77">
        <w:t xml:space="preserve">, A., </w:t>
      </w:r>
      <w:proofErr w:type="spellStart"/>
      <w:r w:rsidRPr="00B42B77">
        <w:t>Giannella</w:t>
      </w:r>
      <w:proofErr w:type="spellEnd"/>
      <w:r w:rsidRPr="00B42B77">
        <w:t xml:space="preserve">, M., </w:t>
      </w:r>
      <w:r w:rsidR="0037324D" w:rsidRPr="00B42B77">
        <w:t xml:space="preserve">Antonioni, G., </w:t>
      </w:r>
      <w:proofErr w:type="spellStart"/>
      <w:r w:rsidR="0037324D" w:rsidRPr="00B42B77">
        <w:t>Cozzani</w:t>
      </w:r>
      <w:proofErr w:type="spellEnd"/>
      <w:r w:rsidR="0037324D" w:rsidRPr="00B42B77">
        <w:t xml:space="preserve">, V., </w:t>
      </w:r>
      <w:r w:rsidRPr="00B42B77">
        <w:t>2018</w:t>
      </w:r>
      <w:r w:rsidR="008C7036" w:rsidRPr="00B42B77">
        <w:t>c</w:t>
      </w:r>
      <w:r w:rsidR="0037324D" w:rsidRPr="00B42B77">
        <w:t xml:space="preserve">, Optimization of the Economic and Environmental Profile of </w:t>
      </w:r>
      <w:proofErr w:type="spellStart"/>
      <w:r w:rsidR="0037324D" w:rsidRPr="00B42B77">
        <w:t>HCl</w:t>
      </w:r>
      <w:proofErr w:type="spellEnd"/>
      <w:r w:rsidR="0037324D" w:rsidRPr="00B42B77">
        <w:t xml:space="preserve"> Removal in a Municipal Solid Waste Incinerator through Historical Data Analysis, Ch</w:t>
      </w:r>
      <w:r w:rsidR="00307EA4" w:rsidRPr="00B42B77">
        <w:t xml:space="preserve">em. Eng. Trans. </w:t>
      </w:r>
      <w:r w:rsidR="000F76C2" w:rsidRPr="00B42B77">
        <w:t xml:space="preserve">67, 463-468. </w:t>
      </w:r>
    </w:p>
    <w:p w14:paraId="69FD2AB5" w14:textId="270F4E09" w:rsidR="00307EA4" w:rsidRPr="00B42B77" w:rsidRDefault="00307EA4" w:rsidP="00B42B77">
      <w:pPr>
        <w:pStyle w:val="CETReferencetext"/>
      </w:pPr>
      <w:r w:rsidRPr="00B42B77">
        <w:t xml:space="preserve">Dal </w:t>
      </w:r>
      <w:proofErr w:type="spellStart"/>
      <w:r w:rsidRPr="00B42B77">
        <w:t>Pozzo</w:t>
      </w:r>
      <w:proofErr w:type="spellEnd"/>
      <w:r w:rsidRPr="00B42B77">
        <w:t xml:space="preserve">, A., </w:t>
      </w:r>
      <w:proofErr w:type="spellStart"/>
      <w:r w:rsidRPr="00B42B77">
        <w:t>Carabba</w:t>
      </w:r>
      <w:proofErr w:type="spellEnd"/>
      <w:r w:rsidRPr="00B42B77">
        <w:t xml:space="preserve">, L., </w:t>
      </w:r>
      <w:proofErr w:type="spellStart"/>
      <w:r w:rsidRPr="00B42B77">
        <w:t>Bignozzi</w:t>
      </w:r>
      <w:proofErr w:type="spellEnd"/>
      <w:r w:rsidRPr="00B42B77">
        <w:t xml:space="preserve">, M.C., </w:t>
      </w:r>
      <w:proofErr w:type="spellStart"/>
      <w:r w:rsidRPr="00B42B77">
        <w:t>Tugnoli</w:t>
      </w:r>
      <w:proofErr w:type="spellEnd"/>
      <w:r w:rsidRPr="00B42B77">
        <w:t xml:space="preserve">, A., 2019a, Life cycle assessment of a </w:t>
      </w:r>
      <w:proofErr w:type="spellStart"/>
      <w:r w:rsidRPr="00B42B77">
        <w:t>geopolymer</w:t>
      </w:r>
      <w:proofErr w:type="spellEnd"/>
      <w:r w:rsidRPr="00B42B77">
        <w:t xml:space="preserve"> mixture for fireproofing applications, Int. J. Life Cycle Assess. 24, 1743-1757.</w:t>
      </w:r>
    </w:p>
    <w:p w14:paraId="6F449891" w14:textId="37A738EE" w:rsidR="003106E8" w:rsidRPr="00B42B77" w:rsidRDefault="003106E8" w:rsidP="00B42B77">
      <w:pPr>
        <w:pStyle w:val="CETReferencetext"/>
      </w:pPr>
      <w:r w:rsidRPr="00B42B77">
        <w:t xml:space="preserve">Dal </w:t>
      </w:r>
      <w:proofErr w:type="spellStart"/>
      <w:r w:rsidRPr="00B42B77">
        <w:t>Pozzo</w:t>
      </w:r>
      <w:proofErr w:type="spellEnd"/>
      <w:r w:rsidRPr="00B42B77">
        <w:t xml:space="preserve">, A., </w:t>
      </w:r>
      <w:proofErr w:type="spellStart"/>
      <w:r w:rsidRPr="00B42B77">
        <w:t>Moricone</w:t>
      </w:r>
      <w:proofErr w:type="spellEnd"/>
      <w:r w:rsidRPr="00B42B77">
        <w:t xml:space="preserve">, R., </w:t>
      </w:r>
      <w:proofErr w:type="spellStart"/>
      <w:r w:rsidRPr="00B42B77">
        <w:t>Tugnoli</w:t>
      </w:r>
      <w:proofErr w:type="spellEnd"/>
      <w:r w:rsidRPr="00B42B77">
        <w:t xml:space="preserve">, A., </w:t>
      </w:r>
      <w:proofErr w:type="spellStart"/>
      <w:r w:rsidRPr="00B42B77">
        <w:t>Cozzani</w:t>
      </w:r>
      <w:proofErr w:type="spellEnd"/>
      <w:r w:rsidRPr="00B42B77">
        <w:t>. V., 2019</w:t>
      </w:r>
      <w:r w:rsidR="00461B0B" w:rsidRPr="00B42B77">
        <w:t>b</w:t>
      </w:r>
      <w:r w:rsidRPr="00B42B77">
        <w:t xml:space="preserve">, Experimental Investigation of the Reactivity of Sodium Bicarbonate toward Hydrogen Chloride and </w:t>
      </w:r>
      <w:proofErr w:type="spellStart"/>
      <w:r w:rsidRPr="00B42B77">
        <w:t>Sulfur</w:t>
      </w:r>
      <w:proofErr w:type="spellEnd"/>
      <w:r w:rsidRPr="00B42B77">
        <w:t xml:space="preserve"> Dioxide at Low Temperatures, </w:t>
      </w:r>
      <w:r w:rsidR="00307EA4" w:rsidRPr="00B42B77">
        <w:t xml:space="preserve">Ind. Eng. Chem. Res. </w:t>
      </w:r>
      <w:r w:rsidRPr="00B42B77">
        <w:t>58 (16), 6316-6324.</w:t>
      </w:r>
    </w:p>
    <w:p w14:paraId="713F2859" w14:textId="0B62CFBD" w:rsidR="003106E8" w:rsidRPr="00B42B77" w:rsidRDefault="003106E8" w:rsidP="00B42B77">
      <w:pPr>
        <w:pStyle w:val="CETReferencetext"/>
      </w:pPr>
      <w:r w:rsidRPr="00B42B77">
        <w:t xml:space="preserve">Dal </w:t>
      </w:r>
      <w:proofErr w:type="spellStart"/>
      <w:r w:rsidRPr="00B42B77">
        <w:t>Pozzo</w:t>
      </w:r>
      <w:proofErr w:type="spellEnd"/>
      <w:r w:rsidRPr="00B42B77">
        <w:t xml:space="preserve">, A., </w:t>
      </w:r>
      <w:proofErr w:type="spellStart"/>
      <w:r w:rsidRPr="00B42B77">
        <w:t>Lazazzara</w:t>
      </w:r>
      <w:proofErr w:type="spellEnd"/>
      <w:r w:rsidRPr="00B42B77">
        <w:t xml:space="preserve">, L., Antonioni, G., </w:t>
      </w:r>
      <w:proofErr w:type="spellStart"/>
      <w:r w:rsidRPr="00B42B77">
        <w:t>Cozzani</w:t>
      </w:r>
      <w:proofErr w:type="spellEnd"/>
      <w:r w:rsidRPr="00B42B77">
        <w:t xml:space="preserve">, V., 2020, Techno-economic performance of </w:t>
      </w:r>
      <w:proofErr w:type="spellStart"/>
      <w:r w:rsidRPr="00B42B77">
        <w:t>HCl</w:t>
      </w:r>
      <w:proofErr w:type="spellEnd"/>
      <w:r w:rsidRPr="00B42B77">
        <w:t xml:space="preserve"> and SO2 removal in waste-to-energy plants by furnace direct sorbent injection, </w:t>
      </w:r>
      <w:r w:rsidR="00307EA4" w:rsidRPr="00B42B77">
        <w:t>J. Hazard. Mater.</w:t>
      </w:r>
      <w:r w:rsidRPr="00B42B77">
        <w:t xml:space="preserve"> 394, 122518.</w:t>
      </w:r>
    </w:p>
    <w:p w14:paraId="7F062630" w14:textId="78768E71" w:rsidR="00C3773B" w:rsidRPr="00B42B77" w:rsidRDefault="00C3773B" w:rsidP="00B42B77">
      <w:pPr>
        <w:pStyle w:val="CETReferencetext"/>
      </w:pPr>
      <w:r w:rsidRPr="00B42B77">
        <w:t xml:space="preserve">Faber, N.M., </w:t>
      </w:r>
      <w:proofErr w:type="spellStart"/>
      <w:r w:rsidRPr="00B42B77">
        <w:t>Rajko</w:t>
      </w:r>
      <w:proofErr w:type="spellEnd"/>
      <w:r w:rsidRPr="00B42B77">
        <w:t>, R., 2007</w:t>
      </w:r>
      <w:r w:rsidR="004D30E3" w:rsidRPr="00B42B77">
        <w:t>,</w:t>
      </w:r>
      <w:r w:rsidRPr="00B42B77">
        <w:t xml:space="preserve"> </w:t>
      </w:r>
      <w:r w:rsidR="004D30E3" w:rsidRPr="00B42B77">
        <w:t>How to avoid over-fitting in multivariate calibration—The conventional validation approach and an alternative, An</w:t>
      </w:r>
      <w:r w:rsidR="00307EA4" w:rsidRPr="00B42B77">
        <w:t xml:space="preserve">al. </w:t>
      </w:r>
      <w:proofErr w:type="spellStart"/>
      <w:r w:rsidR="00307EA4" w:rsidRPr="00B42B77">
        <w:t>Chim</w:t>
      </w:r>
      <w:proofErr w:type="spellEnd"/>
      <w:r w:rsidR="00307EA4" w:rsidRPr="00B42B77">
        <w:t xml:space="preserve">. </w:t>
      </w:r>
      <w:proofErr w:type="spellStart"/>
      <w:r w:rsidR="004D30E3" w:rsidRPr="00B42B77">
        <w:t>Acta</w:t>
      </w:r>
      <w:proofErr w:type="spellEnd"/>
      <w:r w:rsidR="004D30E3" w:rsidRPr="00B42B77">
        <w:t xml:space="preserve"> 595, 98-106. </w:t>
      </w:r>
    </w:p>
    <w:p w14:paraId="46B4C7FB" w14:textId="6DE831D9" w:rsidR="008B63A9" w:rsidRPr="00B42B77" w:rsidRDefault="00CA612C" w:rsidP="00B42B77">
      <w:pPr>
        <w:pStyle w:val="CETReferencetext"/>
      </w:pPr>
      <w:r w:rsidRPr="00B42B77">
        <w:t xml:space="preserve">Foo, R., Berger, R., </w:t>
      </w:r>
      <w:proofErr w:type="spellStart"/>
      <w:r w:rsidRPr="00B42B77">
        <w:t>Heiszwolf</w:t>
      </w:r>
      <w:proofErr w:type="spellEnd"/>
      <w:r w:rsidRPr="00B42B77">
        <w:t>, J.J., 2016</w:t>
      </w:r>
      <w:r w:rsidR="008B63A9" w:rsidRPr="00B42B77">
        <w:t>,</w:t>
      </w:r>
      <w:r w:rsidRPr="00B42B77">
        <w:t xml:space="preserve"> Reaction Kinetic </w:t>
      </w:r>
      <w:proofErr w:type="spellStart"/>
      <w:r w:rsidRPr="00B42B77">
        <w:t>Modeling</w:t>
      </w:r>
      <w:proofErr w:type="spellEnd"/>
      <w:r w:rsidRPr="00B42B77">
        <w:t xml:space="preserve"> of DSI for MATS Compliance</w:t>
      </w:r>
      <w:r w:rsidR="008B63A9" w:rsidRPr="00B42B77">
        <w:t>,</w:t>
      </w:r>
      <w:r w:rsidRPr="00B42B77">
        <w:t xml:space="preserve"> In Proceedings of the Power Plant Pollutant Control and Carbon Management “MEGA” Symposium, Baltimore, MD, USA, 16–19 August 2016 </w:t>
      </w:r>
    </w:p>
    <w:p w14:paraId="1525B711" w14:textId="27EAE90D" w:rsidR="00DE28F2" w:rsidRPr="00B42B77" w:rsidRDefault="00DE28F2" w:rsidP="00B42B77">
      <w:pPr>
        <w:pStyle w:val="CETReferencetext"/>
      </w:pPr>
      <w:proofErr w:type="spellStart"/>
      <w:r w:rsidRPr="00B42B77">
        <w:t>Harriott</w:t>
      </w:r>
      <w:proofErr w:type="spellEnd"/>
      <w:r w:rsidRPr="00B42B77">
        <w:t xml:space="preserve">, P., 1990, A Simple Model for SO2 Removal in the Duct Injection Process, </w:t>
      </w:r>
      <w:r w:rsidR="00307EA4" w:rsidRPr="00B42B77">
        <w:t>J. Air Waste Manage. Assoc.</w:t>
      </w:r>
      <w:r w:rsidRPr="00B42B77">
        <w:t xml:space="preserve"> </w:t>
      </w:r>
      <w:r w:rsidR="005D5B15" w:rsidRPr="00B42B77">
        <w:t xml:space="preserve">40, 998-1003. </w:t>
      </w:r>
    </w:p>
    <w:p w14:paraId="77E4FE3D" w14:textId="5CA6A2AF" w:rsidR="00D439E1" w:rsidRPr="00B42B77" w:rsidRDefault="00D439E1" w:rsidP="00B42B77">
      <w:pPr>
        <w:pStyle w:val="CETReferencetext"/>
      </w:pPr>
      <w:proofErr w:type="spellStart"/>
      <w:r w:rsidRPr="00B42B77">
        <w:t>Margraf</w:t>
      </w:r>
      <w:proofErr w:type="spellEnd"/>
      <w:r w:rsidRPr="00B42B77">
        <w:t>, R., 2015, Simple and Effective – the Conditioned Dry Sorption Process for Flue Gas Treatment Downstream Waste Incinerators</w:t>
      </w:r>
      <w:r w:rsidR="007F42F0" w:rsidRPr="00B42B77">
        <w:t xml:space="preserve">, </w:t>
      </w:r>
      <w:r w:rsidR="00BA3216" w:rsidRPr="00B42B77">
        <w:t>in</w:t>
      </w:r>
      <w:r w:rsidR="00B9558E" w:rsidRPr="00B42B77">
        <w:t>:</w:t>
      </w:r>
      <w:r w:rsidR="00BA3216" w:rsidRPr="00B42B77">
        <w:t xml:space="preserve"> Waste Management</w:t>
      </w:r>
      <w:r w:rsidR="00B9558E" w:rsidRPr="00B42B77">
        <w:t>,</w:t>
      </w:r>
      <w:r w:rsidR="00BA3216" w:rsidRPr="00B42B77">
        <w:t xml:space="preserve"> </w:t>
      </w:r>
      <w:proofErr w:type="spellStart"/>
      <w:r w:rsidR="00BA3216" w:rsidRPr="00B42B77">
        <w:t>Thomé-Kozmiensky</w:t>
      </w:r>
      <w:proofErr w:type="spellEnd"/>
      <w:r w:rsidR="00BA3216" w:rsidRPr="00B42B77">
        <w:t xml:space="preserve">, K. J., </w:t>
      </w:r>
      <w:proofErr w:type="spellStart"/>
      <w:r w:rsidR="00BA3216" w:rsidRPr="00B42B77">
        <w:t>Thiel</w:t>
      </w:r>
      <w:proofErr w:type="spellEnd"/>
      <w:r w:rsidR="00BA3216" w:rsidRPr="00B42B77">
        <w:t xml:space="preserve">, S., Eds.; TK </w:t>
      </w:r>
      <w:proofErr w:type="spellStart"/>
      <w:r w:rsidR="00BA3216" w:rsidRPr="00B42B77">
        <w:t>Verlag</w:t>
      </w:r>
      <w:proofErr w:type="spellEnd"/>
      <w:r w:rsidR="00BA3216" w:rsidRPr="00B42B77">
        <w:t xml:space="preserve">: </w:t>
      </w:r>
      <w:proofErr w:type="spellStart"/>
      <w:r w:rsidR="00BA3216" w:rsidRPr="00B42B77">
        <w:t>Neuruppin</w:t>
      </w:r>
      <w:proofErr w:type="spellEnd"/>
      <w:r w:rsidR="00BA3216" w:rsidRPr="00B42B77">
        <w:t>, Germany, 201</w:t>
      </w:r>
      <w:r w:rsidR="005B5DF4" w:rsidRPr="00B42B77">
        <w:t>5</w:t>
      </w:r>
      <w:r w:rsidR="00BA3216" w:rsidRPr="00B42B77">
        <w:t xml:space="preserve">; Vol. </w:t>
      </w:r>
      <w:r w:rsidR="009A6121" w:rsidRPr="00B42B77">
        <w:t>5</w:t>
      </w:r>
      <w:r w:rsidR="00BA3216" w:rsidRPr="00B42B77">
        <w:t xml:space="preserve">, pp </w:t>
      </w:r>
      <w:r w:rsidR="009A6121" w:rsidRPr="00B42B77">
        <w:t>253</w:t>
      </w:r>
      <w:r w:rsidR="00BA3216" w:rsidRPr="00B42B77">
        <w:t xml:space="preserve">– </w:t>
      </w:r>
      <w:r w:rsidR="009A6121" w:rsidRPr="00B42B77">
        <w:t>267</w:t>
      </w:r>
      <w:r w:rsidR="00BA3216" w:rsidRPr="00B42B77">
        <w:t>.</w:t>
      </w:r>
    </w:p>
    <w:p w14:paraId="639B507B" w14:textId="17AC6E3B" w:rsidR="001B6B63" w:rsidRPr="00B42B77" w:rsidRDefault="001B6B63" w:rsidP="00B42B77">
      <w:pPr>
        <w:pStyle w:val="CETReferencetext"/>
      </w:pPr>
      <w:proofErr w:type="spellStart"/>
      <w:r w:rsidRPr="00B42B77">
        <w:t>Tsubouchi</w:t>
      </w:r>
      <w:proofErr w:type="spellEnd"/>
      <w:r w:rsidRPr="00B42B77">
        <w:t xml:space="preserve">, N., Matsuoka, N., Fukuyama, K., Mochizuki, Y., 2020, Removal of hydrogen chloride gas using honeycomb-supported natural soda ash, </w:t>
      </w:r>
      <w:r w:rsidR="00307EA4" w:rsidRPr="00B42B77">
        <w:t>Chem. Eng. Res. Des.</w:t>
      </w:r>
      <w:r w:rsidRPr="00B42B77">
        <w:t xml:space="preserve"> 156, 138-145.</w:t>
      </w:r>
    </w:p>
    <w:p w14:paraId="720FCF94" w14:textId="1C2544A7" w:rsidR="001B6B63" w:rsidRPr="00B42B77" w:rsidRDefault="00A6697B" w:rsidP="00B42B77">
      <w:pPr>
        <w:pStyle w:val="CETReferencetext"/>
      </w:pPr>
      <w:proofErr w:type="spellStart"/>
      <w:r w:rsidRPr="00B42B77">
        <w:t>Vehlow</w:t>
      </w:r>
      <w:proofErr w:type="spellEnd"/>
      <w:r w:rsidRPr="00B42B77">
        <w:t xml:space="preserve">, J., 2015, Air pollution control systems in </w:t>
      </w:r>
      <w:proofErr w:type="spellStart"/>
      <w:r w:rsidRPr="00B42B77">
        <w:t>WtE</w:t>
      </w:r>
      <w:proofErr w:type="spellEnd"/>
      <w:r w:rsidRPr="00B42B77">
        <w:t xml:space="preserve"> units: An overview, Waste Manage</w:t>
      </w:r>
      <w:r w:rsidR="00307EA4" w:rsidRPr="00B42B77">
        <w:t>.</w:t>
      </w:r>
      <w:r w:rsidRPr="00B42B77">
        <w:t xml:space="preserve"> 37, 58-74.</w:t>
      </w:r>
    </w:p>
    <w:p w14:paraId="4FE47C47" w14:textId="77777777" w:rsidR="0012706E" w:rsidRPr="00B42B77" w:rsidRDefault="0012706E" w:rsidP="00B42B77">
      <w:pPr>
        <w:pStyle w:val="CETReferencetext"/>
      </w:pPr>
      <w:r w:rsidRPr="00B42B77">
        <w:t xml:space="preserve">Wise, B.M., Gallagher, N.B., 1995, The Process </w:t>
      </w:r>
      <w:proofErr w:type="spellStart"/>
      <w:r w:rsidRPr="00B42B77">
        <w:t>Chemometrics</w:t>
      </w:r>
      <w:proofErr w:type="spellEnd"/>
      <w:r w:rsidRPr="00B42B77">
        <w:t xml:space="preserve"> Approach to Process Monitoring and Fault Detection, IFAC Proceedings Volumes 28 (12), 1-21.</w:t>
      </w:r>
    </w:p>
    <w:p w14:paraId="0B160BF9" w14:textId="77CF22D1" w:rsidR="00F32671" w:rsidRPr="00B42B77" w:rsidRDefault="00F32671" w:rsidP="00B42B77">
      <w:pPr>
        <w:pStyle w:val="CETReferencetext"/>
      </w:pPr>
      <w:r w:rsidRPr="00B42B77">
        <w:t xml:space="preserve">Wold, S., </w:t>
      </w:r>
      <w:proofErr w:type="spellStart"/>
      <w:r w:rsidRPr="00B42B77">
        <w:t>Sjostrom</w:t>
      </w:r>
      <w:proofErr w:type="spellEnd"/>
      <w:r w:rsidRPr="00B42B77">
        <w:t xml:space="preserve">, M., Eriksson, L., 2001, PLS regression: A basic tool of </w:t>
      </w:r>
      <w:proofErr w:type="spellStart"/>
      <w:r w:rsidRPr="00B42B77">
        <w:t>chemometrics</w:t>
      </w:r>
      <w:proofErr w:type="spellEnd"/>
      <w:r w:rsidRPr="00B42B77">
        <w:t xml:space="preserve">, </w:t>
      </w:r>
      <w:proofErr w:type="spellStart"/>
      <w:r w:rsidR="00307EA4" w:rsidRPr="00B42B77">
        <w:t>Chemom</w:t>
      </w:r>
      <w:proofErr w:type="spellEnd"/>
      <w:r w:rsidR="00307EA4" w:rsidRPr="00B42B77">
        <w:t xml:space="preserve">. </w:t>
      </w:r>
      <w:proofErr w:type="spellStart"/>
      <w:r w:rsidR="00307EA4" w:rsidRPr="00B42B77">
        <w:t>Intell</w:t>
      </w:r>
      <w:proofErr w:type="spellEnd"/>
      <w:r w:rsidR="00307EA4" w:rsidRPr="00B42B77">
        <w:t xml:space="preserve">. Lab. Syst. </w:t>
      </w:r>
      <w:r w:rsidRPr="00B42B77">
        <w:t xml:space="preserve">58, 109-130. </w:t>
      </w:r>
    </w:p>
    <w:p w14:paraId="20EBF7ED" w14:textId="0B071B33" w:rsidR="00E76FCD" w:rsidRPr="00B42B77" w:rsidRDefault="00C1450D" w:rsidP="00B42B77">
      <w:pPr>
        <w:pStyle w:val="CETReferencetext"/>
      </w:pPr>
      <w:r w:rsidRPr="00B42B77">
        <w:t xml:space="preserve">Zhang, H., Yu, S., Shao, L., He, P., 2019, </w:t>
      </w:r>
      <w:r w:rsidR="0029233F" w:rsidRPr="00B42B77">
        <w:t xml:space="preserve">Estimating source strengths of </w:t>
      </w:r>
      <w:proofErr w:type="spellStart"/>
      <w:r w:rsidR="0029233F" w:rsidRPr="00B42B77">
        <w:t>HCl</w:t>
      </w:r>
      <w:proofErr w:type="spellEnd"/>
      <w:r w:rsidR="0029233F" w:rsidRPr="00B42B77">
        <w:t xml:space="preserve"> and SO2 emissions in the flue gas from waste incineration, </w:t>
      </w:r>
      <w:r w:rsidR="00307EA4" w:rsidRPr="00B42B77">
        <w:t>J. Environ. Sci.</w:t>
      </w:r>
      <w:r w:rsidR="0029233F" w:rsidRPr="00B42B77">
        <w:t xml:space="preserve"> 75, 370-377. </w:t>
      </w:r>
    </w:p>
    <w:sectPr w:rsidR="00E76FCD" w:rsidRPr="00B42B77" w:rsidSect="00EF06D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97C68" w14:textId="77777777" w:rsidR="001B7447" w:rsidRDefault="001B7447" w:rsidP="004F5E36">
      <w:r>
        <w:separator/>
      </w:r>
    </w:p>
  </w:endnote>
  <w:endnote w:type="continuationSeparator" w:id="0">
    <w:p w14:paraId="3421DF78" w14:textId="77777777" w:rsidR="001B7447" w:rsidRDefault="001B7447" w:rsidP="004F5E36">
      <w:r>
        <w:continuationSeparator/>
      </w:r>
    </w:p>
  </w:endnote>
  <w:endnote w:type="continuationNotice" w:id="1">
    <w:p w14:paraId="56CB92CB" w14:textId="77777777" w:rsidR="001B7447" w:rsidRDefault="001B74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vP6960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BD35B" w14:textId="77777777" w:rsidR="001B7447" w:rsidRDefault="001B7447" w:rsidP="004F5E36">
      <w:r>
        <w:separator/>
      </w:r>
    </w:p>
  </w:footnote>
  <w:footnote w:type="continuationSeparator" w:id="0">
    <w:p w14:paraId="104F5849" w14:textId="77777777" w:rsidR="001B7447" w:rsidRDefault="001B7447" w:rsidP="004F5E36">
      <w:r>
        <w:continuationSeparator/>
      </w:r>
    </w:p>
  </w:footnote>
  <w:footnote w:type="continuationNotice" w:id="1">
    <w:p w14:paraId="7F115960" w14:textId="77777777" w:rsidR="001B7447" w:rsidRDefault="001B744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106841"/>
    <w:multiLevelType w:val="hybridMultilevel"/>
    <w:tmpl w:val="DA06C848"/>
    <w:lvl w:ilvl="0" w:tplc="514C5D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4C61C0"/>
    <w:multiLevelType w:val="multilevel"/>
    <w:tmpl w:val="AA6469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1882255"/>
    <w:multiLevelType w:val="multilevel"/>
    <w:tmpl w:val="BFCEC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438217E"/>
    <w:multiLevelType w:val="multilevel"/>
    <w:tmpl w:val="4AB09CC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2CE166FE"/>
    <w:multiLevelType w:val="hybridMultilevel"/>
    <w:tmpl w:val="EDCE8220"/>
    <w:lvl w:ilvl="0" w:tplc="84E000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E5047"/>
    <w:multiLevelType w:val="multilevel"/>
    <w:tmpl w:val="C80E6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2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515099"/>
    <w:multiLevelType w:val="multilevel"/>
    <w:tmpl w:val="96E44A4C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8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16"/>
  </w:num>
  <w:num w:numId="14">
    <w:abstractNumId w:val="22"/>
  </w:num>
  <w:num w:numId="15">
    <w:abstractNumId w:val="24"/>
  </w:num>
  <w:num w:numId="16">
    <w:abstractNumId w:val="23"/>
  </w:num>
  <w:num w:numId="17">
    <w:abstractNumId w:val="15"/>
  </w:num>
  <w:num w:numId="18">
    <w:abstractNumId w:val="16"/>
    <w:lvlOverride w:ilvl="0">
      <w:startOverride w:val="1"/>
    </w:lvlOverride>
  </w:num>
  <w:num w:numId="19">
    <w:abstractNumId w:val="20"/>
  </w:num>
  <w:num w:numId="20">
    <w:abstractNumId w:val="19"/>
  </w:num>
  <w:num w:numId="21">
    <w:abstractNumId w:val="17"/>
  </w:num>
  <w:num w:numId="22">
    <w:abstractNumId w:val="18"/>
  </w:num>
  <w:num w:numId="23">
    <w:abstractNumId w:val="11"/>
  </w:num>
  <w:num w:numId="24">
    <w:abstractNumId w:val="25"/>
  </w:num>
  <w:num w:numId="25">
    <w:abstractNumId w:val="12"/>
  </w:num>
  <w:num w:numId="26">
    <w:abstractNumId w:val="13"/>
    <w:lvlOverride w:ilvl="0">
      <w:startOverride w:val="1"/>
    </w:lvlOverride>
    <w:lvlOverride w:ilvl="1">
      <w:startOverride w:val="4"/>
    </w:lvlOverride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02DF"/>
    <w:rsid w:val="000014A4"/>
    <w:rsid w:val="000027C0"/>
    <w:rsid w:val="0000404E"/>
    <w:rsid w:val="000052FB"/>
    <w:rsid w:val="00005460"/>
    <w:rsid w:val="000063CF"/>
    <w:rsid w:val="000107D1"/>
    <w:rsid w:val="00010C87"/>
    <w:rsid w:val="00010CCE"/>
    <w:rsid w:val="000117CB"/>
    <w:rsid w:val="00012ED6"/>
    <w:rsid w:val="00021ED4"/>
    <w:rsid w:val="00023A05"/>
    <w:rsid w:val="00023C5E"/>
    <w:rsid w:val="00027B43"/>
    <w:rsid w:val="0003148D"/>
    <w:rsid w:val="000317FE"/>
    <w:rsid w:val="00031B83"/>
    <w:rsid w:val="00032795"/>
    <w:rsid w:val="00035E27"/>
    <w:rsid w:val="0003731B"/>
    <w:rsid w:val="00040ED2"/>
    <w:rsid w:val="00045E84"/>
    <w:rsid w:val="00051566"/>
    <w:rsid w:val="000528D1"/>
    <w:rsid w:val="00052D24"/>
    <w:rsid w:val="00055B7B"/>
    <w:rsid w:val="000567D8"/>
    <w:rsid w:val="00056E24"/>
    <w:rsid w:val="000605B9"/>
    <w:rsid w:val="00060608"/>
    <w:rsid w:val="000609DE"/>
    <w:rsid w:val="00062043"/>
    <w:rsid w:val="00062A9A"/>
    <w:rsid w:val="00065058"/>
    <w:rsid w:val="00065A09"/>
    <w:rsid w:val="000710BF"/>
    <w:rsid w:val="00072016"/>
    <w:rsid w:val="0007482F"/>
    <w:rsid w:val="000816DA"/>
    <w:rsid w:val="00083216"/>
    <w:rsid w:val="00083F11"/>
    <w:rsid w:val="00083F85"/>
    <w:rsid w:val="000859E4"/>
    <w:rsid w:val="00086090"/>
    <w:rsid w:val="00086689"/>
    <w:rsid w:val="00086C39"/>
    <w:rsid w:val="000877D7"/>
    <w:rsid w:val="0009008D"/>
    <w:rsid w:val="00090F48"/>
    <w:rsid w:val="00091E46"/>
    <w:rsid w:val="00093CC7"/>
    <w:rsid w:val="00093D8F"/>
    <w:rsid w:val="00095712"/>
    <w:rsid w:val="0009706A"/>
    <w:rsid w:val="000A03B2"/>
    <w:rsid w:val="000A1C76"/>
    <w:rsid w:val="000A1CEE"/>
    <w:rsid w:val="000A6990"/>
    <w:rsid w:val="000A6E7F"/>
    <w:rsid w:val="000A75A2"/>
    <w:rsid w:val="000B1237"/>
    <w:rsid w:val="000B3123"/>
    <w:rsid w:val="000B60BD"/>
    <w:rsid w:val="000B6F78"/>
    <w:rsid w:val="000B6F79"/>
    <w:rsid w:val="000C0074"/>
    <w:rsid w:val="000C0B3B"/>
    <w:rsid w:val="000C2721"/>
    <w:rsid w:val="000C35C8"/>
    <w:rsid w:val="000C398E"/>
    <w:rsid w:val="000C56F9"/>
    <w:rsid w:val="000D0268"/>
    <w:rsid w:val="000D1441"/>
    <w:rsid w:val="000D1D29"/>
    <w:rsid w:val="000D34BE"/>
    <w:rsid w:val="000D36BA"/>
    <w:rsid w:val="000D4CBF"/>
    <w:rsid w:val="000D75FF"/>
    <w:rsid w:val="000E102F"/>
    <w:rsid w:val="000E36F1"/>
    <w:rsid w:val="000E3915"/>
    <w:rsid w:val="000E3A73"/>
    <w:rsid w:val="000E414A"/>
    <w:rsid w:val="000E5C63"/>
    <w:rsid w:val="000E64E2"/>
    <w:rsid w:val="000E77EC"/>
    <w:rsid w:val="000F0922"/>
    <w:rsid w:val="000F093C"/>
    <w:rsid w:val="000F1442"/>
    <w:rsid w:val="000F2264"/>
    <w:rsid w:val="000F3693"/>
    <w:rsid w:val="000F6282"/>
    <w:rsid w:val="000F6684"/>
    <w:rsid w:val="000F76C2"/>
    <w:rsid w:val="000F787B"/>
    <w:rsid w:val="00101C77"/>
    <w:rsid w:val="001023E4"/>
    <w:rsid w:val="00102405"/>
    <w:rsid w:val="001037F2"/>
    <w:rsid w:val="001148F7"/>
    <w:rsid w:val="00114C4C"/>
    <w:rsid w:val="00115D1E"/>
    <w:rsid w:val="0012091F"/>
    <w:rsid w:val="001209B9"/>
    <w:rsid w:val="00120D8D"/>
    <w:rsid w:val="00120DE3"/>
    <w:rsid w:val="001211D3"/>
    <w:rsid w:val="0012168E"/>
    <w:rsid w:val="001238E3"/>
    <w:rsid w:val="001239AD"/>
    <w:rsid w:val="001247CA"/>
    <w:rsid w:val="00124F05"/>
    <w:rsid w:val="00126BC2"/>
    <w:rsid w:val="00126CFB"/>
    <w:rsid w:val="0012706E"/>
    <w:rsid w:val="001308B6"/>
    <w:rsid w:val="0013121F"/>
    <w:rsid w:val="00131FE6"/>
    <w:rsid w:val="001324BF"/>
    <w:rsid w:val="0013263F"/>
    <w:rsid w:val="0013288C"/>
    <w:rsid w:val="00132D37"/>
    <w:rsid w:val="00133051"/>
    <w:rsid w:val="00134DE4"/>
    <w:rsid w:val="001353C9"/>
    <w:rsid w:val="00135910"/>
    <w:rsid w:val="001361DE"/>
    <w:rsid w:val="00137328"/>
    <w:rsid w:val="00137857"/>
    <w:rsid w:val="00137C14"/>
    <w:rsid w:val="0014034D"/>
    <w:rsid w:val="00140D68"/>
    <w:rsid w:val="0014100E"/>
    <w:rsid w:val="00145483"/>
    <w:rsid w:val="00145F0F"/>
    <w:rsid w:val="00150E59"/>
    <w:rsid w:val="0015134C"/>
    <w:rsid w:val="00152DE3"/>
    <w:rsid w:val="001534E1"/>
    <w:rsid w:val="00154A85"/>
    <w:rsid w:val="00154BA8"/>
    <w:rsid w:val="00155065"/>
    <w:rsid w:val="0015664F"/>
    <w:rsid w:val="00156FD8"/>
    <w:rsid w:val="0015725A"/>
    <w:rsid w:val="00157D0C"/>
    <w:rsid w:val="00160ABE"/>
    <w:rsid w:val="00160BE0"/>
    <w:rsid w:val="00161030"/>
    <w:rsid w:val="001642F7"/>
    <w:rsid w:val="00164CF9"/>
    <w:rsid w:val="00164E03"/>
    <w:rsid w:val="001667A6"/>
    <w:rsid w:val="00166C74"/>
    <w:rsid w:val="0016700D"/>
    <w:rsid w:val="00167921"/>
    <w:rsid w:val="001702DF"/>
    <w:rsid w:val="00171887"/>
    <w:rsid w:val="00175027"/>
    <w:rsid w:val="001755A2"/>
    <w:rsid w:val="0017583A"/>
    <w:rsid w:val="00177059"/>
    <w:rsid w:val="001776D7"/>
    <w:rsid w:val="001805A7"/>
    <w:rsid w:val="0018347F"/>
    <w:rsid w:val="00184339"/>
    <w:rsid w:val="001848CF"/>
    <w:rsid w:val="00184AD6"/>
    <w:rsid w:val="001850D4"/>
    <w:rsid w:val="001866AD"/>
    <w:rsid w:val="00186E2A"/>
    <w:rsid w:val="0018710A"/>
    <w:rsid w:val="0018719A"/>
    <w:rsid w:val="00194CB0"/>
    <w:rsid w:val="00194F12"/>
    <w:rsid w:val="0019748B"/>
    <w:rsid w:val="001A0C09"/>
    <w:rsid w:val="001A2E18"/>
    <w:rsid w:val="001A39ED"/>
    <w:rsid w:val="001A3EC3"/>
    <w:rsid w:val="001A4295"/>
    <w:rsid w:val="001A4999"/>
    <w:rsid w:val="001A4AF7"/>
    <w:rsid w:val="001A597E"/>
    <w:rsid w:val="001A598D"/>
    <w:rsid w:val="001B0349"/>
    <w:rsid w:val="001B1712"/>
    <w:rsid w:val="001B2884"/>
    <w:rsid w:val="001B36F6"/>
    <w:rsid w:val="001B3BDE"/>
    <w:rsid w:val="001B3EB2"/>
    <w:rsid w:val="001B48A2"/>
    <w:rsid w:val="001B601F"/>
    <w:rsid w:val="001B65C1"/>
    <w:rsid w:val="001B6B63"/>
    <w:rsid w:val="001B6E3C"/>
    <w:rsid w:val="001B7447"/>
    <w:rsid w:val="001C00D8"/>
    <w:rsid w:val="001C25DA"/>
    <w:rsid w:val="001C5B06"/>
    <w:rsid w:val="001C684B"/>
    <w:rsid w:val="001C77AF"/>
    <w:rsid w:val="001D1C33"/>
    <w:rsid w:val="001D22C9"/>
    <w:rsid w:val="001D4717"/>
    <w:rsid w:val="001D53FC"/>
    <w:rsid w:val="001D578B"/>
    <w:rsid w:val="001D6689"/>
    <w:rsid w:val="001D6F1B"/>
    <w:rsid w:val="001E0127"/>
    <w:rsid w:val="001E18CB"/>
    <w:rsid w:val="001E2C41"/>
    <w:rsid w:val="001E4B96"/>
    <w:rsid w:val="001E7B24"/>
    <w:rsid w:val="001F0809"/>
    <w:rsid w:val="001F29E2"/>
    <w:rsid w:val="001F3DAC"/>
    <w:rsid w:val="001F42A5"/>
    <w:rsid w:val="001F5B4C"/>
    <w:rsid w:val="001F610E"/>
    <w:rsid w:val="001F6200"/>
    <w:rsid w:val="001F6F73"/>
    <w:rsid w:val="001F76AC"/>
    <w:rsid w:val="001F7B9D"/>
    <w:rsid w:val="00200F6B"/>
    <w:rsid w:val="002019EC"/>
    <w:rsid w:val="00202285"/>
    <w:rsid w:val="002028A2"/>
    <w:rsid w:val="00205079"/>
    <w:rsid w:val="00206EF4"/>
    <w:rsid w:val="00211779"/>
    <w:rsid w:val="00211E02"/>
    <w:rsid w:val="00213311"/>
    <w:rsid w:val="002144AD"/>
    <w:rsid w:val="00214B1D"/>
    <w:rsid w:val="00215CE0"/>
    <w:rsid w:val="00217A59"/>
    <w:rsid w:val="0022006E"/>
    <w:rsid w:val="00221E25"/>
    <w:rsid w:val="002224B4"/>
    <w:rsid w:val="00222DD8"/>
    <w:rsid w:val="00227EA8"/>
    <w:rsid w:val="002347FB"/>
    <w:rsid w:val="00236175"/>
    <w:rsid w:val="00236846"/>
    <w:rsid w:val="002429B9"/>
    <w:rsid w:val="00244422"/>
    <w:rsid w:val="002447EF"/>
    <w:rsid w:val="00244ECA"/>
    <w:rsid w:val="002466A5"/>
    <w:rsid w:val="0024760F"/>
    <w:rsid w:val="002508F1"/>
    <w:rsid w:val="00250EED"/>
    <w:rsid w:val="00250F8A"/>
    <w:rsid w:val="0025152B"/>
    <w:rsid w:val="00251550"/>
    <w:rsid w:val="0025333A"/>
    <w:rsid w:val="00253EF2"/>
    <w:rsid w:val="00257318"/>
    <w:rsid w:val="00260596"/>
    <w:rsid w:val="00261016"/>
    <w:rsid w:val="00262BDA"/>
    <w:rsid w:val="00263B05"/>
    <w:rsid w:val="00264FFF"/>
    <w:rsid w:val="00267E4C"/>
    <w:rsid w:val="0027002E"/>
    <w:rsid w:val="0027221A"/>
    <w:rsid w:val="0027258E"/>
    <w:rsid w:val="00272F28"/>
    <w:rsid w:val="00275B61"/>
    <w:rsid w:val="0027684E"/>
    <w:rsid w:val="00281BDC"/>
    <w:rsid w:val="00282656"/>
    <w:rsid w:val="0028405A"/>
    <w:rsid w:val="002840F5"/>
    <w:rsid w:val="00284302"/>
    <w:rsid w:val="00284855"/>
    <w:rsid w:val="00284E09"/>
    <w:rsid w:val="00285671"/>
    <w:rsid w:val="0028763D"/>
    <w:rsid w:val="002900D8"/>
    <w:rsid w:val="002916DE"/>
    <w:rsid w:val="0029233F"/>
    <w:rsid w:val="002952A7"/>
    <w:rsid w:val="002968C3"/>
    <w:rsid w:val="00296B83"/>
    <w:rsid w:val="002A08C2"/>
    <w:rsid w:val="002A0BAC"/>
    <w:rsid w:val="002A2387"/>
    <w:rsid w:val="002A39BC"/>
    <w:rsid w:val="002B0B45"/>
    <w:rsid w:val="002B2A09"/>
    <w:rsid w:val="002B6250"/>
    <w:rsid w:val="002B65FF"/>
    <w:rsid w:val="002B78CE"/>
    <w:rsid w:val="002C236F"/>
    <w:rsid w:val="002C2FB6"/>
    <w:rsid w:val="002C47A4"/>
    <w:rsid w:val="002C4A44"/>
    <w:rsid w:val="002C50B7"/>
    <w:rsid w:val="002C6EEF"/>
    <w:rsid w:val="002C6F49"/>
    <w:rsid w:val="002D01B2"/>
    <w:rsid w:val="002D1B79"/>
    <w:rsid w:val="002D3DF4"/>
    <w:rsid w:val="002D46FA"/>
    <w:rsid w:val="002E5E72"/>
    <w:rsid w:val="002F009C"/>
    <w:rsid w:val="002F0420"/>
    <w:rsid w:val="002F0D08"/>
    <w:rsid w:val="002F3309"/>
    <w:rsid w:val="002F34D3"/>
    <w:rsid w:val="002F49A1"/>
    <w:rsid w:val="002F594C"/>
    <w:rsid w:val="002F59A6"/>
    <w:rsid w:val="003009B7"/>
    <w:rsid w:val="00300E56"/>
    <w:rsid w:val="00302A1F"/>
    <w:rsid w:val="00302CE3"/>
    <w:rsid w:val="003044BF"/>
    <w:rsid w:val="0030469C"/>
    <w:rsid w:val="00307C93"/>
    <w:rsid w:val="00307EA4"/>
    <w:rsid w:val="003106E8"/>
    <w:rsid w:val="00311B96"/>
    <w:rsid w:val="00312CA9"/>
    <w:rsid w:val="00314F49"/>
    <w:rsid w:val="00315C90"/>
    <w:rsid w:val="00316AA2"/>
    <w:rsid w:val="00316F8E"/>
    <w:rsid w:val="00321CA6"/>
    <w:rsid w:val="003244F3"/>
    <w:rsid w:val="0033020D"/>
    <w:rsid w:val="00333265"/>
    <w:rsid w:val="00334C09"/>
    <w:rsid w:val="00344EE9"/>
    <w:rsid w:val="003502C3"/>
    <w:rsid w:val="003522A5"/>
    <w:rsid w:val="00352D3D"/>
    <w:rsid w:val="0035499E"/>
    <w:rsid w:val="003550B9"/>
    <w:rsid w:val="00356283"/>
    <w:rsid w:val="00357854"/>
    <w:rsid w:val="00361F89"/>
    <w:rsid w:val="00362067"/>
    <w:rsid w:val="003639CD"/>
    <w:rsid w:val="00363AB8"/>
    <w:rsid w:val="00365297"/>
    <w:rsid w:val="00366193"/>
    <w:rsid w:val="003679F4"/>
    <w:rsid w:val="003723D4"/>
    <w:rsid w:val="0037324D"/>
    <w:rsid w:val="00373554"/>
    <w:rsid w:val="00373D93"/>
    <w:rsid w:val="003749E2"/>
    <w:rsid w:val="00375F9D"/>
    <w:rsid w:val="003808A4"/>
    <w:rsid w:val="00381905"/>
    <w:rsid w:val="00384801"/>
    <w:rsid w:val="00384CC8"/>
    <w:rsid w:val="00385F9A"/>
    <w:rsid w:val="0038714A"/>
    <w:rsid w:val="003871FD"/>
    <w:rsid w:val="00390596"/>
    <w:rsid w:val="00391283"/>
    <w:rsid w:val="003913CE"/>
    <w:rsid w:val="003A0B61"/>
    <w:rsid w:val="003A10B9"/>
    <w:rsid w:val="003A1E30"/>
    <w:rsid w:val="003A44EE"/>
    <w:rsid w:val="003A5608"/>
    <w:rsid w:val="003A6CB4"/>
    <w:rsid w:val="003A7D1C"/>
    <w:rsid w:val="003B304B"/>
    <w:rsid w:val="003B3146"/>
    <w:rsid w:val="003B3F70"/>
    <w:rsid w:val="003B4ABD"/>
    <w:rsid w:val="003B50DB"/>
    <w:rsid w:val="003B5C70"/>
    <w:rsid w:val="003B5EA4"/>
    <w:rsid w:val="003B6524"/>
    <w:rsid w:val="003B6A04"/>
    <w:rsid w:val="003B72F0"/>
    <w:rsid w:val="003C09CA"/>
    <w:rsid w:val="003C0BCA"/>
    <w:rsid w:val="003C2802"/>
    <w:rsid w:val="003C3D0B"/>
    <w:rsid w:val="003C5BC5"/>
    <w:rsid w:val="003C6A50"/>
    <w:rsid w:val="003C7603"/>
    <w:rsid w:val="003D1AD8"/>
    <w:rsid w:val="003D5698"/>
    <w:rsid w:val="003D57C6"/>
    <w:rsid w:val="003D5D2A"/>
    <w:rsid w:val="003E3F37"/>
    <w:rsid w:val="003E550D"/>
    <w:rsid w:val="003E587B"/>
    <w:rsid w:val="003E7681"/>
    <w:rsid w:val="003F015E"/>
    <w:rsid w:val="003F1445"/>
    <w:rsid w:val="00400414"/>
    <w:rsid w:val="00400C77"/>
    <w:rsid w:val="00401179"/>
    <w:rsid w:val="00403D6E"/>
    <w:rsid w:val="0040518D"/>
    <w:rsid w:val="004055DE"/>
    <w:rsid w:val="00410113"/>
    <w:rsid w:val="004106B9"/>
    <w:rsid w:val="00410F4A"/>
    <w:rsid w:val="004121F4"/>
    <w:rsid w:val="0041349B"/>
    <w:rsid w:val="0041446B"/>
    <w:rsid w:val="00414757"/>
    <w:rsid w:val="00420ECC"/>
    <w:rsid w:val="0042101B"/>
    <w:rsid w:val="00423C9F"/>
    <w:rsid w:val="00426229"/>
    <w:rsid w:val="004267BC"/>
    <w:rsid w:val="00427083"/>
    <w:rsid w:val="00427766"/>
    <w:rsid w:val="00427B46"/>
    <w:rsid w:val="00430CAB"/>
    <w:rsid w:val="004317A7"/>
    <w:rsid w:val="0043333D"/>
    <w:rsid w:val="00434BC6"/>
    <w:rsid w:val="00435927"/>
    <w:rsid w:val="004359EE"/>
    <w:rsid w:val="00435CEE"/>
    <w:rsid w:val="00436DD8"/>
    <w:rsid w:val="00437B2F"/>
    <w:rsid w:val="00441B5C"/>
    <w:rsid w:val="00442E78"/>
    <w:rsid w:val="0044329C"/>
    <w:rsid w:val="00444C2F"/>
    <w:rsid w:val="00445CF5"/>
    <w:rsid w:val="00446580"/>
    <w:rsid w:val="00452C5A"/>
    <w:rsid w:val="00452FF5"/>
    <w:rsid w:val="004532AA"/>
    <w:rsid w:val="00453884"/>
    <w:rsid w:val="00456EDD"/>
    <w:rsid w:val="004577FE"/>
    <w:rsid w:val="00457B9C"/>
    <w:rsid w:val="00460482"/>
    <w:rsid w:val="00460D82"/>
    <w:rsid w:val="0046164A"/>
    <w:rsid w:val="0046192C"/>
    <w:rsid w:val="00461B0B"/>
    <w:rsid w:val="004628D2"/>
    <w:rsid w:val="00462DCD"/>
    <w:rsid w:val="00463005"/>
    <w:rsid w:val="00463123"/>
    <w:rsid w:val="004634B8"/>
    <w:rsid w:val="00463B20"/>
    <w:rsid w:val="004648AD"/>
    <w:rsid w:val="00464A45"/>
    <w:rsid w:val="004703A9"/>
    <w:rsid w:val="00472DAB"/>
    <w:rsid w:val="00475D76"/>
    <w:rsid w:val="004760DE"/>
    <w:rsid w:val="004763D7"/>
    <w:rsid w:val="00477370"/>
    <w:rsid w:val="00480F35"/>
    <w:rsid w:val="004816FB"/>
    <w:rsid w:val="0048466D"/>
    <w:rsid w:val="00485120"/>
    <w:rsid w:val="00486270"/>
    <w:rsid w:val="004874F2"/>
    <w:rsid w:val="00490E1C"/>
    <w:rsid w:val="00492135"/>
    <w:rsid w:val="00493020"/>
    <w:rsid w:val="00493D9D"/>
    <w:rsid w:val="00494449"/>
    <w:rsid w:val="00494EF8"/>
    <w:rsid w:val="00496953"/>
    <w:rsid w:val="004A004E"/>
    <w:rsid w:val="004A0B96"/>
    <w:rsid w:val="004A1015"/>
    <w:rsid w:val="004A21C7"/>
    <w:rsid w:val="004A2236"/>
    <w:rsid w:val="004A24CF"/>
    <w:rsid w:val="004A27C8"/>
    <w:rsid w:val="004A29CD"/>
    <w:rsid w:val="004A317B"/>
    <w:rsid w:val="004A4942"/>
    <w:rsid w:val="004A56B0"/>
    <w:rsid w:val="004A6B9E"/>
    <w:rsid w:val="004B1D46"/>
    <w:rsid w:val="004B621A"/>
    <w:rsid w:val="004C1505"/>
    <w:rsid w:val="004C163B"/>
    <w:rsid w:val="004C1E8F"/>
    <w:rsid w:val="004C1F15"/>
    <w:rsid w:val="004C3D1D"/>
    <w:rsid w:val="004C40D5"/>
    <w:rsid w:val="004C4F09"/>
    <w:rsid w:val="004C7913"/>
    <w:rsid w:val="004C7AA9"/>
    <w:rsid w:val="004D08CC"/>
    <w:rsid w:val="004D0C18"/>
    <w:rsid w:val="004D20D8"/>
    <w:rsid w:val="004D2F2A"/>
    <w:rsid w:val="004D30E3"/>
    <w:rsid w:val="004D6034"/>
    <w:rsid w:val="004D7055"/>
    <w:rsid w:val="004D75FB"/>
    <w:rsid w:val="004E01F4"/>
    <w:rsid w:val="004E2AFD"/>
    <w:rsid w:val="004E493C"/>
    <w:rsid w:val="004E4949"/>
    <w:rsid w:val="004E4DD6"/>
    <w:rsid w:val="004E7712"/>
    <w:rsid w:val="004F0930"/>
    <w:rsid w:val="004F151B"/>
    <w:rsid w:val="004F35AC"/>
    <w:rsid w:val="004F3D7D"/>
    <w:rsid w:val="004F57BC"/>
    <w:rsid w:val="004F5E36"/>
    <w:rsid w:val="00500ACD"/>
    <w:rsid w:val="00500F5B"/>
    <w:rsid w:val="00502230"/>
    <w:rsid w:val="0050252D"/>
    <w:rsid w:val="00503A68"/>
    <w:rsid w:val="00504C08"/>
    <w:rsid w:val="005058DC"/>
    <w:rsid w:val="00507B47"/>
    <w:rsid w:val="00507BEF"/>
    <w:rsid w:val="00507CC9"/>
    <w:rsid w:val="005107D8"/>
    <w:rsid w:val="005119A5"/>
    <w:rsid w:val="005146F2"/>
    <w:rsid w:val="005147F8"/>
    <w:rsid w:val="00515364"/>
    <w:rsid w:val="00517939"/>
    <w:rsid w:val="005229A8"/>
    <w:rsid w:val="0052354B"/>
    <w:rsid w:val="00523ED3"/>
    <w:rsid w:val="00523FD2"/>
    <w:rsid w:val="005240A8"/>
    <w:rsid w:val="00524D89"/>
    <w:rsid w:val="00525BAB"/>
    <w:rsid w:val="00526315"/>
    <w:rsid w:val="0052665A"/>
    <w:rsid w:val="00527584"/>
    <w:rsid w:val="005278B7"/>
    <w:rsid w:val="00527C4C"/>
    <w:rsid w:val="00530903"/>
    <w:rsid w:val="00532016"/>
    <w:rsid w:val="005346C8"/>
    <w:rsid w:val="005349B6"/>
    <w:rsid w:val="00535FF4"/>
    <w:rsid w:val="005376F9"/>
    <w:rsid w:val="00540D22"/>
    <w:rsid w:val="00541538"/>
    <w:rsid w:val="00543E7D"/>
    <w:rsid w:val="00544204"/>
    <w:rsid w:val="005453D3"/>
    <w:rsid w:val="00545407"/>
    <w:rsid w:val="00545704"/>
    <w:rsid w:val="00545B86"/>
    <w:rsid w:val="00547A68"/>
    <w:rsid w:val="00550D18"/>
    <w:rsid w:val="005514EA"/>
    <w:rsid w:val="00551868"/>
    <w:rsid w:val="00552DDE"/>
    <w:rsid w:val="00552FBE"/>
    <w:rsid w:val="005531C9"/>
    <w:rsid w:val="00555FA1"/>
    <w:rsid w:val="005562AB"/>
    <w:rsid w:val="00556351"/>
    <w:rsid w:val="005566E1"/>
    <w:rsid w:val="00557391"/>
    <w:rsid w:val="0056016E"/>
    <w:rsid w:val="0056097D"/>
    <w:rsid w:val="00560C2A"/>
    <w:rsid w:val="00560E0B"/>
    <w:rsid w:val="005613E1"/>
    <w:rsid w:val="0056149A"/>
    <w:rsid w:val="005614F0"/>
    <w:rsid w:val="0056280D"/>
    <w:rsid w:val="00562AD8"/>
    <w:rsid w:val="00563868"/>
    <w:rsid w:val="00564186"/>
    <w:rsid w:val="00564925"/>
    <w:rsid w:val="00565043"/>
    <w:rsid w:val="00567A60"/>
    <w:rsid w:val="005702F2"/>
    <w:rsid w:val="00570C43"/>
    <w:rsid w:val="005723D3"/>
    <w:rsid w:val="00572B1F"/>
    <w:rsid w:val="00573ACF"/>
    <w:rsid w:val="00575C1C"/>
    <w:rsid w:val="005760A1"/>
    <w:rsid w:val="00576157"/>
    <w:rsid w:val="00584157"/>
    <w:rsid w:val="00585865"/>
    <w:rsid w:val="00586EF8"/>
    <w:rsid w:val="005870A6"/>
    <w:rsid w:val="005913CD"/>
    <w:rsid w:val="00592DB7"/>
    <w:rsid w:val="0059339A"/>
    <w:rsid w:val="00593580"/>
    <w:rsid w:val="0059365C"/>
    <w:rsid w:val="00595513"/>
    <w:rsid w:val="00596154"/>
    <w:rsid w:val="005A13E1"/>
    <w:rsid w:val="005A2C78"/>
    <w:rsid w:val="005A369F"/>
    <w:rsid w:val="005A525E"/>
    <w:rsid w:val="005B2110"/>
    <w:rsid w:val="005B2B98"/>
    <w:rsid w:val="005B3017"/>
    <w:rsid w:val="005B357A"/>
    <w:rsid w:val="005B5DF4"/>
    <w:rsid w:val="005B61E6"/>
    <w:rsid w:val="005C3477"/>
    <w:rsid w:val="005C4659"/>
    <w:rsid w:val="005C4E5E"/>
    <w:rsid w:val="005C51A8"/>
    <w:rsid w:val="005C5DB1"/>
    <w:rsid w:val="005C643D"/>
    <w:rsid w:val="005C68DA"/>
    <w:rsid w:val="005C77E1"/>
    <w:rsid w:val="005D1C80"/>
    <w:rsid w:val="005D5327"/>
    <w:rsid w:val="005D5B15"/>
    <w:rsid w:val="005D633F"/>
    <w:rsid w:val="005D64C4"/>
    <w:rsid w:val="005D6A2F"/>
    <w:rsid w:val="005E0897"/>
    <w:rsid w:val="005E0D2F"/>
    <w:rsid w:val="005E122B"/>
    <w:rsid w:val="005E1894"/>
    <w:rsid w:val="005E1A82"/>
    <w:rsid w:val="005E42C6"/>
    <w:rsid w:val="005E44B2"/>
    <w:rsid w:val="005E6729"/>
    <w:rsid w:val="005E794C"/>
    <w:rsid w:val="005F0A28"/>
    <w:rsid w:val="005F0E5E"/>
    <w:rsid w:val="005F16B4"/>
    <w:rsid w:val="005F5D71"/>
    <w:rsid w:val="005F5EF4"/>
    <w:rsid w:val="005F67BA"/>
    <w:rsid w:val="005F6EA3"/>
    <w:rsid w:val="005F7BD7"/>
    <w:rsid w:val="00600535"/>
    <w:rsid w:val="0060285C"/>
    <w:rsid w:val="00603E18"/>
    <w:rsid w:val="00607C2D"/>
    <w:rsid w:val="00610CD6"/>
    <w:rsid w:val="00616E7D"/>
    <w:rsid w:val="00617A40"/>
    <w:rsid w:val="00620DEE"/>
    <w:rsid w:val="0062174E"/>
    <w:rsid w:val="00621F92"/>
    <w:rsid w:val="0062280A"/>
    <w:rsid w:val="006230CA"/>
    <w:rsid w:val="006249C5"/>
    <w:rsid w:val="00625080"/>
    <w:rsid w:val="00625639"/>
    <w:rsid w:val="00626420"/>
    <w:rsid w:val="00626CF3"/>
    <w:rsid w:val="00630951"/>
    <w:rsid w:val="00631B33"/>
    <w:rsid w:val="00632065"/>
    <w:rsid w:val="00634664"/>
    <w:rsid w:val="006349DF"/>
    <w:rsid w:val="006351D4"/>
    <w:rsid w:val="00635B5D"/>
    <w:rsid w:val="0064184D"/>
    <w:rsid w:val="006422CC"/>
    <w:rsid w:val="006439B7"/>
    <w:rsid w:val="00645B90"/>
    <w:rsid w:val="00645D21"/>
    <w:rsid w:val="00650927"/>
    <w:rsid w:val="00651931"/>
    <w:rsid w:val="00655F6C"/>
    <w:rsid w:val="00660E3E"/>
    <w:rsid w:val="006627B2"/>
    <w:rsid w:val="00662E74"/>
    <w:rsid w:val="00663924"/>
    <w:rsid w:val="006642C0"/>
    <w:rsid w:val="006642C5"/>
    <w:rsid w:val="00664FE0"/>
    <w:rsid w:val="006655B4"/>
    <w:rsid w:val="00667CB5"/>
    <w:rsid w:val="00672119"/>
    <w:rsid w:val="0067317A"/>
    <w:rsid w:val="006767C8"/>
    <w:rsid w:val="006773DD"/>
    <w:rsid w:val="00677D66"/>
    <w:rsid w:val="00680C23"/>
    <w:rsid w:val="00682624"/>
    <w:rsid w:val="00683581"/>
    <w:rsid w:val="00685818"/>
    <w:rsid w:val="00686F72"/>
    <w:rsid w:val="00687328"/>
    <w:rsid w:val="00687A5C"/>
    <w:rsid w:val="0069155F"/>
    <w:rsid w:val="00693766"/>
    <w:rsid w:val="0069462E"/>
    <w:rsid w:val="00697074"/>
    <w:rsid w:val="006A020C"/>
    <w:rsid w:val="006A0E38"/>
    <w:rsid w:val="006A3281"/>
    <w:rsid w:val="006A48DE"/>
    <w:rsid w:val="006A619C"/>
    <w:rsid w:val="006B33A3"/>
    <w:rsid w:val="006B37CF"/>
    <w:rsid w:val="006B424F"/>
    <w:rsid w:val="006B4888"/>
    <w:rsid w:val="006B56B0"/>
    <w:rsid w:val="006B5727"/>
    <w:rsid w:val="006B682A"/>
    <w:rsid w:val="006B7B2A"/>
    <w:rsid w:val="006C06EC"/>
    <w:rsid w:val="006C1C97"/>
    <w:rsid w:val="006C2D00"/>
    <w:rsid w:val="006C2E45"/>
    <w:rsid w:val="006C359C"/>
    <w:rsid w:val="006C3643"/>
    <w:rsid w:val="006C4024"/>
    <w:rsid w:val="006C5579"/>
    <w:rsid w:val="006C5FB6"/>
    <w:rsid w:val="006C7CEB"/>
    <w:rsid w:val="006D1BA7"/>
    <w:rsid w:val="006D208E"/>
    <w:rsid w:val="006D2DF3"/>
    <w:rsid w:val="006D4561"/>
    <w:rsid w:val="006D484B"/>
    <w:rsid w:val="006E10D3"/>
    <w:rsid w:val="006E3188"/>
    <w:rsid w:val="006E5CB9"/>
    <w:rsid w:val="006E6B58"/>
    <w:rsid w:val="006E737D"/>
    <w:rsid w:val="006F0912"/>
    <w:rsid w:val="006F1B2D"/>
    <w:rsid w:val="006F69BB"/>
    <w:rsid w:val="006F7435"/>
    <w:rsid w:val="00701DDE"/>
    <w:rsid w:val="007027F0"/>
    <w:rsid w:val="007107B3"/>
    <w:rsid w:val="00712E98"/>
    <w:rsid w:val="00716334"/>
    <w:rsid w:val="00716B0B"/>
    <w:rsid w:val="007170ED"/>
    <w:rsid w:val="00720390"/>
    <w:rsid w:val="00720A24"/>
    <w:rsid w:val="00720EDE"/>
    <w:rsid w:val="0072102D"/>
    <w:rsid w:val="00726A55"/>
    <w:rsid w:val="0072733F"/>
    <w:rsid w:val="007274B0"/>
    <w:rsid w:val="007320B3"/>
    <w:rsid w:val="00732386"/>
    <w:rsid w:val="00733C52"/>
    <w:rsid w:val="0073514D"/>
    <w:rsid w:val="00735C1B"/>
    <w:rsid w:val="00737EF7"/>
    <w:rsid w:val="007419CB"/>
    <w:rsid w:val="007447F3"/>
    <w:rsid w:val="00744F9C"/>
    <w:rsid w:val="0074637A"/>
    <w:rsid w:val="007463A3"/>
    <w:rsid w:val="00747169"/>
    <w:rsid w:val="00747923"/>
    <w:rsid w:val="00750D85"/>
    <w:rsid w:val="00751027"/>
    <w:rsid w:val="007520C1"/>
    <w:rsid w:val="0075499F"/>
    <w:rsid w:val="00757F06"/>
    <w:rsid w:val="00760C64"/>
    <w:rsid w:val="00765B1A"/>
    <w:rsid w:val="007661C8"/>
    <w:rsid w:val="00766F36"/>
    <w:rsid w:val="007679DC"/>
    <w:rsid w:val="0077098D"/>
    <w:rsid w:val="00770A71"/>
    <w:rsid w:val="00771A29"/>
    <w:rsid w:val="0077399E"/>
    <w:rsid w:val="0077461F"/>
    <w:rsid w:val="00775ABE"/>
    <w:rsid w:val="0078113D"/>
    <w:rsid w:val="00783681"/>
    <w:rsid w:val="00783AFF"/>
    <w:rsid w:val="00784C61"/>
    <w:rsid w:val="00784CE9"/>
    <w:rsid w:val="0078619C"/>
    <w:rsid w:val="00786C7A"/>
    <w:rsid w:val="00790434"/>
    <w:rsid w:val="00792FEE"/>
    <w:rsid w:val="007931FA"/>
    <w:rsid w:val="00793DDC"/>
    <w:rsid w:val="00794FC8"/>
    <w:rsid w:val="00795250"/>
    <w:rsid w:val="007A056E"/>
    <w:rsid w:val="007A05C1"/>
    <w:rsid w:val="007A2B77"/>
    <w:rsid w:val="007A32DF"/>
    <w:rsid w:val="007A364C"/>
    <w:rsid w:val="007A4861"/>
    <w:rsid w:val="007A54A4"/>
    <w:rsid w:val="007A7BBA"/>
    <w:rsid w:val="007B0C50"/>
    <w:rsid w:val="007B486F"/>
    <w:rsid w:val="007B6A05"/>
    <w:rsid w:val="007B6FE7"/>
    <w:rsid w:val="007B7586"/>
    <w:rsid w:val="007B776B"/>
    <w:rsid w:val="007C1A43"/>
    <w:rsid w:val="007C2FB1"/>
    <w:rsid w:val="007C497F"/>
    <w:rsid w:val="007C5248"/>
    <w:rsid w:val="007D0F14"/>
    <w:rsid w:val="007D137A"/>
    <w:rsid w:val="007D15CA"/>
    <w:rsid w:val="007D40A7"/>
    <w:rsid w:val="007D4514"/>
    <w:rsid w:val="007D520D"/>
    <w:rsid w:val="007E0905"/>
    <w:rsid w:val="007E2752"/>
    <w:rsid w:val="007E3950"/>
    <w:rsid w:val="007E7E8A"/>
    <w:rsid w:val="007F1167"/>
    <w:rsid w:val="007F42F0"/>
    <w:rsid w:val="007F4594"/>
    <w:rsid w:val="007F51AA"/>
    <w:rsid w:val="007F57BB"/>
    <w:rsid w:val="007F62C8"/>
    <w:rsid w:val="007F7DC8"/>
    <w:rsid w:val="0080013E"/>
    <w:rsid w:val="00800891"/>
    <w:rsid w:val="00800D72"/>
    <w:rsid w:val="0080395B"/>
    <w:rsid w:val="00806AB3"/>
    <w:rsid w:val="00806BB7"/>
    <w:rsid w:val="00810C9B"/>
    <w:rsid w:val="00811998"/>
    <w:rsid w:val="00813072"/>
    <w:rsid w:val="00813288"/>
    <w:rsid w:val="008168FC"/>
    <w:rsid w:val="0082394D"/>
    <w:rsid w:val="00827D21"/>
    <w:rsid w:val="00830996"/>
    <w:rsid w:val="00832C1D"/>
    <w:rsid w:val="008345F1"/>
    <w:rsid w:val="00834738"/>
    <w:rsid w:val="0083569E"/>
    <w:rsid w:val="00835C35"/>
    <w:rsid w:val="00840025"/>
    <w:rsid w:val="00844E79"/>
    <w:rsid w:val="0084515F"/>
    <w:rsid w:val="008534EB"/>
    <w:rsid w:val="00857AF4"/>
    <w:rsid w:val="00860442"/>
    <w:rsid w:val="008612E4"/>
    <w:rsid w:val="00861863"/>
    <w:rsid w:val="00861E1A"/>
    <w:rsid w:val="00862CBD"/>
    <w:rsid w:val="00863317"/>
    <w:rsid w:val="00863B16"/>
    <w:rsid w:val="00864F70"/>
    <w:rsid w:val="00865606"/>
    <w:rsid w:val="00865B07"/>
    <w:rsid w:val="008667EA"/>
    <w:rsid w:val="00866C33"/>
    <w:rsid w:val="008711E0"/>
    <w:rsid w:val="008726B5"/>
    <w:rsid w:val="008728EA"/>
    <w:rsid w:val="00873339"/>
    <w:rsid w:val="00875239"/>
    <w:rsid w:val="0087637F"/>
    <w:rsid w:val="0088120B"/>
    <w:rsid w:val="008813CA"/>
    <w:rsid w:val="00881EE0"/>
    <w:rsid w:val="00883443"/>
    <w:rsid w:val="008840CC"/>
    <w:rsid w:val="00885AA0"/>
    <w:rsid w:val="00886025"/>
    <w:rsid w:val="00886055"/>
    <w:rsid w:val="0089001D"/>
    <w:rsid w:val="00892AD5"/>
    <w:rsid w:val="00893F63"/>
    <w:rsid w:val="008956A1"/>
    <w:rsid w:val="00896EBA"/>
    <w:rsid w:val="008A1512"/>
    <w:rsid w:val="008A5EBD"/>
    <w:rsid w:val="008A6B7D"/>
    <w:rsid w:val="008A73AA"/>
    <w:rsid w:val="008B0568"/>
    <w:rsid w:val="008B25D5"/>
    <w:rsid w:val="008B32D8"/>
    <w:rsid w:val="008B4DBD"/>
    <w:rsid w:val="008B63A9"/>
    <w:rsid w:val="008B73E4"/>
    <w:rsid w:val="008C1773"/>
    <w:rsid w:val="008C186F"/>
    <w:rsid w:val="008C2B7E"/>
    <w:rsid w:val="008C6779"/>
    <w:rsid w:val="008C7036"/>
    <w:rsid w:val="008D1542"/>
    <w:rsid w:val="008D32B9"/>
    <w:rsid w:val="008D433B"/>
    <w:rsid w:val="008D4AC8"/>
    <w:rsid w:val="008D4C10"/>
    <w:rsid w:val="008D5843"/>
    <w:rsid w:val="008D60A5"/>
    <w:rsid w:val="008D62AF"/>
    <w:rsid w:val="008E3F77"/>
    <w:rsid w:val="008E4254"/>
    <w:rsid w:val="008E431B"/>
    <w:rsid w:val="008E52EB"/>
    <w:rsid w:val="008E566E"/>
    <w:rsid w:val="008E6C35"/>
    <w:rsid w:val="008E7303"/>
    <w:rsid w:val="008F0524"/>
    <w:rsid w:val="008F06FA"/>
    <w:rsid w:val="008F1355"/>
    <w:rsid w:val="008F3994"/>
    <w:rsid w:val="008F6BFC"/>
    <w:rsid w:val="008F741E"/>
    <w:rsid w:val="00900A6A"/>
    <w:rsid w:val="0090108A"/>
    <w:rsid w:val="0090161A"/>
    <w:rsid w:val="00901EB6"/>
    <w:rsid w:val="0090233F"/>
    <w:rsid w:val="0090330B"/>
    <w:rsid w:val="009040A7"/>
    <w:rsid w:val="009042B0"/>
    <w:rsid w:val="00904C62"/>
    <w:rsid w:val="00913185"/>
    <w:rsid w:val="00915603"/>
    <w:rsid w:val="009166A6"/>
    <w:rsid w:val="00916C25"/>
    <w:rsid w:val="00916D93"/>
    <w:rsid w:val="00916F56"/>
    <w:rsid w:val="00917D33"/>
    <w:rsid w:val="00922945"/>
    <w:rsid w:val="00922BA8"/>
    <w:rsid w:val="00924DAC"/>
    <w:rsid w:val="00926044"/>
    <w:rsid w:val="00927058"/>
    <w:rsid w:val="00927BD5"/>
    <w:rsid w:val="00931526"/>
    <w:rsid w:val="00935FB1"/>
    <w:rsid w:val="00940139"/>
    <w:rsid w:val="00940EEA"/>
    <w:rsid w:val="00942750"/>
    <w:rsid w:val="009429FB"/>
    <w:rsid w:val="009446AB"/>
    <w:rsid w:val="00944F20"/>
    <w:rsid w:val="009450CE"/>
    <w:rsid w:val="00947179"/>
    <w:rsid w:val="0095164B"/>
    <w:rsid w:val="00952F11"/>
    <w:rsid w:val="00954090"/>
    <w:rsid w:val="00954573"/>
    <w:rsid w:val="0095494B"/>
    <w:rsid w:val="009558D3"/>
    <w:rsid w:val="00956DF6"/>
    <w:rsid w:val="00957327"/>
    <w:rsid w:val="009573E7"/>
    <w:rsid w:val="00962BAF"/>
    <w:rsid w:val="00963282"/>
    <w:rsid w:val="00963E05"/>
    <w:rsid w:val="00967D54"/>
    <w:rsid w:val="00971028"/>
    <w:rsid w:val="00971685"/>
    <w:rsid w:val="00971A12"/>
    <w:rsid w:val="00972496"/>
    <w:rsid w:val="00974C3F"/>
    <w:rsid w:val="00974D2D"/>
    <w:rsid w:val="00977883"/>
    <w:rsid w:val="009778B2"/>
    <w:rsid w:val="00977BEB"/>
    <w:rsid w:val="00977C44"/>
    <w:rsid w:val="0098053D"/>
    <w:rsid w:val="0098345D"/>
    <w:rsid w:val="00984083"/>
    <w:rsid w:val="0098424B"/>
    <w:rsid w:val="009847C6"/>
    <w:rsid w:val="009870CF"/>
    <w:rsid w:val="0098776B"/>
    <w:rsid w:val="00991C24"/>
    <w:rsid w:val="009925DE"/>
    <w:rsid w:val="00993292"/>
    <w:rsid w:val="0099397B"/>
    <w:rsid w:val="00993FC8"/>
    <w:rsid w:val="00994CBE"/>
    <w:rsid w:val="009963A5"/>
    <w:rsid w:val="00996483"/>
    <w:rsid w:val="00996F5A"/>
    <w:rsid w:val="00997B2E"/>
    <w:rsid w:val="009A0164"/>
    <w:rsid w:val="009A0CBA"/>
    <w:rsid w:val="009A14A1"/>
    <w:rsid w:val="009A1580"/>
    <w:rsid w:val="009A1A80"/>
    <w:rsid w:val="009A203E"/>
    <w:rsid w:val="009A2BEF"/>
    <w:rsid w:val="009A2FCB"/>
    <w:rsid w:val="009A302B"/>
    <w:rsid w:val="009A4E78"/>
    <w:rsid w:val="009A6121"/>
    <w:rsid w:val="009A6F93"/>
    <w:rsid w:val="009B041A"/>
    <w:rsid w:val="009B15D6"/>
    <w:rsid w:val="009B40F8"/>
    <w:rsid w:val="009B740F"/>
    <w:rsid w:val="009B75BF"/>
    <w:rsid w:val="009C2C7B"/>
    <w:rsid w:val="009C37C3"/>
    <w:rsid w:val="009C5AF7"/>
    <w:rsid w:val="009C623C"/>
    <w:rsid w:val="009C76D3"/>
    <w:rsid w:val="009C7C86"/>
    <w:rsid w:val="009D0837"/>
    <w:rsid w:val="009D1950"/>
    <w:rsid w:val="009D2FF7"/>
    <w:rsid w:val="009D3303"/>
    <w:rsid w:val="009D452C"/>
    <w:rsid w:val="009D5A00"/>
    <w:rsid w:val="009D6C05"/>
    <w:rsid w:val="009E6117"/>
    <w:rsid w:val="009E6BA3"/>
    <w:rsid w:val="009E6EB4"/>
    <w:rsid w:val="009E7884"/>
    <w:rsid w:val="009E788A"/>
    <w:rsid w:val="009F097F"/>
    <w:rsid w:val="009F0E08"/>
    <w:rsid w:val="009F0FD3"/>
    <w:rsid w:val="009F24B7"/>
    <w:rsid w:val="009F2BBA"/>
    <w:rsid w:val="009F6936"/>
    <w:rsid w:val="009F78B3"/>
    <w:rsid w:val="009F7F42"/>
    <w:rsid w:val="00A027B6"/>
    <w:rsid w:val="00A04012"/>
    <w:rsid w:val="00A04250"/>
    <w:rsid w:val="00A06E4A"/>
    <w:rsid w:val="00A0731A"/>
    <w:rsid w:val="00A07358"/>
    <w:rsid w:val="00A10347"/>
    <w:rsid w:val="00A1320F"/>
    <w:rsid w:val="00A13FE9"/>
    <w:rsid w:val="00A14BDD"/>
    <w:rsid w:val="00A1630E"/>
    <w:rsid w:val="00A1763D"/>
    <w:rsid w:val="00A17CEC"/>
    <w:rsid w:val="00A17FFA"/>
    <w:rsid w:val="00A21D08"/>
    <w:rsid w:val="00A23697"/>
    <w:rsid w:val="00A25052"/>
    <w:rsid w:val="00A255C6"/>
    <w:rsid w:val="00A279CF"/>
    <w:rsid w:val="00A27EF0"/>
    <w:rsid w:val="00A31DA7"/>
    <w:rsid w:val="00A342DB"/>
    <w:rsid w:val="00A34E10"/>
    <w:rsid w:val="00A34F13"/>
    <w:rsid w:val="00A34F66"/>
    <w:rsid w:val="00A36847"/>
    <w:rsid w:val="00A419D9"/>
    <w:rsid w:val="00A41AB2"/>
    <w:rsid w:val="00A41C91"/>
    <w:rsid w:val="00A41D02"/>
    <w:rsid w:val="00A421F4"/>
    <w:rsid w:val="00A4395C"/>
    <w:rsid w:val="00A4548F"/>
    <w:rsid w:val="00A46CE5"/>
    <w:rsid w:val="00A50322"/>
    <w:rsid w:val="00A50B20"/>
    <w:rsid w:val="00A51390"/>
    <w:rsid w:val="00A51DF7"/>
    <w:rsid w:val="00A52133"/>
    <w:rsid w:val="00A52FE5"/>
    <w:rsid w:val="00A533FF"/>
    <w:rsid w:val="00A536EA"/>
    <w:rsid w:val="00A565D9"/>
    <w:rsid w:val="00A57168"/>
    <w:rsid w:val="00A57EF9"/>
    <w:rsid w:val="00A60D13"/>
    <w:rsid w:val="00A61282"/>
    <w:rsid w:val="00A61441"/>
    <w:rsid w:val="00A64136"/>
    <w:rsid w:val="00A65475"/>
    <w:rsid w:val="00A6697B"/>
    <w:rsid w:val="00A711BE"/>
    <w:rsid w:val="00A71AC5"/>
    <w:rsid w:val="00A72745"/>
    <w:rsid w:val="00A72B5E"/>
    <w:rsid w:val="00A73163"/>
    <w:rsid w:val="00A733A7"/>
    <w:rsid w:val="00A760B2"/>
    <w:rsid w:val="00A76A4E"/>
    <w:rsid w:val="00A76EFC"/>
    <w:rsid w:val="00A77ADE"/>
    <w:rsid w:val="00A81DC6"/>
    <w:rsid w:val="00A82513"/>
    <w:rsid w:val="00A826FF"/>
    <w:rsid w:val="00A82EC2"/>
    <w:rsid w:val="00A859F0"/>
    <w:rsid w:val="00A86538"/>
    <w:rsid w:val="00A90886"/>
    <w:rsid w:val="00A9096A"/>
    <w:rsid w:val="00A91010"/>
    <w:rsid w:val="00A91FE2"/>
    <w:rsid w:val="00A9510A"/>
    <w:rsid w:val="00A95A75"/>
    <w:rsid w:val="00A9660C"/>
    <w:rsid w:val="00A9755F"/>
    <w:rsid w:val="00A97F29"/>
    <w:rsid w:val="00AA61FD"/>
    <w:rsid w:val="00AA62B7"/>
    <w:rsid w:val="00AA6A56"/>
    <w:rsid w:val="00AA701E"/>
    <w:rsid w:val="00AA702E"/>
    <w:rsid w:val="00AB06A2"/>
    <w:rsid w:val="00AB0964"/>
    <w:rsid w:val="00AB1A5C"/>
    <w:rsid w:val="00AB3222"/>
    <w:rsid w:val="00AB3F85"/>
    <w:rsid w:val="00AB40EB"/>
    <w:rsid w:val="00AB499B"/>
    <w:rsid w:val="00AB5011"/>
    <w:rsid w:val="00AB507F"/>
    <w:rsid w:val="00AB62D8"/>
    <w:rsid w:val="00AB6DB1"/>
    <w:rsid w:val="00AC2B95"/>
    <w:rsid w:val="00AC43E7"/>
    <w:rsid w:val="00AC5A12"/>
    <w:rsid w:val="00AC7368"/>
    <w:rsid w:val="00AD0CFE"/>
    <w:rsid w:val="00AD16B9"/>
    <w:rsid w:val="00AD55BD"/>
    <w:rsid w:val="00AE0294"/>
    <w:rsid w:val="00AE1FEA"/>
    <w:rsid w:val="00AE35FB"/>
    <w:rsid w:val="00AE377D"/>
    <w:rsid w:val="00AE5949"/>
    <w:rsid w:val="00AE6165"/>
    <w:rsid w:val="00AE719B"/>
    <w:rsid w:val="00AF07BE"/>
    <w:rsid w:val="00AF25CA"/>
    <w:rsid w:val="00AF28FB"/>
    <w:rsid w:val="00AF4EB9"/>
    <w:rsid w:val="00AF72ED"/>
    <w:rsid w:val="00AF7B28"/>
    <w:rsid w:val="00B00D56"/>
    <w:rsid w:val="00B016EE"/>
    <w:rsid w:val="00B02C8A"/>
    <w:rsid w:val="00B03717"/>
    <w:rsid w:val="00B058CC"/>
    <w:rsid w:val="00B05F0E"/>
    <w:rsid w:val="00B07A12"/>
    <w:rsid w:val="00B07C05"/>
    <w:rsid w:val="00B12280"/>
    <w:rsid w:val="00B14333"/>
    <w:rsid w:val="00B1612F"/>
    <w:rsid w:val="00B16995"/>
    <w:rsid w:val="00B17083"/>
    <w:rsid w:val="00B176F2"/>
    <w:rsid w:val="00B17FBD"/>
    <w:rsid w:val="00B20323"/>
    <w:rsid w:val="00B212B8"/>
    <w:rsid w:val="00B214DF"/>
    <w:rsid w:val="00B22440"/>
    <w:rsid w:val="00B23331"/>
    <w:rsid w:val="00B2378D"/>
    <w:rsid w:val="00B23A27"/>
    <w:rsid w:val="00B249BD"/>
    <w:rsid w:val="00B27709"/>
    <w:rsid w:val="00B30CA5"/>
    <w:rsid w:val="00B3107C"/>
    <w:rsid w:val="00B315A6"/>
    <w:rsid w:val="00B31813"/>
    <w:rsid w:val="00B33365"/>
    <w:rsid w:val="00B33879"/>
    <w:rsid w:val="00B34E97"/>
    <w:rsid w:val="00B369E2"/>
    <w:rsid w:val="00B36F57"/>
    <w:rsid w:val="00B37C12"/>
    <w:rsid w:val="00B42B77"/>
    <w:rsid w:val="00B4518D"/>
    <w:rsid w:val="00B451AE"/>
    <w:rsid w:val="00B50613"/>
    <w:rsid w:val="00B51C5F"/>
    <w:rsid w:val="00B538BC"/>
    <w:rsid w:val="00B549C4"/>
    <w:rsid w:val="00B56384"/>
    <w:rsid w:val="00B57A24"/>
    <w:rsid w:val="00B57B36"/>
    <w:rsid w:val="00B62971"/>
    <w:rsid w:val="00B65D9C"/>
    <w:rsid w:val="00B6675F"/>
    <w:rsid w:val="00B71747"/>
    <w:rsid w:val="00B73342"/>
    <w:rsid w:val="00B73E1B"/>
    <w:rsid w:val="00B7607F"/>
    <w:rsid w:val="00B77773"/>
    <w:rsid w:val="00B80FA2"/>
    <w:rsid w:val="00B827EB"/>
    <w:rsid w:val="00B833C1"/>
    <w:rsid w:val="00B8686D"/>
    <w:rsid w:val="00B86B82"/>
    <w:rsid w:val="00B918D5"/>
    <w:rsid w:val="00B9558E"/>
    <w:rsid w:val="00B9634A"/>
    <w:rsid w:val="00B968AE"/>
    <w:rsid w:val="00BA0047"/>
    <w:rsid w:val="00BA0F52"/>
    <w:rsid w:val="00BA1DDE"/>
    <w:rsid w:val="00BA20F8"/>
    <w:rsid w:val="00BA3216"/>
    <w:rsid w:val="00BA4762"/>
    <w:rsid w:val="00BA4962"/>
    <w:rsid w:val="00BA4B24"/>
    <w:rsid w:val="00BA4CAE"/>
    <w:rsid w:val="00BA4E83"/>
    <w:rsid w:val="00BB1DDC"/>
    <w:rsid w:val="00BC0043"/>
    <w:rsid w:val="00BC040B"/>
    <w:rsid w:val="00BC0B3C"/>
    <w:rsid w:val="00BC1427"/>
    <w:rsid w:val="00BC30C9"/>
    <w:rsid w:val="00BC318F"/>
    <w:rsid w:val="00BC4CC8"/>
    <w:rsid w:val="00BD0DDE"/>
    <w:rsid w:val="00BD134C"/>
    <w:rsid w:val="00BD3028"/>
    <w:rsid w:val="00BD4850"/>
    <w:rsid w:val="00BD7360"/>
    <w:rsid w:val="00BD758C"/>
    <w:rsid w:val="00BD78E6"/>
    <w:rsid w:val="00BE296E"/>
    <w:rsid w:val="00BE3E58"/>
    <w:rsid w:val="00BE7514"/>
    <w:rsid w:val="00BF02BF"/>
    <w:rsid w:val="00BF1311"/>
    <w:rsid w:val="00BF1A39"/>
    <w:rsid w:val="00BF4659"/>
    <w:rsid w:val="00BF4A37"/>
    <w:rsid w:val="00BF5AC4"/>
    <w:rsid w:val="00BF7027"/>
    <w:rsid w:val="00BF7FA2"/>
    <w:rsid w:val="00C01616"/>
    <w:rsid w:val="00C0162B"/>
    <w:rsid w:val="00C068ED"/>
    <w:rsid w:val="00C07D29"/>
    <w:rsid w:val="00C1066A"/>
    <w:rsid w:val="00C1245B"/>
    <w:rsid w:val="00C13FDC"/>
    <w:rsid w:val="00C1450D"/>
    <w:rsid w:val="00C15439"/>
    <w:rsid w:val="00C17058"/>
    <w:rsid w:val="00C207CB"/>
    <w:rsid w:val="00C20E37"/>
    <w:rsid w:val="00C23434"/>
    <w:rsid w:val="00C252DB"/>
    <w:rsid w:val="00C27FF8"/>
    <w:rsid w:val="00C30825"/>
    <w:rsid w:val="00C31BA8"/>
    <w:rsid w:val="00C32154"/>
    <w:rsid w:val="00C32648"/>
    <w:rsid w:val="00C3418F"/>
    <w:rsid w:val="00C345B1"/>
    <w:rsid w:val="00C34D2D"/>
    <w:rsid w:val="00C34E8D"/>
    <w:rsid w:val="00C35EE8"/>
    <w:rsid w:val="00C3773B"/>
    <w:rsid w:val="00C40142"/>
    <w:rsid w:val="00C420B0"/>
    <w:rsid w:val="00C45614"/>
    <w:rsid w:val="00C50A88"/>
    <w:rsid w:val="00C50E4F"/>
    <w:rsid w:val="00C53DB4"/>
    <w:rsid w:val="00C54375"/>
    <w:rsid w:val="00C54CB8"/>
    <w:rsid w:val="00C56012"/>
    <w:rsid w:val="00C5610A"/>
    <w:rsid w:val="00C57182"/>
    <w:rsid w:val="00C573DD"/>
    <w:rsid w:val="00C57863"/>
    <w:rsid w:val="00C57BE4"/>
    <w:rsid w:val="00C6309D"/>
    <w:rsid w:val="00C652FD"/>
    <w:rsid w:val="00C655FD"/>
    <w:rsid w:val="00C65E27"/>
    <w:rsid w:val="00C66984"/>
    <w:rsid w:val="00C70C3D"/>
    <w:rsid w:val="00C73F2D"/>
    <w:rsid w:val="00C746B2"/>
    <w:rsid w:val="00C75407"/>
    <w:rsid w:val="00C75737"/>
    <w:rsid w:val="00C766A0"/>
    <w:rsid w:val="00C77D5A"/>
    <w:rsid w:val="00C806A0"/>
    <w:rsid w:val="00C85924"/>
    <w:rsid w:val="00C85D17"/>
    <w:rsid w:val="00C86680"/>
    <w:rsid w:val="00C870A8"/>
    <w:rsid w:val="00C87B86"/>
    <w:rsid w:val="00C92418"/>
    <w:rsid w:val="00C9357B"/>
    <w:rsid w:val="00C94434"/>
    <w:rsid w:val="00C952EA"/>
    <w:rsid w:val="00C969C3"/>
    <w:rsid w:val="00C978F3"/>
    <w:rsid w:val="00CA0535"/>
    <w:rsid w:val="00CA08E1"/>
    <w:rsid w:val="00CA0D75"/>
    <w:rsid w:val="00CA1C95"/>
    <w:rsid w:val="00CA2007"/>
    <w:rsid w:val="00CA2134"/>
    <w:rsid w:val="00CA5251"/>
    <w:rsid w:val="00CA5A9C"/>
    <w:rsid w:val="00CA612C"/>
    <w:rsid w:val="00CB4F29"/>
    <w:rsid w:val="00CC0635"/>
    <w:rsid w:val="00CC087D"/>
    <w:rsid w:val="00CC11CD"/>
    <w:rsid w:val="00CC1808"/>
    <w:rsid w:val="00CC3331"/>
    <w:rsid w:val="00CC4C20"/>
    <w:rsid w:val="00CD3517"/>
    <w:rsid w:val="00CD466E"/>
    <w:rsid w:val="00CD4B3F"/>
    <w:rsid w:val="00CD5FE2"/>
    <w:rsid w:val="00CD7F25"/>
    <w:rsid w:val="00CE111B"/>
    <w:rsid w:val="00CE11EB"/>
    <w:rsid w:val="00CE53A1"/>
    <w:rsid w:val="00CE5FFC"/>
    <w:rsid w:val="00CE6142"/>
    <w:rsid w:val="00CE66C0"/>
    <w:rsid w:val="00CE74B6"/>
    <w:rsid w:val="00CE7C68"/>
    <w:rsid w:val="00CF01CC"/>
    <w:rsid w:val="00CF068D"/>
    <w:rsid w:val="00CF089D"/>
    <w:rsid w:val="00CF1720"/>
    <w:rsid w:val="00CF3076"/>
    <w:rsid w:val="00CF48E9"/>
    <w:rsid w:val="00CF5026"/>
    <w:rsid w:val="00CF5D68"/>
    <w:rsid w:val="00CF6A3E"/>
    <w:rsid w:val="00CF6E54"/>
    <w:rsid w:val="00D01B6F"/>
    <w:rsid w:val="00D02B4C"/>
    <w:rsid w:val="00D040C4"/>
    <w:rsid w:val="00D05316"/>
    <w:rsid w:val="00D0531B"/>
    <w:rsid w:val="00D07365"/>
    <w:rsid w:val="00D107EB"/>
    <w:rsid w:val="00D10E47"/>
    <w:rsid w:val="00D116B9"/>
    <w:rsid w:val="00D119E0"/>
    <w:rsid w:val="00D15802"/>
    <w:rsid w:val="00D17838"/>
    <w:rsid w:val="00D20BC2"/>
    <w:rsid w:val="00D228E2"/>
    <w:rsid w:val="00D23235"/>
    <w:rsid w:val="00D23A65"/>
    <w:rsid w:val="00D30B98"/>
    <w:rsid w:val="00D31D6D"/>
    <w:rsid w:val="00D32D62"/>
    <w:rsid w:val="00D35DC2"/>
    <w:rsid w:val="00D402BA"/>
    <w:rsid w:val="00D439E1"/>
    <w:rsid w:val="00D44FD6"/>
    <w:rsid w:val="00D45866"/>
    <w:rsid w:val="00D46097"/>
    <w:rsid w:val="00D50904"/>
    <w:rsid w:val="00D517E6"/>
    <w:rsid w:val="00D52ACB"/>
    <w:rsid w:val="00D53A91"/>
    <w:rsid w:val="00D57C84"/>
    <w:rsid w:val="00D6057D"/>
    <w:rsid w:val="00D61B1D"/>
    <w:rsid w:val="00D61DC4"/>
    <w:rsid w:val="00D61E2D"/>
    <w:rsid w:val="00D6205D"/>
    <w:rsid w:val="00D62C35"/>
    <w:rsid w:val="00D67078"/>
    <w:rsid w:val="00D671F8"/>
    <w:rsid w:val="00D677CD"/>
    <w:rsid w:val="00D7166C"/>
    <w:rsid w:val="00D81548"/>
    <w:rsid w:val="00D821C8"/>
    <w:rsid w:val="00D8238F"/>
    <w:rsid w:val="00D83366"/>
    <w:rsid w:val="00D836C5"/>
    <w:rsid w:val="00D839BE"/>
    <w:rsid w:val="00D83C6A"/>
    <w:rsid w:val="00D8438E"/>
    <w:rsid w:val="00D84576"/>
    <w:rsid w:val="00D84713"/>
    <w:rsid w:val="00D84D86"/>
    <w:rsid w:val="00D872B5"/>
    <w:rsid w:val="00D87B21"/>
    <w:rsid w:val="00D87E3F"/>
    <w:rsid w:val="00D96336"/>
    <w:rsid w:val="00D969D3"/>
    <w:rsid w:val="00D97F33"/>
    <w:rsid w:val="00DA116B"/>
    <w:rsid w:val="00DA1399"/>
    <w:rsid w:val="00DA1794"/>
    <w:rsid w:val="00DA24C6"/>
    <w:rsid w:val="00DA2620"/>
    <w:rsid w:val="00DA4D7B"/>
    <w:rsid w:val="00DA60CE"/>
    <w:rsid w:val="00DA7398"/>
    <w:rsid w:val="00DB0A5F"/>
    <w:rsid w:val="00DB18A7"/>
    <w:rsid w:val="00DB3442"/>
    <w:rsid w:val="00DB3EB5"/>
    <w:rsid w:val="00DB4073"/>
    <w:rsid w:val="00DB4A65"/>
    <w:rsid w:val="00DB4EC5"/>
    <w:rsid w:val="00DB602E"/>
    <w:rsid w:val="00DC3A2C"/>
    <w:rsid w:val="00DC465B"/>
    <w:rsid w:val="00DC4E6E"/>
    <w:rsid w:val="00DC61B1"/>
    <w:rsid w:val="00DC7A53"/>
    <w:rsid w:val="00DC7C68"/>
    <w:rsid w:val="00DD0902"/>
    <w:rsid w:val="00DD124D"/>
    <w:rsid w:val="00DD36AE"/>
    <w:rsid w:val="00DD6EB5"/>
    <w:rsid w:val="00DE264A"/>
    <w:rsid w:val="00DE28F2"/>
    <w:rsid w:val="00DE2C81"/>
    <w:rsid w:val="00DE3167"/>
    <w:rsid w:val="00DE4EBC"/>
    <w:rsid w:val="00DE6F6B"/>
    <w:rsid w:val="00DE7969"/>
    <w:rsid w:val="00DF3EF7"/>
    <w:rsid w:val="00DF5072"/>
    <w:rsid w:val="00DF58CD"/>
    <w:rsid w:val="00DF703D"/>
    <w:rsid w:val="00DF707E"/>
    <w:rsid w:val="00E006A2"/>
    <w:rsid w:val="00E02D18"/>
    <w:rsid w:val="00E041E7"/>
    <w:rsid w:val="00E05BE9"/>
    <w:rsid w:val="00E06A8A"/>
    <w:rsid w:val="00E070C2"/>
    <w:rsid w:val="00E10301"/>
    <w:rsid w:val="00E10E1A"/>
    <w:rsid w:val="00E115B1"/>
    <w:rsid w:val="00E14312"/>
    <w:rsid w:val="00E14CCF"/>
    <w:rsid w:val="00E20C90"/>
    <w:rsid w:val="00E21B3E"/>
    <w:rsid w:val="00E23CA1"/>
    <w:rsid w:val="00E24002"/>
    <w:rsid w:val="00E25783"/>
    <w:rsid w:val="00E329E1"/>
    <w:rsid w:val="00E34EDA"/>
    <w:rsid w:val="00E37499"/>
    <w:rsid w:val="00E409A8"/>
    <w:rsid w:val="00E41A06"/>
    <w:rsid w:val="00E4305E"/>
    <w:rsid w:val="00E43C4A"/>
    <w:rsid w:val="00E43F64"/>
    <w:rsid w:val="00E47165"/>
    <w:rsid w:val="00E50C12"/>
    <w:rsid w:val="00E5217A"/>
    <w:rsid w:val="00E53E7F"/>
    <w:rsid w:val="00E5512D"/>
    <w:rsid w:val="00E57B89"/>
    <w:rsid w:val="00E601C8"/>
    <w:rsid w:val="00E6041A"/>
    <w:rsid w:val="00E6321C"/>
    <w:rsid w:val="00E639A3"/>
    <w:rsid w:val="00E65B91"/>
    <w:rsid w:val="00E72081"/>
    <w:rsid w:val="00E7209D"/>
    <w:rsid w:val="00E73B6A"/>
    <w:rsid w:val="00E75639"/>
    <w:rsid w:val="00E76BA0"/>
    <w:rsid w:val="00E76FCD"/>
    <w:rsid w:val="00E77122"/>
    <w:rsid w:val="00E77223"/>
    <w:rsid w:val="00E83819"/>
    <w:rsid w:val="00E84372"/>
    <w:rsid w:val="00E84895"/>
    <w:rsid w:val="00E8492B"/>
    <w:rsid w:val="00E8528B"/>
    <w:rsid w:val="00E85B94"/>
    <w:rsid w:val="00E86EBE"/>
    <w:rsid w:val="00E9040D"/>
    <w:rsid w:val="00E9120C"/>
    <w:rsid w:val="00E9576B"/>
    <w:rsid w:val="00E978D0"/>
    <w:rsid w:val="00E97CB8"/>
    <w:rsid w:val="00EA03F3"/>
    <w:rsid w:val="00EA0B5D"/>
    <w:rsid w:val="00EA0E13"/>
    <w:rsid w:val="00EA4613"/>
    <w:rsid w:val="00EA4C0F"/>
    <w:rsid w:val="00EA5BE3"/>
    <w:rsid w:val="00EA660C"/>
    <w:rsid w:val="00EA6697"/>
    <w:rsid w:val="00EA67C4"/>
    <w:rsid w:val="00EA7801"/>
    <w:rsid w:val="00EA7F91"/>
    <w:rsid w:val="00EB1523"/>
    <w:rsid w:val="00EB1750"/>
    <w:rsid w:val="00EB276A"/>
    <w:rsid w:val="00EB32F4"/>
    <w:rsid w:val="00EB3674"/>
    <w:rsid w:val="00EB39D2"/>
    <w:rsid w:val="00EB629C"/>
    <w:rsid w:val="00EB7AF3"/>
    <w:rsid w:val="00EC0E49"/>
    <w:rsid w:val="00EC101F"/>
    <w:rsid w:val="00EC2C0A"/>
    <w:rsid w:val="00EC7CB1"/>
    <w:rsid w:val="00ED0EC9"/>
    <w:rsid w:val="00ED2E82"/>
    <w:rsid w:val="00ED569F"/>
    <w:rsid w:val="00ED5A4C"/>
    <w:rsid w:val="00ED62E6"/>
    <w:rsid w:val="00ED6378"/>
    <w:rsid w:val="00ED6C45"/>
    <w:rsid w:val="00ED769B"/>
    <w:rsid w:val="00ED7987"/>
    <w:rsid w:val="00EE0131"/>
    <w:rsid w:val="00EE0C2A"/>
    <w:rsid w:val="00EE17B0"/>
    <w:rsid w:val="00EE3419"/>
    <w:rsid w:val="00EE5CA6"/>
    <w:rsid w:val="00EE639D"/>
    <w:rsid w:val="00EE7A1A"/>
    <w:rsid w:val="00EF06D9"/>
    <w:rsid w:val="00EF203C"/>
    <w:rsid w:val="00EF35EA"/>
    <w:rsid w:val="00EF4CFB"/>
    <w:rsid w:val="00EF53E9"/>
    <w:rsid w:val="00EF5559"/>
    <w:rsid w:val="00EF6D74"/>
    <w:rsid w:val="00EF75E3"/>
    <w:rsid w:val="00EF7665"/>
    <w:rsid w:val="00EF7F43"/>
    <w:rsid w:val="00F012AE"/>
    <w:rsid w:val="00F0138A"/>
    <w:rsid w:val="00F028A1"/>
    <w:rsid w:val="00F03C5B"/>
    <w:rsid w:val="00F05ADD"/>
    <w:rsid w:val="00F06FDA"/>
    <w:rsid w:val="00F11411"/>
    <w:rsid w:val="00F140A8"/>
    <w:rsid w:val="00F144AE"/>
    <w:rsid w:val="00F15CA1"/>
    <w:rsid w:val="00F15D32"/>
    <w:rsid w:val="00F16BF7"/>
    <w:rsid w:val="00F22B22"/>
    <w:rsid w:val="00F23F75"/>
    <w:rsid w:val="00F24CBC"/>
    <w:rsid w:val="00F24DD6"/>
    <w:rsid w:val="00F266B5"/>
    <w:rsid w:val="00F26C42"/>
    <w:rsid w:val="00F26C6D"/>
    <w:rsid w:val="00F30C64"/>
    <w:rsid w:val="00F3255F"/>
    <w:rsid w:val="00F32671"/>
    <w:rsid w:val="00F32CDB"/>
    <w:rsid w:val="00F33E22"/>
    <w:rsid w:val="00F34AA6"/>
    <w:rsid w:val="00F34B29"/>
    <w:rsid w:val="00F3517E"/>
    <w:rsid w:val="00F351DD"/>
    <w:rsid w:val="00F35D4F"/>
    <w:rsid w:val="00F37867"/>
    <w:rsid w:val="00F45C2B"/>
    <w:rsid w:val="00F47D17"/>
    <w:rsid w:val="00F50811"/>
    <w:rsid w:val="00F50C86"/>
    <w:rsid w:val="00F52FD2"/>
    <w:rsid w:val="00F5552D"/>
    <w:rsid w:val="00F60C98"/>
    <w:rsid w:val="00F61071"/>
    <w:rsid w:val="00F63A70"/>
    <w:rsid w:val="00F63AE8"/>
    <w:rsid w:val="00F64E80"/>
    <w:rsid w:val="00F6512C"/>
    <w:rsid w:val="00F71D1F"/>
    <w:rsid w:val="00F72DA7"/>
    <w:rsid w:val="00F72E60"/>
    <w:rsid w:val="00F73D9C"/>
    <w:rsid w:val="00F75736"/>
    <w:rsid w:val="00F761E0"/>
    <w:rsid w:val="00F80944"/>
    <w:rsid w:val="00F8107E"/>
    <w:rsid w:val="00F810CA"/>
    <w:rsid w:val="00F81AF7"/>
    <w:rsid w:val="00F82338"/>
    <w:rsid w:val="00F823DA"/>
    <w:rsid w:val="00F82ECC"/>
    <w:rsid w:val="00F86BB8"/>
    <w:rsid w:val="00F874D2"/>
    <w:rsid w:val="00F9055A"/>
    <w:rsid w:val="00F928B2"/>
    <w:rsid w:val="00F950D9"/>
    <w:rsid w:val="00F96399"/>
    <w:rsid w:val="00F97098"/>
    <w:rsid w:val="00FA21D0"/>
    <w:rsid w:val="00FA32BF"/>
    <w:rsid w:val="00FA331C"/>
    <w:rsid w:val="00FA39AD"/>
    <w:rsid w:val="00FA5F5F"/>
    <w:rsid w:val="00FA72FF"/>
    <w:rsid w:val="00FB3F36"/>
    <w:rsid w:val="00FB730C"/>
    <w:rsid w:val="00FB73EA"/>
    <w:rsid w:val="00FC2695"/>
    <w:rsid w:val="00FC3E03"/>
    <w:rsid w:val="00FC3FC1"/>
    <w:rsid w:val="00FC51A7"/>
    <w:rsid w:val="00FC53A4"/>
    <w:rsid w:val="00FC5592"/>
    <w:rsid w:val="00FC696C"/>
    <w:rsid w:val="00FC78B9"/>
    <w:rsid w:val="00FC7D13"/>
    <w:rsid w:val="00FC7ECF"/>
    <w:rsid w:val="00FD06EA"/>
    <w:rsid w:val="00FD0E7D"/>
    <w:rsid w:val="00FD1CF1"/>
    <w:rsid w:val="00FD1F40"/>
    <w:rsid w:val="00FD254B"/>
    <w:rsid w:val="00FD4D9E"/>
    <w:rsid w:val="00FD4FEC"/>
    <w:rsid w:val="00FD6DBE"/>
    <w:rsid w:val="00FE23B4"/>
    <w:rsid w:val="00FE2EAB"/>
    <w:rsid w:val="00FE33E3"/>
    <w:rsid w:val="00FE38C2"/>
    <w:rsid w:val="00FE3B4A"/>
    <w:rsid w:val="00FE6E97"/>
    <w:rsid w:val="00FE7562"/>
    <w:rsid w:val="00FF1FA3"/>
    <w:rsid w:val="00FF2841"/>
    <w:rsid w:val="00FF41DF"/>
    <w:rsid w:val="00FF5BDF"/>
    <w:rsid w:val="00FF64AE"/>
    <w:rsid w:val="00FF6690"/>
    <w:rsid w:val="00FF669F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AE0CC22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locked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locked="1"/>
    <w:lsdException w:name="Strong" w:semiHidden="0" w:uiPriority="22" w:unhideWhenUsed="0"/>
    <w:lsdException w:name="Emphasis" w:semiHidden="0" w:uiPriority="20" w:unhideWhenUsed="0"/>
    <w:lsdException w:name="Table Simple 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B42B77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18"/>
      <w:lang w:val="en-GB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B42B77"/>
    <w:rPr>
      <w:rFonts w:ascii="Arial" w:eastAsia="Times New Roman" w:hAnsi="Arial" w:cs="Times New Roman"/>
      <w:b/>
      <w:sz w:val="18"/>
      <w:szCs w:val="18"/>
      <w:lang w:val="en-GB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456EDD"/>
    <w:pPr>
      <w:ind w:left="720"/>
      <w:contextualSpacing/>
    </w:pPr>
  </w:style>
  <w:style w:type="paragraph" w:styleId="Revisione">
    <w:name w:val="Revision"/>
    <w:hidden/>
    <w:uiPriority w:val="99"/>
    <w:semiHidden/>
    <w:rsid w:val="007463A3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Testosegnaposto">
    <w:name w:val="Placeholder Text"/>
    <w:basedOn w:val="Carpredefinitoparagrafo"/>
    <w:uiPriority w:val="99"/>
    <w:semiHidden/>
    <w:rsid w:val="001E4B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locked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locked="1"/>
    <w:lsdException w:name="Strong" w:semiHidden="0" w:uiPriority="22" w:unhideWhenUsed="0"/>
    <w:lsdException w:name="Emphasis" w:semiHidden="0" w:uiPriority="20" w:unhideWhenUsed="0"/>
    <w:lsdException w:name="Table Simple 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B42B77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18"/>
      <w:lang w:val="en-GB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B42B77"/>
    <w:rPr>
      <w:rFonts w:ascii="Arial" w:eastAsia="Times New Roman" w:hAnsi="Arial" w:cs="Times New Roman"/>
      <w:b/>
      <w:sz w:val="18"/>
      <w:szCs w:val="18"/>
      <w:lang w:val="en-GB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456EDD"/>
    <w:pPr>
      <w:ind w:left="720"/>
      <w:contextualSpacing/>
    </w:pPr>
  </w:style>
  <w:style w:type="paragraph" w:styleId="Revisione">
    <w:name w:val="Revision"/>
    <w:hidden/>
    <w:uiPriority w:val="99"/>
    <w:semiHidden/>
    <w:rsid w:val="007463A3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Testosegnaposto">
    <w:name w:val="Placeholder Text"/>
    <w:basedOn w:val="Carpredefinitoparagrafo"/>
    <w:uiPriority w:val="99"/>
    <w:semiHidden/>
    <w:rsid w:val="001E4B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C5A350B8B864FA4BB6364DB87AFA5" ma:contentTypeVersion="13" ma:contentTypeDescription="Create a new document." ma:contentTypeScope="" ma:versionID="0bb67677211ac34de6691c924aca2ee0">
  <xsd:schema xmlns:xsd="http://www.w3.org/2001/XMLSchema" xmlns:xs="http://www.w3.org/2001/XMLSchema" xmlns:p="http://schemas.microsoft.com/office/2006/metadata/properties" xmlns:ns3="fe3a730e-302a-4df5-bd37-d9344ad5dd39" xmlns:ns4="59517204-b887-420f-893f-e0f09dd2c946" targetNamespace="http://schemas.microsoft.com/office/2006/metadata/properties" ma:root="true" ma:fieldsID="3b87e3757181bff986b27dc2c82d19a1" ns3:_="" ns4:_="">
    <xsd:import namespace="fe3a730e-302a-4df5-bd37-d9344ad5dd39"/>
    <xsd:import namespace="59517204-b887-420f-893f-e0f09dd2c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730e-302a-4df5-bd37-d9344ad5d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17204-b887-420f-893f-e0f09dd2c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FD0E-5C02-4A80-9E4C-0DE909EA3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CB8EC-7FFC-41CC-82B3-FF5FEFD3A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7A65C-8506-4E71-9414-3B11D5897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a730e-302a-4df5-bd37-d9344ad5dd39"/>
    <ds:schemaRef ds:uri="59517204-b887-420f-893f-e0f09dd2c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8281AC-75A1-4047-A276-350A9392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3801</Words>
  <Characters>22089</Characters>
  <Application>Microsoft Office Word</Application>
  <DocSecurity>0</DocSecurity>
  <Lines>350</Lines>
  <Paragraphs>147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</cp:lastModifiedBy>
  <cp:revision>18</cp:revision>
  <cp:lastPrinted>2015-05-12T18:31:00Z</cp:lastPrinted>
  <dcterms:created xsi:type="dcterms:W3CDTF">2020-06-17T22:24:00Z</dcterms:created>
  <dcterms:modified xsi:type="dcterms:W3CDTF">2020-08-31T12:58:00Z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ContentTypeId">
    <vt:lpwstr>0x010100E00C5A350B8B864FA4BB6364DB87AFA5</vt:lpwstr>
  </property>
</Properties>
</file>