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BC67DD" w14:paraId="21B988D4" w14:textId="77777777" w:rsidTr="00BC67DD">
        <w:trPr>
          <w:trHeight w:val="852"/>
          <w:jc w:val="center"/>
        </w:trPr>
        <w:tc>
          <w:tcPr>
            <w:tcW w:w="6946" w:type="dxa"/>
            <w:vMerge w:val="restart"/>
            <w:tcBorders>
              <w:top w:val="nil"/>
              <w:left w:val="nil"/>
              <w:bottom w:val="nil"/>
              <w:right w:val="single" w:sz="4" w:space="0" w:color="auto"/>
            </w:tcBorders>
            <w:hideMark/>
          </w:tcPr>
          <w:p w14:paraId="5B68659D" w14:textId="49414F7B" w:rsidR="00BC67DD" w:rsidRDefault="00BC67DD">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708BD3B1" wp14:editId="7968EC61">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4F0F134C" w14:textId="77777777" w:rsidR="00BC67DD" w:rsidRDefault="00BC67DD">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0642D98" w14:textId="77777777" w:rsidR="00BC67DD" w:rsidRDefault="00BC67DD">
            <w:pPr>
              <w:spacing w:line="140" w:lineRule="atLeast"/>
              <w:jc w:val="right"/>
              <w:rPr>
                <w:rFonts w:cs="Arial"/>
                <w:sz w:val="14"/>
                <w:szCs w:val="14"/>
              </w:rPr>
            </w:pPr>
            <w:r>
              <w:rPr>
                <w:rFonts w:cs="Arial"/>
                <w:sz w:val="14"/>
                <w:szCs w:val="14"/>
              </w:rPr>
              <w:t>A publication of</w:t>
            </w:r>
          </w:p>
          <w:p w14:paraId="6E35D1AB" w14:textId="4F051E95" w:rsidR="00BC67DD" w:rsidRDefault="00BC67DD">
            <w:pPr>
              <w:jc w:val="right"/>
            </w:pPr>
            <w:r>
              <w:rPr>
                <w:noProof/>
                <w:lang w:val="it-IT" w:eastAsia="it-IT"/>
              </w:rPr>
              <w:drawing>
                <wp:inline distT="0" distB="0" distL="0" distR="0" wp14:anchorId="3F4529FB" wp14:editId="2464EDD7">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BC67DD" w14:paraId="09FFE7D5" w14:textId="77777777" w:rsidTr="00BC67DD">
        <w:trPr>
          <w:trHeight w:val="567"/>
          <w:jc w:val="center"/>
        </w:trPr>
        <w:tc>
          <w:tcPr>
            <w:tcW w:w="0" w:type="auto"/>
            <w:vMerge/>
            <w:tcBorders>
              <w:top w:val="nil"/>
              <w:left w:val="nil"/>
              <w:bottom w:val="nil"/>
              <w:right w:val="single" w:sz="4" w:space="0" w:color="auto"/>
            </w:tcBorders>
            <w:vAlign w:val="center"/>
            <w:hideMark/>
          </w:tcPr>
          <w:p w14:paraId="65C302A8" w14:textId="77777777" w:rsidR="00BC67DD" w:rsidRDefault="00BC67DD">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0549D87A" w14:textId="77777777" w:rsidR="00BC67DD" w:rsidRDefault="00BC67DD">
            <w:pPr>
              <w:spacing w:line="140" w:lineRule="atLeast"/>
              <w:jc w:val="right"/>
              <w:rPr>
                <w:rFonts w:cs="Arial"/>
                <w:sz w:val="14"/>
                <w:szCs w:val="14"/>
              </w:rPr>
            </w:pPr>
            <w:r>
              <w:rPr>
                <w:rFonts w:cs="Arial"/>
                <w:sz w:val="14"/>
                <w:szCs w:val="14"/>
              </w:rPr>
              <w:t>The Italian Association</w:t>
            </w:r>
          </w:p>
          <w:p w14:paraId="7D0273F1" w14:textId="77777777" w:rsidR="00BC67DD" w:rsidRDefault="00BC67DD">
            <w:pPr>
              <w:spacing w:line="140" w:lineRule="atLeast"/>
              <w:jc w:val="right"/>
              <w:rPr>
                <w:rFonts w:cs="Arial"/>
                <w:sz w:val="14"/>
                <w:szCs w:val="14"/>
              </w:rPr>
            </w:pPr>
            <w:r>
              <w:rPr>
                <w:rFonts w:cs="Arial"/>
                <w:sz w:val="14"/>
                <w:szCs w:val="14"/>
              </w:rPr>
              <w:t>of Chemical Engineering</w:t>
            </w:r>
          </w:p>
          <w:p w14:paraId="6226EA85" w14:textId="77777777" w:rsidR="00BC67DD" w:rsidRDefault="00BC67DD">
            <w:pPr>
              <w:spacing w:line="140" w:lineRule="atLeast"/>
              <w:jc w:val="right"/>
              <w:rPr>
                <w:rFonts w:cs="Arial"/>
                <w:sz w:val="13"/>
                <w:szCs w:val="13"/>
              </w:rPr>
            </w:pPr>
            <w:r>
              <w:rPr>
                <w:rFonts w:cs="Arial"/>
                <w:sz w:val="13"/>
                <w:szCs w:val="13"/>
              </w:rPr>
              <w:t>Online at www.cetjournal.it</w:t>
            </w:r>
          </w:p>
        </w:tc>
      </w:tr>
      <w:tr w:rsidR="00BC67DD" w14:paraId="771F7EAD" w14:textId="77777777" w:rsidTr="00BC67DD">
        <w:trPr>
          <w:trHeight w:val="68"/>
          <w:jc w:val="center"/>
        </w:trPr>
        <w:tc>
          <w:tcPr>
            <w:tcW w:w="8789" w:type="dxa"/>
            <w:gridSpan w:val="2"/>
            <w:tcBorders>
              <w:top w:val="nil"/>
              <w:left w:val="nil"/>
              <w:bottom w:val="single" w:sz="4" w:space="0" w:color="auto"/>
              <w:right w:val="nil"/>
            </w:tcBorders>
            <w:hideMark/>
          </w:tcPr>
          <w:p w14:paraId="396D7EFE" w14:textId="77777777" w:rsidR="00BC67DD" w:rsidRDefault="00BC67DD">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38AD9AFC" w14:textId="77777777" w:rsidR="00BC67DD" w:rsidRDefault="00BC67DD">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349C5B20" w14:textId="77777777" w:rsidR="000A03B2" w:rsidRPr="00C3681E" w:rsidRDefault="000A03B2" w:rsidP="000A03B2">
      <w:pPr>
        <w:pStyle w:val="CETAuthors"/>
        <w:sectPr w:rsidR="000A03B2" w:rsidRPr="00C3681E" w:rsidSect="00D51585">
          <w:type w:val="continuous"/>
          <w:pgSz w:w="11906" w:h="16838" w:code="9"/>
          <w:pgMar w:top="1701" w:right="1418" w:bottom="1701" w:left="1701" w:header="1701" w:footer="0" w:gutter="0"/>
          <w:cols w:space="708"/>
          <w:titlePg/>
          <w:docGrid w:linePitch="360"/>
        </w:sectPr>
      </w:pPr>
    </w:p>
    <w:p w14:paraId="6D60B92F" w14:textId="188A899A" w:rsidR="00E978D0" w:rsidRPr="00E24FAA" w:rsidRDefault="003017D0" w:rsidP="00E24FAA">
      <w:pPr>
        <w:pStyle w:val="CETTitle"/>
      </w:pPr>
      <w:r w:rsidRPr="00E24FAA">
        <w:lastRenderedPageBreak/>
        <w:t>Simplified</w:t>
      </w:r>
      <w:r w:rsidR="0092614F" w:rsidRPr="00E24FAA">
        <w:t xml:space="preserve"> Modelling of </w:t>
      </w:r>
      <w:r w:rsidR="007C4ABF" w:rsidRPr="00E24FAA">
        <w:t xml:space="preserve">the Remaining Useful Lifetime of </w:t>
      </w:r>
      <w:r w:rsidR="0022708B" w:rsidRPr="00E24FAA">
        <w:t>Atmospheric Storage Tanks</w:t>
      </w:r>
      <w:r w:rsidR="007C4ABF" w:rsidRPr="00E24FAA">
        <w:t xml:space="preserve"> in Major Hazard Establishments</w:t>
      </w:r>
    </w:p>
    <w:p w14:paraId="32AD22C2" w14:textId="44694AB4" w:rsidR="00E978D0" w:rsidRPr="00C3681E" w:rsidRDefault="002E0DDC" w:rsidP="00AB5011">
      <w:pPr>
        <w:pStyle w:val="CETAuthors"/>
        <w:rPr>
          <w:vertAlign w:val="superscript"/>
        </w:rPr>
      </w:pPr>
      <w:r w:rsidRPr="00C3681E">
        <w:t>Maria Francesca Milazzo</w:t>
      </w:r>
      <w:r w:rsidR="00600535" w:rsidRPr="00C3681E">
        <w:rPr>
          <w:vertAlign w:val="superscript"/>
        </w:rPr>
        <w:t>a</w:t>
      </w:r>
      <w:r w:rsidRPr="00C3681E">
        <w:t>*</w:t>
      </w:r>
      <w:r w:rsidR="00600535" w:rsidRPr="00C3681E">
        <w:t xml:space="preserve">, </w:t>
      </w:r>
      <w:r w:rsidRPr="00C3681E">
        <w:t>Giuseppa Ancione</w:t>
      </w:r>
      <w:r w:rsidRPr="00C3681E">
        <w:rPr>
          <w:vertAlign w:val="superscript"/>
        </w:rPr>
        <w:t>a</w:t>
      </w:r>
      <w:r w:rsidR="00600535" w:rsidRPr="00C3681E">
        <w:t xml:space="preserve">, </w:t>
      </w:r>
      <w:r w:rsidRPr="00C3681E">
        <w:t>Paolo Bragatto</w:t>
      </w:r>
      <w:r w:rsidRPr="00C3681E">
        <w:rPr>
          <w:vertAlign w:val="superscript"/>
        </w:rPr>
        <w:t>b</w:t>
      </w:r>
      <w:r w:rsidRPr="00C3681E">
        <w:t>, Canio Mennuti</w:t>
      </w:r>
      <w:r w:rsidRPr="00C3681E">
        <w:rPr>
          <w:vertAlign w:val="superscript"/>
        </w:rPr>
        <w:t>b</w:t>
      </w:r>
    </w:p>
    <w:p w14:paraId="371B287F" w14:textId="77777777" w:rsidR="00E978D0" w:rsidRPr="00C3681E" w:rsidRDefault="00E978D0" w:rsidP="00E978D0">
      <w:pPr>
        <w:pStyle w:val="CETAddress"/>
      </w:pPr>
      <w:r w:rsidRPr="00C3681E">
        <w:rPr>
          <w:vertAlign w:val="superscript"/>
        </w:rPr>
        <w:t>a</w:t>
      </w:r>
      <w:r w:rsidR="005F1505" w:rsidRPr="00C3681E">
        <w:t>Department of Engineering, University of Messina, Contrada di Dio, 98166 Messina, Italy</w:t>
      </w:r>
    </w:p>
    <w:p w14:paraId="27ED5692" w14:textId="77777777" w:rsidR="00E978D0" w:rsidRPr="00C3681E" w:rsidRDefault="00E978D0" w:rsidP="00E978D0">
      <w:pPr>
        <w:pStyle w:val="CETAddress"/>
      </w:pPr>
      <w:r w:rsidRPr="00C3681E">
        <w:rPr>
          <w:vertAlign w:val="superscript"/>
        </w:rPr>
        <w:t>b</w:t>
      </w:r>
      <w:r w:rsidR="00357F3D" w:rsidRPr="00C3681E">
        <w:t xml:space="preserve">Department of </w:t>
      </w:r>
      <w:r w:rsidR="007C4ABF" w:rsidRPr="00C3681E">
        <w:t>Technological Innovation, INAIL Workers’ Compensation Authority, via Fontana Candida, Monteporzio Catone Italy</w:t>
      </w:r>
    </w:p>
    <w:p w14:paraId="571EEEFD" w14:textId="57E38EF4" w:rsidR="00E978D0" w:rsidRPr="00C3681E" w:rsidRDefault="007C4ABF" w:rsidP="00E978D0">
      <w:pPr>
        <w:pStyle w:val="CETemail"/>
      </w:pPr>
      <w:r w:rsidRPr="00C3681E">
        <w:t>mfmilazzo@unime.it</w:t>
      </w:r>
    </w:p>
    <w:p w14:paraId="58C3327B" w14:textId="2D790FEC" w:rsidR="00357F3D" w:rsidRPr="00C3681E" w:rsidRDefault="00357F3D" w:rsidP="00357F3D">
      <w:pPr>
        <w:pStyle w:val="CETBodytext"/>
        <w:rPr>
          <w:lang w:val="en-GB"/>
        </w:rPr>
      </w:pPr>
      <w:r w:rsidRPr="00C3681E">
        <w:rPr>
          <w:lang w:val="en-GB"/>
        </w:rPr>
        <w:t>In Europe, after the Directive 2012/18/UE entered into force, the operators of establishments at major hazard</w:t>
      </w:r>
      <w:r w:rsidR="00EB3202" w:rsidRPr="00C3681E">
        <w:rPr>
          <w:lang w:val="en-GB"/>
        </w:rPr>
        <w:t xml:space="preserve"> accident</w:t>
      </w:r>
      <w:r w:rsidRPr="00C3681E">
        <w:rPr>
          <w:lang w:val="en-GB"/>
        </w:rPr>
        <w:t xml:space="preserve"> are required to evaluate and manage equipment ageing through a detailed plan</w:t>
      </w:r>
      <w:r w:rsidR="00EB3202" w:rsidRPr="00C3681E">
        <w:rPr>
          <w:lang w:val="en-GB"/>
        </w:rPr>
        <w:t>ning</w:t>
      </w:r>
      <w:r w:rsidRPr="00C3681E">
        <w:rPr>
          <w:lang w:val="en-GB"/>
        </w:rPr>
        <w:t xml:space="preserve"> with the aim to control the integrity and prevent unwanted losses of hazardous materials</w:t>
      </w:r>
      <w:r w:rsidR="00226B81">
        <w:rPr>
          <w:lang w:val="en-GB"/>
        </w:rPr>
        <w:t xml:space="preserve"> as well as occupational risk</w:t>
      </w:r>
      <w:r w:rsidRPr="00C3681E">
        <w:rPr>
          <w:lang w:val="en-GB"/>
        </w:rPr>
        <w:t xml:space="preserve">. </w:t>
      </w:r>
      <w:r w:rsidR="00171CFC" w:rsidRPr="00C3681E">
        <w:rPr>
          <w:lang w:val="en-GB"/>
        </w:rPr>
        <w:t>I</w:t>
      </w:r>
      <w:r w:rsidRPr="00C3681E">
        <w:rPr>
          <w:lang w:val="en-GB"/>
        </w:rPr>
        <w:t xml:space="preserve">t is essential to estimate the </w:t>
      </w:r>
      <w:r w:rsidR="00673E88" w:rsidRPr="00C3681E">
        <w:rPr>
          <w:lang w:val="en-GB"/>
        </w:rPr>
        <w:t xml:space="preserve">equipment </w:t>
      </w:r>
      <w:r w:rsidR="000B2C5D" w:rsidRPr="00C3681E">
        <w:rPr>
          <w:lang w:val="en-GB"/>
        </w:rPr>
        <w:t xml:space="preserve">health and predict </w:t>
      </w:r>
      <w:r w:rsidR="00EB3202" w:rsidRPr="00C3681E">
        <w:rPr>
          <w:lang w:val="en-GB"/>
        </w:rPr>
        <w:t>its</w:t>
      </w:r>
      <w:r w:rsidRPr="00C3681E">
        <w:rPr>
          <w:lang w:val="en-GB"/>
        </w:rPr>
        <w:t xml:space="preserve"> remaining useful lifetime. Reliable estimates make possible to achieve a safe </w:t>
      </w:r>
      <w:r w:rsidR="00B251CD" w:rsidRPr="00C3681E">
        <w:rPr>
          <w:lang w:val="en-GB"/>
        </w:rPr>
        <w:t xml:space="preserve">and efficient </w:t>
      </w:r>
      <w:r w:rsidR="00171CFC" w:rsidRPr="00C3681E">
        <w:rPr>
          <w:lang w:val="en-GB"/>
        </w:rPr>
        <w:t xml:space="preserve">conduction of </w:t>
      </w:r>
      <w:r w:rsidRPr="00C3681E">
        <w:rPr>
          <w:lang w:val="en-GB"/>
        </w:rPr>
        <w:t>normal operations.</w:t>
      </w:r>
      <w:r w:rsidR="00A75C30" w:rsidRPr="00C3681E">
        <w:rPr>
          <w:lang w:val="en-GB"/>
        </w:rPr>
        <w:t xml:space="preserve"> </w:t>
      </w:r>
      <w:r w:rsidR="00673E88" w:rsidRPr="00C3681E">
        <w:rPr>
          <w:lang w:val="en-GB"/>
        </w:rPr>
        <w:t>T</w:t>
      </w:r>
      <w:r w:rsidRPr="00C3681E">
        <w:rPr>
          <w:lang w:val="en-GB"/>
        </w:rPr>
        <w:t>o contribu</w:t>
      </w:r>
      <w:r w:rsidR="00C2571E" w:rsidRPr="00C3681E">
        <w:rPr>
          <w:lang w:val="en-GB"/>
        </w:rPr>
        <w:t>te to the achievement of these aim</w:t>
      </w:r>
      <w:r w:rsidRPr="00C3681E">
        <w:rPr>
          <w:lang w:val="en-GB"/>
        </w:rPr>
        <w:t xml:space="preserve">s, a system is being developed, </w:t>
      </w:r>
      <w:r w:rsidR="00673E88" w:rsidRPr="00C3681E">
        <w:rPr>
          <w:lang w:val="en-GB"/>
        </w:rPr>
        <w:t xml:space="preserve">which is </w:t>
      </w:r>
      <w:r w:rsidRPr="00C3681E">
        <w:rPr>
          <w:lang w:val="en-GB"/>
        </w:rPr>
        <w:t>based on prognostic mode</w:t>
      </w:r>
      <w:r w:rsidR="00867F13" w:rsidRPr="00C3681E">
        <w:rPr>
          <w:lang w:val="en-GB"/>
        </w:rPr>
        <w:t>l</w:t>
      </w:r>
      <w:r w:rsidRPr="00C3681E">
        <w:rPr>
          <w:lang w:val="en-GB"/>
        </w:rPr>
        <w:t>ling and augmented reality for the prediction of the equipment degradation</w:t>
      </w:r>
      <w:r w:rsidR="00673E88" w:rsidRPr="00C3681E">
        <w:rPr>
          <w:lang w:val="en-GB"/>
        </w:rPr>
        <w:t xml:space="preserve"> and the remaining useful lifetime</w:t>
      </w:r>
      <w:r w:rsidRPr="00C3681E">
        <w:rPr>
          <w:lang w:val="en-GB"/>
        </w:rPr>
        <w:t xml:space="preserve">. The system consists of hardware and software, in which </w:t>
      </w:r>
      <w:r w:rsidR="00C2571E" w:rsidRPr="00C3681E">
        <w:rPr>
          <w:lang w:val="en-GB"/>
        </w:rPr>
        <w:t xml:space="preserve">the </w:t>
      </w:r>
      <w:r w:rsidR="00A75C30" w:rsidRPr="00C3681E">
        <w:rPr>
          <w:lang w:val="en-GB"/>
        </w:rPr>
        <w:t xml:space="preserve">forecasting </w:t>
      </w:r>
      <w:r w:rsidRPr="00C3681E">
        <w:rPr>
          <w:lang w:val="en-GB"/>
        </w:rPr>
        <w:t xml:space="preserve">models draw information from a network of sensors installed on the equipment and from a database containing the history of inspections. The model integrates also information </w:t>
      </w:r>
      <w:r w:rsidR="00673E88" w:rsidRPr="00C3681E">
        <w:rPr>
          <w:lang w:val="en-GB"/>
        </w:rPr>
        <w:t>about</w:t>
      </w:r>
      <w:r w:rsidRPr="00C3681E">
        <w:rPr>
          <w:lang w:val="en-GB"/>
        </w:rPr>
        <w:t xml:space="preserve"> deterioration mechanism</w:t>
      </w:r>
      <w:r w:rsidR="00A75C30" w:rsidRPr="00C3681E">
        <w:rPr>
          <w:lang w:val="en-GB"/>
        </w:rPr>
        <w:t>s</w:t>
      </w:r>
      <w:r w:rsidRPr="00C3681E">
        <w:rPr>
          <w:lang w:val="en-GB"/>
        </w:rPr>
        <w:t xml:space="preserve">. </w:t>
      </w:r>
      <w:r w:rsidR="00A75C30" w:rsidRPr="00C3681E">
        <w:rPr>
          <w:lang w:val="en-GB"/>
        </w:rPr>
        <w:t>T</w:t>
      </w:r>
      <w:r w:rsidRPr="00C3681E">
        <w:rPr>
          <w:lang w:val="en-GB"/>
        </w:rPr>
        <w:t>his paper</w:t>
      </w:r>
      <w:r w:rsidR="00A75C30" w:rsidRPr="00C3681E">
        <w:rPr>
          <w:lang w:val="en-GB"/>
        </w:rPr>
        <w:t xml:space="preserve"> </w:t>
      </w:r>
      <w:r w:rsidR="0061785A" w:rsidRPr="00C3681E">
        <w:rPr>
          <w:lang w:val="en-GB"/>
        </w:rPr>
        <w:t xml:space="preserve">presents </w:t>
      </w:r>
      <w:r w:rsidRPr="00C3681E">
        <w:rPr>
          <w:lang w:val="en-GB"/>
        </w:rPr>
        <w:t>a preliminary study carried out for the derivation of the degradation model with respect to t</w:t>
      </w:r>
      <w:r w:rsidR="00673E88" w:rsidRPr="00C3681E">
        <w:rPr>
          <w:lang w:val="en-GB"/>
        </w:rPr>
        <w:t>he</w:t>
      </w:r>
      <w:r w:rsidRPr="00C3681E">
        <w:rPr>
          <w:lang w:val="en-GB"/>
        </w:rPr>
        <w:t xml:space="preserve"> mechanisms </w:t>
      </w:r>
      <w:r w:rsidR="0061785A" w:rsidRPr="00C3681E">
        <w:rPr>
          <w:lang w:val="en-GB"/>
        </w:rPr>
        <w:t xml:space="preserve">affecting </w:t>
      </w:r>
      <w:r w:rsidR="00673E88" w:rsidRPr="00C3681E">
        <w:rPr>
          <w:lang w:val="en-GB"/>
        </w:rPr>
        <w:t xml:space="preserve">atmospheric </w:t>
      </w:r>
      <w:r w:rsidR="0061785A" w:rsidRPr="00C3681E">
        <w:rPr>
          <w:lang w:val="en-GB"/>
        </w:rPr>
        <w:t>storage tanks</w:t>
      </w:r>
      <w:r w:rsidRPr="00C3681E">
        <w:rPr>
          <w:lang w:val="en-GB"/>
        </w:rPr>
        <w:t xml:space="preserve">, namely the </w:t>
      </w:r>
      <w:r w:rsidR="00C2571E" w:rsidRPr="00C3681E">
        <w:rPr>
          <w:lang w:val="en-GB"/>
        </w:rPr>
        <w:t xml:space="preserve">internal </w:t>
      </w:r>
      <w:r w:rsidRPr="00C3681E">
        <w:rPr>
          <w:lang w:val="en-GB"/>
        </w:rPr>
        <w:t xml:space="preserve">corrosion of metal structures exposed </w:t>
      </w:r>
      <w:r w:rsidR="00673E88" w:rsidRPr="00C3681E">
        <w:rPr>
          <w:lang w:val="en-GB"/>
        </w:rPr>
        <w:t>hydrocarbons</w:t>
      </w:r>
      <w:r w:rsidRPr="00C3681E">
        <w:rPr>
          <w:lang w:val="en-GB"/>
        </w:rPr>
        <w:t xml:space="preserve"> and </w:t>
      </w:r>
      <w:r w:rsidR="0034677D" w:rsidRPr="00C3681E">
        <w:rPr>
          <w:lang w:val="en-GB"/>
        </w:rPr>
        <w:t>the backside corrosion of the bottom floors</w:t>
      </w:r>
      <w:r w:rsidR="0061785A" w:rsidRPr="00C3681E">
        <w:rPr>
          <w:lang w:val="en-GB"/>
        </w:rPr>
        <w:t>.</w:t>
      </w:r>
      <w:r w:rsidR="00226B81">
        <w:rPr>
          <w:lang w:val="en-GB"/>
        </w:rPr>
        <w:t xml:space="preserve"> A </w:t>
      </w:r>
      <w:r w:rsidR="00226B81" w:rsidRPr="00226B81">
        <w:rPr>
          <w:lang w:val="en-GB"/>
        </w:rPr>
        <w:t>comparison between the proposed method and the EEMUA standard</w:t>
      </w:r>
      <w:r w:rsidR="00226B81">
        <w:rPr>
          <w:lang w:val="en-GB"/>
        </w:rPr>
        <w:t xml:space="preserve"> is also given.</w:t>
      </w:r>
    </w:p>
    <w:p w14:paraId="537478F7" w14:textId="77777777" w:rsidR="00600535" w:rsidRPr="00C3681E" w:rsidRDefault="00600535" w:rsidP="00600535">
      <w:pPr>
        <w:pStyle w:val="CETHeading1"/>
        <w:rPr>
          <w:lang w:val="en-GB"/>
        </w:rPr>
      </w:pPr>
      <w:r w:rsidRPr="00C3681E">
        <w:rPr>
          <w:lang w:val="en-GB"/>
        </w:rPr>
        <w:t>Introduction</w:t>
      </w:r>
    </w:p>
    <w:p w14:paraId="3651853B" w14:textId="7ADEC15E" w:rsidR="00097190" w:rsidRPr="00C3681E" w:rsidRDefault="00171CFC" w:rsidP="00097190">
      <w:r w:rsidRPr="00C3681E">
        <w:t>T</w:t>
      </w:r>
      <w:r w:rsidR="0034677D" w:rsidRPr="00C3681E">
        <w:t xml:space="preserve">he issue of ageing become relevant </w:t>
      </w:r>
      <w:r w:rsidR="00B251CD" w:rsidRPr="00C3681E">
        <w:t xml:space="preserve">in Europe </w:t>
      </w:r>
      <w:r w:rsidR="0034677D" w:rsidRPr="00C3681E">
        <w:t>due to the evidence that most equipment of several Seveso establishments were installed more than forty years ago</w:t>
      </w:r>
      <w:r w:rsidR="00717ABB" w:rsidRPr="00C3681E">
        <w:t xml:space="preserve"> (</w:t>
      </w:r>
      <w:proofErr w:type="spellStart"/>
      <w:r w:rsidR="00C63F8C" w:rsidRPr="00C3681E">
        <w:rPr>
          <w:rFonts w:eastAsia="Calibri"/>
          <w:spacing w:val="-2"/>
        </w:rPr>
        <w:t>Horrock</w:t>
      </w:r>
      <w:r w:rsidR="0094214E" w:rsidRPr="00C3681E">
        <w:rPr>
          <w:rFonts w:eastAsia="Calibri"/>
          <w:spacing w:val="-2"/>
        </w:rPr>
        <w:t>s</w:t>
      </w:r>
      <w:proofErr w:type="spellEnd"/>
      <w:r w:rsidR="00C63F8C" w:rsidRPr="00C3681E">
        <w:rPr>
          <w:rFonts w:eastAsia="Calibri"/>
          <w:spacing w:val="-2"/>
        </w:rPr>
        <w:t xml:space="preserve"> et al., 2010</w:t>
      </w:r>
      <w:r w:rsidR="00717ABB" w:rsidRPr="00C3681E">
        <w:t>)</w:t>
      </w:r>
      <w:r w:rsidR="00343CDB" w:rsidRPr="00C3681E">
        <w:t>;</w:t>
      </w:r>
      <w:r w:rsidR="00B251CD" w:rsidRPr="00C3681E">
        <w:t xml:space="preserve"> i</w:t>
      </w:r>
      <w:r w:rsidR="00962D9C" w:rsidRPr="00C3681E">
        <w:t>n addition</w:t>
      </w:r>
      <w:r w:rsidR="00B251CD" w:rsidRPr="00C3681E">
        <w:t>,</w:t>
      </w:r>
      <w:r w:rsidR="0034677D" w:rsidRPr="00C3681E">
        <w:t xml:space="preserve"> </w:t>
      </w:r>
      <w:r w:rsidR="00962D9C" w:rsidRPr="00C3681E">
        <w:t>worldwide reports show a significant percentage of loss</w:t>
      </w:r>
      <w:r w:rsidR="00343CDB" w:rsidRPr="00C3681E">
        <w:t>es</w:t>
      </w:r>
      <w:r w:rsidR="00962D9C" w:rsidRPr="00C3681E">
        <w:t xml:space="preserve"> of containment </w:t>
      </w:r>
      <w:r w:rsidR="00A92F98" w:rsidRPr="00C3681E">
        <w:t>due to d</w:t>
      </w:r>
      <w:r w:rsidR="00962D9C" w:rsidRPr="00C3681E">
        <w:t xml:space="preserve">eterioration </w:t>
      </w:r>
      <w:r w:rsidR="00B251CD" w:rsidRPr="00C3681E">
        <w:t xml:space="preserve">mechanisms </w:t>
      </w:r>
      <w:r w:rsidR="00962D9C" w:rsidRPr="00C3681E">
        <w:t>(</w:t>
      </w:r>
      <w:r w:rsidR="00FF6AA3" w:rsidRPr="00C3681E">
        <w:t xml:space="preserve">Wood et al., 2013; </w:t>
      </w:r>
      <w:proofErr w:type="spellStart"/>
      <w:r w:rsidR="00FF6AA3" w:rsidRPr="00C3681E">
        <w:t>Semmler</w:t>
      </w:r>
      <w:proofErr w:type="spellEnd"/>
      <w:r w:rsidR="00FF6AA3" w:rsidRPr="00C3681E">
        <w:t xml:space="preserve">, 2016; </w:t>
      </w:r>
      <w:proofErr w:type="spellStart"/>
      <w:r w:rsidR="00FF6AA3" w:rsidRPr="00C3681E">
        <w:t>Gyenes</w:t>
      </w:r>
      <w:proofErr w:type="spellEnd"/>
      <w:r w:rsidR="00FF6AA3" w:rsidRPr="00C3681E">
        <w:t xml:space="preserve"> </w:t>
      </w:r>
      <w:r w:rsidR="0094214E" w:rsidRPr="00C3681E">
        <w:t>and</w:t>
      </w:r>
      <w:r w:rsidR="00FF6AA3" w:rsidRPr="00C3681E">
        <w:t xml:space="preserve"> Wood, 2016; </w:t>
      </w:r>
      <w:r w:rsidR="00B251CD" w:rsidRPr="00C3681E">
        <w:t>OECD, 2017</w:t>
      </w:r>
      <w:r w:rsidR="00962D9C" w:rsidRPr="00C3681E">
        <w:t>).</w:t>
      </w:r>
      <w:r w:rsidR="00B251CD" w:rsidRPr="00C3681E">
        <w:t xml:space="preserve"> Given that</w:t>
      </w:r>
      <w:r w:rsidR="00C63F8C" w:rsidRPr="00C3681E">
        <w:t xml:space="preserve"> </w:t>
      </w:r>
      <w:r w:rsidR="00B251CD" w:rsidRPr="00C3681E">
        <w:t xml:space="preserve">these </w:t>
      </w:r>
      <w:r w:rsidR="00C63F8C" w:rsidRPr="00C3681E">
        <w:t>installations</w:t>
      </w:r>
      <w:r w:rsidR="0034677D" w:rsidRPr="00C3681E">
        <w:t xml:space="preserve"> are approaching or</w:t>
      </w:r>
      <w:r w:rsidR="00236A2D" w:rsidRPr="00C3681E">
        <w:t xml:space="preserve"> </w:t>
      </w:r>
      <w:r w:rsidR="00C63F8C" w:rsidRPr="00C3681E">
        <w:t>already reached</w:t>
      </w:r>
      <w:r w:rsidR="0034677D" w:rsidRPr="00C3681E">
        <w:t xml:space="preserve"> their design lifetime, </w:t>
      </w:r>
      <w:r w:rsidR="00A92F98" w:rsidRPr="00C3681E">
        <w:t>a</w:t>
      </w:r>
      <w:r w:rsidR="00B251CD" w:rsidRPr="00C3681E">
        <w:t xml:space="preserve"> proper </w:t>
      </w:r>
      <w:r w:rsidR="00FF6AA3" w:rsidRPr="00C3681E">
        <w:t xml:space="preserve">monitoring and </w:t>
      </w:r>
      <w:r w:rsidR="0034677D" w:rsidRPr="00C3681E">
        <w:t xml:space="preserve">inspection planning </w:t>
      </w:r>
      <w:r w:rsidR="00EB3202" w:rsidRPr="00C3681E">
        <w:t>is</w:t>
      </w:r>
      <w:r w:rsidR="0034677D" w:rsidRPr="00C3681E">
        <w:t xml:space="preserve"> very important to prevent </w:t>
      </w:r>
      <w:r w:rsidR="00C63F8C" w:rsidRPr="00C3681E">
        <w:t xml:space="preserve">undesired </w:t>
      </w:r>
      <w:r w:rsidR="0034677D" w:rsidRPr="00C3681E">
        <w:t>consequence</w:t>
      </w:r>
      <w:r w:rsidR="00C63F8C" w:rsidRPr="00C3681E">
        <w:t>s</w:t>
      </w:r>
      <w:r w:rsidR="0034677D" w:rsidRPr="00C3681E">
        <w:t xml:space="preserve"> </w:t>
      </w:r>
      <w:r w:rsidR="00A92F98" w:rsidRPr="00C3681E">
        <w:t>of</w:t>
      </w:r>
      <w:r w:rsidR="00B251CD" w:rsidRPr="00C3681E">
        <w:t xml:space="preserve"> </w:t>
      </w:r>
      <w:r w:rsidR="0034677D" w:rsidRPr="00C3681E">
        <w:t xml:space="preserve">ageing, </w:t>
      </w:r>
      <w:r w:rsidR="00B251CD" w:rsidRPr="00C3681E">
        <w:t>namely</w:t>
      </w:r>
      <w:r w:rsidR="0034677D" w:rsidRPr="00C3681E">
        <w:t xml:space="preserve"> releases of hazardous materials</w:t>
      </w:r>
      <w:r w:rsidR="00B86137" w:rsidRPr="00C3681E">
        <w:t xml:space="preserve"> (Palazzi et al., 2017)</w:t>
      </w:r>
      <w:r w:rsidR="00226B81">
        <w:t>, as well as occupational risks (</w:t>
      </w:r>
      <w:r w:rsidR="00226B81" w:rsidRPr="00226B81">
        <w:t>Directive 2012/18 /EU</w:t>
      </w:r>
      <w:r w:rsidR="00226B81">
        <w:t>)</w:t>
      </w:r>
      <w:r w:rsidR="0034677D" w:rsidRPr="00C3681E">
        <w:t xml:space="preserve">. </w:t>
      </w:r>
      <w:r w:rsidR="00FF6AA3" w:rsidRPr="00C3681E">
        <w:t>After</w:t>
      </w:r>
      <w:r w:rsidR="0034677D" w:rsidRPr="00C3681E">
        <w:t xml:space="preserve"> the Directive 2012/18/UE, operators of establishments at major hazard </w:t>
      </w:r>
      <w:r w:rsidR="00EB3202" w:rsidRPr="00C3681E">
        <w:t xml:space="preserve">accident </w:t>
      </w:r>
      <w:r w:rsidR="0034677D" w:rsidRPr="00C3681E">
        <w:t xml:space="preserve">are required to evaluate and manage equipment ageing through the </w:t>
      </w:r>
      <w:r w:rsidR="00C2571E" w:rsidRPr="00C3681E">
        <w:t>definition</w:t>
      </w:r>
      <w:r w:rsidR="0034677D" w:rsidRPr="00C3681E">
        <w:t xml:space="preserve"> of a detailed management plan (Milazzo </w:t>
      </w:r>
      <w:r w:rsidR="0094214E" w:rsidRPr="00C3681E">
        <w:t>and</w:t>
      </w:r>
      <w:r w:rsidR="0034677D" w:rsidRPr="00C3681E">
        <w:t xml:space="preserve"> Bragatto, 2019). </w:t>
      </w:r>
      <w:r w:rsidR="00A92F98" w:rsidRPr="00C3681E">
        <w:t>T</w:t>
      </w:r>
      <w:r w:rsidR="000D738F" w:rsidRPr="00C3681E">
        <w:t>he</w:t>
      </w:r>
      <w:r w:rsidR="0034677D" w:rsidRPr="00C3681E">
        <w:t xml:space="preserve"> estimat</w:t>
      </w:r>
      <w:r w:rsidR="000D738F" w:rsidRPr="00C3681E">
        <w:t xml:space="preserve">ion of </w:t>
      </w:r>
      <w:r w:rsidR="0034677D" w:rsidRPr="00C3681E">
        <w:t xml:space="preserve">the </w:t>
      </w:r>
      <w:r w:rsidR="00097190" w:rsidRPr="00C3681E">
        <w:t xml:space="preserve">equipment </w:t>
      </w:r>
      <w:r w:rsidR="0034677D" w:rsidRPr="00C3681E">
        <w:t xml:space="preserve">health and </w:t>
      </w:r>
      <w:r w:rsidR="000D738F" w:rsidRPr="00C3681E">
        <w:t xml:space="preserve">the </w:t>
      </w:r>
      <w:r w:rsidR="0034677D" w:rsidRPr="00C3681E">
        <w:t>predict</w:t>
      </w:r>
      <w:r w:rsidR="000D738F" w:rsidRPr="00C3681E">
        <w:t>ion of</w:t>
      </w:r>
      <w:r w:rsidR="0034677D" w:rsidRPr="00C3681E">
        <w:t xml:space="preserve"> its </w:t>
      </w:r>
      <w:r w:rsidR="0034677D" w:rsidRPr="00C3681E">
        <w:rPr>
          <w:i/>
        </w:rPr>
        <w:t>remaining useful lifetime</w:t>
      </w:r>
      <w:r w:rsidR="0034677D" w:rsidRPr="00C3681E">
        <w:t xml:space="preserve"> </w:t>
      </w:r>
      <w:r w:rsidR="00097190" w:rsidRPr="00C3681E">
        <w:t>(</w:t>
      </w:r>
      <w:r w:rsidR="00097190" w:rsidRPr="00C3681E">
        <w:rPr>
          <w:rFonts w:ascii="Times New Roman" w:hAnsi="Times New Roman"/>
          <w:i/>
        </w:rPr>
        <w:t>RUL</w:t>
      </w:r>
      <w:r w:rsidR="00097190" w:rsidRPr="00C3681E">
        <w:t xml:space="preserve">) </w:t>
      </w:r>
      <w:r w:rsidR="000D738F" w:rsidRPr="00C3681E">
        <w:t>are</w:t>
      </w:r>
      <w:r w:rsidR="0034677D" w:rsidRPr="00C3681E">
        <w:t xml:space="preserve"> essential</w:t>
      </w:r>
      <w:r w:rsidR="00236A2D" w:rsidRPr="00C3681E">
        <w:t xml:space="preserve"> </w:t>
      </w:r>
      <w:r w:rsidR="00B80672" w:rsidRPr="00C3681E">
        <w:t>for</w:t>
      </w:r>
      <w:r w:rsidR="00B251CD" w:rsidRPr="00C3681E">
        <w:t xml:space="preserve"> a safe </w:t>
      </w:r>
      <w:r w:rsidR="00A92F98" w:rsidRPr="00C3681E">
        <w:t xml:space="preserve">in-service </w:t>
      </w:r>
      <w:r w:rsidR="00B251CD" w:rsidRPr="00C3681E">
        <w:t>conduction</w:t>
      </w:r>
      <w:r w:rsidR="00097190" w:rsidRPr="00C3681E">
        <w:t xml:space="preserve">, </w:t>
      </w:r>
      <w:r w:rsidR="00B80672" w:rsidRPr="00C3681E">
        <w:t xml:space="preserve">an </w:t>
      </w:r>
      <w:r w:rsidR="00097190" w:rsidRPr="00C3681E">
        <w:t xml:space="preserve">efficient </w:t>
      </w:r>
      <w:r w:rsidR="00B80672" w:rsidRPr="00C3681E">
        <w:t>predictive maintenance</w:t>
      </w:r>
      <w:r w:rsidR="00FF6AA3" w:rsidRPr="00C3681E">
        <w:t xml:space="preserve"> and </w:t>
      </w:r>
      <w:r w:rsidR="00343CDB" w:rsidRPr="00C3681E">
        <w:t>an</w:t>
      </w:r>
      <w:r w:rsidR="00FF6AA3" w:rsidRPr="00C3681E">
        <w:t xml:space="preserve"> extension of </w:t>
      </w:r>
      <w:r w:rsidR="00097190" w:rsidRPr="00C3681E">
        <w:t xml:space="preserve">the </w:t>
      </w:r>
      <w:r w:rsidR="00FF6AA3" w:rsidRPr="00C3681E">
        <w:t>operational lifetime</w:t>
      </w:r>
      <w:r w:rsidR="00236A2D" w:rsidRPr="00C3681E">
        <w:t>. To achieve</w:t>
      </w:r>
      <w:r w:rsidR="00097190" w:rsidRPr="00C3681E">
        <w:t xml:space="preserve"> these </w:t>
      </w:r>
      <w:r w:rsidR="00A92F98" w:rsidRPr="00C3681E">
        <w:t>aim</w:t>
      </w:r>
      <w:r w:rsidR="00097190" w:rsidRPr="00C3681E">
        <w:t>s, prognostic model</w:t>
      </w:r>
      <w:r w:rsidR="00C7572D" w:rsidRPr="00C3681E">
        <w:t>s</w:t>
      </w:r>
      <w:r w:rsidR="00097190" w:rsidRPr="00C3681E">
        <w:t xml:space="preserve"> </w:t>
      </w:r>
      <w:r w:rsidR="00C7572D" w:rsidRPr="00C3681E">
        <w:t xml:space="preserve">are needed, as well as monitoring </w:t>
      </w:r>
      <w:r w:rsidR="00343CDB" w:rsidRPr="00C3681E">
        <w:t>data</w:t>
      </w:r>
      <w:r w:rsidR="00C7572D" w:rsidRPr="00C3681E">
        <w:t xml:space="preserve"> and equipment history</w:t>
      </w:r>
      <w:r w:rsidR="00097190" w:rsidRPr="00C3681E">
        <w:t>.</w:t>
      </w:r>
      <w:r w:rsidR="00867F13" w:rsidRPr="00C3681E">
        <w:t xml:space="preserve"> </w:t>
      </w:r>
      <w:r w:rsidR="00097190" w:rsidRPr="00C3681E">
        <w:t>Today</w:t>
      </w:r>
      <w:r w:rsidR="00343CDB" w:rsidRPr="00C3681E">
        <w:t>,</w:t>
      </w:r>
      <w:r w:rsidR="00097190" w:rsidRPr="00C3681E">
        <w:t xml:space="preserve"> </w:t>
      </w:r>
      <w:r w:rsidR="00867F13" w:rsidRPr="00C3681E">
        <w:t xml:space="preserve">the combination of </w:t>
      </w:r>
      <w:r w:rsidR="00097190" w:rsidRPr="00C3681E">
        <w:t xml:space="preserve">some innovative technologies </w:t>
      </w:r>
      <w:r w:rsidR="00867F13" w:rsidRPr="00C3681E">
        <w:t>allow</w:t>
      </w:r>
      <w:r w:rsidR="00C7572D" w:rsidRPr="00C3681E">
        <w:t xml:space="preserve"> exploit</w:t>
      </w:r>
      <w:r w:rsidR="00867F13" w:rsidRPr="00C3681E">
        <w:t>ing</w:t>
      </w:r>
      <w:r w:rsidR="00C7572D" w:rsidRPr="00C3681E">
        <w:t xml:space="preserve"> </w:t>
      </w:r>
      <w:r w:rsidR="00B80672" w:rsidRPr="00C3681E">
        <w:t>prognostic models</w:t>
      </w:r>
      <w:r w:rsidR="0081793F" w:rsidRPr="00C3681E">
        <w:t xml:space="preserve"> </w:t>
      </w:r>
      <w:r w:rsidR="00E85C72" w:rsidRPr="00C3681E">
        <w:t>to achieve</w:t>
      </w:r>
      <w:r w:rsidR="0081793F" w:rsidRPr="00C3681E">
        <w:t xml:space="preserve"> the above objectives</w:t>
      </w:r>
      <w:r w:rsidR="007006BA" w:rsidRPr="00C3681E">
        <w:t>. A</w:t>
      </w:r>
      <w:r w:rsidR="00867F13" w:rsidRPr="00C3681E">
        <w:t>vailable technologies include</w:t>
      </w:r>
      <w:r w:rsidR="00097190" w:rsidRPr="00C3681E">
        <w:t xml:space="preserve"> IOT </w:t>
      </w:r>
      <w:r w:rsidR="00867F13" w:rsidRPr="00C3681E">
        <w:t>solution</w:t>
      </w:r>
      <w:r w:rsidR="00097190" w:rsidRPr="00C3681E">
        <w:t xml:space="preserve">s </w:t>
      </w:r>
      <w:r w:rsidR="00867F13" w:rsidRPr="00C3681E">
        <w:t xml:space="preserve">for </w:t>
      </w:r>
      <w:r w:rsidR="00097190" w:rsidRPr="00C3681E">
        <w:t>smart identification of equipment</w:t>
      </w:r>
      <w:r w:rsidR="00867F13" w:rsidRPr="00C3681E">
        <w:t>, smart sensors</w:t>
      </w:r>
      <w:r w:rsidR="00097190" w:rsidRPr="00C3681E">
        <w:t xml:space="preserve"> and cloud computing to store </w:t>
      </w:r>
      <w:r w:rsidR="00867F13" w:rsidRPr="00C3681E">
        <w:t xml:space="preserve">and manage huge amount of </w:t>
      </w:r>
      <w:r w:rsidR="00097190" w:rsidRPr="00C3681E">
        <w:t>equipment data.</w:t>
      </w:r>
    </w:p>
    <w:p w14:paraId="7A4211FA" w14:textId="0D8BD25D" w:rsidR="00011582" w:rsidRPr="00C3681E" w:rsidRDefault="00491D92" w:rsidP="003017D0">
      <w:r w:rsidRPr="00C3681E">
        <w:t>Currently, a system is being developed to contribute</w:t>
      </w:r>
      <w:r w:rsidR="0081793F" w:rsidRPr="00C3681E">
        <w:t xml:space="preserve"> the previously highlighted </w:t>
      </w:r>
      <w:r w:rsidR="00343CDB" w:rsidRPr="00C3681E">
        <w:t>goals</w:t>
      </w:r>
      <w:r w:rsidR="00C2571E" w:rsidRPr="00C3681E">
        <w:t>. It</w:t>
      </w:r>
      <w:r w:rsidRPr="00C3681E">
        <w:t xml:space="preserve"> consists of hardware and software (Milazzo et al., 2019)</w:t>
      </w:r>
      <w:r w:rsidR="00CD7D4B" w:rsidRPr="00C3681E">
        <w:t xml:space="preserve"> and </w:t>
      </w:r>
      <w:r w:rsidR="007701C6" w:rsidRPr="00C3681E">
        <w:t>the</w:t>
      </w:r>
      <w:r w:rsidR="00B80672" w:rsidRPr="00C3681E">
        <w:t xml:space="preserve"> </w:t>
      </w:r>
      <w:r w:rsidR="0081793F" w:rsidRPr="00C3681E">
        <w:t>core is the</w:t>
      </w:r>
      <w:r w:rsidRPr="00C3681E">
        <w:t xml:space="preserve"> forecasting model</w:t>
      </w:r>
      <w:r w:rsidR="00343CDB" w:rsidRPr="00C3681E">
        <w:t>, which</w:t>
      </w:r>
      <w:r w:rsidRPr="00C3681E">
        <w:t xml:space="preserve"> integrates information </w:t>
      </w:r>
      <w:r w:rsidR="00CE53A9" w:rsidRPr="00C3681E">
        <w:t>about</w:t>
      </w:r>
      <w:r w:rsidRPr="00C3681E">
        <w:t xml:space="preserve"> the deterioration mechanisms affecting</w:t>
      </w:r>
      <w:r w:rsidR="00343CDB" w:rsidRPr="00C3681E">
        <w:t xml:space="preserve"> the equipment, </w:t>
      </w:r>
      <w:r w:rsidR="00CE53A9" w:rsidRPr="00C3681E">
        <w:t xml:space="preserve">data </w:t>
      </w:r>
      <w:r w:rsidR="0081793F" w:rsidRPr="00C3681E">
        <w:t>collected</w:t>
      </w:r>
      <w:r w:rsidRPr="00C3681E">
        <w:t xml:space="preserve"> </w:t>
      </w:r>
      <w:r w:rsidR="00343CDB" w:rsidRPr="00C3681E">
        <w:t>thought</w:t>
      </w:r>
      <w:r w:rsidRPr="00C3681E">
        <w:t xml:space="preserve"> </w:t>
      </w:r>
      <w:r w:rsidR="00CE53A9" w:rsidRPr="00C3681E">
        <w:t>installed</w:t>
      </w:r>
      <w:r w:rsidR="00A92F98" w:rsidRPr="00C3681E">
        <w:t xml:space="preserve"> sensor</w:t>
      </w:r>
      <w:r w:rsidR="00CE53A9" w:rsidRPr="00C3681E">
        <w:t xml:space="preserve"> </w:t>
      </w:r>
      <w:r w:rsidRPr="00C3681E">
        <w:t>network</w:t>
      </w:r>
      <w:r w:rsidR="00A92F98" w:rsidRPr="00C3681E">
        <w:t>s</w:t>
      </w:r>
      <w:r w:rsidRPr="00C3681E">
        <w:t xml:space="preserve"> and </w:t>
      </w:r>
      <w:r w:rsidR="007701C6" w:rsidRPr="00C3681E">
        <w:t>the inspections’ history from internal database</w:t>
      </w:r>
      <w:r w:rsidR="00A92F98" w:rsidRPr="00C3681E">
        <w:t>s</w:t>
      </w:r>
      <w:r w:rsidRPr="00C3681E">
        <w:t xml:space="preserve">. This paper </w:t>
      </w:r>
      <w:r w:rsidR="007006BA" w:rsidRPr="00C3681E">
        <w:t>presents</w:t>
      </w:r>
      <w:r w:rsidRPr="00C3681E">
        <w:t xml:space="preserve"> the derivation of the degradation model with respect </w:t>
      </w:r>
      <w:r w:rsidR="00343CDB" w:rsidRPr="00C3681E">
        <w:t>to the</w:t>
      </w:r>
      <w:r w:rsidRPr="00C3681E">
        <w:t xml:space="preserve"> mechanisms affecting storage tanks, namely the </w:t>
      </w:r>
      <w:r w:rsidR="00CD7D4B" w:rsidRPr="00C3681E">
        <w:rPr>
          <w:i/>
        </w:rPr>
        <w:t xml:space="preserve">internal </w:t>
      </w:r>
      <w:r w:rsidRPr="00C3681E">
        <w:rPr>
          <w:i/>
        </w:rPr>
        <w:t>corrosion</w:t>
      </w:r>
      <w:r w:rsidRPr="00C3681E">
        <w:t xml:space="preserve"> of metal structures exposed to </w:t>
      </w:r>
      <w:r w:rsidR="00343CDB" w:rsidRPr="00C3681E">
        <w:t>hydrocarbons</w:t>
      </w:r>
      <w:r w:rsidRPr="00C3681E">
        <w:t xml:space="preserve"> and the </w:t>
      </w:r>
      <w:r w:rsidRPr="00C3681E">
        <w:rPr>
          <w:i/>
        </w:rPr>
        <w:t>backside corrosion</w:t>
      </w:r>
      <w:r w:rsidRPr="00C3681E">
        <w:t xml:space="preserve"> of the bottom floors.</w:t>
      </w:r>
      <w:r w:rsidR="009B1F29" w:rsidRPr="00C3681E">
        <w:t xml:space="preserve"> </w:t>
      </w:r>
      <w:r w:rsidR="00CD7D4B" w:rsidRPr="00C3681E">
        <w:t xml:space="preserve">The </w:t>
      </w:r>
      <w:r w:rsidR="00CD7D4B" w:rsidRPr="00C3681E">
        <w:rPr>
          <w:i/>
        </w:rPr>
        <w:t>internal corrosion</w:t>
      </w:r>
      <w:r w:rsidR="00EB74CA" w:rsidRPr="00C3681E">
        <w:t xml:space="preserve"> </w:t>
      </w:r>
      <w:r w:rsidR="00A92F98" w:rsidRPr="00C3681E">
        <w:t>is</w:t>
      </w:r>
      <w:r w:rsidR="00EB74CA" w:rsidRPr="00C3681E">
        <w:t xml:space="preserve"> </w:t>
      </w:r>
      <w:r w:rsidR="007006BA" w:rsidRPr="00C3681E">
        <w:t>due to</w:t>
      </w:r>
      <w:r w:rsidR="00EB74CA" w:rsidRPr="00C3681E">
        <w:t xml:space="preserve"> </w:t>
      </w:r>
      <w:r w:rsidR="00C2571E" w:rsidRPr="00C3681E">
        <w:t>the presence of dissolved oxygen</w:t>
      </w:r>
      <w:r w:rsidR="00EB74CA" w:rsidRPr="00C3681E">
        <w:t xml:space="preserve"> or</w:t>
      </w:r>
      <w:r w:rsidR="00C2571E" w:rsidRPr="00C3681E">
        <w:t xml:space="preserve"> water inside the product, as well as other impurities</w:t>
      </w:r>
      <w:r w:rsidR="00EB74CA" w:rsidRPr="00C3681E">
        <w:t>.</w:t>
      </w:r>
      <w:r w:rsidR="00805A6E" w:rsidRPr="00C3681E">
        <w:t xml:space="preserve"> The </w:t>
      </w:r>
      <w:r w:rsidR="00805A6E" w:rsidRPr="00C3681E">
        <w:rPr>
          <w:i/>
        </w:rPr>
        <w:t>e</w:t>
      </w:r>
      <w:r w:rsidR="00EB74CA" w:rsidRPr="00C3681E">
        <w:rPr>
          <w:i/>
        </w:rPr>
        <w:t>xternal corrosion</w:t>
      </w:r>
      <w:r w:rsidR="00805A6E" w:rsidRPr="00C3681E">
        <w:t xml:space="preserve"> </w:t>
      </w:r>
      <w:r w:rsidR="00A92F98" w:rsidRPr="00C3681E">
        <w:t>is</w:t>
      </w:r>
      <w:r w:rsidR="00805A6E" w:rsidRPr="00C3681E">
        <w:t xml:space="preserve"> </w:t>
      </w:r>
      <w:r w:rsidR="00805A6E" w:rsidRPr="00C3681E">
        <w:lastRenderedPageBreak/>
        <w:t xml:space="preserve">due to </w:t>
      </w:r>
      <w:r w:rsidR="00EB74CA" w:rsidRPr="00C3681E">
        <w:t>bad water drainage, stagnation around the base, infiltration of groundwater, chlorinated compounds in foundations, poor coatings</w:t>
      </w:r>
      <w:r w:rsidR="00805A6E" w:rsidRPr="00C3681E">
        <w:t xml:space="preserve"> and</w:t>
      </w:r>
      <w:r w:rsidR="00EB74CA" w:rsidRPr="00C3681E">
        <w:t xml:space="preserve"> stray currents</w:t>
      </w:r>
      <w:r w:rsidR="00805A6E" w:rsidRPr="00C3681E">
        <w:t>.</w:t>
      </w:r>
      <w:r w:rsidR="00266E33" w:rsidRPr="00C3681E">
        <w:t xml:space="preserve"> According to Wood et al. (2013), about 15% of corrosion related accidents in refineries involves storage tanks.</w:t>
      </w:r>
      <w:r w:rsidR="00E24FAA">
        <w:t xml:space="preserve"> </w:t>
      </w:r>
      <w:r w:rsidR="007F3EC1" w:rsidRPr="00C3681E">
        <w:t>Integrity measurements of the bottom</w:t>
      </w:r>
      <w:r w:rsidR="007701C6" w:rsidRPr="00C3681E">
        <w:t xml:space="preserve"> of atmospheric storage tanks</w:t>
      </w:r>
      <w:r w:rsidR="007F3EC1" w:rsidRPr="00C3681E">
        <w:t xml:space="preserve"> can only be performed when the tank is empty. Acoustic emissions, already tested in research projects (</w:t>
      </w:r>
      <w:proofErr w:type="spellStart"/>
      <w:r w:rsidR="0052021D" w:rsidRPr="00C3681E">
        <w:t>Demichela</w:t>
      </w:r>
      <w:proofErr w:type="spellEnd"/>
      <w:r w:rsidR="0052021D" w:rsidRPr="00C3681E">
        <w:t>, et al., 2019</w:t>
      </w:r>
      <w:r w:rsidR="007F3EC1" w:rsidRPr="00C3681E">
        <w:t xml:space="preserve">), could be useful for checking the presence of ongoing degradation </w:t>
      </w:r>
      <w:r w:rsidR="007701C6" w:rsidRPr="00C3681E">
        <w:t>in</w:t>
      </w:r>
      <w:r w:rsidR="007F3EC1" w:rsidRPr="00C3681E">
        <w:t xml:space="preserve"> </w:t>
      </w:r>
      <w:r w:rsidR="00266E33" w:rsidRPr="00C3681E">
        <w:t>operating</w:t>
      </w:r>
      <w:r w:rsidR="007F3EC1" w:rsidRPr="00C3681E">
        <w:t xml:space="preserve"> tanks, but they are absolutely complementary to direct thickness measurements. During planned shutdowns, the entire bottom</w:t>
      </w:r>
      <w:r w:rsidR="00266E33" w:rsidRPr="00C3681E">
        <w:t xml:space="preserve"> is carefully examined. </w:t>
      </w:r>
      <w:r w:rsidR="00EB18F9" w:rsidRPr="00C3681E">
        <w:t>Currently, t</w:t>
      </w:r>
      <w:r w:rsidR="00266E33" w:rsidRPr="00C3681E">
        <w:t>he best available technique</w:t>
      </w:r>
      <w:r w:rsidR="007F3EC1" w:rsidRPr="00C3681E">
        <w:t xml:space="preserve"> </w:t>
      </w:r>
      <w:r w:rsidR="00EB18F9" w:rsidRPr="00C3681E">
        <w:t xml:space="preserve">is the </w:t>
      </w:r>
      <w:r w:rsidR="00266E33" w:rsidRPr="00C3681E">
        <w:t>floor</w:t>
      </w:r>
      <w:r w:rsidR="0092614F" w:rsidRPr="00C3681E">
        <w:t>-</w:t>
      </w:r>
      <w:r w:rsidR="00266E33" w:rsidRPr="00C3681E">
        <w:t>scan</w:t>
      </w:r>
      <w:r w:rsidR="0092614F" w:rsidRPr="00C3681E">
        <w:t>ner</w:t>
      </w:r>
      <w:r w:rsidR="00266E33" w:rsidRPr="00C3681E">
        <w:t xml:space="preserve">, an apparatus </w:t>
      </w:r>
      <w:r w:rsidR="0092614F" w:rsidRPr="00C3681E">
        <w:t>detecting</w:t>
      </w:r>
      <w:r w:rsidR="00266E33" w:rsidRPr="00C3681E">
        <w:t xml:space="preserve"> </w:t>
      </w:r>
      <w:r w:rsidR="00363FE3" w:rsidRPr="00C3681E">
        <w:t xml:space="preserve">the </w:t>
      </w:r>
      <w:r w:rsidR="00266E33" w:rsidRPr="00C3681E">
        <w:t>magnetic flux</w:t>
      </w:r>
      <w:r w:rsidR="0092614F" w:rsidRPr="00C3681E">
        <w:t xml:space="preserve"> leakage</w:t>
      </w:r>
      <w:r w:rsidR="00363FE3" w:rsidRPr="00C3681E">
        <w:t xml:space="preserve"> (MFL)</w:t>
      </w:r>
      <w:r w:rsidR="00266E33" w:rsidRPr="00C3681E">
        <w:t>. It</w:t>
      </w:r>
      <w:r w:rsidR="007F3EC1" w:rsidRPr="00C3681E">
        <w:t xml:space="preserve"> </w:t>
      </w:r>
      <w:r w:rsidR="00266E33" w:rsidRPr="00C3681E">
        <w:t>is able to</w:t>
      </w:r>
      <w:r w:rsidR="007F3EC1" w:rsidRPr="00C3681E">
        <w:t xml:space="preserve"> detect cracks </w:t>
      </w:r>
      <w:r w:rsidR="00266E33" w:rsidRPr="00C3681E">
        <w:t xml:space="preserve">and metal losses </w:t>
      </w:r>
      <w:r w:rsidR="007F3EC1" w:rsidRPr="00C3681E">
        <w:t xml:space="preserve">with </w:t>
      </w:r>
      <w:r w:rsidR="00266E33" w:rsidRPr="00C3681E">
        <w:t>adequate accuracy</w:t>
      </w:r>
      <w:r w:rsidR="007F3EC1" w:rsidRPr="00C3681E">
        <w:t xml:space="preserve">. </w:t>
      </w:r>
      <w:r w:rsidR="00141434" w:rsidRPr="00C3681E">
        <w:t xml:space="preserve">Spot </w:t>
      </w:r>
      <w:r w:rsidR="00B845F5" w:rsidRPr="00C3681E">
        <w:t xml:space="preserve">ultrasonic thickness measurements (UTM) </w:t>
      </w:r>
      <w:r w:rsidR="00141434" w:rsidRPr="00C3681E">
        <w:t>are still very</w:t>
      </w:r>
      <w:r w:rsidR="00B530E0" w:rsidRPr="00C3681E">
        <w:t xml:space="preserve"> important, as these usually integrate </w:t>
      </w:r>
      <w:r w:rsidR="00363FE3" w:rsidRPr="00C3681E">
        <w:t>MFL</w:t>
      </w:r>
      <w:r w:rsidR="003017D0" w:rsidRPr="00C3681E">
        <w:t xml:space="preserve"> detections in</w:t>
      </w:r>
      <w:r w:rsidR="00141434" w:rsidRPr="00C3681E">
        <w:t xml:space="preserve"> points</w:t>
      </w:r>
      <w:r w:rsidR="003017D0" w:rsidRPr="00C3681E">
        <w:t xml:space="preserve"> difficult to be analysed</w:t>
      </w:r>
      <w:r w:rsidR="00B530E0" w:rsidRPr="00C3681E">
        <w:t>;</w:t>
      </w:r>
      <w:r w:rsidR="00141434" w:rsidRPr="00C3681E">
        <w:t xml:space="preserve"> in addition, UT</w:t>
      </w:r>
      <w:r w:rsidR="00B845F5" w:rsidRPr="00C3681E">
        <w:t>M</w:t>
      </w:r>
      <w:r w:rsidR="00141434" w:rsidRPr="00C3681E">
        <w:t xml:space="preserve"> widespread measurements are still the best solution </w:t>
      </w:r>
      <w:r w:rsidR="003E35A5" w:rsidRPr="00C3681E">
        <w:t xml:space="preserve">where </w:t>
      </w:r>
      <w:r w:rsidR="00363FE3" w:rsidRPr="00C3681E">
        <w:t>MFL</w:t>
      </w:r>
      <w:r w:rsidR="00141434" w:rsidRPr="00C3681E">
        <w:t xml:space="preserve"> cannot enter into the tank. The indirect costs of a complete bottom screening are independent on the techniques and, anyway, they are very high, as the tank must be put out of service for a long time, </w:t>
      </w:r>
      <w:r w:rsidR="003E35A5" w:rsidRPr="00C3681E">
        <w:t>emptied and washed; then</w:t>
      </w:r>
      <w:r w:rsidR="00141434" w:rsidRPr="00C3681E">
        <w:t xml:space="preserve"> workers, </w:t>
      </w:r>
      <w:r w:rsidR="003E35A5" w:rsidRPr="00C3681E">
        <w:t>i</w:t>
      </w:r>
      <w:r w:rsidR="00141434" w:rsidRPr="00C3681E">
        <w:t>ncluding inspectors, have to stay for a long time in a highly hazardous environment. Thus</w:t>
      </w:r>
      <w:r w:rsidR="00F16987" w:rsidRPr="00C3681E">
        <w:t xml:space="preserve">, </w:t>
      </w:r>
      <w:r w:rsidR="00EE5B4B" w:rsidRPr="00C3681E">
        <w:t xml:space="preserve">the typical </w:t>
      </w:r>
      <w:r w:rsidR="00F16987" w:rsidRPr="00C3681E">
        <w:t>inspection interval</w:t>
      </w:r>
      <w:r w:rsidR="00EE5B4B" w:rsidRPr="00C3681E">
        <w:t xml:space="preserve"> i</w:t>
      </w:r>
      <w:r w:rsidR="00F16987" w:rsidRPr="00C3681E">
        <w:t xml:space="preserve">s </w:t>
      </w:r>
      <w:r w:rsidR="00EE5B4B" w:rsidRPr="00C3681E">
        <w:t xml:space="preserve">10 years but extension </w:t>
      </w:r>
      <w:r w:rsidR="00F16987" w:rsidRPr="00C3681E">
        <w:t>up to 20 years are accepted in the current practice</w:t>
      </w:r>
      <w:r w:rsidR="003E35A5" w:rsidRPr="00C3681E">
        <w:t xml:space="preserve"> in Europe and US</w:t>
      </w:r>
      <w:r w:rsidR="00F16987" w:rsidRPr="00C3681E">
        <w:t xml:space="preserve">. </w:t>
      </w:r>
      <w:r w:rsidR="00A92F98" w:rsidRPr="00C3681E">
        <w:t>T</w:t>
      </w:r>
      <w:r w:rsidR="007F3EC1" w:rsidRPr="00C3681E">
        <w:t>he</w:t>
      </w:r>
      <w:r w:rsidR="00F16987" w:rsidRPr="00C3681E">
        <w:t xml:space="preserve">se can be reduced </w:t>
      </w:r>
      <w:r w:rsidR="006815F8" w:rsidRPr="00C3681E">
        <w:t>in order to</w:t>
      </w:r>
      <w:r w:rsidR="007F3EC1" w:rsidRPr="00C3681E">
        <w:t xml:space="preserve"> ensure that the average time</w:t>
      </w:r>
      <w:r w:rsidR="006815F8" w:rsidRPr="00C3681E">
        <w:t>,</w:t>
      </w:r>
      <w:r w:rsidR="007F3EC1" w:rsidRPr="00C3681E">
        <w:t xml:space="preserve"> before unacceptable conditions are reached (with reference to the minimum thickness)</w:t>
      </w:r>
      <w:r w:rsidR="006815F8" w:rsidRPr="00C3681E">
        <w:t>,</w:t>
      </w:r>
      <w:r w:rsidR="007F3EC1" w:rsidRPr="00C3681E">
        <w:t xml:space="preserve"> is much less than the time to the next inspection.</w:t>
      </w:r>
      <w:r w:rsidR="00F16987" w:rsidRPr="00C3681E">
        <w:t xml:space="preserve"> </w:t>
      </w:r>
      <w:r w:rsidR="002A2D56" w:rsidRPr="00C3681E">
        <w:t>Based on common practices (EEMUA, 2014; API), t</w:t>
      </w:r>
      <w:r w:rsidR="00AA09B9" w:rsidRPr="00C3681E">
        <w:t xml:space="preserve">he corrosion rate </w:t>
      </w:r>
      <w:r w:rsidR="006815F8" w:rsidRPr="00C3681E">
        <w:t>is</w:t>
      </w:r>
      <w:r w:rsidR="00AA09B9" w:rsidRPr="00C3681E">
        <w:t xml:space="preserve"> estimated as </w:t>
      </w:r>
      <w:r w:rsidR="006815F8" w:rsidRPr="00C3681E">
        <w:t xml:space="preserve">the </w:t>
      </w:r>
      <w:r w:rsidR="00AA09B9" w:rsidRPr="00C3681E">
        <w:t xml:space="preserve">ratio between the </w:t>
      </w:r>
      <w:r w:rsidR="002A2D56" w:rsidRPr="00C3681E">
        <w:t xml:space="preserve">thickness </w:t>
      </w:r>
      <w:r w:rsidR="00AA09B9" w:rsidRPr="00C3681E">
        <w:t xml:space="preserve">decrease </w:t>
      </w:r>
      <w:r w:rsidR="006815F8" w:rsidRPr="00C3681E">
        <w:t xml:space="preserve">and </w:t>
      </w:r>
      <w:r w:rsidR="00B530E0" w:rsidRPr="00C3681E">
        <w:t>the interval of detection</w:t>
      </w:r>
      <w:r w:rsidR="00BB1805" w:rsidRPr="00C3681E">
        <w:t xml:space="preserve"> and </w:t>
      </w:r>
      <w:r w:rsidR="00AA09B9" w:rsidRPr="00C3681E">
        <w:t xml:space="preserve">is used to forecast the </w:t>
      </w:r>
      <w:r w:rsidR="00AA09B9" w:rsidRPr="00C3681E">
        <w:rPr>
          <w:rFonts w:ascii="Times New Roman" w:hAnsi="Times New Roman"/>
          <w:i/>
        </w:rPr>
        <w:t>RUL</w:t>
      </w:r>
      <w:r w:rsidR="00AA09B9" w:rsidRPr="00C3681E">
        <w:t xml:space="preserve"> and to plan appropriate maintenance aimed at the prevention of leakages. Unfortunately, discrete thickness measurements cannot determine the maximum depth of the corrosion at the bottom floors, where usually materials exhibit localised corrosion in the form of pits. </w:t>
      </w:r>
      <w:r w:rsidR="00F16987" w:rsidRPr="00C3681E">
        <w:t>For this</w:t>
      </w:r>
      <w:r w:rsidR="00E029B6" w:rsidRPr="00C3681E">
        <w:t xml:space="preserve"> reason</w:t>
      </w:r>
      <w:r w:rsidR="00AA09B9" w:rsidRPr="00C3681E">
        <w:t xml:space="preserve">, it is important a stochastic modelling of the </w:t>
      </w:r>
      <w:r w:rsidR="00E029B6" w:rsidRPr="00C3681E">
        <w:t>phenomenon,</w:t>
      </w:r>
      <w:r w:rsidR="00AA09B9" w:rsidRPr="00C3681E">
        <w:t xml:space="preserve"> in order to assess the risk of perforati</w:t>
      </w:r>
      <w:r w:rsidR="009B1949" w:rsidRPr="00C3681E">
        <w:t xml:space="preserve">on of the storage tank. To this scope </w:t>
      </w:r>
      <w:r w:rsidR="00AA09B9" w:rsidRPr="00C3681E">
        <w:t>the</w:t>
      </w:r>
      <w:r w:rsidR="009B1949" w:rsidRPr="00C3681E">
        <w:t xml:space="preserve"> use of</w:t>
      </w:r>
      <w:r w:rsidR="00AA09B9" w:rsidRPr="00C3681E">
        <w:t xml:space="preserve"> extreme value theory is frequent (Velázquez et al., 2009</w:t>
      </w:r>
      <w:r w:rsidR="00F16987" w:rsidRPr="00C3681E">
        <w:t>)</w:t>
      </w:r>
      <w:r w:rsidR="00415A14" w:rsidRPr="00C3681E">
        <w:t>.</w:t>
      </w:r>
      <w:r w:rsidR="00AA09B9" w:rsidRPr="00C3681E">
        <w:t xml:space="preserve"> The literature shows several </w:t>
      </w:r>
      <w:r w:rsidR="009B1949" w:rsidRPr="00C3681E">
        <w:t>applications of</w:t>
      </w:r>
      <w:r w:rsidR="00AA09B9" w:rsidRPr="00C3681E">
        <w:t xml:space="preserve"> statistical approach</w:t>
      </w:r>
      <w:r w:rsidR="009B1949" w:rsidRPr="00C3681E">
        <w:t>es</w:t>
      </w:r>
      <w:r w:rsidR="00AA09B9" w:rsidRPr="00C3681E">
        <w:t xml:space="preserve"> based on the extreme value analysis</w:t>
      </w:r>
      <w:r w:rsidR="00F16987" w:rsidRPr="00C3681E">
        <w:t xml:space="preserve">: Joshi (1994) </w:t>
      </w:r>
      <w:r w:rsidR="00AA09B9" w:rsidRPr="00C3681E">
        <w:t>characterise</w:t>
      </w:r>
      <w:r w:rsidR="00F16987" w:rsidRPr="00C3681E">
        <w:t>d</w:t>
      </w:r>
      <w:r w:rsidR="00AA09B9" w:rsidRPr="00C3681E">
        <w:t xml:space="preserve"> corrosion data obtained from ultrasonic testing of the floor plates of aboveground crude oil storage tanks</w:t>
      </w:r>
      <w:r w:rsidR="00F16987" w:rsidRPr="00C3681E">
        <w:t>; Shibata (1991) determined</w:t>
      </w:r>
      <w:r w:rsidR="00AA09B9" w:rsidRPr="00C3681E">
        <w:t xml:space="preserve"> t</w:t>
      </w:r>
      <w:r w:rsidR="009B1949" w:rsidRPr="00C3681E">
        <w:t xml:space="preserve">he optimum return period and </w:t>
      </w:r>
      <w:r w:rsidR="00AA09B9" w:rsidRPr="00C3681E">
        <w:t>predict</w:t>
      </w:r>
      <w:r w:rsidR="009B1949" w:rsidRPr="00C3681E">
        <w:t>ed</w:t>
      </w:r>
      <w:r w:rsidR="00AA09B9" w:rsidRPr="00C3681E">
        <w:t xml:space="preserve"> the maximum corrosion from a Gumbel plot</w:t>
      </w:r>
      <w:r w:rsidR="00F16987" w:rsidRPr="00C3681E">
        <w:t xml:space="preserve">; </w:t>
      </w:r>
      <w:r w:rsidR="00AA09B9" w:rsidRPr="00C3681E">
        <w:t>Kasai et al. (2016) combine</w:t>
      </w:r>
      <w:r w:rsidR="00F16987" w:rsidRPr="00C3681E">
        <w:t>d</w:t>
      </w:r>
      <w:r w:rsidR="00AA09B9" w:rsidRPr="00C3681E">
        <w:t xml:space="preserve"> the extreme value analysis and </w:t>
      </w:r>
      <w:r w:rsidR="00281430" w:rsidRPr="00C3681E">
        <w:t xml:space="preserve">the </w:t>
      </w:r>
      <w:r w:rsidR="00AA09B9" w:rsidRPr="00C3681E">
        <w:t>Bayesian inference for the prediction of the maximum depth of corrosion.</w:t>
      </w:r>
      <w:r w:rsidR="00E24FAA">
        <w:t xml:space="preserve"> </w:t>
      </w:r>
      <w:r w:rsidR="003017D0" w:rsidRPr="00C3681E">
        <w:t xml:space="preserve">A probabilistic approach with the use of a stochastic modelling of the phenomenon </w:t>
      </w:r>
      <w:r w:rsidR="00BB1805" w:rsidRPr="00C3681E">
        <w:t>could be</w:t>
      </w:r>
      <w:r w:rsidR="00CB335C" w:rsidRPr="00C3681E">
        <w:t xml:space="preserve"> useful for a</w:t>
      </w:r>
      <w:r w:rsidR="00281430" w:rsidRPr="00C3681E">
        <w:t xml:space="preserve"> more rigorously understand</w:t>
      </w:r>
      <w:r w:rsidR="00CB335C" w:rsidRPr="00C3681E">
        <w:t>ing of</w:t>
      </w:r>
      <w:r w:rsidR="00281430" w:rsidRPr="00C3681E">
        <w:t xml:space="preserve"> the reasonableness of the approaches adopted by </w:t>
      </w:r>
      <w:r w:rsidR="00CB335C" w:rsidRPr="00C3681E">
        <w:t xml:space="preserve">the </w:t>
      </w:r>
      <w:r w:rsidR="00281430" w:rsidRPr="00C3681E">
        <w:t>common practices, especially when these can be integrated</w:t>
      </w:r>
      <w:r w:rsidR="00CB335C" w:rsidRPr="00C3681E">
        <w:t xml:space="preserve"> </w:t>
      </w:r>
      <w:r w:rsidR="00281430" w:rsidRPr="00C3681E">
        <w:t>with a few punctual thickness measurements</w:t>
      </w:r>
      <w:r w:rsidR="004C7550" w:rsidRPr="00C3681E">
        <w:t xml:space="preserve">. It is even better </w:t>
      </w:r>
      <w:r w:rsidR="00CB335C" w:rsidRPr="00C3681E">
        <w:t>if</w:t>
      </w:r>
      <w:r w:rsidR="004C7550" w:rsidRPr="00C3681E">
        <w:t xml:space="preserve"> the integration of partial or indirect measurements is possible during </w:t>
      </w:r>
      <w:r w:rsidR="00BB1805" w:rsidRPr="00C3681E">
        <w:t xml:space="preserve">the normal </w:t>
      </w:r>
      <w:r w:rsidR="00342B86" w:rsidRPr="00C3681E">
        <w:t>equipment</w:t>
      </w:r>
      <w:r w:rsidR="00BB1805" w:rsidRPr="00C3681E">
        <w:t xml:space="preserve"> operations</w:t>
      </w:r>
      <w:r w:rsidR="004C7550" w:rsidRPr="00C3681E">
        <w:t xml:space="preserve">, by means of </w:t>
      </w:r>
      <w:r w:rsidR="00342B86" w:rsidRPr="00C3681E">
        <w:t xml:space="preserve">a network of </w:t>
      </w:r>
      <w:r w:rsidR="004C7550" w:rsidRPr="00C3681E">
        <w:t>acoustic em</w:t>
      </w:r>
      <w:r w:rsidR="00B845F5" w:rsidRPr="00C3681E">
        <w:t>issions (</w:t>
      </w:r>
      <w:r w:rsidR="004C7550" w:rsidRPr="00C3681E">
        <w:t>A</w:t>
      </w:r>
      <w:r w:rsidR="00B845F5" w:rsidRPr="00C3681E">
        <w:t>E</w:t>
      </w:r>
      <w:r w:rsidR="004C7550" w:rsidRPr="00C3681E">
        <w:t xml:space="preserve">) </w:t>
      </w:r>
      <w:r w:rsidR="00342B86" w:rsidRPr="00C3681E">
        <w:t>sensors</w:t>
      </w:r>
      <w:r w:rsidR="00281430" w:rsidRPr="00C3681E">
        <w:t>.</w:t>
      </w:r>
      <w:r w:rsidR="00342B86" w:rsidRPr="00C3681E">
        <w:t xml:space="preserve"> </w:t>
      </w:r>
      <w:r w:rsidR="0052021D" w:rsidRPr="00C3681E">
        <w:t>The aim of this work is</w:t>
      </w:r>
      <w:r w:rsidR="001F7C4F" w:rsidRPr="00C3681E">
        <w:t xml:space="preserve"> to </w:t>
      </w:r>
      <w:r w:rsidR="00F50C5F" w:rsidRPr="00C3681E">
        <w:t xml:space="preserve">estimate </w:t>
      </w:r>
      <w:r w:rsidR="001F7C4F" w:rsidRPr="00C3681E">
        <w:t xml:space="preserve">the degradation </w:t>
      </w:r>
      <w:r w:rsidR="000F5B0F" w:rsidRPr="00C3681E">
        <w:t>rate of</w:t>
      </w:r>
      <w:r w:rsidR="001F7C4F" w:rsidRPr="00C3681E">
        <w:t xml:space="preserve"> atmospheric tanks and </w:t>
      </w:r>
      <w:r w:rsidR="00A96509" w:rsidRPr="00C3681E">
        <w:t>the</w:t>
      </w:r>
      <w:r w:rsidR="00BB1805" w:rsidRPr="00C3681E">
        <w:t>ir</w:t>
      </w:r>
      <w:r w:rsidR="00A96509" w:rsidRPr="00C3681E">
        <w:t xml:space="preserve"> residual useful lifetime</w:t>
      </w:r>
      <w:r w:rsidR="001F7C4F" w:rsidRPr="00C3681E">
        <w:t xml:space="preserve">, </w:t>
      </w:r>
      <w:r w:rsidR="00BB1805" w:rsidRPr="00C3681E">
        <w:t>by means of an analysis of</w:t>
      </w:r>
      <w:r w:rsidR="00F50C5F" w:rsidRPr="00C3681E">
        <w:t xml:space="preserve"> the</w:t>
      </w:r>
      <w:r w:rsidR="001F7C4F" w:rsidRPr="00C3681E">
        <w:t xml:space="preserve"> stochastic ageing behaviour of the bottom floors</w:t>
      </w:r>
      <w:r w:rsidR="00011582" w:rsidRPr="00C3681E">
        <w:t xml:space="preserve"> obtained by</w:t>
      </w:r>
      <w:r w:rsidR="00BB1805" w:rsidRPr="00C3681E">
        <w:t xml:space="preserve"> collecting</w:t>
      </w:r>
      <w:r w:rsidR="00011582" w:rsidRPr="00C3681E">
        <w:t xml:space="preserve"> UT</w:t>
      </w:r>
      <w:r w:rsidR="00B845F5" w:rsidRPr="00C3681E">
        <w:t>M</w:t>
      </w:r>
      <w:r w:rsidR="0052021D" w:rsidRPr="00C3681E">
        <w:t>.</w:t>
      </w:r>
      <w:r w:rsidR="00011582" w:rsidRPr="00C3681E">
        <w:t xml:space="preserve"> </w:t>
      </w:r>
      <w:r w:rsidR="0052021D" w:rsidRPr="00C3681E">
        <w:t>The paper is structured as follows: Section 2</w:t>
      </w:r>
      <w:r w:rsidR="00011582" w:rsidRPr="00C3681E">
        <w:t xml:space="preserve"> </w:t>
      </w:r>
      <w:r w:rsidR="00BB1805" w:rsidRPr="00C3681E">
        <w:t>describes</w:t>
      </w:r>
      <w:r w:rsidR="00011582" w:rsidRPr="00C3681E">
        <w:t xml:space="preserve"> both the traditional and proposed methodology for the degradation modelling</w:t>
      </w:r>
      <w:r w:rsidR="00BB1805" w:rsidRPr="00C3681E">
        <w:t xml:space="preserve"> and the estimation of the </w:t>
      </w:r>
      <w:r w:rsidR="00BB1805" w:rsidRPr="00C3681E">
        <w:rPr>
          <w:rFonts w:ascii="Times New Roman" w:hAnsi="Times New Roman"/>
          <w:i/>
        </w:rPr>
        <w:t>RUL</w:t>
      </w:r>
      <w:r w:rsidR="00011582" w:rsidRPr="00C3681E">
        <w:t xml:space="preserve">; Section </w:t>
      </w:r>
      <w:r w:rsidR="00BB1805" w:rsidRPr="00C3681E">
        <w:t>3 presents</w:t>
      </w:r>
      <w:r w:rsidR="00011582" w:rsidRPr="00C3681E">
        <w:t xml:space="preserve"> the case-study; Section4 provides some results and discussion; finally, Section 5 gives </w:t>
      </w:r>
      <w:r w:rsidR="00BB1805" w:rsidRPr="00C3681E">
        <w:t>the conclusion of the work</w:t>
      </w:r>
      <w:r w:rsidR="00B3665F" w:rsidRPr="00C3681E">
        <w:t>.</w:t>
      </w:r>
    </w:p>
    <w:p w14:paraId="53B89CC1" w14:textId="77777777" w:rsidR="00CE53A9" w:rsidRPr="00C3681E" w:rsidRDefault="009B1F29" w:rsidP="009B1F29">
      <w:pPr>
        <w:pStyle w:val="CETHeading1"/>
        <w:tabs>
          <w:tab w:val="num" w:pos="360"/>
        </w:tabs>
        <w:rPr>
          <w:lang w:val="en-GB"/>
        </w:rPr>
      </w:pPr>
      <w:r w:rsidRPr="00C3681E">
        <w:rPr>
          <w:lang w:val="en-GB"/>
        </w:rPr>
        <w:t>Methodology</w:t>
      </w:r>
    </w:p>
    <w:p w14:paraId="6C62788B" w14:textId="77777777" w:rsidR="00BC54D0" w:rsidRPr="00C3681E" w:rsidRDefault="00BC54D0" w:rsidP="00BC54D0">
      <w:pPr>
        <w:pStyle w:val="CETheadingx"/>
        <w:rPr>
          <w:lang w:val="en-GB"/>
        </w:rPr>
      </w:pPr>
      <w:r w:rsidRPr="00C3681E">
        <w:rPr>
          <w:lang w:val="en-GB"/>
        </w:rPr>
        <w:t>Common practices</w:t>
      </w:r>
    </w:p>
    <w:p w14:paraId="18B763EF" w14:textId="655F261B" w:rsidR="008165A8" w:rsidRPr="00C3681E" w:rsidRDefault="00C92792" w:rsidP="000F5B0F">
      <w:pPr>
        <w:pStyle w:val="CETBodytext"/>
        <w:rPr>
          <w:lang w:val="en-GB"/>
        </w:rPr>
      </w:pPr>
      <w:r w:rsidRPr="00C3681E">
        <w:rPr>
          <w:lang w:val="en-GB"/>
        </w:rPr>
        <w:t>The ti</w:t>
      </w:r>
      <w:r w:rsidR="000F5B0F" w:rsidRPr="00C3681E">
        <w:rPr>
          <w:lang w:val="en-GB"/>
        </w:rPr>
        <w:t>me between two inspections of</w:t>
      </w:r>
      <w:r w:rsidRPr="00C3681E">
        <w:rPr>
          <w:lang w:val="en-GB"/>
        </w:rPr>
        <w:t xml:space="preserve"> atmospheric tank</w:t>
      </w:r>
      <w:r w:rsidR="000F5B0F" w:rsidRPr="00C3681E">
        <w:rPr>
          <w:lang w:val="en-GB"/>
        </w:rPr>
        <w:t>s</w:t>
      </w:r>
      <w:r w:rsidRPr="00C3681E">
        <w:rPr>
          <w:lang w:val="en-GB"/>
        </w:rPr>
        <w:t xml:space="preserve"> cannot be short, as each inspection requires to completely empty and clean </w:t>
      </w:r>
      <w:r w:rsidR="000F5B0F" w:rsidRPr="00C3681E">
        <w:rPr>
          <w:lang w:val="en-GB"/>
        </w:rPr>
        <w:t>them</w:t>
      </w:r>
      <w:r w:rsidR="00A652BD" w:rsidRPr="00C3681E">
        <w:rPr>
          <w:lang w:val="en-GB"/>
        </w:rPr>
        <w:t>, causing</w:t>
      </w:r>
      <w:r w:rsidRPr="00C3681E">
        <w:rPr>
          <w:lang w:val="en-GB"/>
        </w:rPr>
        <w:t xml:space="preserve"> economic implication</w:t>
      </w:r>
      <w:r w:rsidR="00A652BD" w:rsidRPr="00C3681E">
        <w:rPr>
          <w:lang w:val="en-GB"/>
        </w:rPr>
        <w:t>s due to the</w:t>
      </w:r>
      <w:r w:rsidRPr="00C3681E">
        <w:rPr>
          <w:lang w:val="en-GB"/>
        </w:rPr>
        <w:t xml:space="preserve"> </w:t>
      </w:r>
      <w:r w:rsidR="000F5B0F" w:rsidRPr="00C3681E">
        <w:rPr>
          <w:lang w:val="en-GB"/>
        </w:rPr>
        <w:t>equipment</w:t>
      </w:r>
      <w:r w:rsidRPr="00C3681E">
        <w:rPr>
          <w:lang w:val="en-GB"/>
        </w:rPr>
        <w:t xml:space="preserve"> </w:t>
      </w:r>
      <w:r w:rsidR="00A652BD" w:rsidRPr="00C3681E">
        <w:rPr>
          <w:lang w:val="en-GB"/>
        </w:rPr>
        <w:t>un</w:t>
      </w:r>
      <w:r w:rsidR="00BB1805" w:rsidRPr="00C3681E">
        <w:rPr>
          <w:lang w:val="en-GB"/>
        </w:rPr>
        <w:t xml:space="preserve">availability, as well as </w:t>
      </w:r>
      <w:r w:rsidR="00A652BD" w:rsidRPr="00C3681E">
        <w:rPr>
          <w:lang w:val="en-GB"/>
        </w:rPr>
        <w:t xml:space="preserve">impacts on the occupational safety </w:t>
      </w:r>
      <w:r w:rsidRPr="00C3681E">
        <w:rPr>
          <w:lang w:val="en-GB"/>
        </w:rPr>
        <w:t xml:space="preserve">due to </w:t>
      </w:r>
      <w:r w:rsidR="000F5B0F" w:rsidRPr="00C3681E">
        <w:rPr>
          <w:lang w:val="en-GB"/>
        </w:rPr>
        <w:t>need to intervene</w:t>
      </w:r>
      <w:r w:rsidRPr="00C3681E">
        <w:rPr>
          <w:lang w:val="en-GB"/>
        </w:rPr>
        <w:t xml:space="preserve"> in confined and polluted spaces. </w:t>
      </w:r>
      <w:r w:rsidR="000B5E4B" w:rsidRPr="00C3681E">
        <w:rPr>
          <w:lang w:val="en-GB"/>
        </w:rPr>
        <w:t>In the current practices, i</w:t>
      </w:r>
      <w:r w:rsidRPr="00C3681E">
        <w:rPr>
          <w:lang w:val="en-GB"/>
        </w:rPr>
        <w:t xml:space="preserve">nspection intervals up to 20 years are accepted, </w:t>
      </w:r>
      <w:r w:rsidR="00A652BD" w:rsidRPr="00C3681E">
        <w:rPr>
          <w:lang w:val="en-GB"/>
        </w:rPr>
        <w:t>based on very</w:t>
      </w:r>
      <w:r w:rsidRPr="00C3681E">
        <w:rPr>
          <w:lang w:val="en-GB"/>
        </w:rPr>
        <w:t xml:space="preserve"> conservative</w:t>
      </w:r>
      <w:r w:rsidR="00A652BD" w:rsidRPr="00C3681E">
        <w:rPr>
          <w:lang w:val="en-GB"/>
        </w:rPr>
        <w:t xml:space="preserve"> approach</w:t>
      </w:r>
      <w:r w:rsidRPr="00C3681E">
        <w:rPr>
          <w:lang w:val="en-GB"/>
        </w:rPr>
        <w:t>. According to EEMUA (2014)</w:t>
      </w:r>
      <w:r w:rsidR="008165A8" w:rsidRPr="00C3681E">
        <w:rPr>
          <w:lang w:val="en-GB"/>
        </w:rPr>
        <w:t>,</w:t>
      </w:r>
      <w:r w:rsidRPr="00C3681E">
        <w:rPr>
          <w:lang w:val="en-GB"/>
        </w:rPr>
        <w:t xml:space="preserve"> the </w:t>
      </w:r>
      <w:r w:rsidRPr="00C3681E">
        <w:rPr>
          <w:rFonts w:ascii="Times New Roman" w:hAnsi="Times New Roman"/>
          <w:i/>
          <w:lang w:val="en-GB"/>
        </w:rPr>
        <w:t>RUL</w:t>
      </w:r>
      <w:r w:rsidRPr="00C3681E">
        <w:rPr>
          <w:lang w:val="en-GB"/>
        </w:rPr>
        <w:t xml:space="preserve"> </w:t>
      </w:r>
      <w:r w:rsidR="008041DD" w:rsidRPr="00C3681E">
        <w:rPr>
          <w:lang w:val="en-GB"/>
        </w:rPr>
        <w:t>for</w:t>
      </w:r>
      <w:r w:rsidRPr="00C3681E">
        <w:rPr>
          <w:lang w:val="en-GB"/>
        </w:rPr>
        <w:t xml:space="preserve"> tank</w:t>
      </w:r>
      <w:r w:rsidR="008165A8" w:rsidRPr="00C3681E">
        <w:rPr>
          <w:lang w:val="en-GB"/>
        </w:rPr>
        <w:t>s</w:t>
      </w:r>
      <w:r w:rsidR="008041DD" w:rsidRPr="00C3681E">
        <w:rPr>
          <w:lang w:val="en-GB"/>
        </w:rPr>
        <w:t xml:space="preserve"> </w:t>
      </w:r>
      <w:r w:rsidR="00A652BD" w:rsidRPr="00C3681E">
        <w:rPr>
          <w:lang w:val="en-GB"/>
        </w:rPr>
        <w:t xml:space="preserve">is correlated to </w:t>
      </w:r>
      <w:r w:rsidR="008041DD" w:rsidRPr="00C3681E">
        <w:rPr>
          <w:lang w:val="en-GB"/>
        </w:rPr>
        <w:t xml:space="preserve">the time for next inspection </w:t>
      </w:r>
      <w:r w:rsidR="009357BF" w:rsidRPr="00C3681E">
        <w:rPr>
          <w:lang w:val="en-GB"/>
        </w:rPr>
        <w:t>(</w:t>
      </w:r>
      <w:r w:rsidR="009357BF" w:rsidRPr="00C3681E">
        <w:rPr>
          <w:rFonts w:ascii="Times New Roman" w:hAnsi="Times New Roman"/>
          <w:lang w:val="en-GB"/>
        </w:rPr>
        <w:sym w:font="Symbol" w:char="F044"/>
      </w:r>
      <w:r w:rsidR="009357BF" w:rsidRPr="00C3681E">
        <w:rPr>
          <w:rFonts w:ascii="Times New Roman" w:hAnsi="Times New Roman"/>
          <w:i/>
          <w:lang w:val="en-GB"/>
        </w:rPr>
        <w:t>t</w:t>
      </w:r>
      <w:r w:rsidR="009357BF" w:rsidRPr="00C3681E">
        <w:rPr>
          <w:lang w:val="en-GB"/>
        </w:rPr>
        <w:t xml:space="preserve">) </w:t>
      </w:r>
      <w:r w:rsidR="00A652BD" w:rsidRPr="00C3681E">
        <w:rPr>
          <w:lang w:val="en-GB"/>
        </w:rPr>
        <w:t>as in the following</w:t>
      </w:r>
      <w:r w:rsidR="008041DD" w:rsidRPr="00C3681E">
        <w:rPr>
          <w:lang w:val="en-GB"/>
        </w:rPr>
        <w:t>:</w:t>
      </w:r>
    </w:p>
    <w:tbl>
      <w:tblPr>
        <w:tblW w:w="5000" w:type="pct"/>
        <w:tblLook w:val="04A0" w:firstRow="1" w:lastRow="0" w:firstColumn="1" w:lastColumn="0" w:noHBand="0" w:noVBand="1"/>
      </w:tblPr>
      <w:tblGrid>
        <w:gridCol w:w="8180"/>
        <w:gridCol w:w="823"/>
      </w:tblGrid>
      <w:tr w:rsidR="009B4A7D" w:rsidRPr="00C3681E" w14:paraId="74E35F27" w14:textId="77777777" w:rsidTr="009B4A7D">
        <w:tc>
          <w:tcPr>
            <w:tcW w:w="7984" w:type="dxa"/>
            <w:shd w:val="clear" w:color="auto" w:fill="auto"/>
            <w:vAlign w:val="center"/>
          </w:tcPr>
          <w:p w14:paraId="4E818FFB" w14:textId="77777777" w:rsidR="009B4A7D" w:rsidRPr="00C3681E" w:rsidRDefault="00F4116C" w:rsidP="00E24FAA">
            <w:pPr>
              <w:pStyle w:val="CETEquation"/>
              <w:spacing w:before="0" w:after="0"/>
              <w:rPr>
                <w:rFonts w:eastAsiaTheme="minorHAnsi"/>
              </w:rPr>
            </w:pPr>
            <w:r w:rsidRPr="00C3681E">
              <w:rPr>
                <w:rStyle w:val="CETBodytextCarattere"/>
                <w:rFonts w:eastAsiaTheme="minorHAnsi"/>
                <w:lang w:val="en-GB"/>
              </w:rPr>
              <w:object w:dxaOrig="1400" w:dyaOrig="620" w14:anchorId="20F9C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29.2pt" o:ole="">
                  <v:imagedata r:id="rId14" o:title=""/>
                </v:shape>
                <o:OLEObject Type="Embed" ProgID="Equation.DSMT4" ShapeID="_x0000_i1025" DrawAspect="Content" ObjectID="_1660390177" r:id="rId15"/>
              </w:object>
            </w:r>
          </w:p>
        </w:tc>
        <w:tc>
          <w:tcPr>
            <w:tcW w:w="803" w:type="dxa"/>
            <w:shd w:val="clear" w:color="auto" w:fill="auto"/>
            <w:vAlign w:val="center"/>
          </w:tcPr>
          <w:p w14:paraId="5B7D66F3" w14:textId="77777777" w:rsidR="009B4A7D" w:rsidRPr="00C3681E" w:rsidRDefault="009B4A7D" w:rsidP="00E24FAA">
            <w:pPr>
              <w:pStyle w:val="CETEquation"/>
              <w:spacing w:before="0" w:after="0"/>
              <w:jc w:val="right"/>
            </w:pPr>
            <w:r w:rsidRPr="00C3681E">
              <w:t>(1)</w:t>
            </w:r>
          </w:p>
        </w:tc>
      </w:tr>
      <w:tr w:rsidR="00A652BD" w:rsidRPr="00C3681E" w14:paraId="0B5DC979" w14:textId="77777777" w:rsidTr="00DC5251">
        <w:tc>
          <w:tcPr>
            <w:tcW w:w="7984" w:type="dxa"/>
            <w:shd w:val="clear" w:color="auto" w:fill="auto"/>
            <w:vAlign w:val="center"/>
          </w:tcPr>
          <w:p w14:paraId="51C64411" w14:textId="77777777" w:rsidR="00A652BD" w:rsidRPr="00C3681E" w:rsidRDefault="00A652BD" w:rsidP="00E24FAA">
            <w:pPr>
              <w:pStyle w:val="CETEquation"/>
              <w:spacing w:before="0" w:after="0"/>
              <w:rPr>
                <w:rFonts w:eastAsiaTheme="minorHAnsi"/>
              </w:rPr>
            </w:pPr>
            <w:r w:rsidRPr="00C3681E">
              <w:rPr>
                <w:rStyle w:val="CETBodytextCarattere"/>
                <w:rFonts w:eastAsiaTheme="minorHAnsi"/>
                <w:lang w:val="en-GB"/>
              </w:rPr>
              <w:object w:dxaOrig="1320" w:dyaOrig="279" w14:anchorId="293624C4">
                <v:shape id="_x0000_i1026" type="#_x0000_t75" style="width:57.75pt;height:13.6pt" o:ole="">
                  <v:imagedata r:id="rId16" o:title=""/>
                </v:shape>
                <o:OLEObject Type="Embed" ProgID="Equation.DSMT4" ShapeID="_x0000_i1026" DrawAspect="Content" ObjectID="_1660390178" r:id="rId17"/>
              </w:object>
            </w:r>
          </w:p>
        </w:tc>
        <w:tc>
          <w:tcPr>
            <w:tcW w:w="803" w:type="dxa"/>
            <w:shd w:val="clear" w:color="auto" w:fill="auto"/>
            <w:vAlign w:val="center"/>
          </w:tcPr>
          <w:p w14:paraId="3E2E2568" w14:textId="77777777" w:rsidR="00A652BD" w:rsidRPr="00C3681E" w:rsidRDefault="00A652BD" w:rsidP="00E24FAA">
            <w:pPr>
              <w:pStyle w:val="CETEquation"/>
              <w:spacing w:before="0" w:after="0"/>
              <w:jc w:val="right"/>
            </w:pPr>
            <w:r w:rsidRPr="00C3681E">
              <w:t>(2)</w:t>
            </w:r>
          </w:p>
        </w:tc>
      </w:tr>
    </w:tbl>
    <w:p w14:paraId="2806CD66" w14:textId="77777777" w:rsidR="008165A8" w:rsidRPr="00C3681E" w:rsidRDefault="008165A8" w:rsidP="00C92792">
      <w:pPr>
        <w:pStyle w:val="Paragrafoelenco"/>
        <w:ind w:left="0"/>
      </w:pPr>
      <w:r w:rsidRPr="00C3681E">
        <w:t xml:space="preserve">where: </w:t>
      </w:r>
      <w:proofErr w:type="spellStart"/>
      <w:r w:rsidRPr="00C3681E">
        <w:rPr>
          <w:rFonts w:ascii="Times New Roman" w:hAnsi="Times New Roman"/>
          <w:i/>
        </w:rPr>
        <w:t>s</w:t>
      </w:r>
      <w:r w:rsidRPr="00C3681E">
        <w:rPr>
          <w:rFonts w:ascii="Times New Roman" w:hAnsi="Times New Roman"/>
          <w:i/>
          <w:vertAlign w:val="subscript"/>
        </w:rPr>
        <w:t>t</w:t>
      </w:r>
      <w:proofErr w:type="spellEnd"/>
      <w:r w:rsidRPr="00C3681E">
        <w:t xml:space="preserve"> is the thicknesses measured at </w:t>
      </w:r>
      <w:r w:rsidR="00A652BD" w:rsidRPr="00C3681E">
        <w:t xml:space="preserve">the </w:t>
      </w:r>
      <w:r w:rsidRPr="00C3681E">
        <w:t xml:space="preserve">time </w:t>
      </w:r>
      <w:r w:rsidRPr="00C3681E">
        <w:rPr>
          <w:rFonts w:ascii="Times New Roman" w:hAnsi="Times New Roman"/>
          <w:i/>
        </w:rPr>
        <w:t>t</w:t>
      </w:r>
      <w:r w:rsidRPr="00C3681E">
        <w:t xml:space="preserve">; </w:t>
      </w:r>
      <w:proofErr w:type="spellStart"/>
      <w:r w:rsidRPr="00C3681E">
        <w:rPr>
          <w:rFonts w:ascii="Times New Roman" w:hAnsi="Times New Roman"/>
          <w:i/>
        </w:rPr>
        <w:t>s</w:t>
      </w:r>
      <w:r w:rsidRPr="00C3681E">
        <w:rPr>
          <w:rFonts w:ascii="Times New Roman" w:hAnsi="Times New Roman"/>
          <w:i/>
          <w:vertAlign w:val="subscript"/>
        </w:rPr>
        <w:t>a</w:t>
      </w:r>
      <w:proofErr w:type="spellEnd"/>
      <w:r w:rsidRPr="00C3681E">
        <w:t xml:space="preserve"> is </w:t>
      </w:r>
      <w:r w:rsidR="00A652BD" w:rsidRPr="00C3681E">
        <w:t xml:space="preserve">the </w:t>
      </w:r>
      <w:r w:rsidRPr="00C3681E">
        <w:t xml:space="preserve">minimal allowed thickness; </w:t>
      </w:r>
      <w:r w:rsidRPr="00C3681E">
        <w:rPr>
          <w:rFonts w:ascii="Times New Roman" w:hAnsi="Times New Roman"/>
          <w:i/>
        </w:rPr>
        <w:t>r</w:t>
      </w:r>
      <w:r w:rsidRPr="00C3681E">
        <w:t xml:space="preserve"> is the corrosion rate</w:t>
      </w:r>
      <w:r w:rsidR="009357BF" w:rsidRPr="00C3681E">
        <w:t xml:space="preserve">; </w:t>
      </w:r>
      <w:r w:rsidR="009357BF" w:rsidRPr="00C3681E">
        <w:rPr>
          <w:rFonts w:ascii="Times New Roman" w:hAnsi="Times New Roman"/>
          <w:i/>
        </w:rPr>
        <w:t>K</w:t>
      </w:r>
      <w:r w:rsidR="009357BF" w:rsidRPr="00C3681E">
        <w:t xml:space="preserve"> is a confidence rating factor</w:t>
      </w:r>
      <w:r w:rsidRPr="00C3681E">
        <w:t>.</w:t>
      </w:r>
    </w:p>
    <w:p w14:paraId="28027C80" w14:textId="39C6AAF3" w:rsidR="009357BF" w:rsidRPr="00C3681E" w:rsidRDefault="002A622C" w:rsidP="009357BF">
      <w:pPr>
        <w:pStyle w:val="Paragrafoelenco"/>
        <w:ind w:left="0"/>
      </w:pPr>
      <w:r w:rsidRPr="00C3681E">
        <w:t xml:space="preserve">Corrosion is usually assumed to be </w:t>
      </w:r>
      <w:r w:rsidR="00C92792" w:rsidRPr="00C3681E">
        <w:t>a linear process</w:t>
      </w:r>
      <w:r w:rsidR="008041DD" w:rsidRPr="00C3681E">
        <w:t>. This</w:t>
      </w:r>
      <w:r w:rsidR="00C92792" w:rsidRPr="00C3681E">
        <w:t xml:space="preserve"> is </w:t>
      </w:r>
      <w:r w:rsidR="00A652BD" w:rsidRPr="00C3681E">
        <w:t xml:space="preserve">a reasonable assumption for </w:t>
      </w:r>
      <w:r w:rsidR="00C92792" w:rsidRPr="00C3681E">
        <w:t xml:space="preserve">uniform corrosion, but </w:t>
      </w:r>
      <w:r w:rsidR="008041DD" w:rsidRPr="00C3681E">
        <w:t xml:space="preserve">it is </w:t>
      </w:r>
      <w:r w:rsidR="00C92792" w:rsidRPr="00C3681E">
        <w:t>not</w:t>
      </w:r>
      <w:r w:rsidR="00F4116C" w:rsidRPr="00C3681E">
        <w:t xml:space="preserve"> valid</w:t>
      </w:r>
      <w:r w:rsidR="008041DD" w:rsidRPr="00C3681E">
        <w:t xml:space="preserve"> for</w:t>
      </w:r>
      <w:r w:rsidR="00C92792" w:rsidRPr="00C3681E">
        <w:t xml:space="preserve"> local corrosion and pitting. The generic corrosion rate is derived from </w:t>
      </w:r>
      <w:r w:rsidR="003017D0" w:rsidRPr="00C3681E">
        <w:t>worldwide d</w:t>
      </w:r>
      <w:r w:rsidR="00C92792" w:rsidRPr="00C3681E">
        <w:t>atabases</w:t>
      </w:r>
      <w:r w:rsidR="00F4116C" w:rsidRPr="00C3681E">
        <w:t>, however,</w:t>
      </w:r>
      <w:r w:rsidR="008041DD" w:rsidRPr="00C3681E">
        <w:t xml:space="preserve"> r</w:t>
      </w:r>
      <w:r w:rsidR="00C92792" w:rsidRPr="00C3681E">
        <w:t xml:space="preserve">eference values for </w:t>
      </w:r>
      <w:r w:rsidR="008041DD" w:rsidRPr="00C3681E">
        <w:t xml:space="preserve">the </w:t>
      </w:r>
      <w:r w:rsidR="00C92792" w:rsidRPr="00C3681E">
        <w:t xml:space="preserve">most common </w:t>
      </w:r>
      <w:r w:rsidR="00F4116C" w:rsidRPr="00C3681E">
        <w:t xml:space="preserve">used </w:t>
      </w:r>
      <w:r w:rsidR="00C92792" w:rsidRPr="00C3681E">
        <w:t>material</w:t>
      </w:r>
      <w:r w:rsidR="008041DD" w:rsidRPr="00C3681E">
        <w:t>s</w:t>
      </w:r>
      <w:r w:rsidR="00C92792" w:rsidRPr="00C3681E">
        <w:t xml:space="preserve"> and product</w:t>
      </w:r>
      <w:r w:rsidR="008041DD" w:rsidRPr="00C3681E">
        <w:t>s</w:t>
      </w:r>
      <w:r w:rsidR="00C92792" w:rsidRPr="00C3681E">
        <w:t xml:space="preserve"> are provided </w:t>
      </w:r>
      <w:r w:rsidR="008041DD" w:rsidRPr="00C3681E">
        <w:t>by</w:t>
      </w:r>
      <w:r w:rsidR="00C92792" w:rsidRPr="00C3681E">
        <w:t xml:space="preserve"> EEMUA </w:t>
      </w:r>
      <w:r w:rsidR="008041DD" w:rsidRPr="00C3681E">
        <w:t xml:space="preserve">(2014), </w:t>
      </w:r>
      <w:r w:rsidR="00C92792" w:rsidRPr="00C3681E">
        <w:t xml:space="preserve">as well as </w:t>
      </w:r>
      <w:r w:rsidR="00A407FD" w:rsidRPr="00C3681E">
        <w:t>by</w:t>
      </w:r>
      <w:r w:rsidR="00C92792" w:rsidRPr="00C3681E">
        <w:t xml:space="preserve"> API</w:t>
      </w:r>
      <w:r w:rsidR="008041DD" w:rsidRPr="00C3681E">
        <w:t xml:space="preserve"> (</w:t>
      </w:r>
      <w:r w:rsidR="00C92792" w:rsidRPr="00C3681E">
        <w:t>2016</w:t>
      </w:r>
      <w:r w:rsidR="008041DD" w:rsidRPr="00C3681E">
        <w:t>)</w:t>
      </w:r>
      <w:r w:rsidR="00C92792" w:rsidRPr="00C3681E">
        <w:t xml:space="preserve">. </w:t>
      </w:r>
      <w:r w:rsidR="008041DD" w:rsidRPr="00C3681E">
        <w:t>T</w:t>
      </w:r>
      <w:r w:rsidR="00C92792" w:rsidRPr="00C3681E">
        <w:t>emporal series of thickness measurements are essential to tune</w:t>
      </w:r>
      <w:r w:rsidR="001B601F" w:rsidRPr="00C3681E">
        <w:t xml:space="preserve"> deterioration rates</w:t>
      </w:r>
      <w:r w:rsidR="00C92792" w:rsidRPr="00C3681E">
        <w:t xml:space="preserve"> with a </w:t>
      </w:r>
      <w:r w:rsidR="001B601F" w:rsidRPr="00C3681E">
        <w:t>cautionary approach.</w:t>
      </w:r>
      <w:r w:rsidR="009357BF" w:rsidRPr="00C3681E">
        <w:t xml:space="preserve"> The factor </w:t>
      </w:r>
      <w:r w:rsidR="009357BF" w:rsidRPr="00C3681E">
        <w:rPr>
          <w:rFonts w:ascii="Times New Roman" w:hAnsi="Times New Roman"/>
          <w:i/>
        </w:rPr>
        <w:t>K</w:t>
      </w:r>
      <w:r w:rsidR="009357BF" w:rsidRPr="00C3681E">
        <w:t xml:space="preserve"> is lower than 1 and takes into account</w:t>
      </w:r>
      <w:r w:rsidR="001B601F" w:rsidRPr="00C3681E">
        <w:t xml:space="preserve"> all risk factors, including uncertainties</w:t>
      </w:r>
      <w:r w:rsidR="009357BF" w:rsidRPr="00C3681E">
        <w:t xml:space="preserve">. </w:t>
      </w:r>
      <w:r w:rsidR="00A407FD" w:rsidRPr="00C3681E">
        <w:t>It</w:t>
      </w:r>
      <w:r w:rsidR="009357BF" w:rsidRPr="00C3681E">
        <w:t xml:space="preserve"> deals </w:t>
      </w:r>
      <w:r w:rsidR="00A407FD" w:rsidRPr="00C3681E">
        <w:t xml:space="preserve">also </w:t>
      </w:r>
      <w:r w:rsidR="009357BF" w:rsidRPr="00C3681E">
        <w:t xml:space="preserve">with the pitting by means of a further factor </w:t>
      </w:r>
      <w:r w:rsidR="00A407FD" w:rsidRPr="00C3681E">
        <w:t xml:space="preserve">to be </w:t>
      </w:r>
      <w:r w:rsidR="009357BF" w:rsidRPr="00C3681E">
        <w:t>include</w:t>
      </w:r>
      <w:r w:rsidR="001B601F" w:rsidRPr="00C3681E">
        <w:t>d</w:t>
      </w:r>
      <w:r w:rsidR="009357BF" w:rsidRPr="00C3681E">
        <w:t xml:space="preserve"> in </w:t>
      </w:r>
      <w:r w:rsidR="009357BF" w:rsidRPr="00C3681E">
        <w:rPr>
          <w:rFonts w:ascii="Times New Roman" w:hAnsi="Times New Roman"/>
          <w:i/>
        </w:rPr>
        <w:t>K</w:t>
      </w:r>
      <w:r w:rsidR="001B601F" w:rsidRPr="00C3681E">
        <w:t>.</w:t>
      </w:r>
    </w:p>
    <w:p w14:paraId="026F080E" w14:textId="3DF45EA2" w:rsidR="009357BF" w:rsidRPr="00C3681E" w:rsidRDefault="009357BF" w:rsidP="00600535">
      <w:pPr>
        <w:pStyle w:val="CETBodytext"/>
        <w:rPr>
          <w:lang w:val="en-GB"/>
        </w:rPr>
      </w:pPr>
      <w:r w:rsidRPr="00C3681E">
        <w:rPr>
          <w:lang w:val="en-GB"/>
        </w:rPr>
        <w:lastRenderedPageBreak/>
        <w:t xml:space="preserve">A probabilistic lifetime assessment </w:t>
      </w:r>
      <w:r w:rsidR="00A173D4" w:rsidRPr="00C3681E">
        <w:rPr>
          <w:lang w:val="en-GB"/>
        </w:rPr>
        <w:t>accounting for</w:t>
      </w:r>
      <w:r w:rsidRPr="00C3681E">
        <w:rPr>
          <w:lang w:val="en-GB"/>
        </w:rPr>
        <w:t xml:space="preserve"> </w:t>
      </w:r>
      <w:r w:rsidR="002A2D56" w:rsidRPr="00C3681E">
        <w:rPr>
          <w:lang w:val="en-GB"/>
        </w:rPr>
        <w:t xml:space="preserve">the </w:t>
      </w:r>
      <w:r w:rsidRPr="00C3681E">
        <w:rPr>
          <w:lang w:val="en-GB"/>
        </w:rPr>
        <w:t xml:space="preserve">stochastic aspects of the local thinning of the plate floor (including pitting) </w:t>
      </w:r>
      <w:r w:rsidR="002A2D56" w:rsidRPr="00C3681E">
        <w:rPr>
          <w:lang w:val="en-GB"/>
        </w:rPr>
        <w:t>is</w:t>
      </w:r>
      <w:r w:rsidRPr="00C3681E">
        <w:rPr>
          <w:lang w:val="en-GB"/>
        </w:rPr>
        <w:t xml:space="preserve"> useful to </w:t>
      </w:r>
      <w:r w:rsidR="001F7C4F" w:rsidRPr="00C3681E">
        <w:rPr>
          <w:lang w:val="en-GB"/>
        </w:rPr>
        <w:t xml:space="preserve">more rigorously </w:t>
      </w:r>
      <w:r w:rsidRPr="00C3681E">
        <w:rPr>
          <w:lang w:val="en-GB"/>
        </w:rPr>
        <w:t xml:space="preserve">understand the reasonableness of the </w:t>
      </w:r>
      <w:r w:rsidR="002A2D56" w:rsidRPr="00C3681E">
        <w:rPr>
          <w:lang w:val="en-GB"/>
        </w:rPr>
        <w:t>approaches</w:t>
      </w:r>
      <w:r w:rsidRPr="00C3681E">
        <w:rPr>
          <w:lang w:val="en-GB"/>
        </w:rPr>
        <w:t xml:space="preserve"> adopted </w:t>
      </w:r>
      <w:r w:rsidR="002A2D56" w:rsidRPr="00C3681E">
        <w:rPr>
          <w:lang w:val="en-GB"/>
        </w:rPr>
        <w:t>by</w:t>
      </w:r>
      <w:r w:rsidRPr="00C3681E">
        <w:rPr>
          <w:lang w:val="en-GB"/>
        </w:rPr>
        <w:t xml:space="preserve"> common practice</w:t>
      </w:r>
      <w:r w:rsidR="004C7550" w:rsidRPr="00C3681E">
        <w:rPr>
          <w:lang w:val="en-GB"/>
        </w:rPr>
        <w:t>s</w:t>
      </w:r>
      <w:r w:rsidRPr="00C3681E">
        <w:rPr>
          <w:lang w:val="en-GB"/>
        </w:rPr>
        <w:t xml:space="preserve">. However, if the probabilistic evaluation relies on a few punctual thickness measurements, performed every 10 or 20 years, there will be a certain advantage over the empirical evaluations described above. A </w:t>
      </w:r>
      <w:r w:rsidR="002A2D56" w:rsidRPr="00C3681E">
        <w:rPr>
          <w:lang w:val="en-GB"/>
        </w:rPr>
        <w:t>further</w:t>
      </w:r>
      <w:r w:rsidRPr="00C3681E">
        <w:rPr>
          <w:lang w:val="en-GB"/>
        </w:rPr>
        <w:t xml:space="preserve"> advantage could come from the integration </w:t>
      </w:r>
      <w:r w:rsidR="00272CDF" w:rsidRPr="00C3681E">
        <w:rPr>
          <w:lang w:val="en-GB"/>
        </w:rPr>
        <w:t>of</w:t>
      </w:r>
      <w:r w:rsidRPr="00C3681E">
        <w:rPr>
          <w:lang w:val="en-GB"/>
        </w:rPr>
        <w:t xml:space="preserve"> p</w:t>
      </w:r>
      <w:r w:rsidR="004C7550" w:rsidRPr="00C3681E">
        <w:rPr>
          <w:lang w:val="en-GB"/>
        </w:rPr>
        <w:t xml:space="preserve">artial or indirect measurements, </w:t>
      </w:r>
      <w:r w:rsidRPr="00C3681E">
        <w:rPr>
          <w:lang w:val="en-GB"/>
        </w:rPr>
        <w:t xml:space="preserve">performed </w:t>
      </w:r>
      <w:r w:rsidR="004C7550" w:rsidRPr="00C3681E">
        <w:rPr>
          <w:lang w:val="en-GB"/>
        </w:rPr>
        <w:t>during</w:t>
      </w:r>
      <w:r w:rsidR="00A407FD" w:rsidRPr="00C3681E">
        <w:rPr>
          <w:lang w:val="en-GB"/>
        </w:rPr>
        <w:t xml:space="preserve"> in</w:t>
      </w:r>
      <w:r w:rsidR="004C7550" w:rsidRPr="00C3681E">
        <w:rPr>
          <w:lang w:val="en-GB"/>
        </w:rPr>
        <w:t>-service</w:t>
      </w:r>
      <w:r w:rsidRPr="00C3681E">
        <w:rPr>
          <w:lang w:val="en-GB"/>
        </w:rPr>
        <w:t xml:space="preserve"> </w:t>
      </w:r>
      <w:r w:rsidR="00A407FD" w:rsidRPr="00C3681E">
        <w:rPr>
          <w:lang w:val="en-GB"/>
        </w:rPr>
        <w:t xml:space="preserve">periods </w:t>
      </w:r>
      <w:r w:rsidR="004C7550" w:rsidRPr="00C3681E">
        <w:rPr>
          <w:lang w:val="en-GB"/>
        </w:rPr>
        <w:t>of the tank</w:t>
      </w:r>
      <w:r w:rsidR="001F7C4F" w:rsidRPr="00C3681E">
        <w:rPr>
          <w:lang w:val="en-GB"/>
        </w:rPr>
        <w:t xml:space="preserve"> </w:t>
      </w:r>
      <w:r w:rsidR="004C7550" w:rsidRPr="00C3681E">
        <w:rPr>
          <w:lang w:val="en-GB"/>
        </w:rPr>
        <w:t xml:space="preserve">by means of </w:t>
      </w:r>
      <w:r w:rsidR="00C135DA" w:rsidRPr="00C3681E">
        <w:rPr>
          <w:lang w:val="en-GB"/>
        </w:rPr>
        <w:t>AE</w:t>
      </w:r>
      <w:r w:rsidRPr="00C3681E">
        <w:rPr>
          <w:lang w:val="en-GB"/>
        </w:rPr>
        <w:t>, which some fairly extensive experimental campaigns have shown to be able to detect energy releases</w:t>
      </w:r>
      <w:r w:rsidR="001F7C4F" w:rsidRPr="00C3681E">
        <w:rPr>
          <w:lang w:val="en-GB"/>
        </w:rPr>
        <w:t xml:space="preserve"> due to the loss of material </w:t>
      </w:r>
      <w:r w:rsidR="004C7550" w:rsidRPr="00C3681E">
        <w:rPr>
          <w:lang w:val="en-GB"/>
        </w:rPr>
        <w:t>from</w:t>
      </w:r>
      <w:r w:rsidRPr="00C3681E">
        <w:rPr>
          <w:lang w:val="en-GB"/>
        </w:rPr>
        <w:t xml:space="preserve"> the bottom of </w:t>
      </w:r>
      <w:r w:rsidR="001F7C4F" w:rsidRPr="00C3681E">
        <w:rPr>
          <w:lang w:val="en-GB"/>
        </w:rPr>
        <w:t>the</w:t>
      </w:r>
      <w:r w:rsidR="00A407FD" w:rsidRPr="00C3681E">
        <w:rPr>
          <w:lang w:val="en-GB"/>
        </w:rPr>
        <w:t xml:space="preserve"> tank.</w:t>
      </w:r>
    </w:p>
    <w:p w14:paraId="7894B47C" w14:textId="77777777" w:rsidR="00BC54D0" w:rsidRPr="00C3681E" w:rsidRDefault="00BC54D0" w:rsidP="00BC54D0">
      <w:pPr>
        <w:pStyle w:val="CETheadingx"/>
        <w:rPr>
          <w:lang w:val="en-GB"/>
        </w:rPr>
      </w:pPr>
      <w:r w:rsidRPr="00C3681E">
        <w:rPr>
          <w:lang w:val="en-GB"/>
        </w:rPr>
        <w:t>Proposed approach</w:t>
      </w:r>
    </w:p>
    <w:p w14:paraId="7BDCEA1D" w14:textId="6477F89B" w:rsidR="00422266" w:rsidRPr="00C3681E" w:rsidRDefault="00A407FD" w:rsidP="00422266">
      <w:pPr>
        <w:pStyle w:val="CETBodytext"/>
        <w:rPr>
          <w:lang w:val="en-GB"/>
        </w:rPr>
      </w:pPr>
      <w:r w:rsidRPr="00C3681E">
        <w:rPr>
          <w:lang w:val="en-GB"/>
        </w:rPr>
        <w:t>To estimate</w:t>
      </w:r>
      <w:r w:rsidR="00925741" w:rsidRPr="00C3681E">
        <w:rPr>
          <w:lang w:val="en-GB"/>
        </w:rPr>
        <w:t xml:space="preserve"> the degradation rate and the </w:t>
      </w:r>
      <w:r w:rsidR="00F50C5F" w:rsidRPr="00C3681E">
        <w:rPr>
          <w:rFonts w:ascii="Times New Roman" w:hAnsi="Times New Roman"/>
          <w:i/>
          <w:lang w:val="en-GB"/>
        </w:rPr>
        <w:t>RUL</w:t>
      </w:r>
      <w:r w:rsidR="00925741" w:rsidRPr="00C3681E">
        <w:rPr>
          <w:lang w:val="en-GB"/>
        </w:rPr>
        <w:t xml:space="preserve"> of atmospheric tanks</w:t>
      </w:r>
      <w:r w:rsidRPr="00C3681E">
        <w:rPr>
          <w:lang w:val="en-GB"/>
        </w:rPr>
        <w:t xml:space="preserve">, the proposed approach </w:t>
      </w:r>
      <w:r w:rsidR="00C761DA" w:rsidRPr="00C3681E">
        <w:rPr>
          <w:lang w:val="en-GB"/>
        </w:rPr>
        <w:t>combin</w:t>
      </w:r>
      <w:r w:rsidRPr="00C3681E">
        <w:rPr>
          <w:lang w:val="en-GB"/>
        </w:rPr>
        <w:t>es</w:t>
      </w:r>
      <w:r w:rsidR="00925741" w:rsidRPr="00C3681E">
        <w:rPr>
          <w:lang w:val="en-GB"/>
        </w:rPr>
        <w:t xml:space="preserve"> the extreme value analysis, used with the block maxima approach</w:t>
      </w:r>
      <w:r w:rsidR="00C761DA" w:rsidRPr="00C3681E">
        <w:rPr>
          <w:lang w:val="en-GB"/>
        </w:rPr>
        <w:t xml:space="preserve">, </w:t>
      </w:r>
      <w:r w:rsidR="00925741" w:rsidRPr="00C3681E">
        <w:rPr>
          <w:lang w:val="en-GB"/>
        </w:rPr>
        <w:t xml:space="preserve">and </w:t>
      </w:r>
      <w:r w:rsidR="00C46EA0" w:rsidRPr="00C3681E">
        <w:rPr>
          <w:lang w:val="en-GB"/>
        </w:rPr>
        <w:t xml:space="preserve">the </w:t>
      </w:r>
      <w:r w:rsidR="00925741" w:rsidRPr="00C3681E">
        <w:rPr>
          <w:lang w:val="en-GB"/>
        </w:rPr>
        <w:t>Bayesian inference</w:t>
      </w:r>
      <w:r w:rsidRPr="00C3681E">
        <w:rPr>
          <w:lang w:val="en-GB"/>
        </w:rPr>
        <w:t xml:space="preserve"> to elaborate data collected during inspections with the UT</w:t>
      </w:r>
      <w:r w:rsidR="00C135DA" w:rsidRPr="00C3681E">
        <w:rPr>
          <w:lang w:val="en-GB"/>
        </w:rPr>
        <w:t>M</w:t>
      </w:r>
      <w:r w:rsidR="00925741" w:rsidRPr="00C3681E">
        <w:rPr>
          <w:lang w:val="en-GB"/>
        </w:rPr>
        <w:t>.</w:t>
      </w:r>
      <w:r w:rsidR="00C761DA" w:rsidRPr="00C3681E">
        <w:rPr>
          <w:lang w:val="en-GB"/>
        </w:rPr>
        <w:t xml:space="preserve"> </w:t>
      </w:r>
      <w:r w:rsidR="00422266" w:rsidRPr="00C3681E">
        <w:rPr>
          <w:lang w:val="en-GB"/>
        </w:rPr>
        <w:t>The Gumbel distribution</w:t>
      </w:r>
      <w:r w:rsidR="00C03D65" w:rsidRPr="00C3681E">
        <w:rPr>
          <w:lang w:val="en-GB"/>
        </w:rPr>
        <w:t xml:space="preserve"> (Gumbel, 1958)</w:t>
      </w:r>
      <w:r w:rsidRPr="00C3681E">
        <w:rPr>
          <w:lang w:val="en-GB"/>
        </w:rPr>
        <w:t xml:space="preserve"> is used</w:t>
      </w:r>
      <w:r w:rsidR="00422266" w:rsidRPr="00C3681E">
        <w:rPr>
          <w:lang w:val="en-GB"/>
        </w:rPr>
        <w:t xml:space="preserve"> to estimate the maximum depth </w:t>
      </w:r>
      <w:r w:rsidR="00C761DA" w:rsidRPr="00C3681E">
        <w:rPr>
          <w:lang w:val="en-GB"/>
        </w:rPr>
        <w:t xml:space="preserve">in a large </w:t>
      </w:r>
      <w:r w:rsidR="00422266" w:rsidRPr="00C3681E">
        <w:rPr>
          <w:lang w:val="en-GB"/>
        </w:rPr>
        <w:t>surface area from which small area are inspected</w:t>
      </w:r>
      <w:r w:rsidR="00C03D65" w:rsidRPr="00C3681E">
        <w:rPr>
          <w:lang w:val="en-GB"/>
        </w:rPr>
        <w:t xml:space="preserve">, it </w:t>
      </w:r>
      <w:r w:rsidR="00422266" w:rsidRPr="00C3681E">
        <w:rPr>
          <w:lang w:val="en-GB"/>
        </w:rPr>
        <w:t>is</w:t>
      </w:r>
      <w:r w:rsidR="00C03D65" w:rsidRPr="00C3681E">
        <w:rPr>
          <w:lang w:val="en-GB"/>
        </w:rPr>
        <w:t xml:space="preserve"> the following</w:t>
      </w:r>
      <w:r w:rsidR="00422266" w:rsidRPr="00C3681E">
        <w:rPr>
          <w:lang w:val="en-GB"/>
        </w:rPr>
        <w:t>:</w:t>
      </w:r>
    </w:p>
    <w:tbl>
      <w:tblPr>
        <w:tblW w:w="5000" w:type="pct"/>
        <w:tblLook w:val="04A0" w:firstRow="1" w:lastRow="0" w:firstColumn="1" w:lastColumn="0" w:noHBand="0" w:noVBand="1"/>
      </w:tblPr>
      <w:tblGrid>
        <w:gridCol w:w="8180"/>
        <w:gridCol w:w="823"/>
      </w:tblGrid>
      <w:tr w:rsidR="00422266" w:rsidRPr="00C3681E" w14:paraId="7834AD31" w14:textId="77777777" w:rsidTr="00DC5251">
        <w:tc>
          <w:tcPr>
            <w:tcW w:w="7984" w:type="dxa"/>
            <w:shd w:val="clear" w:color="auto" w:fill="auto"/>
            <w:vAlign w:val="center"/>
          </w:tcPr>
          <w:p w14:paraId="650E4F0C" w14:textId="77777777" w:rsidR="00422266" w:rsidRPr="00C3681E" w:rsidRDefault="00F9112C" w:rsidP="00E24FAA">
            <w:pPr>
              <w:pStyle w:val="CETEquation"/>
              <w:spacing w:before="0" w:after="0"/>
              <w:rPr>
                <w:rFonts w:eastAsiaTheme="minorHAnsi"/>
              </w:rPr>
            </w:pPr>
            <w:r w:rsidRPr="00C3681E">
              <w:rPr>
                <w:rStyle w:val="CETBodytextCarattere"/>
                <w:rFonts w:eastAsiaTheme="minorHAnsi"/>
                <w:lang w:val="en-GB"/>
              </w:rPr>
              <w:object w:dxaOrig="2880" w:dyaOrig="720" w14:anchorId="1D2D458D">
                <v:shape id="_x0000_i1027" type="#_x0000_t75" style="width:110pt;height:29.9pt" o:ole="">
                  <v:imagedata r:id="rId18" o:title=""/>
                </v:shape>
                <o:OLEObject Type="Embed" ProgID="Equation.DSMT4" ShapeID="_x0000_i1027" DrawAspect="Content" ObjectID="_1660390179" r:id="rId19"/>
              </w:object>
            </w:r>
          </w:p>
        </w:tc>
        <w:tc>
          <w:tcPr>
            <w:tcW w:w="803" w:type="dxa"/>
            <w:shd w:val="clear" w:color="auto" w:fill="auto"/>
            <w:vAlign w:val="center"/>
          </w:tcPr>
          <w:p w14:paraId="70FB6A94" w14:textId="77777777" w:rsidR="00C761DA" w:rsidRPr="00C3681E" w:rsidRDefault="00422266" w:rsidP="00E24FAA">
            <w:pPr>
              <w:pStyle w:val="CETEquation"/>
              <w:spacing w:before="0" w:after="0"/>
              <w:jc w:val="right"/>
            </w:pPr>
            <w:r w:rsidRPr="00C3681E">
              <w:t>(3)</w:t>
            </w:r>
          </w:p>
        </w:tc>
      </w:tr>
      <w:tr w:rsidR="00C761DA" w:rsidRPr="00C3681E" w14:paraId="649E8797" w14:textId="77777777" w:rsidTr="00C761DA">
        <w:tc>
          <w:tcPr>
            <w:tcW w:w="7984" w:type="dxa"/>
            <w:shd w:val="clear" w:color="auto" w:fill="auto"/>
            <w:vAlign w:val="center"/>
          </w:tcPr>
          <w:p w14:paraId="17E533B4" w14:textId="77777777" w:rsidR="00C761DA" w:rsidRPr="00C3681E" w:rsidRDefault="00320617" w:rsidP="00E24FAA">
            <w:pPr>
              <w:pStyle w:val="CETEquation"/>
              <w:spacing w:before="0" w:after="0"/>
              <w:rPr>
                <w:rFonts w:eastAsiaTheme="minorHAnsi"/>
              </w:rPr>
            </w:pPr>
            <w:r w:rsidRPr="00C3681E">
              <w:rPr>
                <w:rStyle w:val="CETBodytextCarattere"/>
                <w:rFonts w:eastAsiaTheme="minorHAnsi"/>
                <w:lang w:val="en-GB"/>
              </w:rPr>
              <w:object w:dxaOrig="4520" w:dyaOrig="720" w14:anchorId="6CD1FD99">
                <v:shape id="_x0000_i1028" type="#_x0000_t75" style="width:173.1pt;height:29.9pt" o:ole="">
                  <v:imagedata r:id="rId20" o:title=""/>
                </v:shape>
                <o:OLEObject Type="Embed" ProgID="Equation.DSMT4" ShapeID="_x0000_i1028" DrawAspect="Content" ObjectID="_1660390180" r:id="rId21"/>
              </w:object>
            </w:r>
          </w:p>
        </w:tc>
        <w:tc>
          <w:tcPr>
            <w:tcW w:w="803" w:type="dxa"/>
            <w:shd w:val="clear" w:color="auto" w:fill="auto"/>
            <w:vAlign w:val="center"/>
          </w:tcPr>
          <w:p w14:paraId="4EFD4074" w14:textId="77777777" w:rsidR="00C761DA" w:rsidRPr="00C3681E" w:rsidRDefault="00C761DA" w:rsidP="00E24FAA">
            <w:pPr>
              <w:pStyle w:val="CETEquation"/>
              <w:spacing w:before="0" w:after="0"/>
              <w:jc w:val="right"/>
            </w:pPr>
            <w:r w:rsidRPr="00C3681E">
              <w:t>(</w:t>
            </w:r>
            <w:r w:rsidR="00C430B6" w:rsidRPr="00C3681E">
              <w:t>4</w:t>
            </w:r>
            <w:r w:rsidRPr="00C3681E">
              <w:t>)</w:t>
            </w:r>
          </w:p>
        </w:tc>
      </w:tr>
    </w:tbl>
    <w:p w14:paraId="30C4A9D0" w14:textId="02BF8C53" w:rsidR="00422266" w:rsidRPr="00C3681E" w:rsidRDefault="00422266" w:rsidP="00422266">
      <w:pPr>
        <w:pStyle w:val="CETBodytext"/>
        <w:rPr>
          <w:lang w:val="en-GB"/>
        </w:rPr>
      </w:pPr>
      <w:r w:rsidRPr="00C3681E">
        <w:rPr>
          <w:lang w:val="en-GB"/>
        </w:rPr>
        <w:t xml:space="preserve">where: </w:t>
      </w:r>
      <w:r w:rsidRPr="00C3681E">
        <w:rPr>
          <w:rFonts w:ascii="Times New Roman" w:hAnsi="Times New Roman"/>
          <w:i/>
          <w:lang w:val="en-GB"/>
        </w:rPr>
        <w:t>x</w:t>
      </w:r>
      <w:r w:rsidRPr="00C3681E">
        <w:rPr>
          <w:lang w:val="en-GB"/>
        </w:rPr>
        <w:t xml:space="preserve"> is maximum corrosion</w:t>
      </w:r>
      <w:r w:rsidR="001918D2" w:rsidRPr="00C3681E">
        <w:rPr>
          <w:lang w:val="en-GB"/>
        </w:rPr>
        <w:t xml:space="preserve"> depth</w:t>
      </w:r>
      <w:r w:rsidRPr="00C3681E">
        <w:rPr>
          <w:lang w:val="en-GB"/>
        </w:rPr>
        <w:t xml:space="preserve">; </w:t>
      </w:r>
      <w:r w:rsidRPr="00C3681E">
        <w:rPr>
          <w:rFonts w:ascii="Times New Roman" w:hAnsi="Times New Roman"/>
          <w:i/>
          <w:lang w:val="en-GB"/>
        </w:rPr>
        <w:t>F</w:t>
      </w:r>
      <w:r w:rsidRPr="00C3681E">
        <w:rPr>
          <w:rFonts w:ascii="Times New Roman" w:hAnsi="Times New Roman"/>
          <w:lang w:val="en-GB"/>
        </w:rPr>
        <w:t>(</w:t>
      </w:r>
      <w:r w:rsidRPr="00C3681E">
        <w:rPr>
          <w:rFonts w:ascii="Times New Roman" w:hAnsi="Times New Roman"/>
          <w:i/>
          <w:lang w:val="en-GB"/>
        </w:rPr>
        <w:t>x</w:t>
      </w:r>
      <w:r w:rsidRPr="00C3681E">
        <w:rPr>
          <w:rFonts w:ascii="Times New Roman" w:hAnsi="Times New Roman"/>
          <w:lang w:val="en-GB"/>
        </w:rPr>
        <w:t>)</w:t>
      </w:r>
      <w:r w:rsidRPr="00C3681E">
        <w:rPr>
          <w:lang w:val="en-GB"/>
        </w:rPr>
        <w:t xml:space="preserve"> </w:t>
      </w:r>
      <w:r w:rsidR="00C430B6" w:rsidRPr="00C3681E">
        <w:rPr>
          <w:lang w:val="en-GB"/>
        </w:rPr>
        <w:t xml:space="preserve">and </w:t>
      </w:r>
      <w:r w:rsidR="00C430B6" w:rsidRPr="00C3681E">
        <w:rPr>
          <w:rFonts w:ascii="Times New Roman" w:hAnsi="Times New Roman"/>
          <w:i/>
          <w:lang w:val="en-GB"/>
        </w:rPr>
        <w:t>f</w:t>
      </w:r>
      <w:r w:rsidR="00C430B6" w:rsidRPr="00C3681E">
        <w:rPr>
          <w:rFonts w:ascii="Times New Roman" w:hAnsi="Times New Roman"/>
          <w:lang w:val="en-GB"/>
        </w:rPr>
        <w:t>(</w:t>
      </w:r>
      <w:r w:rsidR="00C430B6" w:rsidRPr="00C3681E">
        <w:rPr>
          <w:rFonts w:ascii="Times New Roman" w:hAnsi="Times New Roman"/>
          <w:i/>
          <w:lang w:val="en-GB"/>
        </w:rPr>
        <w:t>x</w:t>
      </w:r>
      <w:r w:rsidR="00C430B6" w:rsidRPr="00C3681E">
        <w:rPr>
          <w:rFonts w:ascii="Times New Roman" w:hAnsi="Times New Roman"/>
          <w:lang w:val="en-GB"/>
        </w:rPr>
        <w:t>)</w:t>
      </w:r>
      <w:r w:rsidRPr="00C3681E">
        <w:rPr>
          <w:lang w:val="en-GB"/>
        </w:rPr>
        <w:t xml:space="preserve"> </w:t>
      </w:r>
      <w:r w:rsidR="00C430B6" w:rsidRPr="00C3681E">
        <w:rPr>
          <w:lang w:val="en-GB"/>
        </w:rPr>
        <w:t>are</w:t>
      </w:r>
      <w:r w:rsidR="00A407FD" w:rsidRPr="00C3681E">
        <w:rPr>
          <w:lang w:val="en-GB"/>
        </w:rPr>
        <w:t xml:space="preserve"> respectively</w:t>
      </w:r>
      <w:r w:rsidR="00C430B6" w:rsidRPr="00C3681E">
        <w:rPr>
          <w:lang w:val="en-GB"/>
        </w:rPr>
        <w:t xml:space="preserve"> </w:t>
      </w:r>
      <w:r w:rsidRPr="00C3681E">
        <w:rPr>
          <w:lang w:val="en-GB"/>
        </w:rPr>
        <w:t xml:space="preserve">the cumulative </w:t>
      </w:r>
      <w:r w:rsidR="003B67AE" w:rsidRPr="00C3681E">
        <w:rPr>
          <w:lang w:val="en-GB"/>
        </w:rPr>
        <w:t xml:space="preserve">probability function and </w:t>
      </w:r>
      <w:r w:rsidR="00C430B6" w:rsidRPr="00C3681E">
        <w:rPr>
          <w:lang w:val="en-GB"/>
        </w:rPr>
        <w:t xml:space="preserve">the density </w:t>
      </w:r>
      <w:r w:rsidR="003B67AE" w:rsidRPr="00C3681E">
        <w:rPr>
          <w:lang w:val="en-GB"/>
        </w:rPr>
        <w:t>probability function</w:t>
      </w:r>
      <w:r w:rsidR="00C430B6" w:rsidRPr="00C3681E">
        <w:rPr>
          <w:lang w:val="en-GB"/>
        </w:rPr>
        <w:t>;</w:t>
      </w:r>
      <w:r w:rsidRPr="00C3681E">
        <w:rPr>
          <w:lang w:val="en-GB"/>
        </w:rPr>
        <w:t xml:space="preserve"> </w:t>
      </w:r>
      <w:r w:rsidRPr="00C3681E">
        <w:rPr>
          <w:rFonts w:ascii="Times New Roman" w:hAnsi="Times New Roman"/>
          <w:lang w:val="en-GB"/>
        </w:rPr>
        <w:t>α</w:t>
      </w:r>
      <w:r w:rsidRPr="00C3681E">
        <w:rPr>
          <w:rFonts w:cs="Arial"/>
          <w:lang w:val="en-GB"/>
        </w:rPr>
        <w:t xml:space="preserve"> and </w:t>
      </w:r>
      <w:r w:rsidRPr="00C3681E">
        <w:rPr>
          <w:rFonts w:ascii="Times New Roman" w:hAnsi="Times New Roman"/>
          <w:lang w:val="en-GB"/>
        </w:rPr>
        <w:t>β</w:t>
      </w:r>
      <w:r w:rsidRPr="00C3681E">
        <w:rPr>
          <w:lang w:val="en-GB"/>
        </w:rPr>
        <w:t xml:space="preserve"> are</w:t>
      </w:r>
      <w:r w:rsidR="00A407FD" w:rsidRPr="00C3681E">
        <w:rPr>
          <w:lang w:val="en-GB"/>
        </w:rPr>
        <w:t xml:space="preserve"> respectively</w:t>
      </w:r>
      <w:r w:rsidRPr="00C3681E">
        <w:rPr>
          <w:lang w:val="en-GB"/>
        </w:rPr>
        <w:t xml:space="preserve"> </w:t>
      </w:r>
      <w:r w:rsidR="005D31BE" w:rsidRPr="00C3681E">
        <w:rPr>
          <w:lang w:val="en-GB"/>
        </w:rPr>
        <w:t>the scale</w:t>
      </w:r>
      <w:r w:rsidRPr="00C3681E">
        <w:rPr>
          <w:lang w:val="en-GB"/>
        </w:rPr>
        <w:t xml:space="preserve"> and </w:t>
      </w:r>
      <w:r w:rsidR="005D31BE" w:rsidRPr="00C3681E">
        <w:rPr>
          <w:lang w:val="en-GB"/>
        </w:rPr>
        <w:t>the location</w:t>
      </w:r>
      <w:r w:rsidRPr="00C3681E">
        <w:rPr>
          <w:lang w:val="en-GB"/>
        </w:rPr>
        <w:t xml:space="preserve"> parameters of the distribution.</w:t>
      </w:r>
    </w:p>
    <w:p w14:paraId="03B35101" w14:textId="69893C2E" w:rsidR="00422266" w:rsidRPr="00C3681E" w:rsidRDefault="00BC4386" w:rsidP="00422266">
      <w:pPr>
        <w:pStyle w:val="CETBodytext"/>
        <w:rPr>
          <w:lang w:val="en-GB"/>
        </w:rPr>
      </w:pPr>
      <w:r w:rsidRPr="00C3681E">
        <w:rPr>
          <w:lang w:val="en-GB"/>
        </w:rPr>
        <w:t>By introducing a</w:t>
      </w:r>
      <w:r w:rsidR="00422266" w:rsidRPr="00C3681E">
        <w:rPr>
          <w:lang w:val="en-GB"/>
        </w:rPr>
        <w:t xml:space="preserve"> reduced variate (</w:t>
      </w:r>
      <w:r w:rsidR="00422266" w:rsidRPr="00C3681E">
        <w:rPr>
          <w:rFonts w:ascii="Times New Roman" w:hAnsi="Times New Roman"/>
          <w:i/>
          <w:lang w:val="en-GB"/>
        </w:rPr>
        <w:t>y</w:t>
      </w:r>
      <w:r w:rsidR="00422266" w:rsidRPr="00C3681E">
        <w:rPr>
          <w:lang w:val="en-GB"/>
        </w:rPr>
        <w:t>)</w:t>
      </w:r>
      <w:r w:rsidR="0028487E" w:rsidRPr="00C3681E">
        <w:rPr>
          <w:lang w:val="en-GB"/>
        </w:rPr>
        <w:t xml:space="preserve">, the following equation is used </w:t>
      </w:r>
      <w:r w:rsidR="005D31BE" w:rsidRPr="00C3681E">
        <w:rPr>
          <w:lang w:val="en-GB"/>
        </w:rPr>
        <w:t>to construct</w:t>
      </w:r>
      <w:r w:rsidR="0028487E" w:rsidRPr="00C3681E">
        <w:rPr>
          <w:lang w:val="en-GB"/>
        </w:rPr>
        <w:t xml:space="preserve"> the Gumbel probability plot</w:t>
      </w:r>
      <w:r w:rsidR="00422266" w:rsidRPr="00C3681E">
        <w:rPr>
          <w:lang w:val="en-GB"/>
        </w:rPr>
        <w:t>:</w:t>
      </w:r>
    </w:p>
    <w:tbl>
      <w:tblPr>
        <w:tblW w:w="5000" w:type="pct"/>
        <w:tblLook w:val="04A0" w:firstRow="1" w:lastRow="0" w:firstColumn="1" w:lastColumn="0" w:noHBand="0" w:noVBand="1"/>
      </w:tblPr>
      <w:tblGrid>
        <w:gridCol w:w="8180"/>
        <w:gridCol w:w="823"/>
      </w:tblGrid>
      <w:tr w:rsidR="0028487E" w:rsidRPr="00C3681E" w14:paraId="3CA592E0" w14:textId="77777777" w:rsidTr="0028487E">
        <w:tc>
          <w:tcPr>
            <w:tcW w:w="7984" w:type="dxa"/>
            <w:shd w:val="clear" w:color="auto" w:fill="auto"/>
            <w:vAlign w:val="center"/>
          </w:tcPr>
          <w:p w14:paraId="11374EEF" w14:textId="77777777" w:rsidR="0028487E" w:rsidRPr="00C3681E" w:rsidRDefault="00320617" w:rsidP="00E24FAA">
            <w:pPr>
              <w:pStyle w:val="CETEquation"/>
              <w:spacing w:before="0" w:after="0"/>
              <w:rPr>
                <w:rFonts w:eastAsiaTheme="minorHAnsi"/>
              </w:rPr>
            </w:pPr>
            <w:r w:rsidRPr="00C3681E">
              <w:rPr>
                <w:rStyle w:val="CETBodytextCarattere"/>
                <w:rFonts w:eastAsiaTheme="minorHAnsi"/>
                <w:lang w:val="en-GB"/>
              </w:rPr>
              <w:object w:dxaOrig="3280" w:dyaOrig="620" w14:anchorId="4EFACC72">
                <v:shape id="_x0000_i1029" type="#_x0000_t75" style="width:124.3pt;height:25.8pt" o:ole="">
                  <v:imagedata r:id="rId22" o:title=""/>
                </v:shape>
                <o:OLEObject Type="Embed" ProgID="Equation.DSMT4" ShapeID="_x0000_i1029" DrawAspect="Content" ObjectID="_1660390181" r:id="rId23"/>
              </w:object>
            </w:r>
          </w:p>
        </w:tc>
        <w:tc>
          <w:tcPr>
            <w:tcW w:w="803" w:type="dxa"/>
            <w:shd w:val="clear" w:color="auto" w:fill="auto"/>
            <w:vAlign w:val="center"/>
          </w:tcPr>
          <w:p w14:paraId="11DBE9D0" w14:textId="77777777" w:rsidR="0028487E" w:rsidRPr="00C3681E" w:rsidRDefault="0028487E" w:rsidP="00E24FAA">
            <w:pPr>
              <w:pStyle w:val="CETEquation"/>
              <w:spacing w:before="0" w:after="0"/>
              <w:jc w:val="right"/>
            </w:pPr>
            <w:r w:rsidRPr="00C3681E">
              <w:t>(5)</w:t>
            </w:r>
          </w:p>
        </w:tc>
      </w:tr>
    </w:tbl>
    <w:p w14:paraId="37006BB3" w14:textId="23C8825C" w:rsidR="00390955" w:rsidRPr="00C3681E" w:rsidRDefault="00390955" w:rsidP="00E24FAA">
      <w:pPr>
        <w:pStyle w:val="CETBodytext"/>
        <w:rPr>
          <w:lang w:val="en-GB"/>
        </w:rPr>
      </w:pPr>
      <w:r w:rsidRPr="00C3681E">
        <w:rPr>
          <w:lang w:val="en-GB"/>
        </w:rPr>
        <w:t>The</w:t>
      </w:r>
      <w:r w:rsidR="00294C5F" w:rsidRPr="00C3681E">
        <w:rPr>
          <w:lang w:val="en-GB"/>
        </w:rPr>
        <w:t xml:space="preserve"> cumulative probability</w:t>
      </w:r>
      <w:r w:rsidR="0028487E" w:rsidRPr="00C3681E">
        <w:rPr>
          <w:lang w:val="en-GB"/>
        </w:rPr>
        <w:t xml:space="preserve"> can be calculated simply by</w:t>
      </w:r>
      <w:r w:rsidR="00994B81" w:rsidRPr="00C3681E">
        <w:rPr>
          <w:lang w:val="en-GB"/>
        </w:rPr>
        <w:t xml:space="preserve"> </w:t>
      </w:r>
      <w:r w:rsidR="00C3681E" w:rsidRPr="00C3681E">
        <w:rPr>
          <w:lang w:val="en-GB"/>
        </w:rPr>
        <w:t xml:space="preserve">the </w:t>
      </w:r>
      <w:r w:rsidR="00994B81" w:rsidRPr="00C3681E">
        <w:rPr>
          <w:lang w:val="en-GB"/>
        </w:rPr>
        <w:t>following equation:</w:t>
      </w:r>
    </w:p>
    <w:tbl>
      <w:tblPr>
        <w:tblW w:w="5000" w:type="pct"/>
        <w:tblLook w:val="04A0" w:firstRow="1" w:lastRow="0" w:firstColumn="1" w:lastColumn="0" w:noHBand="0" w:noVBand="1"/>
      </w:tblPr>
      <w:tblGrid>
        <w:gridCol w:w="8180"/>
        <w:gridCol w:w="823"/>
      </w:tblGrid>
      <w:tr w:rsidR="00390955" w:rsidRPr="00C3681E" w14:paraId="523BB3EC" w14:textId="77777777" w:rsidTr="00DC5251">
        <w:tc>
          <w:tcPr>
            <w:tcW w:w="7984" w:type="dxa"/>
            <w:shd w:val="clear" w:color="auto" w:fill="auto"/>
            <w:vAlign w:val="center"/>
          </w:tcPr>
          <w:p w14:paraId="26308114" w14:textId="77777777" w:rsidR="00390955" w:rsidRPr="00C3681E" w:rsidRDefault="00F9112C" w:rsidP="00E24FAA">
            <w:pPr>
              <w:pStyle w:val="CETEquation"/>
              <w:spacing w:before="0" w:after="0"/>
              <w:rPr>
                <w:rFonts w:eastAsiaTheme="minorHAnsi"/>
              </w:rPr>
            </w:pPr>
            <w:r w:rsidRPr="00C3681E">
              <w:rPr>
                <w:rStyle w:val="CETBodytextCarattere"/>
                <w:rFonts w:eastAsiaTheme="minorHAnsi"/>
                <w:lang w:val="en-GB"/>
              </w:rPr>
              <w:object w:dxaOrig="1320" w:dyaOrig="620" w14:anchorId="0682009E">
                <v:shape id="_x0000_i1030" type="#_x0000_t75" style="width:52.25pt;height:26.5pt" o:ole="">
                  <v:imagedata r:id="rId24" o:title=""/>
                </v:shape>
                <o:OLEObject Type="Embed" ProgID="Equation.DSMT4" ShapeID="_x0000_i1030" DrawAspect="Content" ObjectID="_1660390182" r:id="rId25"/>
              </w:object>
            </w:r>
          </w:p>
        </w:tc>
        <w:tc>
          <w:tcPr>
            <w:tcW w:w="803" w:type="dxa"/>
            <w:shd w:val="clear" w:color="auto" w:fill="auto"/>
            <w:vAlign w:val="center"/>
          </w:tcPr>
          <w:p w14:paraId="2DD4A7F2" w14:textId="77777777" w:rsidR="00390955" w:rsidRPr="00C3681E" w:rsidRDefault="00390955" w:rsidP="00E24FAA">
            <w:pPr>
              <w:pStyle w:val="CETEquation"/>
              <w:spacing w:before="0" w:after="0"/>
              <w:jc w:val="right"/>
            </w:pPr>
            <w:r w:rsidRPr="00C3681E">
              <w:t>(</w:t>
            </w:r>
            <w:r w:rsidR="00264F97" w:rsidRPr="00C3681E">
              <w:t>6</w:t>
            </w:r>
            <w:r w:rsidRPr="00C3681E">
              <w:t>)</w:t>
            </w:r>
          </w:p>
        </w:tc>
      </w:tr>
    </w:tbl>
    <w:p w14:paraId="577249BD" w14:textId="77777777" w:rsidR="00390955" w:rsidRPr="00C3681E" w:rsidRDefault="00390955" w:rsidP="00390955">
      <w:pPr>
        <w:pStyle w:val="CETBodytext"/>
        <w:rPr>
          <w:lang w:val="en-GB"/>
        </w:rPr>
      </w:pPr>
      <w:r w:rsidRPr="00C3681E">
        <w:rPr>
          <w:lang w:val="en-GB"/>
        </w:rPr>
        <w:t xml:space="preserve">where </w:t>
      </w:r>
      <w:proofErr w:type="spellStart"/>
      <w:r w:rsidRPr="00C3681E">
        <w:rPr>
          <w:rFonts w:ascii="Times New Roman" w:hAnsi="Times New Roman"/>
          <w:i/>
          <w:lang w:val="en-GB"/>
        </w:rPr>
        <w:t>i</w:t>
      </w:r>
      <w:proofErr w:type="spellEnd"/>
      <w:r w:rsidRPr="00C3681E">
        <w:rPr>
          <w:lang w:val="en-GB"/>
        </w:rPr>
        <w:t xml:space="preserve"> = rank number; </w:t>
      </w:r>
      <w:r w:rsidRPr="00C3681E">
        <w:rPr>
          <w:rFonts w:ascii="Times New Roman" w:hAnsi="Times New Roman"/>
          <w:i/>
          <w:lang w:val="en-GB"/>
        </w:rPr>
        <w:t>N</w:t>
      </w:r>
      <w:r w:rsidRPr="00C3681E">
        <w:rPr>
          <w:lang w:val="en-GB"/>
        </w:rPr>
        <w:t xml:space="preserve"> is the total number of measures.</w:t>
      </w:r>
    </w:p>
    <w:p w14:paraId="5683ABCE" w14:textId="70ACFAAF" w:rsidR="00CA05B4" w:rsidRPr="00C3681E" w:rsidRDefault="00294C5F" w:rsidP="00C53A9A">
      <w:pPr>
        <w:pStyle w:val="CETBodytext"/>
        <w:rPr>
          <w:lang w:val="en-GB"/>
        </w:rPr>
      </w:pPr>
      <w:r w:rsidRPr="00C3681E">
        <w:rPr>
          <w:lang w:val="en-GB"/>
        </w:rPr>
        <w:t xml:space="preserve">By plotting </w:t>
      </w:r>
      <w:r w:rsidRPr="00C3681E">
        <w:rPr>
          <w:rFonts w:ascii="Times New Roman" w:hAnsi="Times New Roman"/>
          <w:i/>
          <w:lang w:val="en-GB"/>
        </w:rPr>
        <w:t>y</w:t>
      </w:r>
      <w:r w:rsidRPr="00C3681E">
        <w:rPr>
          <w:lang w:val="en-GB"/>
        </w:rPr>
        <w:t xml:space="preserve"> as a function of </w:t>
      </w:r>
      <w:r w:rsidRPr="00C3681E">
        <w:rPr>
          <w:rFonts w:ascii="Times New Roman" w:hAnsi="Times New Roman"/>
          <w:i/>
          <w:lang w:val="en-GB"/>
        </w:rPr>
        <w:t>x</w:t>
      </w:r>
      <w:r w:rsidR="00946558" w:rsidRPr="00C3681E">
        <w:rPr>
          <w:lang w:val="en-GB"/>
        </w:rPr>
        <w:t xml:space="preserve">, </w:t>
      </w:r>
      <w:r w:rsidRPr="00C3681E">
        <w:rPr>
          <w:lang w:val="en-GB"/>
        </w:rPr>
        <w:t xml:space="preserve">a straight line is obtained; its slope </w:t>
      </w:r>
      <w:r w:rsidR="00C430B6" w:rsidRPr="00C3681E">
        <w:rPr>
          <w:lang w:val="en-GB"/>
        </w:rPr>
        <w:t xml:space="preserve">and intercept </w:t>
      </w:r>
      <w:r w:rsidRPr="00C3681E">
        <w:rPr>
          <w:lang w:val="en-GB"/>
        </w:rPr>
        <w:t>provides 1/</w:t>
      </w:r>
      <w:r w:rsidRPr="00C3681E">
        <w:rPr>
          <w:rFonts w:ascii="Times New Roman" w:hAnsi="Times New Roman"/>
          <w:lang w:val="en-GB"/>
        </w:rPr>
        <w:t>α</w:t>
      </w:r>
      <w:r w:rsidRPr="00C3681E">
        <w:rPr>
          <w:rFonts w:cs="Arial"/>
          <w:lang w:val="en-GB"/>
        </w:rPr>
        <w:t xml:space="preserve"> </w:t>
      </w:r>
      <w:r w:rsidR="00C430B6" w:rsidRPr="00C3681E">
        <w:rPr>
          <w:lang w:val="en-GB"/>
        </w:rPr>
        <w:t>and</w:t>
      </w:r>
      <w:r w:rsidRPr="00C3681E">
        <w:rPr>
          <w:lang w:val="en-GB"/>
        </w:rPr>
        <w:t xml:space="preserve"> – </w:t>
      </w:r>
      <w:r w:rsidRPr="00C3681E">
        <w:rPr>
          <w:rFonts w:ascii="Times New Roman" w:hAnsi="Times New Roman"/>
          <w:lang w:val="en-GB"/>
        </w:rPr>
        <w:t>β</w:t>
      </w:r>
      <w:r w:rsidRPr="00C3681E">
        <w:rPr>
          <w:lang w:val="en-GB"/>
        </w:rPr>
        <w:t>/</w:t>
      </w:r>
      <w:r w:rsidRPr="00C3681E">
        <w:rPr>
          <w:rFonts w:ascii="Times New Roman" w:hAnsi="Times New Roman"/>
          <w:lang w:val="en-GB"/>
        </w:rPr>
        <w:t>α</w:t>
      </w:r>
      <w:r w:rsidRPr="00C3681E">
        <w:rPr>
          <w:rFonts w:cs="Arial"/>
          <w:lang w:val="en-GB"/>
        </w:rPr>
        <w:t>.</w:t>
      </w:r>
      <w:r w:rsidR="00EE5B4B" w:rsidRPr="00C3681E">
        <w:rPr>
          <w:rFonts w:cs="Arial"/>
          <w:lang w:val="en-GB"/>
        </w:rPr>
        <w:t xml:space="preserve"> </w:t>
      </w:r>
      <w:r w:rsidR="00EE5B4B" w:rsidRPr="00C3681E">
        <w:rPr>
          <w:lang w:val="en-GB"/>
        </w:rPr>
        <w:t xml:space="preserve">A distribution with large </w:t>
      </w:r>
      <w:r w:rsidR="00EE5B4B" w:rsidRPr="00C3681E">
        <w:rPr>
          <w:rFonts w:ascii="Times New Roman" w:hAnsi="Times New Roman"/>
          <w:lang w:val="en-GB"/>
        </w:rPr>
        <w:t>α</w:t>
      </w:r>
      <w:r w:rsidR="00EE5B4B" w:rsidRPr="00C3681E">
        <w:rPr>
          <w:rFonts w:cs="Arial"/>
          <w:lang w:val="en-GB"/>
        </w:rPr>
        <w:t xml:space="preserve"> </w:t>
      </w:r>
      <w:r w:rsidR="00EE5B4B" w:rsidRPr="00C3681E">
        <w:rPr>
          <w:lang w:val="en-GB"/>
        </w:rPr>
        <w:t xml:space="preserve">has a long tail </w:t>
      </w:r>
      <w:r w:rsidR="00C03D65" w:rsidRPr="00C3681E">
        <w:rPr>
          <w:lang w:val="en-GB"/>
        </w:rPr>
        <w:t>meaning</w:t>
      </w:r>
      <w:r w:rsidR="00EE5B4B" w:rsidRPr="00C3681E">
        <w:rPr>
          <w:lang w:val="en-GB"/>
        </w:rPr>
        <w:t xml:space="preserve"> </w:t>
      </w:r>
      <w:r w:rsidR="00C46EA0" w:rsidRPr="00C3681E">
        <w:rPr>
          <w:lang w:val="en-GB"/>
        </w:rPr>
        <w:t xml:space="preserve">the occurrence of </w:t>
      </w:r>
      <w:r w:rsidR="00EE5B4B" w:rsidRPr="00C3681E">
        <w:rPr>
          <w:lang w:val="en-GB"/>
        </w:rPr>
        <w:t>localised corrosion</w:t>
      </w:r>
      <w:r w:rsidR="00C46EA0" w:rsidRPr="00C3681E">
        <w:rPr>
          <w:lang w:val="en-GB"/>
        </w:rPr>
        <w:t>.</w:t>
      </w:r>
      <w:r w:rsidR="00EE5B4B" w:rsidRPr="00C3681E">
        <w:rPr>
          <w:lang w:val="en-GB"/>
        </w:rPr>
        <w:t xml:space="preserve"> The location parameter </w:t>
      </w:r>
      <w:r w:rsidR="00EE5B4B" w:rsidRPr="00C3681E">
        <w:rPr>
          <w:rFonts w:ascii="Times New Roman" w:hAnsi="Times New Roman"/>
          <w:lang w:val="en-GB"/>
        </w:rPr>
        <w:t>β</w:t>
      </w:r>
      <w:r w:rsidR="00EE5B4B" w:rsidRPr="00C3681E">
        <w:rPr>
          <w:lang w:val="en-GB"/>
        </w:rPr>
        <w:t xml:space="preserve"> is the mode of the corrosion distribution.</w:t>
      </w:r>
      <w:r w:rsidR="00DB25CA" w:rsidRPr="00C3681E">
        <w:rPr>
          <w:lang w:val="en-GB"/>
        </w:rPr>
        <w:t xml:space="preserve"> </w:t>
      </w:r>
      <w:r w:rsidR="00C53A9A" w:rsidRPr="00C3681E">
        <w:rPr>
          <w:lang w:val="en-GB"/>
        </w:rPr>
        <w:t xml:space="preserve">To predict the maximum depth of corrosion by extreme value analysis with the Gumbel plot, the scale parameter, the location parameter and </w:t>
      </w:r>
      <w:r w:rsidR="00916789">
        <w:rPr>
          <w:lang w:val="en-GB"/>
        </w:rPr>
        <w:t xml:space="preserve">the </w:t>
      </w:r>
      <w:r w:rsidR="00916789" w:rsidRPr="00916789">
        <w:rPr>
          <w:rFonts w:ascii="Times New Roman" w:hAnsi="Times New Roman"/>
          <w:i/>
          <w:lang w:val="en-GB"/>
        </w:rPr>
        <w:t>F</w:t>
      </w:r>
      <w:r w:rsidR="00916789">
        <w:rPr>
          <w:lang w:val="en-GB"/>
        </w:rPr>
        <w:t>(</w:t>
      </w:r>
      <w:r w:rsidR="00916789" w:rsidRPr="00916789">
        <w:rPr>
          <w:rFonts w:ascii="Times New Roman" w:hAnsi="Times New Roman"/>
          <w:i/>
          <w:lang w:val="en-GB"/>
        </w:rPr>
        <w:t>y</w:t>
      </w:r>
      <w:r w:rsidR="00916789">
        <w:rPr>
          <w:lang w:val="en-GB"/>
        </w:rPr>
        <w:t>) are required.</w:t>
      </w:r>
    </w:p>
    <w:p w14:paraId="1462D701" w14:textId="2589F5F5" w:rsidR="00C53A9A" w:rsidRPr="00C3681E" w:rsidRDefault="00493D54" w:rsidP="00C53A9A">
      <w:pPr>
        <w:pStyle w:val="CETBodytext"/>
        <w:rPr>
          <w:lang w:val="en-GB"/>
        </w:rPr>
      </w:pPr>
      <w:r w:rsidRPr="00C3681E">
        <w:rPr>
          <w:lang w:val="en-GB"/>
        </w:rPr>
        <w:t>While</w:t>
      </w:r>
      <w:r w:rsidR="00DB25CA" w:rsidRPr="00C3681E">
        <w:rPr>
          <w:lang w:val="en-GB"/>
        </w:rPr>
        <w:t xml:space="preserve"> </w:t>
      </w:r>
      <w:r w:rsidR="00DB25CA" w:rsidRPr="00C3681E">
        <w:rPr>
          <w:rFonts w:ascii="Times New Roman" w:hAnsi="Times New Roman"/>
          <w:lang w:val="en-GB"/>
        </w:rPr>
        <w:t>α</w:t>
      </w:r>
      <w:r w:rsidR="00DB25CA" w:rsidRPr="00C3681E">
        <w:rPr>
          <w:lang w:val="en-GB"/>
        </w:rPr>
        <w:t xml:space="preserve"> </w:t>
      </w:r>
      <w:r w:rsidR="00946558" w:rsidRPr="00C3681E">
        <w:rPr>
          <w:lang w:val="en-GB"/>
        </w:rPr>
        <w:t>is</w:t>
      </w:r>
      <w:r w:rsidR="00DB25CA" w:rsidRPr="00C3681E">
        <w:rPr>
          <w:lang w:val="en-GB"/>
        </w:rPr>
        <w:t xml:space="preserve"> associated with the degradation mechanism</w:t>
      </w:r>
      <w:r w:rsidR="00916789">
        <w:rPr>
          <w:lang w:val="en-GB"/>
        </w:rPr>
        <w:t>,</w:t>
      </w:r>
      <w:r w:rsidR="00946558" w:rsidRPr="00C3681E">
        <w:rPr>
          <w:lang w:val="en-GB"/>
        </w:rPr>
        <w:t xml:space="preserve"> </w:t>
      </w:r>
      <w:r w:rsidR="00DB25CA" w:rsidRPr="00C3681E">
        <w:rPr>
          <w:lang w:val="en-GB"/>
        </w:rPr>
        <w:t xml:space="preserve">the position </w:t>
      </w:r>
      <w:r w:rsidR="00DB25CA" w:rsidRPr="00C3681E">
        <w:rPr>
          <w:rFonts w:ascii="Times New Roman" w:hAnsi="Times New Roman"/>
          <w:lang w:val="en-GB"/>
        </w:rPr>
        <w:t>β</w:t>
      </w:r>
      <w:r w:rsidR="00DB25CA" w:rsidRPr="00C3681E">
        <w:rPr>
          <w:lang w:val="en-GB"/>
        </w:rPr>
        <w:t xml:space="preserve"> </w:t>
      </w:r>
      <w:r w:rsidR="00285FA1" w:rsidRPr="00C3681E">
        <w:rPr>
          <w:lang w:val="en-GB"/>
        </w:rPr>
        <w:t xml:space="preserve">represents the most frequent maximum depth value of the distribution and </w:t>
      </w:r>
      <w:r w:rsidRPr="00C3681E">
        <w:rPr>
          <w:lang w:val="en-GB"/>
        </w:rPr>
        <w:t>should</w:t>
      </w:r>
      <w:r w:rsidR="00DB25CA" w:rsidRPr="00C3681E">
        <w:rPr>
          <w:lang w:val="en-GB"/>
        </w:rPr>
        <w:t xml:space="preserve"> move towards higher depths. Hence, t</w:t>
      </w:r>
      <w:r w:rsidR="00C53A9A" w:rsidRPr="00C3681E">
        <w:rPr>
          <w:lang w:val="en-GB"/>
        </w:rPr>
        <w:t xml:space="preserve">o estimate the backside corrosion rate and the expected </w:t>
      </w:r>
      <w:r w:rsidR="00C53A9A" w:rsidRPr="00C3681E">
        <w:rPr>
          <w:rFonts w:ascii="Times New Roman" w:hAnsi="Times New Roman"/>
          <w:i/>
          <w:lang w:val="en-GB"/>
        </w:rPr>
        <w:t>RUL</w:t>
      </w:r>
      <w:r w:rsidR="00C46EA0" w:rsidRPr="00C3681E">
        <w:rPr>
          <w:lang w:val="en-GB"/>
        </w:rPr>
        <w:t xml:space="preserve"> </w:t>
      </w:r>
      <w:r w:rsidR="00C53A9A" w:rsidRPr="00C3681E">
        <w:rPr>
          <w:lang w:val="en-GB"/>
        </w:rPr>
        <w:t>f</w:t>
      </w:r>
      <w:r w:rsidR="00C46EA0" w:rsidRPr="00C3681E">
        <w:rPr>
          <w:lang w:val="en-GB"/>
        </w:rPr>
        <w:t>or</w:t>
      </w:r>
      <w:r w:rsidR="00C53A9A" w:rsidRPr="00C3681E">
        <w:rPr>
          <w:lang w:val="en-GB"/>
        </w:rPr>
        <w:t xml:space="preserve"> atmospheric tanks, by using the detected maximum </w:t>
      </w:r>
      <w:r w:rsidR="00CA05B4" w:rsidRPr="00C3681E">
        <w:rPr>
          <w:lang w:val="en-GB"/>
        </w:rPr>
        <w:t xml:space="preserve">corrosion </w:t>
      </w:r>
      <w:r w:rsidR="00C53A9A" w:rsidRPr="00C3681E">
        <w:rPr>
          <w:lang w:val="en-GB"/>
        </w:rPr>
        <w:t xml:space="preserve">depth </w:t>
      </w:r>
      <w:r w:rsidR="00CA05B4" w:rsidRPr="00C3681E">
        <w:rPr>
          <w:lang w:val="en-GB"/>
        </w:rPr>
        <w:t>by UT</w:t>
      </w:r>
      <w:r w:rsidR="00D730A6" w:rsidRPr="00C3681E">
        <w:rPr>
          <w:lang w:val="en-GB"/>
        </w:rPr>
        <w:t>M</w:t>
      </w:r>
      <w:r w:rsidRPr="00C3681E">
        <w:rPr>
          <w:lang w:val="en-GB"/>
        </w:rPr>
        <w:t>, the Bayesian inference can be</w:t>
      </w:r>
      <w:r w:rsidR="00C46EA0" w:rsidRPr="00C3681E">
        <w:rPr>
          <w:lang w:val="en-GB"/>
        </w:rPr>
        <w:t xml:space="preserve"> applied to determine the </w:t>
      </w:r>
      <w:r w:rsidR="00CA05B4" w:rsidRPr="00C3681E">
        <w:rPr>
          <w:lang w:val="en-GB"/>
        </w:rPr>
        <w:t xml:space="preserve">posteriori probability distribution of </w:t>
      </w:r>
      <w:r w:rsidR="00916789" w:rsidRPr="00C3681E">
        <w:rPr>
          <w:rFonts w:ascii="Times New Roman" w:hAnsi="Times New Roman"/>
          <w:lang w:val="en-GB"/>
        </w:rPr>
        <w:t>β</w:t>
      </w:r>
      <w:r w:rsidR="00C53A9A" w:rsidRPr="00C3681E">
        <w:rPr>
          <w:lang w:val="en-GB"/>
        </w:rPr>
        <w:t>:</w:t>
      </w:r>
    </w:p>
    <w:tbl>
      <w:tblPr>
        <w:tblW w:w="5000" w:type="pct"/>
        <w:tblLook w:val="04A0" w:firstRow="1" w:lastRow="0" w:firstColumn="1" w:lastColumn="0" w:noHBand="0" w:noVBand="1"/>
      </w:tblPr>
      <w:tblGrid>
        <w:gridCol w:w="8180"/>
        <w:gridCol w:w="823"/>
      </w:tblGrid>
      <w:tr w:rsidR="00C761DA" w:rsidRPr="00C3681E" w14:paraId="3682C828" w14:textId="77777777" w:rsidTr="00DC5251">
        <w:tc>
          <w:tcPr>
            <w:tcW w:w="7984" w:type="dxa"/>
            <w:shd w:val="clear" w:color="auto" w:fill="auto"/>
            <w:vAlign w:val="center"/>
          </w:tcPr>
          <w:p w14:paraId="2EDEFAAF" w14:textId="3F9F714A" w:rsidR="00C761DA" w:rsidRPr="00C3681E" w:rsidRDefault="00C46EA0" w:rsidP="00E24FAA">
            <w:pPr>
              <w:pStyle w:val="CETEquation"/>
              <w:spacing w:before="0" w:after="0"/>
              <w:rPr>
                <w:rFonts w:eastAsiaTheme="minorHAnsi"/>
              </w:rPr>
            </w:pPr>
            <w:r w:rsidRPr="00C3681E">
              <w:rPr>
                <w:rStyle w:val="CETBodytextCarattere"/>
                <w:rFonts w:eastAsiaTheme="minorHAnsi"/>
                <w:lang w:val="en-GB"/>
              </w:rPr>
              <w:object w:dxaOrig="3180" w:dyaOrig="760" w14:anchorId="445E60A6">
                <v:shape id="_x0000_i1031" type="#_x0000_t75" style="width:120.2pt;height:30.55pt" o:ole="">
                  <v:imagedata r:id="rId26" o:title=""/>
                </v:shape>
                <o:OLEObject Type="Embed" ProgID="Equation.DSMT4" ShapeID="_x0000_i1031" DrawAspect="Content" ObjectID="_1660390183" r:id="rId27"/>
              </w:object>
            </w:r>
          </w:p>
        </w:tc>
        <w:tc>
          <w:tcPr>
            <w:tcW w:w="803" w:type="dxa"/>
            <w:shd w:val="clear" w:color="auto" w:fill="auto"/>
            <w:vAlign w:val="center"/>
          </w:tcPr>
          <w:p w14:paraId="3B43E3B1" w14:textId="77777777" w:rsidR="00C761DA" w:rsidRPr="00C3681E" w:rsidRDefault="00C761DA" w:rsidP="00E24FAA">
            <w:pPr>
              <w:pStyle w:val="CETEquation"/>
              <w:spacing w:before="0" w:after="0"/>
              <w:jc w:val="right"/>
            </w:pPr>
            <w:r w:rsidRPr="00C3681E">
              <w:t>(7)</w:t>
            </w:r>
          </w:p>
        </w:tc>
      </w:tr>
    </w:tbl>
    <w:p w14:paraId="52456B9D" w14:textId="10B00A05" w:rsidR="001F7C4F" w:rsidRPr="00C3681E" w:rsidRDefault="00C761DA" w:rsidP="00C430B6">
      <w:pPr>
        <w:pStyle w:val="CETBodytext"/>
        <w:rPr>
          <w:lang w:val="en-GB"/>
        </w:rPr>
      </w:pPr>
      <w:r w:rsidRPr="00C3681E">
        <w:rPr>
          <w:lang w:val="en-GB"/>
        </w:rPr>
        <w:t xml:space="preserve">where: </w:t>
      </w:r>
      <w:r w:rsidR="00C430B6" w:rsidRPr="00C3681E">
        <w:rPr>
          <w:rFonts w:ascii="Times New Roman" w:hAnsi="Times New Roman"/>
          <w:lang w:val="en-GB"/>
        </w:rPr>
        <w:sym w:font="Symbol" w:char="F020"/>
      </w:r>
      <w:r w:rsidR="00C430B6" w:rsidRPr="00C3681E">
        <w:rPr>
          <w:rFonts w:ascii="Times New Roman" w:hAnsi="Times New Roman"/>
          <w:i/>
          <w:lang w:val="en-GB"/>
        </w:rPr>
        <w:sym w:font="Symbol" w:char="F06C"/>
      </w:r>
      <w:r w:rsidR="00C430B6" w:rsidRPr="00C3681E">
        <w:rPr>
          <w:rFonts w:ascii="Times New Roman" w:hAnsi="Times New Roman"/>
          <w:lang w:val="en-GB"/>
        </w:rPr>
        <w:t>’</w:t>
      </w:r>
      <w:r w:rsidR="00C430B6" w:rsidRPr="00C3681E">
        <w:rPr>
          <w:lang w:val="en-GB"/>
        </w:rPr>
        <w:t>(</w:t>
      </w:r>
      <w:r w:rsidR="00C430B6" w:rsidRPr="00C3681E">
        <w:rPr>
          <w:rFonts w:ascii="Times New Roman" w:hAnsi="Times New Roman"/>
          <w:lang w:val="en-GB"/>
        </w:rPr>
        <w:t>β</w:t>
      </w:r>
      <w:r w:rsidR="00C430B6" w:rsidRPr="00C3681E">
        <w:rPr>
          <w:lang w:val="en-GB"/>
        </w:rPr>
        <w:t xml:space="preserve">) and </w:t>
      </w:r>
      <w:r w:rsidR="00C430B6" w:rsidRPr="00C3681E">
        <w:rPr>
          <w:rFonts w:ascii="Times New Roman" w:hAnsi="Times New Roman"/>
          <w:lang w:val="en-GB"/>
        </w:rPr>
        <w:sym w:font="Symbol" w:char="F020"/>
      </w:r>
      <w:r w:rsidR="00C430B6" w:rsidRPr="00C3681E">
        <w:rPr>
          <w:rFonts w:ascii="Times New Roman" w:hAnsi="Times New Roman"/>
          <w:i/>
          <w:lang w:val="en-GB"/>
        </w:rPr>
        <w:sym w:font="Symbol" w:char="F06C"/>
      </w:r>
      <w:r w:rsidR="00C430B6" w:rsidRPr="00C3681E">
        <w:rPr>
          <w:rFonts w:ascii="Times New Roman" w:hAnsi="Times New Roman"/>
          <w:i/>
          <w:lang w:val="en-GB"/>
        </w:rPr>
        <w:t>’</w:t>
      </w:r>
      <w:r w:rsidR="00C430B6" w:rsidRPr="00C3681E">
        <w:rPr>
          <w:rFonts w:ascii="Times New Roman" w:hAnsi="Times New Roman"/>
          <w:lang w:val="en-GB"/>
        </w:rPr>
        <w:t>’</w:t>
      </w:r>
      <w:r w:rsidR="00C430B6" w:rsidRPr="00C3681E">
        <w:rPr>
          <w:lang w:val="en-GB"/>
        </w:rPr>
        <w:t>(</w:t>
      </w:r>
      <w:r w:rsidR="00C430B6" w:rsidRPr="00C3681E">
        <w:rPr>
          <w:rFonts w:ascii="Times New Roman" w:hAnsi="Times New Roman"/>
          <w:lang w:val="en-GB"/>
        </w:rPr>
        <w:t>β</w:t>
      </w:r>
      <w:r w:rsidR="00C430B6" w:rsidRPr="00C3681E">
        <w:rPr>
          <w:lang w:val="en-GB"/>
        </w:rPr>
        <w:t>|</w:t>
      </w:r>
      <w:r w:rsidR="00C430B6" w:rsidRPr="00C3681E">
        <w:rPr>
          <w:rFonts w:ascii="Times New Roman" w:hAnsi="Times New Roman"/>
          <w:i/>
          <w:lang w:val="en-GB"/>
        </w:rPr>
        <w:t>x</w:t>
      </w:r>
      <w:r w:rsidR="0078289F" w:rsidRPr="00C3681E">
        <w:rPr>
          <w:lang w:val="en-GB"/>
        </w:rPr>
        <w:t xml:space="preserve">) </w:t>
      </w:r>
      <w:r w:rsidR="00C430B6" w:rsidRPr="00C3681E">
        <w:rPr>
          <w:lang w:val="en-GB"/>
        </w:rPr>
        <w:t xml:space="preserve">are the </w:t>
      </w:r>
      <w:r w:rsidR="00C46EA0" w:rsidRPr="00C3681E">
        <w:rPr>
          <w:lang w:val="en-GB"/>
        </w:rPr>
        <w:t>prior  and</w:t>
      </w:r>
      <w:r w:rsidR="00C430B6" w:rsidRPr="00C3681E">
        <w:rPr>
          <w:lang w:val="en-GB"/>
        </w:rPr>
        <w:t xml:space="preserve"> </w:t>
      </w:r>
      <w:r w:rsidR="00C46EA0" w:rsidRPr="00C3681E">
        <w:rPr>
          <w:lang w:val="en-GB"/>
        </w:rPr>
        <w:t xml:space="preserve">posterior </w:t>
      </w:r>
      <w:r w:rsidR="00C430B6" w:rsidRPr="00C3681E">
        <w:rPr>
          <w:lang w:val="en-GB"/>
        </w:rPr>
        <w:t xml:space="preserve">probability distributions of </w:t>
      </w:r>
      <w:r w:rsidR="00C430B6" w:rsidRPr="00C3681E">
        <w:rPr>
          <w:rFonts w:ascii="Times New Roman" w:hAnsi="Times New Roman"/>
          <w:lang w:val="en-GB"/>
        </w:rPr>
        <w:t>β</w:t>
      </w:r>
      <w:r w:rsidR="00F9112C" w:rsidRPr="00C3681E">
        <w:rPr>
          <w:lang w:val="en-GB"/>
        </w:rPr>
        <w:t xml:space="preserve"> after a given period of usage of the storage tank</w:t>
      </w:r>
      <w:r w:rsidR="00C430B6" w:rsidRPr="00C3681E">
        <w:rPr>
          <w:lang w:val="en-GB"/>
        </w:rPr>
        <w:t xml:space="preserve">; and </w:t>
      </w:r>
      <w:r w:rsidR="00C430B6" w:rsidRPr="00C3681E">
        <w:rPr>
          <w:rFonts w:ascii="Times New Roman" w:hAnsi="Times New Roman"/>
          <w:i/>
          <w:lang w:val="en-GB"/>
        </w:rPr>
        <w:t>f</w:t>
      </w:r>
      <w:r w:rsidR="00C430B6" w:rsidRPr="00C3681E">
        <w:rPr>
          <w:lang w:val="en-GB"/>
        </w:rPr>
        <w:t>(</w:t>
      </w:r>
      <w:r w:rsidR="00C430B6" w:rsidRPr="00C3681E">
        <w:rPr>
          <w:rFonts w:ascii="Times New Roman" w:hAnsi="Times New Roman"/>
          <w:i/>
          <w:lang w:val="en-GB"/>
        </w:rPr>
        <w:t>x</w:t>
      </w:r>
      <w:r w:rsidR="00C430B6" w:rsidRPr="00C3681E">
        <w:rPr>
          <w:lang w:val="en-GB"/>
        </w:rPr>
        <w:t>|</w:t>
      </w:r>
      <w:r w:rsidR="00C430B6" w:rsidRPr="00C3681E">
        <w:rPr>
          <w:rFonts w:ascii="Times New Roman" w:hAnsi="Times New Roman"/>
          <w:lang w:val="en-GB"/>
        </w:rPr>
        <w:t>β</w:t>
      </w:r>
      <w:r w:rsidR="00C430B6" w:rsidRPr="00C3681E">
        <w:rPr>
          <w:lang w:val="en-GB"/>
        </w:rPr>
        <w:t>) is the likelihood function.</w:t>
      </w:r>
    </w:p>
    <w:p w14:paraId="4C3E5202" w14:textId="066316EA" w:rsidR="00F9112C" w:rsidRPr="00C3681E" w:rsidRDefault="00C3681E" w:rsidP="00C430B6">
      <w:pPr>
        <w:pStyle w:val="CETBodytext"/>
        <w:rPr>
          <w:lang w:val="en-GB"/>
        </w:rPr>
      </w:pPr>
      <w:r>
        <w:rPr>
          <w:lang w:val="en-GB"/>
        </w:rPr>
        <w:t>T</w:t>
      </w:r>
      <w:r w:rsidRPr="00C3681E">
        <w:rPr>
          <w:lang w:val="en-GB"/>
        </w:rPr>
        <w:t>he new value of the location parameter</w:t>
      </w:r>
      <w:r>
        <w:rPr>
          <w:lang w:val="en-GB"/>
        </w:rPr>
        <w:t>, a</w:t>
      </w:r>
      <w:r w:rsidR="00F9112C" w:rsidRPr="00C3681E">
        <w:rPr>
          <w:lang w:val="en-GB"/>
        </w:rPr>
        <w:t xml:space="preserve">fter the Bayesian inference, </w:t>
      </w:r>
      <w:r>
        <w:rPr>
          <w:lang w:val="en-GB"/>
        </w:rPr>
        <w:t>makes</w:t>
      </w:r>
      <w:r w:rsidR="00F9112C" w:rsidRPr="00C3681E">
        <w:rPr>
          <w:lang w:val="en-GB"/>
        </w:rPr>
        <w:t xml:space="preserve"> possible to drawn the expected plot position from which it is possible to determine the corrosion rate and the trend of the </w:t>
      </w:r>
      <w:r w:rsidR="00F9112C" w:rsidRPr="00C3681E">
        <w:rPr>
          <w:rFonts w:ascii="Times New Roman" w:hAnsi="Times New Roman"/>
          <w:i/>
          <w:lang w:val="en-GB"/>
        </w:rPr>
        <w:t>RUL</w:t>
      </w:r>
      <w:r w:rsidR="00F9112C" w:rsidRPr="00C3681E">
        <w:rPr>
          <w:lang w:val="en-GB"/>
        </w:rPr>
        <w:t>.</w:t>
      </w:r>
    </w:p>
    <w:p w14:paraId="0DDCE6C1" w14:textId="77777777" w:rsidR="00157D5B" w:rsidRPr="00C3681E" w:rsidRDefault="00157D5B" w:rsidP="00157D5B">
      <w:pPr>
        <w:pStyle w:val="CETHeading1"/>
        <w:tabs>
          <w:tab w:val="num" w:pos="360"/>
        </w:tabs>
        <w:rPr>
          <w:lang w:val="en-GB"/>
        </w:rPr>
      </w:pPr>
      <w:r w:rsidRPr="00C3681E">
        <w:rPr>
          <w:lang w:val="en-GB"/>
        </w:rPr>
        <w:t>Case-study</w:t>
      </w:r>
    </w:p>
    <w:p w14:paraId="6E8D2D49" w14:textId="1D82361E" w:rsidR="003F41D3" w:rsidRPr="00C3681E" w:rsidRDefault="00EE31A4" w:rsidP="003F41D3">
      <w:pPr>
        <w:pStyle w:val="CETBodytext"/>
        <w:rPr>
          <w:lang w:val="en-GB"/>
        </w:rPr>
      </w:pPr>
      <w:r w:rsidRPr="00C3681E">
        <w:rPr>
          <w:lang w:val="en-GB"/>
        </w:rPr>
        <w:t xml:space="preserve">The </w:t>
      </w:r>
      <w:r w:rsidR="0078289F" w:rsidRPr="00C3681E">
        <w:rPr>
          <w:lang w:val="en-GB"/>
        </w:rPr>
        <w:t>case-study refers to</w:t>
      </w:r>
      <w:r w:rsidRPr="00C3681E">
        <w:rPr>
          <w:lang w:val="en-GB"/>
        </w:rPr>
        <w:t xml:space="preserve"> a large fixed roof atmospheric tan</w:t>
      </w:r>
      <w:r w:rsidR="0078289F" w:rsidRPr="00C3681E">
        <w:rPr>
          <w:lang w:val="en-GB"/>
        </w:rPr>
        <w:t>k</w:t>
      </w:r>
      <w:r w:rsidRPr="00C3681E">
        <w:rPr>
          <w:lang w:val="en-GB"/>
        </w:rPr>
        <w:t>,</w:t>
      </w:r>
      <w:r w:rsidR="0078289F" w:rsidRPr="00C3681E">
        <w:rPr>
          <w:lang w:val="en-GB"/>
        </w:rPr>
        <w:t xml:space="preserve"> used</w:t>
      </w:r>
      <w:r w:rsidRPr="00C3681E">
        <w:rPr>
          <w:lang w:val="en-GB"/>
        </w:rPr>
        <w:t xml:space="preserve"> for the storage of different light aromatic solvents (e.g. </w:t>
      </w:r>
      <w:r w:rsidR="0078289F" w:rsidRPr="00C3681E">
        <w:rPr>
          <w:lang w:val="en-GB"/>
        </w:rPr>
        <w:t>naphtha solvent</w:t>
      </w:r>
      <w:r w:rsidRPr="00C3681E">
        <w:rPr>
          <w:lang w:val="en-GB"/>
        </w:rPr>
        <w:t xml:space="preserve">). </w:t>
      </w:r>
      <w:r w:rsidR="00867527" w:rsidRPr="00C3681E">
        <w:rPr>
          <w:lang w:val="en-GB"/>
        </w:rPr>
        <w:t xml:space="preserve">The tank has a </w:t>
      </w:r>
      <w:r w:rsidR="006C2D67" w:rsidRPr="00C3681E">
        <w:rPr>
          <w:lang w:val="en-GB"/>
        </w:rPr>
        <w:t xml:space="preserve">maximum </w:t>
      </w:r>
      <w:r w:rsidR="00867527" w:rsidRPr="00C3681E">
        <w:rPr>
          <w:lang w:val="en-GB"/>
        </w:rPr>
        <w:t xml:space="preserve">capacity of about 5000 </w:t>
      </w:r>
      <w:r w:rsidR="006C2D67" w:rsidRPr="00C3681E">
        <w:rPr>
          <w:lang w:val="en-GB"/>
        </w:rPr>
        <w:t>m</w:t>
      </w:r>
      <w:r w:rsidR="006C2D67" w:rsidRPr="00C3681E">
        <w:rPr>
          <w:vertAlign w:val="superscript"/>
          <w:lang w:val="en-GB"/>
        </w:rPr>
        <w:t>3</w:t>
      </w:r>
      <w:r w:rsidR="006C2D67" w:rsidRPr="00C3681E">
        <w:rPr>
          <w:lang w:val="en-GB"/>
        </w:rPr>
        <w:t xml:space="preserve"> </w:t>
      </w:r>
      <w:r w:rsidR="00867527" w:rsidRPr="00C3681E">
        <w:rPr>
          <w:lang w:val="en-GB"/>
        </w:rPr>
        <w:t xml:space="preserve">and it </w:t>
      </w:r>
      <w:r w:rsidR="0078289F" w:rsidRPr="00C3681E">
        <w:rPr>
          <w:lang w:val="en-GB"/>
        </w:rPr>
        <w:t>has been in-</w:t>
      </w:r>
      <w:r w:rsidR="009F1D28" w:rsidRPr="00C3681E">
        <w:rPr>
          <w:lang w:val="en-GB"/>
        </w:rPr>
        <w:t xml:space="preserve">service since 1962 </w:t>
      </w:r>
      <w:r w:rsidR="0078289F" w:rsidRPr="00C3681E">
        <w:rPr>
          <w:lang w:val="en-GB"/>
        </w:rPr>
        <w:t>in</w:t>
      </w:r>
      <w:r w:rsidR="009F1D28" w:rsidRPr="00C3681E">
        <w:rPr>
          <w:lang w:val="en-GB"/>
        </w:rPr>
        <w:t xml:space="preserve"> a Seveso site</w:t>
      </w:r>
      <w:r w:rsidR="0078289F" w:rsidRPr="00C3681E">
        <w:rPr>
          <w:lang w:val="en-GB"/>
        </w:rPr>
        <w:t>, included</w:t>
      </w:r>
      <w:r w:rsidR="009F1D28" w:rsidRPr="00C3681E">
        <w:rPr>
          <w:lang w:val="en-GB"/>
        </w:rPr>
        <w:t xml:space="preserve"> in an area featuring </w:t>
      </w:r>
      <w:r w:rsidR="00564257" w:rsidRPr="00C3681E">
        <w:rPr>
          <w:lang w:val="en-GB"/>
        </w:rPr>
        <w:t xml:space="preserve">residential buildings, highways and railways, as well as natural vulnerable </w:t>
      </w:r>
      <w:r w:rsidR="008338F2" w:rsidRPr="00C3681E">
        <w:rPr>
          <w:lang w:val="en-GB"/>
        </w:rPr>
        <w:t>elements (</w:t>
      </w:r>
      <w:r w:rsidR="00285FA1" w:rsidRPr="00C3681E">
        <w:rPr>
          <w:lang w:val="en-GB"/>
        </w:rPr>
        <w:t>a creek</w:t>
      </w:r>
      <w:r w:rsidR="00564257" w:rsidRPr="00C3681E">
        <w:rPr>
          <w:lang w:val="en-GB"/>
        </w:rPr>
        <w:t xml:space="preserve"> </w:t>
      </w:r>
      <w:r w:rsidR="006C2D67" w:rsidRPr="00C3681E">
        <w:rPr>
          <w:lang w:val="en-GB"/>
        </w:rPr>
        <w:t>a</w:t>
      </w:r>
      <w:r w:rsidR="00285FA1" w:rsidRPr="00C3681E">
        <w:rPr>
          <w:lang w:val="en-GB"/>
        </w:rPr>
        <w:t>nd a</w:t>
      </w:r>
      <w:r w:rsidR="006C2D67" w:rsidRPr="00C3681E">
        <w:rPr>
          <w:lang w:val="en-GB"/>
        </w:rPr>
        <w:t xml:space="preserve"> beach</w:t>
      </w:r>
      <w:r w:rsidR="008338F2" w:rsidRPr="00C3681E">
        <w:rPr>
          <w:lang w:val="en-GB"/>
        </w:rPr>
        <w:t>)</w:t>
      </w:r>
      <w:r w:rsidR="009F1D28" w:rsidRPr="00C3681E">
        <w:rPr>
          <w:lang w:val="en-GB"/>
        </w:rPr>
        <w:t>.</w:t>
      </w:r>
      <w:r w:rsidRPr="00C3681E">
        <w:rPr>
          <w:lang w:val="en-GB"/>
        </w:rPr>
        <w:t xml:space="preserve"> </w:t>
      </w:r>
      <w:r w:rsidR="009F1D28" w:rsidRPr="00C3681E">
        <w:rPr>
          <w:lang w:val="en-GB"/>
        </w:rPr>
        <w:t>Th</w:t>
      </w:r>
      <w:r w:rsidR="00C3681E">
        <w:rPr>
          <w:lang w:val="en-GB"/>
        </w:rPr>
        <w:t>e s</w:t>
      </w:r>
      <w:r w:rsidR="008338F2" w:rsidRPr="00C3681E">
        <w:rPr>
          <w:lang w:val="en-GB"/>
        </w:rPr>
        <w:t>tudy</w:t>
      </w:r>
      <w:r w:rsidR="009F1D28" w:rsidRPr="00C3681E">
        <w:rPr>
          <w:lang w:val="en-GB"/>
        </w:rPr>
        <w:t xml:space="preserve"> focused</w:t>
      </w:r>
      <w:r w:rsidR="008338F2" w:rsidRPr="00C3681E">
        <w:rPr>
          <w:lang w:val="en-GB"/>
        </w:rPr>
        <w:t xml:space="preserve"> on</w:t>
      </w:r>
      <w:r w:rsidR="009F1D28" w:rsidRPr="00C3681E">
        <w:rPr>
          <w:lang w:val="en-GB"/>
        </w:rPr>
        <w:t xml:space="preserve"> the tank bottom</w:t>
      </w:r>
      <w:r w:rsidR="008338F2" w:rsidRPr="00C3681E">
        <w:rPr>
          <w:lang w:val="en-GB"/>
        </w:rPr>
        <w:t>,</w:t>
      </w:r>
      <w:r w:rsidR="006C2D67" w:rsidRPr="00C3681E">
        <w:rPr>
          <w:lang w:val="en-GB"/>
        </w:rPr>
        <w:t xml:space="preserve"> which is critical</w:t>
      </w:r>
      <w:r w:rsidR="008338F2" w:rsidRPr="00C3681E">
        <w:rPr>
          <w:lang w:val="en-GB"/>
        </w:rPr>
        <w:t xml:space="preserve"> </w:t>
      </w:r>
      <w:r w:rsidR="006C2D67" w:rsidRPr="00C3681E">
        <w:rPr>
          <w:lang w:val="en-GB"/>
        </w:rPr>
        <w:t xml:space="preserve">because even </w:t>
      </w:r>
      <w:r w:rsidR="00867527" w:rsidRPr="00C3681E">
        <w:rPr>
          <w:lang w:val="en-GB"/>
        </w:rPr>
        <w:t xml:space="preserve">a </w:t>
      </w:r>
      <w:r w:rsidR="006C2D67" w:rsidRPr="00C3681E">
        <w:rPr>
          <w:lang w:val="en-GB"/>
        </w:rPr>
        <w:t>modest l</w:t>
      </w:r>
      <w:r w:rsidR="009F1D28" w:rsidRPr="00C3681E">
        <w:rPr>
          <w:lang w:val="en-GB"/>
        </w:rPr>
        <w:t>eak</w:t>
      </w:r>
      <w:r w:rsidR="006C2D67" w:rsidRPr="00C3681E">
        <w:rPr>
          <w:lang w:val="en-GB"/>
        </w:rPr>
        <w:t>age could pollute, through the groundwater, the creek, the beach and the sea with high remediation costs. The</w:t>
      </w:r>
      <w:r w:rsidR="000A7C03" w:rsidRPr="00C3681E">
        <w:rPr>
          <w:lang w:val="en-GB"/>
        </w:rPr>
        <w:t xml:space="preserve"> bottom is made by</w:t>
      </w:r>
      <w:r w:rsidR="006C2D67" w:rsidRPr="00C3681E">
        <w:rPr>
          <w:lang w:val="en-GB"/>
        </w:rPr>
        <w:t xml:space="preserve"> 53 carbon steel plates, welded each other to cover an area of about 360 m</w:t>
      </w:r>
      <w:r w:rsidR="006C2D67" w:rsidRPr="00C3681E">
        <w:rPr>
          <w:vertAlign w:val="superscript"/>
          <w:lang w:val="en-GB"/>
        </w:rPr>
        <w:t>2</w:t>
      </w:r>
      <w:r w:rsidR="006C2D67" w:rsidRPr="00C3681E">
        <w:rPr>
          <w:lang w:val="en-GB"/>
        </w:rPr>
        <w:t>.</w:t>
      </w:r>
      <w:r w:rsidRPr="00C3681E">
        <w:rPr>
          <w:lang w:val="en-GB"/>
        </w:rPr>
        <w:t xml:space="preserve"> </w:t>
      </w:r>
      <w:r w:rsidR="000A7C03" w:rsidRPr="00C3681E">
        <w:rPr>
          <w:lang w:val="en-GB"/>
        </w:rPr>
        <w:t>The nominal thickness is 8</w:t>
      </w:r>
      <w:r w:rsidR="008338F2" w:rsidRPr="00C3681E">
        <w:rPr>
          <w:lang w:val="en-GB"/>
        </w:rPr>
        <w:t xml:space="preserve"> </w:t>
      </w:r>
      <w:r w:rsidR="000A7C03" w:rsidRPr="00C3681E">
        <w:rPr>
          <w:lang w:val="en-GB"/>
        </w:rPr>
        <w:t>mm. In the last</w:t>
      </w:r>
      <w:r w:rsidR="00D73A82" w:rsidRPr="00C3681E">
        <w:rPr>
          <w:lang w:val="en-GB"/>
        </w:rPr>
        <w:t xml:space="preserve"> decade, it was inspected twice</w:t>
      </w:r>
      <w:r w:rsidR="000A7C03" w:rsidRPr="00C3681E">
        <w:rPr>
          <w:lang w:val="en-GB"/>
        </w:rPr>
        <w:t xml:space="preserve"> seven years apart. Before</w:t>
      </w:r>
      <w:r w:rsidR="00D73A82" w:rsidRPr="00C3681E">
        <w:rPr>
          <w:lang w:val="en-GB"/>
        </w:rPr>
        <w:t xml:space="preserve"> the</w:t>
      </w:r>
      <w:r w:rsidR="000A7C03" w:rsidRPr="00C3681E">
        <w:rPr>
          <w:lang w:val="en-GB"/>
        </w:rPr>
        <w:t xml:space="preserve"> inspections</w:t>
      </w:r>
      <w:r w:rsidR="00D73A82" w:rsidRPr="00C3681E">
        <w:rPr>
          <w:lang w:val="en-GB"/>
        </w:rPr>
        <w:t>, it</w:t>
      </w:r>
      <w:r w:rsidR="000A7C03" w:rsidRPr="00C3681E">
        <w:rPr>
          <w:lang w:val="en-GB"/>
        </w:rPr>
        <w:t xml:space="preserve"> was emptied and cleaned. Inspection protocol include</w:t>
      </w:r>
      <w:r w:rsidR="00970BB1" w:rsidRPr="00C3681E">
        <w:rPr>
          <w:lang w:val="en-GB"/>
        </w:rPr>
        <w:t>d an extensive</w:t>
      </w:r>
      <w:r w:rsidR="000A7C03" w:rsidRPr="00C3681E">
        <w:rPr>
          <w:lang w:val="en-GB"/>
        </w:rPr>
        <w:t xml:space="preserve"> visual inspection, a </w:t>
      </w:r>
      <w:r w:rsidR="00970BB1" w:rsidRPr="00C3681E">
        <w:rPr>
          <w:lang w:val="en-GB"/>
        </w:rPr>
        <w:t xml:space="preserve">complete </w:t>
      </w:r>
      <w:r w:rsidR="000A7C03" w:rsidRPr="00C3681E">
        <w:rPr>
          <w:lang w:val="en-GB"/>
        </w:rPr>
        <w:t>le</w:t>
      </w:r>
      <w:r w:rsidR="00D73A82" w:rsidRPr="00C3681E">
        <w:rPr>
          <w:lang w:val="en-GB"/>
        </w:rPr>
        <w:t>a</w:t>
      </w:r>
      <w:r w:rsidR="003E35A5" w:rsidRPr="00C3681E">
        <w:rPr>
          <w:lang w:val="en-GB"/>
        </w:rPr>
        <w:t>kage control and a number of</w:t>
      </w:r>
      <w:r w:rsidR="000A7C03" w:rsidRPr="00C3681E">
        <w:rPr>
          <w:lang w:val="en-GB"/>
        </w:rPr>
        <w:t xml:space="preserve"> UT</w:t>
      </w:r>
      <w:r w:rsidR="00285FA1" w:rsidRPr="00C3681E">
        <w:rPr>
          <w:lang w:val="en-GB"/>
        </w:rPr>
        <w:t>M</w:t>
      </w:r>
      <w:r w:rsidR="003E35A5" w:rsidRPr="00C3681E">
        <w:rPr>
          <w:lang w:val="en-GB"/>
        </w:rPr>
        <w:t xml:space="preserve"> for each plate of the bot</w:t>
      </w:r>
      <w:r w:rsidR="00285FA1" w:rsidRPr="00C3681E">
        <w:rPr>
          <w:lang w:val="en-GB"/>
        </w:rPr>
        <w:t xml:space="preserve">tom. The use of the </w:t>
      </w:r>
      <w:r w:rsidR="00C3681E">
        <w:rPr>
          <w:lang w:val="en-GB"/>
        </w:rPr>
        <w:t>M</w:t>
      </w:r>
      <w:r w:rsidR="00285FA1" w:rsidRPr="00C3681E">
        <w:rPr>
          <w:lang w:val="en-GB"/>
        </w:rPr>
        <w:t>FL</w:t>
      </w:r>
      <w:r w:rsidR="003E35A5" w:rsidRPr="00C3681E">
        <w:rPr>
          <w:lang w:val="en-GB"/>
        </w:rPr>
        <w:t xml:space="preserve"> was not possible because the </w:t>
      </w:r>
      <w:r w:rsidR="00C3681E">
        <w:rPr>
          <w:lang w:val="en-GB"/>
        </w:rPr>
        <w:t>tank</w:t>
      </w:r>
      <w:r w:rsidR="00285FA1" w:rsidRPr="00C3681E">
        <w:rPr>
          <w:lang w:val="en-GB"/>
        </w:rPr>
        <w:t xml:space="preserve"> configuration</w:t>
      </w:r>
      <w:r w:rsidR="000A7C03" w:rsidRPr="00C3681E">
        <w:rPr>
          <w:lang w:val="en-GB"/>
        </w:rPr>
        <w:t>.</w:t>
      </w:r>
      <w:r w:rsidR="00970BB1" w:rsidRPr="00C3681E">
        <w:rPr>
          <w:lang w:val="en-GB"/>
        </w:rPr>
        <w:t xml:space="preserve"> </w:t>
      </w:r>
      <w:r w:rsidR="00B46A74" w:rsidRPr="00C3681E">
        <w:rPr>
          <w:lang w:val="en-GB"/>
        </w:rPr>
        <w:t>The basic parameters</w:t>
      </w:r>
      <w:r w:rsidR="00D73A82" w:rsidRPr="00C3681E">
        <w:rPr>
          <w:lang w:val="en-GB"/>
        </w:rPr>
        <w:t xml:space="preserve"> of the</w:t>
      </w:r>
      <w:r w:rsidR="00BA1410" w:rsidRPr="00C3681E">
        <w:rPr>
          <w:lang w:val="en-GB"/>
        </w:rPr>
        <w:t>se</w:t>
      </w:r>
      <w:r w:rsidR="00D73A82" w:rsidRPr="00C3681E">
        <w:rPr>
          <w:lang w:val="en-GB"/>
        </w:rPr>
        <w:t xml:space="preserve"> inspections are given in Table </w:t>
      </w:r>
      <w:r w:rsidR="00B46A74" w:rsidRPr="00C3681E">
        <w:rPr>
          <w:lang w:val="en-GB"/>
        </w:rPr>
        <w:t>1</w:t>
      </w:r>
      <w:r w:rsidR="00D73A82" w:rsidRPr="00C3681E">
        <w:rPr>
          <w:lang w:val="en-GB"/>
        </w:rPr>
        <w:t>.</w:t>
      </w:r>
      <w:r w:rsidR="003F41D3" w:rsidRPr="00C3681E">
        <w:rPr>
          <w:lang w:val="en-GB"/>
        </w:rPr>
        <w:t xml:space="preserve"> Corrosion was quantified as</w:t>
      </w:r>
      <w:r w:rsidR="00A77A5A" w:rsidRPr="00C3681E">
        <w:rPr>
          <w:lang w:val="en-GB"/>
        </w:rPr>
        <w:t xml:space="preserve"> the difference between</w:t>
      </w:r>
      <w:r w:rsidR="00B86137" w:rsidRPr="00C3681E">
        <w:rPr>
          <w:lang w:val="en-GB"/>
        </w:rPr>
        <w:t xml:space="preserve"> the </w:t>
      </w:r>
      <w:r w:rsidR="00A77A5A" w:rsidRPr="00C3681E">
        <w:rPr>
          <w:lang w:val="en-GB"/>
        </w:rPr>
        <w:t>nominal thickness and the measured thickness.</w:t>
      </w:r>
    </w:p>
    <w:p w14:paraId="1C2BA294" w14:textId="77777777" w:rsidR="00D73A82" w:rsidRPr="00C3681E" w:rsidRDefault="00D73A82" w:rsidP="00D73A82">
      <w:pPr>
        <w:pStyle w:val="CETTabletitle"/>
      </w:pPr>
      <w:r w:rsidRPr="00C3681E">
        <w:lastRenderedPageBreak/>
        <w:t xml:space="preserve">Table 1: </w:t>
      </w:r>
      <w:r w:rsidR="00451B49" w:rsidRPr="00C3681E">
        <w:t>Basic inspection parameters.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1701"/>
        <w:gridCol w:w="1701"/>
        <w:gridCol w:w="1701"/>
        <w:gridCol w:w="1701"/>
      </w:tblGrid>
      <w:tr w:rsidR="00451B49" w:rsidRPr="00C3681E" w14:paraId="726AF0EF" w14:textId="77777777" w:rsidTr="00D73A82">
        <w:tc>
          <w:tcPr>
            <w:tcW w:w="1134" w:type="dxa"/>
            <w:tcBorders>
              <w:top w:val="single" w:sz="12" w:space="0" w:color="008000"/>
              <w:bottom w:val="single" w:sz="6" w:space="0" w:color="008000"/>
            </w:tcBorders>
            <w:shd w:val="clear" w:color="auto" w:fill="FFFFFF"/>
          </w:tcPr>
          <w:p w14:paraId="5108DA1C" w14:textId="77777777" w:rsidR="00451B49" w:rsidRPr="00C3681E" w:rsidRDefault="00451B49" w:rsidP="00451B49">
            <w:pPr>
              <w:pStyle w:val="CETBodytext"/>
              <w:jc w:val="center"/>
              <w:rPr>
                <w:lang w:val="en-GB"/>
              </w:rPr>
            </w:pPr>
            <w:r w:rsidRPr="00C3681E">
              <w:rPr>
                <w:lang w:val="en-GB"/>
              </w:rPr>
              <w:t>ID inspection</w:t>
            </w:r>
          </w:p>
        </w:tc>
        <w:tc>
          <w:tcPr>
            <w:tcW w:w="851" w:type="dxa"/>
            <w:tcBorders>
              <w:top w:val="single" w:sz="12" w:space="0" w:color="008000"/>
              <w:bottom w:val="single" w:sz="6" w:space="0" w:color="008000"/>
            </w:tcBorders>
            <w:shd w:val="clear" w:color="auto" w:fill="FFFFFF"/>
          </w:tcPr>
          <w:p w14:paraId="5BA455E9" w14:textId="77777777" w:rsidR="00451B49" w:rsidRPr="00C3681E" w:rsidRDefault="00451B49" w:rsidP="00451B49">
            <w:pPr>
              <w:pStyle w:val="CETBodytext"/>
              <w:jc w:val="center"/>
              <w:rPr>
                <w:lang w:val="en-GB"/>
              </w:rPr>
            </w:pPr>
            <w:r w:rsidRPr="00C3681E">
              <w:rPr>
                <w:lang w:val="en-GB"/>
              </w:rPr>
              <w:t>Year</w:t>
            </w:r>
          </w:p>
        </w:tc>
        <w:tc>
          <w:tcPr>
            <w:tcW w:w="1701" w:type="dxa"/>
            <w:tcBorders>
              <w:top w:val="single" w:sz="12" w:space="0" w:color="008000"/>
              <w:bottom w:val="single" w:sz="6" w:space="0" w:color="008000"/>
            </w:tcBorders>
            <w:shd w:val="clear" w:color="auto" w:fill="FFFFFF"/>
          </w:tcPr>
          <w:p w14:paraId="4A80C182" w14:textId="77777777" w:rsidR="00451B49" w:rsidRPr="00C3681E" w:rsidRDefault="00451B49" w:rsidP="00451B49">
            <w:pPr>
              <w:pStyle w:val="CETBodytext"/>
              <w:jc w:val="center"/>
              <w:rPr>
                <w:lang w:val="en-GB"/>
              </w:rPr>
            </w:pPr>
            <w:r w:rsidRPr="00C3681E">
              <w:rPr>
                <w:lang w:val="en-GB"/>
              </w:rPr>
              <w:t>No. points</w:t>
            </w:r>
          </w:p>
        </w:tc>
        <w:tc>
          <w:tcPr>
            <w:tcW w:w="1701" w:type="dxa"/>
            <w:tcBorders>
              <w:top w:val="single" w:sz="12" w:space="0" w:color="008000"/>
              <w:bottom w:val="single" w:sz="6" w:space="0" w:color="008000"/>
            </w:tcBorders>
            <w:shd w:val="clear" w:color="auto" w:fill="FFFFFF"/>
          </w:tcPr>
          <w:p w14:paraId="488C675A" w14:textId="77777777" w:rsidR="00451B49" w:rsidRPr="00C3681E" w:rsidRDefault="00451B49" w:rsidP="00451B49">
            <w:pPr>
              <w:pStyle w:val="CETBodytext"/>
              <w:tabs>
                <w:tab w:val="clear" w:pos="7100"/>
              </w:tabs>
              <w:jc w:val="center"/>
              <w:rPr>
                <w:lang w:val="en-GB"/>
              </w:rPr>
            </w:pPr>
            <w:r w:rsidRPr="00C3681E">
              <w:rPr>
                <w:lang w:val="en-GB"/>
              </w:rPr>
              <w:t>Average thickness</w:t>
            </w:r>
          </w:p>
        </w:tc>
        <w:tc>
          <w:tcPr>
            <w:tcW w:w="1701" w:type="dxa"/>
            <w:tcBorders>
              <w:top w:val="single" w:sz="12" w:space="0" w:color="008000"/>
              <w:bottom w:val="single" w:sz="6" w:space="0" w:color="008000"/>
            </w:tcBorders>
            <w:shd w:val="clear" w:color="auto" w:fill="FFFFFF"/>
          </w:tcPr>
          <w:p w14:paraId="4D65BA57" w14:textId="77777777" w:rsidR="00451B49" w:rsidRPr="00C3681E" w:rsidRDefault="00451B49" w:rsidP="00451B49">
            <w:pPr>
              <w:pStyle w:val="CETBodytext"/>
              <w:tabs>
                <w:tab w:val="clear" w:pos="7100"/>
              </w:tabs>
              <w:jc w:val="center"/>
              <w:rPr>
                <w:lang w:val="en-GB"/>
              </w:rPr>
            </w:pPr>
            <w:r w:rsidRPr="00C3681E">
              <w:rPr>
                <w:lang w:val="en-GB"/>
              </w:rPr>
              <w:t>Standard deviation</w:t>
            </w:r>
          </w:p>
        </w:tc>
        <w:tc>
          <w:tcPr>
            <w:tcW w:w="1701" w:type="dxa"/>
            <w:tcBorders>
              <w:top w:val="single" w:sz="12" w:space="0" w:color="008000"/>
              <w:bottom w:val="single" w:sz="6" w:space="0" w:color="008000"/>
            </w:tcBorders>
            <w:shd w:val="clear" w:color="auto" w:fill="FFFFFF"/>
          </w:tcPr>
          <w:p w14:paraId="52AA82DB" w14:textId="77777777" w:rsidR="00451B49" w:rsidRPr="00C3681E" w:rsidRDefault="00451B49" w:rsidP="00451B49">
            <w:pPr>
              <w:pStyle w:val="CETBodytext"/>
              <w:tabs>
                <w:tab w:val="clear" w:pos="7100"/>
              </w:tabs>
              <w:jc w:val="center"/>
              <w:rPr>
                <w:lang w:val="en-GB"/>
              </w:rPr>
            </w:pPr>
            <w:r w:rsidRPr="00C3681E">
              <w:rPr>
                <w:lang w:val="en-GB"/>
              </w:rPr>
              <w:t>Minimum thickness</w:t>
            </w:r>
          </w:p>
        </w:tc>
      </w:tr>
      <w:tr w:rsidR="00451B49" w:rsidRPr="00C3681E" w14:paraId="5836C8B1" w14:textId="77777777" w:rsidTr="00D73A82">
        <w:tc>
          <w:tcPr>
            <w:tcW w:w="1134" w:type="dxa"/>
            <w:shd w:val="clear" w:color="auto" w:fill="FFFFFF"/>
          </w:tcPr>
          <w:p w14:paraId="0BA9F7D0" w14:textId="77777777" w:rsidR="00451B49" w:rsidRPr="00C3681E" w:rsidRDefault="00451B49" w:rsidP="00451B49">
            <w:pPr>
              <w:pStyle w:val="CETBodytext"/>
              <w:jc w:val="center"/>
              <w:rPr>
                <w:lang w:val="en-GB"/>
              </w:rPr>
            </w:pPr>
            <w:r w:rsidRPr="00C3681E">
              <w:rPr>
                <w:lang w:val="en-GB"/>
              </w:rPr>
              <w:t>1</w:t>
            </w:r>
          </w:p>
        </w:tc>
        <w:tc>
          <w:tcPr>
            <w:tcW w:w="851" w:type="dxa"/>
            <w:shd w:val="clear" w:color="auto" w:fill="FFFFFF"/>
          </w:tcPr>
          <w:p w14:paraId="1294AB20" w14:textId="77777777" w:rsidR="00451B49" w:rsidRPr="00C3681E" w:rsidRDefault="00451B49" w:rsidP="00451B49">
            <w:pPr>
              <w:pStyle w:val="CETBodytext"/>
              <w:tabs>
                <w:tab w:val="clear" w:pos="7100"/>
              </w:tabs>
              <w:jc w:val="center"/>
              <w:rPr>
                <w:lang w:val="en-GB"/>
              </w:rPr>
            </w:pPr>
            <w:r w:rsidRPr="00C3681E">
              <w:rPr>
                <w:lang w:val="en-GB"/>
              </w:rPr>
              <w:t>2010</w:t>
            </w:r>
          </w:p>
        </w:tc>
        <w:tc>
          <w:tcPr>
            <w:tcW w:w="1701" w:type="dxa"/>
            <w:shd w:val="clear" w:color="auto" w:fill="FFFFFF"/>
          </w:tcPr>
          <w:p w14:paraId="6C75A5D1" w14:textId="77777777" w:rsidR="00451B49" w:rsidRPr="00C3681E" w:rsidRDefault="00451B49" w:rsidP="00451B49">
            <w:pPr>
              <w:pStyle w:val="CETBodytext"/>
              <w:tabs>
                <w:tab w:val="clear" w:pos="7100"/>
              </w:tabs>
              <w:jc w:val="center"/>
              <w:rPr>
                <w:lang w:val="en-GB"/>
              </w:rPr>
            </w:pPr>
            <w:r w:rsidRPr="00C3681E">
              <w:rPr>
                <w:lang w:val="en-GB"/>
              </w:rPr>
              <w:t>126</w:t>
            </w:r>
          </w:p>
        </w:tc>
        <w:tc>
          <w:tcPr>
            <w:tcW w:w="1701" w:type="dxa"/>
            <w:shd w:val="clear" w:color="auto" w:fill="FFFFFF"/>
          </w:tcPr>
          <w:p w14:paraId="78672FCB" w14:textId="77777777" w:rsidR="00451B49" w:rsidRPr="00C3681E" w:rsidRDefault="00451B49" w:rsidP="00451B49">
            <w:pPr>
              <w:pStyle w:val="CETBodytext"/>
              <w:tabs>
                <w:tab w:val="clear" w:pos="7100"/>
              </w:tabs>
              <w:jc w:val="center"/>
              <w:rPr>
                <w:lang w:val="en-GB"/>
              </w:rPr>
            </w:pPr>
            <w:r w:rsidRPr="00C3681E">
              <w:rPr>
                <w:lang w:val="en-GB"/>
              </w:rPr>
              <w:t>5.90</w:t>
            </w:r>
          </w:p>
        </w:tc>
        <w:tc>
          <w:tcPr>
            <w:tcW w:w="1701" w:type="dxa"/>
            <w:shd w:val="clear" w:color="auto" w:fill="FFFFFF"/>
          </w:tcPr>
          <w:p w14:paraId="29A17C1A" w14:textId="77777777" w:rsidR="00451B49" w:rsidRPr="00C3681E" w:rsidRDefault="00451B49" w:rsidP="00451B49">
            <w:pPr>
              <w:pStyle w:val="CETBodytext"/>
              <w:tabs>
                <w:tab w:val="clear" w:pos="7100"/>
              </w:tabs>
              <w:jc w:val="center"/>
              <w:rPr>
                <w:lang w:val="en-GB"/>
              </w:rPr>
            </w:pPr>
            <w:r w:rsidRPr="00C3681E">
              <w:rPr>
                <w:lang w:val="en-GB"/>
              </w:rPr>
              <w:t>0.30</w:t>
            </w:r>
          </w:p>
        </w:tc>
        <w:tc>
          <w:tcPr>
            <w:tcW w:w="1701" w:type="dxa"/>
            <w:shd w:val="clear" w:color="auto" w:fill="FFFFFF"/>
          </w:tcPr>
          <w:p w14:paraId="3322C6F1" w14:textId="77777777" w:rsidR="00451B49" w:rsidRPr="00C3681E" w:rsidRDefault="00451B49" w:rsidP="00451B49">
            <w:pPr>
              <w:pStyle w:val="CETBodytext"/>
              <w:tabs>
                <w:tab w:val="clear" w:pos="7100"/>
              </w:tabs>
              <w:jc w:val="center"/>
              <w:rPr>
                <w:lang w:val="en-GB"/>
              </w:rPr>
            </w:pPr>
            <w:r w:rsidRPr="00C3681E">
              <w:rPr>
                <w:lang w:val="en-GB"/>
              </w:rPr>
              <w:t>4.7</w:t>
            </w:r>
          </w:p>
        </w:tc>
      </w:tr>
      <w:tr w:rsidR="00451B49" w:rsidRPr="00C3681E" w14:paraId="70C7250F" w14:textId="77777777" w:rsidTr="00D73A82">
        <w:tc>
          <w:tcPr>
            <w:tcW w:w="1134" w:type="dxa"/>
            <w:shd w:val="clear" w:color="auto" w:fill="FFFFFF"/>
          </w:tcPr>
          <w:p w14:paraId="48BE1088" w14:textId="77777777" w:rsidR="00451B49" w:rsidRPr="00C3681E" w:rsidRDefault="00451B49" w:rsidP="00451B49">
            <w:pPr>
              <w:pStyle w:val="CETBodytext"/>
              <w:ind w:right="-1"/>
              <w:jc w:val="center"/>
              <w:rPr>
                <w:rFonts w:cs="Arial"/>
                <w:szCs w:val="18"/>
                <w:lang w:val="en-GB"/>
              </w:rPr>
            </w:pPr>
            <w:r w:rsidRPr="00C3681E">
              <w:rPr>
                <w:rFonts w:cs="Arial"/>
                <w:szCs w:val="18"/>
                <w:lang w:val="en-GB"/>
              </w:rPr>
              <w:t>2</w:t>
            </w:r>
          </w:p>
        </w:tc>
        <w:tc>
          <w:tcPr>
            <w:tcW w:w="851" w:type="dxa"/>
            <w:shd w:val="clear" w:color="auto" w:fill="FFFFFF"/>
          </w:tcPr>
          <w:p w14:paraId="3E8D1044" w14:textId="77777777" w:rsidR="00451B49" w:rsidRPr="00C3681E" w:rsidRDefault="00451B49" w:rsidP="00451B49">
            <w:pPr>
              <w:pStyle w:val="CETBodytext"/>
              <w:tabs>
                <w:tab w:val="clear" w:pos="7100"/>
              </w:tabs>
              <w:jc w:val="center"/>
              <w:rPr>
                <w:lang w:val="en-GB"/>
              </w:rPr>
            </w:pPr>
            <w:r w:rsidRPr="00C3681E">
              <w:rPr>
                <w:lang w:val="en-GB"/>
              </w:rPr>
              <w:t>2017</w:t>
            </w:r>
          </w:p>
        </w:tc>
        <w:tc>
          <w:tcPr>
            <w:tcW w:w="1701" w:type="dxa"/>
            <w:shd w:val="clear" w:color="auto" w:fill="FFFFFF"/>
          </w:tcPr>
          <w:p w14:paraId="44B5D8E5" w14:textId="77777777" w:rsidR="00451B49" w:rsidRPr="00C3681E" w:rsidRDefault="00451B49" w:rsidP="00451B49">
            <w:pPr>
              <w:pStyle w:val="CETBodytext"/>
              <w:tabs>
                <w:tab w:val="clear" w:pos="7100"/>
              </w:tabs>
              <w:jc w:val="center"/>
              <w:rPr>
                <w:lang w:val="en-GB"/>
              </w:rPr>
            </w:pPr>
            <w:r w:rsidRPr="00C3681E">
              <w:rPr>
                <w:lang w:val="en-GB"/>
              </w:rPr>
              <w:t>252</w:t>
            </w:r>
          </w:p>
        </w:tc>
        <w:tc>
          <w:tcPr>
            <w:tcW w:w="1701" w:type="dxa"/>
            <w:shd w:val="clear" w:color="auto" w:fill="FFFFFF"/>
          </w:tcPr>
          <w:p w14:paraId="0F4E9B04" w14:textId="77777777" w:rsidR="00451B49" w:rsidRPr="00C3681E" w:rsidRDefault="00451B49" w:rsidP="00451B49">
            <w:pPr>
              <w:pStyle w:val="CETBodytext"/>
              <w:tabs>
                <w:tab w:val="clear" w:pos="7100"/>
              </w:tabs>
              <w:jc w:val="center"/>
              <w:rPr>
                <w:lang w:val="en-GB"/>
              </w:rPr>
            </w:pPr>
            <w:r w:rsidRPr="00C3681E">
              <w:rPr>
                <w:lang w:val="en-GB"/>
              </w:rPr>
              <w:t>5.79</w:t>
            </w:r>
          </w:p>
        </w:tc>
        <w:tc>
          <w:tcPr>
            <w:tcW w:w="1701" w:type="dxa"/>
            <w:shd w:val="clear" w:color="auto" w:fill="FFFFFF"/>
          </w:tcPr>
          <w:p w14:paraId="559DA96A" w14:textId="77777777" w:rsidR="00451B49" w:rsidRPr="00C3681E" w:rsidRDefault="00451B49" w:rsidP="00451B49">
            <w:pPr>
              <w:pStyle w:val="CETBodytext"/>
              <w:tabs>
                <w:tab w:val="clear" w:pos="7100"/>
              </w:tabs>
              <w:jc w:val="center"/>
              <w:rPr>
                <w:lang w:val="en-GB"/>
              </w:rPr>
            </w:pPr>
            <w:r w:rsidRPr="00C3681E">
              <w:rPr>
                <w:lang w:val="en-GB"/>
              </w:rPr>
              <w:t>0.23</w:t>
            </w:r>
          </w:p>
        </w:tc>
        <w:tc>
          <w:tcPr>
            <w:tcW w:w="1701" w:type="dxa"/>
            <w:shd w:val="clear" w:color="auto" w:fill="FFFFFF"/>
          </w:tcPr>
          <w:p w14:paraId="1C7933DB" w14:textId="77777777" w:rsidR="00451B49" w:rsidRPr="00C3681E" w:rsidRDefault="00451B49" w:rsidP="00451B49">
            <w:pPr>
              <w:pStyle w:val="CETBodytext"/>
              <w:tabs>
                <w:tab w:val="clear" w:pos="7100"/>
              </w:tabs>
              <w:jc w:val="center"/>
              <w:rPr>
                <w:lang w:val="en-GB"/>
              </w:rPr>
            </w:pPr>
            <w:r w:rsidRPr="00C3681E">
              <w:rPr>
                <w:lang w:val="en-GB"/>
              </w:rPr>
              <w:t>3.9</w:t>
            </w:r>
          </w:p>
        </w:tc>
      </w:tr>
    </w:tbl>
    <w:p w14:paraId="22E59BC0" w14:textId="77777777" w:rsidR="00157D5B" w:rsidRPr="00C3681E" w:rsidRDefault="00AF5050" w:rsidP="00157D5B">
      <w:pPr>
        <w:pStyle w:val="CETHeading1"/>
        <w:tabs>
          <w:tab w:val="num" w:pos="360"/>
        </w:tabs>
        <w:rPr>
          <w:lang w:val="en-GB"/>
        </w:rPr>
      </w:pPr>
      <w:r w:rsidRPr="00C3681E">
        <w:rPr>
          <w:lang w:val="en-GB"/>
        </w:rPr>
        <w:t>R</w:t>
      </w:r>
      <w:r w:rsidR="00157D5B" w:rsidRPr="00C3681E">
        <w:rPr>
          <w:lang w:val="en-GB"/>
        </w:rPr>
        <w:t>esults</w:t>
      </w:r>
    </w:p>
    <w:p w14:paraId="5D94CC6C" w14:textId="23A358F7" w:rsidR="00AD0948" w:rsidRPr="00C3681E" w:rsidRDefault="00AF5050" w:rsidP="00AD0948">
      <w:pPr>
        <w:pStyle w:val="CETBodytext"/>
        <w:rPr>
          <w:lang w:val="en-GB"/>
        </w:rPr>
      </w:pPr>
      <w:r w:rsidRPr="00C3681E">
        <w:rPr>
          <w:lang w:val="en-GB"/>
        </w:rPr>
        <w:t>T</w:t>
      </w:r>
      <w:r w:rsidR="00264F97" w:rsidRPr="00C3681E">
        <w:rPr>
          <w:lang w:val="en-GB"/>
        </w:rPr>
        <w:t>he</w:t>
      </w:r>
      <w:r w:rsidRPr="00C3681E">
        <w:rPr>
          <w:lang w:val="en-GB"/>
        </w:rPr>
        <w:t xml:space="preserve"> set of the maximum corrosion depth</w:t>
      </w:r>
      <w:r w:rsidR="00A77A5A" w:rsidRPr="00C3681E">
        <w:rPr>
          <w:lang w:val="en-GB"/>
        </w:rPr>
        <w:t>s</w:t>
      </w:r>
      <w:r w:rsidR="00264F97" w:rsidRPr="00C3681E">
        <w:rPr>
          <w:lang w:val="en-GB"/>
        </w:rPr>
        <w:t xml:space="preserve"> </w:t>
      </w:r>
      <w:r w:rsidR="00A77A5A" w:rsidRPr="00C3681E">
        <w:rPr>
          <w:lang w:val="en-GB"/>
        </w:rPr>
        <w:t>at</w:t>
      </w:r>
      <w:r w:rsidRPr="00C3681E">
        <w:rPr>
          <w:lang w:val="en-GB"/>
        </w:rPr>
        <w:t xml:space="preserve"> each plate was analysed. </w:t>
      </w:r>
      <w:r w:rsidR="00264F97" w:rsidRPr="00C3681E">
        <w:rPr>
          <w:lang w:val="en-GB"/>
        </w:rPr>
        <w:t>A Gumbel plot of the cumulative probability versus the</w:t>
      </w:r>
      <w:r w:rsidRPr="00C3681E">
        <w:rPr>
          <w:lang w:val="en-GB"/>
        </w:rPr>
        <w:t xml:space="preserve"> </w:t>
      </w:r>
      <w:r w:rsidR="00264F97" w:rsidRPr="00C3681E">
        <w:rPr>
          <w:lang w:val="en-GB"/>
        </w:rPr>
        <w:t xml:space="preserve">backside corrosion was produced </w:t>
      </w:r>
      <w:r w:rsidR="00A77A5A" w:rsidRPr="00C3681E">
        <w:rPr>
          <w:lang w:val="en-GB"/>
        </w:rPr>
        <w:t>by using data of 2010 and 2017</w:t>
      </w:r>
      <w:r w:rsidR="00C3681E">
        <w:rPr>
          <w:lang w:val="en-GB"/>
        </w:rPr>
        <w:t xml:space="preserve"> (given these were the most recent available data)</w:t>
      </w:r>
      <w:r w:rsidR="00A77A5A" w:rsidRPr="00C3681E">
        <w:rPr>
          <w:lang w:val="en-GB"/>
        </w:rPr>
        <w:t xml:space="preserve"> </w:t>
      </w:r>
      <w:r w:rsidR="00264F97" w:rsidRPr="00C3681E">
        <w:rPr>
          <w:lang w:val="en-GB"/>
        </w:rPr>
        <w:t>and the regression line was obtained</w:t>
      </w:r>
      <w:r w:rsidR="00A77A5A" w:rsidRPr="00C3681E">
        <w:rPr>
          <w:lang w:val="en-GB"/>
        </w:rPr>
        <w:t xml:space="preserve"> (</w:t>
      </w:r>
      <w:r w:rsidR="00AD0948" w:rsidRPr="00C3681E">
        <w:rPr>
          <w:lang w:val="en-GB"/>
        </w:rPr>
        <w:t>Figure 1</w:t>
      </w:r>
      <w:r w:rsidR="00A77A5A" w:rsidRPr="00C3681E">
        <w:rPr>
          <w:lang w:val="en-GB"/>
        </w:rPr>
        <w:t>). T</w:t>
      </w:r>
      <w:r w:rsidR="00A3715B" w:rsidRPr="00C3681E">
        <w:rPr>
          <w:lang w:val="en-GB"/>
        </w:rPr>
        <w:t>he</w:t>
      </w:r>
      <w:r w:rsidR="00164279" w:rsidRPr="00C3681E">
        <w:rPr>
          <w:lang w:val="en-GB"/>
        </w:rPr>
        <w:t xml:space="preserve"> parameters </w:t>
      </w:r>
      <w:r w:rsidR="00A3715B" w:rsidRPr="00C3681E">
        <w:rPr>
          <w:lang w:val="en-GB"/>
        </w:rPr>
        <w:t xml:space="preserve">of the distribution </w:t>
      </w:r>
      <w:r w:rsidR="00164279" w:rsidRPr="00C3681E">
        <w:rPr>
          <w:lang w:val="en-GB"/>
        </w:rPr>
        <w:t xml:space="preserve">are shown in Table </w:t>
      </w:r>
      <w:r w:rsidR="003F41D3" w:rsidRPr="00C3681E">
        <w:rPr>
          <w:lang w:val="en-GB"/>
        </w:rPr>
        <w:t>2</w:t>
      </w:r>
      <w:r w:rsidR="00164279" w:rsidRPr="00C3681E">
        <w:rPr>
          <w:lang w:val="en-GB"/>
        </w:rPr>
        <w:t>.</w:t>
      </w:r>
    </w:p>
    <w:p w14:paraId="30732380" w14:textId="4C98B20E" w:rsidR="009162D0" w:rsidRPr="00C3681E" w:rsidRDefault="00916789" w:rsidP="00AD0948">
      <w:pPr>
        <w:pStyle w:val="CETBodytext"/>
        <w:rPr>
          <w:lang w:val="en-GB"/>
        </w:rPr>
      </w:pPr>
      <w:r w:rsidRPr="00C3681E">
        <w:rPr>
          <w:noProof/>
          <w:lang w:val="it-IT" w:eastAsia="it-IT"/>
        </w:rPr>
        <mc:AlternateContent>
          <mc:Choice Requires="wps">
            <w:drawing>
              <wp:anchor distT="45720" distB="45720" distL="114300" distR="114300" simplePos="0" relativeHeight="251659264" behindDoc="0" locked="0" layoutInCell="1" allowOverlap="1" wp14:anchorId="60E19C42" wp14:editId="5A0F6716">
                <wp:simplePos x="0" y="0"/>
                <wp:positionH relativeFrom="margin">
                  <wp:posOffset>-66675</wp:posOffset>
                </wp:positionH>
                <wp:positionV relativeFrom="paragraph">
                  <wp:posOffset>40640</wp:posOffset>
                </wp:positionV>
                <wp:extent cx="5076825" cy="1404620"/>
                <wp:effectExtent l="0" t="0" r="0"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noFill/>
                        <a:ln w="9525">
                          <a:noFill/>
                          <a:miter lim="800000"/>
                          <a:headEnd/>
                          <a:tailEnd/>
                        </a:ln>
                      </wps:spPr>
                      <wps:txbx>
                        <w:txbxContent>
                          <w:p w14:paraId="1A617986" w14:textId="68C8DB2E" w:rsidR="00C80B1F" w:rsidRPr="00C80B1F" w:rsidRDefault="00C80B1F">
                            <w:r>
                              <w:t xml:space="preserve">(a)                                            </w:t>
                            </w:r>
                            <w:r w:rsidR="00C25493">
                              <w:t xml:space="preserve"> </w:t>
                            </w:r>
                            <w:r>
                              <w:t xml:space="preserve">                        </w:t>
                            </w:r>
                            <w:r w:rsidR="00E24FAA">
                              <w:t xml:space="preserve">       </w:t>
                            </w:r>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5.25pt;margin-top:3.2pt;width:39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" filled="f" stroked="f">
                <v:textbox style="mso-fit-shape-to-text:t">
                  <w:txbxContent>
                    <w:p w14:paraId="1A617986" w14:textId="68C8DB2E" w:rsidR="00C80B1F" w:rsidRPr="00C80B1F" w:rsidRDefault="00C80B1F">
                      <w:r>
                        <w:t xml:space="preserve">(a)                                            </w:t>
                      </w:r>
                      <w:r w:rsidR="00C25493">
                        <w:t xml:space="preserve"> </w:t>
                      </w:r>
                      <w:r>
                        <w:t xml:space="preserve">                        </w:t>
                      </w:r>
                      <w:r w:rsidR="00E24FAA">
                        <w:t xml:space="preserve">       </w:t>
                      </w:r>
                      <w:r>
                        <w:t>(b)</w:t>
                      </w:r>
                    </w:p>
                  </w:txbxContent>
                </v:textbox>
                <w10:wrap anchorx="margin"/>
              </v:shape>
            </w:pict>
          </mc:Fallback>
        </mc:AlternateContent>
      </w:r>
      <w:r w:rsidR="00664DF3" w:rsidRPr="00341BAF">
        <w:rPr>
          <w:rFonts w:ascii="Times New Roman" w:hAnsi="Times New Roman"/>
          <w:noProof/>
          <w:lang w:val="it-IT" w:eastAsia="it-IT"/>
        </w:rPr>
        <w:drawing>
          <wp:inline distT="0" distB="0" distL="0" distR="0" wp14:anchorId="483C0778" wp14:editId="13182189">
            <wp:extent cx="2519542" cy="2491740"/>
            <wp:effectExtent l="0" t="0" r="0" b="3810"/>
            <wp:docPr id="24" name="Immagine 24"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all"/>
                    <pic:cNvPicPr>
                      <a:picLocks noChangeAspect="1" noChangeArrowheads="1"/>
                    </pic:cNvPicPr>
                  </pic:nvPicPr>
                  <pic:blipFill>
                    <a:blip r:embed="rId28">
                      <a:extLst>
                        <a:ext uri="{28A0092B-C50C-407E-A947-70E740481C1C}">
                          <a14:useLocalDpi xmlns:a14="http://schemas.microsoft.com/office/drawing/2010/main" val="0"/>
                        </a:ext>
                      </a:extLst>
                    </a:blip>
                    <a:srcRect t="1720"/>
                    <a:stretch>
                      <a:fillRect/>
                    </a:stretch>
                  </pic:blipFill>
                  <pic:spPr bwMode="auto">
                    <a:xfrm>
                      <a:off x="0" y="0"/>
                      <a:ext cx="2522828" cy="2494990"/>
                    </a:xfrm>
                    <a:prstGeom prst="rect">
                      <a:avLst/>
                    </a:prstGeom>
                    <a:noFill/>
                    <a:ln>
                      <a:noFill/>
                    </a:ln>
                  </pic:spPr>
                </pic:pic>
              </a:graphicData>
            </a:graphic>
          </wp:inline>
        </w:drawing>
      </w:r>
      <w:r w:rsidR="009162D0" w:rsidRPr="00C3681E">
        <w:rPr>
          <w:noProof/>
          <w:lang w:val="en-GB" w:eastAsia="it-IT"/>
        </w:rPr>
        <w:t xml:space="preserve"> </w:t>
      </w:r>
      <w:r w:rsidR="00664DF3" w:rsidRPr="00341BAF">
        <w:rPr>
          <w:rFonts w:ascii="Times New Roman" w:hAnsi="Times New Roman"/>
          <w:noProof/>
          <w:lang w:val="it-IT" w:eastAsia="it-IT"/>
        </w:rPr>
        <w:drawing>
          <wp:inline distT="0" distB="0" distL="0" distR="0" wp14:anchorId="373B3AB8" wp14:editId="6EC24865">
            <wp:extent cx="2545164" cy="2522220"/>
            <wp:effectExtent l="0" t="0" r="7620" b="0"/>
            <wp:docPr id="23" name="Immagine 23" descr="Figura plot position 2017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a plot position 2017 small"/>
                    <pic:cNvPicPr>
                      <a:picLocks noChangeAspect="1" noChangeArrowheads="1"/>
                    </pic:cNvPicPr>
                  </pic:nvPicPr>
                  <pic:blipFill>
                    <a:blip r:embed="rId29">
                      <a:extLst>
                        <a:ext uri="{28A0092B-C50C-407E-A947-70E740481C1C}">
                          <a14:useLocalDpi xmlns:a14="http://schemas.microsoft.com/office/drawing/2010/main" val="0"/>
                        </a:ext>
                      </a:extLst>
                    </a:blip>
                    <a:srcRect b="1492"/>
                    <a:stretch>
                      <a:fillRect/>
                    </a:stretch>
                  </pic:blipFill>
                  <pic:spPr bwMode="auto">
                    <a:xfrm>
                      <a:off x="0" y="0"/>
                      <a:ext cx="2547091" cy="2524129"/>
                    </a:xfrm>
                    <a:prstGeom prst="rect">
                      <a:avLst/>
                    </a:prstGeom>
                    <a:noFill/>
                    <a:ln>
                      <a:noFill/>
                    </a:ln>
                  </pic:spPr>
                </pic:pic>
              </a:graphicData>
            </a:graphic>
          </wp:inline>
        </w:drawing>
      </w:r>
    </w:p>
    <w:p w14:paraId="4C25BE4A" w14:textId="77777777" w:rsidR="00D70318" w:rsidRPr="00C3681E" w:rsidRDefault="00D70318" w:rsidP="00E24FAA">
      <w:pPr>
        <w:pStyle w:val="CETCaption"/>
        <w:spacing w:before="0"/>
      </w:pPr>
      <w:r w:rsidRPr="00C3681E">
        <w:t>Figure 1: (a) Plot position 2010, (b) Plot position 2017.</w:t>
      </w:r>
    </w:p>
    <w:p w14:paraId="5F020016" w14:textId="77777777" w:rsidR="00164279" w:rsidRPr="00C3681E" w:rsidRDefault="00164279" w:rsidP="00164279">
      <w:pPr>
        <w:pStyle w:val="CETTabletitle"/>
      </w:pPr>
      <w:r w:rsidRPr="00C3681E">
        <w:t xml:space="preserve">Table </w:t>
      </w:r>
      <w:r w:rsidR="00F9112C" w:rsidRPr="00C3681E">
        <w:t>2</w:t>
      </w:r>
      <w:r w:rsidRPr="00C3681E">
        <w:t>: Gumbel parameters.</w:t>
      </w:r>
    </w:p>
    <w:tbl>
      <w:tblPr>
        <w:tblW w:w="652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2268"/>
        <w:gridCol w:w="2268"/>
      </w:tblGrid>
      <w:tr w:rsidR="00285FA1" w:rsidRPr="00C3681E" w14:paraId="33984DEB" w14:textId="77777777" w:rsidTr="00285FA1">
        <w:tc>
          <w:tcPr>
            <w:tcW w:w="1134" w:type="dxa"/>
            <w:tcBorders>
              <w:top w:val="single" w:sz="12" w:space="0" w:color="008000"/>
              <w:bottom w:val="single" w:sz="6" w:space="0" w:color="008000"/>
            </w:tcBorders>
            <w:shd w:val="clear" w:color="auto" w:fill="FFFFFF"/>
          </w:tcPr>
          <w:p w14:paraId="6ACA38B6" w14:textId="77777777" w:rsidR="00285FA1" w:rsidRPr="00C3681E" w:rsidRDefault="00285FA1" w:rsidP="00154A4E">
            <w:pPr>
              <w:pStyle w:val="CETBodytext"/>
              <w:jc w:val="center"/>
              <w:rPr>
                <w:lang w:val="en-GB"/>
              </w:rPr>
            </w:pPr>
            <w:r w:rsidRPr="00C3681E">
              <w:rPr>
                <w:lang w:val="en-GB"/>
              </w:rPr>
              <w:t>ID inspection</w:t>
            </w:r>
          </w:p>
        </w:tc>
        <w:tc>
          <w:tcPr>
            <w:tcW w:w="851" w:type="dxa"/>
            <w:tcBorders>
              <w:top w:val="single" w:sz="12" w:space="0" w:color="008000"/>
              <w:bottom w:val="single" w:sz="6" w:space="0" w:color="008000"/>
            </w:tcBorders>
            <w:shd w:val="clear" w:color="auto" w:fill="FFFFFF"/>
          </w:tcPr>
          <w:p w14:paraId="6AEE8D75" w14:textId="77777777" w:rsidR="00285FA1" w:rsidRPr="00C3681E" w:rsidRDefault="00285FA1" w:rsidP="00154A4E">
            <w:pPr>
              <w:pStyle w:val="CETBodytext"/>
              <w:jc w:val="center"/>
              <w:rPr>
                <w:lang w:val="en-GB"/>
              </w:rPr>
            </w:pPr>
            <w:r w:rsidRPr="00C3681E">
              <w:rPr>
                <w:lang w:val="en-GB"/>
              </w:rPr>
              <w:t>Year</w:t>
            </w:r>
          </w:p>
        </w:tc>
        <w:tc>
          <w:tcPr>
            <w:tcW w:w="2268" w:type="dxa"/>
            <w:tcBorders>
              <w:top w:val="single" w:sz="12" w:space="0" w:color="008000"/>
              <w:bottom w:val="single" w:sz="6" w:space="0" w:color="008000"/>
            </w:tcBorders>
            <w:shd w:val="clear" w:color="auto" w:fill="FFFFFF"/>
          </w:tcPr>
          <w:p w14:paraId="5CB5BEB5" w14:textId="77777777" w:rsidR="00285FA1" w:rsidRPr="00C3681E" w:rsidRDefault="00285FA1" w:rsidP="00154A4E">
            <w:pPr>
              <w:pStyle w:val="CETBodytext"/>
              <w:jc w:val="center"/>
              <w:rPr>
                <w:lang w:val="en-GB"/>
              </w:rPr>
            </w:pPr>
            <w:r w:rsidRPr="00C3681E">
              <w:rPr>
                <w:rFonts w:cs="Arial"/>
                <w:lang w:val="en-GB"/>
              </w:rPr>
              <w:t>Scale parameter (</w:t>
            </w:r>
            <w:r w:rsidRPr="00C3681E">
              <w:rPr>
                <w:rFonts w:ascii="Times New Roman" w:hAnsi="Times New Roman"/>
                <w:lang w:val="en-GB"/>
              </w:rPr>
              <w:t>α</w:t>
            </w:r>
            <w:r w:rsidRPr="00C3681E">
              <w:rPr>
                <w:rFonts w:cs="Arial"/>
                <w:lang w:val="en-GB"/>
              </w:rPr>
              <w:t>)</w:t>
            </w:r>
          </w:p>
        </w:tc>
        <w:tc>
          <w:tcPr>
            <w:tcW w:w="2268" w:type="dxa"/>
            <w:tcBorders>
              <w:top w:val="single" w:sz="12" w:space="0" w:color="008000"/>
              <w:bottom w:val="single" w:sz="6" w:space="0" w:color="008000"/>
            </w:tcBorders>
            <w:shd w:val="clear" w:color="auto" w:fill="FFFFFF"/>
          </w:tcPr>
          <w:p w14:paraId="436213AC" w14:textId="77777777" w:rsidR="00285FA1" w:rsidRPr="00C3681E" w:rsidRDefault="00285FA1" w:rsidP="00164279">
            <w:pPr>
              <w:pStyle w:val="CETBodytext"/>
              <w:tabs>
                <w:tab w:val="clear" w:pos="7100"/>
              </w:tabs>
              <w:jc w:val="center"/>
              <w:rPr>
                <w:lang w:val="en-GB"/>
              </w:rPr>
            </w:pPr>
            <w:r w:rsidRPr="00C3681E">
              <w:rPr>
                <w:rFonts w:cs="Arial"/>
                <w:lang w:val="en-GB"/>
              </w:rPr>
              <w:t>Position parameter (</w:t>
            </w:r>
            <w:r w:rsidRPr="00C3681E">
              <w:rPr>
                <w:rFonts w:ascii="Times New Roman" w:hAnsi="Times New Roman"/>
                <w:lang w:val="en-GB"/>
              </w:rPr>
              <w:t>β</w:t>
            </w:r>
            <w:r w:rsidRPr="00C3681E">
              <w:rPr>
                <w:rFonts w:cs="Arial"/>
                <w:lang w:val="en-GB"/>
              </w:rPr>
              <w:t>)</w:t>
            </w:r>
          </w:p>
        </w:tc>
      </w:tr>
      <w:tr w:rsidR="00285FA1" w:rsidRPr="00C3681E" w14:paraId="48717140" w14:textId="77777777" w:rsidTr="00285FA1">
        <w:tc>
          <w:tcPr>
            <w:tcW w:w="1134" w:type="dxa"/>
            <w:shd w:val="clear" w:color="auto" w:fill="FFFFFF"/>
          </w:tcPr>
          <w:p w14:paraId="74F1EFE8" w14:textId="77777777" w:rsidR="00285FA1" w:rsidRPr="00C3681E" w:rsidRDefault="00285FA1" w:rsidP="00154A4E">
            <w:pPr>
              <w:pStyle w:val="CETBodytext"/>
              <w:jc w:val="center"/>
              <w:rPr>
                <w:lang w:val="en-GB"/>
              </w:rPr>
            </w:pPr>
            <w:r w:rsidRPr="00C3681E">
              <w:rPr>
                <w:lang w:val="en-GB"/>
              </w:rPr>
              <w:t>1</w:t>
            </w:r>
          </w:p>
        </w:tc>
        <w:tc>
          <w:tcPr>
            <w:tcW w:w="851" w:type="dxa"/>
            <w:shd w:val="clear" w:color="auto" w:fill="FFFFFF"/>
          </w:tcPr>
          <w:p w14:paraId="008D98B0" w14:textId="77777777" w:rsidR="00285FA1" w:rsidRPr="00C3681E" w:rsidRDefault="00285FA1" w:rsidP="00154A4E">
            <w:pPr>
              <w:pStyle w:val="CETBodytext"/>
              <w:tabs>
                <w:tab w:val="clear" w:pos="7100"/>
              </w:tabs>
              <w:jc w:val="center"/>
              <w:rPr>
                <w:lang w:val="en-GB"/>
              </w:rPr>
            </w:pPr>
            <w:r w:rsidRPr="00C3681E">
              <w:rPr>
                <w:lang w:val="en-GB"/>
              </w:rPr>
              <w:t>2010</w:t>
            </w:r>
          </w:p>
        </w:tc>
        <w:tc>
          <w:tcPr>
            <w:tcW w:w="2268" w:type="dxa"/>
            <w:shd w:val="clear" w:color="auto" w:fill="FFFFFF"/>
          </w:tcPr>
          <w:p w14:paraId="53273FB9" w14:textId="77777777" w:rsidR="00285FA1" w:rsidRPr="00C3681E" w:rsidRDefault="00285FA1" w:rsidP="00154A4E">
            <w:pPr>
              <w:pStyle w:val="CETBodytext"/>
              <w:tabs>
                <w:tab w:val="clear" w:pos="7100"/>
              </w:tabs>
              <w:jc w:val="center"/>
              <w:rPr>
                <w:lang w:val="en-GB"/>
              </w:rPr>
            </w:pPr>
            <w:r w:rsidRPr="00C3681E">
              <w:rPr>
                <w:lang w:val="en-GB"/>
              </w:rPr>
              <w:t>0.261</w:t>
            </w:r>
          </w:p>
        </w:tc>
        <w:tc>
          <w:tcPr>
            <w:tcW w:w="2268" w:type="dxa"/>
            <w:shd w:val="clear" w:color="auto" w:fill="FFFFFF"/>
          </w:tcPr>
          <w:p w14:paraId="23C4875C" w14:textId="77777777" w:rsidR="00285FA1" w:rsidRPr="00C3681E" w:rsidRDefault="00285FA1" w:rsidP="00164279">
            <w:pPr>
              <w:pStyle w:val="CETBodytext"/>
              <w:tabs>
                <w:tab w:val="clear" w:pos="7100"/>
              </w:tabs>
              <w:jc w:val="center"/>
              <w:rPr>
                <w:lang w:val="en-GB"/>
              </w:rPr>
            </w:pPr>
            <w:r w:rsidRPr="00C3681E">
              <w:rPr>
                <w:lang w:val="en-GB"/>
              </w:rPr>
              <w:t>2.041</w:t>
            </w:r>
          </w:p>
        </w:tc>
      </w:tr>
      <w:tr w:rsidR="00285FA1" w:rsidRPr="00C3681E" w14:paraId="0690D683" w14:textId="77777777" w:rsidTr="00285FA1">
        <w:tc>
          <w:tcPr>
            <w:tcW w:w="1134" w:type="dxa"/>
            <w:shd w:val="clear" w:color="auto" w:fill="FFFFFF"/>
          </w:tcPr>
          <w:p w14:paraId="431291F2" w14:textId="77777777" w:rsidR="00285FA1" w:rsidRPr="00C3681E" w:rsidRDefault="00285FA1" w:rsidP="00154A4E">
            <w:pPr>
              <w:pStyle w:val="CETBodytext"/>
              <w:ind w:right="-1"/>
              <w:jc w:val="center"/>
              <w:rPr>
                <w:rFonts w:cs="Arial"/>
                <w:szCs w:val="18"/>
                <w:lang w:val="en-GB"/>
              </w:rPr>
            </w:pPr>
            <w:r w:rsidRPr="00C3681E">
              <w:rPr>
                <w:rFonts w:cs="Arial"/>
                <w:szCs w:val="18"/>
                <w:lang w:val="en-GB"/>
              </w:rPr>
              <w:t>2</w:t>
            </w:r>
          </w:p>
        </w:tc>
        <w:tc>
          <w:tcPr>
            <w:tcW w:w="851" w:type="dxa"/>
            <w:shd w:val="clear" w:color="auto" w:fill="FFFFFF"/>
          </w:tcPr>
          <w:p w14:paraId="3A75C7C2" w14:textId="77777777" w:rsidR="00285FA1" w:rsidRPr="00C3681E" w:rsidRDefault="00285FA1" w:rsidP="00154A4E">
            <w:pPr>
              <w:pStyle w:val="CETBodytext"/>
              <w:tabs>
                <w:tab w:val="clear" w:pos="7100"/>
              </w:tabs>
              <w:jc w:val="center"/>
              <w:rPr>
                <w:lang w:val="en-GB"/>
              </w:rPr>
            </w:pPr>
            <w:r w:rsidRPr="00C3681E">
              <w:rPr>
                <w:lang w:val="en-GB"/>
              </w:rPr>
              <w:t>2017</w:t>
            </w:r>
          </w:p>
        </w:tc>
        <w:tc>
          <w:tcPr>
            <w:tcW w:w="2268" w:type="dxa"/>
            <w:shd w:val="clear" w:color="auto" w:fill="FFFFFF"/>
          </w:tcPr>
          <w:p w14:paraId="537D24F5" w14:textId="77777777" w:rsidR="00285FA1" w:rsidRPr="00C3681E" w:rsidRDefault="00285FA1" w:rsidP="00154A4E">
            <w:pPr>
              <w:pStyle w:val="CETBodytext"/>
              <w:tabs>
                <w:tab w:val="clear" w:pos="7100"/>
              </w:tabs>
              <w:jc w:val="center"/>
              <w:rPr>
                <w:lang w:val="en-GB"/>
              </w:rPr>
            </w:pPr>
            <w:r w:rsidRPr="00C3681E">
              <w:rPr>
                <w:lang w:val="en-GB"/>
              </w:rPr>
              <w:t>0.303</w:t>
            </w:r>
          </w:p>
        </w:tc>
        <w:tc>
          <w:tcPr>
            <w:tcW w:w="2268" w:type="dxa"/>
            <w:shd w:val="clear" w:color="auto" w:fill="FFFFFF"/>
          </w:tcPr>
          <w:p w14:paraId="02FFAFC9" w14:textId="77777777" w:rsidR="00285FA1" w:rsidRPr="00C3681E" w:rsidRDefault="00285FA1" w:rsidP="00154A4E">
            <w:pPr>
              <w:pStyle w:val="CETBodytext"/>
              <w:tabs>
                <w:tab w:val="clear" w:pos="7100"/>
              </w:tabs>
              <w:jc w:val="center"/>
              <w:rPr>
                <w:lang w:val="en-GB"/>
              </w:rPr>
            </w:pPr>
            <w:r w:rsidRPr="00C3681E">
              <w:rPr>
                <w:lang w:val="en-GB"/>
              </w:rPr>
              <w:t>2.237</w:t>
            </w:r>
          </w:p>
        </w:tc>
      </w:tr>
    </w:tbl>
    <w:p w14:paraId="73E674C6" w14:textId="77777777" w:rsidR="00E24FAA" w:rsidRDefault="003920E7" w:rsidP="003920E7">
      <w:pPr>
        <w:pStyle w:val="CETBodytext"/>
        <w:rPr>
          <w:lang w:val="en-GB"/>
        </w:rPr>
      </w:pPr>
      <w:r w:rsidRPr="00C3681E">
        <w:rPr>
          <w:lang w:val="en-GB"/>
        </w:rPr>
        <w:t>By comparing</w:t>
      </w:r>
      <w:r w:rsidR="00C57FDD" w:rsidRPr="00C3681E">
        <w:rPr>
          <w:lang w:val="en-GB"/>
        </w:rPr>
        <w:t xml:space="preserve"> the</w:t>
      </w:r>
      <w:r w:rsidRPr="00C3681E">
        <w:rPr>
          <w:lang w:val="en-GB"/>
        </w:rPr>
        <w:t xml:space="preserve"> inspection periods, the mode of the Gumbel distribution </w:t>
      </w:r>
      <w:r w:rsidR="00285FA1" w:rsidRPr="00C3681E">
        <w:rPr>
          <w:lang w:val="en-GB"/>
        </w:rPr>
        <w:t>become greater over the last in-service period, whereas</w:t>
      </w:r>
      <w:r w:rsidRPr="00C3681E">
        <w:rPr>
          <w:lang w:val="en-GB"/>
        </w:rPr>
        <w:t xml:space="preserve"> the scale </w:t>
      </w:r>
      <w:r w:rsidR="00285FA1" w:rsidRPr="00C3681E">
        <w:rPr>
          <w:lang w:val="en-GB"/>
        </w:rPr>
        <w:t xml:space="preserve">parameter </w:t>
      </w:r>
      <w:r w:rsidRPr="00C3681E">
        <w:rPr>
          <w:lang w:val="en-GB"/>
        </w:rPr>
        <w:t xml:space="preserve">was slightly increased. The change of </w:t>
      </w:r>
      <w:r w:rsidRPr="00C3681E">
        <w:rPr>
          <w:rFonts w:ascii="Times New Roman" w:hAnsi="Times New Roman"/>
          <w:lang w:val="en-GB"/>
        </w:rPr>
        <w:t>α</w:t>
      </w:r>
      <w:r w:rsidRPr="00C3681E">
        <w:rPr>
          <w:lang w:val="en-GB"/>
        </w:rPr>
        <w:t xml:space="preserve"> was due to the increase of the variances of the </w:t>
      </w:r>
      <w:r w:rsidR="00285FA1" w:rsidRPr="00C3681E">
        <w:rPr>
          <w:lang w:val="en-GB"/>
        </w:rPr>
        <w:t>maximum depth</w:t>
      </w:r>
      <w:r w:rsidRPr="00C3681E">
        <w:rPr>
          <w:lang w:val="en-GB"/>
        </w:rPr>
        <w:t xml:space="preserve"> caused by the evolution of the localised corrosion. </w:t>
      </w:r>
      <w:r w:rsidR="00916789">
        <w:rPr>
          <w:lang w:val="en-GB"/>
        </w:rPr>
        <w:t>A</w:t>
      </w:r>
      <w:r w:rsidR="00285FA1" w:rsidRPr="00C3681E">
        <w:rPr>
          <w:lang w:val="en-GB"/>
        </w:rPr>
        <w:t>n</w:t>
      </w:r>
      <w:r w:rsidR="00D50963" w:rsidRPr="00C3681E">
        <w:rPr>
          <w:lang w:val="en-GB"/>
        </w:rPr>
        <w:t xml:space="preserve"> increase of about 13% could</w:t>
      </w:r>
      <w:r w:rsidR="00C57FDD" w:rsidRPr="00C3681E">
        <w:rPr>
          <w:lang w:val="en-GB"/>
        </w:rPr>
        <w:t xml:space="preserve"> reasonable</w:t>
      </w:r>
      <w:r w:rsidR="00D50963" w:rsidRPr="00C3681E">
        <w:rPr>
          <w:lang w:val="en-GB"/>
        </w:rPr>
        <w:t xml:space="preserve"> be </w:t>
      </w:r>
      <w:r w:rsidR="00AA2C19" w:rsidRPr="00C3681E">
        <w:rPr>
          <w:lang w:val="en-GB"/>
        </w:rPr>
        <w:t>assumed</w:t>
      </w:r>
      <w:r w:rsidR="00916789">
        <w:rPr>
          <w:lang w:val="en-GB"/>
        </w:rPr>
        <w:t xml:space="preserve"> each 7 years (linear trend extrapolated from data 2010 and 2017)</w:t>
      </w:r>
      <w:r w:rsidRPr="00C3681E">
        <w:rPr>
          <w:lang w:val="en-GB"/>
        </w:rPr>
        <w:t>. The UT</w:t>
      </w:r>
      <w:r w:rsidR="00285FA1" w:rsidRPr="00C3681E">
        <w:rPr>
          <w:lang w:val="en-GB"/>
        </w:rPr>
        <w:t>M</w:t>
      </w:r>
      <w:r w:rsidRPr="00C3681E">
        <w:rPr>
          <w:lang w:val="en-GB"/>
        </w:rPr>
        <w:t xml:space="preserve"> of 2010 were used to predict the maxim</w:t>
      </w:r>
      <w:r w:rsidR="00C57FDD" w:rsidRPr="00C3681E">
        <w:rPr>
          <w:lang w:val="en-GB"/>
        </w:rPr>
        <w:t>um depth of corrosion for 2017</w:t>
      </w:r>
      <w:r w:rsidRPr="00C3681E">
        <w:rPr>
          <w:lang w:val="en-GB"/>
        </w:rPr>
        <w:t xml:space="preserve">, then, those of 2017 </w:t>
      </w:r>
      <w:r w:rsidR="00C57FDD" w:rsidRPr="00C3681E">
        <w:rPr>
          <w:lang w:val="en-GB"/>
        </w:rPr>
        <w:t>verified</w:t>
      </w:r>
      <w:r w:rsidRPr="00C3681E">
        <w:rPr>
          <w:lang w:val="en-GB"/>
        </w:rPr>
        <w:t xml:space="preserve"> the consistency of the </w:t>
      </w:r>
      <w:proofErr w:type="spellStart"/>
      <w:r w:rsidRPr="00C3681E">
        <w:rPr>
          <w:lang w:val="en-GB"/>
        </w:rPr>
        <w:t>results.To</w:t>
      </w:r>
      <w:proofErr w:type="spellEnd"/>
      <w:r w:rsidRPr="00C3681E">
        <w:rPr>
          <w:lang w:val="en-GB"/>
        </w:rPr>
        <w:t xml:space="preserve"> apply Eq. (7) the knowledge of the expected a priori distribution for </w:t>
      </w:r>
      <w:r w:rsidR="00A4080E" w:rsidRPr="00C3681E">
        <w:rPr>
          <w:rFonts w:ascii="Times New Roman" w:hAnsi="Times New Roman"/>
          <w:lang w:val="en-GB"/>
        </w:rPr>
        <w:t>β</w:t>
      </w:r>
      <w:r w:rsidRPr="00C3681E">
        <w:rPr>
          <w:lang w:val="en-GB"/>
        </w:rPr>
        <w:t xml:space="preserve"> </w:t>
      </w:r>
      <w:r w:rsidR="00916789" w:rsidRPr="00C3681E">
        <w:rPr>
          <w:lang w:val="en-GB"/>
        </w:rPr>
        <w:t xml:space="preserve">after further 7 years of usage of the tank </w:t>
      </w:r>
      <w:r w:rsidRPr="00C3681E">
        <w:rPr>
          <w:lang w:val="en-GB"/>
        </w:rPr>
        <w:t xml:space="preserve">was required. </w:t>
      </w:r>
    </w:p>
    <w:p w14:paraId="6DB5B2C8" w14:textId="77777777" w:rsidR="00E24FAA" w:rsidRPr="00C3681E" w:rsidRDefault="00E24FAA" w:rsidP="00E24FAA">
      <w:pPr>
        <w:pStyle w:val="CETBodytext"/>
        <w:rPr>
          <w:noProof/>
          <w:lang w:val="en-GB" w:eastAsia="it-IT"/>
        </w:rPr>
      </w:pPr>
      <w:r>
        <w:rPr>
          <w:rFonts w:ascii="Times New Roman" w:hAnsi="Times New Roman"/>
          <w:noProof/>
          <w:lang w:val="it-IT" w:eastAsia="it-IT"/>
        </w:rPr>
        <w:drawing>
          <wp:inline distT="0" distB="0" distL="0" distR="0" wp14:anchorId="6C45D65D" wp14:editId="3AB0D821">
            <wp:extent cx="3901440" cy="1891263"/>
            <wp:effectExtent l="0" t="0" r="3810" b="0"/>
            <wp:docPr id="20" name="Immagine 20"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ta"/>
                    <pic:cNvPicPr>
                      <a:picLocks noChangeAspect="1" noChangeArrowheads="1"/>
                    </pic:cNvPicPr>
                  </pic:nvPicPr>
                  <pic:blipFill rotWithShape="1">
                    <a:blip r:embed="rId30">
                      <a:extLst>
                        <a:ext uri="{28A0092B-C50C-407E-A947-70E740481C1C}">
                          <a14:useLocalDpi xmlns:a14="http://schemas.microsoft.com/office/drawing/2010/main" val="0"/>
                        </a:ext>
                      </a:extLst>
                    </a:blip>
                    <a:srcRect t="6601" b="1881"/>
                    <a:stretch/>
                  </pic:blipFill>
                  <pic:spPr bwMode="auto">
                    <a:xfrm>
                      <a:off x="0" y="0"/>
                      <a:ext cx="3953378" cy="1916440"/>
                    </a:xfrm>
                    <a:prstGeom prst="rect">
                      <a:avLst/>
                    </a:prstGeom>
                    <a:noFill/>
                    <a:ln>
                      <a:noFill/>
                    </a:ln>
                    <a:extLst>
                      <a:ext uri="{53640926-AAD7-44D8-BBD7-CCE9431645EC}">
                        <a14:shadowObscured xmlns:a14="http://schemas.microsoft.com/office/drawing/2010/main"/>
                      </a:ext>
                    </a:extLst>
                  </pic:spPr>
                </pic:pic>
              </a:graphicData>
            </a:graphic>
          </wp:inline>
        </w:drawing>
      </w:r>
    </w:p>
    <w:p w14:paraId="6E98857C" w14:textId="77777777" w:rsidR="00E24FAA" w:rsidRPr="00C3681E" w:rsidRDefault="00E24FAA" w:rsidP="00E24FAA">
      <w:pPr>
        <w:pStyle w:val="CETCaption"/>
      </w:pPr>
      <w:r w:rsidRPr="00C3681E">
        <w:t xml:space="preserve">Figure 2: </w:t>
      </w:r>
      <w:r>
        <w:t xml:space="preserve">A priori and </w:t>
      </w:r>
      <w:r w:rsidRPr="00C3681E">
        <w:t>posteriori distributions for the position parameter.</w:t>
      </w:r>
    </w:p>
    <w:p w14:paraId="68A933DC" w14:textId="6B1AC87D" w:rsidR="00285FA1" w:rsidRDefault="003920E7" w:rsidP="003920E7">
      <w:pPr>
        <w:pStyle w:val="CETBodytext"/>
        <w:rPr>
          <w:lang w:val="en-GB"/>
        </w:rPr>
      </w:pPr>
      <w:r w:rsidRPr="00C3681E">
        <w:rPr>
          <w:lang w:val="en-GB"/>
        </w:rPr>
        <w:lastRenderedPageBreak/>
        <w:t xml:space="preserve">Due to the lack of literature data, a distribution was defined by analysing the evolution of the thicknesses </w:t>
      </w:r>
      <w:r w:rsidR="00285FA1" w:rsidRPr="00C3681E">
        <w:rPr>
          <w:lang w:val="en-GB"/>
        </w:rPr>
        <w:t xml:space="preserve">of the tank </w:t>
      </w:r>
      <w:r w:rsidRPr="00C3681E">
        <w:rPr>
          <w:lang w:val="en-GB"/>
        </w:rPr>
        <w:t>according to the API standard</w:t>
      </w:r>
      <w:r w:rsidR="00C57FDD" w:rsidRPr="00C3681E">
        <w:rPr>
          <w:lang w:val="en-GB"/>
        </w:rPr>
        <w:t xml:space="preserve">. The </w:t>
      </w:r>
      <w:r w:rsidR="00C57FDD" w:rsidRPr="00C3681E">
        <w:rPr>
          <w:rFonts w:ascii="Times New Roman" w:hAnsi="Times New Roman"/>
          <w:i/>
          <w:lang w:val="en-GB"/>
        </w:rPr>
        <w:t>x</w:t>
      </w:r>
      <w:r w:rsidR="00C57FDD" w:rsidRPr="00C3681E">
        <w:rPr>
          <w:lang w:val="en-GB"/>
        </w:rPr>
        <w:t xml:space="preserve"> parameter in Eq. (7) is the highest maximum depth value in 2010</w:t>
      </w:r>
      <w:r w:rsidR="00285FA1" w:rsidRPr="00C3681E">
        <w:rPr>
          <w:lang w:val="en-GB"/>
        </w:rPr>
        <w:t xml:space="preserve">, </w:t>
      </w:r>
      <w:r w:rsidR="006B3C5B" w:rsidRPr="00C3681E">
        <w:rPr>
          <w:lang w:val="en-GB"/>
        </w:rPr>
        <w:t>i.e.</w:t>
      </w:r>
      <w:r w:rsidR="00285FA1" w:rsidRPr="00C3681E">
        <w:rPr>
          <w:lang w:val="en-GB"/>
        </w:rPr>
        <w:t xml:space="preserve"> 3.3 mm</w:t>
      </w:r>
      <w:r w:rsidR="00C57FDD" w:rsidRPr="00C3681E">
        <w:rPr>
          <w:lang w:val="en-GB"/>
        </w:rPr>
        <w:t xml:space="preserve">. </w:t>
      </w:r>
      <w:r w:rsidRPr="00C3681E">
        <w:rPr>
          <w:lang w:val="en-GB"/>
        </w:rPr>
        <w:t xml:space="preserve">The </w:t>
      </w:r>
      <w:r w:rsidR="00FD7576" w:rsidRPr="00C3681E">
        <w:rPr>
          <w:lang w:val="en-GB"/>
        </w:rPr>
        <w:t xml:space="preserve">a priori </w:t>
      </w:r>
      <w:r w:rsidRPr="00C3681E">
        <w:rPr>
          <w:lang w:val="en-GB"/>
        </w:rPr>
        <w:t>distribution</w:t>
      </w:r>
      <w:r w:rsidR="00FD7576" w:rsidRPr="00C3681E">
        <w:rPr>
          <w:lang w:val="en-GB"/>
        </w:rPr>
        <w:t xml:space="preserve"> </w:t>
      </w:r>
      <w:r w:rsidRPr="00C3681E">
        <w:rPr>
          <w:lang w:val="en-GB"/>
        </w:rPr>
        <w:t xml:space="preserve">of </w:t>
      </w:r>
      <w:r w:rsidRPr="00C3681E">
        <w:rPr>
          <w:rFonts w:ascii="Times New Roman" w:hAnsi="Times New Roman"/>
          <w:lang w:val="en-GB"/>
        </w:rPr>
        <w:t>β</w:t>
      </w:r>
      <w:r w:rsidRPr="00C3681E">
        <w:rPr>
          <w:lang w:val="en-GB"/>
        </w:rPr>
        <w:t xml:space="preserve"> </w:t>
      </w:r>
      <w:r w:rsidR="00C57FDD" w:rsidRPr="00C3681E">
        <w:rPr>
          <w:lang w:val="en-GB"/>
        </w:rPr>
        <w:t>i</w:t>
      </w:r>
      <w:r w:rsidRPr="00C3681E">
        <w:rPr>
          <w:lang w:val="en-GB"/>
        </w:rPr>
        <w:t>s given in Figure 2,</w:t>
      </w:r>
      <w:r w:rsidR="00A4080E" w:rsidRPr="00C3681E">
        <w:rPr>
          <w:lang w:val="en-GB"/>
        </w:rPr>
        <w:t xml:space="preserve"> where each value is representative of a class;</w:t>
      </w:r>
      <w:r w:rsidRPr="00C3681E">
        <w:rPr>
          <w:lang w:val="en-GB"/>
        </w:rPr>
        <w:t xml:space="preserve"> in the same graph also the elaborated posteriori distribution is shown.</w:t>
      </w:r>
      <w:r w:rsidR="00FD7576" w:rsidRPr="00C3681E">
        <w:rPr>
          <w:lang w:val="en-GB"/>
        </w:rPr>
        <w:t xml:space="preserve"> The expected </w:t>
      </w:r>
      <w:r w:rsidR="00A4080E" w:rsidRPr="00C3681E">
        <w:rPr>
          <w:rFonts w:ascii="Times New Roman" w:hAnsi="Times New Roman"/>
          <w:lang w:val="en-GB"/>
        </w:rPr>
        <w:t>β</w:t>
      </w:r>
      <w:r w:rsidR="00FD7576" w:rsidRPr="00C3681E">
        <w:rPr>
          <w:lang w:val="en-GB"/>
        </w:rPr>
        <w:t xml:space="preserve"> </w:t>
      </w:r>
      <w:r w:rsidR="00A4080E" w:rsidRPr="00C3681E">
        <w:rPr>
          <w:lang w:val="en-GB"/>
        </w:rPr>
        <w:t>after 7 years of usage wa</w:t>
      </w:r>
      <w:r w:rsidR="00D50963" w:rsidRPr="00C3681E">
        <w:rPr>
          <w:lang w:val="en-GB"/>
        </w:rPr>
        <w:t>s 2.40</w:t>
      </w:r>
      <w:r w:rsidR="00FD7576" w:rsidRPr="00C3681E">
        <w:rPr>
          <w:lang w:val="en-GB"/>
        </w:rPr>
        <w:t xml:space="preserve">, by using this value it </w:t>
      </w:r>
      <w:r w:rsidR="00A4080E" w:rsidRPr="00C3681E">
        <w:rPr>
          <w:lang w:val="en-GB"/>
        </w:rPr>
        <w:t xml:space="preserve">was </w:t>
      </w:r>
      <w:r w:rsidR="00FD7576" w:rsidRPr="00C3681E">
        <w:rPr>
          <w:lang w:val="en-GB"/>
        </w:rPr>
        <w:t xml:space="preserve">possible to </w:t>
      </w:r>
      <w:r w:rsidR="00C57FDD" w:rsidRPr="00C3681E">
        <w:rPr>
          <w:lang w:val="en-GB"/>
        </w:rPr>
        <w:t>predict</w:t>
      </w:r>
      <w:r w:rsidR="00FD7576" w:rsidRPr="00C3681E">
        <w:rPr>
          <w:lang w:val="en-GB"/>
        </w:rPr>
        <w:t xml:space="preserve"> the evoluti</w:t>
      </w:r>
      <w:r w:rsidR="00916789">
        <w:rPr>
          <w:lang w:val="en-GB"/>
        </w:rPr>
        <w:t>on the corrosion at each plates.</w:t>
      </w:r>
    </w:p>
    <w:p w14:paraId="3454C73E" w14:textId="099DBCF2" w:rsidR="006808B5" w:rsidRPr="00C3681E" w:rsidRDefault="006808B5" w:rsidP="006808B5">
      <w:pPr>
        <w:pStyle w:val="CETBodytext"/>
        <w:rPr>
          <w:lang w:val="en-GB"/>
        </w:rPr>
      </w:pPr>
      <w:r w:rsidRPr="00C3681E">
        <w:rPr>
          <w:lang w:val="en-GB"/>
        </w:rPr>
        <w:t>Figure 3</w:t>
      </w:r>
      <w:r w:rsidR="00D51585" w:rsidRPr="00C3681E">
        <w:rPr>
          <w:lang w:val="en-GB"/>
        </w:rPr>
        <w:t>(</w:t>
      </w:r>
      <w:r w:rsidRPr="00C3681E">
        <w:rPr>
          <w:lang w:val="en-GB"/>
        </w:rPr>
        <w:t>a</w:t>
      </w:r>
      <w:r w:rsidR="00D51585" w:rsidRPr="00C3681E">
        <w:rPr>
          <w:lang w:val="en-GB"/>
        </w:rPr>
        <w:t>)</w:t>
      </w:r>
      <w:r w:rsidRPr="00C3681E">
        <w:rPr>
          <w:lang w:val="en-GB"/>
        </w:rPr>
        <w:t xml:space="preserve"> shows the plot position </w:t>
      </w:r>
      <w:r w:rsidR="00C57FDD" w:rsidRPr="00C3681E">
        <w:rPr>
          <w:lang w:val="en-GB"/>
        </w:rPr>
        <w:t>for</w:t>
      </w:r>
      <w:r w:rsidR="00AC60C5" w:rsidRPr="00C3681E">
        <w:rPr>
          <w:lang w:val="en-GB"/>
        </w:rPr>
        <w:t xml:space="preserve"> 2010</w:t>
      </w:r>
      <w:r w:rsidR="006B3C5B" w:rsidRPr="00C3681E">
        <w:rPr>
          <w:lang w:val="en-GB"/>
        </w:rPr>
        <w:t xml:space="preserve"> and 2017 and</w:t>
      </w:r>
      <w:r w:rsidRPr="00C3681E">
        <w:rPr>
          <w:lang w:val="en-GB"/>
        </w:rPr>
        <w:t xml:space="preserve"> the expected </w:t>
      </w:r>
      <w:r w:rsidR="00AA2C19" w:rsidRPr="00C3681E">
        <w:rPr>
          <w:lang w:val="en-GB"/>
        </w:rPr>
        <w:t>trend</w:t>
      </w:r>
      <w:r w:rsidRPr="00C3681E">
        <w:rPr>
          <w:lang w:val="en-GB"/>
        </w:rPr>
        <w:t xml:space="preserve"> for 2017</w:t>
      </w:r>
      <w:r w:rsidR="00AC60C5" w:rsidRPr="00C3681E">
        <w:rPr>
          <w:lang w:val="en-GB"/>
        </w:rPr>
        <w:t>.</w:t>
      </w:r>
      <w:r w:rsidRPr="00C3681E">
        <w:rPr>
          <w:lang w:val="en-GB"/>
        </w:rPr>
        <w:t xml:space="preserve"> </w:t>
      </w:r>
      <w:r w:rsidR="006B3C5B" w:rsidRPr="00C3681E">
        <w:rPr>
          <w:lang w:val="en-GB"/>
        </w:rPr>
        <w:t xml:space="preserve">It is observed </w:t>
      </w:r>
      <w:r w:rsidR="001C02AB">
        <w:rPr>
          <w:lang w:val="en-GB"/>
        </w:rPr>
        <w:t>94 % of pits have depth</w:t>
      </w:r>
      <w:r w:rsidR="00D51585" w:rsidRPr="00C3681E">
        <w:rPr>
          <w:lang w:val="en-GB"/>
        </w:rPr>
        <w:t xml:space="preserve"> </w:t>
      </w:r>
      <w:r w:rsidR="001C02AB">
        <w:rPr>
          <w:lang w:val="en-GB"/>
        </w:rPr>
        <w:t>minor or equal to</w:t>
      </w:r>
      <w:r w:rsidR="00601118" w:rsidRPr="00C3681E">
        <w:rPr>
          <w:lang w:val="en-GB"/>
        </w:rPr>
        <w:t xml:space="preserve"> </w:t>
      </w:r>
      <w:r w:rsidR="004E3704" w:rsidRPr="00C3681E">
        <w:rPr>
          <w:lang w:val="en-GB"/>
        </w:rPr>
        <w:t>2.8</w:t>
      </w:r>
      <w:r w:rsidR="00601118" w:rsidRPr="00C3681E">
        <w:rPr>
          <w:lang w:val="en-GB"/>
        </w:rPr>
        <w:t xml:space="preserve"> mm,</w:t>
      </w:r>
      <w:r w:rsidR="001C02AB">
        <w:rPr>
          <w:lang w:val="en-GB"/>
        </w:rPr>
        <w:t xml:space="preserve"> with the same probability</w:t>
      </w:r>
      <w:r w:rsidR="00601118" w:rsidRPr="00C3681E">
        <w:rPr>
          <w:lang w:val="en-GB"/>
        </w:rPr>
        <w:t xml:space="preserve"> </w:t>
      </w:r>
      <w:r w:rsidR="00D51585" w:rsidRPr="00C3681E">
        <w:rPr>
          <w:lang w:val="en-GB"/>
        </w:rPr>
        <w:t>it</w:t>
      </w:r>
      <w:r w:rsidR="001C02AB">
        <w:rPr>
          <w:lang w:val="en-GB"/>
        </w:rPr>
        <w:t xml:space="preserve"> is expected the depth</w:t>
      </w:r>
      <w:r w:rsidR="00601118" w:rsidRPr="00C3681E">
        <w:rPr>
          <w:lang w:val="en-GB"/>
        </w:rPr>
        <w:t xml:space="preserve"> increase</w:t>
      </w:r>
      <w:r w:rsidR="001C02AB">
        <w:rPr>
          <w:lang w:val="en-GB"/>
        </w:rPr>
        <w:t>s</w:t>
      </w:r>
      <w:r w:rsidR="00601118" w:rsidRPr="00C3681E">
        <w:rPr>
          <w:lang w:val="en-GB"/>
        </w:rPr>
        <w:t xml:space="preserve"> to 3.</w:t>
      </w:r>
      <w:r w:rsidR="00AA2C19" w:rsidRPr="00C3681E">
        <w:rPr>
          <w:lang w:val="en-GB"/>
        </w:rPr>
        <w:t>2</w:t>
      </w:r>
      <w:r w:rsidR="00601118" w:rsidRPr="00C3681E">
        <w:rPr>
          <w:lang w:val="en-GB"/>
        </w:rPr>
        <w:t xml:space="preserve"> mm</w:t>
      </w:r>
      <w:r w:rsidR="00973BFE" w:rsidRPr="00C3681E">
        <w:rPr>
          <w:lang w:val="en-GB"/>
        </w:rPr>
        <w:t xml:space="preserve"> in 2017</w:t>
      </w:r>
      <w:r w:rsidR="006E483B" w:rsidRPr="00C3681E">
        <w:rPr>
          <w:lang w:val="en-GB"/>
        </w:rPr>
        <w:t xml:space="preserve">. </w:t>
      </w:r>
      <w:r w:rsidR="00AC60C5" w:rsidRPr="00C3681E">
        <w:rPr>
          <w:lang w:val="en-GB"/>
        </w:rPr>
        <w:t xml:space="preserve">The 2017 plot position was used to </w:t>
      </w:r>
      <w:r w:rsidR="004E3704" w:rsidRPr="00C3681E">
        <w:rPr>
          <w:lang w:val="en-GB"/>
        </w:rPr>
        <w:t>validate this</w:t>
      </w:r>
      <w:r w:rsidR="00AC60C5" w:rsidRPr="00C3681E">
        <w:rPr>
          <w:lang w:val="en-GB"/>
        </w:rPr>
        <w:t xml:space="preserve"> forecast</w:t>
      </w:r>
      <w:r w:rsidR="004E3704" w:rsidRPr="00C3681E">
        <w:rPr>
          <w:lang w:val="en-GB"/>
        </w:rPr>
        <w:t xml:space="preserve"> and t</w:t>
      </w:r>
      <w:r w:rsidR="006E483B" w:rsidRPr="00C3681E">
        <w:rPr>
          <w:lang w:val="en-GB"/>
        </w:rPr>
        <w:t>he</w:t>
      </w:r>
      <w:r w:rsidR="00601118" w:rsidRPr="00C3681E">
        <w:rPr>
          <w:lang w:val="en-GB"/>
        </w:rPr>
        <w:t xml:space="preserve"> real corrosion </w:t>
      </w:r>
      <w:r w:rsidR="004E3704" w:rsidRPr="00C3681E">
        <w:rPr>
          <w:lang w:val="en-GB"/>
        </w:rPr>
        <w:t xml:space="preserve">at the same point </w:t>
      </w:r>
      <w:r w:rsidR="006B3C5B" w:rsidRPr="00C3681E">
        <w:rPr>
          <w:lang w:val="en-GB"/>
        </w:rPr>
        <w:t>i</w:t>
      </w:r>
      <w:r w:rsidR="00601118" w:rsidRPr="00C3681E">
        <w:rPr>
          <w:lang w:val="en-GB"/>
        </w:rPr>
        <w:t xml:space="preserve">s </w:t>
      </w:r>
      <w:r w:rsidR="004E3704" w:rsidRPr="00C3681E">
        <w:rPr>
          <w:lang w:val="en-GB"/>
        </w:rPr>
        <w:t>3.1</w:t>
      </w:r>
      <w:r w:rsidR="00601118" w:rsidRPr="00C3681E">
        <w:rPr>
          <w:lang w:val="en-GB"/>
        </w:rPr>
        <w:t>5 mm</w:t>
      </w:r>
      <w:r w:rsidR="004E3704" w:rsidRPr="00C3681E">
        <w:rPr>
          <w:lang w:val="en-GB"/>
        </w:rPr>
        <w:t>. It</w:t>
      </w:r>
      <w:r w:rsidR="006E483B" w:rsidRPr="00C3681E">
        <w:rPr>
          <w:lang w:val="en-GB"/>
        </w:rPr>
        <w:t xml:space="preserve"> could be </w:t>
      </w:r>
      <w:r w:rsidR="006B3C5B" w:rsidRPr="00C3681E">
        <w:rPr>
          <w:lang w:val="en-GB"/>
        </w:rPr>
        <w:t>seen</w:t>
      </w:r>
      <w:r w:rsidR="006E483B" w:rsidRPr="00C3681E">
        <w:rPr>
          <w:lang w:val="en-GB"/>
        </w:rPr>
        <w:t xml:space="preserve"> that t</w:t>
      </w:r>
      <w:r w:rsidRPr="00C3681E">
        <w:rPr>
          <w:lang w:val="en-GB"/>
        </w:rPr>
        <w:t xml:space="preserve">he forecast </w:t>
      </w:r>
      <w:r w:rsidR="00AA2C19" w:rsidRPr="00C3681E">
        <w:rPr>
          <w:lang w:val="en-GB"/>
        </w:rPr>
        <w:t>over</w:t>
      </w:r>
      <w:r w:rsidRPr="00C3681E">
        <w:rPr>
          <w:lang w:val="en-GB"/>
        </w:rPr>
        <w:t>estimate</w:t>
      </w:r>
      <w:r w:rsidR="004E3704" w:rsidRPr="00C3681E">
        <w:rPr>
          <w:lang w:val="en-GB"/>
        </w:rPr>
        <w:t>d</w:t>
      </w:r>
      <w:r w:rsidRPr="00C3681E">
        <w:rPr>
          <w:lang w:val="en-GB"/>
        </w:rPr>
        <w:t xml:space="preserve"> the phenomenon</w:t>
      </w:r>
      <w:r w:rsidR="006B3C5B" w:rsidRPr="00C3681E">
        <w:rPr>
          <w:lang w:val="en-GB"/>
        </w:rPr>
        <w:t xml:space="preserve"> and</w:t>
      </w:r>
      <w:r w:rsidR="004E3704" w:rsidRPr="00C3681E">
        <w:rPr>
          <w:lang w:val="en-GB"/>
        </w:rPr>
        <w:t xml:space="preserve"> t</w:t>
      </w:r>
      <w:r w:rsidRPr="00C3681E">
        <w:rPr>
          <w:lang w:val="en-GB"/>
        </w:rPr>
        <w:t xml:space="preserve">he </w:t>
      </w:r>
      <w:r w:rsidR="00AA2C19" w:rsidRPr="00C3681E">
        <w:rPr>
          <w:lang w:val="en-GB"/>
        </w:rPr>
        <w:t>minimum</w:t>
      </w:r>
      <w:r w:rsidR="00601118" w:rsidRPr="00C3681E">
        <w:rPr>
          <w:lang w:val="en-GB"/>
        </w:rPr>
        <w:t xml:space="preserve"> </w:t>
      </w:r>
      <w:r w:rsidR="00AA2C19" w:rsidRPr="00C3681E">
        <w:rPr>
          <w:lang w:val="en-GB"/>
        </w:rPr>
        <w:t>ove</w:t>
      </w:r>
      <w:r w:rsidRPr="00C3681E">
        <w:rPr>
          <w:lang w:val="en-GB"/>
        </w:rPr>
        <w:t xml:space="preserve">restimation is </w:t>
      </w:r>
      <w:r w:rsidR="006E483B" w:rsidRPr="00C3681E">
        <w:rPr>
          <w:lang w:val="en-GB"/>
        </w:rPr>
        <w:t>about</w:t>
      </w:r>
      <w:r w:rsidRPr="00C3681E">
        <w:rPr>
          <w:lang w:val="en-GB"/>
        </w:rPr>
        <w:t xml:space="preserve"> 0.05</w:t>
      </w:r>
      <w:r w:rsidR="004E3704" w:rsidRPr="00C3681E">
        <w:rPr>
          <w:lang w:val="en-GB"/>
        </w:rPr>
        <w:t xml:space="preserve"> mm, corresponding </w:t>
      </w:r>
      <w:r w:rsidR="00973BFE" w:rsidRPr="00C3681E">
        <w:rPr>
          <w:lang w:val="en-GB"/>
        </w:rPr>
        <w:t xml:space="preserve">to </w:t>
      </w:r>
      <w:r w:rsidR="004E3704" w:rsidRPr="00C3681E">
        <w:rPr>
          <w:lang w:val="en-GB"/>
        </w:rPr>
        <w:t xml:space="preserve">a </w:t>
      </w:r>
      <w:r w:rsidR="00AA2C19" w:rsidRPr="00C3681E">
        <w:rPr>
          <w:lang w:val="en-GB"/>
        </w:rPr>
        <w:t>depth</w:t>
      </w:r>
      <w:r w:rsidRPr="00C3681E">
        <w:rPr>
          <w:lang w:val="en-GB"/>
        </w:rPr>
        <w:t xml:space="preserve"> </w:t>
      </w:r>
      <w:r w:rsidR="004E3704" w:rsidRPr="00C3681E">
        <w:rPr>
          <w:lang w:val="en-GB"/>
        </w:rPr>
        <w:t xml:space="preserve">that was </w:t>
      </w:r>
      <w:r w:rsidRPr="00C3681E">
        <w:rPr>
          <w:lang w:val="en-GB"/>
        </w:rPr>
        <w:t>not detected during the UT</w:t>
      </w:r>
      <w:r w:rsidR="00973BFE" w:rsidRPr="00C3681E">
        <w:rPr>
          <w:lang w:val="en-GB"/>
        </w:rPr>
        <w:t>M</w:t>
      </w:r>
      <w:r w:rsidR="004E3704" w:rsidRPr="00C3681E">
        <w:rPr>
          <w:lang w:val="en-GB"/>
        </w:rPr>
        <w:t>. Hence</w:t>
      </w:r>
      <w:r w:rsidR="006E483B" w:rsidRPr="00C3681E">
        <w:rPr>
          <w:lang w:val="en-GB"/>
        </w:rPr>
        <w:t>,</w:t>
      </w:r>
      <w:r w:rsidRPr="00C3681E">
        <w:rPr>
          <w:lang w:val="en-GB"/>
        </w:rPr>
        <w:t xml:space="preserve"> a more accurate </w:t>
      </w:r>
      <w:r w:rsidR="004E3704" w:rsidRPr="00C3681E">
        <w:rPr>
          <w:lang w:val="en-GB"/>
        </w:rPr>
        <w:t>measure</w:t>
      </w:r>
      <w:r w:rsidRPr="00C3681E">
        <w:rPr>
          <w:lang w:val="en-GB"/>
        </w:rPr>
        <w:t xml:space="preserve"> appears important for the applicability of the method.</w:t>
      </w:r>
      <w:r w:rsidR="004E3704" w:rsidRPr="00C3681E">
        <w:rPr>
          <w:lang w:val="en-GB"/>
        </w:rPr>
        <w:t xml:space="preserve"> The estimation</w:t>
      </w:r>
      <w:r w:rsidRPr="00C3681E">
        <w:rPr>
          <w:lang w:val="en-GB"/>
        </w:rPr>
        <w:t xml:space="preserve"> of the </w:t>
      </w:r>
      <w:r w:rsidRPr="00C3681E">
        <w:rPr>
          <w:rFonts w:ascii="Times New Roman" w:hAnsi="Times New Roman"/>
          <w:i/>
          <w:lang w:val="en-GB"/>
        </w:rPr>
        <w:t>RUL</w:t>
      </w:r>
      <w:r w:rsidRPr="00C3681E">
        <w:rPr>
          <w:lang w:val="en-GB"/>
        </w:rPr>
        <w:t xml:space="preserve"> is made in Figure 3</w:t>
      </w:r>
      <w:r w:rsidR="006E483B" w:rsidRPr="00C3681E">
        <w:rPr>
          <w:lang w:val="en-GB"/>
        </w:rPr>
        <w:t>(</w:t>
      </w:r>
      <w:r w:rsidRPr="00C3681E">
        <w:rPr>
          <w:lang w:val="en-GB"/>
        </w:rPr>
        <w:t>b</w:t>
      </w:r>
      <w:r w:rsidR="006E483B" w:rsidRPr="00C3681E">
        <w:rPr>
          <w:lang w:val="en-GB"/>
        </w:rPr>
        <w:t>)</w:t>
      </w:r>
      <w:r w:rsidRPr="00C3681E">
        <w:rPr>
          <w:lang w:val="en-GB"/>
        </w:rPr>
        <w:t xml:space="preserve"> by reporting the evolution of the corrosive phenomenon </w:t>
      </w:r>
      <w:r w:rsidR="00E43844" w:rsidRPr="00C3681E">
        <w:rPr>
          <w:lang w:val="en-GB"/>
        </w:rPr>
        <w:t xml:space="preserve">as </w:t>
      </w:r>
      <w:r w:rsidR="004E3704" w:rsidRPr="00C3681E">
        <w:rPr>
          <w:lang w:val="en-GB"/>
        </w:rPr>
        <w:t>observed</w:t>
      </w:r>
      <w:r w:rsidR="00E43844" w:rsidRPr="00C3681E">
        <w:rPr>
          <w:lang w:val="en-GB"/>
        </w:rPr>
        <w:t xml:space="preserve"> </w:t>
      </w:r>
      <w:r w:rsidRPr="00C3681E">
        <w:rPr>
          <w:lang w:val="en-GB"/>
        </w:rPr>
        <w:t>in Figure 3</w:t>
      </w:r>
      <w:r w:rsidR="006E483B" w:rsidRPr="00C3681E">
        <w:rPr>
          <w:lang w:val="en-GB"/>
        </w:rPr>
        <w:t>(</w:t>
      </w:r>
      <w:r w:rsidRPr="00C3681E">
        <w:rPr>
          <w:lang w:val="en-GB"/>
        </w:rPr>
        <w:t>a</w:t>
      </w:r>
      <w:r w:rsidR="006E483B" w:rsidRPr="00C3681E">
        <w:rPr>
          <w:lang w:val="en-GB"/>
        </w:rPr>
        <w:t>)</w:t>
      </w:r>
      <w:r w:rsidRPr="00C3681E">
        <w:rPr>
          <w:lang w:val="en-GB"/>
        </w:rPr>
        <w:t xml:space="preserve">, from </w:t>
      </w:r>
      <w:r w:rsidR="004E3704" w:rsidRPr="00C3681E">
        <w:rPr>
          <w:lang w:val="en-GB"/>
        </w:rPr>
        <w:t xml:space="preserve">this </w:t>
      </w:r>
      <w:r w:rsidRPr="00C3681E">
        <w:rPr>
          <w:lang w:val="en-GB"/>
        </w:rPr>
        <w:t xml:space="preserve">it </w:t>
      </w:r>
      <w:r w:rsidR="006E483B" w:rsidRPr="00C3681E">
        <w:rPr>
          <w:lang w:val="en-GB"/>
        </w:rPr>
        <w:t>wa</w:t>
      </w:r>
      <w:r w:rsidRPr="00C3681E">
        <w:rPr>
          <w:lang w:val="en-GB"/>
        </w:rPr>
        <w:t>s</w:t>
      </w:r>
      <w:r w:rsidR="006E483B" w:rsidRPr="00C3681E">
        <w:rPr>
          <w:lang w:val="en-GB"/>
        </w:rPr>
        <w:t xml:space="preserve"> also</w:t>
      </w:r>
      <w:r w:rsidRPr="00C3681E">
        <w:rPr>
          <w:lang w:val="en-GB"/>
        </w:rPr>
        <w:t xml:space="preserve"> possible to </w:t>
      </w:r>
      <w:r w:rsidR="004E3704" w:rsidRPr="00C3681E">
        <w:rPr>
          <w:lang w:val="en-GB"/>
        </w:rPr>
        <w:t xml:space="preserve">derive the </w:t>
      </w:r>
      <w:r w:rsidRPr="00C3681E">
        <w:rPr>
          <w:lang w:val="en-GB"/>
        </w:rPr>
        <w:t>corrosion</w:t>
      </w:r>
      <w:r w:rsidR="004E3704" w:rsidRPr="00C3681E">
        <w:rPr>
          <w:lang w:val="en-GB"/>
        </w:rPr>
        <w:t xml:space="preserve"> rate</w:t>
      </w:r>
      <w:r w:rsidR="00AA2C19" w:rsidRPr="00C3681E">
        <w:rPr>
          <w:lang w:val="en-GB"/>
        </w:rPr>
        <w:t>, which is the slope of</w:t>
      </w:r>
      <w:r w:rsidR="00973BFE" w:rsidRPr="00C3681E">
        <w:rPr>
          <w:lang w:val="en-GB"/>
        </w:rPr>
        <w:t xml:space="preserve"> the line associated to</w:t>
      </w:r>
      <w:r w:rsidR="00AA2C19" w:rsidRPr="00C3681E">
        <w:rPr>
          <w:lang w:val="en-GB"/>
        </w:rPr>
        <w:t xml:space="preserve"> each plate (about 0.4 mm/y)</w:t>
      </w:r>
      <w:r w:rsidRPr="00C3681E">
        <w:rPr>
          <w:lang w:val="en-GB"/>
        </w:rPr>
        <w:t>.</w:t>
      </w:r>
    </w:p>
    <w:p w14:paraId="523E9A43" w14:textId="0CA45BDA" w:rsidR="00B45151" w:rsidRPr="00C3681E" w:rsidRDefault="00973BFE" w:rsidP="00B45151">
      <w:pPr>
        <w:pStyle w:val="CETBodytext"/>
        <w:rPr>
          <w:lang w:val="en-GB"/>
        </w:rPr>
      </w:pPr>
      <w:r w:rsidRPr="00C3681E">
        <w:rPr>
          <w:noProof/>
          <w:lang w:val="it-IT" w:eastAsia="it-IT"/>
        </w:rPr>
        <mc:AlternateContent>
          <mc:Choice Requires="wps">
            <w:drawing>
              <wp:anchor distT="45720" distB="45720" distL="114300" distR="114300" simplePos="0" relativeHeight="251664384" behindDoc="0" locked="0" layoutInCell="1" allowOverlap="1" wp14:anchorId="191E4696" wp14:editId="54B75DDF">
                <wp:simplePos x="0" y="0"/>
                <wp:positionH relativeFrom="page">
                  <wp:posOffset>1050925</wp:posOffset>
                </wp:positionH>
                <wp:positionV relativeFrom="paragraph">
                  <wp:posOffset>51435</wp:posOffset>
                </wp:positionV>
                <wp:extent cx="5305425" cy="140462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0362F2D0" w14:textId="712C8805" w:rsidR="00762060" w:rsidRPr="00C80B1F" w:rsidRDefault="00762060" w:rsidP="00762060">
                            <w:r>
                              <w:t>(a)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E4696" id="_x0000_s1027" type="#_x0000_t202" style="position:absolute;left:0;text-align:left;margin-left:82.75pt;margin-top:4.05pt;width:417.7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" filled="f" stroked="f">
                <v:textbox style="mso-fit-shape-to-text:t">
                  <w:txbxContent>
                    <w:p w14:paraId="0362F2D0" w14:textId="712C8805" w:rsidR="00762060" w:rsidRPr="00C80B1F" w:rsidRDefault="00762060" w:rsidP="00762060">
                      <w:r>
                        <w:t>(a)                                                                                    (b)</w:t>
                      </w:r>
                    </w:p>
                  </w:txbxContent>
                </v:textbox>
                <w10:wrap anchorx="page"/>
              </v:shape>
            </w:pict>
          </mc:Fallback>
        </mc:AlternateContent>
      </w:r>
      <w:r w:rsidR="00E82472" w:rsidRPr="00C3681E">
        <w:rPr>
          <w:noProof/>
          <w:lang w:val="it-IT" w:eastAsia="it-IT"/>
        </w:rPr>
        <w:drawing>
          <wp:inline distT="0" distB="0" distL="0" distR="0" wp14:anchorId="536C284F" wp14:editId="57F91A28">
            <wp:extent cx="2806700" cy="2476500"/>
            <wp:effectExtent l="0" t="0" r="1270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B45151" w:rsidRPr="00C3681E">
        <w:rPr>
          <w:noProof/>
          <w:lang w:val="it-IT" w:eastAsia="it-IT"/>
        </w:rPr>
        <w:drawing>
          <wp:inline distT="0" distB="0" distL="0" distR="0" wp14:anchorId="6130BFDB" wp14:editId="4651E875">
            <wp:extent cx="2710815" cy="2476500"/>
            <wp:effectExtent l="0" t="0" r="13335"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A14D27" w14:textId="4FB97CBA" w:rsidR="007B26F5" w:rsidRPr="00C3681E" w:rsidRDefault="007B26F5" w:rsidP="00D50963">
      <w:pPr>
        <w:pStyle w:val="CETCaption"/>
      </w:pPr>
      <w:r w:rsidRPr="00C3681E">
        <w:t xml:space="preserve">Figure </w:t>
      </w:r>
      <w:r w:rsidR="00766E97" w:rsidRPr="00C3681E">
        <w:t>3</w:t>
      </w:r>
      <w:r w:rsidRPr="00C3681E">
        <w:t xml:space="preserve">: </w:t>
      </w:r>
      <w:r w:rsidR="00AA2C19" w:rsidRPr="00C3681E">
        <w:t xml:space="preserve">(a) Plot position and forecast; (b) </w:t>
      </w:r>
      <w:r w:rsidR="00D1216B" w:rsidRPr="00C3681E">
        <w:t>Residual useful lifetime</w:t>
      </w:r>
      <w:r w:rsidRPr="00C3681E">
        <w:t>.</w:t>
      </w:r>
    </w:p>
    <w:p w14:paraId="42C3990B" w14:textId="615F9D88" w:rsidR="00973BFE" w:rsidRPr="00C3681E" w:rsidRDefault="00973BFE" w:rsidP="00973BFE">
      <w:pPr>
        <w:pStyle w:val="CETBodytext"/>
        <w:rPr>
          <w:lang w:val="en-GB"/>
        </w:rPr>
      </w:pPr>
      <w:r w:rsidRPr="00C3681E">
        <w:rPr>
          <w:lang w:val="en-GB"/>
        </w:rPr>
        <w:t>The corrosion rate was compared with the value obtained with the EEMUA standard. The results are summarised in Table 3. The corrosion rate (</w:t>
      </w:r>
      <w:r w:rsidRPr="00C3681E">
        <w:rPr>
          <w:rFonts w:ascii="Times New Roman" w:hAnsi="Times New Roman"/>
          <w:i/>
          <w:lang w:val="en-GB"/>
        </w:rPr>
        <w:t>r</w:t>
      </w:r>
      <w:r w:rsidRPr="00C3681E">
        <w:rPr>
          <w:lang w:val="en-GB"/>
        </w:rPr>
        <w:t xml:space="preserve">) was comparable (even a bit lower) than </w:t>
      </w:r>
      <w:r w:rsidRPr="00C3681E">
        <w:rPr>
          <w:rFonts w:ascii="Times New Roman" w:hAnsi="Times New Roman"/>
          <w:i/>
          <w:lang w:val="en-GB"/>
        </w:rPr>
        <w:t>r</w:t>
      </w:r>
      <w:r w:rsidRPr="00C3681E">
        <w:rPr>
          <w:lang w:val="en-GB"/>
        </w:rPr>
        <w:t xml:space="preserve"> reported by EEUMA for carbon steel and solvent (0.15 mm/y). The </w:t>
      </w:r>
      <w:r w:rsidR="00185DB7">
        <w:rPr>
          <w:lang w:val="en-GB"/>
        </w:rPr>
        <w:t>value</w:t>
      </w:r>
      <w:r w:rsidRPr="00C3681E">
        <w:rPr>
          <w:lang w:val="en-GB"/>
        </w:rPr>
        <w:t xml:space="preserve"> was adjusted to take into account the pitting effects. The EEUMA method is based on different check lists for bottoms, shells and roofs. It uses a 4 level to rank both likelihood and consequence of losses (</w:t>
      </w:r>
      <w:r w:rsidRPr="00C3681E">
        <w:rPr>
          <w:i/>
          <w:lang w:val="en-GB"/>
        </w:rPr>
        <w:t>negligible</w:t>
      </w:r>
      <w:r w:rsidRPr="00C3681E">
        <w:rPr>
          <w:lang w:val="en-GB"/>
        </w:rPr>
        <w:t xml:space="preserve">, </w:t>
      </w:r>
      <w:r w:rsidRPr="00C3681E">
        <w:rPr>
          <w:i/>
          <w:lang w:val="en-GB"/>
        </w:rPr>
        <w:t>low</w:t>
      </w:r>
      <w:r w:rsidRPr="00C3681E">
        <w:rPr>
          <w:lang w:val="en-GB"/>
        </w:rPr>
        <w:t xml:space="preserve">, </w:t>
      </w:r>
      <w:r w:rsidRPr="00C3681E">
        <w:rPr>
          <w:i/>
          <w:lang w:val="en-GB"/>
        </w:rPr>
        <w:t>medium</w:t>
      </w:r>
      <w:r w:rsidRPr="00C3681E">
        <w:rPr>
          <w:lang w:val="en-GB"/>
        </w:rPr>
        <w:t xml:space="preserve">, </w:t>
      </w:r>
      <w:r w:rsidRPr="00C3681E">
        <w:rPr>
          <w:i/>
          <w:lang w:val="en-GB"/>
        </w:rPr>
        <w:t>high</w:t>
      </w:r>
      <w:r w:rsidRPr="00C3681E">
        <w:rPr>
          <w:lang w:val="en-GB"/>
        </w:rPr>
        <w:t xml:space="preserve">). The resulting ranking from the application of the check list to the bottom of the tank was </w:t>
      </w:r>
      <w:r w:rsidRPr="00C3681E">
        <w:rPr>
          <w:i/>
          <w:lang w:val="en-GB"/>
        </w:rPr>
        <w:t>high</w:t>
      </w:r>
      <w:r w:rsidRPr="00C3681E">
        <w:rPr>
          <w:lang w:val="en-GB"/>
        </w:rPr>
        <w:t xml:space="preserve"> for consequence and </w:t>
      </w:r>
      <w:r w:rsidRPr="00C3681E">
        <w:rPr>
          <w:i/>
          <w:lang w:val="en-GB"/>
        </w:rPr>
        <w:t>medium</w:t>
      </w:r>
      <w:r w:rsidRPr="00C3681E">
        <w:rPr>
          <w:lang w:val="en-GB"/>
        </w:rPr>
        <w:t xml:space="preserve"> for likelihood. Further credits or penalties were added to consider the inspection techniques. The visual inspection integrated by spot UTM has penalty equal to – 0.1. This evaluation is very conservative and the spread of thickness measurements implies a high uncertainty. In addition, if the average thickness was used despite the method, the </w:t>
      </w:r>
      <w:r w:rsidRPr="00C3681E">
        <w:rPr>
          <w:rFonts w:ascii="Times New Roman" w:hAnsi="Times New Roman"/>
          <w:i/>
          <w:lang w:val="en-GB"/>
        </w:rPr>
        <w:t>r</w:t>
      </w:r>
      <w:r w:rsidRPr="00C3681E">
        <w:rPr>
          <w:lang w:val="en-GB"/>
        </w:rPr>
        <w:t xml:space="preserve"> would be twice and half lower and the time to next inspection 10 years. Thus, the method recognised in the current engineering practice, is questionable indeed and a less rough and conservative approach is highly desirable.</w:t>
      </w:r>
    </w:p>
    <w:p w14:paraId="7622B6C5" w14:textId="77777777" w:rsidR="00C57FDD" w:rsidRPr="00C3681E" w:rsidRDefault="00C57FDD" w:rsidP="00C57FDD">
      <w:pPr>
        <w:pStyle w:val="CETTabletitle"/>
      </w:pPr>
      <w:r w:rsidRPr="00C3681E">
        <w:t>Table 3: Results of the application of EEUMA method.</w:t>
      </w:r>
    </w:p>
    <w:tbl>
      <w:tblPr>
        <w:tblW w:w="8370" w:type="dxa"/>
        <w:tblInd w:w="-5" w:type="dxa"/>
        <w:tblCellMar>
          <w:left w:w="70" w:type="dxa"/>
          <w:right w:w="70" w:type="dxa"/>
        </w:tblCellMar>
        <w:tblLook w:val="04A0" w:firstRow="1" w:lastRow="0" w:firstColumn="1" w:lastColumn="0" w:noHBand="0" w:noVBand="1"/>
      </w:tblPr>
      <w:tblGrid>
        <w:gridCol w:w="2132"/>
        <w:gridCol w:w="850"/>
        <w:gridCol w:w="1701"/>
        <w:gridCol w:w="992"/>
        <w:gridCol w:w="1914"/>
        <w:gridCol w:w="781"/>
      </w:tblGrid>
      <w:tr w:rsidR="00C57FDD" w:rsidRPr="00C3681E" w14:paraId="4E0566C7" w14:textId="77777777" w:rsidTr="003A3C21">
        <w:trPr>
          <w:trHeight w:val="285"/>
        </w:trPr>
        <w:tc>
          <w:tcPr>
            <w:tcW w:w="2132" w:type="dxa"/>
            <w:tcBorders>
              <w:top w:val="single" w:sz="8" w:space="0" w:color="00B050"/>
            </w:tcBorders>
            <w:shd w:val="clear" w:color="auto" w:fill="auto"/>
            <w:noWrap/>
            <w:vAlign w:val="center"/>
          </w:tcPr>
          <w:p w14:paraId="2CCA8B58" w14:textId="77777777" w:rsidR="00C57FDD" w:rsidRPr="00C3681E" w:rsidRDefault="00C57FDD"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Initial data</w:t>
            </w:r>
          </w:p>
        </w:tc>
        <w:tc>
          <w:tcPr>
            <w:tcW w:w="850" w:type="dxa"/>
            <w:tcBorders>
              <w:top w:val="single" w:sz="8" w:space="0" w:color="00B050"/>
            </w:tcBorders>
            <w:shd w:val="clear" w:color="auto" w:fill="auto"/>
            <w:noWrap/>
            <w:vAlign w:val="center"/>
          </w:tcPr>
          <w:p w14:paraId="71507879" w14:textId="77777777" w:rsidR="00C57FDD" w:rsidRPr="00C3681E" w:rsidRDefault="00C57FDD" w:rsidP="00D9763C">
            <w:pPr>
              <w:tabs>
                <w:tab w:val="clear" w:pos="7100"/>
              </w:tabs>
              <w:spacing w:line="240" w:lineRule="auto"/>
              <w:jc w:val="center"/>
              <w:rPr>
                <w:rFonts w:cs="Arial"/>
                <w:color w:val="000000"/>
                <w:szCs w:val="18"/>
                <w:lang w:eastAsia="it-IT"/>
              </w:rPr>
            </w:pPr>
          </w:p>
        </w:tc>
        <w:tc>
          <w:tcPr>
            <w:tcW w:w="1701" w:type="dxa"/>
            <w:tcBorders>
              <w:top w:val="single" w:sz="8" w:space="0" w:color="00B050"/>
            </w:tcBorders>
            <w:shd w:val="clear" w:color="auto" w:fill="auto"/>
            <w:noWrap/>
            <w:vAlign w:val="center"/>
          </w:tcPr>
          <w:p w14:paraId="372A9B11" w14:textId="77777777" w:rsidR="00C57FDD" w:rsidRPr="00C3681E" w:rsidRDefault="00C57FDD"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Outputs</w:t>
            </w:r>
          </w:p>
        </w:tc>
        <w:tc>
          <w:tcPr>
            <w:tcW w:w="992" w:type="dxa"/>
            <w:tcBorders>
              <w:top w:val="single" w:sz="8" w:space="0" w:color="00B050"/>
            </w:tcBorders>
            <w:shd w:val="clear" w:color="auto" w:fill="auto"/>
            <w:noWrap/>
            <w:vAlign w:val="center"/>
          </w:tcPr>
          <w:p w14:paraId="788B9E3C" w14:textId="77777777" w:rsidR="00C57FDD" w:rsidRPr="00C3681E" w:rsidRDefault="00C57FDD" w:rsidP="00D9763C">
            <w:pPr>
              <w:tabs>
                <w:tab w:val="clear" w:pos="7100"/>
              </w:tabs>
              <w:spacing w:line="240" w:lineRule="auto"/>
              <w:jc w:val="center"/>
              <w:rPr>
                <w:rFonts w:cs="Arial"/>
                <w:color w:val="000000"/>
                <w:szCs w:val="18"/>
                <w:lang w:eastAsia="it-IT"/>
              </w:rPr>
            </w:pPr>
          </w:p>
        </w:tc>
        <w:tc>
          <w:tcPr>
            <w:tcW w:w="1914" w:type="dxa"/>
            <w:tcBorders>
              <w:top w:val="single" w:sz="8" w:space="0" w:color="00B050"/>
            </w:tcBorders>
            <w:vAlign w:val="center"/>
          </w:tcPr>
          <w:p w14:paraId="1F425371" w14:textId="77777777" w:rsidR="00C57FDD" w:rsidRPr="00C3681E" w:rsidRDefault="00C57FDD"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Outputs</w:t>
            </w:r>
          </w:p>
        </w:tc>
        <w:tc>
          <w:tcPr>
            <w:tcW w:w="781" w:type="dxa"/>
            <w:tcBorders>
              <w:top w:val="single" w:sz="8" w:space="0" w:color="00B050"/>
            </w:tcBorders>
            <w:vAlign w:val="center"/>
          </w:tcPr>
          <w:p w14:paraId="4E87E267" w14:textId="77777777" w:rsidR="00C57FDD" w:rsidRPr="00C3681E" w:rsidRDefault="00C57FDD" w:rsidP="00D9763C">
            <w:pPr>
              <w:tabs>
                <w:tab w:val="clear" w:pos="7100"/>
              </w:tabs>
              <w:spacing w:line="240" w:lineRule="auto"/>
              <w:jc w:val="center"/>
              <w:rPr>
                <w:rFonts w:cs="Arial"/>
                <w:color w:val="000000"/>
                <w:szCs w:val="18"/>
                <w:lang w:eastAsia="it-IT"/>
              </w:rPr>
            </w:pPr>
          </w:p>
        </w:tc>
      </w:tr>
      <w:tr w:rsidR="00C57FDD" w:rsidRPr="00C3681E" w14:paraId="64E64F13" w14:textId="77777777" w:rsidTr="003A3C21">
        <w:trPr>
          <w:trHeight w:val="285"/>
        </w:trPr>
        <w:tc>
          <w:tcPr>
            <w:tcW w:w="2132" w:type="dxa"/>
            <w:tcBorders>
              <w:top w:val="single" w:sz="8" w:space="0" w:color="00B050"/>
            </w:tcBorders>
            <w:shd w:val="clear" w:color="auto" w:fill="auto"/>
            <w:noWrap/>
            <w:vAlign w:val="center"/>
            <w:hideMark/>
          </w:tcPr>
          <w:p w14:paraId="4044C692" w14:textId="45E732C4" w:rsidR="00C57FDD" w:rsidRPr="00C3681E" w:rsidRDefault="00B86137"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M</w:t>
            </w:r>
            <w:r w:rsidR="00C57FDD" w:rsidRPr="00C3681E">
              <w:rPr>
                <w:rFonts w:cs="Arial"/>
                <w:color w:val="000000"/>
                <w:szCs w:val="18"/>
                <w:lang w:eastAsia="it-IT"/>
              </w:rPr>
              <w:t>inimal thickness 2010</w:t>
            </w:r>
          </w:p>
        </w:tc>
        <w:tc>
          <w:tcPr>
            <w:tcW w:w="850" w:type="dxa"/>
            <w:tcBorders>
              <w:top w:val="single" w:sz="8" w:space="0" w:color="00B050"/>
            </w:tcBorders>
            <w:shd w:val="clear" w:color="auto" w:fill="auto"/>
            <w:noWrap/>
            <w:vAlign w:val="center"/>
            <w:hideMark/>
          </w:tcPr>
          <w:p w14:paraId="2982A68F"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4.70 mm</w:t>
            </w:r>
          </w:p>
        </w:tc>
        <w:tc>
          <w:tcPr>
            <w:tcW w:w="1701" w:type="dxa"/>
            <w:tcBorders>
              <w:top w:val="single" w:sz="8" w:space="0" w:color="00B050"/>
            </w:tcBorders>
            <w:shd w:val="clear" w:color="auto" w:fill="auto"/>
            <w:noWrap/>
            <w:vAlign w:val="center"/>
          </w:tcPr>
          <w:p w14:paraId="143C756C" w14:textId="13984D7F" w:rsidR="00C57FDD" w:rsidRPr="00C3681E" w:rsidRDefault="00B86137" w:rsidP="00962FA9">
            <w:pPr>
              <w:tabs>
                <w:tab w:val="clear" w:pos="7100"/>
              </w:tabs>
              <w:spacing w:line="240" w:lineRule="auto"/>
              <w:jc w:val="left"/>
              <w:rPr>
                <w:rFonts w:cs="Arial"/>
                <w:color w:val="000000"/>
                <w:szCs w:val="18"/>
                <w:lang w:eastAsia="it-IT"/>
              </w:rPr>
            </w:pPr>
            <w:r w:rsidRPr="00C3681E">
              <w:rPr>
                <w:rFonts w:cs="Arial"/>
                <w:color w:val="000000"/>
                <w:szCs w:val="18"/>
                <w:lang w:eastAsia="it-IT"/>
              </w:rPr>
              <w:t>C</w:t>
            </w:r>
            <w:r w:rsidR="00962FA9" w:rsidRPr="00C3681E">
              <w:rPr>
                <w:rFonts w:cs="Arial"/>
                <w:color w:val="000000"/>
                <w:szCs w:val="18"/>
                <w:lang w:eastAsia="it-IT"/>
              </w:rPr>
              <w:t>orrosion r</w:t>
            </w:r>
            <w:r w:rsidR="00C57FDD" w:rsidRPr="00C3681E">
              <w:rPr>
                <w:rFonts w:cs="Arial"/>
                <w:color w:val="000000"/>
                <w:szCs w:val="18"/>
                <w:lang w:eastAsia="it-IT"/>
              </w:rPr>
              <w:t>ate</w:t>
            </w:r>
            <w:r w:rsidR="00962FA9" w:rsidRPr="00C3681E">
              <w:rPr>
                <w:rFonts w:ascii="Times New Roman" w:hAnsi="Times New Roman"/>
                <w:i/>
              </w:rPr>
              <w:t xml:space="preserve"> r</w:t>
            </w:r>
          </w:p>
        </w:tc>
        <w:tc>
          <w:tcPr>
            <w:tcW w:w="992" w:type="dxa"/>
            <w:tcBorders>
              <w:top w:val="single" w:sz="8" w:space="0" w:color="00B050"/>
            </w:tcBorders>
            <w:shd w:val="clear" w:color="auto" w:fill="auto"/>
            <w:noWrap/>
            <w:vAlign w:val="center"/>
          </w:tcPr>
          <w:p w14:paraId="6E716FEC"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0.11 mm/y</w:t>
            </w:r>
          </w:p>
        </w:tc>
        <w:tc>
          <w:tcPr>
            <w:tcW w:w="1914" w:type="dxa"/>
            <w:tcBorders>
              <w:top w:val="single" w:sz="8" w:space="0" w:color="00B050"/>
            </w:tcBorders>
            <w:vAlign w:val="center"/>
          </w:tcPr>
          <w:p w14:paraId="10DF99B6" w14:textId="74DCD663" w:rsidR="00C57FDD" w:rsidRPr="00C3681E" w:rsidRDefault="003A3C21" w:rsidP="00D9763C">
            <w:pPr>
              <w:tabs>
                <w:tab w:val="clear" w:pos="7100"/>
              </w:tabs>
              <w:spacing w:line="240" w:lineRule="auto"/>
              <w:jc w:val="left"/>
              <w:rPr>
                <w:rFonts w:cs="Arial"/>
                <w:color w:val="000000"/>
                <w:szCs w:val="18"/>
                <w:lang w:eastAsia="it-IT"/>
              </w:rPr>
            </w:pPr>
            <w:r>
              <w:rPr>
                <w:rFonts w:cs="Arial"/>
                <w:color w:val="000000"/>
                <w:szCs w:val="18"/>
                <w:lang w:eastAsia="it-IT"/>
              </w:rPr>
              <w:t>L</w:t>
            </w:r>
            <w:r w:rsidR="00C57FDD" w:rsidRPr="00C3681E">
              <w:rPr>
                <w:rFonts w:cs="Arial"/>
                <w:color w:val="000000"/>
                <w:szCs w:val="18"/>
                <w:lang w:eastAsia="it-IT"/>
              </w:rPr>
              <w:t>ikelihood rating</w:t>
            </w:r>
          </w:p>
        </w:tc>
        <w:tc>
          <w:tcPr>
            <w:tcW w:w="781" w:type="dxa"/>
            <w:tcBorders>
              <w:top w:val="single" w:sz="8" w:space="0" w:color="00B050"/>
            </w:tcBorders>
            <w:vAlign w:val="center"/>
          </w:tcPr>
          <w:p w14:paraId="6D18A106" w14:textId="68DC4CDC" w:rsidR="00C57FDD" w:rsidRPr="00C3681E" w:rsidRDefault="00B86137" w:rsidP="00D9763C">
            <w:pPr>
              <w:tabs>
                <w:tab w:val="clear" w:pos="7100"/>
              </w:tabs>
              <w:spacing w:line="240" w:lineRule="auto"/>
              <w:jc w:val="right"/>
              <w:rPr>
                <w:rFonts w:cs="Arial"/>
                <w:color w:val="000000"/>
                <w:szCs w:val="18"/>
                <w:lang w:eastAsia="it-IT"/>
              </w:rPr>
            </w:pPr>
            <w:r w:rsidRPr="00C3681E">
              <w:rPr>
                <w:rFonts w:cs="Arial"/>
                <w:i/>
                <w:color w:val="000000"/>
                <w:szCs w:val="18"/>
                <w:lang w:eastAsia="it-IT"/>
              </w:rPr>
              <w:t>medium</w:t>
            </w:r>
          </w:p>
        </w:tc>
      </w:tr>
      <w:tr w:rsidR="00C57FDD" w:rsidRPr="00C3681E" w14:paraId="377D42F8" w14:textId="77777777" w:rsidTr="003A3C21">
        <w:trPr>
          <w:trHeight w:val="285"/>
        </w:trPr>
        <w:tc>
          <w:tcPr>
            <w:tcW w:w="2132" w:type="dxa"/>
            <w:shd w:val="clear" w:color="auto" w:fill="auto"/>
            <w:noWrap/>
            <w:vAlign w:val="center"/>
            <w:hideMark/>
          </w:tcPr>
          <w:p w14:paraId="72747B51" w14:textId="258AA8DF" w:rsidR="00C57FDD" w:rsidRPr="00C3681E" w:rsidRDefault="00B86137"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M</w:t>
            </w:r>
            <w:r w:rsidR="00C57FDD" w:rsidRPr="00C3681E">
              <w:rPr>
                <w:rFonts w:cs="Arial"/>
                <w:color w:val="000000"/>
                <w:szCs w:val="18"/>
                <w:lang w:eastAsia="it-IT"/>
              </w:rPr>
              <w:t>inimal thickness 2017</w:t>
            </w:r>
          </w:p>
        </w:tc>
        <w:tc>
          <w:tcPr>
            <w:tcW w:w="850" w:type="dxa"/>
            <w:shd w:val="clear" w:color="auto" w:fill="auto"/>
            <w:noWrap/>
            <w:vAlign w:val="center"/>
            <w:hideMark/>
          </w:tcPr>
          <w:p w14:paraId="79ABD672"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3.90 mm</w:t>
            </w:r>
          </w:p>
        </w:tc>
        <w:tc>
          <w:tcPr>
            <w:tcW w:w="1701" w:type="dxa"/>
            <w:shd w:val="clear" w:color="auto" w:fill="auto"/>
            <w:noWrap/>
            <w:vAlign w:val="center"/>
          </w:tcPr>
          <w:p w14:paraId="504ED5B7" w14:textId="14C13852" w:rsidR="00C57FDD" w:rsidRPr="00C3681E" w:rsidRDefault="00B86137"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P</w:t>
            </w:r>
            <w:r w:rsidR="00C57FDD" w:rsidRPr="00C3681E">
              <w:rPr>
                <w:rFonts w:cs="Arial"/>
                <w:color w:val="000000"/>
                <w:szCs w:val="18"/>
                <w:lang w:eastAsia="it-IT"/>
              </w:rPr>
              <w:t>itting factor</w:t>
            </w:r>
          </w:p>
        </w:tc>
        <w:tc>
          <w:tcPr>
            <w:tcW w:w="992" w:type="dxa"/>
            <w:shd w:val="clear" w:color="auto" w:fill="auto"/>
            <w:noWrap/>
            <w:vAlign w:val="center"/>
          </w:tcPr>
          <w:p w14:paraId="7B69A285"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1.05</w:t>
            </w:r>
          </w:p>
        </w:tc>
        <w:tc>
          <w:tcPr>
            <w:tcW w:w="1914" w:type="dxa"/>
            <w:vAlign w:val="center"/>
          </w:tcPr>
          <w:p w14:paraId="1E8CCEBD" w14:textId="78BEB964" w:rsidR="00C57FDD" w:rsidRPr="00C3681E" w:rsidRDefault="00B86137" w:rsidP="003A3C21">
            <w:pPr>
              <w:tabs>
                <w:tab w:val="clear" w:pos="7100"/>
              </w:tabs>
              <w:spacing w:line="240" w:lineRule="auto"/>
              <w:jc w:val="left"/>
              <w:rPr>
                <w:rFonts w:cs="Arial"/>
                <w:color w:val="000000"/>
                <w:szCs w:val="18"/>
                <w:lang w:eastAsia="it-IT"/>
              </w:rPr>
            </w:pPr>
            <w:r w:rsidRPr="00C3681E">
              <w:rPr>
                <w:rFonts w:cs="Arial"/>
                <w:color w:val="000000"/>
                <w:szCs w:val="18"/>
                <w:lang w:eastAsia="it-IT"/>
              </w:rPr>
              <w:t>C</w:t>
            </w:r>
            <w:r w:rsidR="00C57FDD" w:rsidRPr="00C3681E">
              <w:rPr>
                <w:rFonts w:cs="Arial"/>
                <w:color w:val="000000"/>
                <w:szCs w:val="18"/>
                <w:lang w:eastAsia="it-IT"/>
              </w:rPr>
              <w:t xml:space="preserve">onfidence factor </w:t>
            </w:r>
            <w:r w:rsidR="00C57FDD" w:rsidRPr="00C3681E">
              <w:rPr>
                <w:rFonts w:ascii="Times New Roman" w:hAnsi="Times New Roman"/>
                <w:i/>
                <w:color w:val="000000"/>
                <w:szCs w:val="18"/>
                <w:lang w:eastAsia="it-IT"/>
              </w:rPr>
              <w:t>K</w:t>
            </w:r>
          </w:p>
        </w:tc>
        <w:tc>
          <w:tcPr>
            <w:tcW w:w="781" w:type="dxa"/>
            <w:vAlign w:val="center"/>
          </w:tcPr>
          <w:p w14:paraId="1AE3FD68"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0.5</w:t>
            </w:r>
          </w:p>
        </w:tc>
      </w:tr>
      <w:tr w:rsidR="00C57FDD" w:rsidRPr="00C3681E" w14:paraId="1F5F4CAD" w14:textId="77777777" w:rsidTr="003A3C21">
        <w:trPr>
          <w:trHeight w:val="285"/>
        </w:trPr>
        <w:tc>
          <w:tcPr>
            <w:tcW w:w="2132" w:type="dxa"/>
            <w:shd w:val="clear" w:color="auto" w:fill="auto"/>
            <w:noWrap/>
            <w:vAlign w:val="center"/>
            <w:hideMark/>
          </w:tcPr>
          <w:p w14:paraId="5B7EE2CF" w14:textId="62BA22EE" w:rsidR="00C57FDD" w:rsidRPr="00C3681E" w:rsidRDefault="00B86137"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T</w:t>
            </w:r>
            <w:r w:rsidR="00C57FDD" w:rsidRPr="00C3681E">
              <w:rPr>
                <w:rFonts w:cs="Arial"/>
                <w:color w:val="000000"/>
                <w:szCs w:val="18"/>
                <w:lang w:eastAsia="it-IT"/>
              </w:rPr>
              <w:t>hickness allowance</w:t>
            </w:r>
          </w:p>
        </w:tc>
        <w:tc>
          <w:tcPr>
            <w:tcW w:w="850" w:type="dxa"/>
            <w:shd w:val="clear" w:color="auto" w:fill="auto"/>
            <w:noWrap/>
            <w:vAlign w:val="center"/>
            <w:hideMark/>
          </w:tcPr>
          <w:p w14:paraId="2DCFFA50"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2.5 mm</w:t>
            </w:r>
          </w:p>
        </w:tc>
        <w:tc>
          <w:tcPr>
            <w:tcW w:w="1701" w:type="dxa"/>
            <w:shd w:val="clear" w:color="auto" w:fill="auto"/>
            <w:noWrap/>
            <w:vAlign w:val="center"/>
          </w:tcPr>
          <w:p w14:paraId="1EC2A41C" w14:textId="52355617" w:rsidR="00C57FDD" w:rsidRPr="00C3681E" w:rsidRDefault="00B86137"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A</w:t>
            </w:r>
            <w:r w:rsidR="00C57FDD" w:rsidRPr="00C3681E">
              <w:rPr>
                <w:rFonts w:cs="Arial"/>
                <w:color w:val="000000"/>
                <w:szCs w:val="18"/>
                <w:lang w:eastAsia="it-IT"/>
              </w:rPr>
              <w:t xml:space="preserve">djusted </w:t>
            </w:r>
            <w:r w:rsidR="00973BFE" w:rsidRPr="00C3681E">
              <w:rPr>
                <w:rFonts w:ascii="Times New Roman" w:hAnsi="Times New Roman"/>
                <w:i/>
              </w:rPr>
              <w:t>r</w:t>
            </w:r>
            <w:r w:rsidR="00C57FDD" w:rsidRPr="00C3681E">
              <w:rPr>
                <w:rFonts w:cs="Arial"/>
                <w:color w:val="000000"/>
                <w:szCs w:val="18"/>
                <w:lang w:eastAsia="it-IT"/>
              </w:rPr>
              <w:t>'</w:t>
            </w:r>
          </w:p>
        </w:tc>
        <w:tc>
          <w:tcPr>
            <w:tcW w:w="992" w:type="dxa"/>
            <w:shd w:val="clear" w:color="auto" w:fill="auto"/>
            <w:noWrap/>
            <w:vAlign w:val="center"/>
          </w:tcPr>
          <w:p w14:paraId="2C1E7FDE" w14:textId="4443F304"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0</w:t>
            </w:r>
            <w:r w:rsidR="00962FA9" w:rsidRPr="00C3681E">
              <w:rPr>
                <w:rFonts w:cs="Arial"/>
                <w:color w:val="000000"/>
                <w:szCs w:val="18"/>
                <w:lang w:eastAsia="it-IT"/>
              </w:rPr>
              <w:t>.</w:t>
            </w:r>
            <w:r w:rsidRPr="00C3681E">
              <w:rPr>
                <w:rFonts w:cs="Arial"/>
                <w:color w:val="000000"/>
                <w:szCs w:val="18"/>
                <w:lang w:eastAsia="it-IT"/>
              </w:rPr>
              <w:t>12 mm/y</w:t>
            </w:r>
          </w:p>
        </w:tc>
        <w:tc>
          <w:tcPr>
            <w:tcW w:w="1914" w:type="dxa"/>
            <w:vAlign w:val="center"/>
          </w:tcPr>
          <w:p w14:paraId="291C3C3F" w14:textId="38744880" w:rsidR="00C57FDD" w:rsidRPr="00C3681E" w:rsidRDefault="00C57FDD"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 xml:space="preserve">Credits/Penalties </w:t>
            </w:r>
          </w:p>
        </w:tc>
        <w:tc>
          <w:tcPr>
            <w:tcW w:w="781" w:type="dxa"/>
            <w:vAlign w:val="center"/>
          </w:tcPr>
          <w:p w14:paraId="3B3FF323"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0</w:t>
            </w:r>
          </w:p>
        </w:tc>
      </w:tr>
      <w:tr w:rsidR="00C57FDD" w:rsidRPr="00C3681E" w14:paraId="7CD19D6E" w14:textId="77777777" w:rsidTr="003A3C21">
        <w:trPr>
          <w:trHeight w:val="285"/>
        </w:trPr>
        <w:tc>
          <w:tcPr>
            <w:tcW w:w="2132" w:type="dxa"/>
            <w:shd w:val="clear" w:color="auto" w:fill="auto"/>
            <w:noWrap/>
            <w:vAlign w:val="center"/>
            <w:hideMark/>
          </w:tcPr>
          <w:p w14:paraId="260D3CDA" w14:textId="7D9273D0" w:rsidR="00C57FDD" w:rsidRPr="00C3681E" w:rsidRDefault="00B86137" w:rsidP="00D9763C">
            <w:pPr>
              <w:tabs>
                <w:tab w:val="clear" w:pos="7100"/>
              </w:tabs>
              <w:spacing w:line="240" w:lineRule="auto"/>
              <w:jc w:val="left"/>
              <w:rPr>
                <w:rFonts w:cs="Arial"/>
                <w:color w:val="000000"/>
                <w:szCs w:val="18"/>
                <w:lang w:eastAsia="it-IT"/>
              </w:rPr>
            </w:pPr>
            <w:r w:rsidRPr="00C3681E">
              <w:rPr>
                <w:rFonts w:cs="Arial"/>
                <w:color w:val="000000"/>
                <w:szCs w:val="18"/>
                <w:lang w:eastAsia="it-IT"/>
              </w:rPr>
              <w:t>S</w:t>
            </w:r>
            <w:r w:rsidR="00C57FDD" w:rsidRPr="00C3681E">
              <w:rPr>
                <w:rFonts w:cs="Arial"/>
                <w:color w:val="000000"/>
                <w:szCs w:val="18"/>
                <w:lang w:eastAsia="it-IT"/>
              </w:rPr>
              <w:t>afety margin</w:t>
            </w:r>
          </w:p>
        </w:tc>
        <w:tc>
          <w:tcPr>
            <w:tcW w:w="850" w:type="dxa"/>
            <w:shd w:val="clear" w:color="auto" w:fill="auto"/>
            <w:noWrap/>
            <w:vAlign w:val="center"/>
            <w:hideMark/>
          </w:tcPr>
          <w:p w14:paraId="64E42CEB"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0.2 mm</w:t>
            </w:r>
          </w:p>
        </w:tc>
        <w:tc>
          <w:tcPr>
            <w:tcW w:w="1701" w:type="dxa"/>
            <w:shd w:val="clear" w:color="auto" w:fill="auto"/>
            <w:noWrap/>
            <w:vAlign w:val="center"/>
            <w:hideMark/>
          </w:tcPr>
          <w:p w14:paraId="209C1647" w14:textId="77777777" w:rsidR="00C57FDD" w:rsidRPr="00C3681E" w:rsidRDefault="00C57FDD" w:rsidP="00D9763C">
            <w:pPr>
              <w:tabs>
                <w:tab w:val="clear" w:pos="7100"/>
              </w:tabs>
              <w:spacing w:line="240" w:lineRule="auto"/>
              <w:jc w:val="left"/>
              <w:rPr>
                <w:rFonts w:ascii="Times New Roman" w:hAnsi="Times New Roman"/>
                <w:i/>
                <w:color w:val="000000"/>
                <w:szCs w:val="18"/>
                <w:lang w:eastAsia="it-IT"/>
              </w:rPr>
            </w:pPr>
            <w:r w:rsidRPr="00C3681E">
              <w:rPr>
                <w:rFonts w:ascii="Times New Roman" w:hAnsi="Times New Roman"/>
                <w:i/>
                <w:color w:val="000000"/>
                <w:szCs w:val="18"/>
                <w:lang w:eastAsia="it-IT"/>
              </w:rPr>
              <w:t>RUL</w:t>
            </w:r>
          </w:p>
        </w:tc>
        <w:tc>
          <w:tcPr>
            <w:tcW w:w="992" w:type="dxa"/>
            <w:shd w:val="clear" w:color="auto" w:fill="auto"/>
            <w:noWrap/>
            <w:vAlign w:val="center"/>
            <w:hideMark/>
          </w:tcPr>
          <w:p w14:paraId="1F0F72A5"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10 y</w:t>
            </w:r>
          </w:p>
        </w:tc>
        <w:tc>
          <w:tcPr>
            <w:tcW w:w="1914" w:type="dxa"/>
            <w:vAlign w:val="center"/>
          </w:tcPr>
          <w:p w14:paraId="2EADD70B" w14:textId="77777777" w:rsidR="00C57FDD" w:rsidRPr="00C3681E" w:rsidRDefault="00C57FDD" w:rsidP="00D9763C">
            <w:pPr>
              <w:tabs>
                <w:tab w:val="clear" w:pos="7100"/>
              </w:tabs>
              <w:spacing w:line="240" w:lineRule="auto"/>
              <w:jc w:val="left"/>
              <w:rPr>
                <w:rFonts w:cs="Arial"/>
                <w:color w:val="000000"/>
                <w:szCs w:val="18"/>
                <w:lang w:eastAsia="it-IT"/>
              </w:rPr>
            </w:pPr>
            <w:r w:rsidRPr="00C3681E">
              <w:rPr>
                <w:rFonts w:ascii="Times New Roman" w:hAnsi="Times New Roman"/>
                <w:i/>
                <w:color w:val="000000"/>
                <w:szCs w:val="18"/>
                <w:lang w:eastAsia="it-IT"/>
              </w:rPr>
              <w:t>K'</w:t>
            </w:r>
          </w:p>
        </w:tc>
        <w:tc>
          <w:tcPr>
            <w:tcW w:w="781" w:type="dxa"/>
            <w:vAlign w:val="center"/>
          </w:tcPr>
          <w:p w14:paraId="5E1F9630" w14:textId="77777777" w:rsidR="00C57FDD" w:rsidRPr="00C3681E" w:rsidRDefault="00C57FDD" w:rsidP="00D9763C">
            <w:pPr>
              <w:tabs>
                <w:tab w:val="clear" w:pos="7100"/>
              </w:tabs>
              <w:spacing w:line="240" w:lineRule="auto"/>
              <w:jc w:val="right"/>
              <w:rPr>
                <w:rFonts w:cs="Arial"/>
                <w:color w:val="000000"/>
                <w:szCs w:val="18"/>
                <w:lang w:eastAsia="it-IT"/>
              </w:rPr>
            </w:pPr>
            <w:r w:rsidRPr="00C3681E">
              <w:rPr>
                <w:rFonts w:cs="Arial"/>
                <w:color w:val="000000"/>
                <w:szCs w:val="18"/>
                <w:lang w:eastAsia="it-IT"/>
              </w:rPr>
              <w:t>0.5</w:t>
            </w:r>
          </w:p>
        </w:tc>
      </w:tr>
      <w:tr w:rsidR="00C57FDD" w:rsidRPr="00C3681E" w14:paraId="6ADC5073" w14:textId="77777777" w:rsidTr="003A3C21">
        <w:trPr>
          <w:trHeight w:val="285"/>
        </w:trPr>
        <w:tc>
          <w:tcPr>
            <w:tcW w:w="2132" w:type="dxa"/>
            <w:tcBorders>
              <w:bottom w:val="single" w:sz="8" w:space="0" w:color="00B050"/>
            </w:tcBorders>
            <w:shd w:val="clear" w:color="auto" w:fill="auto"/>
            <w:noWrap/>
            <w:vAlign w:val="center"/>
          </w:tcPr>
          <w:p w14:paraId="109177AE" w14:textId="19ABCC65" w:rsidR="00C57FDD" w:rsidRPr="00C3681E" w:rsidRDefault="003A3C21" w:rsidP="00D9763C">
            <w:pPr>
              <w:tabs>
                <w:tab w:val="clear" w:pos="7100"/>
              </w:tabs>
              <w:spacing w:line="240" w:lineRule="auto"/>
              <w:jc w:val="left"/>
              <w:rPr>
                <w:rFonts w:cs="Arial"/>
                <w:color w:val="000000"/>
                <w:szCs w:val="18"/>
                <w:lang w:eastAsia="it-IT"/>
              </w:rPr>
            </w:pPr>
            <w:r>
              <w:rPr>
                <w:rFonts w:cs="Arial"/>
                <w:color w:val="000000"/>
                <w:szCs w:val="18"/>
                <w:lang w:eastAsia="it-IT"/>
              </w:rPr>
              <w:t>I</w:t>
            </w:r>
            <w:r w:rsidR="00C57FDD" w:rsidRPr="00C3681E">
              <w:rPr>
                <w:rFonts w:cs="Arial"/>
                <w:color w:val="000000"/>
                <w:szCs w:val="18"/>
                <w:lang w:eastAsia="it-IT"/>
              </w:rPr>
              <w:t xml:space="preserve">nspections </w:t>
            </w:r>
            <w:r>
              <w:rPr>
                <w:rFonts w:cs="Arial"/>
                <w:color w:val="000000"/>
                <w:szCs w:val="18"/>
                <w:lang w:eastAsia="it-IT"/>
              </w:rPr>
              <w:t>interval</w:t>
            </w:r>
          </w:p>
        </w:tc>
        <w:tc>
          <w:tcPr>
            <w:tcW w:w="850" w:type="dxa"/>
            <w:tcBorders>
              <w:bottom w:val="single" w:sz="8" w:space="0" w:color="00B050"/>
            </w:tcBorders>
            <w:shd w:val="clear" w:color="auto" w:fill="auto"/>
            <w:noWrap/>
            <w:vAlign w:val="center"/>
          </w:tcPr>
          <w:p w14:paraId="37A90549" w14:textId="772D0387" w:rsidR="00C57FDD" w:rsidRPr="00C3681E" w:rsidRDefault="00C57FDD" w:rsidP="00266F48">
            <w:pPr>
              <w:tabs>
                <w:tab w:val="clear" w:pos="7100"/>
              </w:tabs>
              <w:spacing w:line="240" w:lineRule="auto"/>
              <w:jc w:val="right"/>
              <w:rPr>
                <w:rFonts w:cs="Arial"/>
                <w:color w:val="000000"/>
                <w:szCs w:val="18"/>
                <w:lang w:eastAsia="it-IT"/>
              </w:rPr>
            </w:pPr>
            <w:r w:rsidRPr="00C3681E">
              <w:rPr>
                <w:rFonts w:cs="Arial"/>
                <w:color w:val="000000"/>
                <w:szCs w:val="18"/>
                <w:lang w:eastAsia="it-IT"/>
              </w:rPr>
              <w:t>7 y</w:t>
            </w:r>
          </w:p>
        </w:tc>
        <w:tc>
          <w:tcPr>
            <w:tcW w:w="1701" w:type="dxa"/>
            <w:tcBorders>
              <w:bottom w:val="single" w:sz="8" w:space="0" w:color="00B050"/>
            </w:tcBorders>
            <w:shd w:val="clear" w:color="auto" w:fill="auto"/>
            <w:noWrap/>
            <w:vAlign w:val="center"/>
          </w:tcPr>
          <w:p w14:paraId="6A3C8866" w14:textId="6DAFD1F9" w:rsidR="00C57FDD" w:rsidRPr="00C3681E" w:rsidRDefault="003A3C21" w:rsidP="00D9763C">
            <w:pPr>
              <w:tabs>
                <w:tab w:val="clear" w:pos="7100"/>
              </w:tabs>
              <w:spacing w:line="240" w:lineRule="auto"/>
              <w:jc w:val="left"/>
              <w:rPr>
                <w:rFonts w:cs="Arial"/>
                <w:color w:val="000000"/>
                <w:szCs w:val="18"/>
                <w:lang w:eastAsia="it-IT"/>
              </w:rPr>
            </w:pPr>
            <w:r>
              <w:rPr>
                <w:rFonts w:cs="Arial"/>
                <w:color w:val="000000"/>
                <w:szCs w:val="18"/>
                <w:lang w:eastAsia="it-IT"/>
              </w:rPr>
              <w:t>C</w:t>
            </w:r>
            <w:r w:rsidR="00C57FDD" w:rsidRPr="00C3681E">
              <w:rPr>
                <w:rFonts w:cs="Arial"/>
                <w:color w:val="000000"/>
                <w:szCs w:val="18"/>
                <w:lang w:eastAsia="it-IT"/>
              </w:rPr>
              <w:t>onsequence rating</w:t>
            </w:r>
          </w:p>
        </w:tc>
        <w:tc>
          <w:tcPr>
            <w:tcW w:w="992" w:type="dxa"/>
            <w:tcBorders>
              <w:bottom w:val="single" w:sz="8" w:space="0" w:color="00B050"/>
            </w:tcBorders>
            <w:shd w:val="clear" w:color="auto" w:fill="auto"/>
            <w:noWrap/>
            <w:vAlign w:val="center"/>
          </w:tcPr>
          <w:p w14:paraId="2F49AAD1" w14:textId="030004C3" w:rsidR="00C57FDD" w:rsidRPr="00C3681E" w:rsidRDefault="00B86137" w:rsidP="00B86137">
            <w:pPr>
              <w:tabs>
                <w:tab w:val="clear" w:pos="7100"/>
              </w:tabs>
              <w:spacing w:line="240" w:lineRule="auto"/>
              <w:jc w:val="right"/>
              <w:rPr>
                <w:rFonts w:cs="Arial"/>
                <w:i/>
                <w:szCs w:val="18"/>
                <w:lang w:eastAsia="it-IT"/>
              </w:rPr>
            </w:pPr>
            <w:r w:rsidRPr="00C3681E">
              <w:rPr>
                <w:rFonts w:cs="Arial"/>
                <w:i/>
                <w:color w:val="000000"/>
                <w:szCs w:val="18"/>
                <w:lang w:eastAsia="it-IT"/>
              </w:rPr>
              <w:t>high</w:t>
            </w:r>
          </w:p>
        </w:tc>
        <w:tc>
          <w:tcPr>
            <w:tcW w:w="1914" w:type="dxa"/>
            <w:tcBorders>
              <w:bottom w:val="single" w:sz="8" w:space="0" w:color="00B050"/>
            </w:tcBorders>
            <w:vAlign w:val="center"/>
          </w:tcPr>
          <w:p w14:paraId="382ACDC5" w14:textId="07F6FD99" w:rsidR="00C57FDD" w:rsidRPr="00C3681E" w:rsidRDefault="00B86137" w:rsidP="00D9763C">
            <w:pPr>
              <w:tabs>
                <w:tab w:val="clear" w:pos="7100"/>
              </w:tabs>
              <w:spacing w:line="240" w:lineRule="auto"/>
              <w:jc w:val="left"/>
              <w:rPr>
                <w:rFonts w:cs="Arial"/>
                <w:bCs/>
                <w:color w:val="000000"/>
                <w:szCs w:val="18"/>
                <w:lang w:eastAsia="it-IT"/>
              </w:rPr>
            </w:pPr>
            <w:r w:rsidRPr="00C3681E">
              <w:rPr>
                <w:rFonts w:cs="Arial"/>
                <w:color w:val="000000"/>
                <w:szCs w:val="18"/>
                <w:lang w:eastAsia="it-IT"/>
              </w:rPr>
              <w:t>T</w:t>
            </w:r>
            <w:r w:rsidR="00C57FDD" w:rsidRPr="00C3681E">
              <w:rPr>
                <w:rFonts w:cs="Arial"/>
                <w:color w:val="000000"/>
                <w:szCs w:val="18"/>
                <w:lang w:eastAsia="it-IT"/>
              </w:rPr>
              <w:t>ime to next inspection</w:t>
            </w:r>
          </w:p>
        </w:tc>
        <w:tc>
          <w:tcPr>
            <w:tcW w:w="781" w:type="dxa"/>
            <w:tcBorders>
              <w:bottom w:val="single" w:sz="8" w:space="0" w:color="00B050"/>
            </w:tcBorders>
            <w:vAlign w:val="center"/>
          </w:tcPr>
          <w:p w14:paraId="5D24E118" w14:textId="77777777" w:rsidR="00C57FDD" w:rsidRPr="00C3681E" w:rsidRDefault="00C57FDD" w:rsidP="00D9763C">
            <w:pPr>
              <w:tabs>
                <w:tab w:val="clear" w:pos="7100"/>
              </w:tabs>
              <w:spacing w:line="240" w:lineRule="auto"/>
              <w:jc w:val="right"/>
              <w:rPr>
                <w:rFonts w:cs="Arial"/>
                <w:bCs/>
                <w:color w:val="000000"/>
                <w:szCs w:val="18"/>
                <w:lang w:eastAsia="it-IT"/>
              </w:rPr>
            </w:pPr>
            <w:r w:rsidRPr="00C3681E">
              <w:rPr>
                <w:rFonts w:cs="Arial"/>
                <w:bCs/>
                <w:color w:val="000000"/>
                <w:szCs w:val="18"/>
                <w:lang w:eastAsia="it-IT"/>
              </w:rPr>
              <w:t>6.1 y</w:t>
            </w:r>
          </w:p>
        </w:tc>
      </w:tr>
    </w:tbl>
    <w:p w14:paraId="6AAB6438" w14:textId="5FAB424E" w:rsidR="00600535" w:rsidRPr="00C3681E" w:rsidRDefault="00600535" w:rsidP="00600535">
      <w:pPr>
        <w:pStyle w:val="CETHeading1"/>
        <w:rPr>
          <w:lang w:val="en-GB"/>
        </w:rPr>
      </w:pPr>
      <w:r w:rsidRPr="00C3681E">
        <w:rPr>
          <w:lang w:val="en-GB"/>
        </w:rPr>
        <w:lastRenderedPageBreak/>
        <w:t>Conclusions</w:t>
      </w:r>
    </w:p>
    <w:p w14:paraId="49097E59" w14:textId="2430957D" w:rsidR="006B3C5B" w:rsidRPr="00C3681E" w:rsidRDefault="006B3C5B" w:rsidP="006B3C5B">
      <w:pPr>
        <w:pStyle w:val="CETBodytext"/>
        <w:rPr>
          <w:lang w:val="en-GB"/>
        </w:rPr>
      </w:pPr>
      <w:r w:rsidRPr="00C3681E">
        <w:rPr>
          <w:lang w:val="en-GB"/>
        </w:rPr>
        <w:t>The proposed method</w:t>
      </w:r>
      <w:r w:rsidR="00C03C3C">
        <w:rPr>
          <w:lang w:val="en-GB"/>
        </w:rPr>
        <w:t xml:space="preserve"> </w:t>
      </w:r>
      <w:r w:rsidRPr="00C3681E">
        <w:rPr>
          <w:lang w:val="en-GB"/>
        </w:rPr>
        <w:t xml:space="preserve">provides less conservative and site-specific information </w:t>
      </w:r>
      <w:r w:rsidR="00C03C3C">
        <w:rPr>
          <w:lang w:val="en-GB"/>
        </w:rPr>
        <w:t>that the EEMUA standard</w:t>
      </w:r>
      <w:r w:rsidRPr="00C3681E">
        <w:rPr>
          <w:lang w:val="en-GB"/>
        </w:rPr>
        <w:t>, as it use</w:t>
      </w:r>
      <w:r w:rsidR="00C03C3C">
        <w:rPr>
          <w:lang w:val="en-GB"/>
        </w:rPr>
        <w:t>s</w:t>
      </w:r>
      <w:r w:rsidRPr="00C3681E">
        <w:rPr>
          <w:lang w:val="en-GB"/>
        </w:rPr>
        <w:t xml:space="preserve"> data collected at each inspection. The calculated corrosion rate is very close to </w:t>
      </w:r>
      <w:r w:rsidR="003A3C21">
        <w:rPr>
          <w:lang w:val="en-GB"/>
        </w:rPr>
        <w:t xml:space="preserve">that </w:t>
      </w:r>
      <w:r w:rsidRPr="00C3681E">
        <w:rPr>
          <w:lang w:val="en-GB"/>
        </w:rPr>
        <w:t>obtained by the API standard, which is less conservative than EEMUA. T</w:t>
      </w:r>
      <w:r w:rsidR="00C57FDD" w:rsidRPr="00C3681E">
        <w:rPr>
          <w:lang w:val="en-GB"/>
        </w:rPr>
        <w:t xml:space="preserve">he probabilistic assessment of the </w:t>
      </w:r>
      <w:r w:rsidR="00C57FDD" w:rsidRPr="00C3681E">
        <w:rPr>
          <w:rFonts w:ascii="Times New Roman" w:hAnsi="Times New Roman"/>
          <w:i/>
          <w:lang w:val="en-GB"/>
        </w:rPr>
        <w:t>RUL</w:t>
      </w:r>
      <w:r w:rsidR="00C57FDD" w:rsidRPr="00C3681E">
        <w:rPr>
          <w:lang w:val="en-GB"/>
        </w:rPr>
        <w:t xml:space="preserve"> allows </w:t>
      </w:r>
      <w:r w:rsidR="006F3A1A" w:rsidRPr="00C3681E">
        <w:rPr>
          <w:lang w:val="en-GB"/>
        </w:rPr>
        <w:t>the operator</w:t>
      </w:r>
      <w:r w:rsidR="00C57FDD" w:rsidRPr="00C3681E">
        <w:rPr>
          <w:lang w:val="en-GB"/>
        </w:rPr>
        <w:t xml:space="preserve"> plan</w:t>
      </w:r>
      <w:r w:rsidR="006F3A1A" w:rsidRPr="00C3681E">
        <w:rPr>
          <w:lang w:val="en-GB"/>
        </w:rPr>
        <w:t>ning</w:t>
      </w:r>
      <w:r w:rsidR="00C57FDD" w:rsidRPr="00C3681E">
        <w:rPr>
          <w:lang w:val="en-GB"/>
        </w:rPr>
        <w:t xml:space="preserve"> </w:t>
      </w:r>
      <w:r w:rsidR="003A3C21" w:rsidRPr="00C3681E">
        <w:rPr>
          <w:lang w:val="en-GB"/>
        </w:rPr>
        <w:t xml:space="preserve">in a more flexible way </w:t>
      </w:r>
      <w:r w:rsidR="00C57FDD" w:rsidRPr="00C3681E">
        <w:rPr>
          <w:lang w:val="en-GB"/>
        </w:rPr>
        <w:t xml:space="preserve">the date of the next inspection. Thus, </w:t>
      </w:r>
      <w:r w:rsidR="003A3C21">
        <w:rPr>
          <w:lang w:val="en-GB"/>
        </w:rPr>
        <w:t>he/she</w:t>
      </w:r>
      <w:r w:rsidR="00C57FDD" w:rsidRPr="00C3681E">
        <w:rPr>
          <w:lang w:val="en-GB"/>
        </w:rPr>
        <w:t xml:space="preserve"> is able to better balance the opposing needs</w:t>
      </w:r>
      <w:r w:rsidR="00C03D65" w:rsidRPr="00C3681E">
        <w:rPr>
          <w:lang w:val="en-GB"/>
        </w:rPr>
        <w:t xml:space="preserve"> (integrity versus occupation safety)</w:t>
      </w:r>
      <w:r w:rsidR="00C03C3C">
        <w:rPr>
          <w:lang w:val="en-GB"/>
        </w:rPr>
        <w:t xml:space="preserve">, i.e. </w:t>
      </w:r>
      <w:r w:rsidR="00C57FDD" w:rsidRPr="00C3681E">
        <w:rPr>
          <w:lang w:val="en-GB"/>
        </w:rPr>
        <w:t>to ensure</w:t>
      </w:r>
      <w:r w:rsidR="00E504E6" w:rsidRPr="00C3681E">
        <w:rPr>
          <w:lang w:val="en-GB"/>
        </w:rPr>
        <w:t xml:space="preserve"> the equipment</w:t>
      </w:r>
      <w:r w:rsidR="00C57FDD" w:rsidRPr="00C3681E">
        <w:rPr>
          <w:lang w:val="en-GB"/>
        </w:rPr>
        <w:t xml:space="preserve"> integrity over</w:t>
      </w:r>
      <w:r w:rsidR="003A3C21">
        <w:rPr>
          <w:lang w:val="en-GB"/>
        </w:rPr>
        <w:t xml:space="preserve"> the</w:t>
      </w:r>
      <w:r w:rsidR="00C57FDD" w:rsidRPr="00C3681E">
        <w:rPr>
          <w:lang w:val="en-GB"/>
        </w:rPr>
        <w:t xml:space="preserve"> time and to </w:t>
      </w:r>
      <w:r w:rsidR="006F3A1A" w:rsidRPr="00C3681E">
        <w:rPr>
          <w:lang w:val="en-GB"/>
        </w:rPr>
        <w:t>minimis</w:t>
      </w:r>
      <w:r w:rsidR="00C57FDD" w:rsidRPr="00C3681E">
        <w:rPr>
          <w:lang w:val="en-GB"/>
        </w:rPr>
        <w:t xml:space="preserve">e the effects on occupational safety </w:t>
      </w:r>
      <w:r w:rsidR="00E504E6" w:rsidRPr="00C3681E">
        <w:rPr>
          <w:lang w:val="en-GB"/>
        </w:rPr>
        <w:t>due to</w:t>
      </w:r>
      <w:r w:rsidR="00C57FDD" w:rsidRPr="00C3681E">
        <w:rPr>
          <w:lang w:val="en-GB"/>
        </w:rPr>
        <w:t xml:space="preserve"> interventions inside the tank.</w:t>
      </w:r>
      <w:r w:rsidR="00B86137" w:rsidRPr="00C3681E">
        <w:rPr>
          <w:lang w:val="en-GB"/>
        </w:rPr>
        <w:t xml:space="preserve"> </w:t>
      </w:r>
      <w:r w:rsidRPr="00C3681E">
        <w:rPr>
          <w:rStyle w:val="tlid-translation"/>
          <w:lang w:val="en-GB"/>
        </w:rPr>
        <w:t xml:space="preserve">In addition, </w:t>
      </w:r>
      <w:r w:rsidR="00E504E6" w:rsidRPr="00C3681E">
        <w:rPr>
          <w:rStyle w:val="tlid-translation"/>
          <w:lang w:val="en-GB"/>
        </w:rPr>
        <w:t xml:space="preserve">given that the </w:t>
      </w:r>
      <w:r w:rsidRPr="00C3681E">
        <w:rPr>
          <w:rStyle w:val="tlid-translation"/>
          <w:lang w:val="en-GB"/>
        </w:rPr>
        <w:t>monitoring with AE technique can identify areas where corrosion is mo</w:t>
      </w:r>
      <w:r w:rsidR="00C03C3C">
        <w:rPr>
          <w:rStyle w:val="tlid-translation"/>
          <w:lang w:val="en-GB"/>
        </w:rPr>
        <w:t>re</w:t>
      </w:r>
      <w:r w:rsidRPr="00C3681E">
        <w:rPr>
          <w:rStyle w:val="tlid-translation"/>
          <w:lang w:val="en-GB"/>
        </w:rPr>
        <w:t xml:space="preserve"> active, providing valuable information for more effective ultrasonic thickness measurement or </w:t>
      </w:r>
      <w:r w:rsidR="00E504E6" w:rsidRPr="00C3681E">
        <w:rPr>
          <w:rStyle w:val="tlid-translation"/>
          <w:lang w:val="en-GB"/>
        </w:rPr>
        <w:t>localising</w:t>
      </w:r>
      <w:r w:rsidRPr="00C3681E">
        <w:rPr>
          <w:rStyle w:val="tlid-translation"/>
          <w:lang w:val="en-GB"/>
        </w:rPr>
        <w:t xml:space="preserve"> possible product leaks</w:t>
      </w:r>
      <w:r w:rsidR="00E504E6" w:rsidRPr="00C3681E">
        <w:rPr>
          <w:rStyle w:val="tlid-translation"/>
          <w:lang w:val="en-GB"/>
        </w:rPr>
        <w:t>, its combination with the proposed approach allows exploiting in more effective way the prognostics for the management of safety</w:t>
      </w:r>
      <w:r w:rsidRPr="00C3681E">
        <w:rPr>
          <w:rStyle w:val="tlid-translation"/>
          <w:lang w:val="en-GB"/>
        </w:rPr>
        <w:t>.</w:t>
      </w:r>
    </w:p>
    <w:p w14:paraId="1D17F545" w14:textId="77777777" w:rsidR="00600535" w:rsidRPr="00C3681E" w:rsidRDefault="00600535" w:rsidP="00600535">
      <w:pPr>
        <w:pStyle w:val="CETAcknowledgementstitle"/>
      </w:pPr>
      <w:r w:rsidRPr="00C3681E">
        <w:t>Acknowledgments</w:t>
      </w:r>
    </w:p>
    <w:p w14:paraId="3B292A1D" w14:textId="77777777" w:rsidR="00E7032A" w:rsidRPr="00C3681E" w:rsidRDefault="00E7032A" w:rsidP="00E24FAA">
      <w:pPr>
        <w:pStyle w:val="CETReference"/>
        <w:spacing w:before="0"/>
        <w:rPr>
          <w:b w:val="0"/>
        </w:rPr>
      </w:pPr>
      <w:r w:rsidRPr="00C3681E">
        <w:rPr>
          <w:b w:val="0"/>
        </w:rPr>
        <w:t>This work has be</w:t>
      </w:r>
      <w:bookmarkStart w:id="1" w:name="_GoBack"/>
      <w:bookmarkEnd w:id="1"/>
      <w:r w:rsidRPr="00C3681E">
        <w:rPr>
          <w:b w:val="0"/>
        </w:rPr>
        <w:t>en funded by INAIL within the BRIC/2018, ID = 11 framework, project MAC4PRO.</w:t>
      </w:r>
    </w:p>
    <w:p w14:paraId="35417BE8" w14:textId="0615DC80" w:rsidR="00600535" w:rsidRPr="00C3681E" w:rsidRDefault="00600535" w:rsidP="00600535">
      <w:pPr>
        <w:pStyle w:val="CETReference"/>
      </w:pPr>
      <w:r w:rsidRPr="00C3681E">
        <w:t>References</w:t>
      </w:r>
    </w:p>
    <w:p w14:paraId="65F7290F" w14:textId="0E389D7B" w:rsidR="00E504E6" w:rsidRPr="00C3681E" w:rsidRDefault="00E504E6" w:rsidP="00E24FAA">
      <w:pPr>
        <w:pStyle w:val="CETReferencetext"/>
        <w:rPr>
          <w:rFonts w:eastAsia="Calibri"/>
        </w:rPr>
      </w:pPr>
      <w:r w:rsidRPr="00C3681E">
        <w:rPr>
          <w:rFonts w:eastAsia="Calibri"/>
        </w:rPr>
        <w:t>API, 2016, Risk-Based Inspection Methodology. API Recommended Practice API RP 581, 3rd ed., New York.</w:t>
      </w:r>
    </w:p>
    <w:p w14:paraId="42D1C8E8" w14:textId="2D46B100" w:rsidR="0052021D" w:rsidRPr="00C3681E" w:rsidRDefault="0052021D" w:rsidP="00E24FAA">
      <w:pPr>
        <w:pStyle w:val="CETReferencetext"/>
        <w:rPr>
          <w:rFonts w:eastAsia="Calibri"/>
        </w:rPr>
      </w:pPr>
      <w:proofErr w:type="spellStart"/>
      <w:r w:rsidRPr="00C3681E">
        <w:rPr>
          <w:rFonts w:eastAsia="Calibri"/>
        </w:rPr>
        <w:t>Demichela</w:t>
      </w:r>
      <w:proofErr w:type="spellEnd"/>
      <w:r w:rsidRPr="00C3681E">
        <w:rPr>
          <w:rFonts w:eastAsia="Calibri"/>
        </w:rPr>
        <w:t xml:space="preserve"> M., Cozzani V., </w:t>
      </w:r>
      <w:proofErr w:type="spellStart"/>
      <w:r w:rsidRPr="00C3681E">
        <w:rPr>
          <w:rFonts w:eastAsia="Calibri"/>
        </w:rPr>
        <w:t>Marzani</w:t>
      </w:r>
      <w:proofErr w:type="spellEnd"/>
      <w:r w:rsidRPr="00C3681E">
        <w:rPr>
          <w:rFonts w:eastAsia="Calibri"/>
        </w:rPr>
        <w:t xml:space="preserve"> A., </w:t>
      </w:r>
      <w:proofErr w:type="spellStart"/>
      <w:r w:rsidRPr="00C3681E">
        <w:rPr>
          <w:rFonts w:eastAsia="Calibri"/>
        </w:rPr>
        <w:t>Baldissone</w:t>
      </w:r>
      <w:proofErr w:type="spellEnd"/>
      <w:r w:rsidRPr="00C3681E">
        <w:rPr>
          <w:rFonts w:eastAsia="Calibri"/>
        </w:rPr>
        <w:t xml:space="preserve"> G., Messina M., 2019, Aging Facilities prognostic &amp; health management: data collection, analysis and use, Chemical Engineering Transactions, 77, 925-930</w:t>
      </w:r>
      <w:r w:rsidR="00E30D2F">
        <w:rPr>
          <w:rFonts w:eastAsia="Calibri"/>
        </w:rPr>
        <w:t xml:space="preserve">, DOI: </w:t>
      </w:r>
      <w:r w:rsidR="00E30D2F" w:rsidRPr="00E30D2F">
        <w:rPr>
          <w:rFonts w:eastAsia="Calibri"/>
        </w:rPr>
        <w:t>10.3303/CET1977155</w:t>
      </w:r>
    </w:p>
    <w:p w14:paraId="5A4D80D0" w14:textId="0930B8E2" w:rsidR="00C03D65" w:rsidRPr="00C3681E" w:rsidRDefault="00E504E6" w:rsidP="00E24FAA">
      <w:pPr>
        <w:pStyle w:val="CETReferencetext"/>
        <w:rPr>
          <w:rFonts w:eastAsia="Calibri"/>
        </w:rPr>
      </w:pPr>
      <w:r w:rsidRPr="00C3681E">
        <w:rPr>
          <w:rFonts w:eastAsia="Calibri"/>
        </w:rPr>
        <w:t>EEMUA, 2014,</w:t>
      </w:r>
      <w:r w:rsidR="00C03D65" w:rsidRPr="00C3681E">
        <w:rPr>
          <w:rFonts w:eastAsia="Calibri"/>
        </w:rPr>
        <w:t xml:space="preserve"> </w:t>
      </w:r>
      <w:r w:rsidRPr="00C3681E">
        <w:rPr>
          <w:rFonts w:eastAsia="Calibri"/>
        </w:rPr>
        <w:t xml:space="preserve">Users’ Guide to the Inspection, Maintenance and Repair of above Ground Vertical Cylindrical Steel Storage Tanks, </w:t>
      </w:r>
      <w:r w:rsidR="00C03D65" w:rsidRPr="00C3681E">
        <w:rPr>
          <w:rFonts w:eastAsia="Calibri"/>
        </w:rPr>
        <w:t xml:space="preserve">EEMUA </w:t>
      </w:r>
      <w:r w:rsidRPr="00C3681E">
        <w:rPr>
          <w:rFonts w:eastAsia="Calibri"/>
        </w:rPr>
        <w:t>159</w:t>
      </w:r>
      <w:r w:rsidR="00C03D65" w:rsidRPr="00C3681E">
        <w:rPr>
          <w:rFonts w:eastAsia="Calibri"/>
        </w:rPr>
        <w:t>.</w:t>
      </w:r>
    </w:p>
    <w:p w14:paraId="1E85CA09" w14:textId="68553CB0" w:rsidR="00CA34F6" w:rsidRPr="00C3681E" w:rsidRDefault="00CA34F6" w:rsidP="00E24FAA">
      <w:pPr>
        <w:pStyle w:val="CETReferencetext"/>
        <w:rPr>
          <w:rFonts w:eastAsia="Calibri"/>
        </w:rPr>
      </w:pPr>
      <w:r w:rsidRPr="00C3681E">
        <w:rPr>
          <w:rFonts w:eastAsia="Calibri"/>
        </w:rPr>
        <w:t>Gumbel</w:t>
      </w:r>
      <w:r w:rsidR="00C03D65" w:rsidRPr="00C3681E">
        <w:rPr>
          <w:rFonts w:eastAsia="Calibri"/>
        </w:rPr>
        <w:t xml:space="preserve"> E.J.</w:t>
      </w:r>
      <w:r w:rsidRPr="00C3681E">
        <w:rPr>
          <w:rFonts w:eastAsia="Calibri"/>
        </w:rPr>
        <w:t xml:space="preserve">, </w:t>
      </w:r>
      <w:r w:rsidR="00C03D65" w:rsidRPr="00C3681E">
        <w:rPr>
          <w:rFonts w:eastAsia="Calibri"/>
        </w:rPr>
        <w:t xml:space="preserve">1958, </w:t>
      </w:r>
      <w:r w:rsidRPr="00C3681E">
        <w:rPr>
          <w:rFonts w:eastAsia="Calibri"/>
        </w:rPr>
        <w:t>Statistics of Extremes, Colum</w:t>
      </w:r>
      <w:r w:rsidR="00C03D65" w:rsidRPr="00C3681E">
        <w:rPr>
          <w:rFonts w:eastAsia="Calibri"/>
        </w:rPr>
        <w:t>bia University Press, New York.</w:t>
      </w:r>
    </w:p>
    <w:p w14:paraId="0DA4877A" w14:textId="6E4B1392" w:rsidR="00FF6AA3" w:rsidRPr="00C3681E" w:rsidRDefault="00FF6AA3" w:rsidP="00E24FAA">
      <w:pPr>
        <w:pStyle w:val="CETReferencetext"/>
        <w:rPr>
          <w:rFonts w:eastAsia="Calibri"/>
        </w:rPr>
      </w:pPr>
      <w:r w:rsidRPr="00C3681E">
        <w:rPr>
          <w:rFonts w:eastAsia="Calibri"/>
        </w:rPr>
        <w:t>Gyenes Z., Wood M.H., 2016, Lessons Learned from Major Accidents Relating to Ageing of Chemical Plants, Chemical Engineering Transactions, 48, 733-738</w:t>
      </w:r>
      <w:r w:rsidR="00E30D2F">
        <w:rPr>
          <w:rFonts w:eastAsia="Calibri"/>
        </w:rPr>
        <w:t xml:space="preserve">, DOI: </w:t>
      </w:r>
      <w:r w:rsidR="00E30D2F" w:rsidRPr="00E30D2F">
        <w:rPr>
          <w:rFonts w:eastAsia="Calibri"/>
        </w:rPr>
        <w:t>10.3303/CET1648123</w:t>
      </w:r>
      <w:r w:rsidR="00E30D2F">
        <w:rPr>
          <w:rFonts w:eastAsia="Calibri"/>
        </w:rPr>
        <w:t>.</w:t>
      </w:r>
    </w:p>
    <w:p w14:paraId="7BEDFC61" w14:textId="77777777" w:rsidR="00717ABB" w:rsidRPr="00C3681E" w:rsidRDefault="00717ABB" w:rsidP="00E24FAA">
      <w:pPr>
        <w:pStyle w:val="CETReferencetext"/>
        <w:rPr>
          <w:rFonts w:eastAsia="Calibri"/>
        </w:rPr>
      </w:pPr>
      <w:proofErr w:type="spellStart"/>
      <w:r w:rsidRPr="00C3681E">
        <w:rPr>
          <w:rFonts w:eastAsia="Calibri"/>
        </w:rPr>
        <w:t>Horrocks</w:t>
      </w:r>
      <w:proofErr w:type="spellEnd"/>
      <w:r w:rsidRPr="00C3681E">
        <w:rPr>
          <w:rFonts w:eastAsia="Calibri"/>
        </w:rPr>
        <w:t xml:space="preserve"> P., Mansfield D., Parker K., Thomson J., Atkinson T.</w:t>
      </w:r>
      <w:r w:rsidR="007B3AF8" w:rsidRPr="00C3681E">
        <w:rPr>
          <w:rFonts w:eastAsia="Calibri"/>
        </w:rPr>
        <w:t>,</w:t>
      </w:r>
      <w:r w:rsidRPr="00C3681E">
        <w:rPr>
          <w:rFonts w:eastAsia="Calibri"/>
        </w:rPr>
        <w:t xml:space="preserve"> Worsley</w:t>
      </w:r>
      <w:r w:rsidR="007B3AF8" w:rsidRPr="00C3681E">
        <w:rPr>
          <w:rFonts w:eastAsia="Calibri"/>
        </w:rPr>
        <w:t xml:space="preserve"> J. 20</w:t>
      </w:r>
      <w:r w:rsidR="00C63F8C" w:rsidRPr="00C3681E">
        <w:rPr>
          <w:rFonts w:eastAsia="Calibri"/>
        </w:rPr>
        <w:t>10, Managing Ageing Plant, Report of the Health and Safety Executive no. RR 823.</w:t>
      </w:r>
    </w:p>
    <w:p w14:paraId="73F803C1" w14:textId="3E11C87F" w:rsidR="00201C46" w:rsidRPr="00C3681E" w:rsidRDefault="00201C46" w:rsidP="00E24FAA">
      <w:pPr>
        <w:pStyle w:val="CETReferencetext"/>
        <w:rPr>
          <w:rFonts w:eastAsia="Calibri"/>
        </w:rPr>
      </w:pPr>
      <w:r w:rsidRPr="00C3681E">
        <w:rPr>
          <w:rFonts w:eastAsia="Calibri"/>
        </w:rPr>
        <w:t>Joshi N.R., 1994, Statistical analysis of UT corrosion data from floor plates of a crude oil aboveground storage tank, Material Evaluation, 52(7), 846-849</w:t>
      </w:r>
      <w:r w:rsidR="00E30D2F">
        <w:rPr>
          <w:rFonts w:eastAsia="Calibri"/>
        </w:rPr>
        <w:t>.</w:t>
      </w:r>
    </w:p>
    <w:p w14:paraId="0CB50052" w14:textId="5ABF7DF5" w:rsidR="00201C46" w:rsidRPr="00C3681E" w:rsidRDefault="00201C46" w:rsidP="00E24FAA">
      <w:pPr>
        <w:pStyle w:val="CETReferencetext"/>
        <w:rPr>
          <w:rFonts w:eastAsia="Calibri"/>
        </w:rPr>
      </w:pPr>
      <w:r w:rsidRPr="00C3681E">
        <w:rPr>
          <w:rFonts w:eastAsia="Calibri"/>
        </w:rPr>
        <w:t>Kasai</w:t>
      </w:r>
      <w:r w:rsidR="00754736" w:rsidRPr="00C3681E">
        <w:rPr>
          <w:rFonts w:eastAsia="Calibri"/>
        </w:rPr>
        <w:t xml:space="preserve"> N., Mori S., Tamura K., </w:t>
      </w:r>
      <w:proofErr w:type="spellStart"/>
      <w:r w:rsidR="00754736" w:rsidRPr="00C3681E">
        <w:rPr>
          <w:rFonts w:eastAsia="Calibri"/>
        </w:rPr>
        <w:t>Sekine</w:t>
      </w:r>
      <w:proofErr w:type="spellEnd"/>
      <w:r w:rsidR="00754736" w:rsidRPr="00C3681E">
        <w:rPr>
          <w:rFonts w:eastAsia="Calibri"/>
        </w:rPr>
        <w:t xml:space="preserve"> K., </w:t>
      </w:r>
      <w:proofErr w:type="spellStart"/>
      <w:r w:rsidR="00754736" w:rsidRPr="00C3681E">
        <w:rPr>
          <w:rFonts w:eastAsia="Calibri"/>
        </w:rPr>
        <w:t>Tsuchida</w:t>
      </w:r>
      <w:proofErr w:type="spellEnd"/>
      <w:r w:rsidR="00754736" w:rsidRPr="00C3681E">
        <w:rPr>
          <w:rFonts w:eastAsia="Calibri"/>
        </w:rPr>
        <w:t xml:space="preserve"> T., Serizawa Y., 2016, </w:t>
      </w:r>
      <w:r w:rsidR="005443DE" w:rsidRPr="00C3681E">
        <w:rPr>
          <w:rFonts w:eastAsia="Calibri"/>
        </w:rPr>
        <w:t>Predicting maximum depth of corrosion using extreme value analysis and Bayesian inference</w:t>
      </w:r>
      <w:r w:rsidR="00754736" w:rsidRPr="00C3681E">
        <w:rPr>
          <w:rFonts w:eastAsia="Calibri"/>
        </w:rPr>
        <w:t>, International Journal of Pressure V</w:t>
      </w:r>
      <w:r w:rsidR="00E30D2F">
        <w:rPr>
          <w:rFonts w:eastAsia="Calibri"/>
        </w:rPr>
        <w:t xml:space="preserve">essels and Piping, 146, 129-134, DOI: </w:t>
      </w:r>
      <w:r w:rsidR="00E30D2F" w:rsidRPr="00E30D2F">
        <w:rPr>
          <w:rFonts w:eastAsia="Calibri"/>
        </w:rPr>
        <w:t>10.1016/j.ijpvp.2016.08.002</w:t>
      </w:r>
      <w:r w:rsidR="00E30D2F">
        <w:rPr>
          <w:rFonts w:eastAsia="Calibri"/>
        </w:rPr>
        <w:t>.</w:t>
      </w:r>
    </w:p>
    <w:p w14:paraId="16DA1159" w14:textId="3F93BF83" w:rsidR="000D738F" w:rsidRPr="00C3681E" w:rsidRDefault="00831010" w:rsidP="00E24FAA">
      <w:pPr>
        <w:pStyle w:val="CETReferencetext"/>
        <w:rPr>
          <w:rFonts w:eastAsia="Calibri"/>
        </w:rPr>
      </w:pPr>
      <w:r w:rsidRPr="00C3681E">
        <w:rPr>
          <w:rFonts w:eastAsia="Calibri"/>
        </w:rPr>
        <w:t>Milazzo M.F.,</w:t>
      </w:r>
      <w:r w:rsidR="000D738F" w:rsidRPr="00C3681E">
        <w:rPr>
          <w:rFonts w:eastAsia="Calibri"/>
        </w:rPr>
        <w:t xml:space="preserve"> Bragatto P. 2019</w:t>
      </w:r>
      <w:r w:rsidRPr="00C3681E">
        <w:rPr>
          <w:rFonts w:eastAsia="Calibri"/>
        </w:rPr>
        <w:t>,</w:t>
      </w:r>
      <w:r w:rsidR="000D738F" w:rsidRPr="00C3681E">
        <w:rPr>
          <w:rFonts w:eastAsia="Calibri"/>
        </w:rPr>
        <w:t xml:space="preserve"> A framework addressing a safe ageing management in complex industrial sites: The Italian experience in «Seveso» establishments</w:t>
      </w:r>
      <w:r w:rsidRPr="00C3681E">
        <w:rPr>
          <w:rFonts w:eastAsia="Calibri"/>
        </w:rPr>
        <w:t>,</w:t>
      </w:r>
      <w:r w:rsidR="000D738F" w:rsidRPr="00C3681E">
        <w:rPr>
          <w:rFonts w:eastAsia="Calibri"/>
        </w:rPr>
        <w:t xml:space="preserve"> Journal of Loss Prevention in the Process Industries</w:t>
      </w:r>
      <w:r w:rsidRPr="00C3681E">
        <w:rPr>
          <w:rFonts w:eastAsia="Calibri"/>
        </w:rPr>
        <w:t>,</w:t>
      </w:r>
      <w:r w:rsidR="000D738F" w:rsidRPr="00C3681E">
        <w:rPr>
          <w:rFonts w:eastAsia="Calibri"/>
        </w:rPr>
        <w:t xml:space="preserve"> 58, 70</w:t>
      </w:r>
      <w:r w:rsidR="00FF6AA3" w:rsidRPr="00C3681E">
        <w:rPr>
          <w:rFonts w:eastAsia="Calibri"/>
        </w:rPr>
        <w:t>-</w:t>
      </w:r>
      <w:r w:rsidR="00E30D2F">
        <w:rPr>
          <w:rFonts w:eastAsia="Calibri"/>
        </w:rPr>
        <w:t xml:space="preserve">81, </w:t>
      </w:r>
      <w:r w:rsidR="00E30D2F" w:rsidRPr="00E30D2F">
        <w:rPr>
          <w:rFonts w:eastAsia="Calibri"/>
        </w:rPr>
        <w:t>DOI: 10.1016/j.jlp.2019.01.005</w:t>
      </w:r>
      <w:r w:rsidR="00E30D2F">
        <w:rPr>
          <w:rFonts w:eastAsia="Calibri"/>
        </w:rPr>
        <w:t>.</w:t>
      </w:r>
    </w:p>
    <w:p w14:paraId="46D848B7" w14:textId="08A708B1" w:rsidR="00867F13" w:rsidRPr="00C3681E" w:rsidRDefault="00867F13" w:rsidP="00E24FAA">
      <w:pPr>
        <w:pStyle w:val="CETReferencetext"/>
        <w:rPr>
          <w:rFonts w:eastAsia="Calibri"/>
        </w:rPr>
      </w:pPr>
      <w:proofErr w:type="spellStart"/>
      <w:r w:rsidRPr="00C3681E">
        <w:rPr>
          <w:rFonts w:eastAsia="Calibri"/>
        </w:rPr>
        <w:t>Milazzo</w:t>
      </w:r>
      <w:proofErr w:type="spellEnd"/>
      <w:r w:rsidRPr="00C3681E">
        <w:rPr>
          <w:rFonts w:eastAsia="Calibri"/>
        </w:rPr>
        <w:t xml:space="preserve"> M.F., </w:t>
      </w:r>
      <w:proofErr w:type="spellStart"/>
      <w:r w:rsidRPr="00C3681E">
        <w:rPr>
          <w:rFonts w:eastAsia="Calibri"/>
        </w:rPr>
        <w:t>Scionti</w:t>
      </w:r>
      <w:proofErr w:type="spellEnd"/>
      <w:r w:rsidRPr="00C3681E">
        <w:rPr>
          <w:rFonts w:eastAsia="Calibri"/>
        </w:rPr>
        <w:t xml:space="preserve"> G., Bragatto P., 2019, Estimation of the Equipment Residual Lifetime in Major Hazard Industries by Using a Virtual Sensor. Proceeding</w:t>
      </w:r>
      <w:r w:rsidR="00C03C3C">
        <w:rPr>
          <w:rFonts w:eastAsia="Calibri"/>
        </w:rPr>
        <w:t>s</w:t>
      </w:r>
      <w:r w:rsidRPr="00C3681E">
        <w:rPr>
          <w:rFonts w:eastAsia="Calibri"/>
        </w:rPr>
        <w:t xml:space="preserve"> of 29th ESREL, 1764-1771</w:t>
      </w:r>
      <w:r w:rsidR="00990904">
        <w:rPr>
          <w:rFonts w:eastAsia="Calibri"/>
        </w:rPr>
        <w:t xml:space="preserve">, </w:t>
      </w:r>
      <w:r w:rsidR="009F631A">
        <w:rPr>
          <w:rFonts w:eastAsia="Calibri"/>
        </w:rPr>
        <w:t>D</w:t>
      </w:r>
      <w:r w:rsidR="00990904" w:rsidRPr="00990904">
        <w:rPr>
          <w:rFonts w:eastAsia="Calibri"/>
        </w:rPr>
        <w:t>OI: 10.3850/978-981-11-2724-3-0877</w:t>
      </w:r>
      <w:r w:rsidR="00990904">
        <w:rPr>
          <w:rFonts w:eastAsia="Calibri"/>
        </w:rPr>
        <w:t>.</w:t>
      </w:r>
    </w:p>
    <w:p w14:paraId="726A75F6" w14:textId="296B7BAC" w:rsidR="00B251CD" w:rsidRPr="00C3681E" w:rsidRDefault="00B251CD" w:rsidP="00E24FAA">
      <w:pPr>
        <w:pStyle w:val="CETReferencetext"/>
        <w:rPr>
          <w:rFonts w:eastAsia="Calibri"/>
        </w:rPr>
      </w:pPr>
      <w:r w:rsidRPr="00C3681E">
        <w:rPr>
          <w:rFonts w:eastAsia="Calibri"/>
        </w:rPr>
        <w:t>Organisation for Economic Cooperation and Development</w:t>
      </w:r>
      <w:r w:rsidR="00F247F6" w:rsidRPr="00C3681E">
        <w:rPr>
          <w:rFonts w:eastAsia="Calibri"/>
        </w:rPr>
        <w:t xml:space="preserve"> (OECD)</w:t>
      </w:r>
      <w:r w:rsidRPr="00C3681E">
        <w:rPr>
          <w:rFonts w:eastAsia="Calibri"/>
        </w:rPr>
        <w:t>, 2017, Ageing of hazardous installations</w:t>
      </w:r>
      <w:r w:rsidR="00EA0F83" w:rsidRPr="00C3681E">
        <w:rPr>
          <w:rFonts w:eastAsia="Calibri"/>
        </w:rPr>
        <w:t>,</w:t>
      </w:r>
      <w:r w:rsidRPr="00C3681E">
        <w:rPr>
          <w:rFonts w:eastAsia="Calibri"/>
        </w:rPr>
        <w:t xml:space="preserve"> OECD Environment, Health and Safety Publications - Series on Chemical Accidents, no. 29.</w:t>
      </w:r>
    </w:p>
    <w:p w14:paraId="1B744BF4" w14:textId="72788720" w:rsidR="00B86137" w:rsidRPr="00C3681E" w:rsidRDefault="0094214E" w:rsidP="00E24FAA">
      <w:pPr>
        <w:pStyle w:val="CETReferencetext"/>
        <w:rPr>
          <w:rFonts w:eastAsia="Calibri"/>
        </w:rPr>
      </w:pPr>
      <w:r w:rsidRPr="00C3681E">
        <w:rPr>
          <w:rFonts w:eastAsia="Calibri"/>
        </w:rPr>
        <w:t xml:space="preserve">Palazzi E., </w:t>
      </w:r>
      <w:proofErr w:type="spellStart"/>
      <w:r w:rsidRPr="00C3681E">
        <w:rPr>
          <w:rFonts w:eastAsia="Calibri"/>
        </w:rPr>
        <w:t>Caviglione</w:t>
      </w:r>
      <w:proofErr w:type="spellEnd"/>
      <w:r w:rsidRPr="00C3681E">
        <w:rPr>
          <w:rFonts w:eastAsia="Calibri"/>
        </w:rPr>
        <w:t xml:space="preserve"> C., </w:t>
      </w:r>
      <w:proofErr w:type="spellStart"/>
      <w:r w:rsidRPr="00C3681E">
        <w:rPr>
          <w:rFonts w:eastAsia="Calibri"/>
        </w:rPr>
        <w:t>Reverberi</w:t>
      </w:r>
      <w:proofErr w:type="spellEnd"/>
      <w:r w:rsidR="00B86137" w:rsidRPr="00C3681E">
        <w:rPr>
          <w:rFonts w:eastAsia="Calibri"/>
        </w:rPr>
        <w:t xml:space="preserve"> A.P., Fabiano, B., 2017, A short-cut analytical model of hydrocarbon pool fire of different geometries, with enhanced view factor evaluation, Process Safety and Envir</w:t>
      </w:r>
      <w:r w:rsidR="00C142D4">
        <w:rPr>
          <w:rFonts w:eastAsia="Calibri"/>
        </w:rPr>
        <w:t>onmental Protection 110, 89-101,</w:t>
      </w:r>
      <w:r w:rsidR="009F631A">
        <w:rPr>
          <w:rFonts w:eastAsia="Calibri"/>
        </w:rPr>
        <w:t xml:space="preserve"> DOI</w:t>
      </w:r>
      <w:r w:rsidR="00C142D4">
        <w:rPr>
          <w:rFonts w:eastAsia="Calibri"/>
        </w:rPr>
        <w:t xml:space="preserve">: </w:t>
      </w:r>
      <w:r w:rsidR="00C142D4" w:rsidRPr="00C142D4">
        <w:rPr>
          <w:rFonts w:eastAsia="Calibri"/>
        </w:rPr>
        <w:t>10.1016/j.psep.2017.08.021</w:t>
      </w:r>
      <w:r w:rsidR="00C142D4">
        <w:rPr>
          <w:rFonts w:eastAsia="Calibri"/>
        </w:rPr>
        <w:t>.</w:t>
      </w:r>
    </w:p>
    <w:p w14:paraId="793C4444" w14:textId="7CA3444F" w:rsidR="00FF6AA3" w:rsidRPr="00C3681E" w:rsidRDefault="00FF6AA3" w:rsidP="00E24FAA">
      <w:pPr>
        <w:pStyle w:val="CETReferencetext"/>
        <w:rPr>
          <w:rFonts w:eastAsia="Calibri"/>
        </w:rPr>
      </w:pPr>
      <w:proofErr w:type="spellStart"/>
      <w:r w:rsidRPr="00C3681E">
        <w:rPr>
          <w:rFonts w:eastAsia="Calibri"/>
        </w:rPr>
        <w:t>Semmler</w:t>
      </w:r>
      <w:proofErr w:type="spellEnd"/>
      <w:r w:rsidRPr="00C3681E">
        <w:rPr>
          <w:rFonts w:eastAsia="Calibri"/>
        </w:rPr>
        <w:t xml:space="preserve"> R., 2016, Aging equipment in facilities and daily maintenance-latent risks on sites with major-accident hazards acc. directive 2012/18/EU, Chemical Engine</w:t>
      </w:r>
      <w:r w:rsidR="009F631A">
        <w:rPr>
          <w:rFonts w:eastAsia="Calibri"/>
        </w:rPr>
        <w:t xml:space="preserve">ering Transactions, 48, 523-528, DOI: </w:t>
      </w:r>
      <w:r w:rsidR="009F631A" w:rsidRPr="009F631A">
        <w:rPr>
          <w:rFonts w:eastAsia="Calibri"/>
        </w:rPr>
        <w:t>10.3303/CET1648088</w:t>
      </w:r>
      <w:r w:rsidR="009F631A">
        <w:rPr>
          <w:rFonts w:eastAsia="Calibri"/>
        </w:rPr>
        <w:t>.</w:t>
      </w:r>
    </w:p>
    <w:p w14:paraId="1813E61B" w14:textId="37C65012" w:rsidR="005443DE" w:rsidRPr="00C3681E" w:rsidRDefault="005443DE" w:rsidP="00E24FAA">
      <w:pPr>
        <w:pStyle w:val="CETReferencetext"/>
        <w:rPr>
          <w:rFonts w:eastAsia="Calibri"/>
        </w:rPr>
      </w:pPr>
      <w:r w:rsidRPr="00C3681E">
        <w:rPr>
          <w:rFonts w:eastAsia="Calibri"/>
        </w:rPr>
        <w:t>Shibata T., 1991, Evaluation of corrosion failure by extreme value statistics</w:t>
      </w:r>
      <w:r w:rsidR="00F247F6" w:rsidRPr="00C3681E">
        <w:rPr>
          <w:rFonts w:eastAsia="Calibri"/>
        </w:rPr>
        <w:t>,</w:t>
      </w:r>
      <w:r w:rsidRPr="00C3681E">
        <w:rPr>
          <w:rFonts w:eastAsia="Calibri"/>
        </w:rPr>
        <w:t xml:space="preserve"> IS</w:t>
      </w:r>
      <w:r w:rsidR="009F631A">
        <w:rPr>
          <w:rFonts w:eastAsia="Calibri"/>
        </w:rPr>
        <w:t xml:space="preserve">IJ International, 31(2),115-121, DOI: </w:t>
      </w:r>
      <w:r w:rsidR="009F631A" w:rsidRPr="009F631A">
        <w:rPr>
          <w:rFonts w:eastAsia="Calibri"/>
        </w:rPr>
        <w:t>10.2355/isijinternational.31.115</w:t>
      </w:r>
      <w:r w:rsidR="009F631A">
        <w:rPr>
          <w:rFonts w:eastAsia="Calibri"/>
        </w:rPr>
        <w:t>.</w:t>
      </w:r>
    </w:p>
    <w:p w14:paraId="4E6F67F5" w14:textId="38CE6EAD" w:rsidR="005443DE" w:rsidRPr="00C3681E" w:rsidRDefault="005443DE" w:rsidP="00E24FAA">
      <w:pPr>
        <w:pStyle w:val="CETReferencetext"/>
        <w:rPr>
          <w:rFonts w:eastAsia="Calibri"/>
        </w:rPr>
      </w:pPr>
      <w:r w:rsidRPr="00C3681E">
        <w:rPr>
          <w:rFonts w:eastAsia="Calibri"/>
        </w:rPr>
        <w:t xml:space="preserve">Velázquez J.C., </w:t>
      </w:r>
      <w:proofErr w:type="spellStart"/>
      <w:r w:rsidRPr="00C3681E">
        <w:rPr>
          <w:rFonts w:eastAsia="Calibri"/>
        </w:rPr>
        <w:t>Caleyo</w:t>
      </w:r>
      <w:proofErr w:type="spellEnd"/>
      <w:r w:rsidRPr="00C3681E">
        <w:rPr>
          <w:rFonts w:eastAsia="Calibri"/>
        </w:rPr>
        <w:t xml:space="preserve"> F., </w:t>
      </w:r>
      <w:proofErr w:type="spellStart"/>
      <w:r w:rsidRPr="00C3681E">
        <w:rPr>
          <w:rFonts w:eastAsia="Calibri"/>
        </w:rPr>
        <w:t>Valor</w:t>
      </w:r>
      <w:proofErr w:type="spellEnd"/>
      <w:r w:rsidRPr="00C3681E">
        <w:rPr>
          <w:rFonts w:eastAsia="Calibri"/>
        </w:rPr>
        <w:t xml:space="preserve"> A., </w:t>
      </w:r>
      <w:proofErr w:type="spellStart"/>
      <w:r w:rsidRPr="00C3681E">
        <w:rPr>
          <w:rFonts w:eastAsia="Calibri"/>
        </w:rPr>
        <w:t>Hallen</w:t>
      </w:r>
      <w:proofErr w:type="spellEnd"/>
      <w:r w:rsidRPr="00C3681E">
        <w:rPr>
          <w:rFonts w:eastAsia="Calibri"/>
        </w:rPr>
        <w:t xml:space="preserve"> J.M., 2009, Predictive Model for Pitting Corrosion in Buried Oil and Gas Pipel</w:t>
      </w:r>
      <w:r w:rsidR="009F631A">
        <w:rPr>
          <w:rFonts w:eastAsia="Calibri"/>
        </w:rPr>
        <w:t xml:space="preserve">ines, Corrosion, 65(5), 332-342, DOI: </w:t>
      </w:r>
      <w:r w:rsidR="009F631A" w:rsidRPr="009F631A">
        <w:rPr>
          <w:rFonts w:eastAsia="Calibri"/>
        </w:rPr>
        <w:t>10.5006/1.3319138</w:t>
      </w:r>
      <w:r w:rsidR="009F631A">
        <w:rPr>
          <w:rFonts w:eastAsia="Calibri"/>
        </w:rPr>
        <w:t>.</w:t>
      </w:r>
    </w:p>
    <w:p w14:paraId="75FB2847" w14:textId="250E8D06" w:rsidR="006B4888" w:rsidRPr="00C3681E" w:rsidRDefault="00FF6AA3" w:rsidP="00E24FAA">
      <w:pPr>
        <w:pStyle w:val="CETReferencetext"/>
        <w:rPr>
          <w:rFonts w:eastAsia="Calibri"/>
        </w:rPr>
      </w:pPr>
      <w:r w:rsidRPr="00C3681E">
        <w:rPr>
          <w:rFonts w:eastAsia="Calibri"/>
        </w:rPr>
        <w:t xml:space="preserve">Wood M.H., Arellano A.V., Van </w:t>
      </w:r>
      <w:proofErr w:type="spellStart"/>
      <w:r w:rsidRPr="00C3681E">
        <w:rPr>
          <w:rFonts w:eastAsia="Calibri"/>
        </w:rPr>
        <w:t>Wijk</w:t>
      </w:r>
      <w:proofErr w:type="spellEnd"/>
      <w:r w:rsidRPr="00C3681E">
        <w:rPr>
          <w:rFonts w:eastAsia="Calibri"/>
        </w:rPr>
        <w:t xml:space="preserve"> L., 2013, Corrosion Related Accidents in Petroleum Refineries, European Commission Joint Research Centre Report no. EUR 26331.</w:t>
      </w:r>
    </w:p>
    <w:sectPr w:rsidR="006B4888" w:rsidRPr="00C3681E" w:rsidSect="00D5158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C1B86" w14:textId="77777777" w:rsidR="009D6E4D" w:rsidRDefault="009D6E4D" w:rsidP="004F5E36">
      <w:r>
        <w:separator/>
      </w:r>
    </w:p>
  </w:endnote>
  <w:endnote w:type="continuationSeparator" w:id="0">
    <w:p w14:paraId="662D7B9C" w14:textId="77777777" w:rsidR="009D6E4D" w:rsidRDefault="009D6E4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ABB63" w14:textId="77777777" w:rsidR="009D6E4D" w:rsidRDefault="009D6E4D" w:rsidP="004F5E36">
      <w:r>
        <w:separator/>
      </w:r>
    </w:p>
  </w:footnote>
  <w:footnote w:type="continuationSeparator" w:id="0">
    <w:p w14:paraId="1BD6888B" w14:textId="77777777" w:rsidR="009D6E4D" w:rsidRDefault="009D6E4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96F"/>
    <w:rsid w:val="00011582"/>
    <w:rsid w:val="000117CB"/>
    <w:rsid w:val="0003148D"/>
    <w:rsid w:val="00046ADD"/>
    <w:rsid w:val="00051566"/>
    <w:rsid w:val="00060DCF"/>
    <w:rsid w:val="00062A9A"/>
    <w:rsid w:val="00065058"/>
    <w:rsid w:val="00086C39"/>
    <w:rsid w:val="00097190"/>
    <w:rsid w:val="000A03B2"/>
    <w:rsid w:val="000A7C03"/>
    <w:rsid w:val="000B1544"/>
    <w:rsid w:val="000B2C5D"/>
    <w:rsid w:val="000B5E4B"/>
    <w:rsid w:val="000C427A"/>
    <w:rsid w:val="000C7F4D"/>
    <w:rsid w:val="000D0268"/>
    <w:rsid w:val="000D34BE"/>
    <w:rsid w:val="000D738F"/>
    <w:rsid w:val="000D7845"/>
    <w:rsid w:val="000E102F"/>
    <w:rsid w:val="000E36F1"/>
    <w:rsid w:val="000E3A73"/>
    <w:rsid w:val="000E414A"/>
    <w:rsid w:val="000E5E0C"/>
    <w:rsid w:val="000F093C"/>
    <w:rsid w:val="000F5B0F"/>
    <w:rsid w:val="000F787B"/>
    <w:rsid w:val="00101E2A"/>
    <w:rsid w:val="00105AE2"/>
    <w:rsid w:val="00114503"/>
    <w:rsid w:val="0012091F"/>
    <w:rsid w:val="00125635"/>
    <w:rsid w:val="00126BC2"/>
    <w:rsid w:val="001308B6"/>
    <w:rsid w:val="0013121F"/>
    <w:rsid w:val="00131FE6"/>
    <w:rsid w:val="0013263F"/>
    <w:rsid w:val="00134DE4"/>
    <w:rsid w:val="0014034D"/>
    <w:rsid w:val="00141434"/>
    <w:rsid w:val="00150E59"/>
    <w:rsid w:val="00152DE3"/>
    <w:rsid w:val="00157D5B"/>
    <w:rsid w:val="0016190A"/>
    <w:rsid w:val="00164279"/>
    <w:rsid w:val="00164CF9"/>
    <w:rsid w:val="001667A6"/>
    <w:rsid w:val="00171CFC"/>
    <w:rsid w:val="00184AD6"/>
    <w:rsid w:val="00185DB7"/>
    <w:rsid w:val="001918D2"/>
    <w:rsid w:val="001975C5"/>
    <w:rsid w:val="001A4AF7"/>
    <w:rsid w:val="001B0349"/>
    <w:rsid w:val="001B0B5A"/>
    <w:rsid w:val="001B601F"/>
    <w:rsid w:val="001B65C1"/>
    <w:rsid w:val="001C02AB"/>
    <w:rsid w:val="001C684B"/>
    <w:rsid w:val="001D53FC"/>
    <w:rsid w:val="001E3FC7"/>
    <w:rsid w:val="001F42A5"/>
    <w:rsid w:val="001F7B9D"/>
    <w:rsid w:val="001F7C4F"/>
    <w:rsid w:val="00201C46"/>
    <w:rsid w:val="00207790"/>
    <w:rsid w:val="002224B4"/>
    <w:rsid w:val="002255AD"/>
    <w:rsid w:val="00226B81"/>
    <w:rsid w:val="0022708B"/>
    <w:rsid w:val="00236A2D"/>
    <w:rsid w:val="0024210C"/>
    <w:rsid w:val="002447EF"/>
    <w:rsid w:val="002475E0"/>
    <w:rsid w:val="00251550"/>
    <w:rsid w:val="00263B05"/>
    <w:rsid w:val="00264F97"/>
    <w:rsid w:val="00266E33"/>
    <w:rsid w:val="00266F48"/>
    <w:rsid w:val="00267D10"/>
    <w:rsid w:val="0027221A"/>
    <w:rsid w:val="00272CDF"/>
    <w:rsid w:val="00273FBE"/>
    <w:rsid w:val="00275B61"/>
    <w:rsid w:val="00275B8D"/>
    <w:rsid w:val="00281430"/>
    <w:rsid w:val="00282656"/>
    <w:rsid w:val="0028487E"/>
    <w:rsid w:val="00285FA1"/>
    <w:rsid w:val="00294C5F"/>
    <w:rsid w:val="00296B83"/>
    <w:rsid w:val="002A2D56"/>
    <w:rsid w:val="002A622C"/>
    <w:rsid w:val="002B78CE"/>
    <w:rsid w:val="002C2FB6"/>
    <w:rsid w:val="002E0DDC"/>
    <w:rsid w:val="002F3309"/>
    <w:rsid w:val="003009B7"/>
    <w:rsid w:val="00300E56"/>
    <w:rsid w:val="003017D0"/>
    <w:rsid w:val="0030469C"/>
    <w:rsid w:val="00320617"/>
    <w:rsid w:val="00321CA6"/>
    <w:rsid w:val="00334C09"/>
    <w:rsid w:val="00340E82"/>
    <w:rsid w:val="00341F65"/>
    <w:rsid w:val="00342B86"/>
    <w:rsid w:val="00343CDB"/>
    <w:rsid w:val="0034677D"/>
    <w:rsid w:val="00354625"/>
    <w:rsid w:val="00357F3D"/>
    <w:rsid w:val="00360C5D"/>
    <w:rsid w:val="00363FE3"/>
    <w:rsid w:val="003723D4"/>
    <w:rsid w:val="003744F3"/>
    <w:rsid w:val="00381905"/>
    <w:rsid w:val="00384CC8"/>
    <w:rsid w:val="003871FD"/>
    <w:rsid w:val="00390955"/>
    <w:rsid w:val="003920E7"/>
    <w:rsid w:val="003A1E30"/>
    <w:rsid w:val="003A3C21"/>
    <w:rsid w:val="003A415A"/>
    <w:rsid w:val="003A7D1C"/>
    <w:rsid w:val="003B304B"/>
    <w:rsid w:val="003B3146"/>
    <w:rsid w:val="003B67AE"/>
    <w:rsid w:val="003C50EE"/>
    <w:rsid w:val="003E26A0"/>
    <w:rsid w:val="003E35A5"/>
    <w:rsid w:val="003F015E"/>
    <w:rsid w:val="003F15A9"/>
    <w:rsid w:val="003F3FB2"/>
    <w:rsid w:val="003F41D3"/>
    <w:rsid w:val="00400414"/>
    <w:rsid w:val="00403A38"/>
    <w:rsid w:val="0041446B"/>
    <w:rsid w:val="00415A14"/>
    <w:rsid w:val="00422266"/>
    <w:rsid w:val="0044329C"/>
    <w:rsid w:val="00451B49"/>
    <w:rsid w:val="004577FE"/>
    <w:rsid w:val="00457B9C"/>
    <w:rsid w:val="0046164A"/>
    <w:rsid w:val="004628D2"/>
    <w:rsid w:val="00462DCD"/>
    <w:rsid w:val="004648AD"/>
    <w:rsid w:val="004703A9"/>
    <w:rsid w:val="004760DE"/>
    <w:rsid w:val="004763D7"/>
    <w:rsid w:val="00484DCF"/>
    <w:rsid w:val="00485E9B"/>
    <w:rsid w:val="0048634D"/>
    <w:rsid w:val="00491D92"/>
    <w:rsid w:val="00493D54"/>
    <w:rsid w:val="004A004E"/>
    <w:rsid w:val="004A1867"/>
    <w:rsid w:val="004A24CF"/>
    <w:rsid w:val="004C3D1D"/>
    <w:rsid w:val="004C7550"/>
    <w:rsid w:val="004C7913"/>
    <w:rsid w:val="004E1AB4"/>
    <w:rsid w:val="004E3704"/>
    <w:rsid w:val="004E3810"/>
    <w:rsid w:val="004E4DD6"/>
    <w:rsid w:val="004F5E36"/>
    <w:rsid w:val="00502947"/>
    <w:rsid w:val="00507B47"/>
    <w:rsid w:val="00507BEF"/>
    <w:rsid w:val="00507CC9"/>
    <w:rsid w:val="005119A5"/>
    <w:rsid w:val="0052021D"/>
    <w:rsid w:val="005278B7"/>
    <w:rsid w:val="00532016"/>
    <w:rsid w:val="005346C8"/>
    <w:rsid w:val="00543E7D"/>
    <w:rsid w:val="005443DE"/>
    <w:rsid w:val="00547A68"/>
    <w:rsid w:val="005531C9"/>
    <w:rsid w:val="00564257"/>
    <w:rsid w:val="00570C43"/>
    <w:rsid w:val="00597D94"/>
    <w:rsid w:val="005A3D6C"/>
    <w:rsid w:val="005B2110"/>
    <w:rsid w:val="005B61E6"/>
    <w:rsid w:val="005C77E1"/>
    <w:rsid w:val="005D31BE"/>
    <w:rsid w:val="005D6A2F"/>
    <w:rsid w:val="005E1A82"/>
    <w:rsid w:val="005E794C"/>
    <w:rsid w:val="005F0A28"/>
    <w:rsid w:val="005F0E5E"/>
    <w:rsid w:val="005F1505"/>
    <w:rsid w:val="00600535"/>
    <w:rsid w:val="00601118"/>
    <w:rsid w:val="00610CD6"/>
    <w:rsid w:val="0061785A"/>
    <w:rsid w:val="00620DEE"/>
    <w:rsid w:val="00621F92"/>
    <w:rsid w:val="0062280A"/>
    <w:rsid w:val="00625639"/>
    <w:rsid w:val="00631B33"/>
    <w:rsid w:val="0064184D"/>
    <w:rsid w:val="006422CC"/>
    <w:rsid w:val="00655630"/>
    <w:rsid w:val="00660E3E"/>
    <w:rsid w:val="00660F9D"/>
    <w:rsid w:val="00662E74"/>
    <w:rsid w:val="00664DF3"/>
    <w:rsid w:val="00673E88"/>
    <w:rsid w:val="00674AD5"/>
    <w:rsid w:val="006808B5"/>
    <w:rsid w:val="00680C23"/>
    <w:rsid w:val="006815F8"/>
    <w:rsid w:val="006831CD"/>
    <w:rsid w:val="00693766"/>
    <w:rsid w:val="006A2289"/>
    <w:rsid w:val="006A3281"/>
    <w:rsid w:val="006B3C5B"/>
    <w:rsid w:val="006B4888"/>
    <w:rsid w:val="006C1EC0"/>
    <w:rsid w:val="006C2D67"/>
    <w:rsid w:val="006C2E45"/>
    <w:rsid w:val="006C359C"/>
    <w:rsid w:val="006C5579"/>
    <w:rsid w:val="006E0D82"/>
    <w:rsid w:val="006E483B"/>
    <w:rsid w:val="006E737D"/>
    <w:rsid w:val="006F3A1A"/>
    <w:rsid w:val="006F69BB"/>
    <w:rsid w:val="007006BA"/>
    <w:rsid w:val="007145D2"/>
    <w:rsid w:val="00717ABB"/>
    <w:rsid w:val="00720A24"/>
    <w:rsid w:val="00722845"/>
    <w:rsid w:val="00732386"/>
    <w:rsid w:val="007340CA"/>
    <w:rsid w:val="0073514D"/>
    <w:rsid w:val="007442AA"/>
    <w:rsid w:val="007443B6"/>
    <w:rsid w:val="007447F3"/>
    <w:rsid w:val="007449FC"/>
    <w:rsid w:val="00754736"/>
    <w:rsid w:val="0075499F"/>
    <w:rsid w:val="00762060"/>
    <w:rsid w:val="007661C8"/>
    <w:rsid w:val="00766E97"/>
    <w:rsid w:val="007701C6"/>
    <w:rsid w:val="0077098D"/>
    <w:rsid w:val="007818A2"/>
    <w:rsid w:val="0078289F"/>
    <w:rsid w:val="007927FC"/>
    <w:rsid w:val="007931FA"/>
    <w:rsid w:val="007A1E71"/>
    <w:rsid w:val="007A4861"/>
    <w:rsid w:val="007A7BBA"/>
    <w:rsid w:val="007B0C50"/>
    <w:rsid w:val="007B26F5"/>
    <w:rsid w:val="007B3AF8"/>
    <w:rsid w:val="007C1A43"/>
    <w:rsid w:val="007C45E0"/>
    <w:rsid w:val="007C4ABF"/>
    <w:rsid w:val="007D377C"/>
    <w:rsid w:val="007E7C03"/>
    <w:rsid w:val="007F3EC1"/>
    <w:rsid w:val="007F6479"/>
    <w:rsid w:val="0080013E"/>
    <w:rsid w:val="008041DD"/>
    <w:rsid w:val="00805A6E"/>
    <w:rsid w:val="00813288"/>
    <w:rsid w:val="008165A8"/>
    <w:rsid w:val="008168FC"/>
    <w:rsid w:val="0081793F"/>
    <w:rsid w:val="00830996"/>
    <w:rsid w:val="00831010"/>
    <w:rsid w:val="008338F2"/>
    <w:rsid w:val="00834368"/>
    <w:rsid w:val="008345F1"/>
    <w:rsid w:val="00844A94"/>
    <w:rsid w:val="00861BF7"/>
    <w:rsid w:val="00865B07"/>
    <w:rsid w:val="008667EA"/>
    <w:rsid w:val="00867527"/>
    <w:rsid w:val="00867F13"/>
    <w:rsid w:val="00872E82"/>
    <w:rsid w:val="0087637F"/>
    <w:rsid w:val="00892AD5"/>
    <w:rsid w:val="008A1512"/>
    <w:rsid w:val="008B32D8"/>
    <w:rsid w:val="008B65AE"/>
    <w:rsid w:val="008D32B9"/>
    <w:rsid w:val="008D433B"/>
    <w:rsid w:val="008E566E"/>
    <w:rsid w:val="009005FC"/>
    <w:rsid w:val="0090161A"/>
    <w:rsid w:val="00901EB6"/>
    <w:rsid w:val="00904C62"/>
    <w:rsid w:val="009162D0"/>
    <w:rsid w:val="00916789"/>
    <w:rsid w:val="00922BA8"/>
    <w:rsid w:val="00924DAC"/>
    <w:rsid w:val="00925741"/>
    <w:rsid w:val="0092614F"/>
    <w:rsid w:val="00927058"/>
    <w:rsid w:val="009357BF"/>
    <w:rsid w:val="0094214E"/>
    <w:rsid w:val="00942750"/>
    <w:rsid w:val="009450CE"/>
    <w:rsid w:val="00946558"/>
    <w:rsid w:val="00947179"/>
    <w:rsid w:val="0095164B"/>
    <w:rsid w:val="00952EAA"/>
    <w:rsid w:val="00954090"/>
    <w:rsid w:val="009573E7"/>
    <w:rsid w:val="00962D9C"/>
    <w:rsid w:val="00962FA9"/>
    <w:rsid w:val="00963E05"/>
    <w:rsid w:val="00967D54"/>
    <w:rsid w:val="00970BB1"/>
    <w:rsid w:val="00971028"/>
    <w:rsid w:val="00973BFE"/>
    <w:rsid w:val="00990904"/>
    <w:rsid w:val="00993264"/>
    <w:rsid w:val="00994B81"/>
    <w:rsid w:val="00996483"/>
    <w:rsid w:val="00996F5A"/>
    <w:rsid w:val="009B041A"/>
    <w:rsid w:val="009B1949"/>
    <w:rsid w:val="009B1F29"/>
    <w:rsid w:val="009B4A7D"/>
    <w:rsid w:val="009C2F10"/>
    <w:rsid w:val="009C37C3"/>
    <w:rsid w:val="009C7C86"/>
    <w:rsid w:val="009D009D"/>
    <w:rsid w:val="009D2FF7"/>
    <w:rsid w:val="009D6E4D"/>
    <w:rsid w:val="009E7884"/>
    <w:rsid w:val="009E788A"/>
    <w:rsid w:val="009F0E08"/>
    <w:rsid w:val="009F1D28"/>
    <w:rsid w:val="009F631A"/>
    <w:rsid w:val="00A1224B"/>
    <w:rsid w:val="00A173D4"/>
    <w:rsid w:val="00A1763D"/>
    <w:rsid w:val="00A17CEC"/>
    <w:rsid w:val="00A27EF0"/>
    <w:rsid w:val="00A3715B"/>
    <w:rsid w:val="00A407FD"/>
    <w:rsid w:val="00A4080E"/>
    <w:rsid w:val="00A500B0"/>
    <w:rsid w:val="00A50B20"/>
    <w:rsid w:val="00A51390"/>
    <w:rsid w:val="00A5472F"/>
    <w:rsid w:val="00A60D13"/>
    <w:rsid w:val="00A652BD"/>
    <w:rsid w:val="00A6675B"/>
    <w:rsid w:val="00A72745"/>
    <w:rsid w:val="00A75C30"/>
    <w:rsid w:val="00A76EFC"/>
    <w:rsid w:val="00A77A5A"/>
    <w:rsid w:val="00A91010"/>
    <w:rsid w:val="00A92F98"/>
    <w:rsid w:val="00A96509"/>
    <w:rsid w:val="00A97F29"/>
    <w:rsid w:val="00AA09B9"/>
    <w:rsid w:val="00AA2C19"/>
    <w:rsid w:val="00AA702E"/>
    <w:rsid w:val="00AB08FD"/>
    <w:rsid w:val="00AB0964"/>
    <w:rsid w:val="00AB5011"/>
    <w:rsid w:val="00AB6FA9"/>
    <w:rsid w:val="00AC60C5"/>
    <w:rsid w:val="00AC7368"/>
    <w:rsid w:val="00AD0948"/>
    <w:rsid w:val="00AD16B9"/>
    <w:rsid w:val="00AE377D"/>
    <w:rsid w:val="00AE5806"/>
    <w:rsid w:val="00AF1BC5"/>
    <w:rsid w:val="00AF5050"/>
    <w:rsid w:val="00AF60BB"/>
    <w:rsid w:val="00B02C8A"/>
    <w:rsid w:val="00B12F5D"/>
    <w:rsid w:val="00B17FBD"/>
    <w:rsid w:val="00B251CD"/>
    <w:rsid w:val="00B26EC9"/>
    <w:rsid w:val="00B314F0"/>
    <w:rsid w:val="00B315A6"/>
    <w:rsid w:val="00B31813"/>
    <w:rsid w:val="00B33365"/>
    <w:rsid w:val="00B3665F"/>
    <w:rsid w:val="00B41829"/>
    <w:rsid w:val="00B45151"/>
    <w:rsid w:val="00B46A74"/>
    <w:rsid w:val="00B51F7C"/>
    <w:rsid w:val="00B530E0"/>
    <w:rsid w:val="00B57B36"/>
    <w:rsid w:val="00B674C2"/>
    <w:rsid w:val="00B710D1"/>
    <w:rsid w:val="00B80672"/>
    <w:rsid w:val="00B845F5"/>
    <w:rsid w:val="00B86137"/>
    <w:rsid w:val="00B8686D"/>
    <w:rsid w:val="00B953E0"/>
    <w:rsid w:val="00BA1410"/>
    <w:rsid w:val="00BA1E39"/>
    <w:rsid w:val="00BB1805"/>
    <w:rsid w:val="00BB1DDC"/>
    <w:rsid w:val="00BC30C9"/>
    <w:rsid w:val="00BC4386"/>
    <w:rsid w:val="00BC54D0"/>
    <w:rsid w:val="00BC67DD"/>
    <w:rsid w:val="00BE3E58"/>
    <w:rsid w:val="00BE58A3"/>
    <w:rsid w:val="00C01616"/>
    <w:rsid w:val="00C0162B"/>
    <w:rsid w:val="00C03C3C"/>
    <w:rsid w:val="00C03D65"/>
    <w:rsid w:val="00C068ED"/>
    <w:rsid w:val="00C135DA"/>
    <w:rsid w:val="00C142D4"/>
    <w:rsid w:val="00C1647F"/>
    <w:rsid w:val="00C25493"/>
    <w:rsid w:val="00C2571E"/>
    <w:rsid w:val="00C345B1"/>
    <w:rsid w:val="00C3681E"/>
    <w:rsid w:val="00C40142"/>
    <w:rsid w:val="00C430B6"/>
    <w:rsid w:val="00C45627"/>
    <w:rsid w:val="00C46EA0"/>
    <w:rsid w:val="00C5314F"/>
    <w:rsid w:val="00C53A9A"/>
    <w:rsid w:val="00C57182"/>
    <w:rsid w:val="00C57863"/>
    <w:rsid w:val="00C57FDD"/>
    <w:rsid w:val="00C62EB3"/>
    <w:rsid w:val="00C63F8C"/>
    <w:rsid w:val="00C655FD"/>
    <w:rsid w:val="00C75407"/>
    <w:rsid w:val="00C7572D"/>
    <w:rsid w:val="00C761DA"/>
    <w:rsid w:val="00C80B1F"/>
    <w:rsid w:val="00C870A8"/>
    <w:rsid w:val="00C92792"/>
    <w:rsid w:val="00C94434"/>
    <w:rsid w:val="00CA05B4"/>
    <w:rsid w:val="00CA0D75"/>
    <w:rsid w:val="00CA1C95"/>
    <w:rsid w:val="00CA34F6"/>
    <w:rsid w:val="00CA5A9C"/>
    <w:rsid w:val="00CB335C"/>
    <w:rsid w:val="00CC312B"/>
    <w:rsid w:val="00CC4C20"/>
    <w:rsid w:val="00CD3517"/>
    <w:rsid w:val="00CD5FE2"/>
    <w:rsid w:val="00CD7D4B"/>
    <w:rsid w:val="00CE53A9"/>
    <w:rsid w:val="00CE7C68"/>
    <w:rsid w:val="00CF76AD"/>
    <w:rsid w:val="00D01C51"/>
    <w:rsid w:val="00D02B4C"/>
    <w:rsid w:val="00D040C4"/>
    <w:rsid w:val="00D1216B"/>
    <w:rsid w:val="00D16750"/>
    <w:rsid w:val="00D21859"/>
    <w:rsid w:val="00D50963"/>
    <w:rsid w:val="00D51585"/>
    <w:rsid w:val="00D56F00"/>
    <w:rsid w:val="00D57C84"/>
    <w:rsid w:val="00D6057D"/>
    <w:rsid w:val="00D61D39"/>
    <w:rsid w:val="00D70318"/>
    <w:rsid w:val="00D72D19"/>
    <w:rsid w:val="00D730A6"/>
    <w:rsid w:val="00D73A82"/>
    <w:rsid w:val="00D76F83"/>
    <w:rsid w:val="00D836C5"/>
    <w:rsid w:val="00D84576"/>
    <w:rsid w:val="00D87462"/>
    <w:rsid w:val="00DA1399"/>
    <w:rsid w:val="00DA24C6"/>
    <w:rsid w:val="00DA4D7B"/>
    <w:rsid w:val="00DB25CA"/>
    <w:rsid w:val="00DC2CC5"/>
    <w:rsid w:val="00DE264A"/>
    <w:rsid w:val="00DF04B3"/>
    <w:rsid w:val="00DF5072"/>
    <w:rsid w:val="00E00233"/>
    <w:rsid w:val="00E029B6"/>
    <w:rsid w:val="00E02D18"/>
    <w:rsid w:val="00E041E7"/>
    <w:rsid w:val="00E23CA1"/>
    <w:rsid w:val="00E24FAA"/>
    <w:rsid w:val="00E30D2F"/>
    <w:rsid w:val="00E409A8"/>
    <w:rsid w:val="00E43844"/>
    <w:rsid w:val="00E45322"/>
    <w:rsid w:val="00E504E6"/>
    <w:rsid w:val="00E50C12"/>
    <w:rsid w:val="00E56FAD"/>
    <w:rsid w:val="00E65B91"/>
    <w:rsid w:val="00E7032A"/>
    <w:rsid w:val="00E7209D"/>
    <w:rsid w:val="00E77223"/>
    <w:rsid w:val="00E82472"/>
    <w:rsid w:val="00E8528B"/>
    <w:rsid w:val="00E85529"/>
    <w:rsid w:val="00E85B94"/>
    <w:rsid w:val="00E85C72"/>
    <w:rsid w:val="00E96580"/>
    <w:rsid w:val="00E978D0"/>
    <w:rsid w:val="00EA0F83"/>
    <w:rsid w:val="00EA4613"/>
    <w:rsid w:val="00EA7F91"/>
    <w:rsid w:val="00EB1523"/>
    <w:rsid w:val="00EB18F9"/>
    <w:rsid w:val="00EB3202"/>
    <w:rsid w:val="00EB59F3"/>
    <w:rsid w:val="00EB74CA"/>
    <w:rsid w:val="00EC0E49"/>
    <w:rsid w:val="00EC101F"/>
    <w:rsid w:val="00EC1E9D"/>
    <w:rsid w:val="00ED09AB"/>
    <w:rsid w:val="00EE0131"/>
    <w:rsid w:val="00EE1361"/>
    <w:rsid w:val="00EE17B0"/>
    <w:rsid w:val="00EE31A4"/>
    <w:rsid w:val="00EE5B4B"/>
    <w:rsid w:val="00EF06D9"/>
    <w:rsid w:val="00F16643"/>
    <w:rsid w:val="00F16987"/>
    <w:rsid w:val="00F176B0"/>
    <w:rsid w:val="00F247F6"/>
    <w:rsid w:val="00F2525E"/>
    <w:rsid w:val="00F30C64"/>
    <w:rsid w:val="00F32CDB"/>
    <w:rsid w:val="00F4116C"/>
    <w:rsid w:val="00F50C5F"/>
    <w:rsid w:val="00F63A70"/>
    <w:rsid w:val="00F77B41"/>
    <w:rsid w:val="00F82F81"/>
    <w:rsid w:val="00F874D2"/>
    <w:rsid w:val="00F9112C"/>
    <w:rsid w:val="00F97B19"/>
    <w:rsid w:val="00FA07C6"/>
    <w:rsid w:val="00FA21D0"/>
    <w:rsid w:val="00FA5F5F"/>
    <w:rsid w:val="00FB730C"/>
    <w:rsid w:val="00FC2695"/>
    <w:rsid w:val="00FC3E03"/>
    <w:rsid w:val="00FC3FC1"/>
    <w:rsid w:val="00FD7576"/>
    <w:rsid w:val="00FE465E"/>
    <w:rsid w:val="00FF53AA"/>
    <w:rsid w:val="00FF669F"/>
    <w:rsid w:val="00FF6AA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E152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rtjournal">
    <w:name w:val="art_journal"/>
    <w:basedOn w:val="Carpredefinitoparagrafo"/>
    <w:rsid w:val="005443DE"/>
  </w:style>
  <w:style w:type="paragraph" w:styleId="Paragrafoelenco">
    <w:name w:val="List Paragraph"/>
    <w:basedOn w:val="Normale"/>
    <w:uiPriority w:val="34"/>
    <w:rsid w:val="00C92792"/>
    <w:pPr>
      <w:ind w:left="720"/>
      <w:contextualSpacing/>
    </w:pPr>
  </w:style>
  <w:style w:type="character" w:customStyle="1" w:styleId="tlid-translation">
    <w:name w:val="tlid-translation"/>
    <w:basedOn w:val="Carpredefinitoparagrafo"/>
    <w:rsid w:val="006B3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rtjournal">
    <w:name w:val="art_journal"/>
    <w:basedOn w:val="Carpredefinitoparagrafo"/>
    <w:rsid w:val="005443DE"/>
  </w:style>
  <w:style w:type="paragraph" w:styleId="Paragrafoelenco">
    <w:name w:val="List Paragraph"/>
    <w:basedOn w:val="Normale"/>
    <w:uiPriority w:val="34"/>
    <w:rsid w:val="00C92792"/>
    <w:pPr>
      <w:ind w:left="720"/>
      <w:contextualSpacing/>
    </w:pPr>
  </w:style>
  <w:style w:type="character" w:customStyle="1" w:styleId="tlid-translation">
    <w:name w:val="tlid-translation"/>
    <w:basedOn w:val="Carpredefinitoparagrafo"/>
    <w:rsid w:val="006B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5983">
      <w:bodyDiv w:val="1"/>
      <w:marLeft w:val="0"/>
      <w:marRight w:val="0"/>
      <w:marTop w:val="0"/>
      <w:marBottom w:val="0"/>
      <w:divBdr>
        <w:top w:val="none" w:sz="0" w:space="0" w:color="auto"/>
        <w:left w:val="none" w:sz="0" w:space="0" w:color="auto"/>
        <w:bottom w:val="none" w:sz="0" w:space="0" w:color="auto"/>
        <w:right w:val="none" w:sz="0" w:space="0" w:color="auto"/>
      </w:divBdr>
    </w:div>
    <w:div w:id="418529182">
      <w:bodyDiv w:val="1"/>
      <w:marLeft w:val="0"/>
      <w:marRight w:val="0"/>
      <w:marTop w:val="0"/>
      <w:marBottom w:val="0"/>
      <w:divBdr>
        <w:top w:val="none" w:sz="0" w:space="0" w:color="auto"/>
        <w:left w:val="none" w:sz="0" w:space="0" w:color="auto"/>
        <w:bottom w:val="none" w:sz="0" w:space="0" w:color="auto"/>
        <w:right w:val="none" w:sz="0" w:space="0" w:color="auto"/>
      </w:divBdr>
    </w:div>
    <w:div w:id="63047652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541">
      <w:bodyDiv w:val="1"/>
      <w:marLeft w:val="0"/>
      <w:marRight w:val="0"/>
      <w:marTop w:val="0"/>
      <w:marBottom w:val="0"/>
      <w:divBdr>
        <w:top w:val="none" w:sz="0" w:space="0" w:color="auto"/>
        <w:left w:val="none" w:sz="0" w:space="0" w:color="auto"/>
        <w:bottom w:val="none" w:sz="0" w:space="0" w:color="auto"/>
        <w:right w:val="none" w:sz="0" w:space="0" w:color="auto"/>
      </w:divBdr>
    </w:div>
    <w:div w:id="83383456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6737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5926">
      <w:bodyDiv w:val="1"/>
      <w:marLeft w:val="0"/>
      <w:marRight w:val="0"/>
      <w:marTop w:val="0"/>
      <w:marBottom w:val="0"/>
      <w:divBdr>
        <w:top w:val="none" w:sz="0" w:space="0" w:color="auto"/>
        <w:left w:val="none" w:sz="0" w:space="0" w:color="auto"/>
        <w:bottom w:val="none" w:sz="0" w:space="0" w:color="auto"/>
        <w:right w:val="none" w:sz="0" w:space="0" w:color="auto"/>
      </w:divBdr>
      <w:divsChild>
        <w:div w:id="1107382562">
          <w:marLeft w:val="0"/>
          <w:marRight w:val="0"/>
          <w:marTop w:val="0"/>
          <w:marBottom w:val="0"/>
          <w:divBdr>
            <w:top w:val="none" w:sz="0" w:space="0" w:color="auto"/>
            <w:left w:val="none" w:sz="0" w:space="0" w:color="auto"/>
            <w:bottom w:val="none" w:sz="0" w:space="0" w:color="auto"/>
            <w:right w:val="none" w:sz="0" w:space="0" w:color="auto"/>
          </w:divBdr>
        </w:div>
        <w:div w:id="745493195">
          <w:marLeft w:val="0"/>
          <w:marRight w:val="0"/>
          <w:marTop w:val="0"/>
          <w:marBottom w:val="0"/>
          <w:divBdr>
            <w:top w:val="none" w:sz="0" w:space="0" w:color="auto"/>
            <w:left w:val="none" w:sz="0" w:space="0" w:color="auto"/>
            <w:bottom w:val="none" w:sz="0" w:space="0" w:color="auto"/>
            <w:right w:val="none" w:sz="0" w:space="0" w:color="auto"/>
          </w:divBdr>
        </w:div>
        <w:div w:id="1132673870">
          <w:marLeft w:val="0"/>
          <w:marRight w:val="0"/>
          <w:marTop w:val="0"/>
          <w:marBottom w:val="0"/>
          <w:divBdr>
            <w:top w:val="none" w:sz="0" w:space="0" w:color="auto"/>
            <w:left w:val="none" w:sz="0" w:space="0" w:color="auto"/>
            <w:bottom w:val="none" w:sz="0" w:space="0" w:color="auto"/>
            <w:right w:val="none" w:sz="0" w:space="0" w:color="auto"/>
          </w:divBdr>
        </w:div>
      </w:divsChild>
    </w:div>
    <w:div w:id="1048720551">
      <w:bodyDiv w:val="1"/>
      <w:marLeft w:val="0"/>
      <w:marRight w:val="0"/>
      <w:marTop w:val="0"/>
      <w:marBottom w:val="0"/>
      <w:divBdr>
        <w:top w:val="none" w:sz="0" w:space="0" w:color="auto"/>
        <w:left w:val="none" w:sz="0" w:space="0" w:color="auto"/>
        <w:bottom w:val="none" w:sz="0" w:space="0" w:color="auto"/>
        <w:right w:val="none" w:sz="0" w:space="0" w:color="auto"/>
      </w:divBdr>
    </w:div>
    <w:div w:id="161798235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5311">
      <w:bodyDiv w:val="1"/>
      <w:marLeft w:val="0"/>
      <w:marRight w:val="0"/>
      <w:marTop w:val="0"/>
      <w:marBottom w:val="0"/>
      <w:divBdr>
        <w:top w:val="none" w:sz="0" w:space="0" w:color="auto"/>
        <w:left w:val="none" w:sz="0" w:space="0" w:color="auto"/>
        <w:bottom w:val="none" w:sz="0" w:space="0" w:color="auto"/>
        <w:right w:val="none" w:sz="0" w:space="0" w:color="auto"/>
      </w:divBdr>
    </w:div>
    <w:div w:id="1787846733">
      <w:bodyDiv w:val="1"/>
      <w:marLeft w:val="0"/>
      <w:marRight w:val="0"/>
      <w:marTop w:val="0"/>
      <w:marBottom w:val="0"/>
      <w:divBdr>
        <w:top w:val="none" w:sz="0" w:space="0" w:color="auto"/>
        <w:left w:val="none" w:sz="0" w:space="0" w:color="auto"/>
        <w:bottom w:val="none" w:sz="0" w:space="0" w:color="auto"/>
        <w:right w:val="none" w:sz="0" w:space="0" w:color="auto"/>
      </w:divBdr>
    </w:div>
    <w:div w:id="1920014826">
      <w:bodyDiv w:val="1"/>
      <w:marLeft w:val="0"/>
      <w:marRight w:val="0"/>
      <w:marTop w:val="0"/>
      <w:marBottom w:val="0"/>
      <w:divBdr>
        <w:top w:val="none" w:sz="0" w:space="0" w:color="auto"/>
        <w:left w:val="none" w:sz="0" w:space="0" w:color="auto"/>
        <w:bottom w:val="none" w:sz="0" w:space="0" w:color="auto"/>
        <w:right w:val="none" w:sz="0" w:space="0" w:color="auto"/>
      </w:divBdr>
    </w:div>
    <w:div w:id="2044741348">
      <w:bodyDiv w:val="1"/>
      <w:marLeft w:val="0"/>
      <w:marRight w:val="0"/>
      <w:marTop w:val="0"/>
      <w:marBottom w:val="0"/>
      <w:divBdr>
        <w:top w:val="none" w:sz="0" w:space="0" w:color="auto"/>
        <w:left w:val="none" w:sz="0" w:space="0" w:color="auto"/>
        <w:bottom w:val="none" w:sz="0" w:space="0" w:color="auto"/>
        <w:right w:val="none" w:sz="0" w:space="0" w:color="auto"/>
      </w:divBdr>
      <w:divsChild>
        <w:div w:id="211230404">
          <w:marLeft w:val="0"/>
          <w:marRight w:val="0"/>
          <w:marTop w:val="0"/>
          <w:marBottom w:val="0"/>
          <w:divBdr>
            <w:top w:val="none" w:sz="0" w:space="0" w:color="auto"/>
            <w:left w:val="none" w:sz="0" w:space="0" w:color="auto"/>
            <w:bottom w:val="none" w:sz="0" w:space="0" w:color="auto"/>
            <w:right w:val="none" w:sz="0" w:space="0" w:color="auto"/>
          </w:divBdr>
        </w:div>
        <w:div w:id="1151483023">
          <w:marLeft w:val="0"/>
          <w:marRight w:val="0"/>
          <w:marTop w:val="0"/>
          <w:marBottom w:val="0"/>
          <w:divBdr>
            <w:top w:val="none" w:sz="0" w:space="0" w:color="auto"/>
            <w:left w:val="none" w:sz="0" w:space="0" w:color="auto"/>
            <w:bottom w:val="none" w:sz="0" w:space="0" w:color="auto"/>
            <w:right w:val="none" w:sz="0" w:space="0" w:color="auto"/>
          </w:divBdr>
        </w:div>
        <w:div w:id="1433472351">
          <w:marLeft w:val="0"/>
          <w:marRight w:val="0"/>
          <w:marTop w:val="0"/>
          <w:marBottom w:val="0"/>
          <w:divBdr>
            <w:top w:val="none" w:sz="0" w:space="0" w:color="auto"/>
            <w:left w:val="none" w:sz="0" w:space="0" w:color="auto"/>
            <w:bottom w:val="none" w:sz="0" w:space="0" w:color="auto"/>
            <w:right w:val="none" w:sz="0" w:space="0" w:color="auto"/>
          </w:divBdr>
        </w:div>
      </w:divsChild>
    </w:div>
    <w:div w:id="2067871917">
      <w:bodyDiv w:val="1"/>
      <w:marLeft w:val="0"/>
      <w:marRight w:val="0"/>
      <w:marTop w:val="0"/>
      <w:marBottom w:val="0"/>
      <w:divBdr>
        <w:top w:val="none" w:sz="0" w:space="0" w:color="auto"/>
        <w:left w:val="none" w:sz="0" w:space="0" w:color="auto"/>
        <w:bottom w:val="none" w:sz="0" w:space="0" w:color="auto"/>
        <w:right w:val="none" w:sz="0" w:space="0" w:color="auto"/>
      </w:divBdr>
    </w:div>
    <w:div w:id="211343001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rancesca\Desktop\inferenza%20bayesiana%2015-04-20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rancesca\Desktop\inferenza%20bayesiana%2015-04-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1966366195177"/>
          <c:y val="3.0196066129184046E-2"/>
          <c:w val="0.76682856390524012"/>
          <c:h val="0.85289637677971819"/>
        </c:manualLayout>
      </c:layout>
      <c:scatterChart>
        <c:scatterStyle val="smoothMarker"/>
        <c:varyColors val="0"/>
        <c:ser>
          <c:idx val="0"/>
          <c:order val="0"/>
          <c:tx>
            <c:v>trend 2010</c:v>
          </c:tx>
          <c:spPr>
            <a:ln w="12700">
              <a:solidFill>
                <a:schemeClr val="accent5">
                  <a:lumMod val="50000"/>
                </a:schemeClr>
              </a:solidFill>
            </a:ln>
          </c:spPr>
          <c:marker>
            <c:symbol val="none"/>
          </c:marker>
          <c:xVal>
            <c:numRef>
              <c:f>Forecast!$B$2:$B$55</c:f>
              <c:numCache>
                <c:formatCode>General</c:formatCode>
                <c:ptCount val="54"/>
                <c:pt idx="0">
                  <c:v>1.7999999999999998</c:v>
                </c:pt>
                <c:pt idx="1">
                  <c:v>1.7999999999999998</c:v>
                </c:pt>
                <c:pt idx="2">
                  <c:v>1.7999999999999998</c:v>
                </c:pt>
                <c:pt idx="3">
                  <c:v>1.7999999999999998</c:v>
                </c:pt>
                <c:pt idx="4">
                  <c:v>1.9000000000000004</c:v>
                </c:pt>
                <c:pt idx="5">
                  <c:v>1.9000000000000004</c:v>
                </c:pt>
                <c:pt idx="6">
                  <c:v>1.9000000000000004</c:v>
                </c:pt>
                <c:pt idx="7">
                  <c:v>2</c:v>
                </c:pt>
                <c:pt idx="8">
                  <c:v>2</c:v>
                </c:pt>
                <c:pt idx="9">
                  <c:v>2</c:v>
                </c:pt>
                <c:pt idx="10">
                  <c:v>2</c:v>
                </c:pt>
                <c:pt idx="11">
                  <c:v>2</c:v>
                </c:pt>
                <c:pt idx="12">
                  <c:v>2</c:v>
                </c:pt>
                <c:pt idx="13">
                  <c:v>2</c:v>
                </c:pt>
                <c:pt idx="14">
                  <c:v>2.0999999999999996</c:v>
                </c:pt>
                <c:pt idx="15">
                  <c:v>2.0999999999999996</c:v>
                </c:pt>
                <c:pt idx="16">
                  <c:v>2.0999999999999996</c:v>
                </c:pt>
                <c:pt idx="17">
                  <c:v>2.0999999999999996</c:v>
                </c:pt>
                <c:pt idx="18">
                  <c:v>2.0999999999999996</c:v>
                </c:pt>
                <c:pt idx="19">
                  <c:v>2.0999999999999996</c:v>
                </c:pt>
                <c:pt idx="20">
                  <c:v>2.0999999999999996</c:v>
                </c:pt>
                <c:pt idx="21">
                  <c:v>2.0999999999999996</c:v>
                </c:pt>
                <c:pt idx="22">
                  <c:v>2.0999999999999996</c:v>
                </c:pt>
                <c:pt idx="23">
                  <c:v>2.0999999999999996</c:v>
                </c:pt>
                <c:pt idx="24">
                  <c:v>2.0999999999999996</c:v>
                </c:pt>
                <c:pt idx="25">
                  <c:v>2.0999999999999996</c:v>
                </c:pt>
                <c:pt idx="26">
                  <c:v>2.2000000000000002</c:v>
                </c:pt>
                <c:pt idx="27">
                  <c:v>2.2000000000000002</c:v>
                </c:pt>
                <c:pt idx="28">
                  <c:v>2.2000000000000002</c:v>
                </c:pt>
                <c:pt idx="29">
                  <c:v>2.2000000000000002</c:v>
                </c:pt>
                <c:pt idx="30">
                  <c:v>2.2000000000000002</c:v>
                </c:pt>
                <c:pt idx="31">
                  <c:v>2.2000000000000002</c:v>
                </c:pt>
                <c:pt idx="32">
                  <c:v>2.2000000000000002</c:v>
                </c:pt>
                <c:pt idx="33">
                  <c:v>2.2000000000000002</c:v>
                </c:pt>
                <c:pt idx="34">
                  <c:v>2.2000000000000002</c:v>
                </c:pt>
                <c:pt idx="35">
                  <c:v>2.2000000000000002</c:v>
                </c:pt>
                <c:pt idx="36">
                  <c:v>2.2000000000000002</c:v>
                </c:pt>
                <c:pt idx="37">
                  <c:v>2.2000000000000002</c:v>
                </c:pt>
                <c:pt idx="38">
                  <c:v>2.2000000000000002</c:v>
                </c:pt>
                <c:pt idx="39">
                  <c:v>2.2000000000000002</c:v>
                </c:pt>
                <c:pt idx="40">
                  <c:v>2.2000000000000002</c:v>
                </c:pt>
                <c:pt idx="41">
                  <c:v>2.2000000000000002</c:v>
                </c:pt>
                <c:pt idx="42">
                  <c:v>2.2000000000000002</c:v>
                </c:pt>
                <c:pt idx="43">
                  <c:v>2.2000000000000002</c:v>
                </c:pt>
                <c:pt idx="44">
                  <c:v>2.2999999999999998</c:v>
                </c:pt>
                <c:pt idx="45">
                  <c:v>2.2999999999999998</c:v>
                </c:pt>
                <c:pt idx="46">
                  <c:v>2.2999999999999998</c:v>
                </c:pt>
                <c:pt idx="47">
                  <c:v>2.5999999999999996</c:v>
                </c:pt>
                <c:pt idx="48">
                  <c:v>2.8</c:v>
                </c:pt>
                <c:pt idx="49">
                  <c:v>2.8</c:v>
                </c:pt>
                <c:pt idx="50">
                  <c:v>2.8</c:v>
                </c:pt>
                <c:pt idx="51">
                  <c:v>2.9000000000000004</c:v>
                </c:pt>
                <c:pt idx="52">
                  <c:v>3.3</c:v>
                </c:pt>
                <c:pt idx="53">
                  <c:v>4.5</c:v>
                </c:pt>
              </c:numCache>
            </c:numRef>
          </c:xVal>
          <c:yVal>
            <c:numRef>
              <c:f>Forecast!$D$2:$D$55</c:f>
              <c:numCache>
                <c:formatCode>General</c:formatCode>
                <c:ptCount val="54"/>
                <c:pt idx="0">
                  <c:v>-0.92378000000000071</c:v>
                </c:pt>
                <c:pt idx="1">
                  <c:v>-0.92378000000000071</c:v>
                </c:pt>
                <c:pt idx="2">
                  <c:v>-0.92378000000000071</c:v>
                </c:pt>
                <c:pt idx="3">
                  <c:v>-0.92378000000000071</c:v>
                </c:pt>
                <c:pt idx="4">
                  <c:v>-0.54098999999999897</c:v>
                </c:pt>
                <c:pt idx="5">
                  <c:v>-0.54098999999999897</c:v>
                </c:pt>
                <c:pt idx="6">
                  <c:v>-0.54098999999999897</c:v>
                </c:pt>
                <c:pt idx="7">
                  <c:v>-0.1581999999999999</c:v>
                </c:pt>
                <c:pt idx="8">
                  <c:v>-0.1581999999999999</c:v>
                </c:pt>
                <c:pt idx="9">
                  <c:v>-0.1581999999999999</c:v>
                </c:pt>
                <c:pt idx="10">
                  <c:v>-0.1581999999999999</c:v>
                </c:pt>
                <c:pt idx="11">
                  <c:v>-0.1581999999999999</c:v>
                </c:pt>
                <c:pt idx="12">
                  <c:v>-0.1581999999999999</c:v>
                </c:pt>
                <c:pt idx="13">
                  <c:v>-0.1581999999999999</c:v>
                </c:pt>
                <c:pt idx="14">
                  <c:v>0.22458999999999918</c:v>
                </c:pt>
                <c:pt idx="15">
                  <c:v>0.22458999999999918</c:v>
                </c:pt>
                <c:pt idx="16">
                  <c:v>0.22458999999999918</c:v>
                </c:pt>
                <c:pt idx="17">
                  <c:v>0.22458999999999918</c:v>
                </c:pt>
                <c:pt idx="18">
                  <c:v>0.22458999999999918</c:v>
                </c:pt>
                <c:pt idx="19">
                  <c:v>0.22458999999999918</c:v>
                </c:pt>
                <c:pt idx="20">
                  <c:v>0.22458999999999918</c:v>
                </c:pt>
                <c:pt idx="21">
                  <c:v>0.22458999999999918</c:v>
                </c:pt>
                <c:pt idx="22">
                  <c:v>0.22458999999999918</c:v>
                </c:pt>
                <c:pt idx="23">
                  <c:v>0.22458999999999918</c:v>
                </c:pt>
                <c:pt idx="24">
                  <c:v>0.22458999999999918</c:v>
                </c:pt>
                <c:pt idx="25">
                  <c:v>0.22458999999999918</c:v>
                </c:pt>
                <c:pt idx="26">
                  <c:v>0.60738000000000092</c:v>
                </c:pt>
                <c:pt idx="27">
                  <c:v>0.60738000000000092</c:v>
                </c:pt>
                <c:pt idx="28">
                  <c:v>0.60738000000000092</c:v>
                </c:pt>
                <c:pt idx="29">
                  <c:v>0.60738000000000092</c:v>
                </c:pt>
                <c:pt idx="30">
                  <c:v>0.60738000000000092</c:v>
                </c:pt>
                <c:pt idx="31">
                  <c:v>0.60738000000000092</c:v>
                </c:pt>
                <c:pt idx="32">
                  <c:v>0.60738000000000092</c:v>
                </c:pt>
                <c:pt idx="33">
                  <c:v>0.60738000000000092</c:v>
                </c:pt>
                <c:pt idx="34">
                  <c:v>0.60738000000000092</c:v>
                </c:pt>
                <c:pt idx="35">
                  <c:v>0.60738000000000092</c:v>
                </c:pt>
                <c:pt idx="36">
                  <c:v>0.60738000000000092</c:v>
                </c:pt>
                <c:pt idx="37">
                  <c:v>0.60738000000000092</c:v>
                </c:pt>
                <c:pt idx="38">
                  <c:v>0.60738000000000092</c:v>
                </c:pt>
                <c:pt idx="39">
                  <c:v>0.60738000000000092</c:v>
                </c:pt>
                <c:pt idx="40">
                  <c:v>0.60738000000000092</c:v>
                </c:pt>
                <c:pt idx="41">
                  <c:v>0.60738000000000092</c:v>
                </c:pt>
                <c:pt idx="42">
                  <c:v>0.60738000000000092</c:v>
                </c:pt>
                <c:pt idx="43">
                  <c:v>0.60738000000000092</c:v>
                </c:pt>
                <c:pt idx="44">
                  <c:v>0.99016999999999911</c:v>
                </c:pt>
                <c:pt idx="45">
                  <c:v>0.99016999999999911</c:v>
                </c:pt>
                <c:pt idx="46">
                  <c:v>0.99016999999999911</c:v>
                </c:pt>
                <c:pt idx="47">
                  <c:v>2.138539999999999</c:v>
                </c:pt>
                <c:pt idx="48">
                  <c:v>2.9041199999999989</c:v>
                </c:pt>
                <c:pt idx="49">
                  <c:v>2.9041199999999989</c:v>
                </c:pt>
                <c:pt idx="50">
                  <c:v>2.9041199999999989</c:v>
                </c:pt>
                <c:pt idx="51">
                  <c:v>3.2869100000000007</c:v>
                </c:pt>
                <c:pt idx="52">
                  <c:v>4.8180699999999987</c:v>
                </c:pt>
                <c:pt idx="53">
                  <c:v>9.4115500000000019</c:v>
                </c:pt>
              </c:numCache>
            </c:numRef>
          </c:yVal>
          <c:smooth val="1"/>
          <c:extLst xmlns:c16r2="http://schemas.microsoft.com/office/drawing/2015/06/chart">
            <c:ext xmlns:c16="http://schemas.microsoft.com/office/drawing/2014/chart" uri="{C3380CC4-5D6E-409C-BE32-E72D297353CC}">
              <c16:uniqueId val="{00000000-4C41-48DE-96E0-17D51FF726B0}"/>
            </c:ext>
          </c:extLst>
        </c:ser>
        <c:ser>
          <c:idx val="1"/>
          <c:order val="1"/>
          <c:tx>
            <c:v>trend 2017</c:v>
          </c:tx>
          <c:spPr>
            <a:ln w="12700">
              <a:solidFill>
                <a:srgbClr val="C00000"/>
              </a:solidFill>
            </a:ln>
          </c:spPr>
          <c:marker>
            <c:symbol val="none"/>
          </c:marker>
          <c:xVal>
            <c:numRef>
              <c:f>Forecast!$E$2:$E$55</c:f>
              <c:numCache>
                <c:formatCode>General</c:formatCode>
                <c:ptCount val="54"/>
                <c:pt idx="0">
                  <c:v>2</c:v>
                </c:pt>
                <c:pt idx="1">
                  <c:v>2.0999999999999996</c:v>
                </c:pt>
                <c:pt idx="2">
                  <c:v>2.2000000000000002</c:v>
                </c:pt>
                <c:pt idx="3">
                  <c:v>2.2000000000000002</c:v>
                </c:pt>
                <c:pt idx="4">
                  <c:v>2.2000000000000002</c:v>
                </c:pt>
                <c:pt idx="5">
                  <c:v>2.2000000000000002</c:v>
                </c:pt>
                <c:pt idx="6">
                  <c:v>2.2000000000000002</c:v>
                </c:pt>
                <c:pt idx="7">
                  <c:v>2.2000000000000002</c:v>
                </c:pt>
                <c:pt idx="8">
                  <c:v>2.2000000000000002</c:v>
                </c:pt>
                <c:pt idx="9">
                  <c:v>2.2999999999999998</c:v>
                </c:pt>
                <c:pt idx="10">
                  <c:v>2.2999999999999998</c:v>
                </c:pt>
                <c:pt idx="11">
                  <c:v>2.2999999999999998</c:v>
                </c:pt>
                <c:pt idx="12">
                  <c:v>2.2999999999999998</c:v>
                </c:pt>
                <c:pt idx="13">
                  <c:v>2.2999999999999998</c:v>
                </c:pt>
                <c:pt idx="14">
                  <c:v>2.2999999999999998</c:v>
                </c:pt>
                <c:pt idx="15">
                  <c:v>2.2999999999999998</c:v>
                </c:pt>
                <c:pt idx="16">
                  <c:v>2.2999999999999998</c:v>
                </c:pt>
                <c:pt idx="17">
                  <c:v>2.2999999999999998</c:v>
                </c:pt>
                <c:pt idx="18">
                  <c:v>2.2999999999999998</c:v>
                </c:pt>
                <c:pt idx="19">
                  <c:v>2.2999999999999998</c:v>
                </c:pt>
                <c:pt idx="20">
                  <c:v>2.2999999999999998</c:v>
                </c:pt>
                <c:pt idx="21">
                  <c:v>2.2999999999999998</c:v>
                </c:pt>
                <c:pt idx="22">
                  <c:v>2.2999999999999998</c:v>
                </c:pt>
                <c:pt idx="23">
                  <c:v>2.2999999999999998</c:v>
                </c:pt>
                <c:pt idx="24">
                  <c:v>2.2999999999999998</c:v>
                </c:pt>
                <c:pt idx="25">
                  <c:v>2.2999999999999998</c:v>
                </c:pt>
                <c:pt idx="26">
                  <c:v>2.2999999999999998</c:v>
                </c:pt>
                <c:pt idx="27">
                  <c:v>2.4000000000000004</c:v>
                </c:pt>
                <c:pt idx="28">
                  <c:v>2.4000000000000004</c:v>
                </c:pt>
                <c:pt idx="29">
                  <c:v>2.4000000000000004</c:v>
                </c:pt>
                <c:pt idx="30">
                  <c:v>2.4000000000000004</c:v>
                </c:pt>
                <c:pt idx="31">
                  <c:v>2.4000000000000004</c:v>
                </c:pt>
                <c:pt idx="32">
                  <c:v>2.4000000000000004</c:v>
                </c:pt>
                <c:pt idx="33">
                  <c:v>2.4000000000000004</c:v>
                </c:pt>
                <c:pt idx="34">
                  <c:v>2.4000000000000004</c:v>
                </c:pt>
                <c:pt idx="35">
                  <c:v>2.4000000000000004</c:v>
                </c:pt>
                <c:pt idx="36">
                  <c:v>2.5</c:v>
                </c:pt>
                <c:pt idx="37">
                  <c:v>2.5</c:v>
                </c:pt>
                <c:pt idx="38">
                  <c:v>2.5</c:v>
                </c:pt>
                <c:pt idx="39">
                  <c:v>2.5</c:v>
                </c:pt>
                <c:pt idx="40">
                  <c:v>2.5</c:v>
                </c:pt>
                <c:pt idx="41">
                  <c:v>2.5</c:v>
                </c:pt>
                <c:pt idx="42">
                  <c:v>2.5</c:v>
                </c:pt>
                <c:pt idx="43">
                  <c:v>2.5</c:v>
                </c:pt>
                <c:pt idx="44">
                  <c:v>2.5</c:v>
                </c:pt>
                <c:pt idx="45">
                  <c:v>2.5</c:v>
                </c:pt>
                <c:pt idx="46">
                  <c:v>2.5</c:v>
                </c:pt>
                <c:pt idx="47">
                  <c:v>2.5</c:v>
                </c:pt>
                <c:pt idx="48">
                  <c:v>2.5</c:v>
                </c:pt>
                <c:pt idx="49">
                  <c:v>2.5999999999999996</c:v>
                </c:pt>
                <c:pt idx="50">
                  <c:v>2.5999999999999996</c:v>
                </c:pt>
                <c:pt idx="51">
                  <c:v>3.0999999999999996</c:v>
                </c:pt>
                <c:pt idx="52">
                  <c:v>4.0999999999999996</c:v>
                </c:pt>
                <c:pt idx="53">
                  <c:v>4.5</c:v>
                </c:pt>
              </c:numCache>
            </c:numRef>
          </c:xVal>
          <c:yVal>
            <c:numRef>
              <c:f>Forecast!$F$2:$F$55</c:f>
              <c:numCache>
                <c:formatCode>General</c:formatCode>
                <c:ptCount val="54"/>
                <c:pt idx="0">
                  <c:v>-0.7843</c:v>
                </c:pt>
                <c:pt idx="1">
                  <c:v>-0.45391000000000137</c:v>
                </c:pt>
                <c:pt idx="2">
                  <c:v>-0.12351999999999919</c:v>
                </c:pt>
                <c:pt idx="3">
                  <c:v>-0.12351999999999919</c:v>
                </c:pt>
                <c:pt idx="4">
                  <c:v>-0.12351999999999919</c:v>
                </c:pt>
                <c:pt idx="5">
                  <c:v>-0.12351999999999919</c:v>
                </c:pt>
                <c:pt idx="6">
                  <c:v>-0.12351999999999919</c:v>
                </c:pt>
                <c:pt idx="7">
                  <c:v>-0.12351999999999919</c:v>
                </c:pt>
                <c:pt idx="8">
                  <c:v>-0.12351999999999919</c:v>
                </c:pt>
                <c:pt idx="9">
                  <c:v>0.20686999999999944</c:v>
                </c:pt>
                <c:pt idx="10">
                  <c:v>0.20686999999999944</c:v>
                </c:pt>
                <c:pt idx="11">
                  <c:v>0.20686999999999944</c:v>
                </c:pt>
                <c:pt idx="12">
                  <c:v>0.20686999999999944</c:v>
                </c:pt>
                <c:pt idx="13">
                  <c:v>0.20686999999999944</c:v>
                </c:pt>
                <c:pt idx="14">
                  <c:v>0.20686999999999944</c:v>
                </c:pt>
                <c:pt idx="15">
                  <c:v>0.20686999999999944</c:v>
                </c:pt>
                <c:pt idx="16">
                  <c:v>0.20686999999999944</c:v>
                </c:pt>
                <c:pt idx="17">
                  <c:v>0.20686999999999944</c:v>
                </c:pt>
                <c:pt idx="18">
                  <c:v>0.20686999999999944</c:v>
                </c:pt>
                <c:pt idx="19">
                  <c:v>0.20686999999999944</c:v>
                </c:pt>
                <c:pt idx="20">
                  <c:v>0.20686999999999944</c:v>
                </c:pt>
                <c:pt idx="21">
                  <c:v>0.20686999999999944</c:v>
                </c:pt>
                <c:pt idx="22">
                  <c:v>0.20686999999999944</c:v>
                </c:pt>
                <c:pt idx="23">
                  <c:v>0.20686999999999944</c:v>
                </c:pt>
                <c:pt idx="24">
                  <c:v>0.20686999999999944</c:v>
                </c:pt>
                <c:pt idx="25">
                  <c:v>0.20686999999999944</c:v>
                </c:pt>
                <c:pt idx="26">
                  <c:v>0.20686999999999944</c:v>
                </c:pt>
                <c:pt idx="27">
                  <c:v>0.53726000000000163</c:v>
                </c:pt>
                <c:pt idx="28">
                  <c:v>0.53726000000000163</c:v>
                </c:pt>
                <c:pt idx="29">
                  <c:v>0.53726000000000163</c:v>
                </c:pt>
                <c:pt idx="30">
                  <c:v>0.53726000000000163</c:v>
                </c:pt>
                <c:pt idx="31">
                  <c:v>0.53726000000000163</c:v>
                </c:pt>
                <c:pt idx="32">
                  <c:v>0.53726000000000163</c:v>
                </c:pt>
                <c:pt idx="33">
                  <c:v>0.53726000000000163</c:v>
                </c:pt>
                <c:pt idx="34">
                  <c:v>0.53726000000000163</c:v>
                </c:pt>
                <c:pt idx="35">
                  <c:v>0.53726000000000163</c:v>
                </c:pt>
                <c:pt idx="36">
                  <c:v>0.86765000000000025</c:v>
                </c:pt>
                <c:pt idx="37">
                  <c:v>0.86765000000000025</c:v>
                </c:pt>
                <c:pt idx="38">
                  <c:v>0.86765000000000025</c:v>
                </c:pt>
                <c:pt idx="39">
                  <c:v>0.86765000000000025</c:v>
                </c:pt>
                <c:pt idx="40">
                  <c:v>0.86765000000000025</c:v>
                </c:pt>
                <c:pt idx="41">
                  <c:v>0.86765000000000025</c:v>
                </c:pt>
                <c:pt idx="42">
                  <c:v>0.86765000000000025</c:v>
                </c:pt>
                <c:pt idx="43">
                  <c:v>0.86765000000000025</c:v>
                </c:pt>
                <c:pt idx="44">
                  <c:v>0.86765000000000025</c:v>
                </c:pt>
                <c:pt idx="45">
                  <c:v>0.86765000000000025</c:v>
                </c:pt>
                <c:pt idx="46">
                  <c:v>0.86765000000000025</c:v>
                </c:pt>
                <c:pt idx="47">
                  <c:v>0.86765000000000025</c:v>
                </c:pt>
                <c:pt idx="48">
                  <c:v>0.86765000000000025</c:v>
                </c:pt>
                <c:pt idx="49">
                  <c:v>1.198039999999998</c:v>
                </c:pt>
                <c:pt idx="50">
                  <c:v>1.198039999999998</c:v>
                </c:pt>
                <c:pt idx="51">
                  <c:v>2.8499899999999991</c:v>
                </c:pt>
                <c:pt idx="52">
                  <c:v>6.1538899999999996</c:v>
                </c:pt>
                <c:pt idx="53">
                  <c:v>7.4754499999999995</c:v>
                </c:pt>
              </c:numCache>
            </c:numRef>
          </c:yVal>
          <c:smooth val="1"/>
          <c:extLst xmlns:c16r2="http://schemas.microsoft.com/office/drawing/2015/06/chart">
            <c:ext xmlns:c16="http://schemas.microsoft.com/office/drawing/2014/chart" uri="{C3380CC4-5D6E-409C-BE32-E72D297353CC}">
              <c16:uniqueId val="{00000001-4C41-48DE-96E0-17D51FF726B0}"/>
            </c:ext>
          </c:extLst>
        </c:ser>
        <c:ser>
          <c:idx val="3"/>
          <c:order val="2"/>
          <c:tx>
            <c:v>expected trend 2017</c:v>
          </c:tx>
          <c:spPr>
            <a:ln w="12700">
              <a:solidFill>
                <a:srgbClr val="C00000"/>
              </a:solidFill>
              <a:prstDash val="lgDash"/>
            </a:ln>
          </c:spPr>
          <c:marker>
            <c:symbol val="none"/>
          </c:marker>
          <c:xVal>
            <c:numRef>
              <c:f>Forecast!$B$2:$B$55</c:f>
              <c:numCache>
                <c:formatCode>General</c:formatCode>
                <c:ptCount val="54"/>
                <c:pt idx="0">
                  <c:v>1.7999999999999998</c:v>
                </c:pt>
                <c:pt idx="1">
                  <c:v>1.7999999999999998</c:v>
                </c:pt>
                <c:pt idx="2">
                  <c:v>1.7999999999999998</c:v>
                </c:pt>
                <c:pt idx="3">
                  <c:v>1.7999999999999998</c:v>
                </c:pt>
                <c:pt idx="4">
                  <c:v>1.9000000000000004</c:v>
                </c:pt>
                <c:pt idx="5">
                  <c:v>1.9000000000000004</c:v>
                </c:pt>
                <c:pt idx="6">
                  <c:v>1.9000000000000004</c:v>
                </c:pt>
                <c:pt idx="7">
                  <c:v>2</c:v>
                </c:pt>
                <c:pt idx="8">
                  <c:v>2</c:v>
                </c:pt>
                <c:pt idx="9">
                  <c:v>2</c:v>
                </c:pt>
                <c:pt idx="10">
                  <c:v>2</c:v>
                </c:pt>
                <c:pt idx="11">
                  <c:v>2</c:v>
                </c:pt>
                <c:pt idx="12">
                  <c:v>2</c:v>
                </c:pt>
                <c:pt idx="13">
                  <c:v>2</c:v>
                </c:pt>
                <c:pt idx="14">
                  <c:v>2.0999999999999996</c:v>
                </c:pt>
                <c:pt idx="15">
                  <c:v>2.0999999999999996</c:v>
                </c:pt>
                <c:pt idx="16">
                  <c:v>2.0999999999999996</c:v>
                </c:pt>
                <c:pt idx="17">
                  <c:v>2.0999999999999996</c:v>
                </c:pt>
                <c:pt idx="18">
                  <c:v>2.0999999999999996</c:v>
                </c:pt>
                <c:pt idx="19">
                  <c:v>2.0999999999999996</c:v>
                </c:pt>
                <c:pt idx="20">
                  <c:v>2.0999999999999996</c:v>
                </c:pt>
                <c:pt idx="21">
                  <c:v>2.0999999999999996</c:v>
                </c:pt>
                <c:pt idx="22">
                  <c:v>2.0999999999999996</c:v>
                </c:pt>
                <c:pt idx="23">
                  <c:v>2.0999999999999996</c:v>
                </c:pt>
                <c:pt idx="24">
                  <c:v>2.0999999999999996</c:v>
                </c:pt>
                <c:pt idx="25">
                  <c:v>2.0999999999999996</c:v>
                </c:pt>
                <c:pt idx="26">
                  <c:v>2.2000000000000002</c:v>
                </c:pt>
                <c:pt idx="27">
                  <c:v>2.2000000000000002</c:v>
                </c:pt>
                <c:pt idx="28">
                  <c:v>2.2000000000000002</c:v>
                </c:pt>
                <c:pt idx="29">
                  <c:v>2.2000000000000002</c:v>
                </c:pt>
                <c:pt idx="30">
                  <c:v>2.2000000000000002</c:v>
                </c:pt>
                <c:pt idx="31">
                  <c:v>2.2000000000000002</c:v>
                </c:pt>
                <c:pt idx="32">
                  <c:v>2.2000000000000002</c:v>
                </c:pt>
                <c:pt idx="33">
                  <c:v>2.2000000000000002</c:v>
                </c:pt>
                <c:pt idx="34">
                  <c:v>2.2000000000000002</c:v>
                </c:pt>
                <c:pt idx="35">
                  <c:v>2.2000000000000002</c:v>
                </c:pt>
                <c:pt idx="36">
                  <c:v>2.2000000000000002</c:v>
                </c:pt>
                <c:pt idx="37">
                  <c:v>2.2000000000000002</c:v>
                </c:pt>
                <c:pt idx="38">
                  <c:v>2.2000000000000002</c:v>
                </c:pt>
                <c:pt idx="39">
                  <c:v>2.2000000000000002</c:v>
                </c:pt>
                <c:pt idx="40">
                  <c:v>2.2000000000000002</c:v>
                </c:pt>
                <c:pt idx="41">
                  <c:v>2.2000000000000002</c:v>
                </c:pt>
                <c:pt idx="42">
                  <c:v>2.2000000000000002</c:v>
                </c:pt>
                <c:pt idx="43">
                  <c:v>2.2000000000000002</c:v>
                </c:pt>
                <c:pt idx="44">
                  <c:v>2.2999999999999998</c:v>
                </c:pt>
                <c:pt idx="45">
                  <c:v>2.2999999999999998</c:v>
                </c:pt>
                <c:pt idx="46">
                  <c:v>2.2999999999999998</c:v>
                </c:pt>
                <c:pt idx="47">
                  <c:v>2.5999999999999996</c:v>
                </c:pt>
                <c:pt idx="48">
                  <c:v>2.8</c:v>
                </c:pt>
                <c:pt idx="49">
                  <c:v>2.8</c:v>
                </c:pt>
                <c:pt idx="50">
                  <c:v>2.8</c:v>
                </c:pt>
                <c:pt idx="51">
                  <c:v>2.9000000000000004</c:v>
                </c:pt>
                <c:pt idx="52">
                  <c:v>3.3</c:v>
                </c:pt>
                <c:pt idx="53">
                  <c:v>4.5</c:v>
                </c:pt>
              </c:numCache>
            </c:numRef>
          </c:xVal>
          <c:yVal>
            <c:numRef>
              <c:f>Forecast!$G$2:$G$55</c:f>
              <c:numCache>
                <c:formatCode>General</c:formatCode>
                <c:ptCount val="54"/>
                <c:pt idx="0">
                  <c:v>-2.0424068980888164</c:v>
                </c:pt>
                <c:pt idx="1">
                  <c:v>-2.0424068980888164</c:v>
                </c:pt>
                <c:pt idx="2">
                  <c:v>-2.0424068980888164</c:v>
                </c:pt>
                <c:pt idx="3">
                  <c:v>-2.0424068980888164</c:v>
                </c:pt>
                <c:pt idx="4">
                  <c:v>-1.7036546856994343</c:v>
                </c:pt>
                <c:pt idx="5">
                  <c:v>-1.7036546856994343</c:v>
                </c:pt>
                <c:pt idx="6">
                  <c:v>-1.7036546856994343</c:v>
                </c:pt>
                <c:pt idx="7">
                  <c:v>-1.364902473310055</c:v>
                </c:pt>
                <c:pt idx="8">
                  <c:v>-1.364902473310055</c:v>
                </c:pt>
                <c:pt idx="9">
                  <c:v>-1.364902473310055</c:v>
                </c:pt>
                <c:pt idx="10">
                  <c:v>-1.364902473310055</c:v>
                </c:pt>
                <c:pt idx="11">
                  <c:v>-1.364902473310055</c:v>
                </c:pt>
                <c:pt idx="12">
                  <c:v>-1.364902473310055</c:v>
                </c:pt>
                <c:pt idx="13">
                  <c:v>-1.364902473310055</c:v>
                </c:pt>
                <c:pt idx="14">
                  <c:v>-1.0261502609206756</c:v>
                </c:pt>
                <c:pt idx="15">
                  <c:v>-1.0261502609206756</c:v>
                </c:pt>
                <c:pt idx="16">
                  <c:v>-1.0261502609206756</c:v>
                </c:pt>
                <c:pt idx="17">
                  <c:v>-1.0261502609206756</c:v>
                </c:pt>
                <c:pt idx="18">
                  <c:v>-1.0261502609206756</c:v>
                </c:pt>
                <c:pt idx="19">
                  <c:v>-1.0261502609206756</c:v>
                </c:pt>
                <c:pt idx="20">
                  <c:v>-1.0261502609206756</c:v>
                </c:pt>
                <c:pt idx="21">
                  <c:v>-1.0261502609206756</c:v>
                </c:pt>
                <c:pt idx="22">
                  <c:v>-1.0261502609206756</c:v>
                </c:pt>
                <c:pt idx="23">
                  <c:v>-1.0261502609206756</c:v>
                </c:pt>
                <c:pt idx="24">
                  <c:v>-1.0261502609206756</c:v>
                </c:pt>
                <c:pt idx="25">
                  <c:v>-1.0261502609206756</c:v>
                </c:pt>
                <c:pt idx="26">
                  <c:v>-0.6873980485312936</c:v>
                </c:pt>
                <c:pt idx="27">
                  <c:v>-0.6873980485312936</c:v>
                </c:pt>
                <c:pt idx="28">
                  <c:v>-0.6873980485312936</c:v>
                </c:pt>
                <c:pt idx="29">
                  <c:v>-0.6873980485312936</c:v>
                </c:pt>
                <c:pt idx="30">
                  <c:v>-0.6873980485312936</c:v>
                </c:pt>
                <c:pt idx="31">
                  <c:v>-0.6873980485312936</c:v>
                </c:pt>
                <c:pt idx="32">
                  <c:v>-0.6873980485312936</c:v>
                </c:pt>
                <c:pt idx="33">
                  <c:v>-0.6873980485312936</c:v>
                </c:pt>
                <c:pt idx="34">
                  <c:v>-0.6873980485312936</c:v>
                </c:pt>
                <c:pt idx="35">
                  <c:v>-0.6873980485312936</c:v>
                </c:pt>
                <c:pt idx="36">
                  <c:v>-0.6873980485312936</c:v>
                </c:pt>
                <c:pt idx="37">
                  <c:v>-0.6873980485312936</c:v>
                </c:pt>
                <c:pt idx="38">
                  <c:v>-0.6873980485312936</c:v>
                </c:pt>
                <c:pt idx="39">
                  <c:v>-0.6873980485312936</c:v>
                </c:pt>
                <c:pt idx="40">
                  <c:v>-0.6873980485312936</c:v>
                </c:pt>
                <c:pt idx="41">
                  <c:v>-0.6873980485312936</c:v>
                </c:pt>
                <c:pt idx="42">
                  <c:v>-0.6873980485312936</c:v>
                </c:pt>
                <c:pt idx="43">
                  <c:v>-0.6873980485312936</c:v>
                </c:pt>
                <c:pt idx="44">
                  <c:v>-0.34864583614191424</c:v>
                </c:pt>
                <c:pt idx="45">
                  <c:v>-0.34864583614191424</c:v>
                </c:pt>
                <c:pt idx="46">
                  <c:v>-0.34864583614191424</c:v>
                </c:pt>
                <c:pt idx="47">
                  <c:v>0.6676108010262265</c:v>
                </c:pt>
                <c:pt idx="48">
                  <c:v>1.3451152258049888</c:v>
                </c:pt>
                <c:pt idx="49">
                  <c:v>1.3451152258049888</c:v>
                </c:pt>
                <c:pt idx="50">
                  <c:v>1.3451152258049888</c:v>
                </c:pt>
                <c:pt idx="51">
                  <c:v>1.6838674381943708</c:v>
                </c:pt>
                <c:pt idx="52">
                  <c:v>3.0388762877518918</c:v>
                </c:pt>
                <c:pt idx="53">
                  <c:v>7.1039028364244583</c:v>
                </c:pt>
              </c:numCache>
            </c:numRef>
          </c:yVal>
          <c:smooth val="1"/>
          <c:extLst xmlns:c16r2="http://schemas.microsoft.com/office/drawing/2015/06/chart">
            <c:ext xmlns:c16="http://schemas.microsoft.com/office/drawing/2014/chart" uri="{C3380CC4-5D6E-409C-BE32-E72D297353CC}">
              <c16:uniqueId val="{00000002-4C41-48DE-96E0-17D51FF726B0}"/>
            </c:ext>
          </c:extLst>
        </c:ser>
        <c:dLbls>
          <c:showLegendKey val="0"/>
          <c:showVal val="0"/>
          <c:showCatName val="0"/>
          <c:showSerName val="0"/>
          <c:showPercent val="0"/>
          <c:showBubbleSize val="0"/>
        </c:dLbls>
        <c:axId val="162715520"/>
        <c:axId val="162799616"/>
      </c:scatterChart>
      <c:valAx>
        <c:axId val="162715520"/>
        <c:scaling>
          <c:orientation val="minMax"/>
          <c:max val="5"/>
          <c:min val="1"/>
        </c:scaling>
        <c:delete val="0"/>
        <c:axPos val="b"/>
        <c:majorGridlines/>
        <c:minorGridlines>
          <c:spPr>
            <a:ln>
              <a:prstDash val="sysDash"/>
            </a:ln>
          </c:spPr>
        </c:minorGridlines>
        <c:title>
          <c:tx>
            <c:rich>
              <a:bodyPr/>
              <a:lstStyle/>
              <a:p>
                <a:pPr>
                  <a:defRPr sz="900"/>
                </a:pPr>
                <a:r>
                  <a:rPr lang="it-IT" sz="900" b="0"/>
                  <a:t>corrosion</a:t>
                </a:r>
                <a:r>
                  <a:rPr lang="it-IT" sz="900" b="0" baseline="0"/>
                  <a:t> [mm]</a:t>
                </a:r>
                <a:endParaRPr lang="it-IT" sz="900" b="0"/>
              </a:p>
            </c:rich>
          </c:tx>
          <c:layout>
            <c:manualLayout>
              <c:xMode val="edge"/>
              <c:yMode val="edge"/>
              <c:x val="0.34367655966081168"/>
              <c:y val="0.92262759983687304"/>
            </c:manualLayout>
          </c:layout>
          <c:overlay val="0"/>
        </c:title>
        <c:numFmt formatCode="General" sourceLinked="1"/>
        <c:majorTickMark val="out"/>
        <c:minorTickMark val="out"/>
        <c:tickLblPos val="low"/>
        <c:txPr>
          <a:bodyPr/>
          <a:lstStyle/>
          <a:p>
            <a:pPr>
              <a:defRPr sz="800"/>
            </a:pPr>
            <a:endParaRPr lang="it-IT"/>
          </a:p>
        </c:txPr>
        <c:crossAx val="162799616"/>
        <c:crosses val="autoZero"/>
        <c:crossBetween val="midCat"/>
      </c:valAx>
      <c:valAx>
        <c:axId val="162799616"/>
        <c:scaling>
          <c:orientation val="minMax"/>
          <c:max val="7"/>
          <c:min val="-1"/>
        </c:scaling>
        <c:delete val="0"/>
        <c:axPos val="l"/>
        <c:majorGridlines/>
        <c:minorGridlines/>
        <c:title>
          <c:tx>
            <c:rich>
              <a:bodyPr rot="-5400000" vert="horz"/>
              <a:lstStyle/>
              <a:p>
                <a:pPr>
                  <a:defRPr sz="900" b="0"/>
                </a:pPr>
                <a:r>
                  <a:rPr lang="it-IT" sz="900" b="0"/>
                  <a:t>-ln(ln(1/F(y))</a:t>
                </a:r>
              </a:p>
            </c:rich>
          </c:tx>
          <c:layout>
            <c:manualLayout>
              <c:xMode val="edge"/>
              <c:yMode val="edge"/>
              <c:x val="1.5300902921115443E-2"/>
              <c:y val="0.35951260282408831"/>
            </c:manualLayout>
          </c:layout>
          <c:overlay val="0"/>
        </c:title>
        <c:numFmt formatCode="General" sourceLinked="1"/>
        <c:majorTickMark val="out"/>
        <c:minorTickMark val="out"/>
        <c:tickLblPos val="nextTo"/>
        <c:txPr>
          <a:bodyPr/>
          <a:lstStyle/>
          <a:p>
            <a:pPr>
              <a:defRPr sz="800"/>
            </a:pPr>
            <a:endParaRPr lang="it-IT"/>
          </a:p>
        </c:txPr>
        <c:crossAx val="162715520"/>
        <c:crosses val="autoZero"/>
        <c:crossBetween val="midCat"/>
        <c:majorUnit val="1"/>
      </c:valAx>
    </c:plotArea>
    <c:legend>
      <c:legendPos val="r"/>
      <c:layout>
        <c:manualLayout>
          <c:xMode val="edge"/>
          <c:yMode val="edge"/>
          <c:x val="0.16006183693057788"/>
          <c:y val="5.6732854045418238E-2"/>
          <c:w val="0.45925962874550186"/>
          <c:h val="0.1566350945262277"/>
        </c:manualLayout>
      </c:layout>
      <c:overlay val="0"/>
      <c:spPr>
        <a:solidFill>
          <a:sysClr val="window" lastClr="FFFFFF"/>
        </a:solidFill>
        <a:ln>
          <a:solidFill>
            <a:schemeClr val="tx1">
              <a:lumMod val="50000"/>
              <a:lumOff val="50000"/>
            </a:schemeClr>
          </a:solidFill>
        </a:ln>
      </c:spPr>
      <c:txPr>
        <a:bodyPr/>
        <a:lstStyle/>
        <a:p>
          <a:pPr>
            <a:defRPr sz="800"/>
          </a:pPr>
          <a:endParaRPr lang="it-IT"/>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8557742169197"/>
          <c:y val="5.0404408531012301E-2"/>
          <c:w val="0.80531063929946634"/>
          <c:h val="0.81842649707640336"/>
        </c:manualLayout>
      </c:layout>
      <c:scatterChart>
        <c:scatterStyle val="smoothMarker"/>
        <c:varyColors val="0"/>
        <c:ser>
          <c:idx val="0"/>
          <c:order val="0"/>
          <c:tx>
            <c:v>Threshold limit</c:v>
          </c:tx>
          <c:spPr>
            <a:ln w="12700">
              <a:solidFill>
                <a:schemeClr val="tx1"/>
              </a:solidFill>
            </a:ln>
          </c:spPr>
          <c:marker>
            <c:symbol val="none"/>
          </c:marker>
          <c:xVal>
            <c:numRef>
              <c:f>RUL!$A$2:$A$12</c:f>
              <c:numCache>
                <c:formatCode>General</c:formatCode>
                <c:ptCount val="11"/>
                <c:pt idx="0">
                  <c:v>1962</c:v>
                </c:pt>
                <c:pt idx="1">
                  <c:v>1973</c:v>
                </c:pt>
                <c:pt idx="2">
                  <c:v>1983</c:v>
                </c:pt>
                <c:pt idx="3">
                  <c:v>1993</c:v>
                </c:pt>
                <c:pt idx="4">
                  <c:v>2003</c:v>
                </c:pt>
                <c:pt idx="5">
                  <c:v>2010</c:v>
                </c:pt>
                <c:pt idx="6">
                  <c:v>2017</c:v>
                </c:pt>
                <c:pt idx="7">
                  <c:v>2024</c:v>
                </c:pt>
                <c:pt idx="8">
                  <c:v>2031</c:v>
                </c:pt>
                <c:pt idx="9">
                  <c:v>2038</c:v>
                </c:pt>
                <c:pt idx="10">
                  <c:v>2045</c:v>
                </c:pt>
              </c:numCache>
            </c:numRef>
          </c:xVal>
          <c:yVal>
            <c:numRef>
              <c:f>RUL!$B$2:$B$12</c:f>
              <c:numCache>
                <c:formatCode>General</c:formatCode>
                <c:ptCount val="11"/>
                <c:pt idx="0">
                  <c:v>5.2</c:v>
                </c:pt>
                <c:pt idx="1">
                  <c:v>5.2</c:v>
                </c:pt>
                <c:pt idx="2">
                  <c:v>5.2</c:v>
                </c:pt>
                <c:pt idx="3">
                  <c:v>5.2</c:v>
                </c:pt>
                <c:pt idx="4">
                  <c:v>5.2</c:v>
                </c:pt>
                <c:pt idx="5">
                  <c:v>5.2</c:v>
                </c:pt>
                <c:pt idx="6">
                  <c:v>5.2</c:v>
                </c:pt>
                <c:pt idx="7">
                  <c:v>5.2</c:v>
                </c:pt>
                <c:pt idx="8">
                  <c:v>5.2</c:v>
                </c:pt>
                <c:pt idx="9">
                  <c:v>5.2</c:v>
                </c:pt>
                <c:pt idx="10">
                  <c:v>5.2</c:v>
                </c:pt>
              </c:numCache>
            </c:numRef>
          </c:yVal>
          <c:smooth val="1"/>
          <c:extLst xmlns:c16r2="http://schemas.microsoft.com/office/drawing/2015/06/chart">
            <c:ext xmlns:c16="http://schemas.microsoft.com/office/drawing/2014/chart" uri="{C3380CC4-5D6E-409C-BE32-E72D297353CC}">
              <c16:uniqueId val="{00000000-9540-4ECD-A363-61FA9A5AC0B0}"/>
            </c:ext>
          </c:extLst>
        </c:ser>
        <c:ser>
          <c:idx val="5"/>
          <c:order val="1"/>
          <c:tx>
            <c:v>Plate 47</c:v>
          </c:tx>
          <c:spPr>
            <a:ln w="12700">
              <a:solidFill>
                <a:srgbClr val="C00000"/>
              </a:solidFill>
              <a:prstDash val="solid"/>
            </a:ln>
          </c:spPr>
          <c:marker>
            <c:symbol val="circle"/>
            <c:size val="4"/>
            <c:spPr>
              <a:solidFill>
                <a:srgbClr val="C00000"/>
              </a:solidFill>
              <a:ln>
                <a:solidFill>
                  <a:srgbClr val="C00000"/>
                </a:solidFill>
              </a:ln>
            </c:spPr>
          </c:marker>
          <c:xVal>
            <c:numRef>
              <c:f>RUL!$A$7:$A$8</c:f>
              <c:numCache>
                <c:formatCode>General</c:formatCode>
                <c:ptCount val="2"/>
                <c:pt idx="0">
                  <c:v>2010</c:v>
                </c:pt>
                <c:pt idx="1">
                  <c:v>2017</c:v>
                </c:pt>
              </c:numCache>
            </c:numRef>
          </c:xVal>
          <c:yVal>
            <c:numRef>
              <c:f>RUL!$G$7:$G$8</c:f>
              <c:numCache>
                <c:formatCode>General</c:formatCode>
                <c:ptCount val="2"/>
                <c:pt idx="0">
                  <c:v>2.8</c:v>
                </c:pt>
                <c:pt idx="1">
                  <c:v>3.3</c:v>
                </c:pt>
              </c:numCache>
            </c:numRef>
          </c:yVal>
          <c:smooth val="1"/>
          <c:extLst xmlns:c16r2="http://schemas.microsoft.com/office/drawing/2015/06/chart">
            <c:ext xmlns:c16="http://schemas.microsoft.com/office/drawing/2014/chart" uri="{C3380CC4-5D6E-409C-BE32-E72D297353CC}">
              <c16:uniqueId val="{00000005-9540-4ECD-A363-61FA9A5AC0B0}"/>
            </c:ext>
          </c:extLst>
        </c:ser>
        <c:ser>
          <c:idx val="6"/>
          <c:order val="2"/>
          <c:tx>
            <c:v>expected trend plate 47</c:v>
          </c:tx>
          <c:spPr>
            <a:ln w="9525">
              <a:solidFill>
                <a:srgbClr val="C00000"/>
              </a:solidFill>
              <a:prstDash val="lgDash"/>
            </a:ln>
          </c:spPr>
          <c:marker>
            <c:symbol val="none"/>
          </c:marker>
          <c:xVal>
            <c:numRef>
              <c:f>RUL!$A$2:$A$12</c:f>
              <c:numCache>
                <c:formatCode>General</c:formatCode>
                <c:ptCount val="11"/>
                <c:pt idx="0">
                  <c:v>1962</c:v>
                </c:pt>
                <c:pt idx="1">
                  <c:v>1973</c:v>
                </c:pt>
                <c:pt idx="2">
                  <c:v>1983</c:v>
                </c:pt>
                <c:pt idx="3">
                  <c:v>1993</c:v>
                </c:pt>
                <c:pt idx="4">
                  <c:v>2003</c:v>
                </c:pt>
                <c:pt idx="5">
                  <c:v>2010</c:v>
                </c:pt>
                <c:pt idx="6">
                  <c:v>2017</c:v>
                </c:pt>
                <c:pt idx="7">
                  <c:v>2024</c:v>
                </c:pt>
                <c:pt idx="8">
                  <c:v>2031</c:v>
                </c:pt>
                <c:pt idx="9">
                  <c:v>2038</c:v>
                </c:pt>
                <c:pt idx="10">
                  <c:v>2045</c:v>
                </c:pt>
              </c:numCache>
            </c:numRef>
          </c:xVal>
          <c:yVal>
            <c:numRef>
              <c:f>RUL!$H$2:$H$12</c:f>
              <c:numCache>
                <c:formatCode>General</c:formatCode>
                <c:ptCount val="11"/>
                <c:pt idx="0">
                  <c:v>-0.55714285714285749</c:v>
                </c:pt>
                <c:pt idx="1">
                  <c:v>0.15714285714285681</c:v>
                </c:pt>
                <c:pt idx="2">
                  <c:v>0.87142857142857111</c:v>
                </c:pt>
                <c:pt idx="3">
                  <c:v>1.5857142857142854</c:v>
                </c:pt>
                <c:pt idx="4">
                  <c:v>2.2999999999999998</c:v>
                </c:pt>
                <c:pt idx="5">
                  <c:v>2.8</c:v>
                </c:pt>
                <c:pt idx="6">
                  <c:v>3.3</c:v>
                </c:pt>
                <c:pt idx="7">
                  <c:v>3.8</c:v>
                </c:pt>
                <c:pt idx="8">
                  <c:v>4.3</c:v>
                </c:pt>
                <c:pt idx="9">
                  <c:v>4.8</c:v>
                </c:pt>
                <c:pt idx="10">
                  <c:v>5.3</c:v>
                </c:pt>
              </c:numCache>
            </c:numRef>
          </c:yVal>
          <c:smooth val="1"/>
          <c:extLst xmlns:c16r2="http://schemas.microsoft.com/office/drawing/2015/06/chart">
            <c:ext xmlns:c16="http://schemas.microsoft.com/office/drawing/2014/chart" uri="{C3380CC4-5D6E-409C-BE32-E72D297353CC}">
              <c16:uniqueId val="{00000006-9540-4ECD-A363-61FA9A5AC0B0}"/>
            </c:ext>
          </c:extLst>
        </c:ser>
        <c:dLbls>
          <c:showLegendKey val="0"/>
          <c:showVal val="0"/>
          <c:showCatName val="0"/>
          <c:showSerName val="0"/>
          <c:showPercent val="0"/>
          <c:showBubbleSize val="0"/>
        </c:dLbls>
        <c:axId val="163840000"/>
        <c:axId val="163841920"/>
      </c:scatterChart>
      <c:valAx>
        <c:axId val="163840000"/>
        <c:scaling>
          <c:orientation val="minMax"/>
          <c:max val="2045"/>
          <c:min val="1965"/>
        </c:scaling>
        <c:delete val="0"/>
        <c:axPos val="b"/>
        <c:majorGridlines/>
        <c:minorGridlines>
          <c:spPr>
            <a:ln>
              <a:prstDash val="sysDash"/>
            </a:ln>
          </c:spPr>
        </c:minorGridlines>
        <c:title>
          <c:tx>
            <c:rich>
              <a:bodyPr/>
              <a:lstStyle/>
              <a:p>
                <a:pPr>
                  <a:defRPr sz="900"/>
                </a:pPr>
                <a:r>
                  <a:rPr lang="it-IT" sz="900" b="0"/>
                  <a:t>Year</a:t>
                </a:r>
              </a:p>
            </c:rich>
          </c:tx>
          <c:layout>
            <c:manualLayout>
              <c:xMode val="edge"/>
              <c:yMode val="edge"/>
              <c:x val="0.43539667325867781"/>
              <c:y val="0.92939466830852069"/>
            </c:manualLayout>
          </c:layout>
          <c:overlay val="0"/>
        </c:title>
        <c:numFmt formatCode="General" sourceLinked="1"/>
        <c:majorTickMark val="out"/>
        <c:minorTickMark val="out"/>
        <c:tickLblPos val="low"/>
        <c:txPr>
          <a:bodyPr/>
          <a:lstStyle/>
          <a:p>
            <a:pPr>
              <a:defRPr sz="800"/>
            </a:pPr>
            <a:endParaRPr lang="it-IT"/>
          </a:p>
        </c:txPr>
        <c:crossAx val="163841920"/>
        <c:crosses val="autoZero"/>
        <c:crossBetween val="midCat"/>
      </c:valAx>
      <c:valAx>
        <c:axId val="163841920"/>
        <c:scaling>
          <c:orientation val="minMax"/>
          <c:max val="8"/>
          <c:min val="0"/>
        </c:scaling>
        <c:delete val="0"/>
        <c:axPos val="l"/>
        <c:majorGridlines/>
        <c:minorGridlines/>
        <c:title>
          <c:tx>
            <c:rich>
              <a:bodyPr rot="-5400000" vert="horz"/>
              <a:lstStyle/>
              <a:p>
                <a:pPr>
                  <a:defRPr sz="900" b="0"/>
                </a:pPr>
                <a:r>
                  <a:rPr lang="it-IT" sz="900" b="0"/>
                  <a:t>corrosion</a:t>
                </a:r>
                <a:r>
                  <a:rPr lang="it-IT" sz="900" b="0" baseline="0"/>
                  <a:t> [mm]</a:t>
                </a:r>
                <a:endParaRPr lang="it-IT" sz="900" b="0"/>
              </a:p>
            </c:rich>
          </c:tx>
          <c:layout>
            <c:manualLayout>
              <c:xMode val="edge"/>
              <c:yMode val="edge"/>
              <c:x val="9.9188325420088465E-3"/>
              <c:y val="0.35951258020767968"/>
            </c:manualLayout>
          </c:layout>
          <c:overlay val="0"/>
        </c:title>
        <c:numFmt formatCode="General" sourceLinked="1"/>
        <c:majorTickMark val="out"/>
        <c:minorTickMark val="out"/>
        <c:tickLblPos val="nextTo"/>
        <c:txPr>
          <a:bodyPr/>
          <a:lstStyle/>
          <a:p>
            <a:pPr>
              <a:defRPr sz="800"/>
            </a:pPr>
            <a:endParaRPr lang="it-IT"/>
          </a:p>
        </c:txPr>
        <c:crossAx val="163840000"/>
        <c:crosses val="autoZero"/>
        <c:crossBetween val="midCat"/>
        <c:majorUnit val="1"/>
      </c:valAx>
    </c:plotArea>
    <c:legend>
      <c:legendPos val="r"/>
      <c:legendEntry>
        <c:idx val="1"/>
        <c:delete val="1"/>
      </c:legendEntry>
      <c:layout>
        <c:manualLayout>
          <c:xMode val="edge"/>
          <c:yMode val="edge"/>
          <c:x val="0.13695622903075272"/>
          <c:y val="6.3359248622334052E-2"/>
          <c:w val="0.54797596236948676"/>
          <c:h val="0.16407093115303281"/>
        </c:manualLayout>
      </c:layout>
      <c:overlay val="0"/>
      <c:spPr>
        <a:solidFill>
          <a:sysClr val="window" lastClr="FFFFFF"/>
        </a:solidFill>
        <a:ln>
          <a:solidFill>
            <a:schemeClr val="tx1">
              <a:lumMod val="50000"/>
              <a:lumOff val="50000"/>
            </a:schemeClr>
          </a:solidFill>
        </a:ln>
      </c:spPr>
      <c:txPr>
        <a:bodyPr/>
        <a:lstStyle/>
        <a:p>
          <a:pPr>
            <a:defRPr sz="800"/>
          </a:pPr>
          <a:endParaRPr lang="it-IT"/>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0.48317</cdr:x>
      <cdr:y>0.481</cdr:y>
    </cdr:from>
    <cdr:to>
      <cdr:x>0.4836</cdr:x>
      <cdr:y>0.89714</cdr:y>
    </cdr:to>
    <cdr:cxnSp macro="">
      <cdr:nvCxnSpPr>
        <cdr:cNvPr id="20" name="Connettore 2 19"/>
        <cdr:cNvCxnSpPr/>
      </cdr:nvCxnSpPr>
      <cdr:spPr>
        <a:xfrm xmlns:a="http://schemas.openxmlformats.org/drawingml/2006/main" flipH="1" flipV="1">
          <a:off x="1422078" y="1264496"/>
          <a:ext cx="1266" cy="1093990"/>
        </a:xfrm>
        <a:prstGeom xmlns:a="http://schemas.openxmlformats.org/drawingml/2006/main" prst="straightConnector1">
          <a:avLst/>
        </a:prstGeom>
        <a:ln xmlns:a="http://schemas.openxmlformats.org/drawingml/2006/main">
          <a:solidFill>
            <a:sysClr val="windowText" lastClr="000000"/>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0.47986</cdr:x>
      <cdr:y>0.4835</cdr:y>
    </cdr:from>
    <cdr:to>
      <cdr:x>0.56634</cdr:x>
      <cdr:y>0.4835</cdr:y>
    </cdr:to>
    <cdr:cxnSp macro="">
      <cdr:nvCxnSpPr>
        <cdr:cNvPr id="22" name="Connettore diritto 21"/>
        <cdr:cNvCxnSpPr/>
      </cdr:nvCxnSpPr>
      <cdr:spPr>
        <a:xfrm xmlns:a="http://schemas.openxmlformats.org/drawingml/2006/main">
          <a:off x="1412336" y="1271068"/>
          <a:ext cx="254530" cy="0"/>
        </a:xfrm>
        <a:prstGeom xmlns:a="http://schemas.openxmlformats.org/drawingml/2006/main" prst="line">
          <a:avLst/>
        </a:prstGeom>
        <a:ln xmlns:a="http://schemas.openxmlformats.org/drawingml/2006/main">
          <a:solidFill>
            <a:sysClr val="windowText" lastClr="000000"/>
          </a:solidFill>
          <a:headEnd type="diamond"/>
          <a:tailEnd type="diamon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0.56634</cdr:x>
      <cdr:y>0.4835</cdr:y>
    </cdr:from>
    <cdr:to>
      <cdr:x>0.56634</cdr:x>
      <cdr:y>0.89224</cdr:y>
    </cdr:to>
    <cdr:cxnSp macro="">
      <cdr:nvCxnSpPr>
        <cdr:cNvPr id="24" name="Connettore 2 23"/>
        <cdr:cNvCxnSpPr/>
      </cdr:nvCxnSpPr>
      <cdr:spPr>
        <a:xfrm xmlns:a="http://schemas.openxmlformats.org/drawingml/2006/main" flipH="1">
          <a:off x="1666866" y="1271068"/>
          <a:ext cx="0" cy="1074537"/>
        </a:xfrm>
        <a:prstGeom xmlns:a="http://schemas.openxmlformats.org/drawingml/2006/main" prst="straightConnector1">
          <a:avLst/>
        </a:prstGeom>
        <a:ln xmlns:a="http://schemas.openxmlformats.org/drawingml/2006/main">
          <a:solidFill>
            <a:sysClr val="windowText" lastClr="000000"/>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0.8099</cdr:x>
      <cdr:y>0.26758</cdr:y>
    </cdr:from>
    <cdr:to>
      <cdr:x>0.92982</cdr:x>
      <cdr:y>0.32869</cdr:y>
    </cdr:to>
    <cdr:sp macro="" textlink="">
      <cdr:nvSpPr>
        <cdr:cNvPr id="8" name="Freccia curva 7"/>
        <cdr:cNvSpPr/>
      </cdr:nvSpPr>
      <cdr:spPr>
        <a:xfrm xmlns:a="http://schemas.openxmlformats.org/drawingml/2006/main" rot="5400000">
          <a:off x="2278140" y="617073"/>
          <a:ext cx="159782" cy="325066"/>
        </a:xfrm>
        <a:prstGeom xmlns:a="http://schemas.openxmlformats.org/drawingml/2006/main" prst="bentArrow">
          <a:avLst/>
        </a:prstGeom>
        <a:solidFill xmlns:a="http://schemas.openxmlformats.org/drawingml/2006/main">
          <a:schemeClr val="tx1"/>
        </a:solidFill>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endParaRPr lang="it-IT" sz="1100">
            <a:solidFill>
              <a:schemeClr val="tx1"/>
            </a:solidFill>
          </a:endParaRPr>
        </a:p>
      </cdr:txBody>
    </cdr:sp>
  </cdr:relSizeAnchor>
  <cdr:relSizeAnchor xmlns:cdr="http://schemas.openxmlformats.org/drawingml/2006/chartDrawing">
    <cdr:from>
      <cdr:x>0.56219</cdr:x>
      <cdr:y>0.23406</cdr:y>
    </cdr:from>
    <cdr:to>
      <cdr:x>0.86174</cdr:x>
      <cdr:y>0.33241</cdr:y>
    </cdr:to>
    <cdr:sp macro="" textlink="">
      <cdr:nvSpPr>
        <cdr:cNvPr id="9" name="CasellaDiTesto 21"/>
        <cdr:cNvSpPr txBox="1"/>
      </cdr:nvSpPr>
      <cdr:spPr>
        <a:xfrm xmlns:a="http://schemas.openxmlformats.org/drawingml/2006/main">
          <a:off x="1523999" y="541747"/>
          <a:ext cx="812031" cy="22763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it-IT" sz="800" b="0"/>
            <a:t>End of life</a:t>
          </a:r>
          <a:r>
            <a:rPr lang="it-IT" sz="800" b="0" baseline="0"/>
            <a:t> </a:t>
          </a:r>
          <a:endParaRPr lang="it-IT" sz="800" b="0"/>
        </a:p>
      </cdr:txBody>
    </cdr:sp>
  </cdr:relSizeAnchor>
  <cdr:relSizeAnchor xmlns:cdr="http://schemas.openxmlformats.org/drawingml/2006/chartDrawing">
    <cdr:from>
      <cdr:x>0.64823</cdr:x>
      <cdr:y>0.94567</cdr:y>
    </cdr:from>
    <cdr:to>
      <cdr:x>0.92395</cdr:x>
      <cdr:y>0.94567</cdr:y>
    </cdr:to>
    <cdr:cxnSp macro="">
      <cdr:nvCxnSpPr>
        <cdr:cNvPr id="11" name="Connettore 2 10"/>
        <cdr:cNvCxnSpPr/>
      </cdr:nvCxnSpPr>
      <cdr:spPr>
        <a:xfrm xmlns:a="http://schemas.openxmlformats.org/drawingml/2006/main" flipH="1">
          <a:off x="1757239" y="2472856"/>
          <a:ext cx="747421" cy="0"/>
        </a:xfrm>
        <a:prstGeom xmlns:a="http://schemas.openxmlformats.org/drawingml/2006/main" prst="straightConnector1">
          <a:avLst/>
        </a:prstGeom>
        <a:ln xmlns:a="http://schemas.openxmlformats.org/drawingml/2006/main">
          <a:solidFill>
            <a:schemeClr val="tx1"/>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0.65817</cdr:x>
      <cdr:y>0.9331</cdr:y>
    </cdr:from>
    <cdr:to>
      <cdr:x>0.92565</cdr:x>
      <cdr:y>0.99088</cdr:y>
    </cdr:to>
    <cdr:sp macro="" textlink="">
      <cdr:nvSpPr>
        <cdr:cNvPr id="27" name="CasellaDiTesto 6"/>
        <cdr:cNvSpPr txBox="1"/>
      </cdr:nvSpPr>
      <cdr:spPr>
        <a:xfrm xmlns:a="http://schemas.openxmlformats.org/drawingml/2006/main">
          <a:off x="1784186" y="2440002"/>
          <a:ext cx="725088" cy="15107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it-IT" sz="800"/>
            <a:t>RUL</a:t>
          </a:r>
        </a:p>
      </cdr:txBody>
    </cdr:sp>
  </cdr:relSizeAnchor>
  <cdr:relSizeAnchor xmlns:cdr="http://schemas.openxmlformats.org/drawingml/2006/chartDrawing">
    <cdr:from>
      <cdr:x>0.91629</cdr:x>
      <cdr:y>0.23323</cdr:y>
    </cdr:from>
    <cdr:to>
      <cdr:x>0.91629</cdr:x>
      <cdr:y>0.99088</cdr:y>
    </cdr:to>
    <cdr:cxnSp macro="">
      <cdr:nvCxnSpPr>
        <cdr:cNvPr id="28" name="Connettore diritto 27"/>
        <cdr:cNvCxnSpPr/>
      </cdr:nvCxnSpPr>
      <cdr:spPr>
        <a:xfrm xmlns:a="http://schemas.openxmlformats.org/drawingml/2006/main">
          <a:off x="2483901" y="609877"/>
          <a:ext cx="0" cy="1981200"/>
        </a:xfrm>
        <a:prstGeom xmlns:a="http://schemas.openxmlformats.org/drawingml/2006/main" prst="line">
          <a:avLst/>
        </a:prstGeom>
        <a:ln xmlns:a="http://schemas.openxmlformats.org/drawingml/2006/main">
          <a:solidFill>
            <a:schemeClr val="tx1"/>
          </a:solidFill>
          <a:prstDash val="lg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0.6488</cdr:x>
      <cdr:y>0.48896</cdr:y>
    </cdr:from>
    <cdr:to>
      <cdr:x>0.6488</cdr:x>
      <cdr:y>0.9842</cdr:y>
    </cdr:to>
    <cdr:cxnSp macro="">
      <cdr:nvCxnSpPr>
        <cdr:cNvPr id="29" name="Connettore diritto 28"/>
        <cdr:cNvCxnSpPr/>
      </cdr:nvCxnSpPr>
      <cdr:spPr>
        <a:xfrm xmlns:a="http://schemas.openxmlformats.org/drawingml/2006/main" flipH="1">
          <a:off x="1758767" y="1278590"/>
          <a:ext cx="0" cy="1295017"/>
        </a:xfrm>
        <a:prstGeom xmlns:a="http://schemas.openxmlformats.org/drawingml/2006/main" prst="line">
          <a:avLst/>
        </a:prstGeom>
        <a:ln xmlns:a="http://schemas.openxmlformats.org/drawingml/2006/main">
          <a:solidFill>
            <a:schemeClr val="tx1"/>
          </a:solidFill>
          <a:prstDash val="lg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0.53408</cdr:x>
      <cdr:y>0.13477</cdr:y>
    </cdr:from>
    <cdr:to>
      <cdr:x>0.67463</cdr:x>
      <cdr:y>0.22584</cdr:y>
    </cdr:to>
    <cdr:sp macro="" textlink="">
      <cdr:nvSpPr>
        <cdr:cNvPr id="2" name="Casella di testo 1"/>
        <cdr:cNvSpPr txBox="1"/>
      </cdr:nvSpPr>
      <cdr:spPr>
        <a:xfrm xmlns:a="http://schemas.openxmlformats.org/drawingml/2006/main">
          <a:off x="1447801" y="352424"/>
          <a:ext cx="381000" cy="23812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pPr algn="l"/>
          <a:r>
            <a:rPr lang="it-IT" sz="900"/>
            <a:t>94 %</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3" ma:contentTypeDescription="Creare un nuovo documento." ma:contentTypeScope="" ma:versionID="05a2ae36c3ebe30dd08a4a96e9f7922c">
  <xsd:schema xmlns:xsd="http://www.w3.org/2001/XMLSchema" xmlns:xs="http://www.w3.org/2001/XMLSchema" xmlns:p="http://schemas.microsoft.com/office/2006/metadata/properties" xmlns:ns3="cbf4709b-61c0-47b0-9eac-e8ebcc034ad4" xmlns:ns4="af762feb-2118-4029-a7e0-237917f89237" targetNamespace="http://schemas.microsoft.com/office/2006/metadata/properties" ma:root="true" ma:fieldsID="aa726e6a1201765fee3687dd31dbfd5c" ns3:_="" ns4:_="">
    <xsd:import namespace="cbf4709b-61c0-47b0-9eac-e8ebcc034ad4"/>
    <xsd:import namespace="af762feb-2118-4029-a7e0-237917f892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C029-348C-4F05-945C-8422ED586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4709b-61c0-47b0-9eac-e8ebcc034ad4"/>
    <ds:schemaRef ds:uri="af762feb-2118-4029-a7e0-237917f89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F3124-0F4A-4D0B-8581-114CCB57EB4E}">
  <ds:schemaRefs>
    <ds:schemaRef ds:uri="http://schemas.microsoft.com/sharepoint/v3/contenttype/forms"/>
  </ds:schemaRefs>
</ds:datastoreItem>
</file>

<file path=customXml/itemProps3.xml><?xml version="1.0" encoding="utf-8"?>
<ds:datastoreItem xmlns:ds="http://schemas.openxmlformats.org/officeDocument/2006/customXml" ds:itemID="{BC502948-9E35-40F1-9719-59E8C51A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4FBFD-D6AD-4A7D-8391-36D4B68B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3328</Words>
  <Characters>19336</Characters>
  <Application>Microsoft Office Word</Application>
  <DocSecurity>0</DocSecurity>
  <Lines>306</Lines>
  <Paragraphs>129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12</cp:revision>
  <cp:lastPrinted>2015-05-12T18:31:00Z</cp:lastPrinted>
  <dcterms:created xsi:type="dcterms:W3CDTF">2020-07-04T20:08:00Z</dcterms:created>
  <dcterms:modified xsi:type="dcterms:W3CDTF">2020-08-31T12:42:00Z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0x010100A419FA0100E36D4D906EDEC5D55162E9</vt:lpwstr>
  </property>
</Properties>
</file>