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EE2853" w14:paraId="52C324F8" w14:textId="77777777" w:rsidTr="00EE2853">
        <w:trPr>
          <w:trHeight w:val="852"/>
          <w:jc w:val="center"/>
        </w:trPr>
        <w:tc>
          <w:tcPr>
            <w:tcW w:w="6946" w:type="dxa"/>
            <w:vMerge w:val="restart"/>
            <w:tcBorders>
              <w:top w:val="nil"/>
              <w:left w:val="nil"/>
              <w:bottom w:val="nil"/>
              <w:right w:val="single" w:sz="4" w:space="0" w:color="auto"/>
            </w:tcBorders>
            <w:hideMark/>
          </w:tcPr>
          <w:p w14:paraId="7A57BF86" w14:textId="11CC92B2" w:rsidR="00EE2853" w:rsidRDefault="00EE2853" w:rsidP="00CE027C">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1371925E" wp14:editId="5BACDDF9">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135B7736" w14:textId="77777777" w:rsidR="00EE2853" w:rsidRDefault="00EE2853" w:rsidP="00CE027C">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36F90C17" w14:textId="77777777" w:rsidR="00EE2853" w:rsidRDefault="00EE2853" w:rsidP="00CE027C">
            <w:pPr>
              <w:jc w:val="right"/>
              <w:rPr>
                <w:rFonts w:cs="Arial"/>
                <w:sz w:val="14"/>
                <w:szCs w:val="14"/>
              </w:rPr>
            </w:pPr>
            <w:r>
              <w:rPr>
                <w:rFonts w:cs="Arial"/>
                <w:sz w:val="14"/>
                <w:szCs w:val="14"/>
              </w:rPr>
              <w:t>A publication of</w:t>
            </w:r>
          </w:p>
          <w:p w14:paraId="0B518E0C" w14:textId="544C7C2D" w:rsidR="00EE2853" w:rsidRDefault="00EE2853" w:rsidP="00CE027C">
            <w:pPr>
              <w:jc w:val="right"/>
            </w:pPr>
            <w:r>
              <w:rPr>
                <w:noProof/>
                <w:lang w:val="it-IT" w:eastAsia="it-IT"/>
              </w:rPr>
              <w:drawing>
                <wp:inline distT="0" distB="0" distL="0" distR="0" wp14:anchorId="0708DECB" wp14:editId="60205AE9">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EE2853" w14:paraId="0E251F4D" w14:textId="77777777" w:rsidTr="00EE2853">
        <w:trPr>
          <w:trHeight w:val="567"/>
          <w:jc w:val="center"/>
        </w:trPr>
        <w:tc>
          <w:tcPr>
            <w:tcW w:w="0" w:type="auto"/>
            <w:vMerge/>
            <w:tcBorders>
              <w:top w:val="nil"/>
              <w:left w:val="nil"/>
              <w:bottom w:val="nil"/>
              <w:right w:val="single" w:sz="4" w:space="0" w:color="auto"/>
            </w:tcBorders>
            <w:vAlign w:val="center"/>
            <w:hideMark/>
          </w:tcPr>
          <w:p w14:paraId="236E2A4B" w14:textId="77777777" w:rsidR="00EE2853" w:rsidRDefault="00EE2853" w:rsidP="00CE027C">
            <w:pPr>
              <w:tabs>
                <w:tab w:val="clear" w:pos="7100"/>
              </w:tabs>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54593DCF" w14:textId="77777777" w:rsidR="00EE2853" w:rsidRDefault="00EE2853" w:rsidP="00CE027C">
            <w:pPr>
              <w:jc w:val="right"/>
              <w:rPr>
                <w:rFonts w:cs="Arial"/>
                <w:sz w:val="14"/>
                <w:szCs w:val="14"/>
              </w:rPr>
            </w:pPr>
            <w:r>
              <w:rPr>
                <w:rFonts w:cs="Arial"/>
                <w:sz w:val="14"/>
                <w:szCs w:val="14"/>
              </w:rPr>
              <w:t>The Italian Association</w:t>
            </w:r>
          </w:p>
          <w:p w14:paraId="7EA521BC" w14:textId="77777777" w:rsidR="00EE2853" w:rsidRDefault="00EE2853" w:rsidP="00CE027C">
            <w:pPr>
              <w:jc w:val="right"/>
              <w:rPr>
                <w:rFonts w:cs="Arial"/>
                <w:sz w:val="14"/>
                <w:szCs w:val="14"/>
              </w:rPr>
            </w:pPr>
            <w:r>
              <w:rPr>
                <w:rFonts w:cs="Arial"/>
                <w:sz w:val="14"/>
                <w:szCs w:val="14"/>
              </w:rPr>
              <w:t>of Chemical Engineering</w:t>
            </w:r>
          </w:p>
          <w:p w14:paraId="200C2CF3" w14:textId="77777777" w:rsidR="00EE2853" w:rsidRDefault="00EE2853" w:rsidP="00CE027C">
            <w:pPr>
              <w:jc w:val="right"/>
              <w:rPr>
                <w:rFonts w:cs="Arial"/>
                <w:sz w:val="13"/>
                <w:szCs w:val="13"/>
              </w:rPr>
            </w:pPr>
            <w:r>
              <w:rPr>
                <w:rFonts w:cs="Arial"/>
                <w:sz w:val="13"/>
                <w:szCs w:val="13"/>
              </w:rPr>
              <w:t>Online at www.cetjournal.it</w:t>
            </w:r>
          </w:p>
        </w:tc>
      </w:tr>
      <w:tr w:rsidR="00EE2853" w14:paraId="5327B360" w14:textId="77777777" w:rsidTr="00EE2853">
        <w:trPr>
          <w:trHeight w:val="68"/>
          <w:jc w:val="center"/>
        </w:trPr>
        <w:tc>
          <w:tcPr>
            <w:tcW w:w="8789" w:type="dxa"/>
            <w:gridSpan w:val="2"/>
            <w:tcBorders>
              <w:top w:val="nil"/>
              <w:left w:val="nil"/>
              <w:bottom w:val="single" w:sz="4" w:space="0" w:color="auto"/>
              <w:right w:val="nil"/>
            </w:tcBorders>
            <w:hideMark/>
          </w:tcPr>
          <w:p w14:paraId="412E8937" w14:textId="77777777" w:rsidR="00EE2853" w:rsidRDefault="00EE2853" w:rsidP="00CE027C">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3152DE52" w14:textId="77777777" w:rsidR="00EE2853" w:rsidRDefault="00EE2853" w:rsidP="00CE027C">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F0E9C5B" w14:textId="77777777" w:rsidR="000A03B2" w:rsidRPr="00B57B36" w:rsidRDefault="000A03B2" w:rsidP="00CE027C">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0E91127F" w14:textId="77777777" w:rsidR="00E978D0" w:rsidRPr="00B57B36" w:rsidRDefault="00EE5DA2" w:rsidP="00CE027C">
      <w:pPr>
        <w:pStyle w:val="CETTitle"/>
      </w:pPr>
      <w:r w:rsidRPr="00EE5DA2">
        <w:lastRenderedPageBreak/>
        <w:t xml:space="preserve">A Machine Learning Based Approach to Predict </w:t>
      </w:r>
      <w:proofErr w:type="spellStart"/>
      <w:r w:rsidRPr="006F5554">
        <w:rPr>
          <w:i/>
        </w:rPr>
        <w:t>Ostreopsis</w:t>
      </w:r>
      <w:proofErr w:type="spellEnd"/>
      <w:r w:rsidRPr="00EE5DA2">
        <w:t xml:space="preserve"> </w:t>
      </w:r>
      <w:r w:rsidR="00E35C9A">
        <w:t xml:space="preserve">cf. </w:t>
      </w:r>
      <w:r w:rsidR="006F5554" w:rsidRPr="006F5554">
        <w:rPr>
          <w:i/>
        </w:rPr>
        <w:t>o</w:t>
      </w:r>
      <w:r w:rsidRPr="006F5554">
        <w:rPr>
          <w:i/>
        </w:rPr>
        <w:t>vata</w:t>
      </w:r>
      <w:r w:rsidRPr="00EE5DA2">
        <w:t xml:space="preserve"> Bloom Events from </w:t>
      </w:r>
      <w:proofErr w:type="spellStart"/>
      <w:r w:rsidRPr="00EE5DA2">
        <w:t>Meteo</w:t>
      </w:r>
      <w:proofErr w:type="spellEnd"/>
      <w:r w:rsidRPr="00EE5DA2">
        <w:t>-Marine Forecas</w:t>
      </w:r>
      <w:r>
        <w:t>ts</w:t>
      </w:r>
    </w:p>
    <w:p w14:paraId="6E7F57E4" w14:textId="77777777" w:rsidR="00E978D0" w:rsidRPr="00747B7C" w:rsidRDefault="00EE5DA2" w:rsidP="00CE027C">
      <w:pPr>
        <w:pStyle w:val="CETAuthors"/>
        <w:rPr>
          <w:lang w:val="it-IT"/>
        </w:rPr>
      </w:pPr>
      <w:r w:rsidRPr="00747B7C">
        <w:rPr>
          <w:lang w:val="it-IT"/>
        </w:rPr>
        <w:t>Ennio Ottaviani</w:t>
      </w:r>
      <w:r w:rsidRPr="00747B7C">
        <w:rPr>
          <w:vertAlign w:val="superscript"/>
          <w:lang w:val="it-IT"/>
        </w:rPr>
        <w:t>a</w:t>
      </w:r>
      <w:r w:rsidRPr="00747B7C">
        <w:rPr>
          <w:lang w:val="it-IT"/>
        </w:rPr>
        <w:t>, Stefania Magri</w:t>
      </w:r>
      <w:r w:rsidR="00320D75" w:rsidRPr="00747B7C">
        <w:rPr>
          <w:vertAlign w:val="superscript"/>
          <w:lang w:val="it-IT"/>
        </w:rPr>
        <w:t>b</w:t>
      </w:r>
      <w:r w:rsidR="000C5A97" w:rsidRPr="00747B7C">
        <w:rPr>
          <w:vertAlign w:val="superscript"/>
          <w:lang w:val="it-IT"/>
        </w:rPr>
        <w:t>c</w:t>
      </w:r>
      <w:r w:rsidRPr="00747B7C">
        <w:rPr>
          <w:vertAlign w:val="superscript"/>
          <w:lang w:val="it-IT"/>
        </w:rPr>
        <w:t>*</w:t>
      </w:r>
      <w:r w:rsidRPr="00747B7C">
        <w:rPr>
          <w:lang w:val="it-IT"/>
        </w:rPr>
        <w:t>,</w:t>
      </w:r>
      <w:r w:rsidR="007118D6" w:rsidRPr="00747B7C">
        <w:rPr>
          <w:lang w:val="it-IT"/>
        </w:rPr>
        <w:t xml:space="preserve"> Patrizia De Gaetano</w:t>
      </w:r>
      <w:r w:rsidR="007118D6" w:rsidRPr="00747B7C">
        <w:rPr>
          <w:vertAlign w:val="superscript"/>
          <w:lang w:val="it-IT"/>
        </w:rPr>
        <w:t>c</w:t>
      </w:r>
      <w:r w:rsidR="007118D6" w:rsidRPr="00747B7C">
        <w:rPr>
          <w:lang w:val="it-IT"/>
        </w:rPr>
        <w:t>, Cecilia Cuneo</w:t>
      </w:r>
      <w:r w:rsidR="007118D6" w:rsidRPr="00747B7C">
        <w:rPr>
          <w:vertAlign w:val="superscript"/>
          <w:lang w:val="it-IT"/>
        </w:rPr>
        <w:t>c</w:t>
      </w:r>
      <w:r w:rsidR="007118D6" w:rsidRPr="00747B7C">
        <w:rPr>
          <w:lang w:val="it-IT"/>
        </w:rPr>
        <w:t xml:space="preserve">, </w:t>
      </w:r>
      <w:r w:rsidRPr="00747B7C">
        <w:rPr>
          <w:lang w:val="it-IT"/>
        </w:rPr>
        <w:t>Mariachiara Chiantore</w:t>
      </w:r>
      <w:r w:rsidR="00320D75" w:rsidRPr="00747B7C">
        <w:rPr>
          <w:vertAlign w:val="superscript"/>
          <w:lang w:val="it-IT"/>
        </w:rPr>
        <w:t>d</w:t>
      </w:r>
      <w:r w:rsidRPr="00747B7C">
        <w:rPr>
          <w:lang w:val="it-IT"/>
        </w:rPr>
        <w:t>, Valentina Asnaghi</w:t>
      </w:r>
      <w:r w:rsidR="00320D75" w:rsidRPr="00747B7C">
        <w:rPr>
          <w:vertAlign w:val="superscript"/>
          <w:lang w:val="it-IT"/>
        </w:rPr>
        <w:t>d</w:t>
      </w:r>
      <w:r w:rsidRPr="00747B7C">
        <w:rPr>
          <w:lang w:val="it-IT"/>
        </w:rPr>
        <w:t>,</w:t>
      </w:r>
      <w:r w:rsidR="00320D75" w:rsidRPr="00747B7C">
        <w:rPr>
          <w:lang w:val="it-IT"/>
        </w:rPr>
        <w:t xml:space="preserve"> </w:t>
      </w:r>
      <w:r w:rsidRPr="00747B7C">
        <w:rPr>
          <w:szCs w:val="24"/>
          <w:lang w:val="it-IT"/>
        </w:rPr>
        <w:t>Andrea Pedroncini</w:t>
      </w:r>
      <w:r w:rsidR="00320D75" w:rsidRPr="00747B7C">
        <w:rPr>
          <w:szCs w:val="24"/>
          <w:vertAlign w:val="superscript"/>
          <w:lang w:val="it-IT"/>
        </w:rPr>
        <w:t>e</w:t>
      </w:r>
      <w:r w:rsidR="00600535" w:rsidRPr="00747B7C">
        <w:rPr>
          <w:lang w:val="it-IT"/>
        </w:rPr>
        <w:t xml:space="preserve"> </w:t>
      </w:r>
    </w:p>
    <w:p w14:paraId="265BCA27" w14:textId="77777777" w:rsidR="00EE5DA2" w:rsidRPr="00527845" w:rsidRDefault="00EE5DA2" w:rsidP="00CE027C">
      <w:pPr>
        <w:pStyle w:val="CETAddress"/>
        <w:spacing w:line="264" w:lineRule="auto"/>
        <w:rPr>
          <w:rFonts w:eastAsia="Arial"/>
          <w:lang w:val="it-IT"/>
        </w:rPr>
      </w:pPr>
      <w:r w:rsidRPr="00527845">
        <w:rPr>
          <w:rFonts w:eastAsia="Arial"/>
          <w:vertAlign w:val="superscript"/>
          <w:lang w:val="it-IT"/>
        </w:rPr>
        <w:t>a</w:t>
      </w:r>
      <w:r w:rsidRPr="00527845">
        <w:rPr>
          <w:rFonts w:eastAsia="Arial"/>
          <w:lang w:val="it-IT"/>
        </w:rPr>
        <w:t xml:space="preserve">OnAIR s.r.l., </w:t>
      </w:r>
      <w:r w:rsidR="00163890" w:rsidRPr="00527845">
        <w:rPr>
          <w:rFonts w:eastAsia="Arial"/>
          <w:lang w:val="it-IT"/>
        </w:rPr>
        <w:t>Via Carlo Barabino, 16129 Genova</w:t>
      </w:r>
      <w:r w:rsidRPr="00527845">
        <w:rPr>
          <w:rFonts w:eastAsia="Arial"/>
          <w:lang w:val="it-IT"/>
        </w:rPr>
        <w:t>, Italy</w:t>
      </w:r>
    </w:p>
    <w:p w14:paraId="2A670B9E" w14:textId="77777777" w:rsidR="00EE5DA2" w:rsidRPr="00527845" w:rsidRDefault="00527845" w:rsidP="00CE027C">
      <w:pPr>
        <w:pStyle w:val="CETAddress"/>
        <w:spacing w:line="264" w:lineRule="auto"/>
        <w:rPr>
          <w:lang w:val="it-IT"/>
        </w:rPr>
      </w:pPr>
      <w:r w:rsidRPr="009028D0">
        <w:rPr>
          <w:vertAlign w:val="superscript"/>
          <w:lang w:val="it-IT"/>
        </w:rPr>
        <w:t>b</w:t>
      </w:r>
      <w:r w:rsidRPr="009028D0">
        <w:rPr>
          <w:lang w:val="it-IT"/>
        </w:rPr>
        <w:t>DICCA - Civil, Chemical and Environmental Engineering Dept. – Genova University, via Opera Pia 15 - 16145 Genova, Italy</w:t>
      </w:r>
      <w:r w:rsidRPr="009028D0" w:rsidDel="00527845">
        <w:rPr>
          <w:rFonts w:eastAsia="Arial"/>
          <w:vertAlign w:val="superscript"/>
          <w:lang w:val="it-IT"/>
        </w:rPr>
        <w:t xml:space="preserve"> </w:t>
      </w:r>
      <w:r w:rsidR="00320D75" w:rsidRPr="00527845">
        <w:rPr>
          <w:rFonts w:eastAsia="Arial"/>
          <w:vertAlign w:val="superscript"/>
          <w:lang w:val="it-IT"/>
        </w:rPr>
        <w:t>c</w:t>
      </w:r>
      <w:r w:rsidR="00EE5DA2" w:rsidRPr="00527845">
        <w:rPr>
          <w:rFonts w:eastAsia="Arial"/>
          <w:lang w:val="it-IT"/>
        </w:rPr>
        <w:t>A</w:t>
      </w:r>
      <w:r>
        <w:rPr>
          <w:rFonts w:eastAsia="Arial"/>
          <w:lang w:val="it-IT"/>
        </w:rPr>
        <w:t>RPAL (A</w:t>
      </w:r>
      <w:r w:rsidR="00EE5DA2" w:rsidRPr="00527845">
        <w:rPr>
          <w:rFonts w:eastAsia="Arial"/>
          <w:lang w:val="it-IT"/>
        </w:rPr>
        <w:t xml:space="preserve">genzia Regionale per la Protezione dell’Ambiente Ligure), </w:t>
      </w:r>
      <w:r w:rsidR="007118D6" w:rsidRPr="00527845">
        <w:rPr>
          <w:rFonts w:eastAsia="Arial"/>
          <w:lang w:val="it-IT"/>
        </w:rPr>
        <w:t xml:space="preserve">Via Bombrini 8, 16149 Genova, </w:t>
      </w:r>
      <w:r w:rsidR="00EE5DA2" w:rsidRPr="00527845">
        <w:rPr>
          <w:rFonts w:eastAsia="Arial"/>
          <w:lang w:val="it-IT"/>
        </w:rPr>
        <w:t>Italy</w:t>
      </w:r>
    </w:p>
    <w:p w14:paraId="4E3570E2" w14:textId="77777777" w:rsidR="00EE5DA2" w:rsidRPr="00527845" w:rsidRDefault="00527845" w:rsidP="00CE027C">
      <w:pPr>
        <w:pStyle w:val="CETAddress"/>
        <w:spacing w:line="264" w:lineRule="auto"/>
      </w:pPr>
      <w:r w:rsidRPr="00527845">
        <w:rPr>
          <w:rFonts w:eastAsia="Arial"/>
          <w:vertAlign w:val="superscript"/>
        </w:rPr>
        <w:t>d</w:t>
      </w:r>
      <w:r>
        <w:rPr>
          <w:rFonts w:eastAsia="Arial"/>
        </w:rPr>
        <w:t>DISTAV</w:t>
      </w:r>
      <w:r w:rsidRPr="00527845">
        <w:rPr>
          <w:rFonts w:eastAsia="Arial"/>
        </w:rPr>
        <w:t xml:space="preserve"> </w:t>
      </w:r>
      <w:r w:rsidR="00EE5DA2" w:rsidRPr="00527845">
        <w:rPr>
          <w:rFonts w:eastAsia="Arial"/>
        </w:rPr>
        <w:t xml:space="preserve">Department of Earth, Environment and Life Sciences, </w:t>
      </w:r>
      <w:r w:rsidR="007118D6" w:rsidRPr="00527845">
        <w:rPr>
          <w:rFonts w:eastAsia="Arial"/>
        </w:rPr>
        <w:t xml:space="preserve">Viale Benedetto XV - 16132 </w:t>
      </w:r>
      <w:r w:rsidR="00EE5DA2" w:rsidRPr="00527845">
        <w:rPr>
          <w:rFonts w:eastAsia="Arial"/>
        </w:rPr>
        <w:t>Genova, Italy</w:t>
      </w:r>
    </w:p>
    <w:p w14:paraId="733868B0" w14:textId="77777777" w:rsidR="00EE5DA2" w:rsidRPr="009028D0" w:rsidRDefault="00320D75" w:rsidP="00CE027C">
      <w:pPr>
        <w:pStyle w:val="CETAddress"/>
        <w:spacing w:line="264" w:lineRule="auto"/>
        <w:rPr>
          <w:rFonts w:ascii="Calibri" w:eastAsia="Calibri" w:hAnsi="Calibri" w:cs="Calibri"/>
          <w:lang w:val="it-IT"/>
        </w:rPr>
      </w:pPr>
      <w:r w:rsidRPr="00527845">
        <w:rPr>
          <w:vertAlign w:val="superscript"/>
          <w:lang w:val="it-IT"/>
        </w:rPr>
        <w:t>e</w:t>
      </w:r>
      <w:r w:rsidR="00EE5DA2" w:rsidRPr="00527845">
        <w:rPr>
          <w:lang w:val="it-IT"/>
        </w:rPr>
        <w:t xml:space="preserve">DHI Italia – </w:t>
      </w:r>
      <w:r w:rsidR="00EE5DA2" w:rsidRPr="00527845">
        <w:rPr>
          <w:rFonts w:eastAsia="Arial"/>
          <w:lang w:val="it-IT"/>
        </w:rPr>
        <w:t>Via Bombrini</w:t>
      </w:r>
      <w:r w:rsidR="007118D6" w:rsidRPr="00527845">
        <w:rPr>
          <w:rFonts w:eastAsia="Arial"/>
          <w:lang w:val="it-IT"/>
        </w:rPr>
        <w:t xml:space="preserve"> 11</w:t>
      </w:r>
      <w:r w:rsidR="00EE5DA2" w:rsidRPr="00527845">
        <w:rPr>
          <w:rFonts w:eastAsia="Arial"/>
          <w:lang w:val="it-IT"/>
        </w:rPr>
        <w:t xml:space="preserve">, 16149 Genova, Italy </w:t>
      </w:r>
    </w:p>
    <w:p w14:paraId="561518EE" w14:textId="77777777" w:rsidR="00EE5DA2" w:rsidRPr="00527845" w:rsidRDefault="00EE5DA2" w:rsidP="00CE027C">
      <w:pPr>
        <w:pStyle w:val="CETemail"/>
        <w:spacing w:line="264" w:lineRule="auto"/>
      </w:pPr>
      <w:r w:rsidRPr="00527845">
        <w:rPr>
          <w:rFonts w:eastAsia="Arial"/>
        </w:rPr>
        <w:t>stefania.magri@arpal.liguria.it</w:t>
      </w:r>
    </w:p>
    <w:p w14:paraId="026A3902" w14:textId="77777777" w:rsidR="00EB156B" w:rsidRPr="00352323" w:rsidRDefault="00F17ED4" w:rsidP="00CE027C">
      <w:pPr>
        <w:pStyle w:val="CETBodytext"/>
      </w:pPr>
      <w:proofErr w:type="spellStart"/>
      <w:r w:rsidRPr="0058492B">
        <w:rPr>
          <w:i/>
        </w:rPr>
        <w:t>Ostreopsis</w:t>
      </w:r>
      <w:proofErr w:type="spellEnd"/>
      <w:r w:rsidRPr="0058492B">
        <w:rPr>
          <w:i/>
        </w:rPr>
        <w:t xml:space="preserve"> </w:t>
      </w:r>
      <w:r w:rsidR="00E35C9A" w:rsidRPr="00E35C9A">
        <w:t xml:space="preserve">cf. </w:t>
      </w:r>
      <w:r w:rsidRPr="0058492B">
        <w:rPr>
          <w:i/>
        </w:rPr>
        <w:t>ovata</w:t>
      </w:r>
      <w:r w:rsidRPr="00352323">
        <w:t>, a benthic toxic marine dinoflagellate, has been recorded along Italian coasts since the '90</w:t>
      </w:r>
      <w:r w:rsidR="0058492B">
        <w:t>,</w:t>
      </w:r>
      <w:r w:rsidRPr="00352323">
        <w:t xml:space="preserve"> but large bloom events have been reported only in recent years. In 2005, a monitoring </w:t>
      </w:r>
      <w:proofErr w:type="spellStart"/>
      <w:r w:rsidRPr="00352323">
        <w:t>programme</w:t>
      </w:r>
      <w:proofErr w:type="spellEnd"/>
      <w:r w:rsidRPr="00352323">
        <w:t xml:space="preserve"> started along the </w:t>
      </w:r>
      <w:proofErr w:type="spellStart"/>
      <w:r w:rsidRPr="00352323">
        <w:t>Ligurian</w:t>
      </w:r>
      <w:proofErr w:type="spellEnd"/>
      <w:r w:rsidRPr="00352323">
        <w:t xml:space="preserve"> coast (North-western Mediterranean), where time series of cell abundances have been collected for several sites, together with a range of related environmental variables. Data of cell abundances in 15 sites, together with environmental data provided by </w:t>
      </w:r>
      <w:proofErr w:type="spellStart"/>
      <w:r w:rsidRPr="00352323">
        <w:t>meteo</w:t>
      </w:r>
      <w:proofErr w:type="spellEnd"/>
      <w:r w:rsidRPr="00352323">
        <w:t xml:space="preserve">-marine forecasting models used by the Regional </w:t>
      </w:r>
      <w:r w:rsidR="00E35C9A">
        <w:t xml:space="preserve">Environmental </w:t>
      </w:r>
      <w:r w:rsidRPr="00352323">
        <w:t xml:space="preserve">Agency (ARPAL), have been used to implement a predictive modelling tool, able to forecast </w:t>
      </w:r>
      <w:proofErr w:type="spellStart"/>
      <w:r w:rsidRPr="0058492B">
        <w:rPr>
          <w:i/>
        </w:rPr>
        <w:t>Ostreopsis</w:t>
      </w:r>
      <w:proofErr w:type="spellEnd"/>
      <w:r w:rsidRPr="00352323">
        <w:t xml:space="preserve"> cells </w:t>
      </w:r>
      <w:r w:rsidR="00FA6BFE" w:rsidRPr="00352323">
        <w:t xml:space="preserve">concentration </w:t>
      </w:r>
      <w:r w:rsidRPr="00352323">
        <w:t>threshold exceedance</w:t>
      </w:r>
      <w:r w:rsidR="00FA6BFE" w:rsidRPr="00FA6BFE">
        <w:t xml:space="preserve"> </w:t>
      </w:r>
      <w:r w:rsidR="00FA6BFE" w:rsidRPr="00352323">
        <w:t xml:space="preserve">as a function of </w:t>
      </w:r>
      <w:proofErr w:type="spellStart"/>
      <w:r w:rsidR="00FA6BFE" w:rsidRPr="00352323">
        <w:t>meteo</w:t>
      </w:r>
      <w:proofErr w:type="spellEnd"/>
      <w:r w:rsidR="00FA6BFE" w:rsidRPr="00352323">
        <w:t>-marine forecasts</w:t>
      </w:r>
      <w:r w:rsidRPr="00352323">
        <w:t>. Starting from the experience of the predictive model implemented in 2015, the Quantile Regression Forest (QRF) has been applied</w:t>
      </w:r>
      <w:r w:rsidR="00FA6BFE">
        <w:t>:</w:t>
      </w:r>
      <w:r w:rsidRPr="00352323">
        <w:t xml:space="preserve"> </w:t>
      </w:r>
      <w:r w:rsidR="00FA6BFE">
        <w:t>t</w:t>
      </w:r>
      <w:r w:rsidRPr="00352323">
        <w:t>he model has been trained on past data (</w:t>
      </w:r>
      <w:r w:rsidR="00FA6BFE">
        <w:t xml:space="preserve">from 2015 </w:t>
      </w:r>
      <w:r w:rsidRPr="00352323">
        <w:t xml:space="preserve">until 2017) and tested with data taken during the </w:t>
      </w:r>
      <w:r w:rsidR="00E35C9A">
        <w:t xml:space="preserve">two </w:t>
      </w:r>
      <w:r w:rsidRPr="00352323">
        <w:t xml:space="preserve">last available years (2018 and 2019). The use of this extremely adaptable regression model to evaluate threshold exceedance has shown a good capacity to predict overcoming events at a given spatial location. </w:t>
      </w:r>
      <w:r w:rsidR="00FA6BFE" w:rsidRPr="00352323">
        <w:t>This tool can help the Regional Agency in the decision making process, providing an alert when/where a given alarm threshold is exceeded in order to trigger the emergency procedures.</w:t>
      </w:r>
      <w:r w:rsidR="00FA6BFE">
        <w:t xml:space="preserve"> </w:t>
      </w:r>
      <w:r w:rsidRPr="00352323">
        <w:t>This is a first step in defining a predictive sampling strategy able to better capture bloom events</w:t>
      </w:r>
      <w:r w:rsidR="00EB156B" w:rsidRPr="00352323">
        <w:t>.</w:t>
      </w:r>
      <w:r w:rsidR="00FA6BFE" w:rsidRPr="00FA6BFE">
        <w:t xml:space="preserve"> </w:t>
      </w:r>
    </w:p>
    <w:p w14:paraId="341B8B25" w14:textId="77777777" w:rsidR="00EB156B" w:rsidRPr="00F17ED4" w:rsidRDefault="00EB156B" w:rsidP="00CE027C">
      <w:pPr>
        <w:pStyle w:val="CETBodytext"/>
        <w:rPr>
          <w:lang w:val="en-GB"/>
        </w:rPr>
      </w:pPr>
      <w:r w:rsidRPr="00CE027C">
        <w:rPr>
          <w:bCs/>
          <w:lang w:val="en-GB"/>
        </w:rPr>
        <w:t>Keywords:</w:t>
      </w:r>
      <w:r w:rsidRPr="00F17ED4">
        <w:rPr>
          <w:lang w:val="en-GB"/>
        </w:rPr>
        <w:t xml:space="preserve"> </w:t>
      </w:r>
      <w:r w:rsidR="00D75CB6">
        <w:rPr>
          <w:lang w:val="en-GB"/>
        </w:rPr>
        <w:t>c</w:t>
      </w:r>
      <w:r w:rsidR="00D75CB6" w:rsidRPr="00F17ED4">
        <w:rPr>
          <w:lang w:val="en-GB"/>
        </w:rPr>
        <w:t>lassification</w:t>
      </w:r>
      <w:r w:rsidRPr="00F17ED4">
        <w:rPr>
          <w:lang w:val="en-GB"/>
        </w:rPr>
        <w:t xml:space="preserve">, regression, </w:t>
      </w:r>
      <w:r w:rsidR="000214AC">
        <w:rPr>
          <w:lang w:val="en-GB"/>
        </w:rPr>
        <w:t xml:space="preserve">machine learning, </w:t>
      </w:r>
      <w:r w:rsidRPr="00F17ED4">
        <w:rPr>
          <w:lang w:val="en-GB"/>
        </w:rPr>
        <w:t xml:space="preserve">environmental data, </w:t>
      </w:r>
      <w:proofErr w:type="spellStart"/>
      <w:r w:rsidRPr="00F17ED4">
        <w:rPr>
          <w:i/>
          <w:lang w:val="en-GB"/>
        </w:rPr>
        <w:t>Ostreopsis</w:t>
      </w:r>
      <w:proofErr w:type="spellEnd"/>
      <w:r w:rsidRPr="00F17ED4">
        <w:rPr>
          <w:i/>
          <w:lang w:val="en-GB"/>
        </w:rPr>
        <w:t xml:space="preserve"> ovata</w:t>
      </w:r>
    </w:p>
    <w:p w14:paraId="1FB5DF30" w14:textId="77777777" w:rsidR="00600535" w:rsidRPr="00F17ED4" w:rsidRDefault="00600535" w:rsidP="00CE027C">
      <w:pPr>
        <w:pStyle w:val="CETHeading1"/>
        <w:spacing w:line="264" w:lineRule="auto"/>
        <w:rPr>
          <w:lang w:val="en-GB"/>
        </w:rPr>
      </w:pPr>
      <w:r w:rsidRPr="00F17ED4">
        <w:rPr>
          <w:lang w:val="en-GB"/>
        </w:rPr>
        <w:t>Introduction</w:t>
      </w:r>
    </w:p>
    <w:p w14:paraId="1F3FF8A0" w14:textId="77777777" w:rsidR="00F17ED4" w:rsidRPr="00E019AC" w:rsidRDefault="00F17ED4" w:rsidP="00CE027C">
      <w:pPr>
        <w:pStyle w:val="CETBodytext"/>
        <w:rPr>
          <w:lang w:val="en-GB"/>
        </w:rPr>
      </w:pPr>
      <w:proofErr w:type="spellStart"/>
      <w:r w:rsidRPr="00F17ED4">
        <w:rPr>
          <w:i/>
          <w:iCs/>
        </w:rPr>
        <w:t>Ostreopsis</w:t>
      </w:r>
      <w:proofErr w:type="spellEnd"/>
      <w:r w:rsidRPr="00F17ED4">
        <w:t xml:space="preserve"> species are largely distributed from tropical to temperate marine areas worldwide and since the early part of the twenty-first century, </w:t>
      </w:r>
      <w:proofErr w:type="spellStart"/>
      <w:r w:rsidRPr="0058492B">
        <w:rPr>
          <w:i/>
        </w:rPr>
        <w:t>Ostreopsis</w:t>
      </w:r>
      <w:proofErr w:type="spellEnd"/>
      <w:r w:rsidRPr="00F17ED4">
        <w:t xml:space="preserve"> blooms regularly occur in the Mediterranean Sea during summer-autumn (Vila et al., 2001; </w:t>
      </w:r>
      <w:proofErr w:type="spellStart"/>
      <w:r w:rsidRPr="00F17ED4">
        <w:t>Turki</w:t>
      </w:r>
      <w:proofErr w:type="spellEnd"/>
      <w:r w:rsidRPr="00F17ED4">
        <w:t xml:space="preserve">, 2005; </w:t>
      </w:r>
      <w:proofErr w:type="spellStart"/>
      <w:r w:rsidRPr="00F17ED4">
        <w:t>Aligizaki</w:t>
      </w:r>
      <w:proofErr w:type="spellEnd"/>
      <w:r w:rsidRPr="00F17ED4">
        <w:t xml:space="preserve"> and </w:t>
      </w:r>
      <w:proofErr w:type="spellStart"/>
      <w:r w:rsidRPr="00F17ED4">
        <w:t>Nikolaidis</w:t>
      </w:r>
      <w:proofErr w:type="spellEnd"/>
      <w:r w:rsidRPr="00F17ED4">
        <w:t xml:space="preserve">, 2006; </w:t>
      </w:r>
      <w:proofErr w:type="spellStart"/>
      <w:r w:rsidRPr="00F17ED4">
        <w:t>Mangialajo</w:t>
      </w:r>
      <w:proofErr w:type="spellEnd"/>
      <w:r w:rsidRPr="00F17ED4">
        <w:t xml:space="preserve"> et al., 2008; </w:t>
      </w:r>
      <w:proofErr w:type="spellStart"/>
      <w:r w:rsidRPr="00F17ED4">
        <w:t>Totti</w:t>
      </w:r>
      <w:proofErr w:type="spellEnd"/>
      <w:r w:rsidRPr="00F17ED4">
        <w:t xml:space="preserve"> et al., 2010; </w:t>
      </w:r>
      <w:proofErr w:type="spellStart"/>
      <w:r w:rsidRPr="00F17ED4">
        <w:t>Illoul</w:t>
      </w:r>
      <w:proofErr w:type="spellEnd"/>
      <w:r w:rsidRPr="00F17ED4">
        <w:t xml:space="preserve"> et al., 2012; Ismael and Halim, 2012; </w:t>
      </w:r>
      <w:proofErr w:type="spellStart"/>
      <w:r w:rsidRPr="00F17ED4">
        <w:t>Pfannkuchen</w:t>
      </w:r>
      <w:proofErr w:type="spellEnd"/>
      <w:r w:rsidRPr="00F17ED4">
        <w:t xml:space="preserve"> et al., 2012). These phenomena seem to have recently increased, and the relationship with eutrophication and climate change has been hypothesized (</w:t>
      </w:r>
      <w:proofErr w:type="spellStart"/>
      <w:r w:rsidRPr="00E019AC">
        <w:rPr>
          <w:lang w:val="en-GB"/>
        </w:rPr>
        <w:t>Hallegraeff</w:t>
      </w:r>
      <w:proofErr w:type="spellEnd"/>
      <w:r w:rsidRPr="00E019AC">
        <w:rPr>
          <w:lang w:val="en-GB"/>
        </w:rPr>
        <w:t>, 2008; Wells et al, 2020</w:t>
      </w:r>
      <w:r w:rsidR="00887864" w:rsidRPr="00E019AC">
        <w:rPr>
          <w:lang w:val="en-GB"/>
        </w:rPr>
        <w:t xml:space="preserve">). </w:t>
      </w:r>
      <w:r w:rsidRPr="00E019AC">
        <w:rPr>
          <w:lang w:val="en-GB"/>
        </w:rPr>
        <w:t>Economic and social interests are affected by blooms, as they are responsible for respiratory and skin problems on humans (</w:t>
      </w:r>
      <w:proofErr w:type="spellStart"/>
      <w:r w:rsidRPr="00E019AC">
        <w:rPr>
          <w:lang w:val="en-GB"/>
        </w:rPr>
        <w:t>Tichadou</w:t>
      </w:r>
      <w:proofErr w:type="spellEnd"/>
      <w:r w:rsidRPr="00E019AC">
        <w:rPr>
          <w:lang w:val="en-GB"/>
        </w:rPr>
        <w:t xml:space="preserve"> et al., 2010; Del </w:t>
      </w:r>
      <w:proofErr w:type="spellStart"/>
      <w:r w:rsidRPr="00E019AC">
        <w:rPr>
          <w:lang w:val="en-GB"/>
        </w:rPr>
        <w:t>F</w:t>
      </w:r>
      <w:r w:rsidR="000C5A97">
        <w:rPr>
          <w:lang w:val="en-GB"/>
        </w:rPr>
        <w:t>avero</w:t>
      </w:r>
      <w:proofErr w:type="spellEnd"/>
      <w:r w:rsidR="000C5A97">
        <w:rPr>
          <w:lang w:val="en-GB"/>
        </w:rPr>
        <w:t xml:space="preserve"> et al., </w:t>
      </w:r>
      <w:r w:rsidRPr="00E019AC">
        <w:rPr>
          <w:lang w:val="en-GB"/>
        </w:rPr>
        <w:t>2012) and benthic marine organisms (</w:t>
      </w:r>
      <w:proofErr w:type="spellStart"/>
      <w:r w:rsidRPr="00E019AC">
        <w:rPr>
          <w:lang w:val="en-GB"/>
        </w:rPr>
        <w:t>Pagliara</w:t>
      </w:r>
      <w:proofErr w:type="spellEnd"/>
      <w:r w:rsidRPr="00E019AC">
        <w:rPr>
          <w:lang w:val="en-GB"/>
        </w:rPr>
        <w:t xml:space="preserve"> and </w:t>
      </w:r>
      <w:proofErr w:type="spellStart"/>
      <w:r w:rsidRPr="00E019AC">
        <w:rPr>
          <w:lang w:val="en-GB"/>
        </w:rPr>
        <w:t>Caroppo</w:t>
      </w:r>
      <w:proofErr w:type="spellEnd"/>
      <w:r w:rsidRPr="00E019AC">
        <w:rPr>
          <w:lang w:val="en-GB"/>
        </w:rPr>
        <w:t xml:space="preserve">, 2012; </w:t>
      </w:r>
      <w:proofErr w:type="spellStart"/>
      <w:r w:rsidRPr="00E019AC">
        <w:rPr>
          <w:lang w:val="en-GB"/>
        </w:rPr>
        <w:t>Gorbi</w:t>
      </w:r>
      <w:proofErr w:type="spellEnd"/>
      <w:r w:rsidRPr="00E019AC">
        <w:rPr>
          <w:lang w:val="en-GB"/>
        </w:rPr>
        <w:t xml:space="preserve"> et al., 2013; </w:t>
      </w:r>
      <w:proofErr w:type="spellStart"/>
      <w:r w:rsidRPr="00E019AC">
        <w:rPr>
          <w:lang w:val="en-GB"/>
        </w:rPr>
        <w:t>Carella</w:t>
      </w:r>
      <w:proofErr w:type="spellEnd"/>
      <w:r w:rsidRPr="00E019AC">
        <w:rPr>
          <w:lang w:val="en-GB"/>
        </w:rPr>
        <w:t xml:space="preserve"> et al., 2015).</w:t>
      </w:r>
    </w:p>
    <w:p w14:paraId="7431D0D6" w14:textId="77777777" w:rsidR="00F17ED4" w:rsidRPr="00F17ED4" w:rsidRDefault="00F17ED4" w:rsidP="00CE027C">
      <w:pPr>
        <w:pStyle w:val="CETBodytext"/>
        <w:rPr>
          <w:rFonts w:ascii="Times New Roman" w:hAnsi="Times New Roman"/>
          <w:sz w:val="24"/>
          <w:szCs w:val="24"/>
          <w:lang w:val="en-GB" w:eastAsia="it-IT"/>
        </w:rPr>
      </w:pPr>
      <w:proofErr w:type="spellStart"/>
      <w:r w:rsidRPr="00352323">
        <w:rPr>
          <w:i/>
          <w:lang w:val="en-GB"/>
        </w:rPr>
        <w:t>Ostreopsis</w:t>
      </w:r>
      <w:proofErr w:type="spellEnd"/>
      <w:r w:rsidRPr="00E019AC">
        <w:rPr>
          <w:lang w:val="en-GB"/>
        </w:rPr>
        <w:t xml:space="preserve"> </w:t>
      </w:r>
      <w:r w:rsidR="00AC2047">
        <w:rPr>
          <w:lang w:val="en-GB"/>
        </w:rPr>
        <w:t xml:space="preserve">species </w:t>
      </w:r>
      <w:r w:rsidRPr="00E019AC">
        <w:rPr>
          <w:lang w:val="en-GB"/>
        </w:rPr>
        <w:t xml:space="preserve">have been, in the last decades, implicated in outbreaks causing health issues in countries along the northern Mediterranean coasts, particularly Spain, Italy and Greece. </w:t>
      </w:r>
      <w:r w:rsidRPr="00F17ED4">
        <w:rPr>
          <w:rFonts w:cs="Arial"/>
          <w:color w:val="000000"/>
          <w:szCs w:val="18"/>
          <w:lang w:val="en-GB" w:eastAsia="it-IT"/>
        </w:rPr>
        <w:t xml:space="preserve">In 2007, the Italian Ministry of Health promoted the introduction of management actions related to the risk associated to </w:t>
      </w:r>
      <w:r w:rsidRPr="00E35C9A">
        <w:rPr>
          <w:rFonts w:cs="Arial"/>
          <w:i/>
          <w:color w:val="000000"/>
          <w:szCs w:val="18"/>
          <w:lang w:val="en-GB" w:eastAsia="it-IT"/>
        </w:rPr>
        <w:t>O.</w:t>
      </w:r>
      <w:r w:rsidRPr="00F17ED4">
        <w:rPr>
          <w:rFonts w:cs="Arial"/>
          <w:color w:val="000000"/>
          <w:szCs w:val="18"/>
          <w:lang w:val="en-GB" w:eastAsia="it-IT"/>
        </w:rPr>
        <w:t xml:space="preserve"> cf. </w:t>
      </w:r>
      <w:r w:rsidRPr="00F17ED4">
        <w:rPr>
          <w:rFonts w:cs="Arial"/>
          <w:i/>
          <w:iCs/>
          <w:color w:val="000000"/>
          <w:szCs w:val="18"/>
          <w:lang w:val="en-GB" w:eastAsia="it-IT"/>
        </w:rPr>
        <w:t>ovata</w:t>
      </w:r>
      <w:r w:rsidRPr="00F17ED4">
        <w:rPr>
          <w:rFonts w:cs="Arial"/>
          <w:color w:val="000000"/>
          <w:szCs w:val="18"/>
          <w:lang w:val="en-GB" w:eastAsia="it-IT"/>
        </w:rPr>
        <w:t xml:space="preserve"> blooms within the bathing water regulation, integrating surveys of </w:t>
      </w:r>
      <w:proofErr w:type="spellStart"/>
      <w:r w:rsidRPr="00F17ED4">
        <w:rPr>
          <w:rFonts w:cs="Arial"/>
          <w:i/>
          <w:iCs/>
          <w:color w:val="000000"/>
          <w:szCs w:val="18"/>
          <w:lang w:val="en-GB" w:eastAsia="it-IT"/>
        </w:rPr>
        <w:t>Ostreopsis</w:t>
      </w:r>
      <w:proofErr w:type="spellEnd"/>
      <w:r w:rsidRPr="00F17ED4">
        <w:rPr>
          <w:rFonts w:cs="Arial"/>
          <w:i/>
          <w:iCs/>
          <w:color w:val="000000"/>
          <w:szCs w:val="18"/>
          <w:lang w:val="en-GB" w:eastAsia="it-IT"/>
        </w:rPr>
        <w:t xml:space="preserve"> </w:t>
      </w:r>
      <w:r w:rsidRPr="00F17ED4">
        <w:rPr>
          <w:rFonts w:cs="Arial"/>
          <w:color w:val="000000"/>
          <w:szCs w:val="18"/>
          <w:lang w:val="en-GB" w:eastAsia="it-IT"/>
        </w:rPr>
        <w:t>presence, and defining a three-phase monitoring plan: a routine phase, an alert phase and an emergency phase, identified by thresholds of cells concentrations in the water of, respectively, 10,0000 cells/l (Alert) and 30,000 cells/l (Warning), followed by adequate communication to the public (</w:t>
      </w:r>
      <w:proofErr w:type="spellStart"/>
      <w:r w:rsidRPr="00F17ED4">
        <w:rPr>
          <w:rFonts w:cs="Arial"/>
          <w:color w:val="000000"/>
          <w:szCs w:val="18"/>
          <w:lang w:val="en-GB" w:eastAsia="it-IT"/>
        </w:rPr>
        <w:t>Funari</w:t>
      </w:r>
      <w:proofErr w:type="spellEnd"/>
      <w:r w:rsidRPr="00F17ED4">
        <w:rPr>
          <w:rFonts w:cs="Arial"/>
          <w:color w:val="000000"/>
          <w:szCs w:val="18"/>
          <w:lang w:val="en-GB" w:eastAsia="it-IT"/>
        </w:rPr>
        <w:t>, 2014). </w:t>
      </w:r>
      <w:r w:rsidR="00CC68DC" w:rsidRPr="009028D0">
        <w:rPr>
          <w:rFonts w:cs="Arial"/>
          <w:color w:val="000000"/>
          <w:szCs w:val="18"/>
          <w:lang w:eastAsia="it-IT"/>
        </w:rPr>
        <w:t xml:space="preserve">In this context, </w:t>
      </w:r>
      <w:r w:rsidR="007A4EC2" w:rsidRPr="009028D0">
        <w:rPr>
          <w:rFonts w:cs="Arial"/>
          <w:color w:val="000000"/>
          <w:szCs w:val="18"/>
          <w:lang w:val="en-GB" w:eastAsia="it-IT"/>
        </w:rPr>
        <w:t xml:space="preserve">applying cross-industry learning from </w:t>
      </w:r>
      <w:r w:rsidR="00E40F55" w:rsidRPr="009028D0">
        <w:rPr>
          <w:rFonts w:cs="Arial"/>
          <w:color w:val="000000"/>
          <w:szCs w:val="18"/>
          <w:lang w:val="en-GB" w:eastAsia="it-IT"/>
        </w:rPr>
        <w:t xml:space="preserve">the </w:t>
      </w:r>
      <w:r w:rsidR="007A4EC2" w:rsidRPr="009028D0">
        <w:rPr>
          <w:rFonts w:cs="Arial"/>
          <w:color w:val="000000"/>
          <w:szCs w:val="18"/>
          <w:lang w:val="en-GB" w:eastAsia="it-IT"/>
        </w:rPr>
        <w:t>high hazard process sector,</w:t>
      </w:r>
      <w:r w:rsidR="00CC68DC" w:rsidRPr="009028D0">
        <w:rPr>
          <w:rFonts w:cs="Arial"/>
          <w:color w:val="000000"/>
          <w:szCs w:val="18"/>
          <w:lang w:eastAsia="it-IT"/>
        </w:rPr>
        <w:t xml:space="preserve"> it seems advisable to perform a preventive environmental risk assessment</w:t>
      </w:r>
      <w:r w:rsidR="007A4EC2" w:rsidRPr="009028D0">
        <w:rPr>
          <w:rFonts w:cs="Arial"/>
          <w:color w:val="000000"/>
          <w:szCs w:val="18"/>
          <w:lang w:val="en-GB" w:eastAsia="it-IT"/>
        </w:rPr>
        <w:t>,</w:t>
      </w:r>
      <w:r w:rsidR="00CC68DC" w:rsidRPr="009028D0">
        <w:rPr>
          <w:rFonts w:cs="Arial"/>
          <w:color w:val="000000"/>
          <w:szCs w:val="18"/>
          <w:lang w:eastAsia="it-IT"/>
        </w:rPr>
        <w:t xml:space="preserve"> implementing suitable prediction criteria and performance indicators, addressing not only sea use and </w:t>
      </w:r>
      <w:r w:rsidR="00CC68DC" w:rsidRPr="009028D0">
        <w:rPr>
          <w:rFonts w:cs="Arial"/>
          <w:color w:val="000000"/>
          <w:szCs w:val="18"/>
          <w:lang w:eastAsia="it-IT"/>
        </w:rPr>
        <w:lastRenderedPageBreak/>
        <w:t>emergency planning, but also structural interventions for the long-term prevention (Fabiano et al., 2017).</w:t>
      </w:r>
      <w:r w:rsidR="00CC68DC">
        <w:rPr>
          <w:rFonts w:cs="Arial"/>
          <w:color w:val="000000"/>
          <w:szCs w:val="18"/>
          <w:lang w:val="en-GB" w:eastAsia="it-IT"/>
        </w:rPr>
        <w:t xml:space="preserve"> </w:t>
      </w:r>
      <w:r w:rsidR="00AC2047">
        <w:rPr>
          <w:rFonts w:cs="Arial"/>
          <w:color w:val="000000"/>
          <w:szCs w:val="18"/>
          <w:lang w:val="en-GB" w:eastAsia="it-IT"/>
        </w:rPr>
        <w:t>Several</w:t>
      </w:r>
      <w:r w:rsidR="00AC2047" w:rsidRPr="00F17ED4">
        <w:rPr>
          <w:rFonts w:cs="Arial"/>
          <w:color w:val="000000"/>
          <w:szCs w:val="18"/>
          <w:lang w:val="en-GB" w:eastAsia="it-IT"/>
        </w:rPr>
        <w:t xml:space="preserve"> </w:t>
      </w:r>
      <w:r w:rsidRPr="00F17ED4">
        <w:rPr>
          <w:rFonts w:cs="Arial"/>
          <w:color w:val="000000"/>
          <w:szCs w:val="18"/>
          <w:lang w:val="en-GB" w:eastAsia="it-IT"/>
        </w:rPr>
        <w:t xml:space="preserve">studies have highlighted the influence of environmental factors on bloom dynamics. Temperature has been identified as an important </w:t>
      </w:r>
      <w:r w:rsidR="00AC2047">
        <w:rPr>
          <w:rFonts w:cs="Arial"/>
          <w:color w:val="000000"/>
          <w:szCs w:val="18"/>
          <w:lang w:val="en-GB" w:eastAsia="it-IT"/>
        </w:rPr>
        <w:t xml:space="preserve">trigger </w:t>
      </w:r>
      <w:r w:rsidRPr="00F17ED4">
        <w:rPr>
          <w:rFonts w:cs="Arial"/>
          <w:color w:val="000000"/>
          <w:szCs w:val="18"/>
          <w:lang w:val="en-GB" w:eastAsia="it-IT"/>
        </w:rPr>
        <w:t>affecting its distribution, though its role is not the same in all coastal areas around the world (</w:t>
      </w:r>
      <w:proofErr w:type="spellStart"/>
      <w:r w:rsidRPr="00F17ED4">
        <w:rPr>
          <w:rFonts w:cs="Arial"/>
          <w:color w:val="000000"/>
          <w:szCs w:val="18"/>
          <w:lang w:val="en-GB" w:eastAsia="it-IT"/>
        </w:rPr>
        <w:t>Accoroni</w:t>
      </w:r>
      <w:proofErr w:type="spellEnd"/>
      <w:r w:rsidRPr="00F17ED4">
        <w:rPr>
          <w:rFonts w:cs="Arial"/>
          <w:color w:val="000000"/>
          <w:szCs w:val="18"/>
          <w:lang w:val="en-GB" w:eastAsia="it-IT"/>
        </w:rPr>
        <w:t xml:space="preserve">, 2016). Salinity turned out to be positively correlated with </w:t>
      </w:r>
      <w:r w:rsidRPr="00F17ED4">
        <w:rPr>
          <w:rFonts w:cs="Arial"/>
          <w:i/>
          <w:iCs/>
          <w:color w:val="000000"/>
          <w:szCs w:val="18"/>
          <w:lang w:val="en-GB" w:eastAsia="it-IT"/>
        </w:rPr>
        <w:t>O.</w:t>
      </w:r>
      <w:r w:rsidRPr="00F17ED4">
        <w:rPr>
          <w:rFonts w:cs="Arial"/>
          <w:color w:val="000000"/>
          <w:szCs w:val="18"/>
          <w:lang w:val="en-GB" w:eastAsia="it-IT"/>
        </w:rPr>
        <w:t xml:space="preserve"> cf. </w:t>
      </w:r>
      <w:r w:rsidRPr="00F17ED4">
        <w:rPr>
          <w:rFonts w:cs="Arial"/>
          <w:i/>
          <w:iCs/>
          <w:color w:val="000000"/>
          <w:szCs w:val="18"/>
          <w:lang w:val="en-GB" w:eastAsia="it-IT"/>
        </w:rPr>
        <w:t>ovata</w:t>
      </w:r>
      <w:r w:rsidRPr="00F17ED4">
        <w:rPr>
          <w:rFonts w:cs="Arial"/>
          <w:color w:val="000000"/>
          <w:szCs w:val="18"/>
          <w:lang w:val="en-GB" w:eastAsia="it-IT"/>
        </w:rPr>
        <w:t xml:space="preserve"> abundance (</w:t>
      </w:r>
      <w:proofErr w:type="spellStart"/>
      <w:r w:rsidRPr="00F17ED4">
        <w:rPr>
          <w:rFonts w:cs="Arial"/>
          <w:color w:val="000000"/>
          <w:szCs w:val="18"/>
          <w:lang w:val="en-GB" w:eastAsia="it-IT"/>
        </w:rPr>
        <w:t>Carnicer</w:t>
      </w:r>
      <w:proofErr w:type="spellEnd"/>
      <w:r w:rsidRPr="00F17ED4">
        <w:rPr>
          <w:rFonts w:cs="Arial"/>
          <w:color w:val="000000"/>
          <w:szCs w:val="18"/>
          <w:lang w:val="en-GB" w:eastAsia="it-IT"/>
        </w:rPr>
        <w:t>, 2015), but the relationships between algal blooms and salinity are more complicated and other factors, such as nutrient levels, which are typically associated to low salinity waters, have to be considered. Studies have provided increasing evidence of a link between the nutrient enrichment of coastal waters (anthropogenic eutrophication) and harmful algal events (</w:t>
      </w:r>
      <w:proofErr w:type="spellStart"/>
      <w:r w:rsidRPr="00F17ED4">
        <w:rPr>
          <w:rFonts w:cs="Arial"/>
          <w:color w:val="000000"/>
          <w:szCs w:val="18"/>
          <w:lang w:val="en-GB" w:eastAsia="it-IT"/>
        </w:rPr>
        <w:t>Glibert</w:t>
      </w:r>
      <w:proofErr w:type="spellEnd"/>
      <w:r w:rsidRPr="00F17ED4">
        <w:rPr>
          <w:rFonts w:cs="Arial"/>
          <w:color w:val="000000"/>
          <w:szCs w:val="18"/>
          <w:lang w:val="en-GB" w:eastAsia="it-IT"/>
        </w:rPr>
        <w:t xml:space="preserve"> et al., 2010). However, there is very limited information on the relationships between nutrient concentrations and the occurrence of </w:t>
      </w:r>
      <w:proofErr w:type="spellStart"/>
      <w:r w:rsidRPr="00F17ED4">
        <w:rPr>
          <w:rFonts w:cs="Arial"/>
          <w:i/>
          <w:iCs/>
          <w:color w:val="000000"/>
          <w:szCs w:val="18"/>
          <w:lang w:val="en-GB" w:eastAsia="it-IT"/>
        </w:rPr>
        <w:t>Ostreopsis</w:t>
      </w:r>
      <w:proofErr w:type="spellEnd"/>
      <w:r w:rsidRPr="00F17ED4">
        <w:rPr>
          <w:rFonts w:cs="Arial"/>
          <w:color w:val="000000"/>
          <w:szCs w:val="18"/>
          <w:lang w:val="en-GB" w:eastAsia="it-IT"/>
        </w:rPr>
        <w:t xml:space="preserve"> blooms. Several studies considered hydrodynamic condition as a main factor affecting </w:t>
      </w:r>
      <w:proofErr w:type="spellStart"/>
      <w:r w:rsidRPr="00F17ED4">
        <w:rPr>
          <w:rFonts w:cs="Arial"/>
          <w:i/>
          <w:iCs/>
          <w:color w:val="000000"/>
          <w:szCs w:val="18"/>
          <w:lang w:val="en-GB" w:eastAsia="it-IT"/>
        </w:rPr>
        <w:t>Ostreopsis</w:t>
      </w:r>
      <w:proofErr w:type="spellEnd"/>
      <w:r w:rsidRPr="00F17ED4">
        <w:rPr>
          <w:rFonts w:cs="Arial"/>
          <w:color w:val="000000"/>
          <w:szCs w:val="18"/>
          <w:lang w:val="en-GB" w:eastAsia="it-IT"/>
        </w:rPr>
        <w:t xml:space="preserve"> bloom trends, highlighting that higher abundances are observed in sheltered sites compared </w:t>
      </w:r>
      <w:r w:rsidR="00662ACF">
        <w:rPr>
          <w:rFonts w:cs="Arial"/>
          <w:color w:val="000000"/>
          <w:szCs w:val="18"/>
          <w:lang w:val="en-GB" w:eastAsia="it-IT"/>
        </w:rPr>
        <w:t>to</w:t>
      </w:r>
      <w:r w:rsidR="00662ACF" w:rsidRPr="00F17ED4">
        <w:rPr>
          <w:rFonts w:cs="Arial"/>
          <w:color w:val="000000"/>
          <w:szCs w:val="18"/>
          <w:lang w:val="en-GB" w:eastAsia="it-IT"/>
        </w:rPr>
        <w:t xml:space="preserve"> </w:t>
      </w:r>
      <w:r w:rsidRPr="00F17ED4">
        <w:rPr>
          <w:rFonts w:cs="Arial"/>
          <w:color w:val="000000"/>
          <w:szCs w:val="18"/>
          <w:lang w:val="en-GB" w:eastAsia="it-IT"/>
        </w:rPr>
        <w:t xml:space="preserve">exposed ones (Barone, 2007; </w:t>
      </w:r>
      <w:proofErr w:type="spellStart"/>
      <w:r w:rsidRPr="00F17ED4">
        <w:rPr>
          <w:rFonts w:cs="Arial"/>
          <w:color w:val="000000"/>
          <w:szCs w:val="18"/>
          <w:lang w:val="en-GB" w:eastAsia="it-IT"/>
        </w:rPr>
        <w:t>Totti</w:t>
      </w:r>
      <w:proofErr w:type="spellEnd"/>
      <w:r w:rsidRPr="00F17ED4">
        <w:rPr>
          <w:rFonts w:cs="Arial"/>
          <w:color w:val="000000"/>
          <w:szCs w:val="18"/>
          <w:lang w:val="en-GB" w:eastAsia="it-IT"/>
        </w:rPr>
        <w:t xml:space="preserve"> et al., 2010). However, effects of hydrodynamics and turbulence may lead to opposite effects in each bloom phase. Despite the number of studies on </w:t>
      </w:r>
      <w:proofErr w:type="spellStart"/>
      <w:r w:rsidRPr="00F17ED4">
        <w:rPr>
          <w:rFonts w:cs="Arial"/>
          <w:i/>
          <w:iCs/>
          <w:color w:val="000000"/>
          <w:szCs w:val="18"/>
          <w:lang w:val="en-GB" w:eastAsia="it-IT"/>
        </w:rPr>
        <w:t>Ostreopsis</w:t>
      </w:r>
      <w:proofErr w:type="spellEnd"/>
      <w:r w:rsidRPr="00F17ED4">
        <w:rPr>
          <w:rFonts w:cs="Arial"/>
          <w:color w:val="000000"/>
          <w:szCs w:val="18"/>
          <w:lang w:val="en-GB" w:eastAsia="it-IT"/>
        </w:rPr>
        <w:t xml:space="preserve"> biology, ecology and toxin production, several aspects about the environmental concerns associated with this genus remain still unclear. Indeed, the complexity of conditions leading to blooms of this dinoflagellate is dependent on the specific area, thus site specific characteristics must be taken into account when implementing a predicting model. </w:t>
      </w:r>
    </w:p>
    <w:p w14:paraId="3625A338" w14:textId="77777777" w:rsidR="003B017E" w:rsidRDefault="00F17ED4" w:rsidP="00CE027C">
      <w:pPr>
        <w:pStyle w:val="CETBodytext"/>
      </w:pPr>
      <w:r w:rsidRPr="00F17ED4">
        <w:rPr>
          <w:rFonts w:cs="Arial"/>
          <w:color w:val="000000"/>
          <w:szCs w:val="18"/>
          <w:lang w:val="en-GB" w:eastAsia="it-IT"/>
        </w:rPr>
        <w:t xml:space="preserve">As far as the North-Western Mediterranean is concerned, a preliminary descriptive model of the benthic </w:t>
      </w:r>
      <w:r w:rsidRPr="00F17ED4">
        <w:rPr>
          <w:rFonts w:cs="Arial"/>
          <w:i/>
          <w:iCs/>
          <w:color w:val="000000"/>
          <w:szCs w:val="18"/>
          <w:lang w:val="en-GB" w:eastAsia="it-IT"/>
        </w:rPr>
        <w:t xml:space="preserve">O. </w:t>
      </w:r>
      <w:r w:rsidRPr="00F17ED4">
        <w:rPr>
          <w:rFonts w:cs="Arial"/>
          <w:color w:val="000000"/>
          <w:szCs w:val="18"/>
          <w:lang w:val="en-GB" w:eastAsia="it-IT"/>
        </w:rPr>
        <w:t xml:space="preserve">cf. </w:t>
      </w:r>
      <w:r w:rsidRPr="00F17ED4">
        <w:rPr>
          <w:rFonts w:cs="Arial"/>
          <w:i/>
          <w:iCs/>
          <w:color w:val="000000"/>
          <w:szCs w:val="18"/>
          <w:lang w:val="en-GB" w:eastAsia="it-IT"/>
        </w:rPr>
        <w:t>ovata</w:t>
      </w:r>
      <w:r w:rsidRPr="00F17ED4">
        <w:rPr>
          <w:rFonts w:cs="Arial"/>
          <w:color w:val="000000"/>
          <w:szCs w:val="18"/>
          <w:lang w:val="en-GB" w:eastAsia="it-IT"/>
        </w:rPr>
        <w:t xml:space="preserve"> bloom events was produced for the </w:t>
      </w:r>
      <w:proofErr w:type="spellStart"/>
      <w:r w:rsidRPr="00F17ED4">
        <w:rPr>
          <w:rFonts w:cs="Arial"/>
          <w:color w:val="000000"/>
          <w:szCs w:val="18"/>
          <w:lang w:val="en-GB" w:eastAsia="it-IT"/>
        </w:rPr>
        <w:t>Ligurian</w:t>
      </w:r>
      <w:proofErr w:type="spellEnd"/>
      <w:r w:rsidRPr="00F17ED4">
        <w:rPr>
          <w:rFonts w:cs="Arial"/>
          <w:color w:val="000000"/>
          <w:szCs w:val="18"/>
          <w:lang w:val="en-GB" w:eastAsia="it-IT"/>
        </w:rPr>
        <w:t xml:space="preserve"> Sea (</w:t>
      </w:r>
      <w:proofErr w:type="spellStart"/>
      <w:r w:rsidRPr="00F17ED4">
        <w:rPr>
          <w:rFonts w:cs="Arial"/>
          <w:color w:val="000000"/>
          <w:szCs w:val="18"/>
          <w:lang w:val="en-GB" w:eastAsia="it-IT"/>
        </w:rPr>
        <w:t>Asnaghi</w:t>
      </w:r>
      <w:proofErr w:type="spellEnd"/>
      <w:r w:rsidRPr="00F17ED4">
        <w:rPr>
          <w:rFonts w:cs="Arial"/>
          <w:color w:val="000000"/>
          <w:szCs w:val="18"/>
          <w:lang w:val="en-GB" w:eastAsia="it-IT"/>
        </w:rPr>
        <w:t xml:space="preserve"> et al., 2012), highlighting a relevant role of seawater temperature and hydrodynamics in driving the bloom. The percentage of variation explained by a relatively small set of variables was remarkably large (around 80%), highlighting the likelihood that a set of key seawater and meteorological variables could be used as good predictors in forecasting potential toxic events. These findings paved the way to building reliable predictive models based on a small set of variables (mostly meteorological)</w:t>
      </w:r>
      <w:r w:rsidR="003B017E">
        <w:rPr>
          <w:rFonts w:cs="Arial"/>
          <w:color w:val="000000"/>
          <w:szCs w:val="18"/>
          <w:lang w:val="en-GB" w:eastAsia="it-IT"/>
        </w:rPr>
        <w:t xml:space="preserve"> and a first </w:t>
      </w:r>
      <w:r w:rsidR="003B017E" w:rsidRPr="003E032B">
        <w:t xml:space="preserve">predictive model of </w:t>
      </w:r>
      <w:r w:rsidR="003B017E" w:rsidRPr="00352323">
        <w:rPr>
          <w:i/>
        </w:rPr>
        <w:t>O</w:t>
      </w:r>
      <w:r w:rsidR="003B017E">
        <w:t>.</w:t>
      </w:r>
      <w:r w:rsidR="003B017E" w:rsidRPr="003E032B">
        <w:t xml:space="preserve"> cf</w:t>
      </w:r>
      <w:r w:rsidR="003B017E" w:rsidRPr="00352323">
        <w:rPr>
          <w:i/>
        </w:rPr>
        <w:t>. ovata</w:t>
      </w:r>
      <w:r w:rsidR="003B017E" w:rsidRPr="003E032B">
        <w:t xml:space="preserve"> concentrations in seawater was built in </w:t>
      </w:r>
      <w:r w:rsidR="003B017E">
        <w:t xml:space="preserve">by </w:t>
      </w:r>
      <w:proofErr w:type="spellStart"/>
      <w:r w:rsidR="003B017E">
        <w:t>Asnaghi</w:t>
      </w:r>
      <w:proofErr w:type="spellEnd"/>
      <w:r w:rsidR="003B017E">
        <w:t xml:space="preserve"> et al.</w:t>
      </w:r>
      <w:r w:rsidR="003B017E" w:rsidRPr="003E032B">
        <w:t xml:space="preserve"> </w:t>
      </w:r>
      <w:r w:rsidR="003B017E">
        <w:t>(</w:t>
      </w:r>
      <w:r w:rsidR="003B017E" w:rsidRPr="003E032B">
        <w:t>2017) using the Quantile Regression Forests (QRF)</w:t>
      </w:r>
      <w:r w:rsidR="003B017E">
        <w:t>.</w:t>
      </w:r>
      <w:r w:rsidR="00E40F55">
        <w:t xml:space="preserve"> </w:t>
      </w:r>
    </w:p>
    <w:p w14:paraId="5CF37063" w14:textId="77777777" w:rsidR="001B4A0C" w:rsidRPr="00F17ED4" w:rsidRDefault="003B017E" w:rsidP="00CE027C">
      <w:pPr>
        <w:pStyle w:val="CETBodytext"/>
        <w:rPr>
          <w:lang w:val="en-GB"/>
        </w:rPr>
      </w:pPr>
      <w:r>
        <w:rPr>
          <w:rFonts w:cs="Arial"/>
          <w:color w:val="000000"/>
          <w:szCs w:val="18"/>
          <w:lang w:val="en-GB" w:eastAsia="it-IT"/>
        </w:rPr>
        <w:t>Herein, s</w:t>
      </w:r>
      <w:r w:rsidR="00F17ED4" w:rsidRPr="00F17ED4">
        <w:rPr>
          <w:rFonts w:cs="Arial"/>
          <w:color w:val="000000"/>
          <w:szCs w:val="18"/>
          <w:lang w:val="en-GB" w:eastAsia="it-IT"/>
        </w:rPr>
        <w:t xml:space="preserve">tarting from </w:t>
      </w:r>
      <w:r>
        <w:rPr>
          <w:rFonts w:cs="Arial"/>
          <w:color w:val="000000"/>
          <w:szCs w:val="18"/>
          <w:lang w:val="en-GB" w:eastAsia="it-IT"/>
        </w:rPr>
        <w:t>above</w:t>
      </w:r>
      <w:r w:rsidRPr="00F17ED4">
        <w:rPr>
          <w:rFonts w:cs="Arial"/>
          <w:color w:val="000000"/>
          <w:szCs w:val="18"/>
          <w:lang w:val="en-GB" w:eastAsia="it-IT"/>
        </w:rPr>
        <w:t xml:space="preserve"> </w:t>
      </w:r>
      <w:r w:rsidR="00F17ED4" w:rsidRPr="00F17ED4">
        <w:rPr>
          <w:rFonts w:cs="Arial"/>
          <w:color w:val="000000"/>
          <w:szCs w:val="18"/>
          <w:lang w:val="en-GB" w:eastAsia="it-IT"/>
        </w:rPr>
        <w:t xml:space="preserve">experience, a machine learning based approach is proposed to predict the </w:t>
      </w:r>
      <w:r w:rsidR="00F17ED4" w:rsidRPr="003B017E">
        <w:rPr>
          <w:rFonts w:cs="Arial"/>
          <w:color w:val="000000"/>
          <w:szCs w:val="18"/>
          <w:lang w:val="en-GB" w:eastAsia="it-IT"/>
        </w:rPr>
        <w:t xml:space="preserve">concentration of </w:t>
      </w:r>
      <w:r w:rsidR="00F17ED4" w:rsidRPr="003B017E">
        <w:rPr>
          <w:rFonts w:cs="Arial"/>
          <w:i/>
          <w:iCs/>
          <w:color w:val="000000"/>
          <w:szCs w:val="18"/>
          <w:lang w:val="en-GB" w:eastAsia="it-IT"/>
        </w:rPr>
        <w:t>O.</w:t>
      </w:r>
      <w:r w:rsidR="00F17ED4" w:rsidRPr="003B017E">
        <w:rPr>
          <w:rFonts w:cs="Arial"/>
          <w:color w:val="000000"/>
          <w:szCs w:val="18"/>
          <w:lang w:val="en-GB" w:eastAsia="it-IT"/>
        </w:rPr>
        <w:t xml:space="preserve"> cf. </w:t>
      </w:r>
      <w:r w:rsidR="00F17ED4" w:rsidRPr="003B017E">
        <w:rPr>
          <w:rFonts w:cs="Arial"/>
          <w:i/>
          <w:iCs/>
          <w:color w:val="000000"/>
          <w:szCs w:val="18"/>
          <w:lang w:val="en-GB" w:eastAsia="it-IT"/>
        </w:rPr>
        <w:t>ovata</w:t>
      </w:r>
      <w:r w:rsidR="00F17ED4" w:rsidRPr="003B017E">
        <w:rPr>
          <w:rFonts w:cs="Arial"/>
          <w:color w:val="000000"/>
          <w:szCs w:val="18"/>
          <w:lang w:val="en-GB" w:eastAsia="it-IT"/>
        </w:rPr>
        <w:t xml:space="preserve"> in seawater in 15 sites along the </w:t>
      </w:r>
      <w:proofErr w:type="spellStart"/>
      <w:r w:rsidR="00F17ED4" w:rsidRPr="003B017E">
        <w:rPr>
          <w:rFonts w:cs="Arial"/>
          <w:color w:val="000000"/>
          <w:szCs w:val="18"/>
          <w:lang w:val="en-GB" w:eastAsia="it-IT"/>
        </w:rPr>
        <w:t>Ligurian</w:t>
      </w:r>
      <w:proofErr w:type="spellEnd"/>
      <w:r w:rsidR="00F17ED4" w:rsidRPr="003B017E">
        <w:rPr>
          <w:rFonts w:cs="Arial"/>
          <w:color w:val="000000"/>
          <w:szCs w:val="18"/>
          <w:lang w:val="en-GB" w:eastAsia="it-IT"/>
        </w:rPr>
        <w:t xml:space="preserve"> coast</w:t>
      </w:r>
      <w:r w:rsidR="00F33200">
        <w:rPr>
          <w:rFonts w:cs="Arial"/>
          <w:color w:val="000000"/>
          <w:szCs w:val="18"/>
          <w:lang w:val="en-GB" w:eastAsia="it-IT"/>
        </w:rPr>
        <w:t>,</w:t>
      </w:r>
      <w:r w:rsidR="00F17ED4" w:rsidRPr="003B017E">
        <w:rPr>
          <w:rFonts w:cs="Arial"/>
          <w:color w:val="000000"/>
          <w:szCs w:val="18"/>
          <w:lang w:val="en-GB" w:eastAsia="it-IT"/>
        </w:rPr>
        <w:t xml:space="preserve"> and the related threshold exceedance probability, using seawater and meteorological variables, derived from numerical forecasting models. The methodology provides a tool for local environmental and public health agencies, as well as a support for the agency in charge of monitoring in planning sampling activities to better capture bloom events</w:t>
      </w:r>
      <w:r w:rsidR="0016409A" w:rsidRPr="003B017E">
        <w:rPr>
          <w:lang w:val="en-GB"/>
        </w:rPr>
        <w:t>.</w:t>
      </w:r>
      <w:r w:rsidR="0016409A" w:rsidRPr="00F17ED4">
        <w:rPr>
          <w:lang w:val="en-GB"/>
        </w:rPr>
        <w:t xml:space="preserve"> </w:t>
      </w:r>
    </w:p>
    <w:p w14:paraId="022B6607" w14:textId="77777777" w:rsidR="00BE7032" w:rsidRPr="00BE7032" w:rsidRDefault="00BE7032" w:rsidP="00CE027C">
      <w:pPr>
        <w:pStyle w:val="CETHeading1"/>
        <w:spacing w:line="264" w:lineRule="auto"/>
        <w:rPr>
          <w:lang w:val="en-GB"/>
        </w:rPr>
      </w:pPr>
      <w:r w:rsidRPr="00BE7032">
        <w:rPr>
          <w:lang w:val="en-GB"/>
        </w:rPr>
        <w:t>Material and Methods</w:t>
      </w:r>
    </w:p>
    <w:p w14:paraId="55F5C8C6" w14:textId="77777777" w:rsidR="00421D8B" w:rsidRPr="00CE027C" w:rsidRDefault="00421D8B" w:rsidP="00CE027C">
      <w:pPr>
        <w:pStyle w:val="CETheadingx"/>
      </w:pPr>
      <w:r w:rsidRPr="00CE027C">
        <w:t xml:space="preserve">Theoretical bases of </w:t>
      </w:r>
      <w:r w:rsidR="00FA6BFE" w:rsidRPr="00CE027C">
        <w:t>the model</w:t>
      </w:r>
    </w:p>
    <w:p w14:paraId="5124308B" w14:textId="77777777" w:rsidR="00FA6BFE" w:rsidRDefault="00421D8B" w:rsidP="00CE027C">
      <w:pPr>
        <w:pStyle w:val="CETBodytext"/>
      </w:pPr>
      <w:r w:rsidRPr="003E032B">
        <w:t xml:space="preserve">A predictive model of </w:t>
      </w:r>
      <w:r w:rsidRPr="00352323">
        <w:rPr>
          <w:i/>
        </w:rPr>
        <w:t>O</w:t>
      </w:r>
      <w:r>
        <w:t>.</w:t>
      </w:r>
      <w:r w:rsidRPr="003E032B">
        <w:t xml:space="preserve"> cf</w:t>
      </w:r>
      <w:r w:rsidRPr="00352323">
        <w:rPr>
          <w:i/>
        </w:rPr>
        <w:t>. ovata</w:t>
      </w:r>
      <w:r w:rsidRPr="003E032B">
        <w:t xml:space="preserve"> concentrations in seawater was built in previous work (</w:t>
      </w:r>
      <w:proofErr w:type="spellStart"/>
      <w:r w:rsidRPr="003E032B">
        <w:t>Asnaghi</w:t>
      </w:r>
      <w:proofErr w:type="spellEnd"/>
      <w:r w:rsidRPr="003E032B">
        <w:t xml:space="preserve"> et al., 2017) using the Quantile Regression Forests (QRF)</w:t>
      </w:r>
      <w:r>
        <w:t>, an</w:t>
      </w:r>
      <w:r w:rsidRPr="003E032B">
        <w:t xml:space="preserve"> ensemble machine learning method (</w:t>
      </w:r>
      <w:proofErr w:type="spellStart"/>
      <w:r w:rsidRPr="003E032B">
        <w:t>Meinshausen</w:t>
      </w:r>
      <w:proofErr w:type="spellEnd"/>
      <w:r w:rsidRPr="003E032B">
        <w:t xml:space="preserve">, 2006), as the best option after the comparison of several modeling techniques (Ottaviani et al., 2015). </w:t>
      </w:r>
    </w:p>
    <w:p w14:paraId="74672274" w14:textId="77777777" w:rsidR="00421D8B" w:rsidRDefault="00421D8B" w:rsidP="00CE027C">
      <w:pPr>
        <w:pStyle w:val="CETBodytext"/>
        <w:spacing w:after="120"/>
      </w:pPr>
      <w:r w:rsidRPr="003E032B">
        <w:t>QRF is an inference scheme based on the Random Forests (RF) general method (</w:t>
      </w:r>
      <w:proofErr w:type="spellStart"/>
      <w:r w:rsidRPr="003E032B">
        <w:t>Breiman</w:t>
      </w:r>
      <w:proofErr w:type="spellEnd"/>
      <w:r w:rsidRPr="003E032B">
        <w:t xml:space="preserve">, 2001). The basic RF algorithm grows an ensemble of trees in which, for each tree, only a sub-sample (“in-bag”) of the data is used for the training, and the remaining part (“out-of-bag”) is used for testing. In addition, only a random subset of predictor variables is considered </w:t>
      </w:r>
      <w:r>
        <w:t>to</w:t>
      </w:r>
      <w:r w:rsidRPr="003E032B">
        <w:t xml:space="preserve"> split point selection at each tree node. R</w:t>
      </w:r>
      <w:r>
        <w:t xml:space="preserve">F </w:t>
      </w:r>
      <w:r w:rsidRPr="003E032B">
        <w:t xml:space="preserve">are useful to model complex input-output relations without assuming any information about its functional form and about the probability distribution of the variables. </w:t>
      </w:r>
      <w:r w:rsidR="00B216D7">
        <w:t>The size of the random subset is the single tuning parameter of the algorithm</w:t>
      </w:r>
      <w:r w:rsidR="00592BB6">
        <w:t>.</w:t>
      </w:r>
      <w:r w:rsidR="00B216D7">
        <w:t xml:space="preserve"> </w:t>
      </w:r>
      <w:r w:rsidRPr="003E032B">
        <w:t>Instead of a single output, the QRF provides a whole distribution of predicted values for each combination of input features, allowing the selection of the best quantile for prediction.</w:t>
      </w:r>
      <w:r w:rsidR="00592BB6" w:rsidRPr="00592BB6">
        <w:t xml:space="preserve"> </w:t>
      </w:r>
      <w:r w:rsidR="00592BB6">
        <w:t>The key difference between QRF and RF is that for each node in each tree, RF keeps only the mean of the observations that fall into this node and neglects all other information, while QRF keeps the value of all observations in this node, not just their mean, and assesses the conditional distribution based on this information.</w:t>
      </w:r>
    </w:p>
    <w:p w14:paraId="33A1B3CD" w14:textId="77777777" w:rsidR="004511BC" w:rsidRDefault="004511BC" w:rsidP="00CE027C">
      <w:pPr>
        <w:pStyle w:val="CETheadingx"/>
      </w:pPr>
      <w:r>
        <w:t>Study area</w:t>
      </w:r>
    </w:p>
    <w:p w14:paraId="5D7B9C75" w14:textId="77777777" w:rsidR="006A7DC5" w:rsidRDefault="00E019AC" w:rsidP="00CE027C">
      <w:pPr>
        <w:pStyle w:val="CETBodytext"/>
      </w:pPr>
      <w:r>
        <w:rPr>
          <w:rFonts w:cs="Arial"/>
          <w:color w:val="000000"/>
          <w:szCs w:val="18"/>
        </w:rPr>
        <w:t xml:space="preserve">Since 2005, regional monitoring surveys of </w:t>
      </w:r>
      <w:proofErr w:type="spellStart"/>
      <w:r>
        <w:rPr>
          <w:rFonts w:cs="Arial"/>
          <w:i/>
          <w:iCs/>
          <w:color w:val="000000"/>
          <w:szCs w:val="18"/>
        </w:rPr>
        <w:t>Ostreopsis</w:t>
      </w:r>
      <w:proofErr w:type="spellEnd"/>
      <w:r>
        <w:rPr>
          <w:rFonts w:cs="Arial"/>
          <w:color w:val="000000"/>
          <w:szCs w:val="18"/>
        </w:rPr>
        <w:t xml:space="preserve"> </w:t>
      </w:r>
      <w:proofErr w:type="spellStart"/>
      <w:r>
        <w:rPr>
          <w:rFonts w:cs="Arial"/>
          <w:color w:val="000000"/>
          <w:szCs w:val="18"/>
        </w:rPr>
        <w:t>cf</w:t>
      </w:r>
      <w:proofErr w:type="spellEnd"/>
      <w:r>
        <w:rPr>
          <w:rFonts w:cs="Arial"/>
          <w:color w:val="000000"/>
          <w:szCs w:val="18"/>
        </w:rPr>
        <w:t xml:space="preserve"> </w:t>
      </w:r>
      <w:r>
        <w:rPr>
          <w:rFonts w:cs="Arial"/>
          <w:i/>
          <w:iCs/>
          <w:color w:val="000000"/>
          <w:szCs w:val="18"/>
        </w:rPr>
        <w:t>ovata</w:t>
      </w:r>
      <w:r>
        <w:rPr>
          <w:rFonts w:cs="Arial"/>
          <w:color w:val="000000"/>
          <w:szCs w:val="18"/>
        </w:rPr>
        <w:t xml:space="preserve"> cell concentrations in seawater </w:t>
      </w:r>
      <w:r w:rsidR="00B35861">
        <w:rPr>
          <w:rFonts w:cs="Arial"/>
          <w:color w:val="000000"/>
          <w:szCs w:val="18"/>
        </w:rPr>
        <w:t xml:space="preserve">have </w:t>
      </w:r>
      <w:r>
        <w:rPr>
          <w:rFonts w:cs="Arial"/>
          <w:color w:val="000000"/>
          <w:szCs w:val="18"/>
        </w:rPr>
        <w:t xml:space="preserve">been carried </w:t>
      </w:r>
      <w:r w:rsidR="00A617A7">
        <w:rPr>
          <w:rFonts w:cs="Arial"/>
          <w:color w:val="000000"/>
          <w:szCs w:val="18"/>
        </w:rPr>
        <w:t>out</w:t>
      </w:r>
      <w:r w:rsidR="001206EE">
        <w:rPr>
          <w:rFonts w:cs="Arial"/>
          <w:color w:val="000000"/>
          <w:szCs w:val="18"/>
        </w:rPr>
        <w:t xml:space="preserve"> </w:t>
      </w:r>
      <w:r>
        <w:rPr>
          <w:rFonts w:cs="Arial"/>
          <w:color w:val="000000"/>
          <w:szCs w:val="18"/>
        </w:rPr>
        <w:t xml:space="preserve">by ARPAL </w:t>
      </w:r>
      <w:r w:rsidR="00E35C9A">
        <w:t>(</w:t>
      </w:r>
      <w:r w:rsidR="00E35C9A" w:rsidRPr="00352323">
        <w:t xml:space="preserve">Regional </w:t>
      </w:r>
      <w:r w:rsidR="00E35C9A">
        <w:t xml:space="preserve">Environmental Agency) </w:t>
      </w:r>
      <w:r>
        <w:rPr>
          <w:rFonts w:cs="Arial"/>
          <w:color w:val="000000"/>
          <w:szCs w:val="18"/>
        </w:rPr>
        <w:t xml:space="preserve">from June to September at 14 sites along the </w:t>
      </w:r>
      <w:proofErr w:type="spellStart"/>
      <w:r>
        <w:rPr>
          <w:rFonts w:cs="Arial"/>
          <w:color w:val="000000"/>
          <w:szCs w:val="18"/>
        </w:rPr>
        <w:t>Ligurian</w:t>
      </w:r>
      <w:proofErr w:type="spellEnd"/>
      <w:r>
        <w:rPr>
          <w:rFonts w:cs="Arial"/>
          <w:color w:val="000000"/>
          <w:szCs w:val="18"/>
        </w:rPr>
        <w:t xml:space="preserve"> coast (</w:t>
      </w:r>
      <w:r w:rsidR="000C69EB">
        <w:fldChar w:fldCharType="begin"/>
      </w:r>
      <w:r w:rsidR="000C69EB">
        <w:instrText xml:space="preserve"> REF _Ref35846983 \h  \* MERGEFORMAT </w:instrText>
      </w:r>
      <w:r w:rsidR="000C69EB">
        <w:fldChar w:fldCharType="separate"/>
      </w:r>
      <w:r w:rsidR="006F5554" w:rsidRPr="004E5D2D">
        <w:rPr>
          <w:i/>
        </w:rPr>
        <w:t>Figure</w:t>
      </w:r>
      <w:r w:rsidR="006F5554" w:rsidRPr="00F33200">
        <w:rPr>
          <w:i/>
        </w:rPr>
        <w:t xml:space="preserve"> 1</w:t>
      </w:r>
      <w:r w:rsidR="000C69EB">
        <w:fldChar w:fldCharType="end"/>
      </w:r>
      <w:r>
        <w:rPr>
          <w:rFonts w:cs="Arial"/>
          <w:color w:val="000000"/>
          <w:szCs w:val="18"/>
        </w:rPr>
        <w:t>). Sampling sites are selected in sheltered areas, where the coast morphology and environment</w:t>
      </w:r>
      <w:r w:rsidR="00E35C9A">
        <w:rPr>
          <w:rFonts w:cs="Arial"/>
          <w:color w:val="000000"/>
          <w:szCs w:val="18"/>
        </w:rPr>
        <w:t>al characteristics</w:t>
      </w:r>
      <w:r>
        <w:rPr>
          <w:rFonts w:cs="Arial"/>
          <w:color w:val="000000"/>
          <w:szCs w:val="18"/>
        </w:rPr>
        <w:t xml:space="preserve"> </w:t>
      </w:r>
      <w:r w:rsidR="00E35C9A">
        <w:rPr>
          <w:rFonts w:cs="Arial"/>
          <w:color w:val="000000"/>
          <w:szCs w:val="18"/>
        </w:rPr>
        <w:t xml:space="preserve">are </w:t>
      </w:r>
      <w:r>
        <w:rPr>
          <w:rFonts w:cs="Arial"/>
          <w:color w:val="000000"/>
          <w:szCs w:val="18"/>
        </w:rPr>
        <w:t>favorable for</w:t>
      </w:r>
      <w:r>
        <w:rPr>
          <w:rFonts w:cs="Arial"/>
          <w:i/>
          <w:iCs/>
          <w:color w:val="000000"/>
          <w:szCs w:val="18"/>
        </w:rPr>
        <w:t xml:space="preserve"> </w:t>
      </w:r>
      <w:proofErr w:type="spellStart"/>
      <w:r>
        <w:rPr>
          <w:rFonts w:cs="Arial"/>
          <w:i/>
          <w:iCs/>
          <w:color w:val="000000"/>
          <w:szCs w:val="18"/>
        </w:rPr>
        <w:t>Ostreopsis</w:t>
      </w:r>
      <w:proofErr w:type="spellEnd"/>
      <w:r>
        <w:rPr>
          <w:rFonts w:cs="Arial"/>
          <w:color w:val="000000"/>
          <w:szCs w:val="18"/>
        </w:rPr>
        <w:t xml:space="preserve"> proliferation: shallow water, poor water exchange (i.e., near coast protection structures); rocky-pebbly bottom; presence of </w:t>
      </w:r>
      <w:proofErr w:type="spellStart"/>
      <w:r>
        <w:rPr>
          <w:rFonts w:cs="Arial"/>
          <w:color w:val="000000"/>
          <w:szCs w:val="18"/>
        </w:rPr>
        <w:t>macroalgae</w:t>
      </w:r>
      <w:proofErr w:type="spellEnd"/>
      <w:r>
        <w:rPr>
          <w:rFonts w:cs="Arial"/>
          <w:color w:val="000000"/>
          <w:szCs w:val="18"/>
        </w:rPr>
        <w:t>.</w:t>
      </w:r>
      <w:r>
        <w:t xml:space="preserve"> </w:t>
      </w:r>
      <w:r>
        <w:rPr>
          <w:rFonts w:cs="Arial"/>
          <w:color w:val="000000"/>
          <w:szCs w:val="18"/>
        </w:rPr>
        <w:t xml:space="preserve">Sampling is carried out according to the three-phase monitoring plan defined by regulation: twice a month for the routine phase, and repeated in case of exceeding the alert threshold. Data collected from 2015 to </w:t>
      </w:r>
      <w:r w:rsidR="00421D8B">
        <w:rPr>
          <w:rFonts w:cs="Arial"/>
          <w:color w:val="000000"/>
          <w:szCs w:val="18"/>
        </w:rPr>
        <w:t xml:space="preserve">2019 </w:t>
      </w:r>
      <w:r>
        <w:rPr>
          <w:rFonts w:cs="Arial"/>
          <w:color w:val="000000"/>
          <w:szCs w:val="18"/>
        </w:rPr>
        <w:t>on the 14 sites monitored by ARPAL, together with data collected by Genoa University at one monitoring station along Genoa coast</w:t>
      </w:r>
      <w:r w:rsidR="0058492B">
        <w:rPr>
          <w:rFonts w:cs="Arial"/>
          <w:color w:val="000000"/>
          <w:szCs w:val="18"/>
        </w:rPr>
        <w:t>,</w:t>
      </w:r>
      <w:r>
        <w:rPr>
          <w:rFonts w:cs="Arial"/>
          <w:color w:val="000000"/>
          <w:szCs w:val="18"/>
        </w:rPr>
        <w:t xml:space="preserve"> were used</w:t>
      </w:r>
      <w:r w:rsidR="005648DE">
        <w:t>.</w:t>
      </w:r>
    </w:p>
    <w:p w14:paraId="6A2E1E4D" w14:textId="77777777" w:rsidR="004E5D2D" w:rsidRDefault="00A03631" w:rsidP="00CE027C">
      <w:pPr>
        <w:pStyle w:val="CETBodytext"/>
        <w:keepNext/>
        <w:jc w:val="left"/>
      </w:pPr>
      <w:r>
        <w:rPr>
          <w:noProof/>
          <w:lang w:val="it-IT" w:eastAsia="it-IT"/>
        </w:rPr>
        <w:lastRenderedPageBreak/>
        <w:drawing>
          <wp:inline distT="0" distB="0" distL="0" distR="0" wp14:anchorId="7E102DBB" wp14:editId="4DB74CDA">
            <wp:extent cx="4942733" cy="1296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png"/>
                    <pic:cNvPicPr/>
                  </pic:nvPicPr>
                  <pic:blipFill rotWithShape="1">
                    <a:blip r:embed="rId11">
                      <a:extLst>
                        <a:ext uri="{28A0092B-C50C-407E-A947-70E740481C1C}">
                          <a14:useLocalDpi xmlns:a14="http://schemas.microsoft.com/office/drawing/2010/main" val="0"/>
                        </a:ext>
                      </a:extLst>
                    </a:blip>
                    <a:srcRect t="1591" b="45358"/>
                    <a:stretch/>
                  </pic:blipFill>
                  <pic:spPr bwMode="auto">
                    <a:xfrm>
                      <a:off x="0" y="0"/>
                      <a:ext cx="4942733" cy="1296000"/>
                    </a:xfrm>
                    <a:prstGeom prst="rect">
                      <a:avLst/>
                    </a:prstGeom>
                    <a:ln>
                      <a:noFill/>
                    </a:ln>
                    <a:extLst>
                      <a:ext uri="{53640926-AAD7-44D8-BBD7-CCE9431645EC}">
                        <a14:shadowObscured xmlns:a14="http://schemas.microsoft.com/office/drawing/2010/main"/>
                      </a:ext>
                    </a:extLst>
                  </pic:spPr>
                </pic:pic>
              </a:graphicData>
            </a:graphic>
          </wp:inline>
        </w:drawing>
      </w:r>
    </w:p>
    <w:p w14:paraId="064D5C19" w14:textId="77777777" w:rsidR="004E5D2D" w:rsidRDefault="004E5D2D" w:rsidP="00CE027C">
      <w:pPr>
        <w:pStyle w:val="Didascalia"/>
        <w:spacing w:line="264" w:lineRule="auto"/>
        <w:rPr>
          <w:b w:val="0"/>
          <w:bCs w:val="0"/>
          <w:i/>
          <w:color w:val="auto"/>
          <w:szCs w:val="20"/>
        </w:rPr>
      </w:pPr>
      <w:bookmarkStart w:id="1" w:name="_Ref35846983"/>
      <w:r w:rsidRPr="004E5D2D">
        <w:rPr>
          <w:b w:val="0"/>
          <w:bCs w:val="0"/>
          <w:i/>
          <w:color w:val="auto"/>
          <w:szCs w:val="20"/>
        </w:rPr>
        <w:t xml:space="preserve">Figure </w:t>
      </w:r>
      <w:r w:rsidR="00D34688" w:rsidRPr="004E5D2D">
        <w:rPr>
          <w:b w:val="0"/>
          <w:bCs w:val="0"/>
          <w:i/>
          <w:color w:val="auto"/>
          <w:szCs w:val="20"/>
        </w:rPr>
        <w:fldChar w:fldCharType="begin"/>
      </w:r>
      <w:r w:rsidRPr="004E5D2D">
        <w:rPr>
          <w:b w:val="0"/>
          <w:bCs w:val="0"/>
          <w:i/>
          <w:color w:val="auto"/>
          <w:szCs w:val="20"/>
        </w:rPr>
        <w:instrText xml:space="preserve"> SEQ Figure \* ARABIC </w:instrText>
      </w:r>
      <w:r w:rsidR="00D34688" w:rsidRPr="004E5D2D">
        <w:rPr>
          <w:b w:val="0"/>
          <w:bCs w:val="0"/>
          <w:i/>
          <w:color w:val="auto"/>
          <w:szCs w:val="20"/>
        </w:rPr>
        <w:fldChar w:fldCharType="separate"/>
      </w:r>
      <w:r w:rsidR="006F5554">
        <w:rPr>
          <w:b w:val="0"/>
          <w:bCs w:val="0"/>
          <w:i/>
          <w:noProof/>
          <w:color w:val="auto"/>
          <w:szCs w:val="20"/>
        </w:rPr>
        <w:t>1</w:t>
      </w:r>
      <w:r w:rsidR="00D34688" w:rsidRPr="004E5D2D">
        <w:rPr>
          <w:b w:val="0"/>
          <w:bCs w:val="0"/>
          <w:i/>
          <w:color w:val="auto"/>
          <w:szCs w:val="20"/>
        </w:rPr>
        <w:fldChar w:fldCharType="end"/>
      </w:r>
      <w:bookmarkEnd w:id="1"/>
      <w:r w:rsidRPr="004E5D2D">
        <w:rPr>
          <w:b w:val="0"/>
          <w:bCs w:val="0"/>
          <w:i/>
          <w:color w:val="auto"/>
          <w:szCs w:val="20"/>
        </w:rPr>
        <w:t xml:space="preserve">. </w:t>
      </w:r>
      <w:r w:rsidRPr="00A03631">
        <w:rPr>
          <w:b w:val="0"/>
          <w:bCs w:val="0"/>
          <w:i/>
          <w:color w:val="auto"/>
          <w:szCs w:val="20"/>
        </w:rPr>
        <w:t xml:space="preserve">Distribution of the 15 sampling sites along the </w:t>
      </w:r>
      <w:proofErr w:type="spellStart"/>
      <w:r w:rsidRPr="00A03631">
        <w:rPr>
          <w:b w:val="0"/>
          <w:bCs w:val="0"/>
          <w:i/>
          <w:color w:val="auto"/>
          <w:szCs w:val="20"/>
        </w:rPr>
        <w:t>Ligurian</w:t>
      </w:r>
      <w:proofErr w:type="spellEnd"/>
      <w:r w:rsidRPr="00A03631">
        <w:rPr>
          <w:b w:val="0"/>
          <w:bCs w:val="0"/>
          <w:i/>
          <w:color w:val="auto"/>
          <w:szCs w:val="20"/>
        </w:rPr>
        <w:t xml:space="preserve"> coast line.</w:t>
      </w:r>
    </w:p>
    <w:p w14:paraId="60D2E2AD" w14:textId="77777777" w:rsidR="00023C33" w:rsidRPr="00971D03" w:rsidRDefault="00023C33" w:rsidP="00CE027C">
      <w:pPr>
        <w:rPr>
          <w:b/>
          <w:bCs/>
        </w:rPr>
      </w:pPr>
    </w:p>
    <w:p w14:paraId="154EFE83" w14:textId="77777777" w:rsidR="006F5554" w:rsidRDefault="006F5554" w:rsidP="00CE027C">
      <w:pPr>
        <w:pStyle w:val="CETheadingx"/>
      </w:pPr>
      <w:r>
        <w:t xml:space="preserve">Environmental input </w:t>
      </w:r>
      <w:r w:rsidRPr="00362A33">
        <w:t>data</w:t>
      </w:r>
    </w:p>
    <w:p w14:paraId="12869E24" w14:textId="77777777" w:rsidR="00362A33" w:rsidRPr="00362A33" w:rsidRDefault="006F5554" w:rsidP="00CE027C">
      <w:pPr>
        <w:pStyle w:val="CETBodytext"/>
        <w:spacing w:after="120"/>
      </w:pPr>
      <w:r>
        <w:rPr>
          <w:rFonts w:cs="Arial"/>
          <w:color w:val="000000"/>
          <w:szCs w:val="18"/>
        </w:rPr>
        <w:t>On the basis of previous studies from the authors (</w:t>
      </w:r>
      <w:proofErr w:type="spellStart"/>
      <w:r>
        <w:rPr>
          <w:rFonts w:cs="Arial"/>
          <w:color w:val="000000"/>
          <w:szCs w:val="18"/>
        </w:rPr>
        <w:t>Asnaghi</w:t>
      </w:r>
      <w:proofErr w:type="spellEnd"/>
      <w:r>
        <w:rPr>
          <w:rFonts w:cs="Arial"/>
          <w:color w:val="000000"/>
          <w:szCs w:val="18"/>
        </w:rPr>
        <w:t xml:space="preserve"> et al., 2012, </w:t>
      </w:r>
      <w:proofErr w:type="spellStart"/>
      <w:r>
        <w:rPr>
          <w:rFonts w:cs="Arial"/>
          <w:color w:val="000000"/>
          <w:szCs w:val="18"/>
        </w:rPr>
        <w:t>Asnaghi</w:t>
      </w:r>
      <w:proofErr w:type="spellEnd"/>
      <w:r>
        <w:rPr>
          <w:rFonts w:cs="Arial"/>
          <w:color w:val="000000"/>
          <w:szCs w:val="18"/>
        </w:rPr>
        <w:t xml:space="preserve"> et al., 2017) and literature (</w:t>
      </w:r>
      <w:proofErr w:type="spellStart"/>
      <w:r>
        <w:rPr>
          <w:rFonts w:cs="Arial"/>
          <w:color w:val="000000"/>
          <w:szCs w:val="18"/>
        </w:rPr>
        <w:t>Accoroni</w:t>
      </w:r>
      <w:proofErr w:type="spellEnd"/>
      <w:r>
        <w:rPr>
          <w:rFonts w:cs="Arial"/>
          <w:color w:val="000000"/>
          <w:szCs w:val="18"/>
        </w:rPr>
        <w:t xml:space="preserve"> and </w:t>
      </w:r>
      <w:proofErr w:type="spellStart"/>
      <w:r>
        <w:rPr>
          <w:rFonts w:cs="Arial"/>
          <w:color w:val="000000"/>
          <w:szCs w:val="18"/>
        </w:rPr>
        <w:t>Totti</w:t>
      </w:r>
      <w:proofErr w:type="spellEnd"/>
      <w:r>
        <w:rPr>
          <w:rFonts w:cs="Arial"/>
          <w:color w:val="000000"/>
          <w:szCs w:val="18"/>
        </w:rPr>
        <w:t>, 2016), for the present study, the environmental variables considered for algae concentration prediction were: seawater surface temperature, salinity, current speed and direction, air</w:t>
      </w:r>
      <w:r w:rsidRPr="0058492B">
        <w:rPr>
          <w:rFonts w:cs="Arial"/>
          <w:color w:val="000000"/>
          <w:szCs w:val="18"/>
        </w:rPr>
        <w:t xml:space="preserve"> </w:t>
      </w:r>
      <w:r>
        <w:rPr>
          <w:rFonts w:cs="Arial"/>
          <w:color w:val="000000"/>
          <w:szCs w:val="18"/>
        </w:rPr>
        <w:t>temperature, wind speed and direction, atmospheric pressure.</w:t>
      </w:r>
      <w:r w:rsidRPr="0058492B">
        <w:rPr>
          <w:rFonts w:cs="Arial"/>
          <w:color w:val="000000"/>
          <w:szCs w:val="18"/>
        </w:rPr>
        <w:t xml:space="preserve"> </w:t>
      </w:r>
      <w:r>
        <w:rPr>
          <w:rFonts w:cs="Arial"/>
          <w:color w:val="000000"/>
          <w:szCs w:val="18"/>
        </w:rPr>
        <w:t>All variables were derived from models operated by ARPAL</w:t>
      </w:r>
      <w:r w:rsidR="00B77896">
        <w:rPr>
          <w:rFonts w:cs="Arial"/>
          <w:color w:val="000000"/>
          <w:szCs w:val="18"/>
        </w:rPr>
        <w:t xml:space="preserve"> and successfully validated (</w:t>
      </w:r>
      <w:proofErr w:type="spellStart"/>
      <w:r w:rsidR="00B77896">
        <w:rPr>
          <w:rFonts w:cs="Arial"/>
          <w:color w:val="000000"/>
          <w:szCs w:val="18"/>
        </w:rPr>
        <w:t>Vairo</w:t>
      </w:r>
      <w:proofErr w:type="spellEnd"/>
      <w:r w:rsidR="00B77896">
        <w:rPr>
          <w:rFonts w:cs="Arial"/>
          <w:color w:val="000000"/>
          <w:szCs w:val="18"/>
        </w:rPr>
        <w:t xml:space="preserve"> et al., 2017</w:t>
      </w:r>
      <w:r w:rsidR="00916996">
        <w:rPr>
          <w:rFonts w:cs="Arial"/>
          <w:color w:val="000000"/>
          <w:szCs w:val="18"/>
        </w:rPr>
        <w:t>a</w:t>
      </w:r>
      <w:r w:rsidR="00B77896">
        <w:rPr>
          <w:rFonts w:cs="Arial"/>
          <w:color w:val="000000"/>
          <w:szCs w:val="18"/>
        </w:rPr>
        <w:t>)</w:t>
      </w:r>
      <w:r>
        <w:rPr>
          <w:rFonts w:cs="Arial"/>
          <w:color w:val="000000"/>
          <w:szCs w:val="18"/>
        </w:rPr>
        <w:t>, with the aim of setting up an operative predictive model.</w:t>
      </w:r>
      <w:r w:rsidRPr="0058492B">
        <w:rPr>
          <w:rFonts w:cs="Arial"/>
          <w:color w:val="000000"/>
          <w:szCs w:val="18"/>
        </w:rPr>
        <w:t xml:space="preserve"> </w:t>
      </w:r>
      <w:r>
        <w:rPr>
          <w:rFonts w:cs="Arial"/>
          <w:color w:val="000000"/>
          <w:szCs w:val="18"/>
        </w:rPr>
        <w:t xml:space="preserve">Meteorological data were obtained from the Limited Area Atmospheric Model MOLOCH, while seawater variables were obtained from the hydrodynamic model of the </w:t>
      </w:r>
      <w:proofErr w:type="spellStart"/>
      <w:r>
        <w:rPr>
          <w:rFonts w:cs="Arial"/>
          <w:color w:val="000000"/>
          <w:szCs w:val="18"/>
        </w:rPr>
        <w:t>Liguria</w:t>
      </w:r>
      <w:r w:rsidR="00A617A7">
        <w:rPr>
          <w:rFonts w:cs="Arial"/>
          <w:color w:val="000000"/>
          <w:szCs w:val="18"/>
        </w:rPr>
        <w:t>n</w:t>
      </w:r>
      <w:proofErr w:type="spellEnd"/>
      <w:r>
        <w:rPr>
          <w:rFonts w:cs="Arial"/>
          <w:color w:val="000000"/>
          <w:szCs w:val="18"/>
        </w:rPr>
        <w:t xml:space="preserve"> Sea, developed with t</w:t>
      </w:r>
      <w:r w:rsidRPr="009D0EF6">
        <w:rPr>
          <w:rFonts w:cs="Arial"/>
          <w:color w:val="000000"/>
          <w:szCs w:val="18"/>
        </w:rPr>
        <w:t>he three-dimensional finite volume MIKE 3 Flow Model FM (DHI, 2019)</w:t>
      </w:r>
      <w:r>
        <w:rPr>
          <w:rFonts w:cs="Arial"/>
          <w:color w:val="000000"/>
          <w:szCs w:val="18"/>
        </w:rPr>
        <w:t xml:space="preserve">.  The hydrodynamic model is based on a flexible mesh approach, with the finest horizontal resolution of 50 m along the coast of Metropolitan city of Genova </w:t>
      </w:r>
      <w:r w:rsidR="001303FA">
        <w:rPr>
          <w:rFonts w:cs="Arial"/>
          <w:color w:val="000000"/>
          <w:szCs w:val="18"/>
        </w:rPr>
        <w:t>(</w:t>
      </w:r>
      <w:r w:rsidR="00D34688">
        <w:rPr>
          <w:rFonts w:cs="Arial"/>
          <w:color w:val="000000"/>
          <w:szCs w:val="18"/>
        </w:rPr>
        <w:fldChar w:fldCharType="begin"/>
      </w:r>
      <w:r w:rsidR="001303FA">
        <w:rPr>
          <w:rFonts w:cs="Arial"/>
          <w:color w:val="000000"/>
          <w:szCs w:val="18"/>
        </w:rPr>
        <w:instrText xml:space="preserve"> REF _Ref36538163 \h </w:instrText>
      </w:r>
      <w:r w:rsidR="00D34688">
        <w:rPr>
          <w:rFonts w:cs="Arial"/>
          <w:color w:val="000000"/>
          <w:szCs w:val="18"/>
        </w:rPr>
      </w:r>
      <w:r w:rsidR="00D34688">
        <w:rPr>
          <w:rFonts w:cs="Arial"/>
          <w:color w:val="000000"/>
          <w:szCs w:val="18"/>
        </w:rPr>
        <w:fldChar w:fldCharType="separate"/>
      </w:r>
      <w:r w:rsidR="001303FA" w:rsidRPr="00A03631">
        <w:rPr>
          <w:i/>
        </w:rPr>
        <w:t xml:space="preserve">Figure </w:t>
      </w:r>
      <w:r w:rsidR="001303FA">
        <w:rPr>
          <w:i/>
          <w:noProof/>
        </w:rPr>
        <w:t>2</w:t>
      </w:r>
      <w:r w:rsidR="00D34688">
        <w:rPr>
          <w:rFonts w:cs="Arial"/>
          <w:color w:val="000000"/>
          <w:szCs w:val="18"/>
        </w:rPr>
        <w:fldChar w:fldCharType="end"/>
      </w:r>
      <w:r w:rsidR="001303FA">
        <w:rPr>
          <w:rFonts w:cs="Arial"/>
          <w:color w:val="000000"/>
          <w:szCs w:val="18"/>
        </w:rPr>
        <w:t xml:space="preserve">) </w:t>
      </w:r>
      <w:r>
        <w:rPr>
          <w:rFonts w:cs="Arial"/>
          <w:color w:val="000000"/>
          <w:szCs w:val="18"/>
        </w:rPr>
        <w:t xml:space="preserve">and approximately 500m in the remaining western and eastern </w:t>
      </w:r>
      <w:proofErr w:type="spellStart"/>
      <w:r>
        <w:rPr>
          <w:rFonts w:cs="Arial"/>
          <w:color w:val="000000"/>
          <w:szCs w:val="18"/>
        </w:rPr>
        <w:t>Ligurian</w:t>
      </w:r>
      <w:proofErr w:type="spellEnd"/>
      <w:r>
        <w:rPr>
          <w:rFonts w:cs="Arial"/>
          <w:color w:val="000000"/>
          <w:szCs w:val="18"/>
        </w:rPr>
        <w:t xml:space="preserve"> coast,</w:t>
      </w:r>
      <w:r w:rsidRPr="00EE12BC">
        <w:t xml:space="preserve"> </w:t>
      </w:r>
      <w:r>
        <w:rPr>
          <w:rFonts w:cs="Arial"/>
          <w:color w:val="000000"/>
          <w:szCs w:val="18"/>
        </w:rPr>
        <w:t>and a</w:t>
      </w:r>
      <w:r w:rsidRPr="00EE12BC">
        <w:rPr>
          <w:rFonts w:cs="Arial"/>
          <w:color w:val="000000"/>
          <w:szCs w:val="18"/>
        </w:rPr>
        <w:t xml:space="preserve"> hybrid vertical discretization system (σ and z) to account for the stratification effects</w:t>
      </w:r>
      <w:r>
        <w:rPr>
          <w:rFonts w:cs="Arial"/>
          <w:color w:val="000000"/>
          <w:szCs w:val="18"/>
        </w:rPr>
        <w:t xml:space="preserve">. </w:t>
      </w:r>
      <w:r w:rsidR="002940C7">
        <w:rPr>
          <w:rFonts w:cs="Arial"/>
          <w:color w:val="000000"/>
          <w:szCs w:val="18"/>
        </w:rPr>
        <w:t xml:space="preserve">For </w:t>
      </w:r>
      <w:r w:rsidR="00EE12BC">
        <w:rPr>
          <w:rFonts w:cs="Arial"/>
          <w:color w:val="000000"/>
          <w:szCs w:val="18"/>
        </w:rPr>
        <w:t xml:space="preserve">environmental risk management, especially related </w:t>
      </w:r>
      <w:r w:rsidR="00BD7A9D">
        <w:rPr>
          <w:rFonts w:cs="Arial"/>
          <w:color w:val="000000"/>
          <w:szCs w:val="18"/>
        </w:rPr>
        <w:t xml:space="preserve">to </w:t>
      </w:r>
      <w:r w:rsidR="002940C7">
        <w:rPr>
          <w:rFonts w:cs="Arial"/>
          <w:color w:val="000000"/>
          <w:szCs w:val="18"/>
        </w:rPr>
        <w:t xml:space="preserve">coastal phenomena, availability of high resolution models can highly influence results reliability </w:t>
      </w:r>
      <w:r w:rsidR="006F495D" w:rsidRPr="009028D0">
        <w:rPr>
          <w:rFonts w:cs="Arial"/>
          <w:color w:val="000000"/>
          <w:szCs w:val="18"/>
        </w:rPr>
        <w:t>both in the atmospheric environmental compartment (</w:t>
      </w:r>
      <w:proofErr w:type="spellStart"/>
      <w:r w:rsidR="006F495D" w:rsidRPr="009028D0">
        <w:rPr>
          <w:rFonts w:cs="Arial"/>
          <w:color w:val="000000"/>
          <w:szCs w:val="18"/>
        </w:rPr>
        <w:t>Vairo</w:t>
      </w:r>
      <w:proofErr w:type="spellEnd"/>
      <w:r w:rsidR="006F495D" w:rsidRPr="009028D0">
        <w:rPr>
          <w:rFonts w:cs="Arial"/>
          <w:color w:val="000000"/>
          <w:szCs w:val="18"/>
        </w:rPr>
        <w:t xml:space="preserve"> et al., 2014) and in sensitive sea environments</w:t>
      </w:r>
      <w:r w:rsidR="006F495D">
        <w:rPr>
          <w:rFonts w:cs="Arial"/>
          <w:color w:val="000000"/>
          <w:szCs w:val="18"/>
        </w:rPr>
        <w:t xml:space="preserve"> </w:t>
      </w:r>
      <w:r w:rsidR="002940C7">
        <w:rPr>
          <w:rFonts w:cs="Arial"/>
          <w:color w:val="000000"/>
          <w:szCs w:val="18"/>
        </w:rPr>
        <w:t>(</w:t>
      </w:r>
      <w:proofErr w:type="spellStart"/>
      <w:r w:rsidR="00EE12BC">
        <w:rPr>
          <w:rFonts w:cs="Arial"/>
          <w:color w:val="000000"/>
          <w:szCs w:val="18"/>
        </w:rPr>
        <w:t>Vairo</w:t>
      </w:r>
      <w:proofErr w:type="spellEnd"/>
      <w:r w:rsidR="00EE12BC">
        <w:rPr>
          <w:rFonts w:cs="Arial"/>
          <w:color w:val="000000"/>
          <w:szCs w:val="18"/>
        </w:rPr>
        <w:t xml:space="preserve"> et al. 2017</w:t>
      </w:r>
      <w:r w:rsidR="00916996">
        <w:rPr>
          <w:rFonts w:cs="Arial"/>
          <w:color w:val="000000"/>
          <w:szCs w:val="18"/>
        </w:rPr>
        <w:t>b</w:t>
      </w:r>
      <w:r w:rsidR="00EE12BC">
        <w:rPr>
          <w:rFonts w:cs="Arial"/>
          <w:color w:val="000000"/>
          <w:szCs w:val="18"/>
        </w:rPr>
        <w:t xml:space="preserve">, </w:t>
      </w:r>
      <w:proofErr w:type="spellStart"/>
      <w:r w:rsidR="00A33F13">
        <w:rPr>
          <w:rFonts w:cs="Arial"/>
          <w:color w:val="000000"/>
          <w:szCs w:val="18"/>
        </w:rPr>
        <w:t>Magri</w:t>
      </w:r>
      <w:proofErr w:type="spellEnd"/>
      <w:r w:rsidR="00A33F13">
        <w:rPr>
          <w:rFonts w:cs="Arial"/>
          <w:color w:val="000000"/>
          <w:szCs w:val="18"/>
        </w:rPr>
        <w:t xml:space="preserve"> et al. 2019</w:t>
      </w:r>
      <w:r w:rsidR="00945C6B">
        <w:t>)</w:t>
      </w:r>
      <w:r w:rsidR="00EA3B4F">
        <w:t xml:space="preserve">. </w:t>
      </w:r>
    </w:p>
    <w:p w14:paraId="516D878B" w14:textId="77777777" w:rsidR="006A7DC5" w:rsidRPr="005C1DF4" w:rsidRDefault="006A7DC5" w:rsidP="00CE027C">
      <w:pPr>
        <w:pStyle w:val="CETheadingx"/>
      </w:pPr>
      <w:r w:rsidRPr="005C1DF4">
        <w:t xml:space="preserve">Construction of </w:t>
      </w:r>
      <w:r w:rsidR="002940C7">
        <w:t>the</w:t>
      </w:r>
      <w:r w:rsidRPr="005C1DF4">
        <w:t xml:space="preserve"> predictive model</w:t>
      </w:r>
    </w:p>
    <w:p w14:paraId="71F5CFBC" w14:textId="77777777" w:rsidR="00747B7C" w:rsidRPr="00A42D03" w:rsidRDefault="00747B7C" w:rsidP="00CE027C">
      <w:pPr>
        <w:pStyle w:val="CETBodytext"/>
      </w:pPr>
      <w:r w:rsidRPr="00A42D03">
        <w:t>A regression model was built using 10 features as predictors:</w:t>
      </w:r>
      <w:r w:rsidR="004652D8" w:rsidRPr="00A42D03">
        <w:t xml:space="preserve"> 1-</w:t>
      </w:r>
      <w:r w:rsidRPr="00A42D03">
        <w:t>station ID,</w:t>
      </w:r>
      <w:r w:rsidR="004652D8" w:rsidRPr="00A42D03">
        <w:t xml:space="preserve"> 2-</w:t>
      </w:r>
      <w:r w:rsidRPr="00A42D03">
        <w:t>day of the year,</w:t>
      </w:r>
      <w:r w:rsidR="004652D8" w:rsidRPr="00A42D03">
        <w:t xml:space="preserve"> 3-</w:t>
      </w:r>
      <w:r w:rsidRPr="00A42D03">
        <w:t>sea surface temperature,</w:t>
      </w:r>
      <w:r w:rsidR="004652D8" w:rsidRPr="00A42D03">
        <w:t xml:space="preserve"> 4-</w:t>
      </w:r>
      <w:r w:rsidRPr="00A42D03">
        <w:t>air temperature,</w:t>
      </w:r>
      <w:r w:rsidR="004652D8" w:rsidRPr="00A42D03">
        <w:t xml:space="preserve"> 5-</w:t>
      </w:r>
      <w:r w:rsidRPr="00A42D03">
        <w:t>salinity,</w:t>
      </w:r>
      <w:r w:rsidR="004652D8" w:rsidRPr="00A42D03">
        <w:t xml:space="preserve"> 6-</w:t>
      </w:r>
      <w:r w:rsidRPr="00A42D03">
        <w:t>atmospheric pressure,</w:t>
      </w:r>
      <w:r w:rsidR="004652D8" w:rsidRPr="00A42D03">
        <w:t xml:space="preserve"> 7-</w:t>
      </w:r>
      <w:r w:rsidRPr="00A42D03">
        <w:t>East-West component of the wind speed,</w:t>
      </w:r>
      <w:r w:rsidR="004652D8" w:rsidRPr="00A42D03">
        <w:t xml:space="preserve"> 8-</w:t>
      </w:r>
      <w:r w:rsidRPr="00A42D03">
        <w:t>North-South component of the wind speed,</w:t>
      </w:r>
      <w:r w:rsidR="004652D8" w:rsidRPr="00A42D03">
        <w:t xml:space="preserve"> 9-</w:t>
      </w:r>
      <w:r w:rsidRPr="00A42D03">
        <w:t>East-West component of the surface sea current,</w:t>
      </w:r>
      <w:r w:rsidR="004652D8" w:rsidRPr="00A42D03">
        <w:t xml:space="preserve"> 10-</w:t>
      </w:r>
      <w:r w:rsidRPr="00A42D03">
        <w:t>North-South component of the surface sea current.</w:t>
      </w:r>
    </w:p>
    <w:p w14:paraId="7E2F633E" w14:textId="77777777" w:rsidR="008B1473" w:rsidRPr="003E032B" w:rsidRDefault="00C67C32" w:rsidP="00CE027C">
      <w:pPr>
        <w:pStyle w:val="CETBodytext"/>
      </w:pPr>
      <w:r w:rsidRPr="003E032B">
        <w:t>All features were coded as continuous variables, apart from statio</w:t>
      </w:r>
      <w:r w:rsidR="003E032B" w:rsidRPr="003E032B">
        <w:t>n</w:t>
      </w:r>
      <w:r w:rsidRPr="003E032B">
        <w:t xml:space="preserve"> ID that is a categorical variable with 15 unordered possible values. The response variable was base ten logarithms of the concentration of </w:t>
      </w:r>
      <w:proofErr w:type="spellStart"/>
      <w:r w:rsidRPr="00E35C9A">
        <w:rPr>
          <w:i/>
        </w:rPr>
        <w:t>Ostreopsis</w:t>
      </w:r>
      <w:proofErr w:type="spellEnd"/>
      <w:r w:rsidRPr="007D5960">
        <w:t xml:space="preserve"> cf. </w:t>
      </w:r>
      <w:r w:rsidRPr="00E35C9A">
        <w:rPr>
          <w:i/>
        </w:rPr>
        <w:t>ovata</w:t>
      </w:r>
      <w:r w:rsidRPr="003E032B">
        <w:t xml:space="preserve"> in seawater. The explicit use of the station ID as a predictor is related with possible difference in behavior among the stations, due to their physical or geographic characteristics. In line of principle it should be possible t</w:t>
      </w:r>
      <w:r w:rsidR="003E032B">
        <w:t>o</w:t>
      </w:r>
      <w:r w:rsidRPr="003E032B">
        <w:t xml:space="preserve"> train a single model without this information or 15 different models for the 15 sites, but these </w:t>
      </w:r>
      <w:r w:rsidR="005E4209">
        <w:t xml:space="preserve">options </w:t>
      </w:r>
      <w:r w:rsidR="000E61DF">
        <w:t xml:space="preserve">have </w:t>
      </w:r>
      <w:r w:rsidR="005E4209">
        <w:t>different drawbacks.</w:t>
      </w:r>
      <w:r w:rsidRPr="003E032B">
        <w:t xml:space="preserve"> The first ignores the relevant differences among sites, surely affecting the blooms, the second use</w:t>
      </w:r>
      <w:r w:rsidR="005E4209">
        <w:t>s</w:t>
      </w:r>
      <w:r w:rsidRPr="003E032B">
        <w:t xml:space="preserve"> too little data for training each model properly. </w:t>
      </w:r>
      <w:r w:rsidR="005E4209">
        <w:t>The choice of a</w:t>
      </w:r>
      <w:r w:rsidRPr="003E032B">
        <w:t xml:space="preserve"> mixed model</w:t>
      </w:r>
      <w:r w:rsidR="005E4209">
        <w:t>,</w:t>
      </w:r>
      <w:r w:rsidRPr="003E032B">
        <w:t xml:space="preserve"> using the station ID as a </w:t>
      </w:r>
      <w:r w:rsidR="007D5960">
        <w:t>predictor</w:t>
      </w:r>
      <w:r w:rsidR="005E4209">
        <w:t>,</w:t>
      </w:r>
      <w:r w:rsidRPr="003E032B">
        <w:t xml:space="preserve"> include</w:t>
      </w:r>
      <w:r w:rsidR="005E4209">
        <w:t>s</w:t>
      </w:r>
      <w:r w:rsidRPr="003E032B">
        <w:t xml:space="preserve"> geographical information and allow</w:t>
      </w:r>
      <w:r w:rsidR="005E4209">
        <w:t>s</w:t>
      </w:r>
      <w:r w:rsidRPr="003E032B">
        <w:t xml:space="preserve"> information sharing among sites</w:t>
      </w:r>
      <w:r w:rsidR="007D5960">
        <w:t>.</w:t>
      </w:r>
    </w:p>
    <w:p w14:paraId="7AFF3CC7" w14:textId="77777777" w:rsidR="005E4209" w:rsidRDefault="00421D8B" w:rsidP="00CE027C">
      <w:pPr>
        <w:pStyle w:val="CETBodytext"/>
      </w:pPr>
      <w:r>
        <w:t>Data collected from 2015 to 2019 were used</w:t>
      </w:r>
      <w:r w:rsidR="001A47BD">
        <w:t xml:space="preserve">. </w:t>
      </w:r>
      <w:r w:rsidR="00971D03">
        <w:t>E</w:t>
      </w:r>
      <w:r w:rsidR="00971D03" w:rsidRPr="00B216D7">
        <w:t>ach tree was grown using a bootstrapped sample containing about 60% of all the data, with 5 features tried at each split.</w:t>
      </w:r>
      <w:r w:rsidR="00971D03">
        <w:t xml:space="preserve"> </w:t>
      </w:r>
      <w:r w:rsidR="005E4209">
        <w:t>A total of 504 entries were present in the whole dataset, with 52 candidate bloom events collected during summer with the following distribution: 266 entries (and 32 bloom) in 2017 and before; 119 entries (and 11 bloom events) in 2018; 119 entries (and 9 bloom events) in 2019.</w:t>
      </w:r>
    </w:p>
    <w:p w14:paraId="2CCB96DB" w14:textId="77777777" w:rsidR="00640268" w:rsidRDefault="005E4209" w:rsidP="00CE027C">
      <w:pPr>
        <w:pStyle w:val="CETBodytext"/>
      </w:pPr>
      <w:r>
        <w:t xml:space="preserve">The proposed methodology for the monitoring divides the dataset in a training part (the past years) and a testing part (the current year) and should be repeated yearly in order to maintain its predictive capability. However, bloom events in last years are quite rare and so to get a more reliable assessment of performance we used both 2018 and 2019 as a cumulated test case (20 blooms). </w:t>
      </w:r>
      <w:r w:rsidRPr="005E4209">
        <w:t>However, the use of RF allows also an assessment of model performance even without this data splitting, thanks to the OOB mechanism (each tree of the forest is tested only on data outside its training set). This kind of analysis gives good hints about model tuning and feature relative importance.</w:t>
      </w:r>
      <w:r>
        <w:t xml:space="preserve"> </w:t>
      </w:r>
      <w:r w:rsidR="00324DFF">
        <w:t>T</w:t>
      </w:r>
      <w:r w:rsidRPr="005E4209">
        <w:t xml:space="preserve">he QRF model is trained in regression mode, </w:t>
      </w:r>
      <w:r w:rsidR="004652D8" w:rsidRPr="004652D8">
        <w:t>aiming to minimize the Mean Square Error (MSE) between real values and predictions,</w:t>
      </w:r>
      <w:r w:rsidR="004652D8">
        <w:t xml:space="preserve"> </w:t>
      </w:r>
      <w:r w:rsidRPr="005E4209">
        <w:t>but it has been tested in classification mode, using 10</w:t>
      </w:r>
      <w:r w:rsidR="000C5A97">
        <w:t>,</w:t>
      </w:r>
      <w:r w:rsidRPr="005E4209">
        <w:t xml:space="preserve">000 cells/l as a threshold. This was done in order to give maximum flexibility in changing the threshold without affecting the training, so the same model could work with another threshold as well. Moreover, prediction of bloom events contains not only a single value for concentration, but also a confidence interval of the estimate, and this is another useful feature of the regression model. The confidence interval </w:t>
      </w:r>
      <w:r w:rsidRPr="005E4209">
        <w:lastRenderedPageBreak/>
        <w:t xml:space="preserve">allows the evaluation of the probability of exceeding the threshold, enforcing the confidence of the prediction itself. However, we are not directly interested in exploiting the concentration values for this kind of study, </w:t>
      </w:r>
      <w:r w:rsidR="00156C79">
        <w:t>therefor</w:t>
      </w:r>
      <w:r w:rsidRPr="005E4209">
        <w:t xml:space="preserve"> the main output is only classification, even if model capability is broader.</w:t>
      </w:r>
    </w:p>
    <w:p w14:paraId="19670D14" w14:textId="77777777" w:rsidR="001206EE" w:rsidRDefault="001206EE" w:rsidP="00CE027C">
      <w:pPr>
        <w:pStyle w:val="CETBodytext"/>
      </w:pPr>
    </w:p>
    <w:p w14:paraId="216D709D" w14:textId="77777777" w:rsidR="00037F17" w:rsidRDefault="00037F17" w:rsidP="00CE027C">
      <w:pPr>
        <w:pStyle w:val="CETHeading1"/>
        <w:tabs>
          <w:tab w:val="right" w:pos="7100"/>
        </w:tabs>
        <w:spacing w:before="0" w:line="264" w:lineRule="auto"/>
        <w:jc w:val="both"/>
        <w:rPr>
          <w:lang w:val="en-GB"/>
        </w:rPr>
      </w:pPr>
      <w:r>
        <w:rPr>
          <w:lang w:val="en-GB"/>
        </w:rPr>
        <w:t>Results</w:t>
      </w:r>
      <w:r w:rsidR="001A47BD">
        <w:rPr>
          <w:lang w:val="en-GB"/>
        </w:rPr>
        <w:t xml:space="preserve"> and discussion</w:t>
      </w:r>
    </w:p>
    <w:p w14:paraId="7E860149" w14:textId="77777777" w:rsidR="00037F17" w:rsidRDefault="005E4209" w:rsidP="00CE027C">
      <w:pPr>
        <w:pStyle w:val="CETheadingx"/>
      </w:pPr>
      <w:r>
        <w:t xml:space="preserve">True and false positive </w:t>
      </w:r>
      <w:r w:rsidR="00037F17" w:rsidRPr="00037F17">
        <w:t>rate</w:t>
      </w:r>
    </w:p>
    <w:p w14:paraId="75EC4DF2" w14:textId="77777777" w:rsidR="00B425EA" w:rsidRDefault="005E4209" w:rsidP="00CE027C">
      <w:pPr>
        <w:pStyle w:val="CETBodytext"/>
      </w:pPr>
      <w:r>
        <w:t xml:space="preserve">In order to better describe the characteristics of the model, the probability at which an </w:t>
      </w:r>
      <w:r w:rsidRPr="00E35C9A">
        <w:rPr>
          <w:i/>
        </w:rPr>
        <w:t>in situ</w:t>
      </w:r>
      <w:r>
        <w:t xml:space="preserve"> concentration above 10,000 cells/l was correctly predicted ('True bloom' condition, that is the True Positive Rate, TPR) was computed for each quantile of the predictions in the OOB mode. Similarly, the probability of erroneously predicting bloom events when measured concentrations were below the specified threshold of 10,000 cells/l ('False bloom' condition,</w:t>
      </w:r>
      <w:r w:rsidR="009028D0">
        <w:t xml:space="preserve"> </w:t>
      </w:r>
      <w:r>
        <w:t xml:space="preserve">that is the False Positive Rate, FPR) was computed. Results were then plotted as probability versus quantile </w:t>
      </w:r>
      <w:r w:rsidR="002760B2">
        <w:t>(</w:t>
      </w:r>
      <w:r w:rsidR="00D34688">
        <w:fldChar w:fldCharType="begin"/>
      </w:r>
      <w:r w:rsidR="00E35C9A">
        <w:instrText xml:space="preserve"> REF _Ref36535531 \h </w:instrText>
      </w:r>
      <w:r w:rsidR="00D34688">
        <w:fldChar w:fldCharType="separate"/>
      </w:r>
      <w:r w:rsidR="00E35C9A" w:rsidRPr="00AB2B87">
        <w:rPr>
          <w:i/>
        </w:rPr>
        <w:t xml:space="preserve">Figure </w:t>
      </w:r>
      <w:r w:rsidR="00E35C9A">
        <w:rPr>
          <w:i/>
          <w:noProof/>
        </w:rPr>
        <w:t>3</w:t>
      </w:r>
      <w:r w:rsidR="00D34688">
        <w:fldChar w:fldCharType="end"/>
      </w:r>
      <w:r w:rsidR="002760B2">
        <w:t>)</w:t>
      </w:r>
      <w:r>
        <w:t>.</w:t>
      </w:r>
      <w:r w:rsidR="006F495D">
        <w:t xml:space="preserve"> </w:t>
      </w:r>
      <w:r w:rsidR="00A42D03" w:rsidRPr="005E4209">
        <w:t>The curves indicate that there is a range of quantiles in which TPR is significantly larger than FPR, and this suggests a</w:t>
      </w:r>
      <w:r w:rsidR="00A42D03">
        <w:t>n</w:t>
      </w:r>
      <w:r w:rsidR="00A42D03" w:rsidRPr="005E4209">
        <w:t xml:space="preserve"> 85-quantile as a good value for the model. For the present study, it was chosen to accurately predict the highest possible number of bloom events over a season, and, concurrently, adjusting the accepted probability of generating false alarms. However, other good tradeoffs are possible, depending on the real costs of false positive and false negative predictions</w:t>
      </w:r>
      <w:r w:rsidR="00A42D03">
        <w:t>.</w:t>
      </w:r>
    </w:p>
    <w:p w14:paraId="057723A5" w14:textId="77777777" w:rsidR="00B425EA" w:rsidRDefault="00B425EA" w:rsidP="00CE027C">
      <w:pPr>
        <w:pStyle w:val="CETheadingx"/>
      </w:pPr>
      <w:r w:rsidRPr="005E4209">
        <w:t>Feature relative importance</w:t>
      </w:r>
    </w:p>
    <w:p w14:paraId="469F259E" w14:textId="77777777" w:rsidR="00B425EA" w:rsidRDefault="00B425EA" w:rsidP="00CE027C">
      <w:pPr>
        <w:pStyle w:val="CETBodytext"/>
      </w:pPr>
      <w:r w:rsidRPr="00636C33">
        <w:t>Using the whole dataset we compute</w:t>
      </w:r>
      <w:r>
        <w:t>d</w:t>
      </w:r>
      <w:r w:rsidRPr="00636C33">
        <w:t xml:space="preserve"> also the relative importance of each feature</w:t>
      </w:r>
      <w:r>
        <w:t>.</w:t>
      </w:r>
      <w:r w:rsidRPr="00636C33">
        <w:t xml:space="preserve"> </w:t>
      </w:r>
      <w:r w:rsidRPr="004652D8">
        <w:t xml:space="preserve">For each feature, we permuted the values of this feature across </w:t>
      </w:r>
      <w:r>
        <w:t>each</w:t>
      </w:r>
      <w:r w:rsidRPr="004652D8">
        <w:t xml:space="preserve"> observation in the whole dataset and measured how worse the MSE becomes after the permutation. </w:t>
      </w:r>
      <w:r>
        <w:t>R</w:t>
      </w:r>
      <w:r w:rsidRPr="004652D8">
        <w:t xml:space="preserve">esults are shown in </w:t>
      </w:r>
      <w:r w:rsidR="00D34688">
        <w:fldChar w:fldCharType="begin"/>
      </w:r>
      <w:r w:rsidR="00B216D7">
        <w:instrText xml:space="preserve"> REF _Ref36535531 \h </w:instrText>
      </w:r>
      <w:r w:rsidR="00D34688">
        <w:fldChar w:fldCharType="separate"/>
      </w:r>
      <w:r w:rsidR="00B216D7" w:rsidRPr="00AB2B87">
        <w:rPr>
          <w:i/>
        </w:rPr>
        <w:t xml:space="preserve">Figure </w:t>
      </w:r>
      <w:r w:rsidR="00B216D7">
        <w:rPr>
          <w:i/>
          <w:noProof/>
        </w:rPr>
        <w:t>3</w:t>
      </w:r>
      <w:r w:rsidR="00D34688">
        <w:fldChar w:fldCharType="end"/>
      </w:r>
      <w:r>
        <w:t>.</w:t>
      </w:r>
    </w:p>
    <w:p w14:paraId="6272EC79" w14:textId="77777777" w:rsidR="00B425EA" w:rsidRPr="005E4209" w:rsidRDefault="00B425EA" w:rsidP="00CE027C">
      <w:pPr>
        <w:pStyle w:val="CETBodytext"/>
      </w:pPr>
      <w:r w:rsidRPr="00636C33">
        <w:t xml:space="preserve">The plot shows a clear strong importance of the site </w:t>
      </w:r>
      <w:r>
        <w:t xml:space="preserve">(n.1) </w:t>
      </w:r>
      <w:r w:rsidRPr="00636C33">
        <w:t>and the day of the y</w:t>
      </w:r>
      <w:r>
        <w:t>ear (n.2)</w:t>
      </w:r>
      <w:r w:rsidRPr="00636C33">
        <w:t xml:space="preserve">, that is seasonality, and this is largely expected. Apart from these, sea surface temperature </w:t>
      </w:r>
      <w:r>
        <w:t xml:space="preserve">(n.3) </w:t>
      </w:r>
      <w:r w:rsidRPr="00636C33">
        <w:t>continues to be the main drive</w:t>
      </w:r>
      <w:r>
        <w:t>r</w:t>
      </w:r>
      <w:r w:rsidRPr="00636C33">
        <w:t xml:space="preserve"> for blooms. Other variables </w:t>
      </w:r>
      <w:r>
        <w:t>exerted</w:t>
      </w:r>
      <w:r w:rsidRPr="00636C33">
        <w:t xml:space="preserve"> a less clear impact on model prediction, and this may be dependent on the specific measure adopted for quantifying importance</w:t>
      </w:r>
    </w:p>
    <w:p w14:paraId="6DE6C222" w14:textId="77777777" w:rsidR="00AB2B87" w:rsidRPr="00AB2B87" w:rsidRDefault="00A25E03" w:rsidP="00CE027C">
      <w:pPr>
        <w:pStyle w:val="Didascalia"/>
        <w:spacing w:line="264" w:lineRule="auto"/>
        <w:rPr>
          <w:b w:val="0"/>
          <w:bCs w:val="0"/>
          <w:i/>
          <w:color w:val="auto"/>
          <w:szCs w:val="20"/>
        </w:rPr>
      </w:pPr>
      <w:r>
        <w:rPr>
          <w:b w:val="0"/>
          <w:bCs w:val="0"/>
          <w:i/>
          <w:noProof/>
          <w:lang w:val="it-IT" w:eastAsia="it-IT"/>
        </w:rPr>
        <w:drawing>
          <wp:inline distT="0" distB="0" distL="0" distR="0" wp14:anchorId="0C0C3305" wp14:editId="4B0E08E7">
            <wp:extent cx="2835678" cy="213491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le.emf"/>
                    <pic:cNvPicPr/>
                  </pic:nvPicPr>
                  <pic:blipFill>
                    <a:blip r:embed="rId12">
                      <a:extLst>
                        <a:ext uri="{28A0092B-C50C-407E-A947-70E740481C1C}">
                          <a14:useLocalDpi xmlns:a14="http://schemas.microsoft.com/office/drawing/2010/main" val="0"/>
                        </a:ext>
                      </a:extLst>
                    </a:blip>
                    <a:stretch>
                      <a:fillRect/>
                    </a:stretch>
                  </pic:blipFill>
                  <pic:spPr>
                    <a:xfrm>
                      <a:off x="0" y="0"/>
                      <a:ext cx="2836829" cy="2135781"/>
                    </a:xfrm>
                    <a:prstGeom prst="rect">
                      <a:avLst/>
                    </a:prstGeom>
                  </pic:spPr>
                </pic:pic>
              </a:graphicData>
            </a:graphic>
          </wp:inline>
        </w:drawing>
      </w:r>
      <w:r w:rsidR="00F3223E">
        <w:rPr>
          <w:b w:val="0"/>
          <w:bCs w:val="0"/>
          <w:i/>
          <w:noProof/>
          <w:lang w:val="it-IT" w:eastAsia="it-IT"/>
        </w:rPr>
        <w:drawing>
          <wp:inline distT="0" distB="0" distL="0" distR="0" wp14:anchorId="747867B2" wp14:editId="4A2F1971">
            <wp:extent cx="2712720" cy="2257686"/>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ce.emf"/>
                    <pic:cNvPicPr/>
                  </pic:nvPicPr>
                  <pic:blipFill>
                    <a:blip r:embed="rId13">
                      <a:extLst>
                        <a:ext uri="{28A0092B-C50C-407E-A947-70E740481C1C}">
                          <a14:useLocalDpi xmlns:a14="http://schemas.microsoft.com/office/drawing/2010/main" val="0"/>
                        </a:ext>
                      </a:extLst>
                    </a:blip>
                    <a:stretch>
                      <a:fillRect/>
                    </a:stretch>
                  </pic:blipFill>
                  <pic:spPr>
                    <a:xfrm>
                      <a:off x="0" y="0"/>
                      <a:ext cx="2719350" cy="2263204"/>
                    </a:xfrm>
                    <a:prstGeom prst="rect">
                      <a:avLst/>
                    </a:prstGeom>
                  </pic:spPr>
                </pic:pic>
              </a:graphicData>
            </a:graphic>
          </wp:inline>
        </w:drawing>
      </w:r>
    </w:p>
    <w:p w14:paraId="48B28CEF" w14:textId="77777777" w:rsidR="00AB2B87" w:rsidRDefault="00AB2B87" w:rsidP="00CE027C">
      <w:pPr>
        <w:pStyle w:val="Didascalia"/>
        <w:spacing w:line="264" w:lineRule="auto"/>
        <w:rPr>
          <w:b w:val="0"/>
          <w:bCs w:val="0"/>
          <w:i/>
          <w:color w:val="auto"/>
          <w:szCs w:val="20"/>
        </w:rPr>
      </w:pPr>
      <w:bookmarkStart w:id="2" w:name="_Ref36535531"/>
      <w:r w:rsidRPr="00AB2B87">
        <w:rPr>
          <w:b w:val="0"/>
          <w:bCs w:val="0"/>
          <w:i/>
          <w:color w:val="auto"/>
          <w:szCs w:val="20"/>
        </w:rPr>
        <w:t xml:space="preserve">Figure </w:t>
      </w:r>
      <w:r w:rsidR="00D34688" w:rsidRPr="00AB2B87">
        <w:rPr>
          <w:b w:val="0"/>
          <w:bCs w:val="0"/>
          <w:i/>
          <w:color w:val="auto"/>
          <w:szCs w:val="20"/>
        </w:rPr>
        <w:fldChar w:fldCharType="begin"/>
      </w:r>
      <w:r w:rsidRPr="00AB2B87">
        <w:rPr>
          <w:b w:val="0"/>
          <w:bCs w:val="0"/>
          <w:i/>
          <w:color w:val="auto"/>
          <w:szCs w:val="20"/>
        </w:rPr>
        <w:instrText xml:space="preserve"> SEQ Figure \* ARABIC </w:instrText>
      </w:r>
      <w:r w:rsidR="00D34688" w:rsidRPr="00AB2B87">
        <w:rPr>
          <w:b w:val="0"/>
          <w:bCs w:val="0"/>
          <w:i/>
          <w:color w:val="auto"/>
          <w:szCs w:val="20"/>
        </w:rPr>
        <w:fldChar w:fldCharType="separate"/>
      </w:r>
      <w:r w:rsidR="006F5554">
        <w:rPr>
          <w:b w:val="0"/>
          <w:bCs w:val="0"/>
          <w:i/>
          <w:noProof/>
          <w:color w:val="auto"/>
          <w:szCs w:val="20"/>
        </w:rPr>
        <w:t>3</w:t>
      </w:r>
      <w:r w:rsidR="00D34688" w:rsidRPr="00AB2B87">
        <w:rPr>
          <w:b w:val="0"/>
          <w:bCs w:val="0"/>
          <w:i/>
          <w:color w:val="auto"/>
          <w:szCs w:val="20"/>
        </w:rPr>
        <w:fldChar w:fldCharType="end"/>
      </w:r>
      <w:bookmarkEnd w:id="2"/>
      <w:r w:rsidRPr="00AB2B87">
        <w:rPr>
          <w:b w:val="0"/>
          <w:bCs w:val="0"/>
          <w:i/>
          <w:color w:val="auto"/>
          <w:szCs w:val="20"/>
        </w:rPr>
        <w:t xml:space="preserve">. </w:t>
      </w:r>
      <w:r w:rsidR="005E4209" w:rsidRPr="005E4209">
        <w:rPr>
          <w:b w:val="0"/>
          <w:bCs w:val="0"/>
          <w:i/>
          <w:color w:val="auto"/>
          <w:szCs w:val="20"/>
        </w:rPr>
        <w:t>TPR and FPR curves vs quantile</w:t>
      </w:r>
      <w:r w:rsidR="006F495D">
        <w:rPr>
          <w:b w:val="0"/>
          <w:bCs w:val="0"/>
          <w:i/>
          <w:color w:val="auto"/>
          <w:szCs w:val="20"/>
        </w:rPr>
        <w:t xml:space="preserve"> </w:t>
      </w:r>
      <w:r w:rsidR="00F3223E">
        <w:rPr>
          <w:b w:val="0"/>
          <w:bCs w:val="0"/>
          <w:i/>
          <w:color w:val="auto"/>
          <w:szCs w:val="20"/>
        </w:rPr>
        <w:t>(left</w:t>
      </w:r>
      <w:r w:rsidR="00B77896">
        <w:rPr>
          <w:b w:val="0"/>
          <w:bCs w:val="0"/>
          <w:i/>
          <w:color w:val="auto"/>
          <w:szCs w:val="20"/>
        </w:rPr>
        <w:t xml:space="preserve"> </w:t>
      </w:r>
      <w:r w:rsidR="00F3223E">
        <w:rPr>
          <w:b w:val="0"/>
          <w:bCs w:val="0"/>
          <w:i/>
          <w:color w:val="auto"/>
          <w:szCs w:val="20"/>
        </w:rPr>
        <w:t xml:space="preserve">figure) and </w:t>
      </w:r>
      <w:r w:rsidR="00F3223E" w:rsidRPr="005E4209">
        <w:rPr>
          <w:b w:val="0"/>
          <w:bCs w:val="0"/>
          <w:i/>
          <w:color w:val="auto"/>
          <w:szCs w:val="20"/>
        </w:rPr>
        <w:t>Features importance plot</w:t>
      </w:r>
      <w:r w:rsidR="00F3223E">
        <w:rPr>
          <w:b w:val="0"/>
          <w:bCs w:val="0"/>
          <w:i/>
          <w:color w:val="auto"/>
          <w:szCs w:val="20"/>
        </w:rPr>
        <w:t xml:space="preserve"> (right</w:t>
      </w:r>
      <w:r w:rsidR="00B77896">
        <w:rPr>
          <w:b w:val="0"/>
          <w:bCs w:val="0"/>
          <w:i/>
          <w:color w:val="auto"/>
          <w:szCs w:val="20"/>
        </w:rPr>
        <w:t xml:space="preserve"> hand</w:t>
      </w:r>
      <w:r w:rsidR="00F3223E">
        <w:rPr>
          <w:b w:val="0"/>
          <w:bCs w:val="0"/>
          <w:i/>
          <w:color w:val="auto"/>
          <w:szCs w:val="20"/>
        </w:rPr>
        <w:t xml:space="preserve"> figure)</w:t>
      </w:r>
      <w:r w:rsidR="00B77896">
        <w:rPr>
          <w:b w:val="0"/>
          <w:bCs w:val="0"/>
          <w:i/>
          <w:color w:val="auto"/>
          <w:szCs w:val="20"/>
        </w:rPr>
        <w:t>.</w:t>
      </w:r>
    </w:p>
    <w:p w14:paraId="0F8D6E92" w14:textId="77777777" w:rsidR="005E4209" w:rsidRDefault="005E4209" w:rsidP="00CE027C">
      <w:pPr>
        <w:pStyle w:val="CETheadingx"/>
      </w:pPr>
      <w:r>
        <w:t>Model validation</w:t>
      </w:r>
    </w:p>
    <w:p w14:paraId="3FD7892B" w14:textId="77777777" w:rsidR="00D55947" w:rsidRDefault="005E4209" w:rsidP="00CE027C">
      <w:pPr>
        <w:pStyle w:val="CETBodytext"/>
      </w:pPr>
      <w:r w:rsidRPr="005E4209">
        <w:t xml:space="preserve">Model validation was performed by generating predictions of concentrations of </w:t>
      </w:r>
      <w:proofErr w:type="spellStart"/>
      <w:r w:rsidRPr="00352323">
        <w:rPr>
          <w:i/>
        </w:rPr>
        <w:t>Ostreopsis</w:t>
      </w:r>
      <w:proofErr w:type="spellEnd"/>
      <w:r w:rsidRPr="005E4209">
        <w:t xml:space="preserve"> cf. </w:t>
      </w:r>
      <w:r w:rsidRPr="00352323">
        <w:rPr>
          <w:i/>
        </w:rPr>
        <w:t>ovata</w:t>
      </w:r>
      <w:r w:rsidRPr="005E4209">
        <w:t xml:space="preserve"> in the water column using meteorological and hydrodynamic data generated from June 2018 to September 2019 by the MIKE 3 and MOLOCH models (238 samples) but with a QRF model trained with data up to September 2017 (266 samples). These values were then compared to actual measurements of concentration of </w:t>
      </w:r>
      <w:r w:rsidRPr="00E35C9A">
        <w:rPr>
          <w:i/>
        </w:rPr>
        <w:t>O.</w:t>
      </w:r>
      <w:r w:rsidRPr="005E4209">
        <w:t xml:space="preserve"> cf. </w:t>
      </w:r>
      <w:r w:rsidRPr="00E35C9A">
        <w:rPr>
          <w:i/>
        </w:rPr>
        <w:t>ovata</w:t>
      </w:r>
      <w:r w:rsidRPr="005E4209">
        <w:t xml:space="preserve"> and a confusion matrix of bl</w:t>
      </w:r>
      <w:r>
        <w:t>oom detection has been computed</w:t>
      </w:r>
      <w:r w:rsidR="00037F17">
        <w:t>.</w:t>
      </w:r>
      <w:r w:rsidR="00D55947" w:rsidRPr="00D55947">
        <w:rPr>
          <w:highlight w:val="yellow"/>
        </w:rPr>
        <w:t xml:space="preserve"> </w:t>
      </w:r>
    </w:p>
    <w:p w14:paraId="4AB5FDF4" w14:textId="77777777" w:rsidR="00013C11" w:rsidRPr="00B57B36" w:rsidRDefault="00013C11" w:rsidP="00CE027C">
      <w:pPr>
        <w:pStyle w:val="CETTabletitle"/>
        <w:spacing w:after="0" w:line="264" w:lineRule="auto"/>
      </w:pPr>
      <w:r w:rsidRPr="00B57B36">
        <w:t xml:space="preserve">Table 1: </w:t>
      </w:r>
      <w:r w:rsidR="005E4209" w:rsidRPr="005E4209">
        <w:t>Confusion matrix of predictions</w:t>
      </w:r>
      <w: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5"/>
        <w:gridCol w:w="1115"/>
        <w:gridCol w:w="2306"/>
        <w:gridCol w:w="2410"/>
      </w:tblGrid>
      <w:tr w:rsidR="00EF0542" w:rsidRPr="00B57B36" w14:paraId="73385BD2" w14:textId="77777777" w:rsidTr="009028D0">
        <w:trPr>
          <w:trHeight w:val="239"/>
        </w:trPr>
        <w:tc>
          <w:tcPr>
            <w:tcW w:w="1115" w:type="dxa"/>
            <w:tcBorders>
              <w:top w:val="single" w:sz="12" w:space="0" w:color="008000"/>
              <w:bottom w:val="single" w:sz="6" w:space="0" w:color="008000"/>
            </w:tcBorders>
            <w:shd w:val="clear" w:color="auto" w:fill="FFFFFF"/>
          </w:tcPr>
          <w:p w14:paraId="42DC507C" w14:textId="77777777" w:rsidR="00EF0542" w:rsidRPr="00B57B36" w:rsidRDefault="00EF0542" w:rsidP="00CE027C">
            <w:pPr>
              <w:pStyle w:val="CETBodytext"/>
              <w:rPr>
                <w:lang w:val="en-GB"/>
              </w:rPr>
            </w:pPr>
          </w:p>
        </w:tc>
        <w:tc>
          <w:tcPr>
            <w:tcW w:w="5831" w:type="dxa"/>
            <w:gridSpan w:val="3"/>
            <w:tcBorders>
              <w:top w:val="single" w:sz="12" w:space="0" w:color="008000"/>
              <w:bottom w:val="single" w:sz="6" w:space="0" w:color="008000"/>
            </w:tcBorders>
            <w:shd w:val="clear" w:color="auto" w:fill="FFFFFF"/>
          </w:tcPr>
          <w:p w14:paraId="19086C88" w14:textId="77777777" w:rsidR="00636C33" w:rsidRPr="00971D03" w:rsidRDefault="00EF0542" w:rsidP="00CE027C">
            <w:pPr>
              <w:pStyle w:val="CETBodytext"/>
              <w:ind w:right="-1"/>
              <w:rPr>
                <w:rFonts w:cs="Arial"/>
                <w:sz w:val="12"/>
                <w:szCs w:val="18"/>
                <w:lang w:val="en-GB"/>
              </w:rPr>
            </w:pPr>
            <w:r w:rsidRPr="00013C11">
              <w:rPr>
                <w:lang w:val="en-GB"/>
              </w:rPr>
              <w:t>Predicted</w:t>
            </w:r>
          </w:p>
        </w:tc>
      </w:tr>
      <w:tr w:rsidR="00EF0542" w:rsidRPr="00B57B36" w14:paraId="7D4A24DD" w14:textId="77777777" w:rsidTr="009028D0">
        <w:trPr>
          <w:trHeight w:val="289"/>
        </w:trPr>
        <w:tc>
          <w:tcPr>
            <w:tcW w:w="1115" w:type="dxa"/>
            <w:vMerge w:val="restart"/>
            <w:shd w:val="clear" w:color="auto" w:fill="FFFFFF"/>
          </w:tcPr>
          <w:p w14:paraId="54276CE4" w14:textId="77777777" w:rsidR="00EF0542" w:rsidRPr="00B57B36" w:rsidRDefault="00EF0542" w:rsidP="00CE027C">
            <w:pPr>
              <w:pStyle w:val="CETBodytext"/>
              <w:rPr>
                <w:lang w:val="en-GB"/>
              </w:rPr>
            </w:pPr>
            <w:r w:rsidRPr="00013C11">
              <w:rPr>
                <w:lang w:val="en-GB"/>
              </w:rPr>
              <w:t>Observed</w:t>
            </w:r>
          </w:p>
        </w:tc>
        <w:tc>
          <w:tcPr>
            <w:tcW w:w="1115" w:type="dxa"/>
            <w:shd w:val="clear" w:color="auto" w:fill="FFFFFF"/>
          </w:tcPr>
          <w:p w14:paraId="07894C5C" w14:textId="77777777" w:rsidR="00EF0542" w:rsidRPr="00B57B36" w:rsidRDefault="00EF0542" w:rsidP="00CE027C">
            <w:pPr>
              <w:pStyle w:val="CETBodytext"/>
              <w:rPr>
                <w:lang w:val="en-GB"/>
              </w:rPr>
            </w:pPr>
          </w:p>
        </w:tc>
        <w:tc>
          <w:tcPr>
            <w:tcW w:w="2306" w:type="dxa"/>
            <w:shd w:val="clear" w:color="auto" w:fill="FFFFFF"/>
          </w:tcPr>
          <w:p w14:paraId="39431D9E" w14:textId="77777777" w:rsidR="00EF0542" w:rsidRDefault="00636C33" w:rsidP="00CE027C">
            <w:pPr>
              <w:pStyle w:val="CETBodytext"/>
              <w:rPr>
                <w:lang w:val="en-GB"/>
              </w:rPr>
            </w:pPr>
            <w:r>
              <w:rPr>
                <w:lang w:val="en-GB"/>
              </w:rPr>
              <w:t>B</w:t>
            </w:r>
            <w:r w:rsidR="00EF0542">
              <w:rPr>
                <w:lang w:val="en-GB"/>
              </w:rPr>
              <w:t>loom</w:t>
            </w:r>
          </w:p>
          <w:p w14:paraId="5ED41914" w14:textId="77777777" w:rsidR="00636C33" w:rsidRPr="002A4CD0" w:rsidRDefault="00636C33" w:rsidP="00CE027C">
            <w:pPr>
              <w:pStyle w:val="CETBodytext"/>
              <w:rPr>
                <w:sz w:val="6"/>
                <w:lang w:val="en-GB"/>
              </w:rPr>
            </w:pPr>
          </w:p>
        </w:tc>
        <w:tc>
          <w:tcPr>
            <w:tcW w:w="2410" w:type="dxa"/>
            <w:shd w:val="clear" w:color="auto" w:fill="FFFFFF"/>
          </w:tcPr>
          <w:p w14:paraId="09D2F693" w14:textId="77777777" w:rsidR="00EF0542" w:rsidRPr="00B57B36" w:rsidRDefault="004652D8" w:rsidP="00CE027C">
            <w:pPr>
              <w:pStyle w:val="CETBodytext"/>
              <w:ind w:right="-1"/>
              <w:rPr>
                <w:rFonts w:cs="Arial"/>
                <w:szCs w:val="18"/>
                <w:lang w:val="en-GB"/>
              </w:rPr>
            </w:pPr>
            <w:r>
              <w:rPr>
                <w:rFonts w:cs="Arial"/>
                <w:szCs w:val="18"/>
                <w:lang w:val="en-GB"/>
              </w:rPr>
              <w:t>N</w:t>
            </w:r>
            <w:r w:rsidR="00EF0542">
              <w:rPr>
                <w:rFonts w:cs="Arial"/>
                <w:szCs w:val="18"/>
                <w:lang w:val="en-GB"/>
              </w:rPr>
              <w:t>o bloom</w:t>
            </w:r>
          </w:p>
        </w:tc>
      </w:tr>
      <w:tr w:rsidR="00EF0542" w:rsidRPr="00B57B36" w14:paraId="15AAAABF" w14:textId="77777777" w:rsidTr="009028D0">
        <w:trPr>
          <w:trHeight w:val="250"/>
        </w:trPr>
        <w:tc>
          <w:tcPr>
            <w:tcW w:w="1115" w:type="dxa"/>
            <w:vMerge/>
            <w:shd w:val="clear" w:color="auto" w:fill="FFFFFF"/>
          </w:tcPr>
          <w:p w14:paraId="20752CB8" w14:textId="77777777" w:rsidR="00EF0542" w:rsidRPr="00013C11" w:rsidRDefault="00EF0542" w:rsidP="00CE027C">
            <w:pPr>
              <w:pStyle w:val="CETBodytext"/>
              <w:rPr>
                <w:lang w:val="en-GB"/>
              </w:rPr>
            </w:pPr>
          </w:p>
        </w:tc>
        <w:tc>
          <w:tcPr>
            <w:tcW w:w="1115" w:type="dxa"/>
            <w:shd w:val="clear" w:color="auto" w:fill="FFFFFF"/>
          </w:tcPr>
          <w:p w14:paraId="4A416131" w14:textId="77777777" w:rsidR="00EF0542" w:rsidRPr="00B57B36" w:rsidRDefault="008239BB" w:rsidP="00CE027C">
            <w:pPr>
              <w:pStyle w:val="CETBodytext"/>
              <w:rPr>
                <w:lang w:val="en-GB"/>
              </w:rPr>
            </w:pPr>
            <w:r>
              <w:rPr>
                <w:lang w:val="en-GB"/>
              </w:rPr>
              <w:t>Bloom</w:t>
            </w:r>
          </w:p>
        </w:tc>
        <w:tc>
          <w:tcPr>
            <w:tcW w:w="2306" w:type="dxa"/>
            <w:shd w:val="clear" w:color="auto" w:fill="FFFFFF"/>
          </w:tcPr>
          <w:p w14:paraId="493A602E" w14:textId="77777777" w:rsidR="00636C33" w:rsidRPr="00B57B36" w:rsidRDefault="00EF0542" w:rsidP="00CE027C">
            <w:pPr>
              <w:pStyle w:val="CETBodytext"/>
              <w:jc w:val="center"/>
              <w:rPr>
                <w:lang w:val="en-GB"/>
              </w:rPr>
            </w:pPr>
            <w:r>
              <w:rPr>
                <w:lang w:val="en-GB"/>
              </w:rPr>
              <w:t>True bloom alert</w:t>
            </w:r>
            <w:r w:rsidR="00003D07">
              <w:rPr>
                <w:lang w:val="en-GB"/>
              </w:rPr>
              <w:t xml:space="preserve"> </w:t>
            </w:r>
            <w:r w:rsidR="002F0E82">
              <w:rPr>
                <w:lang w:val="en-GB"/>
              </w:rPr>
              <w:t>(</w:t>
            </w:r>
            <w:r w:rsidR="00636C33">
              <w:rPr>
                <w:lang w:val="en-GB"/>
              </w:rPr>
              <w:t>13</w:t>
            </w:r>
            <w:r w:rsidR="002F0E82">
              <w:rPr>
                <w:lang w:val="en-GB"/>
              </w:rPr>
              <w:t>)</w:t>
            </w:r>
          </w:p>
        </w:tc>
        <w:tc>
          <w:tcPr>
            <w:tcW w:w="2410" w:type="dxa"/>
            <w:shd w:val="clear" w:color="auto" w:fill="FFFFFF"/>
          </w:tcPr>
          <w:p w14:paraId="5F889435" w14:textId="77777777" w:rsidR="00EF0542" w:rsidRPr="00B57B36" w:rsidRDefault="00EF0542" w:rsidP="00CE027C">
            <w:pPr>
              <w:pStyle w:val="CETBodytext"/>
              <w:ind w:right="-1"/>
              <w:jc w:val="center"/>
              <w:rPr>
                <w:rFonts w:cs="Arial"/>
                <w:szCs w:val="18"/>
                <w:lang w:val="en-GB"/>
              </w:rPr>
            </w:pPr>
            <w:r>
              <w:rPr>
                <w:rFonts w:cs="Arial"/>
                <w:szCs w:val="18"/>
                <w:lang w:val="en-GB"/>
              </w:rPr>
              <w:t>Undetected bloom</w:t>
            </w:r>
            <w:r w:rsidR="00003D07">
              <w:rPr>
                <w:rFonts w:cs="Arial"/>
                <w:szCs w:val="18"/>
                <w:lang w:val="en-GB"/>
              </w:rPr>
              <w:t xml:space="preserve">  </w:t>
            </w:r>
            <w:r w:rsidR="002F0E82">
              <w:rPr>
                <w:rFonts w:cs="Arial"/>
                <w:szCs w:val="18"/>
                <w:lang w:val="en-GB"/>
              </w:rPr>
              <w:t>(</w:t>
            </w:r>
            <w:r w:rsidR="00636C33">
              <w:rPr>
                <w:rFonts w:cs="Arial"/>
                <w:szCs w:val="18"/>
                <w:lang w:val="en-GB"/>
              </w:rPr>
              <w:t>7</w:t>
            </w:r>
            <w:r w:rsidR="002F0E82">
              <w:rPr>
                <w:rFonts w:cs="Arial"/>
                <w:szCs w:val="18"/>
                <w:lang w:val="en-GB"/>
              </w:rPr>
              <w:t>)</w:t>
            </w:r>
          </w:p>
        </w:tc>
      </w:tr>
      <w:tr w:rsidR="00EF0542" w:rsidRPr="00B57B36" w14:paraId="63115E92" w14:textId="77777777" w:rsidTr="009028D0">
        <w:trPr>
          <w:trHeight w:val="284"/>
        </w:trPr>
        <w:tc>
          <w:tcPr>
            <w:tcW w:w="1115" w:type="dxa"/>
            <w:vMerge/>
            <w:shd w:val="clear" w:color="auto" w:fill="FFFFFF"/>
          </w:tcPr>
          <w:p w14:paraId="4F650DAB" w14:textId="77777777" w:rsidR="00EF0542" w:rsidRPr="00B57B36" w:rsidRDefault="00EF0542" w:rsidP="00CE027C">
            <w:pPr>
              <w:pStyle w:val="CETBodytext"/>
              <w:ind w:right="-1"/>
              <w:rPr>
                <w:rFonts w:cs="Arial"/>
                <w:szCs w:val="18"/>
                <w:lang w:val="en-GB"/>
              </w:rPr>
            </w:pPr>
          </w:p>
        </w:tc>
        <w:tc>
          <w:tcPr>
            <w:tcW w:w="1115" w:type="dxa"/>
            <w:shd w:val="clear" w:color="auto" w:fill="FFFFFF"/>
          </w:tcPr>
          <w:p w14:paraId="72CA405F" w14:textId="77777777" w:rsidR="00EF0542" w:rsidRPr="00B57B36" w:rsidRDefault="008239BB" w:rsidP="00CE027C">
            <w:pPr>
              <w:pStyle w:val="CETBodytext"/>
              <w:ind w:right="-1"/>
              <w:rPr>
                <w:rFonts w:cs="Arial"/>
                <w:szCs w:val="18"/>
                <w:lang w:val="en-GB"/>
              </w:rPr>
            </w:pPr>
            <w:r>
              <w:rPr>
                <w:rFonts w:cs="Arial"/>
                <w:szCs w:val="18"/>
                <w:lang w:val="en-GB"/>
              </w:rPr>
              <w:t xml:space="preserve">No </w:t>
            </w:r>
            <w:r w:rsidR="00EF0542">
              <w:rPr>
                <w:rFonts w:cs="Arial"/>
                <w:szCs w:val="18"/>
                <w:lang w:val="en-GB"/>
              </w:rPr>
              <w:t>bloom</w:t>
            </w:r>
          </w:p>
        </w:tc>
        <w:tc>
          <w:tcPr>
            <w:tcW w:w="2306" w:type="dxa"/>
            <w:shd w:val="clear" w:color="auto" w:fill="FFFFFF"/>
          </w:tcPr>
          <w:p w14:paraId="541461E4" w14:textId="77777777" w:rsidR="00636C33" w:rsidRPr="00B57B36" w:rsidRDefault="00EF0542" w:rsidP="00CE027C">
            <w:pPr>
              <w:pStyle w:val="CETBodytext"/>
              <w:ind w:right="-1"/>
              <w:jc w:val="center"/>
              <w:rPr>
                <w:rFonts w:cs="Arial"/>
                <w:szCs w:val="18"/>
                <w:lang w:val="en-GB"/>
              </w:rPr>
            </w:pPr>
            <w:r>
              <w:rPr>
                <w:rFonts w:cs="Arial"/>
                <w:szCs w:val="18"/>
                <w:lang w:val="en-GB"/>
              </w:rPr>
              <w:t xml:space="preserve">False </w:t>
            </w:r>
            <w:r w:rsidRPr="00013C11">
              <w:rPr>
                <w:rFonts w:cs="Arial"/>
                <w:szCs w:val="18"/>
                <w:lang w:val="en-GB"/>
              </w:rPr>
              <w:t>bloom alert</w:t>
            </w:r>
            <w:r w:rsidR="00003D07">
              <w:rPr>
                <w:rFonts w:cs="Arial"/>
                <w:szCs w:val="18"/>
                <w:lang w:val="en-GB"/>
              </w:rPr>
              <w:t xml:space="preserve"> </w:t>
            </w:r>
            <w:r w:rsidR="002F0E82">
              <w:rPr>
                <w:rFonts w:cs="Arial"/>
                <w:szCs w:val="18"/>
                <w:lang w:val="en-GB"/>
              </w:rPr>
              <w:t>(</w:t>
            </w:r>
            <w:r w:rsidR="00636C33">
              <w:rPr>
                <w:rFonts w:cs="Arial"/>
                <w:szCs w:val="18"/>
                <w:lang w:val="en-GB"/>
              </w:rPr>
              <w:t>56</w:t>
            </w:r>
            <w:r w:rsidR="002F0E82">
              <w:rPr>
                <w:rFonts w:cs="Arial"/>
                <w:szCs w:val="18"/>
                <w:lang w:val="en-GB"/>
              </w:rPr>
              <w:t>)</w:t>
            </w:r>
          </w:p>
        </w:tc>
        <w:tc>
          <w:tcPr>
            <w:tcW w:w="2410" w:type="dxa"/>
            <w:shd w:val="clear" w:color="auto" w:fill="FFFFFF"/>
          </w:tcPr>
          <w:p w14:paraId="2CFC3887" w14:textId="77777777" w:rsidR="00EF0542" w:rsidRPr="00B57B36" w:rsidRDefault="00EF0542" w:rsidP="00CE027C">
            <w:pPr>
              <w:pStyle w:val="CETBodytext"/>
              <w:ind w:right="-1"/>
              <w:jc w:val="center"/>
              <w:rPr>
                <w:rFonts w:cs="Arial"/>
                <w:szCs w:val="18"/>
                <w:lang w:val="en-GB"/>
              </w:rPr>
            </w:pPr>
            <w:r>
              <w:rPr>
                <w:rFonts w:cs="Arial"/>
                <w:szCs w:val="18"/>
                <w:lang w:val="en-GB"/>
              </w:rPr>
              <w:t>No bloom</w:t>
            </w:r>
            <w:r w:rsidR="00003D07">
              <w:rPr>
                <w:rFonts w:cs="Arial"/>
                <w:szCs w:val="18"/>
                <w:lang w:val="en-GB"/>
              </w:rPr>
              <w:t xml:space="preserve"> </w:t>
            </w:r>
            <w:r w:rsidR="002F0E82">
              <w:rPr>
                <w:rFonts w:cs="Arial"/>
                <w:szCs w:val="18"/>
                <w:lang w:val="en-GB"/>
              </w:rPr>
              <w:t>(</w:t>
            </w:r>
            <w:r w:rsidR="00636C33">
              <w:rPr>
                <w:rFonts w:cs="Arial"/>
                <w:szCs w:val="18"/>
                <w:lang w:val="en-GB"/>
              </w:rPr>
              <w:t>162</w:t>
            </w:r>
            <w:r w:rsidR="002F0E82">
              <w:rPr>
                <w:rFonts w:cs="Arial"/>
                <w:szCs w:val="18"/>
                <w:lang w:val="en-GB"/>
              </w:rPr>
              <w:t>)</w:t>
            </w:r>
          </w:p>
        </w:tc>
      </w:tr>
    </w:tbl>
    <w:p w14:paraId="2C65E47A" w14:textId="77777777" w:rsidR="006F495D" w:rsidRDefault="006F495D" w:rsidP="00CE027C">
      <w:pPr>
        <w:rPr>
          <w:rStyle w:val="CETBodytextCarattere"/>
        </w:rPr>
      </w:pPr>
    </w:p>
    <w:p w14:paraId="5BFAE333" w14:textId="77777777" w:rsidR="00B12D41" w:rsidDel="00B425EA" w:rsidRDefault="00636C33" w:rsidP="00CE027C">
      <w:r w:rsidRPr="00636C33" w:rsidDel="00B425EA">
        <w:rPr>
          <w:rStyle w:val="CETBodytextCarattere"/>
        </w:rPr>
        <w:lastRenderedPageBreak/>
        <w:t xml:space="preserve">This kind of test represents a possible operating strategy of the model and shows the capability to deal with data </w:t>
      </w:r>
      <w:r w:rsidR="008239BB" w:rsidDel="00B425EA">
        <w:rPr>
          <w:rStyle w:val="CETBodytextCarattere"/>
        </w:rPr>
        <w:t>collected</w:t>
      </w:r>
      <w:r w:rsidR="008239BB" w:rsidRPr="00636C33" w:rsidDel="00B425EA">
        <w:rPr>
          <w:rStyle w:val="CETBodytextCarattere"/>
        </w:rPr>
        <w:t xml:space="preserve"> </w:t>
      </w:r>
      <w:r w:rsidRPr="00636C33" w:rsidDel="00B425EA">
        <w:rPr>
          <w:rStyle w:val="CETBodytextCarattere"/>
        </w:rPr>
        <w:t xml:space="preserve">in different years without degradation. With this data, in fact, TPR is 65% and FPR is 25%, not too different from TPR/FPR estimated with the whole dataset in OOB mode. </w:t>
      </w:r>
      <w:r w:rsidR="00B12D41">
        <w:rPr>
          <w:rFonts w:cs="Arial"/>
          <w:color w:val="000000"/>
          <w:szCs w:val="18"/>
        </w:rPr>
        <w:t xml:space="preserve">The results of this test suggest that further analyses are needed and the present methodology should be useful to guide the sampling strategy. Yet, both estimates are not indicative of the detection performance of the full </w:t>
      </w:r>
      <w:proofErr w:type="spellStart"/>
      <w:r w:rsidR="00B12D41">
        <w:rPr>
          <w:rFonts w:cs="Arial"/>
          <w:i/>
          <w:iCs/>
          <w:color w:val="000000"/>
          <w:szCs w:val="18"/>
        </w:rPr>
        <w:t>Ostreopsis</w:t>
      </w:r>
      <w:proofErr w:type="spellEnd"/>
      <w:r w:rsidR="00B12D41">
        <w:rPr>
          <w:rFonts w:cs="Arial"/>
          <w:color w:val="000000"/>
          <w:szCs w:val="18"/>
        </w:rPr>
        <w:t xml:space="preserve"> monitoring chain.</w:t>
      </w:r>
    </w:p>
    <w:p w14:paraId="42EB1549" w14:textId="77777777" w:rsidR="00037F17" w:rsidRPr="00B57B36" w:rsidRDefault="00037F17" w:rsidP="00CE027C">
      <w:pPr>
        <w:pStyle w:val="CETHeading1"/>
        <w:spacing w:line="264" w:lineRule="auto"/>
        <w:rPr>
          <w:lang w:val="en-GB"/>
        </w:rPr>
      </w:pPr>
      <w:r w:rsidRPr="00B57B36">
        <w:rPr>
          <w:lang w:val="en-GB"/>
        </w:rPr>
        <w:t>Conclusions</w:t>
      </w:r>
    </w:p>
    <w:p w14:paraId="4F9C71BA" w14:textId="77777777" w:rsidR="00A86ADA" w:rsidRDefault="00636C33" w:rsidP="00CE027C">
      <w:pPr>
        <w:pStyle w:val="CETBodytext"/>
      </w:pPr>
      <w:proofErr w:type="spellStart"/>
      <w:r w:rsidRPr="00636C33">
        <w:rPr>
          <w:i/>
        </w:rPr>
        <w:t>Ostreopsis</w:t>
      </w:r>
      <w:proofErr w:type="spellEnd"/>
      <w:r w:rsidRPr="00636C33">
        <w:rPr>
          <w:i/>
        </w:rPr>
        <w:t xml:space="preserve"> </w:t>
      </w:r>
      <w:proofErr w:type="spellStart"/>
      <w:r w:rsidRPr="00636C33">
        <w:rPr>
          <w:i/>
        </w:rPr>
        <w:t>cf</w:t>
      </w:r>
      <w:proofErr w:type="spellEnd"/>
      <w:r w:rsidRPr="00636C33">
        <w:rPr>
          <w:i/>
        </w:rPr>
        <w:t xml:space="preserve"> ovata</w:t>
      </w:r>
      <w:r>
        <w:t xml:space="preserve"> blooms regularly occur in the </w:t>
      </w:r>
      <w:proofErr w:type="spellStart"/>
      <w:r>
        <w:t>Ligurian</w:t>
      </w:r>
      <w:proofErr w:type="spellEnd"/>
      <w:r>
        <w:t xml:space="preserve"> Sea during summer since 2005. Due to the associated risk for health problems on humans, a monitoring plan, carried on by ARPAL for the </w:t>
      </w:r>
      <w:proofErr w:type="spellStart"/>
      <w:r>
        <w:t>Ligurian</w:t>
      </w:r>
      <w:proofErr w:type="spellEnd"/>
      <w:r>
        <w:t xml:space="preserve"> Region, was introduced by the Italian Ministry of Health as part of the risk management actions. Survey campaigns follow a three-phase monitoring plan: a routine phase, that considers, from June to September, at least two sampling </w:t>
      </w:r>
      <w:r w:rsidR="00066E21">
        <w:t xml:space="preserve">events </w:t>
      </w:r>
      <w:r>
        <w:t>per month, an alert phase and an emergency phase, identified by thresholds of cells concentrations in the water of, respectively, 10,0000 cells/l (Alert) and 30,000 cells/l (</w:t>
      </w:r>
      <w:r w:rsidR="00066E21">
        <w:t>Emergency</w:t>
      </w:r>
      <w:r>
        <w:t xml:space="preserve">), </w:t>
      </w:r>
      <w:r w:rsidR="00066E21">
        <w:t>which require</w:t>
      </w:r>
      <w:r>
        <w:t xml:space="preserve"> more intense sampling activities, followed by an adequate communication to the public. Monitoring campaigns are time intensive, and are carried out at a frequency that may not be appropriate to detect the variability of </w:t>
      </w:r>
      <w:proofErr w:type="spellStart"/>
      <w:r w:rsidRPr="00636C33">
        <w:rPr>
          <w:i/>
        </w:rPr>
        <w:t>Ostreopsis</w:t>
      </w:r>
      <w:proofErr w:type="spellEnd"/>
      <w:r>
        <w:t xml:space="preserve"> dynamics. The routine phase samples are not always able to catch local blooms, while extra sampling during alert and emergency phases should be frequent enough to be able to identify the </w:t>
      </w:r>
      <w:r w:rsidR="003B017E">
        <w:t xml:space="preserve">exact </w:t>
      </w:r>
      <w:r>
        <w:t xml:space="preserve">time period when conditions are </w:t>
      </w:r>
      <w:r w:rsidR="003B017E">
        <w:t xml:space="preserve">actually </w:t>
      </w:r>
      <w:r>
        <w:t xml:space="preserve">associated </w:t>
      </w:r>
      <w:r w:rsidR="002A4CD0">
        <w:t xml:space="preserve">with </w:t>
      </w:r>
      <w:r>
        <w:t xml:space="preserve">health risk for the population. However, </w:t>
      </w:r>
      <w:proofErr w:type="spellStart"/>
      <w:r w:rsidRPr="00352323">
        <w:rPr>
          <w:i/>
        </w:rPr>
        <w:t>Ostreopsis</w:t>
      </w:r>
      <w:proofErr w:type="spellEnd"/>
      <w:r>
        <w:t xml:space="preserve"> concentration alone is not sufficient to identify the duration of the health emergency, as environmental conditions, such as wave, wind, rain and temperature, can highly influence bloom effects over a small scale</w:t>
      </w:r>
      <w:r w:rsidR="003B017E">
        <w:t xml:space="preserve"> (in space and time)</w:t>
      </w:r>
      <w:r>
        <w:t xml:space="preserve">. The use of a predictive model to support sampling strategy in both routing phase, and in </w:t>
      </w:r>
      <w:r w:rsidR="003B017E">
        <w:t xml:space="preserve">the </w:t>
      </w:r>
      <w:r>
        <w:t xml:space="preserve">alert/emergency phase, could lead to a reduction of costs and </w:t>
      </w:r>
      <w:r w:rsidR="003B017E">
        <w:t xml:space="preserve">to </w:t>
      </w:r>
      <w:r>
        <w:t xml:space="preserve">an optimization of the sampling strategy to provide a higher quality service of early warning. The proposed predictive model, being based on data generated by meteorological and hydrodynamic forecasting models, can be used in an operation way, providing important information of predicted </w:t>
      </w:r>
      <w:proofErr w:type="spellStart"/>
      <w:r w:rsidRPr="00352323">
        <w:rPr>
          <w:i/>
        </w:rPr>
        <w:t>Ostreopsis</w:t>
      </w:r>
      <w:proofErr w:type="spellEnd"/>
      <w:r w:rsidRPr="00352323">
        <w:rPr>
          <w:i/>
        </w:rPr>
        <w:t xml:space="preserve"> </w:t>
      </w:r>
      <w:r>
        <w:t>concentration as well as probability of threshold exceedance, thus supporting ARPAL in optimizing monitoring campaign designs, and possibly limit actual sampling to cases of predicted bloom events. Additionally, this predictive tool can help the Regional Agency in the decision</w:t>
      </w:r>
      <w:r w:rsidR="003B017E">
        <w:t>-</w:t>
      </w:r>
      <w:r>
        <w:t xml:space="preserve">making process, providing an alert when/where a given alarm threshold is exceeded in order to trigger the emergency procedures. In this vision, the use of the Quantile Regression Forests (QRF) allows mimicking a more or less risk inclined approach </w:t>
      </w:r>
      <w:r w:rsidR="003B017E">
        <w:t xml:space="preserve">for </w:t>
      </w:r>
      <w:r>
        <w:t>coastal managers</w:t>
      </w:r>
      <w:r w:rsidR="002D5740">
        <w:t>.</w:t>
      </w:r>
      <w:r w:rsidR="007D7182">
        <w:t xml:space="preserve"> </w:t>
      </w:r>
    </w:p>
    <w:p w14:paraId="3FC3CF1A" w14:textId="77777777" w:rsidR="00A86ADA" w:rsidRPr="00B57B36" w:rsidRDefault="00A86ADA" w:rsidP="00CE027C">
      <w:pPr>
        <w:pStyle w:val="CETReference"/>
        <w:spacing w:line="264" w:lineRule="auto"/>
      </w:pPr>
      <w:r w:rsidRPr="00B57B36">
        <w:t>References</w:t>
      </w:r>
    </w:p>
    <w:p w14:paraId="55ECECD0" w14:textId="77777777" w:rsidR="00D704EF" w:rsidRPr="00CE027C" w:rsidRDefault="00D704EF" w:rsidP="00CE027C">
      <w:pPr>
        <w:pStyle w:val="CETReferencetext"/>
      </w:pPr>
      <w:proofErr w:type="spellStart"/>
      <w:r w:rsidRPr="00CE027C">
        <w:t>Accoroni</w:t>
      </w:r>
      <w:proofErr w:type="spellEnd"/>
      <w:r w:rsidRPr="00CE027C">
        <w:t xml:space="preserve"> S., </w:t>
      </w:r>
      <w:proofErr w:type="spellStart"/>
      <w:r w:rsidRPr="00CE027C">
        <w:t>Totti</w:t>
      </w:r>
      <w:proofErr w:type="spellEnd"/>
      <w:r w:rsidRPr="00CE027C">
        <w:t xml:space="preserve"> C., 2016, The toxic benthic dinoflagellates of the genus </w:t>
      </w:r>
      <w:proofErr w:type="spellStart"/>
      <w:r w:rsidRPr="00CE027C">
        <w:t>Ostreopsis</w:t>
      </w:r>
      <w:proofErr w:type="spellEnd"/>
      <w:r w:rsidRPr="00CE027C">
        <w:t xml:space="preserve"> in temperate areas: a review, Advances in Oceanography and Limnology</w:t>
      </w:r>
      <w:r w:rsidR="00C00D09" w:rsidRPr="00CE027C">
        <w:t>,</w:t>
      </w:r>
      <w:r w:rsidRPr="00CE027C">
        <w:t xml:space="preserve"> 7(1)</w:t>
      </w:r>
      <w:r w:rsidR="0004413D" w:rsidRPr="00CE027C">
        <w:t>,</w:t>
      </w:r>
      <w:r w:rsidRPr="00CE027C">
        <w:t xml:space="preserve"> 1-15</w:t>
      </w:r>
      <w:r w:rsidR="00B77896" w:rsidRPr="00CE027C">
        <w:t>.</w:t>
      </w:r>
    </w:p>
    <w:p w14:paraId="7D45D5A1" w14:textId="77777777" w:rsidR="00D704EF" w:rsidRPr="00CE027C" w:rsidRDefault="001338DF" w:rsidP="00CE027C">
      <w:pPr>
        <w:pStyle w:val="CETReferencetext"/>
      </w:pPr>
      <w:proofErr w:type="spellStart"/>
      <w:r w:rsidRPr="00CE027C">
        <w:t>Aligizaki</w:t>
      </w:r>
      <w:proofErr w:type="spellEnd"/>
      <w:r w:rsidR="00D704EF" w:rsidRPr="00CE027C">
        <w:t xml:space="preserve"> K., </w:t>
      </w:r>
      <w:proofErr w:type="spellStart"/>
      <w:r w:rsidR="00D704EF" w:rsidRPr="00CE027C">
        <w:t>Nikolaidis</w:t>
      </w:r>
      <w:proofErr w:type="spellEnd"/>
      <w:r w:rsidR="00D704EF" w:rsidRPr="00CE027C">
        <w:t xml:space="preserve"> G., 2006</w:t>
      </w:r>
      <w:r w:rsidRPr="00CE027C">
        <w:t>,</w:t>
      </w:r>
      <w:r w:rsidR="00D704EF" w:rsidRPr="00CE027C">
        <w:t xml:space="preserve"> The presence of the potentially toxic genera </w:t>
      </w:r>
      <w:proofErr w:type="spellStart"/>
      <w:r w:rsidR="00D704EF" w:rsidRPr="00CE027C">
        <w:t>Ostreopsis</w:t>
      </w:r>
      <w:proofErr w:type="spellEnd"/>
      <w:r w:rsidR="00D704EF" w:rsidRPr="00CE027C">
        <w:t xml:space="preserve"> and </w:t>
      </w:r>
      <w:proofErr w:type="spellStart"/>
      <w:r w:rsidR="00D704EF" w:rsidRPr="00CE027C">
        <w:t>Coolia</w:t>
      </w:r>
      <w:proofErr w:type="spellEnd"/>
      <w:r w:rsidR="00D704EF" w:rsidRPr="00CE027C">
        <w:t xml:space="preserve"> (</w:t>
      </w:r>
      <w:proofErr w:type="spellStart"/>
      <w:r w:rsidR="00D704EF" w:rsidRPr="00CE027C">
        <w:t>Dinophyceae</w:t>
      </w:r>
      <w:proofErr w:type="spellEnd"/>
      <w:r w:rsidR="00D704EF" w:rsidRPr="00CE027C">
        <w:t>) in the North Aegean Sea, Greece</w:t>
      </w:r>
      <w:r w:rsidR="00C00D09" w:rsidRPr="00CE027C">
        <w:t>,</w:t>
      </w:r>
      <w:r w:rsidR="00D704EF" w:rsidRPr="00CE027C">
        <w:t>. Harmful Algae 5, 717–730.</w:t>
      </w:r>
    </w:p>
    <w:p w14:paraId="7B217B2B" w14:textId="77777777" w:rsidR="00A86ADA" w:rsidRPr="00CE027C" w:rsidRDefault="00A86ADA" w:rsidP="00CE027C">
      <w:pPr>
        <w:pStyle w:val="CETReferencetext"/>
      </w:pPr>
      <w:proofErr w:type="spellStart"/>
      <w:r w:rsidRPr="00CE027C">
        <w:t>Asnaghi</w:t>
      </w:r>
      <w:proofErr w:type="spellEnd"/>
      <w:r w:rsidRPr="00CE027C">
        <w:t xml:space="preserve"> V., Pecorino D., Ottaviani E., </w:t>
      </w:r>
      <w:proofErr w:type="spellStart"/>
      <w:r w:rsidRPr="00CE027C">
        <w:t>Pedroncini</w:t>
      </w:r>
      <w:proofErr w:type="spellEnd"/>
      <w:r w:rsidRPr="00CE027C">
        <w:t xml:space="preserve"> A., </w:t>
      </w:r>
      <w:proofErr w:type="spellStart"/>
      <w:r w:rsidRPr="00CE027C">
        <w:t>Bertolotto</w:t>
      </w:r>
      <w:proofErr w:type="spellEnd"/>
      <w:r w:rsidRPr="00CE027C">
        <w:t xml:space="preserve"> R.M., </w:t>
      </w:r>
      <w:proofErr w:type="spellStart"/>
      <w:r w:rsidRPr="00CE027C">
        <w:t>Chiantore</w:t>
      </w:r>
      <w:proofErr w:type="spellEnd"/>
      <w:r w:rsidRPr="00CE027C">
        <w:t xml:space="preserve"> M., 2017, A novel application of an adaptable </w:t>
      </w:r>
      <w:proofErr w:type="spellStart"/>
      <w:r w:rsidRPr="00CE027C">
        <w:t>modeling</w:t>
      </w:r>
      <w:proofErr w:type="spellEnd"/>
      <w:r w:rsidRPr="00CE027C">
        <w:t xml:space="preserve"> approach to the management of toxic </w:t>
      </w:r>
      <w:proofErr w:type="spellStart"/>
      <w:r w:rsidRPr="00CE027C">
        <w:t>microalgal</w:t>
      </w:r>
      <w:proofErr w:type="spellEnd"/>
      <w:r w:rsidRPr="00CE027C">
        <w:t xml:space="preserve"> bloom events in coastal areas, Harmful Algae</w:t>
      </w:r>
      <w:r w:rsidR="005224D7" w:rsidRPr="00CE027C">
        <w:t>, 63</w:t>
      </w:r>
      <w:r w:rsidRPr="00CE027C">
        <w:t>, 184-192</w:t>
      </w:r>
      <w:r w:rsidR="00B77896" w:rsidRPr="00CE027C">
        <w:t>.</w:t>
      </w:r>
    </w:p>
    <w:p w14:paraId="4E7F2039" w14:textId="77777777" w:rsidR="00A024C9" w:rsidRPr="00CE027C" w:rsidRDefault="00D704EF" w:rsidP="00CE027C">
      <w:pPr>
        <w:pStyle w:val="CETReferencetext"/>
      </w:pPr>
      <w:proofErr w:type="spellStart"/>
      <w:r w:rsidRPr="00CE027C">
        <w:t>Asnaghi</w:t>
      </w:r>
      <w:proofErr w:type="spellEnd"/>
      <w:r w:rsidRPr="00CE027C">
        <w:t xml:space="preserve"> V., </w:t>
      </w:r>
      <w:proofErr w:type="spellStart"/>
      <w:r w:rsidRPr="00CE027C">
        <w:t>Bertolotto</w:t>
      </w:r>
      <w:proofErr w:type="spellEnd"/>
      <w:r w:rsidR="001338DF" w:rsidRPr="00CE027C">
        <w:t xml:space="preserve"> R., Giussani</w:t>
      </w:r>
      <w:r w:rsidRPr="00CE027C">
        <w:t xml:space="preserve"> V., </w:t>
      </w:r>
      <w:proofErr w:type="spellStart"/>
      <w:r w:rsidRPr="00CE027C">
        <w:t>Mangialajo</w:t>
      </w:r>
      <w:proofErr w:type="spellEnd"/>
      <w:r w:rsidRPr="00CE027C">
        <w:t xml:space="preserve">, L., Hewitt, J., Thrush, S., </w:t>
      </w:r>
      <w:proofErr w:type="spellStart"/>
      <w:r w:rsidRPr="00CE027C">
        <w:t>Moretto</w:t>
      </w:r>
      <w:proofErr w:type="spellEnd"/>
      <w:r w:rsidRPr="00CE027C">
        <w:t xml:space="preserve">, P., Castellano, M., Rossi, A., </w:t>
      </w:r>
      <w:proofErr w:type="spellStart"/>
      <w:r w:rsidRPr="00CE027C">
        <w:t>Povero</w:t>
      </w:r>
      <w:proofErr w:type="spellEnd"/>
      <w:r w:rsidRPr="00CE027C">
        <w:t xml:space="preserve">, P., </w:t>
      </w:r>
      <w:proofErr w:type="spellStart"/>
      <w:r w:rsidRPr="00CE027C">
        <w:t>Cattaneo-Vietti</w:t>
      </w:r>
      <w:proofErr w:type="spellEnd"/>
      <w:r w:rsidRPr="00CE027C">
        <w:t xml:space="preserve">, R., 2012, </w:t>
      </w:r>
      <w:proofErr w:type="spellStart"/>
      <w:r w:rsidRPr="00CE027C">
        <w:t>Interannual</w:t>
      </w:r>
      <w:proofErr w:type="spellEnd"/>
      <w:r w:rsidRPr="00CE027C">
        <w:t xml:space="preserve"> variability in </w:t>
      </w:r>
      <w:proofErr w:type="spellStart"/>
      <w:r w:rsidRPr="00CE027C">
        <w:t>Ostreopsis</w:t>
      </w:r>
      <w:proofErr w:type="spellEnd"/>
      <w:r w:rsidRPr="00CE027C">
        <w:t xml:space="preserve"> ovata bloom dynamic along Genoa coast (North- Western Mediterranean): a preliminary </w:t>
      </w:r>
      <w:proofErr w:type="spellStart"/>
      <w:r w:rsidRPr="00CE027C">
        <w:t>modeling</w:t>
      </w:r>
      <w:proofErr w:type="spellEnd"/>
      <w:r w:rsidRPr="00CE027C">
        <w:t xml:space="preserve"> approach. </w:t>
      </w:r>
      <w:proofErr w:type="spellStart"/>
      <w:r w:rsidR="0004413D" w:rsidRPr="00CE027C">
        <w:t>Cryptogamie</w:t>
      </w:r>
      <w:proofErr w:type="spellEnd"/>
      <w:r w:rsidR="0004413D" w:rsidRPr="00CE027C">
        <w:t xml:space="preserve"> </w:t>
      </w:r>
      <w:proofErr w:type="spellStart"/>
      <w:r w:rsidR="0004413D" w:rsidRPr="00CE027C">
        <w:t>Algologique</w:t>
      </w:r>
      <w:proofErr w:type="spellEnd"/>
      <w:r w:rsidR="0004413D" w:rsidRPr="00CE027C">
        <w:t>, 33 (2),</w:t>
      </w:r>
      <w:r w:rsidRPr="00CE027C">
        <w:t xml:space="preserve"> 181-189</w:t>
      </w:r>
      <w:r w:rsidR="00B77896" w:rsidRPr="00CE027C">
        <w:t>.</w:t>
      </w:r>
      <w:r w:rsidRPr="00CE027C">
        <w:t xml:space="preserve"> </w:t>
      </w:r>
    </w:p>
    <w:p w14:paraId="7E04116E" w14:textId="77777777" w:rsidR="001338DF" w:rsidRPr="00CE027C" w:rsidRDefault="001338DF" w:rsidP="00CE027C">
      <w:pPr>
        <w:pStyle w:val="CETReferencetext"/>
      </w:pPr>
      <w:r w:rsidRPr="00CE027C">
        <w:t>Barone R</w:t>
      </w:r>
      <w:r w:rsidR="00EB2134" w:rsidRPr="00CE027C">
        <w:t>.</w:t>
      </w:r>
      <w:r w:rsidRPr="00CE027C">
        <w:t xml:space="preserve">, 2007, Behavioural trait of </w:t>
      </w:r>
      <w:proofErr w:type="spellStart"/>
      <w:r w:rsidRPr="00CE027C">
        <w:t>Ostreopsis</w:t>
      </w:r>
      <w:proofErr w:type="spellEnd"/>
      <w:r w:rsidRPr="00CE027C">
        <w:t xml:space="preserve"> ovata (</w:t>
      </w:r>
      <w:proofErr w:type="spellStart"/>
      <w:r w:rsidRPr="00CE027C">
        <w:t>Dinophyceae</w:t>
      </w:r>
      <w:proofErr w:type="spellEnd"/>
      <w:r w:rsidRPr="00CE027C">
        <w:t>) in Mediterranean rock pools: the spider’s strategy, Harmful Algae News</w:t>
      </w:r>
      <w:r w:rsidR="00EB2134" w:rsidRPr="00CE027C">
        <w:t>,</w:t>
      </w:r>
      <w:r w:rsidR="0004413D" w:rsidRPr="00CE027C">
        <w:t xml:space="preserve"> 33, </w:t>
      </w:r>
      <w:r w:rsidRPr="00CE027C">
        <w:t>1-3</w:t>
      </w:r>
      <w:r w:rsidR="00B77896" w:rsidRPr="00CE027C">
        <w:t>.</w:t>
      </w:r>
    </w:p>
    <w:p w14:paraId="7D1DAA49" w14:textId="77777777" w:rsidR="00E24679" w:rsidRPr="00CE027C" w:rsidRDefault="00E24679" w:rsidP="00CE027C">
      <w:pPr>
        <w:pStyle w:val="CETReferencetext"/>
      </w:pPr>
      <w:proofErr w:type="spellStart"/>
      <w:r w:rsidRPr="00CE027C">
        <w:t>Breiman</w:t>
      </w:r>
      <w:proofErr w:type="spellEnd"/>
      <w:r w:rsidRPr="00CE027C">
        <w:t xml:space="preserve"> L., 2001, Random forests, Mach. Learn., 45, 5–32</w:t>
      </w:r>
      <w:r w:rsidR="00B77896" w:rsidRPr="00CE027C">
        <w:t>.</w:t>
      </w:r>
    </w:p>
    <w:p w14:paraId="761AA023" w14:textId="77777777" w:rsidR="009D7C04" w:rsidRPr="00CE027C" w:rsidRDefault="009D7C04" w:rsidP="00CE027C">
      <w:pPr>
        <w:pStyle w:val="CETReferencetext"/>
      </w:pPr>
      <w:proofErr w:type="spellStart"/>
      <w:r w:rsidRPr="00CE027C">
        <w:t>Carella</w:t>
      </w:r>
      <w:proofErr w:type="spellEnd"/>
      <w:r w:rsidRPr="00CE027C">
        <w:t xml:space="preserve"> F., </w:t>
      </w:r>
      <w:proofErr w:type="spellStart"/>
      <w:r w:rsidRPr="00CE027C">
        <w:t>Sardo</w:t>
      </w:r>
      <w:proofErr w:type="spellEnd"/>
      <w:r w:rsidRPr="00CE027C">
        <w:t xml:space="preserve"> A., </w:t>
      </w:r>
      <w:proofErr w:type="spellStart"/>
      <w:r w:rsidRPr="00CE027C">
        <w:t>Mangoni</w:t>
      </w:r>
      <w:proofErr w:type="spellEnd"/>
      <w:r w:rsidRPr="00CE027C">
        <w:t xml:space="preserve"> O., Di </w:t>
      </w:r>
      <w:proofErr w:type="spellStart"/>
      <w:r w:rsidRPr="00CE027C">
        <w:t>Cioccio</w:t>
      </w:r>
      <w:proofErr w:type="spellEnd"/>
      <w:r w:rsidRPr="00CE027C">
        <w:t xml:space="preserve"> D., </w:t>
      </w:r>
      <w:proofErr w:type="spellStart"/>
      <w:r w:rsidRPr="00CE027C">
        <w:t>Urciuolo</w:t>
      </w:r>
      <w:proofErr w:type="spellEnd"/>
      <w:r w:rsidRPr="00CE027C">
        <w:t xml:space="preserve"> G., De </w:t>
      </w:r>
      <w:proofErr w:type="spellStart"/>
      <w:r w:rsidRPr="00CE027C">
        <w:t>Vico</w:t>
      </w:r>
      <w:proofErr w:type="spellEnd"/>
      <w:r w:rsidRPr="00CE027C">
        <w:t xml:space="preserve"> G., </w:t>
      </w:r>
      <w:proofErr w:type="spellStart"/>
      <w:r w:rsidRPr="00CE027C">
        <w:t>Zingone</w:t>
      </w:r>
      <w:proofErr w:type="spellEnd"/>
      <w:r w:rsidRPr="00CE027C">
        <w:t xml:space="preserve"> A., 2015, Quantitative histopathology of the Mediterranean mussel (</w:t>
      </w:r>
      <w:proofErr w:type="spellStart"/>
      <w:r w:rsidRPr="00CE027C">
        <w:t>Mytilus</w:t>
      </w:r>
      <w:proofErr w:type="spellEnd"/>
      <w:r w:rsidRPr="00CE027C">
        <w:t xml:space="preserve"> </w:t>
      </w:r>
      <w:proofErr w:type="spellStart"/>
      <w:r w:rsidRPr="00CE027C">
        <w:t>galloprovincialis</w:t>
      </w:r>
      <w:proofErr w:type="spellEnd"/>
      <w:r w:rsidRPr="00CE027C">
        <w:t xml:space="preserve"> L.) exposed to the harmful dinoflagellate </w:t>
      </w:r>
      <w:proofErr w:type="spellStart"/>
      <w:r w:rsidRPr="00CE027C">
        <w:t>Ostreopsis</w:t>
      </w:r>
      <w:proofErr w:type="spellEnd"/>
      <w:r w:rsidRPr="00CE027C">
        <w:t xml:space="preserve"> cf. ovata, J. </w:t>
      </w:r>
      <w:proofErr w:type="spellStart"/>
      <w:r w:rsidRPr="00CE027C">
        <w:t>Invertebr</w:t>
      </w:r>
      <w:proofErr w:type="spellEnd"/>
      <w:r w:rsidRPr="00CE027C">
        <w:t xml:space="preserve">. </w:t>
      </w:r>
      <w:proofErr w:type="spellStart"/>
      <w:r w:rsidRPr="00CE027C">
        <w:t>Pathol</w:t>
      </w:r>
      <w:proofErr w:type="spellEnd"/>
      <w:r w:rsidRPr="00CE027C">
        <w:t>., 127, 130-140</w:t>
      </w:r>
      <w:r w:rsidR="00B77896" w:rsidRPr="00CE027C">
        <w:t>.</w:t>
      </w:r>
    </w:p>
    <w:p w14:paraId="767E5506" w14:textId="77777777" w:rsidR="00A86ADA" w:rsidRPr="00CE027C" w:rsidRDefault="00A024C9" w:rsidP="00CE027C">
      <w:pPr>
        <w:pStyle w:val="CETReferencetext"/>
      </w:pPr>
      <w:proofErr w:type="spellStart"/>
      <w:r w:rsidRPr="00CE027C">
        <w:t>Carnicer</w:t>
      </w:r>
      <w:proofErr w:type="spellEnd"/>
      <w:r w:rsidRPr="00CE027C">
        <w:t xml:space="preserve"> O., </w:t>
      </w:r>
      <w:proofErr w:type="spellStart"/>
      <w:r w:rsidRPr="00CE027C">
        <w:t>Guallar</w:t>
      </w:r>
      <w:proofErr w:type="spellEnd"/>
      <w:r w:rsidRPr="00CE027C">
        <w:t xml:space="preserve"> C., Andree KB., </w:t>
      </w:r>
      <w:proofErr w:type="spellStart"/>
      <w:r w:rsidRPr="00CE027C">
        <w:t>Diogène</w:t>
      </w:r>
      <w:proofErr w:type="spellEnd"/>
      <w:r w:rsidRPr="00CE027C">
        <w:t xml:space="preserve"> J., </w:t>
      </w:r>
      <w:proofErr w:type="spellStart"/>
      <w:r w:rsidRPr="00CE027C">
        <w:t>Fernández-Tejedor</w:t>
      </w:r>
      <w:proofErr w:type="spellEnd"/>
      <w:r w:rsidRPr="00CE027C">
        <w:t xml:space="preserve"> M., 2015, </w:t>
      </w:r>
      <w:proofErr w:type="spellStart"/>
      <w:r w:rsidRPr="00CE027C">
        <w:t>Ostreopsis</w:t>
      </w:r>
      <w:proofErr w:type="spellEnd"/>
      <w:r w:rsidRPr="00CE027C">
        <w:t xml:space="preserve"> cf. ovata dynamics in the NW Mediterranean Sea in relation to biotic and abiotic factors, Environmental Research, 143, 89-99</w:t>
      </w:r>
      <w:r w:rsidR="00B77896" w:rsidRPr="00CE027C">
        <w:t>.</w:t>
      </w:r>
    </w:p>
    <w:p w14:paraId="6790C030" w14:textId="77777777" w:rsidR="00222DE8" w:rsidRPr="00CE027C" w:rsidRDefault="00222DE8" w:rsidP="00CE027C">
      <w:pPr>
        <w:pStyle w:val="CETReferencetext"/>
      </w:pPr>
      <w:r w:rsidRPr="00CE027C">
        <w:t xml:space="preserve">Del </w:t>
      </w:r>
      <w:proofErr w:type="spellStart"/>
      <w:r w:rsidRPr="00CE027C">
        <w:t>Favero</w:t>
      </w:r>
      <w:proofErr w:type="spellEnd"/>
      <w:r w:rsidRPr="00CE027C">
        <w:t xml:space="preserve"> G., Sosa S., </w:t>
      </w:r>
      <w:proofErr w:type="spellStart"/>
      <w:r w:rsidRPr="00CE027C">
        <w:t>Pelin</w:t>
      </w:r>
      <w:proofErr w:type="spellEnd"/>
      <w:r w:rsidRPr="00CE027C">
        <w:t xml:space="preserve"> M., </w:t>
      </w:r>
      <w:proofErr w:type="spellStart"/>
      <w:r w:rsidRPr="00CE027C">
        <w:t>D’Orlando</w:t>
      </w:r>
      <w:proofErr w:type="spellEnd"/>
      <w:r w:rsidRPr="00CE027C">
        <w:t xml:space="preserve"> E., Florio C., </w:t>
      </w:r>
      <w:proofErr w:type="spellStart"/>
      <w:r w:rsidRPr="00CE027C">
        <w:t>Lorenzon</w:t>
      </w:r>
      <w:proofErr w:type="spellEnd"/>
      <w:r w:rsidRPr="00CE027C">
        <w:t xml:space="preserve"> P., </w:t>
      </w:r>
      <w:proofErr w:type="spellStart"/>
      <w:r w:rsidRPr="00CE027C">
        <w:t>Poli</w:t>
      </w:r>
      <w:proofErr w:type="spellEnd"/>
      <w:r w:rsidRPr="00CE027C">
        <w:t xml:space="preserve"> M., </w:t>
      </w:r>
      <w:proofErr w:type="spellStart"/>
      <w:r w:rsidRPr="00CE027C">
        <w:t>Tubaro</w:t>
      </w:r>
      <w:proofErr w:type="spellEnd"/>
      <w:r w:rsidRPr="00CE027C">
        <w:t xml:space="preserve"> A., 2012., Sanitary problems related to the presence of </w:t>
      </w:r>
      <w:proofErr w:type="spellStart"/>
      <w:r w:rsidRPr="00CE027C">
        <w:t>Ostreopsis</w:t>
      </w:r>
      <w:proofErr w:type="spellEnd"/>
      <w:r w:rsidRPr="00CE027C">
        <w:t xml:space="preserve"> spp. in the Mediterranean Sea: a multidisciplinary scientific approach, Ann. </w:t>
      </w:r>
      <w:proofErr w:type="spellStart"/>
      <w:r w:rsidRPr="00CE027C">
        <w:t>Ist</w:t>
      </w:r>
      <w:proofErr w:type="spellEnd"/>
      <w:r w:rsidRPr="00CE027C">
        <w:t xml:space="preserve">. Super. </w:t>
      </w:r>
      <w:proofErr w:type="spellStart"/>
      <w:r w:rsidRPr="00CE027C">
        <w:t>Sanità</w:t>
      </w:r>
      <w:proofErr w:type="spellEnd"/>
      <w:r w:rsidRPr="00CE027C">
        <w:t>, 48, 407-414</w:t>
      </w:r>
      <w:r w:rsidR="00B77896" w:rsidRPr="00CE027C">
        <w:t>.</w:t>
      </w:r>
    </w:p>
    <w:p w14:paraId="3729D8C4" w14:textId="77777777" w:rsidR="00963506" w:rsidRPr="00CE027C" w:rsidRDefault="00963506" w:rsidP="00CE027C">
      <w:pPr>
        <w:pStyle w:val="CETReferencetext"/>
      </w:pPr>
      <w:r w:rsidRPr="00CE027C">
        <w:t xml:space="preserve">Fabiano B., </w:t>
      </w:r>
      <w:proofErr w:type="spellStart"/>
      <w:r w:rsidRPr="00CE027C">
        <w:t>Vianello</w:t>
      </w:r>
      <w:proofErr w:type="spellEnd"/>
      <w:r w:rsidRPr="00CE027C">
        <w:t xml:space="preserve"> C., </w:t>
      </w:r>
      <w:proofErr w:type="spellStart"/>
      <w:r w:rsidRPr="00CE027C">
        <w:t>Reverberi</w:t>
      </w:r>
      <w:proofErr w:type="spellEnd"/>
      <w:r w:rsidRPr="00CE027C">
        <w:t xml:space="preserve"> A.P., </w:t>
      </w:r>
      <w:proofErr w:type="spellStart"/>
      <w:r w:rsidRPr="00CE027C">
        <w:t>Lunghi</w:t>
      </w:r>
      <w:proofErr w:type="spellEnd"/>
      <w:r w:rsidRPr="00CE027C">
        <w:t xml:space="preserve"> E., </w:t>
      </w:r>
      <w:proofErr w:type="spellStart"/>
      <w:r w:rsidRPr="00CE027C">
        <w:t>Maschio</w:t>
      </w:r>
      <w:proofErr w:type="spellEnd"/>
      <w:r w:rsidRPr="00CE027C">
        <w:t xml:space="preserve"> G., 2018, A perspective on Seveso accident based on cause-consequences analysis by three different methods, Journal of Loss Prevention in the Process Industries, 49, 18-35.</w:t>
      </w:r>
    </w:p>
    <w:p w14:paraId="5B6D9D2F" w14:textId="77777777" w:rsidR="00A024C9" w:rsidRPr="00CE027C" w:rsidRDefault="00A024C9" w:rsidP="00CE027C">
      <w:pPr>
        <w:pStyle w:val="CETReferencetext"/>
      </w:pPr>
      <w:proofErr w:type="spellStart"/>
      <w:r w:rsidRPr="00CE027C">
        <w:lastRenderedPageBreak/>
        <w:t>Funari</w:t>
      </w:r>
      <w:proofErr w:type="spellEnd"/>
      <w:r w:rsidRPr="00CE027C">
        <w:t xml:space="preserve"> E</w:t>
      </w:r>
      <w:r w:rsidR="00EB2134" w:rsidRPr="00CE027C">
        <w:t>.</w:t>
      </w:r>
      <w:r w:rsidRPr="00CE027C">
        <w:t xml:space="preserve">, </w:t>
      </w:r>
      <w:proofErr w:type="spellStart"/>
      <w:r w:rsidRPr="00CE027C">
        <w:t>Manganelli</w:t>
      </w:r>
      <w:proofErr w:type="spellEnd"/>
      <w:r w:rsidRPr="00CE027C">
        <w:t xml:space="preserve"> M</w:t>
      </w:r>
      <w:r w:rsidR="00EB2134" w:rsidRPr="00CE027C">
        <w:t>.</w:t>
      </w:r>
      <w:r w:rsidRPr="00CE027C">
        <w:t xml:space="preserve">, </w:t>
      </w:r>
      <w:proofErr w:type="spellStart"/>
      <w:r w:rsidRPr="00CE027C">
        <w:t>Testai</w:t>
      </w:r>
      <w:proofErr w:type="spellEnd"/>
      <w:r w:rsidR="00EB2134" w:rsidRPr="00CE027C">
        <w:t xml:space="preserve"> E., 2014, </w:t>
      </w:r>
      <w:proofErr w:type="spellStart"/>
      <w:r w:rsidRPr="00CE027C">
        <w:t>Ostreopsis</w:t>
      </w:r>
      <w:proofErr w:type="spellEnd"/>
      <w:r w:rsidRPr="00CE027C">
        <w:t xml:space="preserve"> cf. ovata: </w:t>
      </w:r>
      <w:proofErr w:type="spellStart"/>
      <w:r w:rsidRPr="00CE027C">
        <w:t>linee</w:t>
      </w:r>
      <w:proofErr w:type="spellEnd"/>
      <w:r w:rsidRPr="00CE027C">
        <w:t xml:space="preserve"> </w:t>
      </w:r>
      <w:proofErr w:type="spellStart"/>
      <w:r w:rsidRPr="00CE027C">
        <w:t>guida</w:t>
      </w:r>
      <w:proofErr w:type="spellEnd"/>
      <w:r w:rsidRPr="00CE027C">
        <w:t xml:space="preserve"> per la </w:t>
      </w:r>
      <w:proofErr w:type="spellStart"/>
      <w:r w:rsidRPr="00CE027C">
        <w:t>gestione</w:t>
      </w:r>
      <w:proofErr w:type="spellEnd"/>
      <w:r w:rsidRPr="00CE027C">
        <w:t xml:space="preserve"> </w:t>
      </w:r>
      <w:proofErr w:type="spellStart"/>
      <w:r w:rsidRPr="00CE027C">
        <w:t>delle</w:t>
      </w:r>
      <w:proofErr w:type="spellEnd"/>
      <w:r w:rsidRPr="00CE027C">
        <w:t xml:space="preserve"> </w:t>
      </w:r>
      <w:proofErr w:type="spellStart"/>
      <w:r w:rsidRPr="00CE027C">
        <w:t>fioriture</w:t>
      </w:r>
      <w:proofErr w:type="spellEnd"/>
      <w:r w:rsidRPr="00CE027C">
        <w:t xml:space="preserve"> </w:t>
      </w:r>
      <w:proofErr w:type="spellStart"/>
      <w:r w:rsidRPr="00CE027C">
        <w:t>negli</w:t>
      </w:r>
      <w:proofErr w:type="spellEnd"/>
      <w:r w:rsidRPr="00CE027C">
        <w:t xml:space="preserve"> </w:t>
      </w:r>
      <w:proofErr w:type="spellStart"/>
      <w:r w:rsidRPr="00CE027C">
        <w:t>ambienti</w:t>
      </w:r>
      <w:proofErr w:type="spellEnd"/>
      <w:r w:rsidRPr="00CE027C">
        <w:t xml:space="preserve"> </w:t>
      </w:r>
      <w:proofErr w:type="spellStart"/>
      <w:r w:rsidRPr="00CE027C">
        <w:t>marino</w:t>
      </w:r>
      <w:proofErr w:type="spellEnd"/>
      <w:r w:rsidRPr="00CE027C">
        <w:t xml:space="preserve"> </w:t>
      </w:r>
      <w:proofErr w:type="spellStart"/>
      <w:r w:rsidRPr="00CE027C">
        <w:t>costieri</w:t>
      </w:r>
      <w:proofErr w:type="spellEnd"/>
      <w:r w:rsidRPr="00CE027C">
        <w:t xml:space="preserve"> in </w:t>
      </w:r>
      <w:proofErr w:type="spellStart"/>
      <w:r w:rsidRPr="00CE027C">
        <w:t>relazione</w:t>
      </w:r>
      <w:proofErr w:type="spellEnd"/>
      <w:r w:rsidRPr="00CE027C">
        <w:t xml:space="preserve"> a </w:t>
      </w:r>
      <w:proofErr w:type="spellStart"/>
      <w:r w:rsidRPr="00CE027C">
        <w:t>balneazione</w:t>
      </w:r>
      <w:proofErr w:type="spellEnd"/>
      <w:r w:rsidRPr="00CE027C">
        <w:t xml:space="preserve"> e </w:t>
      </w:r>
      <w:proofErr w:type="spellStart"/>
      <w:r w:rsidRPr="00CE027C">
        <w:t>altre</w:t>
      </w:r>
      <w:proofErr w:type="spellEnd"/>
      <w:r w:rsidRPr="00CE027C">
        <w:t xml:space="preserve"> </w:t>
      </w:r>
      <w:proofErr w:type="spellStart"/>
      <w:r w:rsidRPr="00CE027C">
        <w:t>attività</w:t>
      </w:r>
      <w:proofErr w:type="spellEnd"/>
      <w:r w:rsidRPr="00CE027C">
        <w:t xml:space="preserve"> </w:t>
      </w:r>
      <w:proofErr w:type="spellStart"/>
      <w:r w:rsidRPr="00CE027C">
        <w:t>ricreative</w:t>
      </w:r>
      <w:proofErr w:type="spellEnd"/>
      <w:r w:rsidRPr="00CE027C">
        <w:t xml:space="preserve">. Roma: </w:t>
      </w:r>
      <w:proofErr w:type="spellStart"/>
      <w:r w:rsidRPr="00CE027C">
        <w:t>Istit</w:t>
      </w:r>
      <w:r w:rsidR="00EB2134" w:rsidRPr="00CE027C">
        <w:t>uto</w:t>
      </w:r>
      <w:proofErr w:type="spellEnd"/>
      <w:r w:rsidR="00EB2134" w:rsidRPr="00CE027C">
        <w:t xml:space="preserve"> </w:t>
      </w:r>
      <w:proofErr w:type="spellStart"/>
      <w:r w:rsidR="00EB2134" w:rsidRPr="00CE027C">
        <w:t>Superiore</w:t>
      </w:r>
      <w:proofErr w:type="spellEnd"/>
      <w:r w:rsidR="00EB2134" w:rsidRPr="00CE027C">
        <w:t xml:space="preserve"> di </w:t>
      </w:r>
      <w:proofErr w:type="spellStart"/>
      <w:r w:rsidR="00EB2134" w:rsidRPr="00CE027C">
        <w:t>Sanità</w:t>
      </w:r>
      <w:proofErr w:type="spellEnd"/>
      <w:r w:rsidR="00EB2134" w:rsidRPr="00CE027C">
        <w:t xml:space="preserve">, </w:t>
      </w:r>
      <w:proofErr w:type="spellStart"/>
      <w:r w:rsidRPr="00CE027C">
        <w:t>Rapporti</w:t>
      </w:r>
      <w:proofErr w:type="spellEnd"/>
      <w:r w:rsidRPr="00CE027C">
        <w:t xml:space="preserve"> ISTISAN 14/19</w:t>
      </w:r>
      <w:r w:rsidR="00B77896" w:rsidRPr="00CE027C">
        <w:t>.</w:t>
      </w:r>
    </w:p>
    <w:p w14:paraId="173406F1" w14:textId="77777777" w:rsidR="006906CC" w:rsidRPr="00CE027C" w:rsidRDefault="006906CC" w:rsidP="00CE027C">
      <w:pPr>
        <w:pStyle w:val="CETReferencetext"/>
      </w:pPr>
      <w:proofErr w:type="spellStart"/>
      <w:r w:rsidRPr="00CE027C">
        <w:t>Glibert</w:t>
      </w:r>
      <w:proofErr w:type="spellEnd"/>
      <w:r w:rsidRPr="00CE027C">
        <w:t xml:space="preserve"> P.M., Allen J.I., </w:t>
      </w:r>
      <w:proofErr w:type="spellStart"/>
      <w:r w:rsidRPr="00CE027C">
        <w:t>Bouwman</w:t>
      </w:r>
      <w:proofErr w:type="spellEnd"/>
      <w:r w:rsidRPr="00CE027C">
        <w:t xml:space="preserve"> A.F., Brown C.W., Flynn K.J., </w:t>
      </w:r>
      <w:proofErr w:type="spellStart"/>
      <w:r w:rsidRPr="00CE027C">
        <w:t>Lewitus</w:t>
      </w:r>
      <w:proofErr w:type="spellEnd"/>
      <w:r w:rsidRPr="00CE027C">
        <w:t xml:space="preserve"> A.J., Madden C.J., 2010, </w:t>
      </w:r>
      <w:proofErr w:type="spellStart"/>
      <w:r w:rsidRPr="00CE027C">
        <w:t>Modeling</w:t>
      </w:r>
      <w:proofErr w:type="spellEnd"/>
      <w:r w:rsidRPr="00CE027C">
        <w:t xml:space="preserve"> of HABs and eutrophication Status, advances, challenges. J. Mar. Syst., 83, 262-275</w:t>
      </w:r>
      <w:r w:rsidR="00B77896" w:rsidRPr="00CE027C">
        <w:t>.</w:t>
      </w:r>
    </w:p>
    <w:p w14:paraId="41FB107C" w14:textId="77777777" w:rsidR="00D54521" w:rsidRPr="00CE027C" w:rsidRDefault="00D54521" w:rsidP="00CE027C">
      <w:pPr>
        <w:pStyle w:val="CETReferencetext"/>
      </w:pPr>
      <w:proofErr w:type="spellStart"/>
      <w:r w:rsidRPr="00CE027C">
        <w:t>Gorbi</w:t>
      </w:r>
      <w:proofErr w:type="spellEnd"/>
      <w:r w:rsidRPr="00CE027C">
        <w:t xml:space="preserve"> S., </w:t>
      </w:r>
      <w:proofErr w:type="spellStart"/>
      <w:r w:rsidRPr="00CE027C">
        <w:t>Avio</w:t>
      </w:r>
      <w:proofErr w:type="spellEnd"/>
      <w:r w:rsidRPr="00CE027C">
        <w:t xml:space="preserve"> G.C., Benedetti M., </w:t>
      </w:r>
      <w:proofErr w:type="spellStart"/>
      <w:r w:rsidRPr="00CE027C">
        <w:t>Totti</w:t>
      </w:r>
      <w:proofErr w:type="spellEnd"/>
      <w:r w:rsidRPr="00CE027C">
        <w:t xml:space="preserve"> C., </w:t>
      </w:r>
      <w:proofErr w:type="spellStart"/>
      <w:r w:rsidRPr="00CE027C">
        <w:t>Accoroni</w:t>
      </w:r>
      <w:proofErr w:type="spellEnd"/>
      <w:r w:rsidRPr="00CE027C">
        <w:t xml:space="preserve"> S., </w:t>
      </w:r>
      <w:proofErr w:type="spellStart"/>
      <w:r w:rsidRPr="00CE027C">
        <w:t>Pichierri</w:t>
      </w:r>
      <w:proofErr w:type="spellEnd"/>
      <w:r w:rsidRPr="00CE027C">
        <w:t xml:space="preserve"> S., </w:t>
      </w:r>
      <w:proofErr w:type="spellStart"/>
      <w:r w:rsidRPr="00CE027C">
        <w:t>Bacchiocchi</w:t>
      </w:r>
      <w:proofErr w:type="spellEnd"/>
      <w:r w:rsidRPr="00CE027C">
        <w:t xml:space="preserve"> S., </w:t>
      </w:r>
      <w:proofErr w:type="spellStart"/>
      <w:r w:rsidRPr="00CE027C">
        <w:t>Orletti</w:t>
      </w:r>
      <w:proofErr w:type="spellEnd"/>
      <w:r w:rsidRPr="00CE027C">
        <w:t xml:space="preserve"> R., </w:t>
      </w:r>
      <w:proofErr w:type="spellStart"/>
      <w:r w:rsidRPr="00CE027C">
        <w:t>Graziosi</w:t>
      </w:r>
      <w:proofErr w:type="spellEnd"/>
      <w:r w:rsidRPr="00CE027C">
        <w:t xml:space="preserve"> T., </w:t>
      </w:r>
      <w:proofErr w:type="spellStart"/>
      <w:r w:rsidRPr="00CE027C">
        <w:t>Regoli</w:t>
      </w:r>
      <w:proofErr w:type="spellEnd"/>
      <w:r w:rsidRPr="00CE027C">
        <w:t xml:space="preserve"> F., 2013, Effects of harmful dinoflagellate </w:t>
      </w:r>
      <w:proofErr w:type="spellStart"/>
      <w:r w:rsidRPr="00CE027C">
        <w:t>Ostreopsis</w:t>
      </w:r>
      <w:proofErr w:type="spellEnd"/>
      <w:r w:rsidRPr="00CE027C">
        <w:t xml:space="preserve"> cf. ovata exposure on immunological, histological and oxidative responses of mussels </w:t>
      </w:r>
      <w:proofErr w:type="spellStart"/>
      <w:r w:rsidRPr="00CE027C">
        <w:t>Mytilus</w:t>
      </w:r>
      <w:proofErr w:type="spellEnd"/>
      <w:r w:rsidRPr="00CE027C">
        <w:t xml:space="preserve"> </w:t>
      </w:r>
      <w:proofErr w:type="spellStart"/>
      <w:r w:rsidRPr="00CE027C">
        <w:t>galloprovincialis</w:t>
      </w:r>
      <w:proofErr w:type="spellEnd"/>
      <w:r w:rsidRPr="00CE027C">
        <w:t xml:space="preserve">., Fish Shellfish </w:t>
      </w:r>
      <w:proofErr w:type="spellStart"/>
      <w:r w:rsidRPr="00CE027C">
        <w:t>Immunol</w:t>
      </w:r>
      <w:proofErr w:type="spellEnd"/>
      <w:r w:rsidRPr="00CE027C">
        <w:t>., 35, 941-950</w:t>
      </w:r>
      <w:r w:rsidR="00B77896" w:rsidRPr="00CE027C">
        <w:t>.</w:t>
      </w:r>
    </w:p>
    <w:p w14:paraId="57B44315" w14:textId="77777777" w:rsidR="00A86ADA" w:rsidRPr="00CE027C" w:rsidRDefault="00A86ADA" w:rsidP="00CE027C">
      <w:pPr>
        <w:pStyle w:val="CETReferencetext"/>
      </w:pPr>
      <w:proofErr w:type="spellStart"/>
      <w:r w:rsidRPr="00CE027C">
        <w:t>Hallegraeff</w:t>
      </w:r>
      <w:proofErr w:type="spellEnd"/>
      <w:r w:rsidRPr="00CE027C">
        <w:t xml:space="preserve"> G.M., 2008, Harmful algal blooms, coastal eu</w:t>
      </w:r>
      <w:r w:rsidR="00EB2134" w:rsidRPr="00CE027C">
        <w:t>trophication and climate change</w:t>
      </w:r>
      <w:r w:rsidRPr="00CE027C">
        <w:t>, Biol. Mar.</w:t>
      </w:r>
      <w:r w:rsidR="00EB2134" w:rsidRPr="00CE027C">
        <w:t xml:space="preserve"> </w:t>
      </w:r>
      <w:proofErr w:type="spellStart"/>
      <w:r w:rsidR="00EB2134" w:rsidRPr="00CE027C">
        <w:t>Medit</w:t>
      </w:r>
      <w:proofErr w:type="spellEnd"/>
      <w:r w:rsidR="00EB2134" w:rsidRPr="00CE027C">
        <w:t>, 15(1),  6-15</w:t>
      </w:r>
      <w:r w:rsidR="00B77896" w:rsidRPr="00CE027C">
        <w:t>.</w:t>
      </w:r>
    </w:p>
    <w:p w14:paraId="397E54E5" w14:textId="77777777" w:rsidR="0088451F" w:rsidRPr="00CE027C" w:rsidRDefault="0088451F" w:rsidP="00CE027C">
      <w:pPr>
        <w:pStyle w:val="CETReferencetext"/>
      </w:pPr>
      <w:proofErr w:type="spellStart"/>
      <w:r w:rsidRPr="00CE027C">
        <w:t>Illoul</w:t>
      </w:r>
      <w:proofErr w:type="spellEnd"/>
      <w:r w:rsidRPr="00CE027C">
        <w:t xml:space="preserve"> H., Hernandez F.R., Vila M., </w:t>
      </w:r>
      <w:proofErr w:type="spellStart"/>
      <w:r w:rsidRPr="00CE027C">
        <w:t>Adjas</w:t>
      </w:r>
      <w:proofErr w:type="spellEnd"/>
      <w:r w:rsidRPr="00CE027C">
        <w:t xml:space="preserve"> N., </w:t>
      </w:r>
      <w:proofErr w:type="spellStart"/>
      <w:r w:rsidRPr="00CE027C">
        <w:t>Younes</w:t>
      </w:r>
      <w:proofErr w:type="spellEnd"/>
      <w:r w:rsidRPr="00CE027C">
        <w:t xml:space="preserve"> A.A., </w:t>
      </w:r>
      <w:proofErr w:type="spellStart"/>
      <w:r w:rsidRPr="00CE027C">
        <w:t>Bournissa</w:t>
      </w:r>
      <w:proofErr w:type="spellEnd"/>
      <w:r w:rsidRPr="00CE027C">
        <w:t xml:space="preserve"> M., </w:t>
      </w:r>
      <w:proofErr w:type="spellStart"/>
      <w:r w:rsidRPr="00CE027C">
        <w:t>Koroghli</w:t>
      </w:r>
      <w:proofErr w:type="spellEnd"/>
      <w:r w:rsidRPr="00CE027C">
        <w:t xml:space="preserve"> A., </w:t>
      </w:r>
      <w:proofErr w:type="spellStart"/>
      <w:r w:rsidRPr="00CE027C">
        <w:t>Marouf</w:t>
      </w:r>
      <w:proofErr w:type="spellEnd"/>
      <w:r w:rsidRPr="00CE027C">
        <w:t xml:space="preserve"> N., </w:t>
      </w:r>
      <w:proofErr w:type="spellStart"/>
      <w:r w:rsidRPr="00CE027C">
        <w:t>Rabia</w:t>
      </w:r>
      <w:proofErr w:type="spellEnd"/>
      <w:r w:rsidRPr="00CE027C">
        <w:t xml:space="preserve"> S., </w:t>
      </w:r>
      <w:proofErr w:type="spellStart"/>
      <w:r w:rsidRPr="00CE027C">
        <w:t>Ameur</w:t>
      </w:r>
      <w:proofErr w:type="spellEnd"/>
      <w:r w:rsidRPr="00CE027C">
        <w:t xml:space="preserve"> F.L.K., 2012, The genus </w:t>
      </w:r>
      <w:proofErr w:type="spellStart"/>
      <w:r w:rsidRPr="00CE027C">
        <w:t>Ostreopsis</w:t>
      </w:r>
      <w:proofErr w:type="spellEnd"/>
      <w:r w:rsidRPr="00CE027C">
        <w:t xml:space="preserve"> along the Algerian coastal waters (SW Mediterranean Sea) associated with a human respiratory intoxication episode, Cryptogam. Algol., 33, 209-216</w:t>
      </w:r>
    </w:p>
    <w:p w14:paraId="3E8BADFB" w14:textId="77777777" w:rsidR="0088451F" w:rsidRPr="00CE027C" w:rsidRDefault="0088451F" w:rsidP="00CE027C">
      <w:pPr>
        <w:pStyle w:val="CETReferencetext"/>
      </w:pPr>
      <w:r w:rsidRPr="00CE027C">
        <w:t xml:space="preserve">Ismael A., Halim Y., 2012, Potentially harmful </w:t>
      </w:r>
      <w:proofErr w:type="spellStart"/>
      <w:r w:rsidRPr="00CE027C">
        <w:t>Ostreopsis</w:t>
      </w:r>
      <w:proofErr w:type="spellEnd"/>
      <w:r w:rsidRPr="00CE027C">
        <w:t xml:space="preserve"> spp. In the coastal waters of Alexandria-Egypt, </w:t>
      </w:r>
      <w:proofErr w:type="spellStart"/>
      <w:r w:rsidRPr="00CE027C">
        <w:t>Mediterr</w:t>
      </w:r>
      <w:proofErr w:type="spellEnd"/>
      <w:r w:rsidRPr="00CE027C">
        <w:t>. Mar. Sci., 13, 208-212</w:t>
      </w:r>
      <w:r w:rsidR="00B77896" w:rsidRPr="00CE027C">
        <w:t>.</w:t>
      </w:r>
    </w:p>
    <w:p w14:paraId="0F9E5964" w14:textId="77777777" w:rsidR="00A33F13" w:rsidRPr="00CE027C" w:rsidRDefault="00A33F13" w:rsidP="00CE027C">
      <w:pPr>
        <w:pStyle w:val="CETReferencetext"/>
      </w:pPr>
      <w:proofErr w:type="spellStart"/>
      <w:r w:rsidRPr="00CE027C">
        <w:t>Magri</w:t>
      </w:r>
      <w:proofErr w:type="spellEnd"/>
      <w:r w:rsidRPr="00CE027C">
        <w:t xml:space="preserve"> S., </w:t>
      </w:r>
      <w:proofErr w:type="spellStart"/>
      <w:r w:rsidRPr="00CE027C">
        <w:t>Quagliati</w:t>
      </w:r>
      <w:proofErr w:type="spellEnd"/>
      <w:r w:rsidRPr="00CE027C">
        <w:t xml:space="preserve"> M., Di Gaetano P., </w:t>
      </w:r>
      <w:proofErr w:type="spellStart"/>
      <w:r w:rsidRPr="00CE027C">
        <w:t>Vairo</w:t>
      </w:r>
      <w:proofErr w:type="spellEnd"/>
      <w:r w:rsidRPr="00CE027C">
        <w:t xml:space="preserve"> T., Fabiano B., 2019, Fuel Spill After Ships Collision: Accident Scenario Modelling for Emergency Response, Chemical Engineering Transactions, 74, 1363-1368.</w:t>
      </w:r>
    </w:p>
    <w:p w14:paraId="48D817B0" w14:textId="77777777" w:rsidR="00A86ADA" w:rsidRPr="00CE027C" w:rsidRDefault="00A86ADA" w:rsidP="00CE027C">
      <w:pPr>
        <w:pStyle w:val="CETReferencetext"/>
      </w:pPr>
      <w:proofErr w:type="spellStart"/>
      <w:r w:rsidRPr="00CE027C">
        <w:t>Mangialajo</w:t>
      </w:r>
      <w:proofErr w:type="spellEnd"/>
      <w:r w:rsidRPr="00CE027C">
        <w:t xml:space="preserve"> L</w:t>
      </w:r>
      <w:r w:rsidR="00EB2134" w:rsidRPr="00CE027C">
        <w:t>.</w:t>
      </w:r>
      <w:r w:rsidRPr="00CE027C">
        <w:t xml:space="preserve">, </w:t>
      </w:r>
      <w:proofErr w:type="spellStart"/>
      <w:r w:rsidRPr="00CE027C">
        <w:t>Bertolotto</w:t>
      </w:r>
      <w:proofErr w:type="spellEnd"/>
      <w:r w:rsidRPr="00CE027C">
        <w:t xml:space="preserve"> R</w:t>
      </w:r>
      <w:r w:rsidR="00EB2134" w:rsidRPr="00CE027C">
        <w:t>.</w:t>
      </w:r>
      <w:r w:rsidRPr="00CE027C">
        <w:t xml:space="preserve">, </w:t>
      </w:r>
      <w:proofErr w:type="spellStart"/>
      <w:r w:rsidRPr="00CE027C">
        <w:t>Cattaneo-Vietti</w:t>
      </w:r>
      <w:proofErr w:type="spellEnd"/>
      <w:r w:rsidRPr="00CE027C">
        <w:t xml:space="preserve"> R</w:t>
      </w:r>
      <w:r w:rsidR="00EB2134" w:rsidRPr="00CE027C">
        <w:t>.</w:t>
      </w:r>
      <w:r w:rsidRPr="00CE027C">
        <w:t xml:space="preserve">, </w:t>
      </w:r>
      <w:proofErr w:type="spellStart"/>
      <w:r w:rsidRPr="00CE027C">
        <w:t>Chiantore</w:t>
      </w:r>
      <w:proofErr w:type="spellEnd"/>
      <w:r w:rsidRPr="00CE027C">
        <w:t xml:space="preserve"> M</w:t>
      </w:r>
      <w:r w:rsidR="00EB2134" w:rsidRPr="00CE027C">
        <w:t>.</w:t>
      </w:r>
      <w:r w:rsidRPr="00CE027C">
        <w:t xml:space="preserve">, </w:t>
      </w:r>
      <w:proofErr w:type="spellStart"/>
      <w:r w:rsidRPr="00CE027C">
        <w:t>Grillo</w:t>
      </w:r>
      <w:proofErr w:type="spellEnd"/>
      <w:r w:rsidRPr="00CE027C">
        <w:t xml:space="preserve"> C</w:t>
      </w:r>
      <w:r w:rsidR="00EB2134" w:rsidRPr="00CE027C">
        <w:t>.</w:t>
      </w:r>
      <w:r w:rsidRPr="00CE027C">
        <w:t xml:space="preserve">, </w:t>
      </w:r>
      <w:proofErr w:type="spellStart"/>
      <w:r w:rsidRPr="00CE027C">
        <w:t>Lemée</w:t>
      </w:r>
      <w:proofErr w:type="spellEnd"/>
      <w:r w:rsidRPr="00CE027C">
        <w:t xml:space="preserve"> R</w:t>
      </w:r>
      <w:r w:rsidR="00EB2134" w:rsidRPr="00CE027C">
        <w:t>.</w:t>
      </w:r>
      <w:r w:rsidRPr="00CE027C">
        <w:t xml:space="preserve">, </w:t>
      </w:r>
      <w:proofErr w:type="spellStart"/>
      <w:r w:rsidRPr="00CE027C">
        <w:t>Melchiorre</w:t>
      </w:r>
      <w:proofErr w:type="spellEnd"/>
      <w:r w:rsidRPr="00CE027C">
        <w:t xml:space="preserve"> N</w:t>
      </w:r>
      <w:r w:rsidR="00EB2134" w:rsidRPr="00CE027C">
        <w:t>.</w:t>
      </w:r>
      <w:r w:rsidRPr="00CE027C">
        <w:t xml:space="preserve">, </w:t>
      </w:r>
      <w:proofErr w:type="spellStart"/>
      <w:r w:rsidRPr="00CE027C">
        <w:t>Moretto</w:t>
      </w:r>
      <w:proofErr w:type="spellEnd"/>
      <w:r w:rsidRPr="00CE027C">
        <w:t xml:space="preserve"> P</w:t>
      </w:r>
      <w:r w:rsidR="00EB2134" w:rsidRPr="00CE027C">
        <w:t>.</w:t>
      </w:r>
      <w:r w:rsidRPr="00CE027C">
        <w:t xml:space="preserve">, </w:t>
      </w:r>
      <w:proofErr w:type="spellStart"/>
      <w:r w:rsidRPr="00CE027C">
        <w:t>Povero</w:t>
      </w:r>
      <w:proofErr w:type="spellEnd"/>
      <w:r w:rsidRPr="00CE027C">
        <w:t xml:space="preserve"> P</w:t>
      </w:r>
      <w:r w:rsidR="00EB2134" w:rsidRPr="00CE027C">
        <w:t>.</w:t>
      </w:r>
      <w:r w:rsidRPr="00CE027C">
        <w:t xml:space="preserve">, </w:t>
      </w:r>
      <w:proofErr w:type="spellStart"/>
      <w:r w:rsidRPr="00CE027C">
        <w:t>Ruggieri</w:t>
      </w:r>
      <w:proofErr w:type="spellEnd"/>
      <w:r w:rsidRPr="00CE027C">
        <w:t xml:space="preserve"> N</w:t>
      </w:r>
      <w:r w:rsidR="00EB2134" w:rsidRPr="00CE027C">
        <w:t>.</w:t>
      </w:r>
      <w:r w:rsidRPr="00CE027C">
        <w:t>, 2008</w:t>
      </w:r>
      <w:r w:rsidR="00EB2134" w:rsidRPr="00CE027C">
        <w:t>,</w:t>
      </w:r>
      <w:r w:rsidRPr="00CE027C">
        <w:t xml:space="preserve"> The toxic benthic dinoflagellate </w:t>
      </w:r>
      <w:proofErr w:type="spellStart"/>
      <w:r w:rsidRPr="00CE027C">
        <w:t>Ostreopsis</w:t>
      </w:r>
      <w:proofErr w:type="spellEnd"/>
      <w:r w:rsidRPr="00CE027C">
        <w:t xml:space="preserve"> ovata: Quantification of proliferation along the coastline of Genoa, Italy</w:t>
      </w:r>
      <w:r w:rsidR="00EB2134" w:rsidRPr="00CE027C">
        <w:t xml:space="preserve">, </w:t>
      </w:r>
      <w:r w:rsidRPr="00CE027C">
        <w:t xml:space="preserve">Mar. </w:t>
      </w:r>
      <w:proofErr w:type="spellStart"/>
      <w:r w:rsidRPr="00CE027C">
        <w:t>Pollut</w:t>
      </w:r>
      <w:proofErr w:type="spellEnd"/>
      <w:r w:rsidRPr="00CE027C">
        <w:t>. Bull.</w:t>
      </w:r>
      <w:r w:rsidR="00207DA6" w:rsidRPr="00CE027C">
        <w:t>,</w:t>
      </w:r>
      <w:r w:rsidRPr="00CE027C">
        <w:t xml:space="preserve"> 56</w:t>
      </w:r>
      <w:r w:rsidR="00207DA6" w:rsidRPr="00CE027C">
        <w:t xml:space="preserve">, </w:t>
      </w:r>
      <w:r w:rsidRPr="00CE027C">
        <w:t>1209-1214</w:t>
      </w:r>
      <w:r w:rsidR="00B77896" w:rsidRPr="00CE027C">
        <w:t>.</w:t>
      </w:r>
    </w:p>
    <w:p w14:paraId="251183EB" w14:textId="77777777" w:rsidR="00C412A6" w:rsidRPr="00CE027C" w:rsidRDefault="00C412A6" w:rsidP="00CE027C">
      <w:pPr>
        <w:pStyle w:val="CETReferencetext"/>
      </w:pPr>
      <w:proofErr w:type="spellStart"/>
      <w:r w:rsidRPr="00CE027C">
        <w:t>Meinshausen</w:t>
      </w:r>
      <w:proofErr w:type="spellEnd"/>
      <w:r w:rsidRPr="00CE027C">
        <w:t xml:space="preserve"> N., 2006, Quantile regression forests</w:t>
      </w:r>
      <w:r w:rsidR="000E342C" w:rsidRPr="00CE027C">
        <w:t xml:space="preserve">, </w:t>
      </w:r>
      <w:r w:rsidRPr="00CE027C">
        <w:t>J. Mach. Learn. Res. 7, 983–999.</w:t>
      </w:r>
    </w:p>
    <w:p w14:paraId="2BFEA511" w14:textId="77777777" w:rsidR="00713A53" w:rsidRPr="00CE027C" w:rsidRDefault="00713A53" w:rsidP="00CE027C">
      <w:pPr>
        <w:pStyle w:val="CETReferencetext"/>
      </w:pPr>
      <w:r w:rsidRPr="00CE027C">
        <w:t xml:space="preserve">Ottaviani E., </w:t>
      </w:r>
      <w:proofErr w:type="spellStart"/>
      <w:r w:rsidRPr="00CE027C">
        <w:t>Asnaghi</w:t>
      </w:r>
      <w:proofErr w:type="spellEnd"/>
      <w:r w:rsidRPr="00CE027C">
        <w:t xml:space="preserve"> V., </w:t>
      </w:r>
      <w:proofErr w:type="spellStart"/>
      <w:r w:rsidRPr="00CE027C">
        <w:t>Chiantore</w:t>
      </w:r>
      <w:proofErr w:type="spellEnd"/>
      <w:r w:rsidRPr="00CE027C">
        <w:t xml:space="preserve"> M., </w:t>
      </w:r>
      <w:proofErr w:type="spellStart"/>
      <w:r w:rsidRPr="00CE027C">
        <w:t>Pedroncini</w:t>
      </w:r>
      <w:proofErr w:type="spellEnd"/>
      <w:r w:rsidRPr="00CE027C">
        <w:t xml:space="preserve"> A., </w:t>
      </w:r>
      <w:proofErr w:type="spellStart"/>
      <w:r w:rsidRPr="00CE027C">
        <w:t>Bertolotto</w:t>
      </w:r>
      <w:proofErr w:type="spellEnd"/>
      <w:r w:rsidRPr="00CE027C">
        <w:t xml:space="preserve">, R., 2015, Statistical methods for the analysis of </w:t>
      </w:r>
      <w:proofErr w:type="spellStart"/>
      <w:r w:rsidRPr="00CE027C">
        <w:t>Ostreopsis</w:t>
      </w:r>
      <w:proofErr w:type="spellEnd"/>
      <w:r w:rsidRPr="00CE027C">
        <w:t xml:space="preserve"> ovata bloom events from </w:t>
      </w:r>
      <w:proofErr w:type="spellStart"/>
      <w:r w:rsidRPr="00CE027C">
        <w:t>meteo</w:t>
      </w:r>
      <w:proofErr w:type="spellEnd"/>
      <w:r w:rsidRPr="00CE027C">
        <w:t>-marine data, Proceedings of CLADAG 2015 10th Scientific Meeting of the Classification and Data Analysis Group of the Italian Statistical Society, Cagliari (Italy), 8–10 Oct 2015, Volume: Book of Abstracts (ISBN: 978–88-8467–749-9).</w:t>
      </w:r>
    </w:p>
    <w:p w14:paraId="630F36B8" w14:textId="77777777" w:rsidR="0004413D" w:rsidRPr="00CE027C" w:rsidRDefault="0004413D" w:rsidP="00CE027C">
      <w:pPr>
        <w:pStyle w:val="CETReferencetext"/>
      </w:pPr>
      <w:proofErr w:type="spellStart"/>
      <w:r w:rsidRPr="00CE027C">
        <w:t>Pagliara</w:t>
      </w:r>
      <w:proofErr w:type="spellEnd"/>
      <w:r w:rsidRPr="00CE027C">
        <w:t xml:space="preserve"> P., </w:t>
      </w:r>
      <w:proofErr w:type="spellStart"/>
      <w:r w:rsidRPr="00CE027C">
        <w:t>Caroppo</w:t>
      </w:r>
      <w:proofErr w:type="spellEnd"/>
      <w:r w:rsidRPr="00CE027C">
        <w:t xml:space="preserve"> C., 2012, Toxicity assessment of </w:t>
      </w:r>
      <w:proofErr w:type="spellStart"/>
      <w:r w:rsidRPr="00CE027C">
        <w:t>Amphidinium</w:t>
      </w:r>
      <w:proofErr w:type="spellEnd"/>
      <w:r w:rsidRPr="00CE027C">
        <w:t xml:space="preserve"> </w:t>
      </w:r>
      <w:proofErr w:type="spellStart"/>
      <w:r w:rsidRPr="00CE027C">
        <w:t>carterae</w:t>
      </w:r>
      <w:proofErr w:type="spellEnd"/>
      <w:r w:rsidRPr="00CE027C">
        <w:t xml:space="preserve">, </w:t>
      </w:r>
      <w:proofErr w:type="spellStart"/>
      <w:r w:rsidRPr="00CE027C">
        <w:t>Coolia</w:t>
      </w:r>
      <w:proofErr w:type="spellEnd"/>
      <w:r w:rsidRPr="00CE027C">
        <w:t xml:space="preserve"> </w:t>
      </w:r>
      <w:proofErr w:type="spellStart"/>
      <w:r w:rsidRPr="00CE027C">
        <w:t>cfr</w:t>
      </w:r>
      <w:proofErr w:type="spellEnd"/>
      <w:r w:rsidRPr="00CE027C">
        <w:t xml:space="preserve">. </w:t>
      </w:r>
      <w:proofErr w:type="spellStart"/>
      <w:r w:rsidRPr="00CE027C">
        <w:t>monotis</w:t>
      </w:r>
      <w:proofErr w:type="spellEnd"/>
      <w:r w:rsidRPr="00CE027C">
        <w:t xml:space="preserve"> and </w:t>
      </w:r>
      <w:proofErr w:type="spellStart"/>
      <w:r w:rsidRPr="00CE027C">
        <w:t>Ostreopsis</w:t>
      </w:r>
      <w:proofErr w:type="spellEnd"/>
      <w:r w:rsidRPr="00CE027C">
        <w:t xml:space="preserve"> </w:t>
      </w:r>
      <w:proofErr w:type="spellStart"/>
      <w:r w:rsidRPr="00CE027C">
        <w:t>cfr</w:t>
      </w:r>
      <w:proofErr w:type="spellEnd"/>
      <w:r w:rsidRPr="00CE027C">
        <w:t>. ovata (</w:t>
      </w:r>
      <w:proofErr w:type="spellStart"/>
      <w:r w:rsidRPr="00CE027C">
        <w:t>Dinophyta</w:t>
      </w:r>
      <w:proofErr w:type="spellEnd"/>
      <w:r w:rsidRPr="00CE027C">
        <w:t xml:space="preserve">) isolated from the northern Ionian Sea (Mediterranean Sea), </w:t>
      </w:r>
      <w:proofErr w:type="spellStart"/>
      <w:r w:rsidRPr="00CE027C">
        <w:t>Toxicon</w:t>
      </w:r>
      <w:proofErr w:type="spellEnd"/>
      <w:r w:rsidRPr="00CE027C">
        <w:t xml:space="preserve"> 60, 1203-1214</w:t>
      </w:r>
      <w:r w:rsidR="00B77896" w:rsidRPr="00CE027C">
        <w:t>.</w:t>
      </w:r>
    </w:p>
    <w:p w14:paraId="59B31DDD" w14:textId="77777777" w:rsidR="00865A87" w:rsidRPr="00CE027C" w:rsidRDefault="00865A87" w:rsidP="00CE027C">
      <w:pPr>
        <w:pStyle w:val="CETReferencetext"/>
      </w:pPr>
      <w:proofErr w:type="spellStart"/>
      <w:r w:rsidRPr="00CE027C">
        <w:t>Pfannkuchen</w:t>
      </w:r>
      <w:proofErr w:type="spellEnd"/>
      <w:r w:rsidRPr="00CE027C">
        <w:t xml:space="preserve"> M., </w:t>
      </w:r>
      <w:proofErr w:type="spellStart"/>
      <w:r w:rsidRPr="00CE027C">
        <w:t>Godrijan</w:t>
      </w:r>
      <w:proofErr w:type="spellEnd"/>
      <w:r w:rsidRPr="00CE027C">
        <w:t xml:space="preserve"> J., </w:t>
      </w:r>
      <w:proofErr w:type="spellStart"/>
      <w:r w:rsidRPr="00CE027C">
        <w:t>Maric</w:t>
      </w:r>
      <w:proofErr w:type="spellEnd"/>
      <w:r w:rsidRPr="00CE027C">
        <w:t xml:space="preserve"> </w:t>
      </w:r>
      <w:proofErr w:type="spellStart"/>
      <w:r w:rsidRPr="00CE027C">
        <w:t>Pfannkuchen</w:t>
      </w:r>
      <w:proofErr w:type="spellEnd"/>
      <w:r w:rsidRPr="00CE027C">
        <w:t xml:space="preserve"> D., </w:t>
      </w:r>
      <w:proofErr w:type="spellStart"/>
      <w:r w:rsidRPr="00CE027C">
        <w:t>Ivesa</w:t>
      </w:r>
      <w:proofErr w:type="spellEnd"/>
      <w:r w:rsidRPr="00CE027C">
        <w:t xml:space="preserve"> L., </w:t>
      </w:r>
      <w:proofErr w:type="spellStart"/>
      <w:r w:rsidRPr="00CE027C">
        <w:t>Kruzic</w:t>
      </w:r>
      <w:proofErr w:type="spellEnd"/>
      <w:r w:rsidRPr="00CE027C">
        <w:t xml:space="preserve"> P., </w:t>
      </w:r>
      <w:proofErr w:type="spellStart"/>
      <w:r w:rsidRPr="00CE027C">
        <w:t>Ciminiello</w:t>
      </w:r>
      <w:proofErr w:type="spellEnd"/>
      <w:r w:rsidRPr="00CE027C">
        <w:t xml:space="preserve"> P., </w:t>
      </w:r>
      <w:proofErr w:type="spellStart"/>
      <w:r w:rsidRPr="00CE027C">
        <w:t>Dell’Aversano</w:t>
      </w:r>
      <w:proofErr w:type="spellEnd"/>
      <w:r w:rsidRPr="00CE027C">
        <w:t xml:space="preserve"> C., </w:t>
      </w:r>
      <w:proofErr w:type="spellStart"/>
      <w:r w:rsidRPr="00CE027C">
        <w:t>Dello</w:t>
      </w:r>
      <w:proofErr w:type="spellEnd"/>
      <w:r w:rsidRPr="00CE027C">
        <w:t xml:space="preserve"> Iacovo E., </w:t>
      </w:r>
      <w:proofErr w:type="spellStart"/>
      <w:r w:rsidRPr="00CE027C">
        <w:t>Fattorusso</w:t>
      </w:r>
      <w:proofErr w:type="spellEnd"/>
      <w:r w:rsidRPr="00CE027C">
        <w:t xml:space="preserve"> E., </w:t>
      </w:r>
      <w:proofErr w:type="spellStart"/>
      <w:r w:rsidRPr="00CE027C">
        <w:t>Forino</w:t>
      </w:r>
      <w:proofErr w:type="spellEnd"/>
      <w:r w:rsidRPr="00CE027C">
        <w:t xml:space="preserve"> M., </w:t>
      </w:r>
      <w:proofErr w:type="spellStart"/>
      <w:r w:rsidRPr="00CE027C">
        <w:t>Tartaglione</w:t>
      </w:r>
      <w:proofErr w:type="spellEnd"/>
      <w:r w:rsidRPr="00CE027C">
        <w:t xml:space="preserve"> L., </w:t>
      </w:r>
      <w:proofErr w:type="spellStart"/>
      <w:r w:rsidRPr="00CE027C">
        <w:t>Godrijan</w:t>
      </w:r>
      <w:proofErr w:type="spellEnd"/>
      <w:r w:rsidRPr="00CE027C">
        <w:t xml:space="preserve"> M., 2012, </w:t>
      </w:r>
      <w:proofErr w:type="spellStart"/>
      <w:r w:rsidRPr="00CE027C">
        <w:t>Toxinproducing</w:t>
      </w:r>
      <w:proofErr w:type="spellEnd"/>
      <w:r w:rsidRPr="00CE027C">
        <w:t xml:space="preserve"> </w:t>
      </w:r>
      <w:proofErr w:type="spellStart"/>
      <w:r w:rsidRPr="00CE027C">
        <w:t>Ostreopsis</w:t>
      </w:r>
      <w:proofErr w:type="spellEnd"/>
      <w:r w:rsidRPr="00CE027C">
        <w:t xml:space="preserve"> cf. ovata are likely to bloom undetected along coastal areas, Environ. Sci. Technol., 46</w:t>
      </w:r>
      <w:r w:rsidR="0004413D" w:rsidRPr="00CE027C">
        <w:t xml:space="preserve">, </w:t>
      </w:r>
      <w:r w:rsidRPr="00CE027C">
        <w:t>5574-5582</w:t>
      </w:r>
      <w:r w:rsidR="00B77896" w:rsidRPr="00CE027C">
        <w:t>.</w:t>
      </w:r>
    </w:p>
    <w:p w14:paraId="478D8C23" w14:textId="77777777" w:rsidR="0004413D" w:rsidRPr="00CE027C" w:rsidRDefault="0004413D" w:rsidP="00CE027C">
      <w:pPr>
        <w:pStyle w:val="CETReferencetext"/>
      </w:pPr>
      <w:proofErr w:type="spellStart"/>
      <w:r w:rsidRPr="00CE027C">
        <w:t>Tichadou</w:t>
      </w:r>
      <w:proofErr w:type="spellEnd"/>
      <w:r w:rsidRPr="00CE027C">
        <w:t xml:space="preserve"> L., </w:t>
      </w:r>
      <w:proofErr w:type="spellStart"/>
      <w:r w:rsidRPr="00CE027C">
        <w:t>Glaizal</w:t>
      </w:r>
      <w:proofErr w:type="spellEnd"/>
      <w:r w:rsidRPr="00CE027C">
        <w:t xml:space="preserve"> M., </w:t>
      </w:r>
      <w:proofErr w:type="spellStart"/>
      <w:r w:rsidRPr="00CE027C">
        <w:t>Armengaud</w:t>
      </w:r>
      <w:proofErr w:type="spellEnd"/>
      <w:r w:rsidRPr="00CE027C">
        <w:t xml:space="preserve"> A., </w:t>
      </w:r>
      <w:proofErr w:type="spellStart"/>
      <w:r w:rsidRPr="00CE027C">
        <w:t>Grossel</w:t>
      </w:r>
      <w:proofErr w:type="spellEnd"/>
      <w:r w:rsidRPr="00CE027C">
        <w:t xml:space="preserve"> H., </w:t>
      </w:r>
      <w:proofErr w:type="spellStart"/>
      <w:r w:rsidRPr="00CE027C">
        <w:t>Lemée</w:t>
      </w:r>
      <w:proofErr w:type="spellEnd"/>
      <w:r w:rsidRPr="00CE027C">
        <w:t xml:space="preserve"> R., </w:t>
      </w:r>
      <w:proofErr w:type="spellStart"/>
      <w:r w:rsidRPr="00CE027C">
        <w:t>Kantin</w:t>
      </w:r>
      <w:proofErr w:type="spellEnd"/>
      <w:r w:rsidRPr="00CE027C">
        <w:t xml:space="preserve"> R., </w:t>
      </w:r>
      <w:proofErr w:type="spellStart"/>
      <w:r w:rsidRPr="00CE027C">
        <w:t>Lasalle</w:t>
      </w:r>
      <w:proofErr w:type="spellEnd"/>
      <w:r w:rsidRPr="00CE027C">
        <w:t xml:space="preserve"> J.L., </w:t>
      </w:r>
      <w:proofErr w:type="spellStart"/>
      <w:r w:rsidRPr="00CE027C">
        <w:t>Drouet</w:t>
      </w:r>
      <w:proofErr w:type="spellEnd"/>
      <w:r w:rsidRPr="00CE027C">
        <w:t xml:space="preserve"> G., </w:t>
      </w:r>
      <w:proofErr w:type="spellStart"/>
      <w:r w:rsidRPr="00CE027C">
        <w:t>Rambaud</w:t>
      </w:r>
      <w:proofErr w:type="spellEnd"/>
      <w:r w:rsidRPr="00CE027C">
        <w:t xml:space="preserve"> L., </w:t>
      </w:r>
      <w:proofErr w:type="spellStart"/>
      <w:r w:rsidRPr="00CE027C">
        <w:t>Malfait</w:t>
      </w:r>
      <w:proofErr w:type="spellEnd"/>
      <w:r w:rsidRPr="00CE027C">
        <w:t xml:space="preserve"> P., de </w:t>
      </w:r>
      <w:proofErr w:type="spellStart"/>
      <w:r w:rsidRPr="00CE027C">
        <w:t>Haro</w:t>
      </w:r>
      <w:proofErr w:type="spellEnd"/>
      <w:r w:rsidRPr="00CE027C">
        <w:t xml:space="preserve"> L., 2010, Health impact of unicellular algae of the </w:t>
      </w:r>
      <w:proofErr w:type="spellStart"/>
      <w:r w:rsidRPr="00CE027C">
        <w:t>Ostreopsis</w:t>
      </w:r>
      <w:proofErr w:type="spellEnd"/>
      <w:r w:rsidRPr="00CE027C">
        <w:t xml:space="preserve"> genus blooms in the Mediterranean Sea: experience of the French Mediterranean coast surveillance network from 2006 to 2009, Clinical Toxicology</w:t>
      </w:r>
      <w:r w:rsidR="007328C1" w:rsidRPr="00CE027C">
        <w:t>,</w:t>
      </w:r>
      <w:r w:rsidRPr="00CE027C">
        <w:t xml:space="preserve"> 48, 839-844</w:t>
      </w:r>
      <w:r w:rsidR="00B77896" w:rsidRPr="00CE027C">
        <w:t>.</w:t>
      </w:r>
    </w:p>
    <w:p w14:paraId="1C46074A" w14:textId="77777777" w:rsidR="00B039CE" w:rsidRPr="00CE027C" w:rsidRDefault="00B039CE" w:rsidP="00CE027C">
      <w:pPr>
        <w:pStyle w:val="CETReferencetext"/>
      </w:pPr>
      <w:proofErr w:type="spellStart"/>
      <w:r w:rsidRPr="00CE027C">
        <w:t>Totti</w:t>
      </w:r>
      <w:proofErr w:type="spellEnd"/>
      <w:r w:rsidRPr="00CE027C">
        <w:t xml:space="preserve"> C., </w:t>
      </w:r>
      <w:proofErr w:type="spellStart"/>
      <w:r w:rsidRPr="00CE027C">
        <w:t>Accoroni</w:t>
      </w:r>
      <w:proofErr w:type="spellEnd"/>
      <w:r w:rsidRPr="00CE027C">
        <w:t xml:space="preserve"> S., </w:t>
      </w:r>
      <w:proofErr w:type="spellStart"/>
      <w:r w:rsidRPr="00CE027C">
        <w:t>Cerino</w:t>
      </w:r>
      <w:proofErr w:type="spellEnd"/>
      <w:r w:rsidRPr="00CE027C">
        <w:t xml:space="preserve"> F., </w:t>
      </w:r>
      <w:proofErr w:type="spellStart"/>
      <w:r w:rsidRPr="00CE027C">
        <w:t>Cucchiari</w:t>
      </w:r>
      <w:proofErr w:type="spellEnd"/>
      <w:r w:rsidRPr="00CE027C">
        <w:t xml:space="preserve"> E., </w:t>
      </w:r>
      <w:proofErr w:type="spellStart"/>
      <w:r w:rsidRPr="00CE027C">
        <w:t>Romagnoli</w:t>
      </w:r>
      <w:proofErr w:type="spellEnd"/>
      <w:r w:rsidRPr="00CE027C">
        <w:t xml:space="preserve"> T., 2010, </w:t>
      </w:r>
      <w:proofErr w:type="spellStart"/>
      <w:r w:rsidRPr="00CE027C">
        <w:t>Ostreopsis</w:t>
      </w:r>
      <w:proofErr w:type="spellEnd"/>
      <w:r w:rsidRPr="00CE027C">
        <w:t xml:space="preserve"> ovata bloom along the </w:t>
      </w:r>
      <w:proofErr w:type="spellStart"/>
      <w:r w:rsidRPr="00CE027C">
        <w:t>Conero</w:t>
      </w:r>
      <w:proofErr w:type="spellEnd"/>
      <w:r w:rsidRPr="00CE027C">
        <w:t xml:space="preserve"> Riviera (northern Adriatic Sea): Relationships with environmental conditions and substrata, Harmful Algae, 9, 233-239</w:t>
      </w:r>
      <w:r w:rsidR="00B77896" w:rsidRPr="00CE027C">
        <w:t>.</w:t>
      </w:r>
    </w:p>
    <w:p w14:paraId="45925CED" w14:textId="77777777" w:rsidR="000F6102" w:rsidRPr="00CE027C" w:rsidRDefault="000F6102" w:rsidP="00CE027C">
      <w:pPr>
        <w:pStyle w:val="CETReferencetext"/>
      </w:pPr>
      <w:proofErr w:type="spellStart"/>
      <w:r w:rsidRPr="00CE027C">
        <w:t>Turki</w:t>
      </w:r>
      <w:proofErr w:type="spellEnd"/>
      <w:r w:rsidRPr="00CE027C">
        <w:t xml:space="preserve"> S., </w:t>
      </w:r>
      <w:proofErr w:type="spellStart"/>
      <w:r w:rsidRPr="00CE027C">
        <w:t>Harzallah</w:t>
      </w:r>
      <w:proofErr w:type="spellEnd"/>
      <w:r w:rsidRPr="00CE027C">
        <w:t xml:space="preserve"> A., </w:t>
      </w:r>
      <w:proofErr w:type="spellStart"/>
      <w:r w:rsidRPr="00CE027C">
        <w:t>Sammari</w:t>
      </w:r>
      <w:proofErr w:type="spellEnd"/>
      <w:r w:rsidRPr="00CE027C">
        <w:t xml:space="preserve"> C., 2006, Occurrence of harmful dinoflagellates in two different Tunisian ecosystems: the lake of Bizerte and the Gulf of </w:t>
      </w:r>
      <w:proofErr w:type="spellStart"/>
      <w:r w:rsidRPr="00CE027C">
        <w:t>Gabes</w:t>
      </w:r>
      <w:proofErr w:type="spellEnd"/>
      <w:r w:rsidRPr="00CE027C">
        <w:t xml:space="preserve">, </w:t>
      </w:r>
      <w:proofErr w:type="spellStart"/>
      <w:r w:rsidRPr="00CE027C">
        <w:t>Cah</w:t>
      </w:r>
      <w:proofErr w:type="spellEnd"/>
      <w:r w:rsidRPr="00CE027C">
        <w:t>. Biol. Mar., 47, 253-259</w:t>
      </w:r>
      <w:r w:rsidR="00B77896" w:rsidRPr="00CE027C">
        <w:t>.</w:t>
      </w:r>
    </w:p>
    <w:p w14:paraId="1B03CF09" w14:textId="77777777" w:rsidR="00A86ADA" w:rsidRPr="00CE027C" w:rsidRDefault="00A86ADA" w:rsidP="00CE027C">
      <w:pPr>
        <w:pStyle w:val="CETReferencetext"/>
      </w:pPr>
      <w:proofErr w:type="spellStart"/>
      <w:r w:rsidRPr="00CE027C">
        <w:t>Ungaro</w:t>
      </w:r>
      <w:proofErr w:type="spellEnd"/>
      <w:r w:rsidRPr="00CE027C">
        <w:t xml:space="preserve"> N., </w:t>
      </w:r>
      <w:proofErr w:type="spellStart"/>
      <w:r w:rsidRPr="00CE027C">
        <w:t>Assennato</w:t>
      </w:r>
      <w:proofErr w:type="spellEnd"/>
      <w:r w:rsidRPr="00CE027C">
        <w:t xml:space="preserve"> G., </w:t>
      </w:r>
      <w:proofErr w:type="spellStart"/>
      <w:r w:rsidRPr="00CE027C">
        <w:t>Blonda</w:t>
      </w:r>
      <w:proofErr w:type="spellEnd"/>
      <w:r w:rsidRPr="00CE027C">
        <w:t xml:space="preserve"> M., </w:t>
      </w:r>
      <w:proofErr w:type="spellStart"/>
      <w:r w:rsidRPr="00CE027C">
        <w:t>Cudillo</w:t>
      </w:r>
      <w:proofErr w:type="spellEnd"/>
      <w:r w:rsidRPr="00CE027C">
        <w:t xml:space="preserve"> B., </w:t>
      </w:r>
      <w:proofErr w:type="spellStart"/>
      <w:r w:rsidRPr="00CE027C">
        <w:t>Petruzzelli</w:t>
      </w:r>
      <w:proofErr w:type="spellEnd"/>
      <w:r w:rsidRPr="00CE027C">
        <w:t xml:space="preserve"> M. R.,</w:t>
      </w:r>
      <w:proofErr w:type="spellStart"/>
      <w:r w:rsidRPr="00CE027C">
        <w:t>Mariani</w:t>
      </w:r>
      <w:proofErr w:type="spellEnd"/>
      <w:r w:rsidRPr="00CE027C">
        <w:t xml:space="preserve"> M., </w:t>
      </w:r>
      <w:proofErr w:type="spellStart"/>
      <w:r w:rsidRPr="00CE027C">
        <w:t>Pastorelli</w:t>
      </w:r>
      <w:proofErr w:type="spellEnd"/>
      <w:r w:rsidRPr="00CE027C">
        <w:t xml:space="preserve"> A. M., </w:t>
      </w:r>
      <w:proofErr w:type="spellStart"/>
      <w:r w:rsidRPr="00CE027C">
        <w:t>Aliquò</w:t>
      </w:r>
      <w:proofErr w:type="spellEnd"/>
      <w:r w:rsidRPr="00CE027C">
        <w:t xml:space="preserve"> M. R., </w:t>
      </w:r>
      <w:proofErr w:type="spellStart"/>
      <w:r w:rsidRPr="00CE027C">
        <w:t>D’angela</w:t>
      </w:r>
      <w:proofErr w:type="spellEnd"/>
      <w:r w:rsidRPr="00CE027C">
        <w:t xml:space="preserve"> A., Aiello C., </w:t>
      </w:r>
      <w:proofErr w:type="spellStart"/>
      <w:r w:rsidRPr="00CE027C">
        <w:t>Ranier</w:t>
      </w:r>
      <w:proofErr w:type="spellEnd"/>
      <w:r w:rsidRPr="00CE027C">
        <w:t xml:space="preserve"> S., Occurrence of the potentially toxic dinoflagellate </w:t>
      </w:r>
      <w:proofErr w:type="spellStart"/>
      <w:r w:rsidRPr="00CE027C">
        <w:t>ostreopsis</w:t>
      </w:r>
      <w:proofErr w:type="spellEnd"/>
      <w:r w:rsidRPr="00CE027C">
        <w:t xml:space="preserve"> ovata along the </w:t>
      </w:r>
      <w:proofErr w:type="spellStart"/>
      <w:r w:rsidRPr="00CE027C">
        <w:t>apulian</w:t>
      </w:r>
      <w:proofErr w:type="spellEnd"/>
      <w:r w:rsidRPr="00CE027C">
        <w:t xml:space="preserve"> coastal areas (southern </w:t>
      </w:r>
      <w:r w:rsidR="007328C1" w:rsidRPr="00CE027C">
        <w:t>Italy</w:t>
      </w:r>
      <w:r w:rsidRPr="00CE027C">
        <w:t>) and relationship with anthropogenic pollution</w:t>
      </w:r>
      <w:r w:rsidR="007328C1" w:rsidRPr="00CE027C">
        <w:t>, Fresenius Environmental Bulletin, 19(9), 1813-1821</w:t>
      </w:r>
      <w:r w:rsidR="006F495D" w:rsidRPr="00CE027C">
        <w:t>.</w:t>
      </w:r>
    </w:p>
    <w:p w14:paraId="7C2A4510" w14:textId="77777777" w:rsidR="006F495D" w:rsidRPr="00CE027C" w:rsidRDefault="006F495D" w:rsidP="00CE027C">
      <w:pPr>
        <w:pStyle w:val="CETReferencetext"/>
        <w:rPr>
          <w:highlight w:val="yellow"/>
        </w:rPr>
      </w:pPr>
      <w:proofErr w:type="spellStart"/>
      <w:r w:rsidRPr="00CE027C">
        <w:t>Vairo</w:t>
      </w:r>
      <w:proofErr w:type="spellEnd"/>
      <w:r w:rsidRPr="00CE027C">
        <w:t xml:space="preserve"> T., </w:t>
      </w:r>
      <w:proofErr w:type="spellStart"/>
      <w:r w:rsidRPr="00CE027C">
        <w:t>Curro</w:t>
      </w:r>
      <w:proofErr w:type="spellEnd"/>
      <w:r w:rsidRPr="00CE027C">
        <w:t xml:space="preserve">' F., </w:t>
      </w:r>
      <w:proofErr w:type="spellStart"/>
      <w:r w:rsidRPr="00CE027C">
        <w:t>Scarselli</w:t>
      </w:r>
      <w:proofErr w:type="spellEnd"/>
      <w:r w:rsidRPr="00CE027C">
        <w:t xml:space="preserve"> S., Fabiano B., 2014, Atmospheric emissions from a fossil fuel power station: dispersion modelling and experimental comparison, Chemical Engineering Transactions, 36, 295-300.</w:t>
      </w:r>
    </w:p>
    <w:p w14:paraId="7CA86AE0" w14:textId="77777777" w:rsidR="00B267C8" w:rsidRPr="00CE027C" w:rsidRDefault="00B267C8" w:rsidP="00CE027C">
      <w:pPr>
        <w:pStyle w:val="CETReferencetext"/>
      </w:pPr>
      <w:proofErr w:type="spellStart"/>
      <w:r w:rsidRPr="00CE027C">
        <w:t>Vairo</w:t>
      </w:r>
      <w:proofErr w:type="spellEnd"/>
      <w:r w:rsidRPr="00CE027C">
        <w:t xml:space="preserve"> T., </w:t>
      </w:r>
      <w:proofErr w:type="spellStart"/>
      <w:r w:rsidRPr="00CE027C">
        <w:t>Magrì</w:t>
      </w:r>
      <w:proofErr w:type="spellEnd"/>
      <w:r w:rsidRPr="00CE027C">
        <w:t xml:space="preserve"> S., </w:t>
      </w:r>
      <w:proofErr w:type="spellStart"/>
      <w:r w:rsidRPr="00CE027C">
        <w:t>Qualgliati</w:t>
      </w:r>
      <w:proofErr w:type="spellEnd"/>
      <w:r w:rsidRPr="00CE027C">
        <w:t xml:space="preserve"> M., </w:t>
      </w:r>
      <w:proofErr w:type="spellStart"/>
      <w:r w:rsidRPr="00CE027C">
        <w:t>Reverberi</w:t>
      </w:r>
      <w:proofErr w:type="spellEnd"/>
      <w:r w:rsidRPr="00CE027C">
        <w:t xml:space="preserve"> A., Fabiano B., 2017</w:t>
      </w:r>
      <w:r w:rsidR="00916996" w:rsidRPr="00CE027C">
        <w:t>a</w:t>
      </w:r>
      <w:r w:rsidRPr="00CE027C">
        <w:t>, An Oil Pipeline Catastrophic Failure: Accident Scenario Modelling and Emergency Response Development, Chemical Engineering Transactions, 57, 373-378.</w:t>
      </w:r>
    </w:p>
    <w:p w14:paraId="6418FB26" w14:textId="77777777" w:rsidR="00B77896" w:rsidRPr="00CE027C" w:rsidRDefault="00B77896" w:rsidP="00CE027C">
      <w:pPr>
        <w:pStyle w:val="CETReferencetext"/>
      </w:pPr>
      <w:proofErr w:type="spellStart"/>
      <w:r w:rsidRPr="00CE027C">
        <w:t>Vairo</w:t>
      </w:r>
      <w:proofErr w:type="spellEnd"/>
      <w:r w:rsidRPr="00CE027C">
        <w:t xml:space="preserve"> T., Del </w:t>
      </w:r>
      <w:proofErr w:type="spellStart"/>
      <w:r w:rsidRPr="00CE027C">
        <w:t>Giudice</w:t>
      </w:r>
      <w:proofErr w:type="spellEnd"/>
      <w:r w:rsidRPr="00CE027C">
        <w:t xml:space="preserve"> T., </w:t>
      </w:r>
      <w:proofErr w:type="spellStart"/>
      <w:r w:rsidRPr="00CE027C">
        <w:t>Quagliati</w:t>
      </w:r>
      <w:proofErr w:type="spellEnd"/>
      <w:r w:rsidRPr="00CE027C">
        <w:t xml:space="preserve"> M., </w:t>
      </w:r>
      <w:proofErr w:type="spellStart"/>
      <w:r w:rsidRPr="00CE027C">
        <w:t>Barbucci</w:t>
      </w:r>
      <w:proofErr w:type="spellEnd"/>
      <w:r w:rsidRPr="00CE027C">
        <w:t xml:space="preserve"> A., Fabiano B., 2017</w:t>
      </w:r>
      <w:r w:rsidR="00916996" w:rsidRPr="00CE027C">
        <w:t>b</w:t>
      </w:r>
      <w:r w:rsidRPr="00CE027C">
        <w:t>, From land- to water-use-planning: A consequence-based case-study related to cruise ship risk, Safety Science</w:t>
      </w:r>
      <w:r w:rsidR="00916996" w:rsidRPr="00CE027C">
        <w:t>,</w:t>
      </w:r>
      <w:r w:rsidRPr="00CE027C">
        <w:t xml:space="preserve"> 97, 120-133.</w:t>
      </w:r>
    </w:p>
    <w:p w14:paraId="2D67D0AD" w14:textId="77777777" w:rsidR="00103B80" w:rsidRPr="00CE027C" w:rsidRDefault="00103B80" w:rsidP="00CE027C">
      <w:pPr>
        <w:pStyle w:val="CETReferencetext"/>
      </w:pPr>
      <w:r w:rsidRPr="00CE027C">
        <w:t xml:space="preserve">Vila M., </w:t>
      </w:r>
      <w:proofErr w:type="spellStart"/>
      <w:r w:rsidRPr="00CE027C">
        <w:t>Garcés</w:t>
      </w:r>
      <w:proofErr w:type="spellEnd"/>
      <w:r w:rsidRPr="00CE027C">
        <w:t xml:space="preserve"> E., </w:t>
      </w:r>
      <w:proofErr w:type="spellStart"/>
      <w:r w:rsidRPr="00CE027C">
        <w:t>Masó</w:t>
      </w:r>
      <w:proofErr w:type="spellEnd"/>
      <w:r w:rsidRPr="00CE027C">
        <w:t xml:space="preserve"> M., 2001, Potentially toxic epiphytic dinoflagellate assemblages on </w:t>
      </w:r>
      <w:proofErr w:type="spellStart"/>
      <w:r w:rsidRPr="00CE027C">
        <w:t>macroalgae</w:t>
      </w:r>
      <w:proofErr w:type="spellEnd"/>
      <w:r w:rsidRPr="00CE027C">
        <w:t xml:space="preserve"> in the NW Mediterranean, </w:t>
      </w:r>
      <w:proofErr w:type="spellStart"/>
      <w:r w:rsidRPr="00CE027C">
        <w:t>Aquat</w:t>
      </w:r>
      <w:proofErr w:type="spellEnd"/>
      <w:r w:rsidRPr="00CE027C">
        <w:t xml:space="preserve">. </w:t>
      </w:r>
      <w:proofErr w:type="spellStart"/>
      <w:r w:rsidRPr="00CE027C">
        <w:t>Microb</w:t>
      </w:r>
      <w:proofErr w:type="spellEnd"/>
      <w:r w:rsidRPr="00CE027C">
        <w:t>. Ecol., 26(1), 51-60</w:t>
      </w:r>
      <w:r w:rsidR="00B77896" w:rsidRPr="00CE027C">
        <w:t>.</w:t>
      </w:r>
    </w:p>
    <w:p w14:paraId="02BD3798" w14:textId="77777777" w:rsidR="00A86ADA" w:rsidRPr="00CE027C" w:rsidRDefault="00636C33" w:rsidP="00CE027C">
      <w:pPr>
        <w:pStyle w:val="CETReferencetext"/>
      </w:pPr>
      <w:r w:rsidRPr="00CE027C">
        <w:t xml:space="preserve">Wells M.L., </w:t>
      </w:r>
      <w:proofErr w:type="spellStart"/>
      <w:r w:rsidRPr="00CE027C">
        <w:t>Karlson</w:t>
      </w:r>
      <w:proofErr w:type="spellEnd"/>
      <w:r w:rsidRPr="00CE027C">
        <w:t xml:space="preserve"> B., </w:t>
      </w:r>
      <w:proofErr w:type="spellStart"/>
      <w:r w:rsidRPr="00CE027C">
        <w:t>Wulff</w:t>
      </w:r>
      <w:proofErr w:type="spellEnd"/>
      <w:r w:rsidRPr="00CE027C">
        <w:t xml:space="preserve"> A., </w:t>
      </w:r>
      <w:proofErr w:type="spellStart"/>
      <w:r w:rsidRPr="00CE027C">
        <w:t>Kudela</w:t>
      </w:r>
      <w:proofErr w:type="spellEnd"/>
      <w:r w:rsidRPr="00CE027C">
        <w:t xml:space="preserve"> R., </w:t>
      </w:r>
      <w:proofErr w:type="spellStart"/>
      <w:r w:rsidRPr="00CE027C">
        <w:t>Asnaghi</w:t>
      </w:r>
      <w:proofErr w:type="spellEnd"/>
      <w:r w:rsidRPr="00CE027C">
        <w:t xml:space="preserve"> V., </w:t>
      </w:r>
      <w:proofErr w:type="spellStart"/>
      <w:r w:rsidRPr="00CE027C">
        <w:t>Berdalet</w:t>
      </w:r>
      <w:proofErr w:type="spellEnd"/>
      <w:r w:rsidRPr="00CE027C">
        <w:t xml:space="preserve"> E., </w:t>
      </w:r>
      <w:proofErr w:type="spellStart"/>
      <w:r w:rsidRPr="00CE027C">
        <w:t>Cochlan</w:t>
      </w:r>
      <w:proofErr w:type="spellEnd"/>
      <w:r w:rsidRPr="00CE027C">
        <w:t xml:space="preserve"> W., Davidson K., De </w:t>
      </w:r>
      <w:proofErr w:type="spellStart"/>
      <w:r w:rsidRPr="00CE027C">
        <w:t>Rijcke</w:t>
      </w:r>
      <w:proofErr w:type="spellEnd"/>
      <w:r w:rsidR="00207DA6" w:rsidRPr="00CE027C">
        <w:t xml:space="preserve"> M., </w:t>
      </w:r>
      <w:proofErr w:type="spellStart"/>
      <w:r w:rsidR="00207DA6" w:rsidRPr="00CE027C">
        <w:t>Dutkiewicz</w:t>
      </w:r>
      <w:proofErr w:type="spellEnd"/>
      <w:r w:rsidRPr="00CE027C">
        <w:t xml:space="preserve"> S., </w:t>
      </w:r>
      <w:proofErr w:type="spellStart"/>
      <w:r w:rsidRPr="00CE027C">
        <w:t>Hallegraeff</w:t>
      </w:r>
      <w:proofErr w:type="spellEnd"/>
      <w:r w:rsidRPr="00CE027C">
        <w:t xml:space="preserve"> G., Fly</w:t>
      </w:r>
      <w:r w:rsidR="00207DA6" w:rsidRPr="00CE027C">
        <w:t>nn</w:t>
      </w:r>
      <w:r w:rsidRPr="00CE027C">
        <w:t xml:space="preserve"> K.J., Legrand C., </w:t>
      </w:r>
      <w:proofErr w:type="spellStart"/>
      <w:r w:rsidRPr="00CE027C">
        <w:t>Paer</w:t>
      </w:r>
      <w:proofErr w:type="spellEnd"/>
      <w:r w:rsidRPr="00CE027C">
        <w:t xml:space="preserve"> H., </w:t>
      </w:r>
      <w:proofErr w:type="spellStart"/>
      <w:r w:rsidRPr="00CE027C">
        <w:t>Silke</w:t>
      </w:r>
      <w:proofErr w:type="spellEnd"/>
      <w:r w:rsidRPr="00CE027C">
        <w:t xml:space="preserve"> J., </w:t>
      </w:r>
      <w:proofErr w:type="spellStart"/>
      <w:r w:rsidRPr="00CE027C">
        <w:t>Suikkanen</w:t>
      </w:r>
      <w:proofErr w:type="spellEnd"/>
      <w:r w:rsidRPr="00CE027C">
        <w:t xml:space="preserve"> S., Thompson P., Trainer V., Trick C.</w:t>
      </w:r>
      <w:r w:rsidR="00207DA6" w:rsidRPr="00CE027C">
        <w:t>,</w:t>
      </w:r>
      <w:r w:rsidRPr="00CE027C">
        <w:t xml:space="preserve"> </w:t>
      </w:r>
      <w:r w:rsidR="00893FB1" w:rsidRPr="00CE027C">
        <w:t xml:space="preserve">2020, </w:t>
      </w:r>
      <w:r w:rsidRPr="00CE027C">
        <w:t>Future HAB Science: Directions and Ch</w:t>
      </w:r>
      <w:r w:rsidR="00207DA6" w:rsidRPr="00CE027C">
        <w:t xml:space="preserve">allenges in a Changing Climate, </w:t>
      </w:r>
      <w:r w:rsidRPr="00CE027C">
        <w:t>Harmful Algae</w:t>
      </w:r>
      <w:r w:rsidR="00893FB1" w:rsidRPr="00CE027C">
        <w:t>, 91</w:t>
      </w:r>
      <w:r w:rsidR="00B77896" w:rsidRPr="00CE027C">
        <w:t>.</w:t>
      </w:r>
      <w:r w:rsidR="00893FB1" w:rsidRPr="00CE027C">
        <w:t xml:space="preserve"> </w:t>
      </w:r>
    </w:p>
    <w:p w14:paraId="7FF14D43" w14:textId="77777777" w:rsidR="00CE027C" w:rsidRPr="00CE027C" w:rsidRDefault="00CE027C" w:rsidP="00CE027C">
      <w:pPr>
        <w:pStyle w:val="CETReferencetext"/>
        <w:ind w:left="0" w:firstLine="0"/>
      </w:pPr>
      <w:bookmarkStart w:id="3" w:name="_GoBack"/>
      <w:bookmarkEnd w:id="3"/>
    </w:p>
    <w:sectPr w:rsidR="00CE027C" w:rsidRPr="00CE027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62242" w14:textId="77777777" w:rsidR="003C595E" w:rsidRDefault="003C595E" w:rsidP="004F5E36">
      <w:r>
        <w:separator/>
      </w:r>
    </w:p>
  </w:endnote>
  <w:endnote w:type="continuationSeparator" w:id="0">
    <w:p w14:paraId="033DCB47" w14:textId="77777777" w:rsidR="003C595E" w:rsidRDefault="003C59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2CDAB" w14:textId="77777777" w:rsidR="003C595E" w:rsidRDefault="003C595E" w:rsidP="004F5E36">
      <w:r>
        <w:separator/>
      </w:r>
    </w:p>
  </w:footnote>
  <w:footnote w:type="continuationSeparator" w:id="0">
    <w:p w14:paraId="243472A6" w14:textId="77777777" w:rsidR="003C595E" w:rsidRDefault="003C595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E5E6717"/>
    <w:multiLevelType w:val="multilevel"/>
    <w:tmpl w:val="46E4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8217E"/>
    <w:multiLevelType w:val="multilevel"/>
    <w:tmpl w:val="9AC63B0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7C"/>
    <w:rsid w:val="000027C0"/>
    <w:rsid w:val="00003D07"/>
    <w:rsid w:val="000052FB"/>
    <w:rsid w:val="000117CB"/>
    <w:rsid w:val="00013C11"/>
    <w:rsid w:val="000214AC"/>
    <w:rsid w:val="00023C33"/>
    <w:rsid w:val="0003148D"/>
    <w:rsid w:val="00037F17"/>
    <w:rsid w:val="00042DEB"/>
    <w:rsid w:val="0004413D"/>
    <w:rsid w:val="0004658D"/>
    <w:rsid w:val="00046CC8"/>
    <w:rsid w:val="00051566"/>
    <w:rsid w:val="00062A9A"/>
    <w:rsid w:val="00065058"/>
    <w:rsid w:val="00066E21"/>
    <w:rsid w:val="00086C39"/>
    <w:rsid w:val="000A03B2"/>
    <w:rsid w:val="000A5A74"/>
    <w:rsid w:val="000B09CD"/>
    <w:rsid w:val="000C5A97"/>
    <w:rsid w:val="000C69EB"/>
    <w:rsid w:val="000D0268"/>
    <w:rsid w:val="000D34BE"/>
    <w:rsid w:val="000E102F"/>
    <w:rsid w:val="000E342C"/>
    <w:rsid w:val="000E36F1"/>
    <w:rsid w:val="000E3A73"/>
    <w:rsid w:val="000E414A"/>
    <w:rsid w:val="000E61DF"/>
    <w:rsid w:val="000F093C"/>
    <w:rsid w:val="000F6102"/>
    <w:rsid w:val="000F787B"/>
    <w:rsid w:val="00103B80"/>
    <w:rsid w:val="0010530D"/>
    <w:rsid w:val="001206EE"/>
    <w:rsid w:val="0012091F"/>
    <w:rsid w:val="00126BC2"/>
    <w:rsid w:val="001303FA"/>
    <w:rsid w:val="001308B6"/>
    <w:rsid w:val="0013121F"/>
    <w:rsid w:val="00131FE6"/>
    <w:rsid w:val="0013263F"/>
    <w:rsid w:val="00132DB6"/>
    <w:rsid w:val="001338DF"/>
    <w:rsid w:val="00134DE4"/>
    <w:rsid w:val="0014034D"/>
    <w:rsid w:val="001419E3"/>
    <w:rsid w:val="00150E59"/>
    <w:rsid w:val="00152DE3"/>
    <w:rsid w:val="00156C79"/>
    <w:rsid w:val="00163890"/>
    <w:rsid w:val="0016409A"/>
    <w:rsid w:val="00164CF9"/>
    <w:rsid w:val="001667A6"/>
    <w:rsid w:val="001829AE"/>
    <w:rsid w:val="00184AD6"/>
    <w:rsid w:val="001A0761"/>
    <w:rsid w:val="001A47BD"/>
    <w:rsid w:val="001A4AF7"/>
    <w:rsid w:val="001B0349"/>
    <w:rsid w:val="001B4A0C"/>
    <w:rsid w:val="001B65C1"/>
    <w:rsid w:val="001C61D2"/>
    <w:rsid w:val="001C684B"/>
    <w:rsid w:val="001C793F"/>
    <w:rsid w:val="001D52DB"/>
    <w:rsid w:val="001D53FC"/>
    <w:rsid w:val="001F42A5"/>
    <w:rsid w:val="001F7B9D"/>
    <w:rsid w:val="00207DA6"/>
    <w:rsid w:val="002224B4"/>
    <w:rsid w:val="00222DE8"/>
    <w:rsid w:val="0022330F"/>
    <w:rsid w:val="002257D7"/>
    <w:rsid w:val="00227E0E"/>
    <w:rsid w:val="002447EF"/>
    <w:rsid w:val="00250353"/>
    <w:rsid w:val="00251550"/>
    <w:rsid w:val="00263B05"/>
    <w:rsid w:val="00263E35"/>
    <w:rsid w:val="0026655A"/>
    <w:rsid w:val="0027221A"/>
    <w:rsid w:val="00275B61"/>
    <w:rsid w:val="002760B2"/>
    <w:rsid w:val="00282656"/>
    <w:rsid w:val="002940C7"/>
    <w:rsid w:val="00295987"/>
    <w:rsid w:val="00296B83"/>
    <w:rsid w:val="002A2129"/>
    <w:rsid w:val="002A425D"/>
    <w:rsid w:val="002A4CD0"/>
    <w:rsid w:val="002B597A"/>
    <w:rsid w:val="002B78CE"/>
    <w:rsid w:val="002C2FB6"/>
    <w:rsid w:val="002D5740"/>
    <w:rsid w:val="002E228F"/>
    <w:rsid w:val="002E5340"/>
    <w:rsid w:val="002F0E82"/>
    <w:rsid w:val="002F3309"/>
    <w:rsid w:val="003009B7"/>
    <w:rsid w:val="00300E56"/>
    <w:rsid w:val="0030469C"/>
    <w:rsid w:val="00307D72"/>
    <w:rsid w:val="00320D75"/>
    <w:rsid w:val="00321CA6"/>
    <w:rsid w:val="00324D33"/>
    <w:rsid w:val="00324DFF"/>
    <w:rsid w:val="0032778E"/>
    <w:rsid w:val="00334C09"/>
    <w:rsid w:val="00337E43"/>
    <w:rsid w:val="00344EC7"/>
    <w:rsid w:val="00352323"/>
    <w:rsid w:val="00362A33"/>
    <w:rsid w:val="00364C23"/>
    <w:rsid w:val="003723D4"/>
    <w:rsid w:val="00381905"/>
    <w:rsid w:val="00384CC8"/>
    <w:rsid w:val="003871FD"/>
    <w:rsid w:val="00391BF6"/>
    <w:rsid w:val="003A1E30"/>
    <w:rsid w:val="003A7D1C"/>
    <w:rsid w:val="003B017E"/>
    <w:rsid w:val="003B304B"/>
    <w:rsid w:val="003B3146"/>
    <w:rsid w:val="003B5C20"/>
    <w:rsid w:val="003C595E"/>
    <w:rsid w:val="003E032B"/>
    <w:rsid w:val="003E2FAC"/>
    <w:rsid w:val="003F015E"/>
    <w:rsid w:val="003F0A65"/>
    <w:rsid w:val="003F373D"/>
    <w:rsid w:val="00400414"/>
    <w:rsid w:val="0041446B"/>
    <w:rsid w:val="00415C34"/>
    <w:rsid w:val="00421D8B"/>
    <w:rsid w:val="004278D4"/>
    <w:rsid w:val="00437EC1"/>
    <w:rsid w:val="0044329C"/>
    <w:rsid w:val="00447510"/>
    <w:rsid w:val="004511BC"/>
    <w:rsid w:val="00453404"/>
    <w:rsid w:val="00453685"/>
    <w:rsid w:val="004577FE"/>
    <w:rsid w:val="00457B9C"/>
    <w:rsid w:val="0046164A"/>
    <w:rsid w:val="004628D2"/>
    <w:rsid w:val="00462DCD"/>
    <w:rsid w:val="004648AD"/>
    <w:rsid w:val="004652D8"/>
    <w:rsid w:val="004703A9"/>
    <w:rsid w:val="004760DE"/>
    <w:rsid w:val="004763D7"/>
    <w:rsid w:val="004A004E"/>
    <w:rsid w:val="004A24CF"/>
    <w:rsid w:val="004A5BD7"/>
    <w:rsid w:val="004C3D1D"/>
    <w:rsid w:val="004C4E63"/>
    <w:rsid w:val="004C7913"/>
    <w:rsid w:val="004E4DD6"/>
    <w:rsid w:val="004E5D2D"/>
    <w:rsid w:val="004E78A5"/>
    <w:rsid w:val="004F2899"/>
    <w:rsid w:val="004F5E36"/>
    <w:rsid w:val="0050110C"/>
    <w:rsid w:val="00507B47"/>
    <w:rsid w:val="00507BEF"/>
    <w:rsid w:val="00507CC9"/>
    <w:rsid w:val="005119A5"/>
    <w:rsid w:val="005224D7"/>
    <w:rsid w:val="00527845"/>
    <w:rsid w:val="005278B7"/>
    <w:rsid w:val="00532016"/>
    <w:rsid w:val="005346C8"/>
    <w:rsid w:val="00543E7D"/>
    <w:rsid w:val="00547A68"/>
    <w:rsid w:val="005531C9"/>
    <w:rsid w:val="0055323D"/>
    <w:rsid w:val="005648DE"/>
    <w:rsid w:val="00570C43"/>
    <w:rsid w:val="0058492B"/>
    <w:rsid w:val="00592BB6"/>
    <w:rsid w:val="005A46C3"/>
    <w:rsid w:val="005B2110"/>
    <w:rsid w:val="005B61E6"/>
    <w:rsid w:val="005C1DF4"/>
    <w:rsid w:val="005C77E1"/>
    <w:rsid w:val="005D6A2F"/>
    <w:rsid w:val="005E1A82"/>
    <w:rsid w:val="005E4209"/>
    <w:rsid w:val="005E794C"/>
    <w:rsid w:val="005F0A28"/>
    <w:rsid w:val="005F0E5E"/>
    <w:rsid w:val="00600535"/>
    <w:rsid w:val="006071A6"/>
    <w:rsid w:val="00610CD6"/>
    <w:rsid w:val="00620DEE"/>
    <w:rsid w:val="00621F92"/>
    <w:rsid w:val="0062280A"/>
    <w:rsid w:val="00625639"/>
    <w:rsid w:val="00631B33"/>
    <w:rsid w:val="00636C33"/>
    <w:rsid w:val="00640268"/>
    <w:rsid w:val="0064184D"/>
    <w:rsid w:val="00641D5C"/>
    <w:rsid w:val="006422CC"/>
    <w:rsid w:val="00660E3E"/>
    <w:rsid w:val="00662ACF"/>
    <w:rsid w:val="00662E74"/>
    <w:rsid w:val="00680C23"/>
    <w:rsid w:val="00682878"/>
    <w:rsid w:val="006906CC"/>
    <w:rsid w:val="00693766"/>
    <w:rsid w:val="006A3281"/>
    <w:rsid w:val="006A4CF3"/>
    <w:rsid w:val="006A7DC5"/>
    <w:rsid w:val="006B4888"/>
    <w:rsid w:val="006C0CCC"/>
    <w:rsid w:val="006C2E45"/>
    <w:rsid w:val="006C359C"/>
    <w:rsid w:val="006C5579"/>
    <w:rsid w:val="006E737D"/>
    <w:rsid w:val="006F495D"/>
    <w:rsid w:val="006F5554"/>
    <w:rsid w:val="006F69BB"/>
    <w:rsid w:val="00707F9F"/>
    <w:rsid w:val="007118D6"/>
    <w:rsid w:val="00713A53"/>
    <w:rsid w:val="00716143"/>
    <w:rsid w:val="00720A24"/>
    <w:rsid w:val="00732386"/>
    <w:rsid w:val="007328C1"/>
    <w:rsid w:val="0073514D"/>
    <w:rsid w:val="007447F3"/>
    <w:rsid w:val="00747B7C"/>
    <w:rsid w:val="0075499F"/>
    <w:rsid w:val="007661C8"/>
    <w:rsid w:val="0077098D"/>
    <w:rsid w:val="007760FB"/>
    <w:rsid w:val="007853AC"/>
    <w:rsid w:val="007931FA"/>
    <w:rsid w:val="007A427A"/>
    <w:rsid w:val="007A4861"/>
    <w:rsid w:val="007A4EC2"/>
    <w:rsid w:val="007A7BBA"/>
    <w:rsid w:val="007B0C50"/>
    <w:rsid w:val="007B64D9"/>
    <w:rsid w:val="007B70D7"/>
    <w:rsid w:val="007C1A43"/>
    <w:rsid w:val="007D5960"/>
    <w:rsid w:val="007D6E18"/>
    <w:rsid w:val="007D7182"/>
    <w:rsid w:val="007D789B"/>
    <w:rsid w:val="007F1DE4"/>
    <w:rsid w:val="007F20C4"/>
    <w:rsid w:val="007F3CA0"/>
    <w:rsid w:val="0080013E"/>
    <w:rsid w:val="00813288"/>
    <w:rsid w:val="008168FC"/>
    <w:rsid w:val="008239BB"/>
    <w:rsid w:val="00827573"/>
    <w:rsid w:val="00830996"/>
    <w:rsid w:val="008345F1"/>
    <w:rsid w:val="0084147C"/>
    <w:rsid w:val="00841BA9"/>
    <w:rsid w:val="008624B2"/>
    <w:rsid w:val="00865A87"/>
    <w:rsid w:val="00865B07"/>
    <w:rsid w:val="008667EA"/>
    <w:rsid w:val="00871BBE"/>
    <w:rsid w:val="0087637F"/>
    <w:rsid w:val="008809C9"/>
    <w:rsid w:val="0088451F"/>
    <w:rsid w:val="00887864"/>
    <w:rsid w:val="00892AD5"/>
    <w:rsid w:val="00893FB1"/>
    <w:rsid w:val="00895C68"/>
    <w:rsid w:val="008A1512"/>
    <w:rsid w:val="008A6508"/>
    <w:rsid w:val="008B1473"/>
    <w:rsid w:val="008B32D8"/>
    <w:rsid w:val="008B4EBF"/>
    <w:rsid w:val="008D32B9"/>
    <w:rsid w:val="008D433B"/>
    <w:rsid w:val="008D6A72"/>
    <w:rsid w:val="008E566E"/>
    <w:rsid w:val="008F04B2"/>
    <w:rsid w:val="0090161A"/>
    <w:rsid w:val="00901EB6"/>
    <w:rsid w:val="009028D0"/>
    <w:rsid w:val="0090300A"/>
    <w:rsid w:val="00904C62"/>
    <w:rsid w:val="00910CD8"/>
    <w:rsid w:val="00916996"/>
    <w:rsid w:val="00922BA8"/>
    <w:rsid w:val="00924DAC"/>
    <w:rsid w:val="00927058"/>
    <w:rsid w:val="00942750"/>
    <w:rsid w:val="0094287F"/>
    <w:rsid w:val="009450CE"/>
    <w:rsid w:val="00945C6B"/>
    <w:rsid w:val="00947179"/>
    <w:rsid w:val="0095164B"/>
    <w:rsid w:val="00953716"/>
    <w:rsid w:val="00954090"/>
    <w:rsid w:val="009573E7"/>
    <w:rsid w:val="00963506"/>
    <w:rsid w:val="00963E05"/>
    <w:rsid w:val="00967D54"/>
    <w:rsid w:val="00971028"/>
    <w:rsid w:val="00971D03"/>
    <w:rsid w:val="009850EE"/>
    <w:rsid w:val="00996483"/>
    <w:rsid w:val="00996F5A"/>
    <w:rsid w:val="009B041A"/>
    <w:rsid w:val="009C37C3"/>
    <w:rsid w:val="009C7C86"/>
    <w:rsid w:val="009D0EF6"/>
    <w:rsid w:val="009D2FF7"/>
    <w:rsid w:val="009D5443"/>
    <w:rsid w:val="009D7C04"/>
    <w:rsid w:val="009E7884"/>
    <w:rsid w:val="009E788A"/>
    <w:rsid w:val="009F0E08"/>
    <w:rsid w:val="009F138E"/>
    <w:rsid w:val="00A024C9"/>
    <w:rsid w:val="00A03631"/>
    <w:rsid w:val="00A07F86"/>
    <w:rsid w:val="00A1763D"/>
    <w:rsid w:val="00A17CEC"/>
    <w:rsid w:val="00A21445"/>
    <w:rsid w:val="00A25E03"/>
    <w:rsid w:val="00A27EF0"/>
    <w:rsid w:val="00A33F13"/>
    <w:rsid w:val="00A42D03"/>
    <w:rsid w:val="00A50B20"/>
    <w:rsid w:val="00A51390"/>
    <w:rsid w:val="00A542C8"/>
    <w:rsid w:val="00A60D13"/>
    <w:rsid w:val="00A617A7"/>
    <w:rsid w:val="00A67003"/>
    <w:rsid w:val="00A72745"/>
    <w:rsid w:val="00A76EFC"/>
    <w:rsid w:val="00A867D8"/>
    <w:rsid w:val="00A86ADA"/>
    <w:rsid w:val="00A91010"/>
    <w:rsid w:val="00A97F29"/>
    <w:rsid w:val="00AA42C9"/>
    <w:rsid w:val="00AA702E"/>
    <w:rsid w:val="00AB0964"/>
    <w:rsid w:val="00AB2B87"/>
    <w:rsid w:val="00AB5011"/>
    <w:rsid w:val="00AB5093"/>
    <w:rsid w:val="00AB7EFA"/>
    <w:rsid w:val="00AC2047"/>
    <w:rsid w:val="00AC7368"/>
    <w:rsid w:val="00AC780C"/>
    <w:rsid w:val="00AD16B9"/>
    <w:rsid w:val="00AE377D"/>
    <w:rsid w:val="00AF3A44"/>
    <w:rsid w:val="00AF5BE8"/>
    <w:rsid w:val="00B00863"/>
    <w:rsid w:val="00B02C8A"/>
    <w:rsid w:val="00B039CE"/>
    <w:rsid w:val="00B06618"/>
    <w:rsid w:val="00B12D41"/>
    <w:rsid w:val="00B16D4A"/>
    <w:rsid w:val="00B17FBD"/>
    <w:rsid w:val="00B216D7"/>
    <w:rsid w:val="00B267C8"/>
    <w:rsid w:val="00B315A6"/>
    <w:rsid w:val="00B31813"/>
    <w:rsid w:val="00B33365"/>
    <w:rsid w:val="00B35861"/>
    <w:rsid w:val="00B40B3C"/>
    <w:rsid w:val="00B425EA"/>
    <w:rsid w:val="00B439D8"/>
    <w:rsid w:val="00B4672B"/>
    <w:rsid w:val="00B529AB"/>
    <w:rsid w:val="00B57B36"/>
    <w:rsid w:val="00B77896"/>
    <w:rsid w:val="00B812F4"/>
    <w:rsid w:val="00B81B40"/>
    <w:rsid w:val="00B845DC"/>
    <w:rsid w:val="00B8686D"/>
    <w:rsid w:val="00B93834"/>
    <w:rsid w:val="00BB1DDC"/>
    <w:rsid w:val="00BC06A9"/>
    <w:rsid w:val="00BC30C9"/>
    <w:rsid w:val="00BD7A9D"/>
    <w:rsid w:val="00BE3E58"/>
    <w:rsid w:val="00BE6B95"/>
    <w:rsid w:val="00BE7032"/>
    <w:rsid w:val="00C00D09"/>
    <w:rsid w:val="00C01616"/>
    <w:rsid w:val="00C0162B"/>
    <w:rsid w:val="00C068ED"/>
    <w:rsid w:val="00C345B1"/>
    <w:rsid w:val="00C40142"/>
    <w:rsid w:val="00C40FF8"/>
    <w:rsid w:val="00C412A6"/>
    <w:rsid w:val="00C45D32"/>
    <w:rsid w:val="00C50BB8"/>
    <w:rsid w:val="00C57182"/>
    <w:rsid w:val="00C57863"/>
    <w:rsid w:val="00C57F96"/>
    <w:rsid w:val="00C655FD"/>
    <w:rsid w:val="00C67C32"/>
    <w:rsid w:val="00C75407"/>
    <w:rsid w:val="00C7599B"/>
    <w:rsid w:val="00C870A8"/>
    <w:rsid w:val="00C94434"/>
    <w:rsid w:val="00CA0D75"/>
    <w:rsid w:val="00CA1C95"/>
    <w:rsid w:val="00CA5A9C"/>
    <w:rsid w:val="00CC1B81"/>
    <w:rsid w:val="00CC4C20"/>
    <w:rsid w:val="00CC68DC"/>
    <w:rsid w:val="00CD3517"/>
    <w:rsid w:val="00CD5FE2"/>
    <w:rsid w:val="00CE027C"/>
    <w:rsid w:val="00CE7C68"/>
    <w:rsid w:val="00D02B4C"/>
    <w:rsid w:val="00D040C4"/>
    <w:rsid w:val="00D24AEB"/>
    <w:rsid w:val="00D34688"/>
    <w:rsid w:val="00D54521"/>
    <w:rsid w:val="00D55947"/>
    <w:rsid w:val="00D57C84"/>
    <w:rsid w:val="00D6057D"/>
    <w:rsid w:val="00D704EF"/>
    <w:rsid w:val="00D75CB6"/>
    <w:rsid w:val="00D836C5"/>
    <w:rsid w:val="00D84576"/>
    <w:rsid w:val="00DA1399"/>
    <w:rsid w:val="00DA24C6"/>
    <w:rsid w:val="00DA4D7B"/>
    <w:rsid w:val="00DA73F5"/>
    <w:rsid w:val="00DB77F9"/>
    <w:rsid w:val="00DC77F3"/>
    <w:rsid w:val="00DE0564"/>
    <w:rsid w:val="00DE264A"/>
    <w:rsid w:val="00DE3C17"/>
    <w:rsid w:val="00DF1683"/>
    <w:rsid w:val="00DF5072"/>
    <w:rsid w:val="00E019AC"/>
    <w:rsid w:val="00E02D18"/>
    <w:rsid w:val="00E0360D"/>
    <w:rsid w:val="00E041E7"/>
    <w:rsid w:val="00E102D9"/>
    <w:rsid w:val="00E23CA1"/>
    <w:rsid w:val="00E24679"/>
    <w:rsid w:val="00E35C9A"/>
    <w:rsid w:val="00E35E77"/>
    <w:rsid w:val="00E409A8"/>
    <w:rsid w:val="00E40F55"/>
    <w:rsid w:val="00E50C12"/>
    <w:rsid w:val="00E65B91"/>
    <w:rsid w:val="00E7209D"/>
    <w:rsid w:val="00E767DC"/>
    <w:rsid w:val="00E77223"/>
    <w:rsid w:val="00E8528B"/>
    <w:rsid w:val="00E85B94"/>
    <w:rsid w:val="00E978D0"/>
    <w:rsid w:val="00EA3B4F"/>
    <w:rsid w:val="00EA4613"/>
    <w:rsid w:val="00EA7F91"/>
    <w:rsid w:val="00EB1523"/>
    <w:rsid w:val="00EB156B"/>
    <w:rsid w:val="00EB2134"/>
    <w:rsid w:val="00EC0E49"/>
    <w:rsid w:val="00EC101F"/>
    <w:rsid w:val="00EE0131"/>
    <w:rsid w:val="00EE12BC"/>
    <w:rsid w:val="00EE17B0"/>
    <w:rsid w:val="00EE2853"/>
    <w:rsid w:val="00EE5DA2"/>
    <w:rsid w:val="00EF0542"/>
    <w:rsid w:val="00EF06D9"/>
    <w:rsid w:val="00F17ED4"/>
    <w:rsid w:val="00F30C64"/>
    <w:rsid w:val="00F3223E"/>
    <w:rsid w:val="00F32CDB"/>
    <w:rsid w:val="00F33200"/>
    <w:rsid w:val="00F525B2"/>
    <w:rsid w:val="00F54948"/>
    <w:rsid w:val="00F63A70"/>
    <w:rsid w:val="00F7054C"/>
    <w:rsid w:val="00F70FAD"/>
    <w:rsid w:val="00F84CA4"/>
    <w:rsid w:val="00F874D2"/>
    <w:rsid w:val="00FA21D0"/>
    <w:rsid w:val="00FA5F5F"/>
    <w:rsid w:val="00FA6BFE"/>
    <w:rsid w:val="00FB730C"/>
    <w:rsid w:val="00FC2695"/>
    <w:rsid w:val="00FC3E03"/>
    <w:rsid w:val="00FC3FC1"/>
    <w:rsid w:val="00FF16EF"/>
    <w:rsid w:val="00FF669F"/>
    <w:rsid w:val="00FF6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C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027C"/>
    <w:pPr>
      <w:keepNext/>
      <w:numPr>
        <w:ilvl w:val="2"/>
        <w:numId w:val="1"/>
      </w:numPr>
      <w:suppressAutoHyphens/>
      <w:spacing w:before="120" w:after="120" w:line="264"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027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1A47BD"/>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027C"/>
    <w:pPr>
      <w:keepNext/>
      <w:numPr>
        <w:ilvl w:val="2"/>
        <w:numId w:val="1"/>
      </w:numPr>
      <w:suppressAutoHyphens/>
      <w:spacing w:before="120" w:after="120" w:line="264"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027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1A47B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67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286">
      <w:bodyDiv w:val="1"/>
      <w:marLeft w:val="0"/>
      <w:marRight w:val="0"/>
      <w:marTop w:val="0"/>
      <w:marBottom w:val="0"/>
      <w:divBdr>
        <w:top w:val="none" w:sz="0" w:space="0" w:color="auto"/>
        <w:left w:val="none" w:sz="0" w:space="0" w:color="auto"/>
        <w:bottom w:val="none" w:sz="0" w:space="0" w:color="auto"/>
        <w:right w:val="none" w:sz="0" w:space="0" w:color="auto"/>
      </w:divBdr>
    </w:div>
    <w:div w:id="1927154196">
      <w:bodyDiv w:val="1"/>
      <w:marLeft w:val="0"/>
      <w:marRight w:val="0"/>
      <w:marTop w:val="0"/>
      <w:marBottom w:val="0"/>
      <w:divBdr>
        <w:top w:val="none" w:sz="0" w:space="0" w:color="auto"/>
        <w:left w:val="none" w:sz="0" w:space="0" w:color="auto"/>
        <w:bottom w:val="none" w:sz="0" w:space="0" w:color="auto"/>
        <w:right w:val="none" w:sz="0" w:space="0" w:color="auto"/>
      </w:divBdr>
    </w:div>
    <w:div w:id="205130244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1A46-7A41-40ED-82B0-C590CFBA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4133</Words>
  <Characters>23559</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6</cp:revision>
  <cp:lastPrinted>2015-05-12T18:31:00Z</cp:lastPrinted>
  <dcterms:created xsi:type="dcterms:W3CDTF">2020-07-02T10:36:00Z</dcterms:created>
  <dcterms:modified xsi:type="dcterms:W3CDTF">2020-08-31T12:13:00Z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