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9A1F6F" w14:paraId="2B1CC2F3" w14:textId="77777777" w:rsidTr="009A1F6F">
        <w:trPr>
          <w:trHeight w:val="852"/>
          <w:jc w:val="center"/>
        </w:trPr>
        <w:tc>
          <w:tcPr>
            <w:tcW w:w="6946" w:type="dxa"/>
            <w:vMerge w:val="restart"/>
            <w:tcBorders>
              <w:top w:val="nil"/>
              <w:left w:val="nil"/>
              <w:bottom w:val="nil"/>
              <w:right w:val="single" w:sz="4" w:space="0" w:color="auto"/>
            </w:tcBorders>
            <w:hideMark/>
          </w:tcPr>
          <w:p w14:paraId="6EC30C25" w14:textId="361B6183" w:rsidR="009A1F6F" w:rsidRDefault="009A1F6F">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0AF13476" wp14:editId="47FC537B">
                  <wp:extent cx="638175" cy="371475"/>
                  <wp:effectExtent l="0" t="0" r="9525" b="9525"/>
                  <wp:docPr id="2" name="Immagine 2"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4BB5EB04" w14:textId="77777777" w:rsidR="009A1F6F" w:rsidRDefault="009A1F6F">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D05D0CC" w14:textId="77777777" w:rsidR="009A1F6F" w:rsidRDefault="009A1F6F">
            <w:pPr>
              <w:spacing w:line="140" w:lineRule="atLeast"/>
              <w:jc w:val="right"/>
              <w:rPr>
                <w:rFonts w:cs="Arial"/>
                <w:sz w:val="14"/>
                <w:szCs w:val="14"/>
              </w:rPr>
            </w:pPr>
            <w:r>
              <w:rPr>
                <w:rFonts w:cs="Arial"/>
                <w:sz w:val="14"/>
                <w:szCs w:val="14"/>
              </w:rPr>
              <w:t>A publication of</w:t>
            </w:r>
          </w:p>
          <w:p w14:paraId="0327DB82" w14:textId="3E032EF7" w:rsidR="009A1F6F" w:rsidRDefault="009A1F6F">
            <w:pPr>
              <w:jc w:val="right"/>
            </w:pPr>
            <w:r>
              <w:rPr>
                <w:noProof/>
                <w:lang w:val="it-IT" w:eastAsia="it-IT"/>
              </w:rPr>
              <w:drawing>
                <wp:inline distT="0" distB="0" distL="0" distR="0" wp14:anchorId="6276485D" wp14:editId="584DDC24">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9A1F6F" w14:paraId="471A3E58" w14:textId="77777777" w:rsidTr="009A1F6F">
        <w:trPr>
          <w:trHeight w:val="567"/>
          <w:jc w:val="center"/>
        </w:trPr>
        <w:tc>
          <w:tcPr>
            <w:tcW w:w="0" w:type="auto"/>
            <w:vMerge/>
            <w:tcBorders>
              <w:top w:val="nil"/>
              <w:left w:val="nil"/>
              <w:bottom w:val="nil"/>
              <w:right w:val="single" w:sz="4" w:space="0" w:color="auto"/>
            </w:tcBorders>
            <w:vAlign w:val="center"/>
            <w:hideMark/>
          </w:tcPr>
          <w:p w14:paraId="096FAB04" w14:textId="77777777" w:rsidR="009A1F6F" w:rsidRDefault="009A1F6F">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1C006E8E" w14:textId="77777777" w:rsidR="009A1F6F" w:rsidRDefault="009A1F6F">
            <w:pPr>
              <w:spacing w:line="140" w:lineRule="atLeast"/>
              <w:jc w:val="right"/>
              <w:rPr>
                <w:rFonts w:cs="Arial"/>
                <w:sz w:val="14"/>
                <w:szCs w:val="14"/>
              </w:rPr>
            </w:pPr>
            <w:r>
              <w:rPr>
                <w:rFonts w:cs="Arial"/>
                <w:sz w:val="14"/>
                <w:szCs w:val="14"/>
              </w:rPr>
              <w:t>The Italian Association</w:t>
            </w:r>
          </w:p>
          <w:p w14:paraId="579DF69B" w14:textId="77777777" w:rsidR="009A1F6F" w:rsidRDefault="009A1F6F">
            <w:pPr>
              <w:spacing w:line="140" w:lineRule="atLeast"/>
              <w:jc w:val="right"/>
              <w:rPr>
                <w:rFonts w:cs="Arial"/>
                <w:sz w:val="14"/>
                <w:szCs w:val="14"/>
              </w:rPr>
            </w:pPr>
            <w:r>
              <w:rPr>
                <w:rFonts w:cs="Arial"/>
                <w:sz w:val="14"/>
                <w:szCs w:val="14"/>
              </w:rPr>
              <w:t>of Chemical Engineering</w:t>
            </w:r>
          </w:p>
          <w:p w14:paraId="620A7AEA" w14:textId="77777777" w:rsidR="009A1F6F" w:rsidRDefault="009A1F6F">
            <w:pPr>
              <w:spacing w:line="140" w:lineRule="atLeast"/>
              <w:jc w:val="right"/>
              <w:rPr>
                <w:rFonts w:cs="Arial"/>
                <w:sz w:val="13"/>
                <w:szCs w:val="13"/>
              </w:rPr>
            </w:pPr>
            <w:r>
              <w:rPr>
                <w:rFonts w:cs="Arial"/>
                <w:sz w:val="13"/>
                <w:szCs w:val="13"/>
              </w:rPr>
              <w:t>Online at www.cetjournal.it</w:t>
            </w:r>
          </w:p>
        </w:tc>
      </w:tr>
      <w:tr w:rsidR="009A1F6F" w14:paraId="4E0B37E5" w14:textId="77777777" w:rsidTr="009A1F6F">
        <w:trPr>
          <w:trHeight w:val="68"/>
          <w:jc w:val="center"/>
        </w:trPr>
        <w:tc>
          <w:tcPr>
            <w:tcW w:w="8789" w:type="dxa"/>
            <w:gridSpan w:val="2"/>
            <w:tcBorders>
              <w:top w:val="nil"/>
              <w:left w:val="nil"/>
              <w:bottom w:val="single" w:sz="4" w:space="0" w:color="auto"/>
              <w:right w:val="nil"/>
            </w:tcBorders>
            <w:hideMark/>
          </w:tcPr>
          <w:p w14:paraId="54D69FEB" w14:textId="77777777" w:rsidR="009A1F6F" w:rsidRDefault="009A1F6F">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48C1CE11" w14:textId="77777777" w:rsidR="009A1F6F" w:rsidRDefault="009A1F6F">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365CC8EE" w14:textId="77777777" w:rsidR="000A03B2" w:rsidRPr="008B3D34" w:rsidRDefault="000A03B2" w:rsidP="00A52001">
      <w:pPr>
        <w:pStyle w:val="CETAuthors"/>
        <w:sectPr w:rsidR="000A03B2" w:rsidRPr="008B3D34" w:rsidSect="008B32D8">
          <w:type w:val="continuous"/>
          <w:pgSz w:w="11906" w:h="16838" w:code="9"/>
          <w:pgMar w:top="1701" w:right="1418" w:bottom="1701" w:left="1701" w:header="1701" w:footer="0" w:gutter="0"/>
          <w:cols w:space="708"/>
          <w:titlePg/>
          <w:docGrid w:linePitch="360"/>
        </w:sectPr>
      </w:pPr>
    </w:p>
    <w:p w14:paraId="2095300C" w14:textId="77777777" w:rsidR="00E978D0" w:rsidRPr="00A234FC" w:rsidRDefault="00860459" w:rsidP="00A234FC">
      <w:pPr>
        <w:pStyle w:val="CETTitle"/>
      </w:pPr>
      <w:r w:rsidRPr="00A234FC">
        <w:lastRenderedPageBreak/>
        <w:t xml:space="preserve">Safety Report Updating for Aged Seveso Plants </w:t>
      </w:r>
    </w:p>
    <w:p w14:paraId="1661112E" w14:textId="53A6A2C8" w:rsidR="00E978D0" w:rsidRPr="008B3D34" w:rsidRDefault="00F4104B" w:rsidP="005A6983">
      <w:pPr>
        <w:pStyle w:val="CETAuthors"/>
        <w:jc w:val="left"/>
        <w:rPr>
          <w:lang w:val="it-IT"/>
        </w:rPr>
      </w:pPr>
      <w:r w:rsidRPr="008B3D34">
        <w:rPr>
          <w:lang w:val="it-IT"/>
        </w:rPr>
        <w:t xml:space="preserve">Paolo </w:t>
      </w:r>
      <w:r w:rsidR="005A6983" w:rsidRPr="008B3D34">
        <w:rPr>
          <w:lang w:val="it-IT"/>
        </w:rPr>
        <w:t xml:space="preserve">A. </w:t>
      </w:r>
      <w:r w:rsidRPr="008B3D34">
        <w:rPr>
          <w:lang w:val="it-IT"/>
        </w:rPr>
        <w:t>Bragatto</w:t>
      </w:r>
      <w:r w:rsidR="00600535" w:rsidRPr="008B3D34">
        <w:rPr>
          <w:vertAlign w:val="superscript"/>
          <w:lang w:val="it-IT"/>
        </w:rPr>
        <w:t>a</w:t>
      </w:r>
      <w:r w:rsidR="008F4952" w:rsidRPr="008B3D34">
        <w:rPr>
          <w:vertAlign w:val="superscript"/>
          <w:lang w:val="it-IT"/>
        </w:rPr>
        <w:t>*</w:t>
      </w:r>
      <w:r w:rsidR="00600535" w:rsidRPr="008B3D34">
        <w:rPr>
          <w:lang w:val="it-IT"/>
        </w:rPr>
        <w:t xml:space="preserve">, </w:t>
      </w:r>
      <w:r w:rsidRPr="008B3D34">
        <w:rPr>
          <w:lang w:val="it-IT"/>
        </w:rPr>
        <w:t>Annalis</w:t>
      </w:r>
      <w:r w:rsidR="00860459" w:rsidRPr="008B3D34">
        <w:rPr>
          <w:lang w:val="it-IT"/>
        </w:rPr>
        <w:t>a</w:t>
      </w:r>
      <w:r w:rsidRPr="008B3D34">
        <w:rPr>
          <w:lang w:val="it-IT"/>
        </w:rPr>
        <w:t xml:space="preserve"> Pirone</w:t>
      </w:r>
      <w:r w:rsidR="008F4952" w:rsidRPr="008B3D34">
        <w:rPr>
          <w:vertAlign w:val="superscript"/>
          <w:lang w:val="it-IT"/>
        </w:rPr>
        <w:t>b</w:t>
      </w:r>
      <w:r w:rsidRPr="008B3D34">
        <w:rPr>
          <w:lang w:val="it-IT"/>
        </w:rPr>
        <w:t>, M</w:t>
      </w:r>
      <w:r w:rsidR="005A6983" w:rsidRPr="008B3D34">
        <w:rPr>
          <w:lang w:val="it-IT"/>
        </w:rPr>
        <w:t xml:space="preserve">aria </w:t>
      </w:r>
      <w:r w:rsidRPr="008B3D34">
        <w:rPr>
          <w:lang w:val="it-IT"/>
        </w:rPr>
        <w:t>Rosaria Vallerotonda</w:t>
      </w:r>
      <w:r w:rsidR="008F4952" w:rsidRPr="008B3D34">
        <w:rPr>
          <w:vertAlign w:val="superscript"/>
          <w:lang w:val="it-IT"/>
        </w:rPr>
        <w:t>b</w:t>
      </w:r>
      <w:r w:rsidR="00600535" w:rsidRPr="008B3D34">
        <w:rPr>
          <w:lang w:val="it-IT"/>
        </w:rPr>
        <w:t xml:space="preserve">, </w:t>
      </w:r>
      <w:r w:rsidRPr="008B3D34">
        <w:rPr>
          <w:lang w:val="it-IT"/>
        </w:rPr>
        <w:t>M</w:t>
      </w:r>
      <w:r w:rsidR="00A234FC">
        <w:rPr>
          <w:lang w:val="it-IT"/>
        </w:rPr>
        <w:t xml:space="preserve">aria </w:t>
      </w:r>
      <w:r w:rsidRPr="008B3D34">
        <w:rPr>
          <w:lang w:val="it-IT"/>
        </w:rPr>
        <w:t>Francesca Milazzo</w:t>
      </w:r>
      <w:r w:rsidR="008F4952" w:rsidRPr="008B3D34">
        <w:rPr>
          <w:vertAlign w:val="superscript"/>
          <w:lang w:val="it-IT"/>
        </w:rPr>
        <w:t>c</w:t>
      </w:r>
    </w:p>
    <w:p w14:paraId="0831D8F0" w14:textId="547559D6" w:rsidR="008F4952" w:rsidRPr="008B3D34" w:rsidRDefault="008F4952" w:rsidP="008F4952">
      <w:pPr>
        <w:pStyle w:val="CETAddress"/>
        <w:rPr>
          <w:lang w:val="it-IT"/>
        </w:rPr>
      </w:pPr>
      <w:r w:rsidRPr="008B3D34">
        <w:rPr>
          <w:vertAlign w:val="superscript"/>
          <w:lang w:val="it-IT"/>
        </w:rPr>
        <w:t xml:space="preserve">a </w:t>
      </w:r>
      <w:r w:rsidRPr="008B3D34">
        <w:rPr>
          <w:lang w:val="it-IT"/>
        </w:rPr>
        <w:t>Dipartimento Innovazioni Tecnologiche, INAIL, 00078 Monteporzio Catone, R</w:t>
      </w:r>
      <w:r w:rsidR="00A234FC">
        <w:rPr>
          <w:lang w:val="it-IT"/>
        </w:rPr>
        <w:t>oma</w:t>
      </w:r>
      <w:r w:rsidRPr="008B3D34">
        <w:rPr>
          <w:lang w:val="it-IT"/>
        </w:rPr>
        <w:t xml:space="preserve"> (Italy)</w:t>
      </w:r>
    </w:p>
    <w:p w14:paraId="13372584" w14:textId="63686CC9" w:rsidR="008F4952" w:rsidRPr="008B3D34" w:rsidRDefault="008F4952" w:rsidP="008F4952">
      <w:pPr>
        <w:pStyle w:val="CETAddress"/>
        <w:rPr>
          <w:vertAlign w:val="superscript"/>
          <w:lang w:val="it-IT"/>
        </w:rPr>
      </w:pPr>
      <w:r w:rsidRPr="008B3D34">
        <w:rPr>
          <w:vertAlign w:val="superscript"/>
          <w:lang w:val="it-IT"/>
        </w:rPr>
        <w:t xml:space="preserve">b </w:t>
      </w:r>
      <w:r w:rsidRPr="008B3D34">
        <w:rPr>
          <w:lang w:val="it-IT"/>
        </w:rPr>
        <w:t>Dipartimento Innovazioni Tecnologiche, INAIL, 00143 Roma (Italy)</w:t>
      </w:r>
    </w:p>
    <w:p w14:paraId="7B5C25CF" w14:textId="1A27874E" w:rsidR="008F4952" w:rsidRPr="008B3D34" w:rsidRDefault="008F4952" w:rsidP="008F4952">
      <w:pPr>
        <w:pStyle w:val="CETAddress"/>
        <w:rPr>
          <w:lang w:val="it-IT"/>
        </w:rPr>
      </w:pPr>
      <w:r w:rsidRPr="008B3D34">
        <w:rPr>
          <w:vertAlign w:val="superscript"/>
          <w:lang w:val="it-IT"/>
        </w:rPr>
        <w:t xml:space="preserve">c </w:t>
      </w:r>
      <w:r w:rsidRPr="008B3D34">
        <w:rPr>
          <w:lang w:val="it-IT"/>
        </w:rPr>
        <w:t>Dipartimento di Ingegneria, Università di Messina, Contrada di Dio, 98166 Messina (Italy)</w:t>
      </w:r>
    </w:p>
    <w:p w14:paraId="19236000" w14:textId="5CA1F40A" w:rsidR="008F4952" w:rsidRPr="008B3D34" w:rsidRDefault="008F4952" w:rsidP="008F4952">
      <w:pPr>
        <w:pStyle w:val="CETemail"/>
        <w:rPr>
          <w:lang w:val="en-US"/>
        </w:rPr>
      </w:pPr>
      <w:r w:rsidRPr="008B3D34">
        <w:rPr>
          <w:lang w:val="it-IT"/>
        </w:rPr>
        <w:t xml:space="preserve"> </w:t>
      </w:r>
      <w:r w:rsidRPr="008B3D34">
        <w:rPr>
          <w:lang w:val="en-US"/>
        </w:rPr>
        <w:t>p.bragatto@inail.it</w:t>
      </w:r>
    </w:p>
    <w:p w14:paraId="614D959C" w14:textId="34EAD1E9" w:rsidR="000F2F4F" w:rsidRPr="008B3D34" w:rsidRDefault="005F61A5" w:rsidP="005E3268">
      <w:pPr>
        <w:pStyle w:val="CETBodytext"/>
        <w:rPr>
          <w:lang w:val="en-GB"/>
        </w:rPr>
      </w:pPr>
      <w:r w:rsidRPr="008B3D34">
        <w:rPr>
          <w:lang w:val="en-GB"/>
        </w:rPr>
        <w:t xml:space="preserve">Seveso Directive requires the operator of major-hazard establishments to draw up a Safety Report, which has to be updated </w:t>
      </w:r>
      <w:r w:rsidR="000D6182" w:rsidRPr="008B3D34">
        <w:rPr>
          <w:lang w:val="en-GB"/>
        </w:rPr>
        <w:t xml:space="preserve">after relevant changes and at least </w:t>
      </w:r>
      <w:r w:rsidRPr="008B3D34">
        <w:rPr>
          <w:lang w:val="en-GB"/>
        </w:rPr>
        <w:t xml:space="preserve">every five years. This paper discusses a guideline aiming at the inclusion of </w:t>
      </w:r>
      <w:r w:rsidR="000D6182" w:rsidRPr="008B3D34">
        <w:rPr>
          <w:lang w:val="en-GB"/>
        </w:rPr>
        <w:t xml:space="preserve">the </w:t>
      </w:r>
      <w:r w:rsidRPr="008B3D34">
        <w:rPr>
          <w:lang w:val="en-GB"/>
        </w:rPr>
        <w:t xml:space="preserve">ageing issue in the updated Safety Reports. Such guideline exploits the potential of the short-cut method, adopted by the Italian Competent Authorities for the assessment of </w:t>
      </w:r>
      <w:r w:rsidR="000D6182" w:rsidRPr="008B3D34">
        <w:rPr>
          <w:lang w:val="en-GB"/>
        </w:rPr>
        <w:t xml:space="preserve">the adequacy of </w:t>
      </w:r>
      <w:r w:rsidRPr="008B3D34">
        <w:rPr>
          <w:lang w:val="en-GB"/>
        </w:rPr>
        <w:t>ageing management plans, to update the likelihood of top</w:t>
      </w:r>
      <w:r w:rsidR="000D6182" w:rsidRPr="008B3D34">
        <w:rPr>
          <w:lang w:val="en-GB"/>
        </w:rPr>
        <w:t>-</w:t>
      </w:r>
      <w:r w:rsidRPr="008B3D34">
        <w:rPr>
          <w:lang w:val="en-GB"/>
        </w:rPr>
        <w:t xml:space="preserve">events by using the calculated </w:t>
      </w:r>
      <w:r w:rsidRPr="008B3D34">
        <w:rPr>
          <w:i/>
          <w:iCs/>
          <w:lang w:val="en-GB"/>
        </w:rPr>
        <w:t>overall adequacy index</w:t>
      </w:r>
      <w:r w:rsidRPr="008B3D34">
        <w:rPr>
          <w:lang w:val="en-GB"/>
        </w:rPr>
        <w:t>. To adequately manage ageing, regulators should promote the implementation of Risk Based Inspection approach (RBI) even in major-hazard small sites. Risk analysis is a pillar of both the Seveso Directive (i.e. Safety Report) and the RBI</w:t>
      </w:r>
      <w:r w:rsidR="000D6182" w:rsidRPr="008B3D34">
        <w:rPr>
          <w:lang w:val="en-GB"/>
        </w:rPr>
        <w:t xml:space="preserve"> approach</w:t>
      </w:r>
      <w:r w:rsidRPr="008B3D34">
        <w:rPr>
          <w:lang w:val="en-GB"/>
        </w:rPr>
        <w:t>, in this context, the guideline gives suggestions to avoid inconsistencies and promote synergies between the documents.</w:t>
      </w:r>
    </w:p>
    <w:p w14:paraId="7871737C" w14:textId="77777777" w:rsidR="00F4104B" w:rsidRPr="008B3D34" w:rsidRDefault="00600535" w:rsidP="000F2F4F">
      <w:pPr>
        <w:pStyle w:val="CETHeading1"/>
        <w:rPr>
          <w:lang w:val="en-GB"/>
        </w:rPr>
      </w:pPr>
      <w:r w:rsidRPr="008B3D34">
        <w:rPr>
          <w:lang w:val="en-GB"/>
        </w:rPr>
        <w:t>Introduction</w:t>
      </w:r>
    </w:p>
    <w:p w14:paraId="19F823D3" w14:textId="29DBF2A9" w:rsidR="00E75C55" w:rsidRPr="008B3D34" w:rsidRDefault="00521F7A" w:rsidP="00A234FC">
      <w:pPr>
        <w:pStyle w:val="CETBodytext"/>
        <w:rPr>
          <w:rFonts w:cs="Arial"/>
          <w:szCs w:val="18"/>
          <w:lang w:val="en-GB"/>
        </w:rPr>
      </w:pPr>
      <w:r w:rsidRPr="008B3D34">
        <w:rPr>
          <w:rStyle w:val="CETBodytextCarattere"/>
          <w:lang w:val="en-GB"/>
        </w:rPr>
        <w:t xml:space="preserve">Since </w:t>
      </w:r>
      <w:r w:rsidR="00A34C51" w:rsidRPr="008B3D34">
        <w:rPr>
          <w:rStyle w:val="CETBodytextCarattere"/>
          <w:lang w:val="en-GB"/>
        </w:rPr>
        <w:t xml:space="preserve">a few years, equipment ageing has been a major concern for the prevention of major accidents in many Seveso sites in Europe, due to the lack of large investments facing the </w:t>
      </w:r>
      <w:r w:rsidR="004A058F" w:rsidRPr="008B3D34">
        <w:rPr>
          <w:rStyle w:val="CETBodytextCarattere"/>
          <w:lang w:val="en-GB"/>
        </w:rPr>
        <w:t>problem</w:t>
      </w:r>
      <w:r w:rsidR="00A34C51" w:rsidRPr="008B3D34">
        <w:rPr>
          <w:rStyle w:val="CETBodytextCarattere"/>
          <w:lang w:val="en-GB"/>
        </w:rPr>
        <w:t xml:space="preserve"> in oil and allied industries. </w:t>
      </w:r>
      <w:r w:rsidRPr="008B3D34">
        <w:rPr>
          <w:rStyle w:val="CETBodytextCarattere"/>
          <w:lang w:val="en-GB"/>
        </w:rPr>
        <w:t xml:space="preserve">In </w:t>
      </w:r>
      <w:r w:rsidR="00A34C51" w:rsidRPr="008B3D34">
        <w:rPr>
          <w:rStyle w:val="CETBodytextCarattere"/>
          <w:lang w:val="en-GB"/>
        </w:rPr>
        <w:t>2015, when the Italian legislation implemented the new Seveso III European Directive, ageing and c</w:t>
      </w:r>
      <w:r w:rsidR="008F4952" w:rsidRPr="008B3D34">
        <w:rPr>
          <w:rStyle w:val="CETBodytextCarattere"/>
          <w:lang w:val="en-GB"/>
        </w:rPr>
        <w:t>orrosion management plans ha</w:t>
      </w:r>
      <w:r w:rsidRPr="008B3D34">
        <w:rPr>
          <w:rStyle w:val="CETBodytextCarattere"/>
          <w:lang w:val="en-GB"/>
        </w:rPr>
        <w:t>ve</w:t>
      </w:r>
      <w:r w:rsidR="008F4952" w:rsidRPr="008B3D34">
        <w:rPr>
          <w:rStyle w:val="CETBodytextCarattere"/>
          <w:lang w:val="en-GB"/>
        </w:rPr>
        <w:t xml:space="preserve"> become</w:t>
      </w:r>
      <w:r w:rsidR="00A34C51" w:rsidRPr="008B3D34">
        <w:rPr>
          <w:rStyle w:val="CETBodytextCarattere"/>
          <w:lang w:val="en-GB"/>
        </w:rPr>
        <w:t xml:space="preserve"> a requirement for the Safety Management System (SMS). </w:t>
      </w:r>
      <w:r w:rsidR="004A058F" w:rsidRPr="008B3D34">
        <w:rPr>
          <w:rStyle w:val="CETBodytextCarattere"/>
          <w:lang w:val="en-GB"/>
        </w:rPr>
        <w:t>Equipment ageing is relevant also in r</w:t>
      </w:r>
      <w:r w:rsidR="00A34C51" w:rsidRPr="008B3D34">
        <w:rPr>
          <w:rStyle w:val="CETBodytextCarattere"/>
          <w:lang w:val="en-GB"/>
        </w:rPr>
        <w:t>isk assessment, even if this is not explicitly mentioned</w:t>
      </w:r>
      <w:r w:rsidR="004A058F" w:rsidRPr="008B3D34">
        <w:rPr>
          <w:rStyle w:val="CETBodytextCarattere"/>
          <w:lang w:val="en-GB"/>
        </w:rPr>
        <w:t xml:space="preserve"> by the legislation</w:t>
      </w:r>
      <w:r w:rsidR="00A34C51" w:rsidRPr="008B3D34">
        <w:rPr>
          <w:rStyle w:val="CETBodytextCarattere"/>
          <w:lang w:val="en-GB"/>
        </w:rPr>
        <w:t>. Accordingly, the Competent Authority (CA) requires the operator of upper-tier establishment</w:t>
      </w:r>
      <w:r w:rsidRPr="008B3D34">
        <w:rPr>
          <w:rStyle w:val="CETBodytextCarattere"/>
          <w:lang w:val="en-GB"/>
        </w:rPr>
        <w:t>s</w:t>
      </w:r>
      <w:r w:rsidR="00A34C51" w:rsidRPr="008B3D34">
        <w:rPr>
          <w:rStyle w:val="CETBodytextCarattere"/>
          <w:lang w:val="en-GB"/>
        </w:rPr>
        <w:t xml:space="preserve"> to update the Safety Report (SR) after changes and, at least, every five years. Risk assessment is the core of the SR</w:t>
      </w:r>
      <w:r w:rsidRPr="008B3D34">
        <w:rPr>
          <w:rStyle w:val="CETBodytextCarattere"/>
          <w:lang w:val="en-GB"/>
        </w:rPr>
        <w:t xml:space="preserve"> and</w:t>
      </w:r>
      <w:r w:rsidR="00A34C51" w:rsidRPr="008B3D34">
        <w:rPr>
          <w:rStyle w:val="CETBodytextCarattere"/>
          <w:lang w:val="en-GB"/>
        </w:rPr>
        <w:t xml:space="preserve"> includes the calculation of the likelihood of top-events by means of the </w:t>
      </w:r>
      <w:r w:rsidR="00A53D3A" w:rsidRPr="008B3D34">
        <w:rPr>
          <w:rStyle w:val="CETBodytextCarattere"/>
          <w:lang w:val="en-GB"/>
        </w:rPr>
        <w:t xml:space="preserve">Fault Tree Analysis </w:t>
      </w:r>
      <w:r w:rsidR="00A34C51" w:rsidRPr="008B3D34">
        <w:rPr>
          <w:rStyle w:val="CETBodytextCarattere"/>
          <w:lang w:val="en-GB"/>
        </w:rPr>
        <w:t xml:space="preserve">(FTA). </w:t>
      </w:r>
      <w:r w:rsidR="005F61A5" w:rsidRPr="008B3D34">
        <w:rPr>
          <w:rStyle w:val="CETBodytextCarattere"/>
          <w:lang w:val="en-GB"/>
        </w:rPr>
        <w:t>The CA sets a cut-off threshold for</w:t>
      </w:r>
      <w:r w:rsidR="004A058F" w:rsidRPr="008B3D34">
        <w:rPr>
          <w:rStyle w:val="CETBodytextCarattere"/>
          <w:lang w:val="en-GB"/>
        </w:rPr>
        <w:t xml:space="preserve"> the</w:t>
      </w:r>
      <w:r w:rsidR="005F61A5" w:rsidRPr="008B3D34">
        <w:rPr>
          <w:rStyle w:val="CETBodytextCarattere"/>
          <w:lang w:val="en-GB"/>
        </w:rPr>
        <w:t xml:space="preserve"> likelihood of events (typically 10</w:t>
      </w:r>
      <w:r w:rsidR="005F61A5" w:rsidRPr="008B3D34">
        <w:rPr>
          <w:rStyle w:val="CETBodytextCarattere"/>
          <w:vertAlign w:val="superscript"/>
          <w:lang w:val="en-GB"/>
        </w:rPr>
        <w:t>-6</w:t>
      </w:r>
      <w:r w:rsidR="005F61A5" w:rsidRPr="008B3D34">
        <w:rPr>
          <w:rStyle w:val="CETBodytextCarattere"/>
          <w:lang w:val="en-GB"/>
        </w:rPr>
        <w:t xml:space="preserve"> year </w:t>
      </w:r>
      <w:r w:rsidR="005F61A5" w:rsidRPr="008B3D34">
        <w:rPr>
          <w:rStyle w:val="CETBodytextCarattere"/>
          <w:vertAlign w:val="superscript"/>
          <w:lang w:val="en-GB"/>
        </w:rPr>
        <w:t>-1</w:t>
      </w:r>
      <w:r w:rsidR="005F61A5" w:rsidRPr="008B3D34">
        <w:rPr>
          <w:rStyle w:val="CETBodytextCarattere"/>
          <w:lang w:val="en-GB"/>
        </w:rPr>
        <w:t xml:space="preserve"> in Italy) to discriminate credible events and develop accidental scenarios</w:t>
      </w:r>
      <w:r w:rsidR="004A058F" w:rsidRPr="008B3D34">
        <w:rPr>
          <w:rStyle w:val="CETBodytextCarattere"/>
          <w:lang w:val="en-GB"/>
        </w:rPr>
        <w:t xml:space="preserve"> for them</w:t>
      </w:r>
      <w:r w:rsidR="005F61A5" w:rsidRPr="008B3D34">
        <w:rPr>
          <w:rStyle w:val="CETBodytextCarattere"/>
          <w:lang w:val="en-GB"/>
        </w:rPr>
        <w:t xml:space="preserve">. In the current practice, risk analysts make use of generic </w:t>
      </w:r>
      <w:r w:rsidR="008566FF" w:rsidRPr="008B3D34">
        <w:rPr>
          <w:rStyle w:val="CETBodytextCarattere"/>
          <w:lang w:val="en-GB"/>
        </w:rPr>
        <w:t>failure r</w:t>
      </w:r>
      <w:r w:rsidR="00A53D3A" w:rsidRPr="008B3D34">
        <w:rPr>
          <w:rStyle w:val="CETBodytextCarattere"/>
          <w:lang w:val="en-GB"/>
        </w:rPr>
        <w:t>ates</w:t>
      </w:r>
      <w:r w:rsidR="005F61A5" w:rsidRPr="008B3D34">
        <w:rPr>
          <w:rStyle w:val="CETBodytextCarattere"/>
          <w:lang w:val="en-GB"/>
        </w:rPr>
        <w:t>, derived by proprietary (ORED</w:t>
      </w:r>
      <w:r w:rsidR="000D6182" w:rsidRPr="008B3D34">
        <w:rPr>
          <w:rStyle w:val="CETBodytextCarattere"/>
          <w:lang w:val="en-GB"/>
        </w:rPr>
        <w:t>A</w:t>
      </w:r>
      <w:r w:rsidR="005F61A5" w:rsidRPr="008B3D34">
        <w:rPr>
          <w:rStyle w:val="CETBodytextCarattere"/>
          <w:lang w:val="en-GB"/>
        </w:rPr>
        <w:t xml:space="preserve"> or EXIDA) </w:t>
      </w:r>
      <w:r w:rsidR="000D6182" w:rsidRPr="008B3D34">
        <w:rPr>
          <w:rStyle w:val="CETBodytextCarattere"/>
          <w:lang w:val="en-GB"/>
        </w:rPr>
        <w:t xml:space="preserve">and </w:t>
      </w:r>
      <w:r w:rsidR="005F61A5" w:rsidRPr="008B3D34">
        <w:rPr>
          <w:rStyle w:val="CETBodytextCarattere"/>
          <w:lang w:val="en-GB"/>
        </w:rPr>
        <w:t xml:space="preserve">public </w:t>
      </w:r>
      <w:r w:rsidR="004A058F" w:rsidRPr="008B3D34">
        <w:rPr>
          <w:rStyle w:val="CETBodytextCarattere"/>
          <w:lang w:val="en-GB"/>
        </w:rPr>
        <w:t>(FRED</w:t>
      </w:r>
      <w:r w:rsidR="00145844" w:rsidRPr="008B3D34">
        <w:rPr>
          <w:rStyle w:val="CETBodytextCarattere"/>
          <w:lang w:val="en-GB"/>
        </w:rPr>
        <w:t xml:space="preserve"> and</w:t>
      </w:r>
      <w:r w:rsidR="004A058F" w:rsidRPr="008B3D34">
        <w:rPr>
          <w:rStyle w:val="CETBodytextCarattere"/>
          <w:lang w:val="en-GB"/>
        </w:rPr>
        <w:t xml:space="preserve"> TNO Purple Book) </w:t>
      </w:r>
      <w:r w:rsidR="005F61A5" w:rsidRPr="008B3D34">
        <w:rPr>
          <w:rStyle w:val="CETBodytextCarattere"/>
          <w:lang w:val="en-GB"/>
        </w:rPr>
        <w:t xml:space="preserve">databases. The limits of </w:t>
      </w:r>
      <w:r w:rsidR="008566FF" w:rsidRPr="008B3D34">
        <w:rPr>
          <w:rStyle w:val="CETBodytextCarattere"/>
          <w:lang w:val="en-GB"/>
        </w:rPr>
        <w:t xml:space="preserve">generic frequencies of failure </w:t>
      </w:r>
      <w:r w:rsidR="005F61A5" w:rsidRPr="008B3D34">
        <w:rPr>
          <w:rStyle w:val="CETBodytextCarattere"/>
          <w:lang w:val="en-GB"/>
        </w:rPr>
        <w:t xml:space="preserve">are discussed by </w:t>
      </w:r>
      <w:proofErr w:type="spellStart"/>
      <w:r w:rsidR="005F61A5" w:rsidRPr="008B3D34">
        <w:rPr>
          <w:rStyle w:val="CETBodytextCarattere"/>
          <w:lang w:val="en-GB"/>
        </w:rPr>
        <w:t>Pittiglio</w:t>
      </w:r>
      <w:proofErr w:type="spellEnd"/>
      <w:r w:rsidR="005F61A5" w:rsidRPr="008B3D34">
        <w:rPr>
          <w:rStyle w:val="CETBodytextCarattere"/>
          <w:lang w:val="en-GB"/>
        </w:rPr>
        <w:t xml:space="preserve"> et al. (2012)</w:t>
      </w:r>
      <w:r w:rsidR="002E56E9" w:rsidRPr="008B3D34">
        <w:rPr>
          <w:rStyle w:val="CETBodytextCarattere"/>
          <w:lang w:val="en-GB"/>
        </w:rPr>
        <w:t xml:space="preserve">, the main </w:t>
      </w:r>
      <w:r w:rsidR="005F61A5" w:rsidRPr="008B3D34">
        <w:rPr>
          <w:rStyle w:val="CETBodytextCarattere"/>
          <w:lang w:val="en-GB"/>
        </w:rPr>
        <w:t>basic assumption is their independence over the time. Such assumption may be questioned for equipment that exceeded the expected lifetime or are close to</w:t>
      </w:r>
      <w:r w:rsidR="005F61A5" w:rsidRPr="008B3D34">
        <w:rPr>
          <w:lang w:val="en-GB"/>
        </w:rPr>
        <w:t xml:space="preserve"> reach it</w:t>
      </w:r>
      <w:r w:rsidR="005F61A5" w:rsidRPr="008B3D34">
        <w:rPr>
          <w:i/>
          <w:lang w:val="en-GB"/>
        </w:rPr>
        <w:t xml:space="preserve">. </w:t>
      </w:r>
      <w:r w:rsidR="005F61A5" w:rsidRPr="008B3D34">
        <w:rPr>
          <w:rFonts w:cs="Arial"/>
          <w:szCs w:val="18"/>
          <w:lang w:val="en-GB"/>
        </w:rPr>
        <w:t xml:space="preserve">The periodical updating of the SR for upper-tier Seveso establishments gives the CA the opportunity to make a few specific requests </w:t>
      </w:r>
      <w:r w:rsidRPr="008B3D34">
        <w:rPr>
          <w:rFonts w:cs="Arial"/>
          <w:szCs w:val="18"/>
          <w:lang w:val="en-GB"/>
        </w:rPr>
        <w:t>for</w:t>
      </w:r>
      <w:r w:rsidR="005F61A5" w:rsidRPr="008B3D34">
        <w:rPr>
          <w:rFonts w:cs="Arial"/>
          <w:szCs w:val="18"/>
          <w:lang w:val="en-GB"/>
        </w:rPr>
        <w:t xml:space="preserve"> the improvement of the safety levels of aged plants. The Seveso III Directive addressed this issue within the management system and, in 2018, the Italian regulator responded to the challenge by proposing the adoption of a short-cut method supporting the ageing assessment during Seveso inspections. A working group, which represented various stakeholders, developed the method starting from a research idea of Bragatto &amp; Milazzo (2016). Even though the SR updating </w:t>
      </w:r>
      <w:r w:rsidR="002E56E9" w:rsidRPr="008B3D34">
        <w:rPr>
          <w:rFonts w:cs="Arial"/>
          <w:szCs w:val="18"/>
          <w:lang w:val="en-GB"/>
        </w:rPr>
        <w:t>i</w:t>
      </w:r>
      <w:r w:rsidR="005F61A5" w:rsidRPr="008B3D34">
        <w:rPr>
          <w:rFonts w:cs="Arial"/>
          <w:szCs w:val="18"/>
          <w:lang w:val="en-GB"/>
        </w:rPr>
        <w:t>s out of the scope of the short-cut method, a few concepts could be useful also for th</w:t>
      </w:r>
      <w:r w:rsidR="00A34C51" w:rsidRPr="008B3D34">
        <w:rPr>
          <w:rFonts w:cs="Arial"/>
          <w:szCs w:val="18"/>
          <w:lang w:val="en-GB"/>
        </w:rPr>
        <w:t>is</w:t>
      </w:r>
      <w:r w:rsidR="005F61A5" w:rsidRPr="008B3D34">
        <w:rPr>
          <w:rFonts w:cs="Arial"/>
          <w:szCs w:val="18"/>
          <w:lang w:val="en-GB"/>
        </w:rPr>
        <w:t xml:space="preserve"> purpose. The method</w:t>
      </w:r>
      <w:r w:rsidR="008F4952" w:rsidRPr="008B3D34">
        <w:rPr>
          <w:rFonts w:cs="Arial"/>
          <w:szCs w:val="18"/>
          <w:lang w:val="en-GB"/>
        </w:rPr>
        <w:t>,</w:t>
      </w:r>
      <w:r w:rsidR="005F61A5" w:rsidRPr="008B3D34">
        <w:rPr>
          <w:rFonts w:cs="Arial"/>
          <w:szCs w:val="18"/>
          <w:lang w:val="en-GB"/>
        </w:rPr>
        <w:t xml:space="preserve"> basically</w:t>
      </w:r>
      <w:r w:rsidR="008F4952" w:rsidRPr="008B3D34">
        <w:rPr>
          <w:rFonts w:cs="Arial"/>
          <w:szCs w:val="18"/>
          <w:lang w:val="en-GB"/>
        </w:rPr>
        <w:t>,</w:t>
      </w:r>
      <w:r w:rsidR="005F61A5" w:rsidRPr="008B3D34">
        <w:rPr>
          <w:rFonts w:cs="Arial"/>
          <w:szCs w:val="18"/>
          <w:lang w:val="en-GB"/>
        </w:rPr>
        <w:t xml:space="preserve"> provides two synthetic indicators related to </w:t>
      </w:r>
      <w:r w:rsidRPr="008B3D34">
        <w:rPr>
          <w:rFonts w:cs="Arial"/>
          <w:szCs w:val="18"/>
          <w:lang w:val="en-GB"/>
        </w:rPr>
        <w:t xml:space="preserve">the </w:t>
      </w:r>
      <w:r w:rsidR="005F61A5" w:rsidRPr="008B3D34">
        <w:rPr>
          <w:rFonts w:cs="Arial"/>
          <w:szCs w:val="18"/>
          <w:lang w:val="en-GB"/>
        </w:rPr>
        <w:t xml:space="preserve">equipment integrity, i.e. the </w:t>
      </w:r>
      <w:r w:rsidR="005F61A5" w:rsidRPr="008B3D34">
        <w:rPr>
          <w:rFonts w:cs="Arial"/>
          <w:i/>
          <w:iCs/>
          <w:szCs w:val="18"/>
          <w:lang w:val="en-GB"/>
        </w:rPr>
        <w:t>ageing index</w:t>
      </w:r>
      <w:r w:rsidR="005F61A5" w:rsidRPr="008B3D34">
        <w:rPr>
          <w:rFonts w:cs="Arial"/>
          <w:szCs w:val="18"/>
          <w:lang w:val="en-GB"/>
        </w:rPr>
        <w:t xml:space="preserve"> associated with the act</w:t>
      </w:r>
      <w:r w:rsidR="00A34C51" w:rsidRPr="008B3D34">
        <w:rPr>
          <w:rFonts w:cs="Arial"/>
          <w:szCs w:val="18"/>
          <w:lang w:val="en-GB"/>
        </w:rPr>
        <w:t>ual</w:t>
      </w:r>
      <w:r w:rsidR="005F61A5" w:rsidRPr="008B3D34">
        <w:rPr>
          <w:rFonts w:cs="Arial"/>
          <w:szCs w:val="18"/>
          <w:lang w:val="en-GB"/>
        </w:rPr>
        <w:t xml:space="preserve"> deterioration mechanisms and the </w:t>
      </w:r>
      <w:r w:rsidR="005F61A5" w:rsidRPr="008B3D34">
        <w:rPr>
          <w:rFonts w:cs="Arial"/>
          <w:i/>
          <w:iCs/>
          <w:szCs w:val="18"/>
          <w:lang w:val="en-GB"/>
        </w:rPr>
        <w:t>longevity index</w:t>
      </w:r>
      <w:r w:rsidR="005F61A5" w:rsidRPr="008B3D34">
        <w:rPr>
          <w:rFonts w:cs="Arial"/>
          <w:szCs w:val="18"/>
          <w:lang w:val="en-GB"/>
        </w:rPr>
        <w:t xml:space="preserve"> associated with technical and organisational measures used to control mechanisms. </w:t>
      </w:r>
      <w:r w:rsidR="009A39AD" w:rsidRPr="008B3D34">
        <w:rPr>
          <w:rFonts w:cs="Arial"/>
          <w:szCs w:val="18"/>
          <w:lang w:val="en-GB"/>
        </w:rPr>
        <w:t>T</w:t>
      </w:r>
      <w:r w:rsidR="005F61A5" w:rsidRPr="008B3D34">
        <w:rPr>
          <w:rFonts w:cs="Arial"/>
          <w:szCs w:val="18"/>
          <w:lang w:val="en-GB"/>
        </w:rPr>
        <w:t xml:space="preserve">hese indicators could be valuable for updating the generic </w:t>
      </w:r>
      <w:r w:rsidR="008566FF" w:rsidRPr="008B3D34">
        <w:rPr>
          <w:rFonts w:cs="Arial"/>
          <w:szCs w:val="18"/>
          <w:lang w:val="en-GB"/>
        </w:rPr>
        <w:t>frequencie</w:t>
      </w:r>
      <w:r w:rsidR="005F61A5" w:rsidRPr="008B3D34">
        <w:rPr>
          <w:rFonts w:cs="Arial"/>
          <w:szCs w:val="18"/>
          <w:lang w:val="en-GB"/>
        </w:rPr>
        <w:t>s</w:t>
      </w:r>
      <w:r w:rsidR="008566FF" w:rsidRPr="008B3D34">
        <w:rPr>
          <w:rFonts w:cs="Arial"/>
          <w:szCs w:val="18"/>
          <w:lang w:val="en-GB"/>
        </w:rPr>
        <w:t xml:space="preserve"> of failure</w:t>
      </w:r>
      <w:r w:rsidR="005F61A5" w:rsidRPr="008B3D34">
        <w:rPr>
          <w:rFonts w:cs="Arial"/>
          <w:szCs w:val="18"/>
          <w:lang w:val="en-GB"/>
        </w:rPr>
        <w:t>, as the adequacy of safety measures affects the actual frequency of failures (</w:t>
      </w:r>
      <w:proofErr w:type="spellStart"/>
      <w:r w:rsidR="005F61A5" w:rsidRPr="008B3D34">
        <w:rPr>
          <w:rFonts w:cs="Arial"/>
          <w:szCs w:val="18"/>
          <w:lang w:val="en-GB"/>
        </w:rPr>
        <w:t>Papazoglou</w:t>
      </w:r>
      <w:proofErr w:type="spellEnd"/>
      <w:r w:rsidR="005F61A5" w:rsidRPr="008B3D34">
        <w:rPr>
          <w:rFonts w:cs="Arial"/>
          <w:szCs w:val="18"/>
          <w:lang w:val="en-GB"/>
        </w:rPr>
        <w:t xml:space="preserve"> &amp; </w:t>
      </w:r>
      <w:proofErr w:type="spellStart"/>
      <w:r w:rsidR="005F61A5" w:rsidRPr="008B3D34">
        <w:rPr>
          <w:rFonts w:cs="Arial"/>
          <w:szCs w:val="18"/>
          <w:lang w:val="en-GB"/>
        </w:rPr>
        <w:t>Aneziris</w:t>
      </w:r>
      <w:proofErr w:type="spellEnd"/>
      <w:r w:rsidR="005F61A5" w:rsidRPr="008B3D34">
        <w:rPr>
          <w:rFonts w:cs="Arial"/>
          <w:szCs w:val="18"/>
          <w:lang w:val="en-GB"/>
        </w:rPr>
        <w:t>, 1999).</w:t>
      </w:r>
      <w:r w:rsidR="00A234FC">
        <w:rPr>
          <w:rFonts w:cs="Arial"/>
          <w:szCs w:val="18"/>
          <w:lang w:val="en-GB"/>
        </w:rPr>
        <w:t xml:space="preserve"> </w:t>
      </w:r>
      <w:r w:rsidR="0056669D" w:rsidRPr="008B3D34">
        <w:rPr>
          <w:rFonts w:cs="Arial"/>
          <w:szCs w:val="18"/>
          <w:lang w:val="en-GB"/>
        </w:rPr>
        <w:t xml:space="preserve">As discussed by OECD (2008), the SR has to be </w:t>
      </w:r>
      <w:r w:rsidR="009A39AD" w:rsidRPr="008B3D34">
        <w:rPr>
          <w:rFonts w:cs="Arial"/>
          <w:szCs w:val="18"/>
          <w:lang w:val="en-GB"/>
        </w:rPr>
        <w:t>an alive</w:t>
      </w:r>
      <w:r w:rsidR="0056669D" w:rsidRPr="008B3D34">
        <w:rPr>
          <w:rFonts w:cs="Arial"/>
          <w:szCs w:val="18"/>
          <w:lang w:val="en-GB"/>
        </w:rPr>
        <w:t xml:space="preserve"> document and a valuable tool to be used every day in the SMS. The tuning of the </w:t>
      </w:r>
      <w:r w:rsidR="008566FF" w:rsidRPr="008B3D34">
        <w:rPr>
          <w:rFonts w:cs="Arial"/>
          <w:szCs w:val="18"/>
          <w:lang w:val="en-GB"/>
        </w:rPr>
        <w:t>failure rates</w:t>
      </w:r>
      <w:r w:rsidR="0056669D" w:rsidRPr="008B3D34">
        <w:rPr>
          <w:rFonts w:cs="Arial"/>
          <w:szCs w:val="18"/>
          <w:lang w:val="en-GB"/>
        </w:rPr>
        <w:t xml:space="preserve"> is the first step in this direction. </w:t>
      </w:r>
      <w:r w:rsidR="00446B7C" w:rsidRPr="008B3D34">
        <w:rPr>
          <w:rFonts w:cs="Arial"/>
          <w:szCs w:val="18"/>
          <w:lang w:val="en-GB"/>
        </w:rPr>
        <w:t xml:space="preserve">The </w:t>
      </w:r>
      <w:r w:rsidR="00D05862" w:rsidRPr="008B3D34">
        <w:rPr>
          <w:rFonts w:cs="Arial"/>
          <w:szCs w:val="18"/>
          <w:lang w:val="en-GB"/>
        </w:rPr>
        <w:t xml:space="preserve">new pervasive sensors for integrity control, the wireless connection systems and the resulting big data are </w:t>
      </w:r>
      <w:r w:rsidR="00D05862" w:rsidRPr="008B3D34">
        <w:rPr>
          <w:rFonts w:cs="Arial"/>
          <w:szCs w:val="18"/>
          <w:lang w:val="en-GB"/>
        </w:rPr>
        <w:lastRenderedPageBreak/>
        <w:t xml:space="preserve">the keystone for a dynamic approach in process safety assessment. </w:t>
      </w:r>
      <w:r w:rsidR="0056669D" w:rsidRPr="008B3D34">
        <w:rPr>
          <w:rFonts w:cs="Arial"/>
          <w:szCs w:val="18"/>
          <w:lang w:val="en-GB"/>
        </w:rPr>
        <w:t>O</w:t>
      </w:r>
      <w:r w:rsidR="00D05862" w:rsidRPr="008B3D34">
        <w:rPr>
          <w:rFonts w:cs="Arial"/>
          <w:szCs w:val="18"/>
          <w:lang w:val="en-GB"/>
        </w:rPr>
        <w:t>il and allied industries are</w:t>
      </w:r>
      <w:r w:rsidR="005251BF" w:rsidRPr="008B3D34">
        <w:rPr>
          <w:rFonts w:cs="Arial"/>
          <w:szCs w:val="18"/>
          <w:lang w:val="en-GB"/>
        </w:rPr>
        <w:t xml:space="preserve"> </w:t>
      </w:r>
      <w:r w:rsidR="00D05862" w:rsidRPr="008B3D34">
        <w:rPr>
          <w:rFonts w:cs="Arial"/>
          <w:szCs w:val="18"/>
          <w:lang w:val="en-GB"/>
        </w:rPr>
        <w:t>mature and</w:t>
      </w:r>
      <w:r w:rsidR="009A39AD" w:rsidRPr="008B3D34">
        <w:rPr>
          <w:rFonts w:cs="Arial"/>
          <w:szCs w:val="18"/>
          <w:lang w:val="en-GB"/>
        </w:rPr>
        <w:t xml:space="preserve"> already</w:t>
      </w:r>
      <w:r w:rsidR="00D05862" w:rsidRPr="008B3D34">
        <w:rPr>
          <w:rFonts w:cs="Arial"/>
          <w:szCs w:val="18"/>
          <w:lang w:val="en-GB"/>
        </w:rPr>
        <w:t xml:space="preserve"> accumulated a huge knowledge about deterioration mechanisms</w:t>
      </w:r>
      <w:r w:rsidR="000D4D2E" w:rsidRPr="008B3D34">
        <w:rPr>
          <w:rFonts w:cs="Arial"/>
          <w:szCs w:val="18"/>
          <w:lang w:val="en-GB"/>
        </w:rPr>
        <w:t>.</w:t>
      </w:r>
      <w:r w:rsidR="00F8533E" w:rsidRPr="008B3D34">
        <w:rPr>
          <w:rFonts w:cs="Arial"/>
          <w:szCs w:val="18"/>
          <w:lang w:val="en-GB"/>
        </w:rPr>
        <w:t xml:space="preserve"> </w:t>
      </w:r>
      <w:r w:rsidR="005251BF" w:rsidRPr="008B3D34">
        <w:rPr>
          <w:rFonts w:cs="Arial"/>
          <w:szCs w:val="18"/>
          <w:lang w:val="en-GB"/>
        </w:rPr>
        <w:t xml:space="preserve">This </w:t>
      </w:r>
      <w:r w:rsidR="000D4D2E" w:rsidRPr="008B3D34">
        <w:rPr>
          <w:rFonts w:cs="Arial"/>
          <w:szCs w:val="18"/>
          <w:lang w:val="en-GB"/>
        </w:rPr>
        <w:t xml:space="preserve">knowledge </w:t>
      </w:r>
      <w:r w:rsidR="00DC1845" w:rsidRPr="008B3D34">
        <w:rPr>
          <w:rFonts w:cs="Arial"/>
          <w:szCs w:val="18"/>
          <w:lang w:val="en-GB"/>
        </w:rPr>
        <w:t xml:space="preserve">is valuable to exploit the </w:t>
      </w:r>
      <w:r w:rsidR="000D4D2E" w:rsidRPr="008B3D34">
        <w:rPr>
          <w:rFonts w:cs="Arial"/>
          <w:szCs w:val="18"/>
          <w:lang w:val="en-GB"/>
        </w:rPr>
        <w:t xml:space="preserve">data provided by the new enabling technologies </w:t>
      </w:r>
      <w:r w:rsidR="00DC1845" w:rsidRPr="008B3D34">
        <w:rPr>
          <w:rFonts w:cs="Arial"/>
          <w:szCs w:val="18"/>
          <w:lang w:val="en-GB"/>
        </w:rPr>
        <w:t xml:space="preserve">and provide trustable predictions on the </w:t>
      </w:r>
      <w:r w:rsidR="00A53D3A" w:rsidRPr="008B3D34">
        <w:rPr>
          <w:rFonts w:cs="Arial"/>
          <w:szCs w:val="18"/>
          <w:lang w:val="en-GB"/>
        </w:rPr>
        <w:t xml:space="preserve">Remaining Useful Life </w:t>
      </w:r>
      <w:r w:rsidR="00776AB1" w:rsidRPr="008B3D34">
        <w:rPr>
          <w:rFonts w:cs="Arial"/>
          <w:szCs w:val="18"/>
          <w:lang w:val="en-GB"/>
        </w:rPr>
        <w:t>(</w:t>
      </w:r>
      <w:r w:rsidR="00DC1845" w:rsidRPr="008B3D34">
        <w:rPr>
          <w:rFonts w:cs="Arial"/>
          <w:szCs w:val="18"/>
          <w:lang w:val="en-GB"/>
        </w:rPr>
        <w:t>RUL</w:t>
      </w:r>
      <w:r w:rsidR="00776AB1" w:rsidRPr="008B3D34">
        <w:rPr>
          <w:rFonts w:cs="Arial"/>
          <w:szCs w:val="18"/>
          <w:lang w:val="en-GB"/>
        </w:rPr>
        <w:t>) of</w:t>
      </w:r>
      <w:r w:rsidR="0056669D" w:rsidRPr="008B3D34">
        <w:rPr>
          <w:rFonts w:cs="Arial"/>
          <w:szCs w:val="18"/>
          <w:lang w:val="en-GB"/>
        </w:rPr>
        <w:t xml:space="preserve"> process equipment</w:t>
      </w:r>
      <w:r w:rsidR="00776AB1" w:rsidRPr="008B3D34">
        <w:rPr>
          <w:rFonts w:cs="Arial"/>
          <w:szCs w:val="18"/>
          <w:lang w:val="en-GB"/>
        </w:rPr>
        <w:t xml:space="preserve">; these predictions in turn </w:t>
      </w:r>
      <w:r w:rsidR="00DC1845" w:rsidRPr="008B3D34">
        <w:rPr>
          <w:rFonts w:cs="Arial"/>
          <w:szCs w:val="18"/>
          <w:lang w:val="en-GB"/>
        </w:rPr>
        <w:t xml:space="preserve">could be valuable to revive the SR </w:t>
      </w:r>
      <w:r w:rsidR="009A39AD" w:rsidRPr="008B3D34">
        <w:rPr>
          <w:rFonts w:cs="Arial"/>
          <w:szCs w:val="18"/>
          <w:lang w:val="en-GB"/>
        </w:rPr>
        <w:t>of</w:t>
      </w:r>
      <w:r w:rsidR="00DC1845" w:rsidRPr="008B3D34">
        <w:rPr>
          <w:rFonts w:cs="Arial"/>
          <w:szCs w:val="18"/>
          <w:lang w:val="en-GB"/>
        </w:rPr>
        <w:t xml:space="preserve"> age</w:t>
      </w:r>
      <w:r w:rsidR="00776AB1" w:rsidRPr="008B3D34">
        <w:rPr>
          <w:rFonts w:cs="Arial"/>
          <w:szCs w:val="18"/>
          <w:lang w:val="en-GB"/>
        </w:rPr>
        <w:t>d</w:t>
      </w:r>
      <w:r w:rsidR="00DC1845" w:rsidRPr="008B3D34">
        <w:rPr>
          <w:rFonts w:cs="Arial"/>
          <w:szCs w:val="18"/>
          <w:lang w:val="en-GB"/>
        </w:rPr>
        <w:t xml:space="preserve"> </w:t>
      </w:r>
      <w:r w:rsidR="00577146" w:rsidRPr="008B3D34">
        <w:rPr>
          <w:rFonts w:cs="Arial"/>
          <w:szCs w:val="18"/>
          <w:lang w:val="en-GB"/>
        </w:rPr>
        <w:t>establishment</w:t>
      </w:r>
      <w:r w:rsidR="00DC1845" w:rsidRPr="008B3D34">
        <w:rPr>
          <w:rFonts w:cs="Arial"/>
          <w:szCs w:val="18"/>
          <w:lang w:val="en-GB"/>
        </w:rPr>
        <w:t>s.</w:t>
      </w:r>
      <w:r w:rsidR="00A234FC">
        <w:rPr>
          <w:rFonts w:cs="Arial"/>
          <w:szCs w:val="18"/>
          <w:lang w:val="en-GB"/>
        </w:rPr>
        <w:t xml:space="preserve"> </w:t>
      </w:r>
      <w:r w:rsidR="00F904A8" w:rsidRPr="008B3D34">
        <w:rPr>
          <w:rFonts w:cs="Arial"/>
          <w:szCs w:val="18"/>
          <w:lang w:val="en-GB"/>
        </w:rPr>
        <w:t>Th</w:t>
      </w:r>
      <w:r w:rsidR="00776AB1" w:rsidRPr="008B3D34">
        <w:rPr>
          <w:rFonts w:cs="Arial"/>
          <w:szCs w:val="18"/>
          <w:lang w:val="en-GB"/>
        </w:rPr>
        <w:t>is</w:t>
      </w:r>
      <w:r w:rsidR="00F904A8" w:rsidRPr="008B3D34">
        <w:rPr>
          <w:rFonts w:cs="Arial"/>
          <w:szCs w:val="18"/>
          <w:lang w:val="en-GB"/>
        </w:rPr>
        <w:t xml:space="preserve"> </w:t>
      </w:r>
      <w:r w:rsidR="00F9246E" w:rsidRPr="008B3D34">
        <w:rPr>
          <w:rFonts w:cs="Arial"/>
          <w:szCs w:val="18"/>
          <w:lang w:val="en-GB"/>
        </w:rPr>
        <w:t>paper is organi</w:t>
      </w:r>
      <w:r w:rsidR="00776AB1" w:rsidRPr="008B3D34">
        <w:rPr>
          <w:rFonts w:cs="Arial"/>
          <w:szCs w:val="18"/>
          <w:lang w:val="en-GB"/>
        </w:rPr>
        <w:t>s</w:t>
      </w:r>
      <w:r w:rsidR="00F9246E" w:rsidRPr="008B3D34">
        <w:rPr>
          <w:rFonts w:cs="Arial"/>
          <w:szCs w:val="18"/>
          <w:lang w:val="en-GB"/>
        </w:rPr>
        <w:t xml:space="preserve">ed as follow: </w:t>
      </w:r>
      <w:r w:rsidR="00776AB1" w:rsidRPr="008B3D34">
        <w:rPr>
          <w:rFonts w:cs="Arial"/>
          <w:szCs w:val="18"/>
          <w:lang w:val="en-GB"/>
        </w:rPr>
        <w:t>S</w:t>
      </w:r>
      <w:r w:rsidR="00F9246E" w:rsidRPr="008B3D34">
        <w:rPr>
          <w:rFonts w:cs="Arial"/>
          <w:szCs w:val="18"/>
          <w:lang w:val="en-GB"/>
        </w:rPr>
        <w:t xml:space="preserve">ection 2 </w:t>
      </w:r>
      <w:r w:rsidR="000D4D2E" w:rsidRPr="008B3D34">
        <w:rPr>
          <w:rFonts w:cs="Arial"/>
          <w:szCs w:val="18"/>
          <w:lang w:val="en-GB"/>
        </w:rPr>
        <w:t xml:space="preserve">presents the </w:t>
      </w:r>
      <w:r w:rsidR="00776AB1" w:rsidRPr="008B3D34">
        <w:rPr>
          <w:rFonts w:cs="Arial"/>
          <w:szCs w:val="18"/>
          <w:lang w:val="en-GB"/>
        </w:rPr>
        <w:t>o</w:t>
      </w:r>
      <w:r w:rsidR="000D4D2E" w:rsidRPr="008B3D34">
        <w:rPr>
          <w:rFonts w:cs="Arial"/>
          <w:szCs w:val="18"/>
          <w:lang w:val="en-GB"/>
        </w:rPr>
        <w:t>bjectives</w:t>
      </w:r>
      <w:r w:rsidR="00776AB1" w:rsidRPr="008B3D34">
        <w:rPr>
          <w:rFonts w:cs="Arial"/>
          <w:szCs w:val="18"/>
          <w:lang w:val="en-GB"/>
        </w:rPr>
        <w:t xml:space="preserve"> of the work</w:t>
      </w:r>
      <w:r w:rsidR="000D4D2E" w:rsidRPr="008B3D34">
        <w:rPr>
          <w:rFonts w:cs="Arial"/>
          <w:szCs w:val="18"/>
          <w:lang w:val="en-GB"/>
        </w:rPr>
        <w:t xml:space="preserve">; </w:t>
      </w:r>
      <w:r w:rsidR="00776AB1" w:rsidRPr="008B3D34">
        <w:rPr>
          <w:rFonts w:cs="Arial"/>
          <w:szCs w:val="18"/>
          <w:lang w:val="en-GB"/>
        </w:rPr>
        <w:t>S</w:t>
      </w:r>
      <w:r w:rsidR="00F9246E" w:rsidRPr="008B3D34">
        <w:rPr>
          <w:rFonts w:cs="Arial"/>
          <w:szCs w:val="18"/>
          <w:lang w:val="en-GB"/>
        </w:rPr>
        <w:t xml:space="preserve">ection 3 </w:t>
      </w:r>
      <w:r w:rsidR="000D4D2E" w:rsidRPr="008B3D34">
        <w:rPr>
          <w:rFonts w:cs="Arial"/>
          <w:szCs w:val="18"/>
          <w:lang w:val="en-GB"/>
        </w:rPr>
        <w:t xml:space="preserve">discusses the structure of the guideline </w:t>
      </w:r>
      <w:r w:rsidR="009A39AD" w:rsidRPr="008B3D34">
        <w:rPr>
          <w:rFonts w:cs="Arial"/>
          <w:szCs w:val="18"/>
          <w:lang w:val="en-GB"/>
        </w:rPr>
        <w:t xml:space="preserve">for ageing assessment </w:t>
      </w:r>
      <w:r w:rsidR="000D4D2E" w:rsidRPr="008B3D34">
        <w:rPr>
          <w:rFonts w:cs="Arial"/>
          <w:szCs w:val="18"/>
          <w:lang w:val="en-GB"/>
        </w:rPr>
        <w:t>and the proposed</w:t>
      </w:r>
      <w:r w:rsidR="00F9246E" w:rsidRPr="008B3D34">
        <w:rPr>
          <w:rFonts w:cs="Arial"/>
          <w:szCs w:val="18"/>
          <w:lang w:val="en-GB"/>
        </w:rPr>
        <w:t xml:space="preserve"> method to update and improve </w:t>
      </w:r>
      <w:r w:rsidR="000D4D2E" w:rsidRPr="008B3D34">
        <w:rPr>
          <w:rFonts w:cs="Arial"/>
          <w:szCs w:val="18"/>
          <w:lang w:val="en-GB"/>
        </w:rPr>
        <w:t xml:space="preserve">the SR; </w:t>
      </w:r>
      <w:r w:rsidR="00776AB1" w:rsidRPr="008B3D34">
        <w:rPr>
          <w:rFonts w:cs="Arial"/>
          <w:szCs w:val="18"/>
          <w:lang w:val="en-GB"/>
        </w:rPr>
        <w:t>S</w:t>
      </w:r>
      <w:r w:rsidR="000D4D2E" w:rsidRPr="008B3D34">
        <w:rPr>
          <w:rFonts w:cs="Arial"/>
          <w:szCs w:val="18"/>
          <w:lang w:val="en-GB"/>
        </w:rPr>
        <w:t xml:space="preserve">ection 4 demonstrates the applicability of the method </w:t>
      </w:r>
      <w:r w:rsidR="009A39AD" w:rsidRPr="008B3D34">
        <w:rPr>
          <w:rFonts w:cs="Arial"/>
          <w:szCs w:val="18"/>
          <w:lang w:val="en-GB"/>
        </w:rPr>
        <w:t>in</w:t>
      </w:r>
      <w:r w:rsidR="000D4D2E" w:rsidRPr="008B3D34">
        <w:rPr>
          <w:rFonts w:cs="Arial"/>
          <w:szCs w:val="18"/>
          <w:lang w:val="en-GB"/>
        </w:rPr>
        <w:t xml:space="preserve"> </w:t>
      </w:r>
      <w:r w:rsidRPr="008B3D34">
        <w:rPr>
          <w:rFonts w:cs="Arial"/>
          <w:szCs w:val="18"/>
          <w:lang w:val="en-GB"/>
        </w:rPr>
        <w:t xml:space="preserve">a </w:t>
      </w:r>
      <w:r w:rsidR="000D4D2E" w:rsidRPr="008B3D34">
        <w:rPr>
          <w:rFonts w:cs="Arial"/>
          <w:szCs w:val="18"/>
          <w:lang w:val="en-GB"/>
        </w:rPr>
        <w:t>use</w:t>
      </w:r>
      <w:r w:rsidR="00776AB1" w:rsidRPr="008B3D34">
        <w:rPr>
          <w:rFonts w:cs="Arial"/>
          <w:szCs w:val="18"/>
          <w:lang w:val="en-GB"/>
        </w:rPr>
        <w:t>-</w:t>
      </w:r>
      <w:r w:rsidR="000D4D2E" w:rsidRPr="008B3D34">
        <w:rPr>
          <w:rFonts w:cs="Arial"/>
          <w:szCs w:val="18"/>
          <w:lang w:val="en-GB"/>
        </w:rPr>
        <w:t xml:space="preserve">case; </w:t>
      </w:r>
      <w:r w:rsidR="00776AB1" w:rsidRPr="008B3D34">
        <w:rPr>
          <w:rFonts w:cs="Arial"/>
          <w:szCs w:val="18"/>
          <w:lang w:val="en-GB"/>
        </w:rPr>
        <w:t>S</w:t>
      </w:r>
      <w:r w:rsidR="000D4D2E" w:rsidRPr="008B3D34">
        <w:rPr>
          <w:rFonts w:cs="Arial"/>
          <w:szCs w:val="18"/>
          <w:lang w:val="en-GB"/>
        </w:rPr>
        <w:t>ection 5</w:t>
      </w:r>
      <w:r w:rsidR="00776AB1" w:rsidRPr="008B3D34">
        <w:rPr>
          <w:rFonts w:cs="Arial"/>
          <w:szCs w:val="18"/>
          <w:lang w:val="en-GB"/>
        </w:rPr>
        <w:t xml:space="preserve"> gives</w:t>
      </w:r>
      <w:r w:rsidR="000D4D2E" w:rsidRPr="008B3D34">
        <w:rPr>
          <w:rFonts w:cs="Arial"/>
          <w:szCs w:val="18"/>
          <w:lang w:val="en-GB"/>
        </w:rPr>
        <w:t xml:space="preserve"> a few conclusive remarks.</w:t>
      </w:r>
    </w:p>
    <w:p w14:paraId="5F832812" w14:textId="77777777" w:rsidR="00F4104B" w:rsidRPr="008B3D34" w:rsidRDefault="00F4104B" w:rsidP="00F4104B">
      <w:pPr>
        <w:pStyle w:val="CETHeading1"/>
        <w:tabs>
          <w:tab w:val="num" w:pos="360"/>
        </w:tabs>
        <w:rPr>
          <w:lang w:val="en-GB"/>
        </w:rPr>
      </w:pPr>
      <w:r w:rsidRPr="008B3D34">
        <w:rPr>
          <w:lang w:val="en-GB"/>
        </w:rPr>
        <w:t>Objectives</w:t>
      </w:r>
    </w:p>
    <w:p w14:paraId="45A53340" w14:textId="5563D2F0" w:rsidR="000D4D2E" w:rsidRPr="008B3D34" w:rsidRDefault="000D4D2E" w:rsidP="00B14A5F">
      <w:pPr>
        <w:pStyle w:val="CETBodytext"/>
        <w:rPr>
          <w:lang w:val="en-GB"/>
        </w:rPr>
      </w:pPr>
      <w:r w:rsidRPr="008B3D34">
        <w:rPr>
          <w:rFonts w:cs="Arial"/>
          <w:szCs w:val="18"/>
          <w:lang w:val="en-GB"/>
        </w:rPr>
        <w:t>The goal of th</w:t>
      </w:r>
      <w:r w:rsidR="00577146" w:rsidRPr="008B3D34">
        <w:rPr>
          <w:rFonts w:cs="Arial"/>
          <w:szCs w:val="18"/>
          <w:lang w:val="en-GB"/>
        </w:rPr>
        <w:t>is</w:t>
      </w:r>
      <w:r w:rsidRPr="008B3D34">
        <w:rPr>
          <w:rFonts w:cs="Arial"/>
          <w:szCs w:val="18"/>
          <w:lang w:val="en-GB"/>
        </w:rPr>
        <w:t xml:space="preserve"> paper is</w:t>
      </w:r>
      <w:r w:rsidR="00577146" w:rsidRPr="008B3D34">
        <w:rPr>
          <w:rFonts w:cs="Arial"/>
          <w:szCs w:val="18"/>
          <w:lang w:val="en-GB"/>
        </w:rPr>
        <w:t xml:space="preserve"> to</w:t>
      </w:r>
      <w:r w:rsidRPr="008B3D34">
        <w:rPr>
          <w:rFonts w:cs="Arial"/>
          <w:szCs w:val="18"/>
          <w:lang w:val="en-GB"/>
        </w:rPr>
        <w:t xml:space="preserve"> outline a </w:t>
      </w:r>
      <w:r w:rsidR="009A39AD" w:rsidRPr="008B3D34">
        <w:rPr>
          <w:rFonts w:cs="Arial"/>
          <w:szCs w:val="18"/>
          <w:lang w:val="en-GB"/>
        </w:rPr>
        <w:t>method</w:t>
      </w:r>
      <w:r w:rsidRPr="008B3D34">
        <w:rPr>
          <w:rFonts w:cs="Arial"/>
          <w:szCs w:val="18"/>
          <w:lang w:val="en-GB"/>
        </w:rPr>
        <w:t xml:space="preserve"> to keep </w:t>
      </w:r>
      <w:r w:rsidR="00577146" w:rsidRPr="008B3D34">
        <w:rPr>
          <w:rFonts w:cs="Arial"/>
          <w:szCs w:val="18"/>
          <w:lang w:val="en-GB"/>
        </w:rPr>
        <w:t>updated</w:t>
      </w:r>
      <w:r w:rsidRPr="008B3D34">
        <w:rPr>
          <w:rFonts w:cs="Arial"/>
          <w:szCs w:val="18"/>
          <w:lang w:val="en-GB"/>
        </w:rPr>
        <w:t xml:space="preserve"> the SR of Seveso </w:t>
      </w:r>
      <w:r w:rsidR="00577146" w:rsidRPr="008B3D34">
        <w:rPr>
          <w:rFonts w:cs="Arial"/>
          <w:szCs w:val="18"/>
          <w:lang w:val="en-GB"/>
        </w:rPr>
        <w:t>establishment</w:t>
      </w:r>
      <w:r w:rsidR="00465E18" w:rsidRPr="008B3D34">
        <w:rPr>
          <w:rFonts w:cs="Arial"/>
          <w:szCs w:val="18"/>
          <w:lang w:val="en-GB"/>
        </w:rPr>
        <w:t>s</w:t>
      </w:r>
      <w:r w:rsidR="00577146" w:rsidRPr="008B3D34">
        <w:rPr>
          <w:rFonts w:cs="Arial"/>
          <w:szCs w:val="18"/>
          <w:lang w:val="en-GB"/>
        </w:rPr>
        <w:t>,</w:t>
      </w:r>
      <w:r w:rsidRPr="008B3D34">
        <w:rPr>
          <w:rFonts w:cs="Arial"/>
          <w:szCs w:val="18"/>
          <w:lang w:val="en-GB"/>
        </w:rPr>
        <w:t xml:space="preserve"> even </w:t>
      </w:r>
      <w:r w:rsidR="00465E18" w:rsidRPr="008B3D34">
        <w:rPr>
          <w:rFonts w:cs="Arial"/>
          <w:szCs w:val="18"/>
          <w:lang w:val="en-GB"/>
        </w:rPr>
        <w:t>when these are approaching the</w:t>
      </w:r>
      <w:r w:rsidRPr="008B3D34">
        <w:rPr>
          <w:rFonts w:cs="Arial"/>
          <w:szCs w:val="18"/>
          <w:lang w:val="en-GB"/>
        </w:rPr>
        <w:t xml:space="preserve"> </w:t>
      </w:r>
      <w:r w:rsidR="00465E18" w:rsidRPr="008B3D34">
        <w:rPr>
          <w:rFonts w:cs="Arial"/>
          <w:szCs w:val="18"/>
          <w:lang w:val="en-GB"/>
        </w:rPr>
        <w:t xml:space="preserve">end of their </w:t>
      </w:r>
      <w:r w:rsidRPr="008B3D34">
        <w:rPr>
          <w:rFonts w:cs="Arial"/>
          <w:szCs w:val="18"/>
          <w:lang w:val="en-GB"/>
        </w:rPr>
        <w:t>lifecycle.</w:t>
      </w:r>
      <w:r w:rsidR="00DC1845" w:rsidRPr="008B3D34">
        <w:rPr>
          <w:rFonts w:cs="Arial"/>
          <w:szCs w:val="18"/>
          <w:lang w:val="en-GB"/>
        </w:rPr>
        <w:t xml:space="preserve"> The basic </w:t>
      </w:r>
      <w:r w:rsidR="00577146" w:rsidRPr="008B3D34">
        <w:rPr>
          <w:rFonts w:cs="Arial"/>
          <w:szCs w:val="18"/>
          <w:lang w:val="en-GB"/>
        </w:rPr>
        <w:t>elements</w:t>
      </w:r>
      <w:r w:rsidR="00DC1845" w:rsidRPr="008B3D34">
        <w:rPr>
          <w:rFonts w:cs="Arial"/>
          <w:szCs w:val="18"/>
          <w:lang w:val="en-GB"/>
        </w:rPr>
        <w:t xml:space="preserve"> of the </w:t>
      </w:r>
      <w:r w:rsidR="00465E18" w:rsidRPr="008B3D34">
        <w:rPr>
          <w:rFonts w:cs="Arial"/>
          <w:szCs w:val="18"/>
          <w:lang w:val="en-GB"/>
        </w:rPr>
        <w:t>method</w:t>
      </w:r>
      <w:r w:rsidR="00DC1845" w:rsidRPr="008B3D34">
        <w:rPr>
          <w:rFonts w:cs="Arial"/>
          <w:szCs w:val="18"/>
          <w:lang w:val="en-GB"/>
        </w:rPr>
        <w:t xml:space="preserve"> are</w:t>
      </w:r>
      <w:r w:rsidR="006E1054" w:rsidRPr="008B3D34">
        <w:rPr>
          <w:rFonts w:cs="Arial"/>
          <w:szCs w:val="18"/>
          <w:lang w:val="en-GB"/>
        </w:rPr>
        <w:t>: (</w:t>
      </w:r>
      <w:proofErr w:type="spellStart"/>
      <w:r w:rsidR="006E1054" w:rsidRPr="008B3D34">
        <w:rPr>
          <w:rFonts w:cs="Arial"/>
          <w:szCs w:val="18"/>
          <w:lang w:val="en-GB"/>
        </w:rPr>
        <w:t>i</w:t>
      </w:r>
      <w:proofErr w:type="spellEnd"/>
      <w:r w:rsidR="006E1054" w:rsidRPr="008B3D34">
        <w:rPr>
          <w:rFonts w:cs="Arial"/>
          <w:szCs w:val="18"/>
          <w:lang w:val="en-GB"/>
        </w:rPr>
        <w:t>)</w:t>
      </w:r>
      <w:r w:rsidR="00DC1845" w:rsidRPr="008B3D34">
        <w:rPr>
          <w:rFonts w:cs="Arial"/>
          <w:szCs w:val="18"/>
          <w:lang w:val="en-GB"/>
        </w:rPr>
        <w:t xml:space="preserve"> the awareness </w:t>
      </w:r>
      <w:r w:rsidR="006E1054" w:rsidRPr="008B3D34">
        <w:rPr>
          <w:rFonts w:cs="Arial"/>
          <w:szCs w:val="18"/>
          <w:lang w:val="en-GB"/>
        </w:rPr>
        <w:t xml:space="preserve">about </w:t>
      </w:r>
      <w:r w:rsidR="00465E18" w:rsidRPr="008B3D34">
        <w:rPr>
          <w:rFonts w:cs="Arial"/>
          <w:szCs w:val="18"/>
          <w:lang w:val="en-GB"/>
        </w:rPr>
        <w:t xml:space="preserve">the </w:t>
      </w:r>
      <w:r w:rsidR="00DC1845" w:rsidRPr="008B3D34">
        <w:rPr>
          <w:rFonts w:cs="Arial"/>
          <w:szCs w:val="18"/>
          <w:lang w:val="en-GB"/>
        </w:rPr>
        <w:t xml:space="preserve">ageing </w:t>
      </w:r>
      <w:r w:rsidR="00465E18" w:rsidRPr="008B3D34">
        <w:rPr>
          <w:rFonts w:cs="Arial"/>
          <w:szCs w:val="18"/>
          <w:lang w:val="en-GB"/>
        </w:rPr>
        <w:t>issue</w:t>
      </w:r>
      <w:r w:rsidR="00DC29C3" w:rsidRPr="008B3D34">
        <w:rPr>
          <w:rFonts w:cs="Arial"/>
          <w:szCs w:val="18"/>
          <w:lang w:val="en-GB"/>
        </w:rPr>
        <w:t>;</w:t>
      </w:r>
      <w:r w:rsidR="006E1054" w:rsidRPr="008B3D34">
        <w:rPr>
          <w:rFonts w:cs="Arial"/>
          <w:szCs w:val="18"/>
          <w:lang w:val="en-GB"/>
        </w:rPr>
        <w:t xml:space="preserve"> (ii)</w:t>
      </w:r>
      <w:r w:rsidR="00DC1845" w:rsidRPr="008B3D34">
        <w:rPr>
          <w:rFonts w:cs="Arial"/>
          <w:szCs w:val="18"/>
          <w:lang w:val="en-GB"/>
        </w:rPr>
        <w:t xml:space="preserve"> the role of </w:t>
      </w:r>
      <w:r w:rsidR="008566FF" w:rsidRPr="008B3D34">
        <w:rPr>
          <w:rFonts w:cs="Arial"/>
          <w:szCs w:val="18"/>
          <w:lang w:val="en-GB"/>
        </w:rPr>
        <w:t>failure rate</w:t>
      </w:r>
      <w:r w:rsidR="00DC1845" w:rsidRPr="008B3D34">
        <w:rPr>
          <w:rFonts w:cs="Arial"/>
          <w:szCs w:val="18"/>
          <w:lang w:val="en-GB"/>
        </w:rPr>
        <w:t xml:space="preserve"> in risk assessment</w:t>
      </w:r>
      <w:r w:rsidR="006E1054" w:rsidRPr="008B3D34">
        <w:rPr>
          <w:rFonts w:cs="Arial"/>
          <w:szCs w:val="18"/>
          <w:lang w:val="en-GB"/>
        </w:rPr>
        <w:t xml:space="preserve"> and </w:t>
      </w:r>
      <w:r w:rsidR="00DC1845" w:rsidRPr="008B3D34">
        <w:rPr>
          <w:rFonts w:cs="Arial"/>
          <w:szCs w:val="18"/>
          <w:lang w:val="en-GB"/>
        </w:rPr>
        <w:t xml:space="preserve">the need of updating them in </w:t>
      </w:r>
      <w:r w:rsidR="006E1054" w:rsidRPr="008B3D34">
        <w:rPr>
          <w:rFonts w:cs="Arial"/>
          <w:szCs w:val="18"/>
          <w:lang w:val="en-GB"/>
        </w:rPr>
        <w:t>all</w:t>
      </w:r>
      <w:r w:rsidR="00DC1845" w:rsidRPr="008B3D34">
        <w:rPr>
          <w:rFonts w:cs="Arial"/>
          <w:szCs w:val="18"/>
          <w:lang w:val="en-GB"/>
        </w:rPr>
        <w:t xml:space="preserve"> phases of the </w:t>
      </w:r>
      <w:r w:rsidR="006E1054" w:rsidRPr="008B3D34">
        <w:rPr>
          <w:rFonts w:cs="Arial"/>
          <w:szCs w:val="18"/>
          <w:lang w:val="en-GB"/>
        </w:rPr>
        <w:t>equipmen</w:t>
      </w:r>
      <w:r w:rsidR="00DC29C3" w:rsidRPr="008B3D34">
        <w:rPr>
          <w:rFonts w:cs="Arial"/>
          <w:szCs w:val="18"/>
          <w:lang w:val="en-GB"/>
        </w:rPr>
        <w:t>t lifecycle;</w:t>
      </w:r>
      <w:r w:rsidR="006E1054" w:rsidRPr="008B3D34">
        <w:rPr>
          <w:rFonts w:cs="Arial"/>
          <w:szCs w:val="18"/>
          <w:lang w:val="en-GB"/>
        </w:rPr>
        <w:t xml:space="preserve"> (iii)</w:t>
      </w:r>
      <w:r w:rsidR="00DC1845" w:rsidRPr="008B3D34">
        <w:rPr>
          <w:rFonts w:cs="Arial"/>
          <w:szCs w:val="18"/>
          <w:lang w:val="en-GB"/>
        </w:rPr>
        <w:t xml:space="preserve"> the potential of data provided by enabling technologies to improve prognostic</w:t>
      </w:r>
      <w:r w:rsidR="00DC29C3" w:rsidRPr="008B3D34">
        <w:rPr>
          <w:rFonts w:cs="Arial"/>
          <w:szCs w:val="18"/>
          <w:lang w:val="en-GB"/>
        </w:rPr>
        <w:t>;</w:t>
      </w:r>
      <w:r w:rsidR="006E1054" w:rsidRPr="008B3D34">
        <w:rPr>
          <w:rFonts w:cs="Arial"/>
          <w:szCs w:val="18"/>
          <w:lang w:val="en-GB"/>
        </w:rPr>
        <w:t xml:space="preserve"> (iv)</w:t>
      </w:r>
      <w:r w:rsidR="00DC1845" w:rsidRPr="008B3D34">
        <w:rPr>
          <w:rFonts w:cs="Arial"/>
          <w:szCs w:val="18"/>
          <w:lang w:val="en-GB"/>
        </w:rPr>
        <w:t xml:space="preserve"> the importance of the knowledge on deterioration mechanisms and RUL for the prevention of major accidents.</w:t>
      </w:r>
    </w:p>
    <w:p w14:paraId="6DABE9A0" w14:textId="3B1FCE0D" w:rsidR="00F4104B" w:rsidRPr="008B3D34" w:rsidRDefault="009008F5" w:rsidP="00F4104B">
      <w:pPr>
        <w:pStyle w:val="CETHeading1"/>
        <w:tabs>
          <w:tab w:val="num" w:pos="360"/>
        </w:tabs>
        <w:rPr>
          <w:lang w:val="en-GB"/>
        </w:rPr>
      </w:pPr>
      <w:r w:rsidRPr="008B3D34">
        <w:rPr>
          <w:lang w:val="en-GB"/>
        </w:rPr>
        <w:t>Guidelines</w:t>
      </w:r>
    </w:p>
    <w:p w14:paraId="772E94FC" w14:textId="2CEEB266" w:rsidR="009008F5" w:rsidRPr="008B3D34" w:rsidRDefault="002A436F" w:rsidP="00C80CF2">
      <w:pPr>
        <w:pStyle w:val="CETheadingx"/>
      </w:pPr>
      <w:r w:rsidRPr="008B3D34">
        <w:t>Ageing fishbone method</w:t>
      </w:r>
    </w:p>
    <w:p w14:paraId="51167D1C" w14:textId="6C684AB9" w:rsidR="00A06476" w:rsidRPr="008B3D34" w:rsidRDefault="00AA7F97" w:rsidP="004B4A90">
      <w:pPr>
        <w:pStyle w:val="CETBodytext"/>
        <w:rPr>
          <w:rStyle w:val="CETBodytextCarattere"/>
          <w:rFonts w:eastAsiaTheme="minorHAnsi"/>
          <w:lang w:val="en-GB"/>
        </w:rPr>
      </w:pPr>
      <w:r w:rsidRPr="008B3D34">
        <w:rPr>
          <w:rStyle w:val="CETBodytextCarattere"/>
          <w:rFonts w:eastAsiaTheme="minorHAnsi"/>
          <w:lang w:val="en-GB"/>
        </w:rPr>
        <w:t>I</w:t>
      </w:r>
      <w:r w:rsidR="004B4A90" w:rsidRPr="008B3D34">
        <w:rPr>
          <w:rStyle w:val="CETBodytextCarattere"/>
          <w:rFonts w:eastAsiaTheme="minorHAnsi"/>
          <w:lang w:val="en-GB"/>
        </w:rPr>
        <w:t>n 2018</w:t>
      </w:r>
      <w:r w:rsidR="00555A8F" w:rsidRPr="008B3D34">
        <w:rPr>
          <w:rStyle w:val="CETBodytextCarattere"/>
          <w:rFonts w:eastAsiaTheme="minorHAnsi"/>
          <w:lang w:val="en-GB"/>
        </w:rPr>
        <w:t>,</w:t>
      </w:r>
      <w:r w:rsidR="004B4A90" w:rsidRPr="008B3D34">
        <w:rPr>
          <w:rStyle w:val="CETBodytextCarattere"/>
          <w:rFonts w:eastAsiaTheme="minorHAnsi"/>
          <w:lang w:val="en-GB"/>
        </w:rPr>
        <w:t xml:space="preserve"> the Italian Ministry of Environment</w:t>
      </w:r>
      <w:r w:rsidRPr="008B3D34">
        <w:rPr>
          <w:rStyle w:val="CETBodytextCarattere"/>
          <w:rFonts w:eastAsiaTheme="minorHAnsi"/>
          <w:lang w:val="en-GB"/>
        </w:rPr>
        <w:t xml:space="preserve"> adopted </w:t>
      </w:r>
      <w:r w:rsidRPr="008B3D34">
        <w:rPr>
          <w:lang w:val="en-GB"/>
        </w:rPr>
        <w:t>a short</w:t>
      </w:r>
      <w:r w:rsidR="001679C2" w:rsidRPr="008B3D34">
        <w:rPr>
          <w:lang w:val="en-GB"/>
        </w:rPr>
        <w:t>-</w:t>
      </w:r>
      <w:r w:rsidRPr="008B3D34">
        <w:rPr>
          <w:lang w:val="en-GB"/>
        </w:rPr>
        <w:t>cut method</w:t>
      </w:r>
      <w:r w:rsidR="004B4A90" w:rsidRPr="008B3D34">
        <w:rPr>
          <w:rStyle w:val="CETBodytextCarattere"/>
          <w:rFonts w:eastAsiaTheme="minorHAnsi"/>
          <w:lang w:val="en-GB"/>
        </w:rPr>
        <w:t xml:space="preserve"> for the evaluation of ageing and corrosion plan</w:t>
      </w:r>
      <w:r w:rsidR="001679C2" w:rsidRPr="008B3D34">
        <w:rPr>
          <w:rStyle w:val="CETBodytextCarattere"/>
          <w:rFonts w:eastAsiaTheme="minorHAnsi"/>
          <w:lang w:val="en-GB"/>
        </w:rPr>
        <w:t>s</w:t>
      </w:r>
      <w:r w:rsidR="004B4A90" w:rsidRPr="008B3D34">
        <w:rPr>
          <w:rStyle w:val="CETBodytextCarattere"/>
          <w:rFonts w:eastAsiaTheme="minorHAnsi"/>
          <w:lang w:val="en-GB"/>
        </w:rPr>
        <w:t xml:space="preserve"> during inspection</w:t>
      </w:r>
      <w:r w:rsidR="00465E18" w:rsidRPr="008B3D34">
        <w:rPr>
          <w:rStyle w:val="CETBodytextCarattere"/>
          <w:rFonts w:eastAsiaTheme="minorHAnsi"/>
          <w:lang w:val="en-GB"/>
        </w:rPr>
        <w:t>s</w:t>
      </w:r>
      <w:r w:rsidR="004B4A90" w:rsidRPr="008B3D34">
        <w:rPr>
          <w:rStyle w:val="CETBodytextCarattere"/>
          <w:rFonts w:eastAsiaTheme="minorHAnsi"/>
          <w:lang w:val="en-GB"/>
        </w:rPr>
        <w:t xml:space="preserve"> at Seveso sites</w:t>
      </w:r>
      <w:r w:rsidR="001679C2" w:rsidRPr="008B3D34">
        <w:rPr>
          <w:rStyle w:val="CETBodytextCarattere"/>
          <w:rFonts w:eastAsiaTheme="minorHAnsi"/>
          <w:lang w:val="en-GB"/>
        </w:rPr>
        <w:t xml:space="preserve">, so-called </w:t>
      </w:r>
      <w:r w:rsidR="001679C2" w:rsidRPr="008B3D34">
        <w:rPr>
          <w:i/>
          <w:iCs/>
          <w:lang w:val="en-GB"/>
        </w:rPr>
        <w:t xml:space="preserve">Ageing </w:t>
      </w:r>
      <w:r w:rsidR="001679C2" w:rsidRPr="008B3D34">
        <w:rPr>
          <w:rStyle w:val="CETBodytextCarattere"/>
          <w:rFonts w:eastAsiaTheme="minorHAnsi"/>
          <w:i/>
          <w:iCs/>
          <w:lang w:val="en-GB"/>
        </w:rPr>
        <w:t>Fishbone</w:t>
      </w:r>
      <w:r w:rsidR="00974AE5" w:rsidRPr="008B3D34">
        <w:rPr>
          <w:rStyle w:val="CETBodytextCarattere"/>
          <w:rFonts w:eastAsiaTheme="minorHAnsi"/>
          <w:lang w:val="en-GB"/>
        </w:rPr>
        <w:t xml:space="preserve"> </w:t>
      </w:r>
      <w:r w:rsidR="008A1BDB" w:rsidRPr="008B3D34">
        <w:rPr>
          <w:rStyle w:val="CETBodytextCarattere"/>
          <w:rFonts w:eastAsiaTheme="minorHAnsi"/>
          <w:lang w:val="en-GB"/>
        </w:rPr>
        <w:t>method</w:t>
      </w:r>
      <w:r w:rsidR="009F57F7" w:rsidRPr="008B3D34">
        <w:rPr>
          <w:rStyle w:val="CETBodytextCarattere"/>
          <w:rFonts w:eastAsiaTheme="minorHAnsi"/>
          <w:lang w:val="en-GB"/>
        </w:rPr>
        <w:t xml:space="preserve"> (</w:t>
      </w:r>
      <w:r w:rsidR="00555A8F" w:rsidRPr="008B3D34">
        <w:rPr>
          <w:rStyle w:val="CETBodytextCarattere"/>
          <w:rFonts w:eastAsiaTheme="minorHAnsi"/>
          <w:lang w:val="en-GB"/>
        </w:rPr>
        <w:t>AFB</w:t>
      </w:r>
      <w:r w:rsidR="009F57F7" w:rsidRPr="008B3D34">
        <w:rPr>
          <w:rStyle w:val="CETBodytextCarattere"/>
          <w:rFonts w:eastAsiaTheme="minorHAnsi"/>
          <w:lang w:val="en-GB"/>
        </w:rPr>
        <w:t>)</w:t>
      </w:r>
      <w:r w:rsidR="004B4A90" w:rsidRPr="008B3D34">
        <w:rPr>
          <w:rStyle w:val="CETBodytextCarattere"/>
          <w:rFonts w:eastAsiaTheme="minorHAnsi"/>
          <w:lang w:val="en-GB"/>
        </w:rPr>
        <w:t>. As discussed in detail by Milazzo &amp; Bragatto (2019), the method</w:t>
      </w:r>
      <w:r w:rsidR="00A464E2" w:rsidRPr="008B3D34">
        <w:rPr>
          <w:rStyle w:val="CETBodytextCarattere"/>
          <w:rFonts w:eastAsiaTheme="minorHAnsi"/>
          <w:lang w:val="en-GB"/>
        </w:rPr>
        <w:t xml:space="preserve"> </w:t>
      </w:r>
      <w:r w:rsidR="001F79F3" w:rsidRPr="008B3D34">
        <w:rPr>
          <w:rStyle w:val="CETBodytextCarattere"/>
          <w:rFonts w:eastAsiaTheme="minorHAnsi"/>
          <w:lang w:val="en-GB"/>
        </w:rPr>
        <w:t>scores</w:t>
      </w:r>
      <w:r w:rsidR="00DD4FFE" w:rsidRPr="008B3D34">
        <w:rPr>
          <w:rStyle w:val="CETBodytextCarattere"/>
          <w:rFonts w:eastAsiaTheme="minorHAnsi"/>
          <w:lang w:val="en-GB"/>
        </w:rPr>
        <w:t xml:space="preserve"> </w:t>
      </w:r>
      <w:r w:rsidR="00A464E2" w:rsidRPr="008B3D34">
        <w:rPr>
          <w:rStyle w:val="CETBodytextCarattere"/>
          <w:rFonts w:eastAsiaTheme="minorHAnsi"/>
          <w:lang w:val="en-GB"/>
        </w:rPr>
        <w:t>twelve</w:t>
      </w:r>
      <w:r w:rsidR="004B4A90" w:rsidRPr="008B3D34">
        <w:rPr>
          <w:rStyle w:val="CETBodytextCarattere"/>
          <w:rFonts w:eastAsiaTheme="minorHAnsi"/>
          <w:lang w:val="en-GB"/>
        </w:rPr>
        <w:t xml:space="preserve"> factors</w:t>
      </w:r>
      <w:r w:rsidR="00A464E2" w:rsidRPr="008B3D34">
        <w:rPr>
          <w:rStyle w:val="CETBodytextCarattere"/>
          <w:rFonts w:eastAsiaTheme="minorHAnsi"/>
          <w:lang w:val="en-GB"/>
        </w:rPr>
        <w:t xml:space="preserve"> identified to be relevant for equipment ageing</w:t>
      </w:r>
      <w:r w:rsidR="00DD4FFE" w:rsidRPr="008B3D34">
        <w:rPr>
          <w:rStyle w:val="CETBodytextCarattere"/>
          <w:rFonts w:eastAsiaTheme="minorHAnsi"/>
          <w:lang w:val="en-GB"/>
        </w:rPr>
        <w:t xml:space="preserve">, </w:t>
      </w:r>
      <w:r w:rsidR="00A464E2" w:rsidRPr="008B3D34">
        <w:rPr>
          <w:rStyle w:val="CETBodytextCarattere"/>
          <w:rFonts w:eastAsiaTheme="minorHAnsi"/>
          <w:lang w:val="en-GB"/>
        </w:rPr>
        <w:t xml:space="preserve">in the sense that they can accelerate or </w:t>
      </w:r>
      <w:r w:rsidR="00465E18" w:rsidRPr="008B3D34">
        <w:rPr>
          <w:rStyle w:val="CETBodytextCarattere"/>
          <w:rFonts w:eastAsiaTheme="minorHAnsi"/>
          <w:lang w:val="en-GB"/>
        </w:rPr>
        <w:t>slow-down</w:t>
      </w:r>
      <w:r w:rsidR="00A464E2" w:rsidRPr="008B3D34">
        <w:rPr>
          <w:rStyle w:val="CETBodytextCarattere"/>
          <w:rFonts w:eastAsiaTheme="minorHAnsi"/>
          <w:lang w:val="en-GB"/>
        </w:rPr>
        <w:t xml:space="preserve"> the phenomenon</w:t>
      </w:r>
      <w:r w:rsidR="004B4A90" w:rsidRPr="008B3D34">
        <w:rPr>
          <w:rStyle w:val="CETBodytextCarattere"/>
          <w:rFonts w:eastAsiaTheme="minorHAnsi"/>
          <w:lang w:val="en-GB"/>
        </w:rPr>
        <w:t>.</w:t>
      </w:r>
      <w:r w:rsidR="00BB38D0" w:rsidRPr="008B3D34">
        <w:rPr>
          <w:rStyle w:val="CETBodytextCarattere"/>
          <w:rFonts w:eastAsiaTheme="minorHAnsi"/>
          <w:lang w:val="en-GB"/>
        </w:rPr>
        <w:t xml:space="preserve"> </w:t>
      </w:r>
      <w:r w:rsidR="00E60F37" w:rsidRPr="008B3D34">
        <w:rPr>
          <w:rStyle w:val="CETBodytextCarattere"/>
          <w:rFonts w:eastAsiaTheme="minorHAnsi"/>
          <w:lang w:val="en-GB"/>
        </w:rPr>
        <w:t>Negative</w:t>
      </w:r>
      <w:r w:rsidRPr="008B3D34">
        <w:rPr>
          <w:rStyle w:val="CETBodytextCarattere"/>
          <w:rFonts w:eastAsiaTheme="minorHAnsi"/>
          <w:lang w:val="en-GB"/>
        </w:rPr>
        <w:t xml:space="preserve"> or accelerating</w:t>
      </w:r>
      <w:r w:rsidR="00E60F37" w:rsidRPr="008B3D34">
        <w:rPr>
          <w:rStyle w:val="CETBodytextCarattere"/>
          <w:rFonts w:eastAsiaTheme="minorHAnsi"/>
          <w:lang w:val="en-GB"/>
        </w:rPr>
        <w:t xml:space="preserve"> factors </w:t>
      </w:r>
      <w:r w:rsidR="00A464E2" w:rsidRPr="008B3D34">
        <w:rPr>
          <w:rStyle w:val="CETBodytextCarattere"/>
          <w:rFonts w:eastAsiaTheme="minorHAnsi"/>
          <w:lang w:val="en-GB"/>
        </w:rPr>
        <w:t>represent the</w:t>
      </w:r>
      <w:r w:rsidR="00E60F37" w:rsidRPr="008B3D34">
        <w:rPr>
          <w:rStyle w:val="CETBodytextCarattere"/>
          <w:rFonts w:eastAsiaTheme="minorHAnsi"/>
          <w:lang w:val="en-GB"/>
        </w:rPr>
        <w:t xml:space="preserve"> strength</w:t>
      </w:r>
      <w:r w:rsidR="007021EC" w:rsidRPr="008B3D34">
        <w:rPr>
          <w:rStyle w:val="CETBodytextCarattere"/>
          <w:rFonts w:eastAsiaTheme="minorHAnsi"/>
          <w:lang w:val="en-GB"/>
        </w:rPr>
        <w:t xml:space="preserve"> of deterioration and include</w:t>
      </w:r>
      <w:r w:rsidR="00E60F37" w:rsidRPr="008B3D34">
        <w:rPr>
          <w:rStyle w:val="CETBodytextCarattere"/>
          <w:rFonts w:eastAsiaTheme="minorHAnsi"/>
          <w:lang w:val="en-GB"/>
        </w:rPr>
        <w:t xml:space="preserve"> deterioration mechanisms, </w:t>
      </w:r>
      <w:r w:rsidR="007021EC" w:rsidRPr="008B3D34">
        <w:rPr>
          <w:rStyle w:val="CETBodytextCarattere"/>
          <w:rFonts w:eastAsiaTheme="minorHAnsi"/>
          <w:lang w:val="en-GB"/>
        </w:rPr>
        <w:t>age or in-service time, failures, accidents/near-misses, damages</w:t>
      </w:r>
      <w:r w:rsidR="001110CF" w:rsidRPr="008B3D34">
        <w:rPr>
          <w:rStyle w:val="CETBodytextCarattere"/>
          <w:rFonts w:eastAsiaTheme="minorHAnsi"/>
          <w:lang w:val="en-GB"/>
        </w:rPr>
        <w:t xml:space="preserve"> and</w:t>
      </w:r>
      <w:r w:rsidR="007021EC" w:rsidRPr="008B3D34">
        <w:rPr>
          <w:rStyle w:val="CETBodytextCarattere"/>
          <w:rFonts w:eastAsiaTheme="minorHAnsi"/>
          <w:lang w:val="en-GB"/>
        </w:rPr>
        <w:t xml:space="preserve"> stops</w:t>
      </w:r>
      <w:r w:rsidR="001110CF" w:rsidRPr="008B3D34">
        <w:rPr>
          <w:rStyle w:val="CETBodytextCarattere"/>
          <w:rFonts w:eastAsiaTheme="minorHAnsi"/>
          <w:lang w:val="en-GB"/>
        </w:rPr>
        <w:t xml:space="preserve">. Positive or decelerating factors indicate the resistance </w:t>
      </w:r>
      <w:r w:rsidR="009F57F7" w:rsidRPr="008B3D34">
        <w:rPr>
          <w:rStyle w:val="CETBodytextCarattere"/>
          <w:rFonts w:eastAsiaTheme="minorHAnsi"/>
          <w:lang w:val="en-GB"/>
        </w:rPr>
        <w:t xml:space="preserve">contrasting </w:t>
      </w:r>
      <w:r w:rsidR="001110CF" w:rsidRPr="008B3D34">
        <w:rPr>
          <w:rStyle w:val="CETBodytextCarattere"/>
          <w:rFonts w:eastAsiaTheme="minorHAnsi"/>
          <w:lang w:val="en-GB"/>
        </w:rPr>
        <w:t xml:space="preserve">the deterioration and include physical protections (e.g. cathodic, lining, cladding), </w:t>
      </w:r>
      <w:r w:rsidR="007021EC" w:rsidRPr="008B3D34">
        <w:rPr>
          <w:rStyle w:val="CETBodytextCarattere"/>
          <w:rFonts w:eastAsiaTheme="minorHAnsi"/>
          <w:lang w:val="en-GB"/>
        </w:rPr>
        <w:t>audits, integrity management system</w:t>
      </w:r>
      <w:r w:rsidR="001110CF" w:rsidRPr="008B3D34">
        <w:rPr>
          <w:rStyle w:val="CETBodytextCarattere"/>
          <w:rFonts w:eastAsiaTheme="minorHAnsi"/>
          <w:lang w:val="en-GB"/>
        </w:rPr>
        <w:t xml:space="preserve"> (policy and maintenance)</w:t>
      </w:r>
      <w:r w:rsidR="007021EC" w:rsidRPr="008B3D34">
        <w:rPr>
          <w:rStyle w:val="CETBodytextCarattere"/>
          <w:rFonts w:eastAsiaTheme="minorHAnsi"/>
          <w:lang w:val="en-GB"/>
        </w:rPr>
        <w:t>, adequacy controls (techniques and competences of personnel), inspection results (results of integrity and function</w:t>
      </w:r>
      <w:r w:rsidR="00465E18" w:rsidRPr="008B3D34">
        <w:rPr>
          <w:rStyle w:val="CETBodytextCarattere"/>
          <w:rFonts w:eastAsiaTheme="minorHAnsi"/>
          <w:lang w:val="en-GB"/>
        </w:rPr>
        <w:t>ality</w:t>
      </w:r>
      <w:r w:rsidR="007021EC" w:rsidRPr="008B3D34">
        <w:rPr>
          <w:rStyle w:val="CETBodytextCarattere"/>
          <w:rFonts w:eastAsiaTheme="minorHAnsi"/>
          <w:lang w:val="en-GB"/>
        </w:rPr>
        <w:t xml:space="preserve"> verifications and inspection scheduling</w:t>
      </w:r>
      <w:r w:rsidR="001110CF" w:rsidRPr="008B3D34">
        <w:rPr>
          <w:rStyle w:val="CETBodytextCarattere"/>
          <w:rFonts w:eastAsiaTheme="minorHAnsi"/>
          <w:lang w:val="en-GB"/>
        </w:rPr>
        <w:t>)</w:t>
      </w:r>
      <w:r w:rsidR="007021EC" w:rsidRPr="008B3D34">
        <w:rPr>
          <w:rStyle w:val="CETBodytextCarattere"/>
          <w:rFonts w:eastAsiaTheme="minorHAnsi"/>
          <w:lang w:val="en-GB"/>
        </w:rPr>
        <w:t xml:space="preserve"> and the process control.</w:t>
      </w:r>
      <w:r w:rsidR="00A234FC">
        <w:rPr>
          <w:rStyle w:val="CETBodytextCarattere"/>
          <w:rFonts w:eastAsiaTheme="minorHAnsi"/>
          <w:lang w:val="en-GB"/>
        </w:rPr>
        <w:t xml:space="preserve"> </w:t>
      </w:r>
      <w:r w:rsidR="009D4CBD" w:rsidRPr="008B3D34">
        <w:rPr>
          <w:rStyle w:val="CETBodytextCarattere"/>
          <w:rFonts w:eastAsiaTheme="minorHAnsi"/>
          <w:lang w:val="en-GB"/>
        </w:rPr>
        <w:t xml:space="preserve">The method analyses </w:t>
      </w:r>
      <w:r w:rsidR="00AF5243" w:rsidRPr="008B3D34">
        <w:rPr>
          <w:rStyle w:val="CETBodytextCarattere"/>
          <w:rFonts w:eastAsiaTheme="minorHAnsi"/>
          <w:lang w:val="en-GB"/>
        </w:rPr>
        <w:t>each</w:t>
      </w:r>
      <w:r w:rsidR="009D4CBD" w:rsidRPr="008B3D34">
        <w:rPr>
          <w:rStyle w:val="CETBodytextCarattere"/>
          <w:rFonts w:eastAsiaTheme="minorHAnsi"/>
          <w:lang w:val="en-GB"/>
        </w:rPr>
        <w:t xml:space="preserve"> equipment ite</w:t>
      </w:r>
      <w:r w:rsidR="000571D4" w:rsidRPr="008B3D34">
        <w:rPr>
          <w:rStyle w:val="CETBodytextCarattere"/>
          <w:rFonts w:eastAsiaTheme="minorHAnsi"/>
          <w:lang w:val="en-GB"/>
        </w:rPr>
        <w:t>m</w:t>
      </w:r>
      <w:r w:rsidR="009D4CBD" w:rsidRPr="008B3D34">
        <w:rPr>
          <w:rStyle w:val="CETBodytextCarattere"/>
          <w:rFonts w:eastAsiaTheme="minorHAnsi"/>
          <w:lang w:val="en-GB"/>
        </w:rPr>
        <w:t xml:space="preserve">, classified as “critical” </w:t>
      </w:r>
      <w:r w:rsidR="00C558DC" w:rsidRPr="008B3D34">
        <w:rPr>
          <w:rStyle w:val="CETBodytextCarattere"/>
          <w:rFonts w:eastAsiaTheme="minorHAnsi"/>
          <w:lang w:val="en-GB"/>
        </w:rPr>
        <w:t xml:space="preserve">in </w:t>
      </w:r>
      <w:r w:rsidR="00C55EC1" w:rsidRPr="008B3D34">
        <w:rPr>
          <w:rStyle w:val="CETBodytextCarattere"/>
          <w:rFonts w:eastAsiaTheme="minorHAnsi"/>
          <w:lang w:val="en-GB"/>
        </w:rPr>
        <w:t xml:space="preserve">the </w:t>
      </w:r>
      <w:r w:rsidR="00C558DC" w:rsidRPr="008B3D34">
        <w:rPr>
          <w:rStyle w:val="CETBodytextCarattere"/>
          <w:rFonts w:eastAsiaTheme="minorHAnsi"/>
          <w:lang w:val="en-GB"/>
        </w:rPr>
        <w:t>risk assessment</w:t>
      </w:r>
      <w:r w:rsidR="00555A8F" w:rsidRPr="008B3D34">
        <w:rPr>
          <w:rStyle w:val="CETBodytextCarattere"/>
          <w:rFonts w:eastAsiaTheme="minorHAnsi"/>
          <w:lang w:val="en-GB"/>
        </w:rPr>
        <w:t>,</w:t>
      </w:r>
      <w:r w:rsidR="00C558DC" w:rsidRPr="008B3D34">
        <w:rPr>
          <w:rStyle w:val="CETBodytextCarattere"/>
          <w:rFonts w:eastAsiaTheme="minorHAnsi"/>
          <w:lang w:val="en-GB"/>
        </w:rPr>
        <w:t xml:space="preserve"> </w:t>
      </w:r>
      <w:r w:rsidR="006A583A" w:rsidRPr="008B3D34">
        <w:rPr>
          <w:rStyle w:val="CETBodytextCarattere"/>
          <w:rFonts w:eastAsiaTheme="minorHAnsi"/>
          <w:lang w:val="en-GB"/>
        </w:rPr>
        <w:t>based on the</w:t>
      </w:r>
      <w:r w:rsidR="00C558DC" w:rsidRPr="008B3D34">
        <w:rPr>
          <w:rStyle w:val="CETBodytextCarattere"/>
          <w:rFonts w:eastAsiaTheme="minorHAnsi"/>
          <w:lang w:val="en-GB"/>
        </w:rPr>
        <w:t xml:space="preserve"> occurrence of</w:t>
      </w:r>
      <w:r w:rsidR="006A583A" w:rsidRPr="008B3D34">
        <w:rPr>
          <w:rStyle w:val="CETBodytextCarattere"/>
          <w:rFonts w:eastAsiaTheme="minorHAnsi"/>
          <w:lang w:val="en-GB"/>
        </w:rPr>
        <w:t xml:space="preserve"> </w:t>
      </w:r>
      <w:r w:rsidR="009D4CBD" w:rsidRPr="008B3D34">
        <w:rPr>
          <w:rStyle w:val="CETBodytextCarattere"/>
          <w:rFonts w:eastAsiaTheme="minorHAnsi"/>
          <w:lang w:val="en-GB"/>
        </w:rPr>
        <w:t>top</w:t>
      </w:r>
      <w:r w:rsidR="00465E18" w:rsidRPr="008B3D34">
        <w:rPr>
          <w:rStyle w:val="CETBodytextCarattere"/>
          <w:rFonts w:eastAsiaTheme="minorHAnsi"/>
          <w:lang w:val="en-GB"/>
        </w:rPr>
        <w:t>-</w:t>
      </w:r>
      <w:r w:rsidR="009D4CBD" w:rsidRPr="008B3D34">
        <w:rPr>
          <w:rStyle w:val="CETBodytextCarattere"/>
          <w:rFonts w:eastAsiaTheme="minorHAnsi"/>
          <w:lang w:val="en-GB"/>
        </w:rPr>
        <w:t xml:space="preserve">events. Then, </w:t>
      </w:r>
      <w:r w:rsidR="00AE6169" w:rsidRPr="008B3D34">
        <w:rPr>
          <w:rStyle w:val="CETBodytextCarattere"/>
          <w:rFonts w:eastAsiaTheme="minorHAnsi"/>
          <w:lang w:val="en-GB"/>
        </w:rPr>
        <w:t>a</w:t>
      </w:r>
      <w:r w:rsidR="009D4CBD" w:rsidRPr="008B3D34">
        <w:rPr>
          <w:rStyle w:val="CETBodytextCarattere"/>
          <w:rFonts w:eastAsiaTheme="minorHAnsi"/>
          <w:lang w:val="en-GB"/>
        </w:rPr>
        <w:t xml:space="preserve"> score</w:t>
      </w:r>
      <w:r w:rsidR="00AF5243" w:rsidRPr="008B3D34">
        <w:rPr>
          <w:rStyle w:val="CETBodytextCarattere"/>
          <w:rFonts w:eastAsiaTheme="minorHAnsi"/>
          <w:lang w:val="en-GB"/>
        </w:rPr>
        <w:t xml:space="preserve"> is assigned </w:t>
      </w:r>
      <w:r w:rsidR="00AE6169" w:rsidRPr="008B3D34">
        <w:rPr>
          <w:rStyle w:val="CETBodytextCarattere"/>
          <w:rFonts w:eastAsiaTheme="minorHAnsi"/>
          <w:lang w:val="en-GB"/>
        </w:rPr>
        <w:t>to</w:t>
      </w:r>
      <w:r w:rsidR="00AF5243" w:rsidRPr="008B3D34">
        <w:rPr>
          <w:rStyle w:val="CETBodytextCarattere"/>
          <w:rFonts w:eastAsiaTheme="minorHAnsi"/>
          <w:lang w:val="en-GB"/>
        </w:rPr>
        <w:t xml:space="preserve"> each factor</w:t>
      </w:r>
      <w:r w:rsidR="00AE6169" w:rsidRPr="008B3D34">
        <w:rPr>
          <w:rStyle w:val="CETBodytextCarattere"/>
          <w:rFonts w:eastAsiaTheme="minorHAnsi"/>
          <w:lang w:val="en-GB"/>
        </w:rPr>
        <w:t xml:space="preserve">, some are </w:t>
      </w:r>
      <w:r w:rsidR="00C558DC" w:rsidRPr="008B3D34">
        <w:rPr>
          <w:rStyle w:val="CETBodytextCarattere"/>
          <w:rFonts w:eastAsiaTheme="minorHAnsi"/>
          <w:lang w:val="en-GB"/>
        </w:rPr>
        <w:t>assigned at</w:t>
      </w:r>
      <w:r w:rsidR="00AE6169" w:rsidRPr="008B3D34">
        <w:rPr>
          <w:rStyle w:val="CETBodytextCarattere"/>
          <w:rFonts w:eastAsiaTheme="minorHAnsi"/>
          <w:lang w:val="en-GB"/>
        </w:rPr>
        <w:t xml:space="preserve"> the establishment</w:t>
      </w:r>
      <w:r w:rsidR="00C558DC" w:rsidRPr="008B3D34">
        <w:rPr>
          <w:rStyle w:val="CETBodytextCarattere"/>
          <w:rFonts w:eastAsiaTheme="minorHAnsi"/>
          <w:lang w:val="en-GB"/>
        </w:rPr>
        <w:t xml:space="preserve"> level</w:t>
      </w:r>
      <w:r w:rsidR="00AE6169" w:rsidRPr="008B3D34">
        <w:rPr>
          <w:rStyle w:val="CETBodytextCarattere"/>
          <w:rFonts w:eastAsiaTheme="minorHAnsi"/>
          <w:lang w:val="en-GB"/>
        </w:rPr>
        <w:t xml:space="preserve"> (</w:t>
      </w:r>
      <w:r w:rsidR="00C91393" w:rsidRPr="008B3D34">
        <w:rPr>
          <w:rStyle w:val="CETBodytextCarattere"/>
          <w:rFonts w:eastAsiaTheme="minorHAnsi"/>
          <w:lang w:val="en-GB"/>
        </w:rPr>
        <w:t xml:space="preserve">i.e. </w:t>
      </w:r>
      <w:r w:rsidR="00AE6169" w:rsidRPr="008B3D34">
        <w:rPr>
          <w:rStyle w:val="CETBodytextCarattere"/>
          <w:rFonts w:eastAsiaTheme="minorHAnsi"/>
          <w:lang w:val="en-GB"/>
        </w:rPr>
        <w:t>integrity management system and audits),</w:t>
      </w:r>
      <w:r w:rsidR="00AF5243" w:rsidRPr="008B3D34">
        <w:rPr>
          <w:rStyle w:val="CETBodytextCarattere"/>
          <w:rFonts w:eastAsiaTheme="minorHAnsi"/>
          <w:lang w:val="en-GB"/>
        </w:rPr>
        <w:t xml:space="preserve"> and the</w:t>
      </w:r>
      <w:r w:rsidR="00D45718" w:rsidRPr="008B3D34">
        <w:rPr>
          <w:rStyle w:val="CETBodytextCarattere"/>
          <w:rFonts w:eastAsiaTheme="minorHAnsi"/>
          <w:lang w:val="en-GB"/>
        </w:rPr>
        <w:t>n the</w:t>
      </w:r>
      <w:r w:rsidR="00AF5243" w:rsidRPr="008B3D34">
        <w:rPr>
          <w:rStyle w:val="CETBodytextCarattere"/>
          <w:rFonts w:eastAsiaTheme="minorHAnsi"/>
          <w:lang w:val="en-GB"/>
        </w:rPr>
        <w:t xml:space="preserve"> </w:t>
      </w:r>
      <w:r w:rsidR="00AF5243" w:rsidRPr="008B3D34">
        <w:rPr>
          <w:rStyle w:val="CETBodytextCarattere"/>
          <w:rFonts w:eastAsiaTheme="minorHAnsi"/>
          <w:i/>
          <w:iCs/>
          <w:lang w:val="en-GB"/>
        </w:rPr>
        <w:t>overall</w:t>
      </w:r>
      <w:r w:rsidR="007A1500" w:rsidRPr="008B3D34">
        <w:rPr>
          <w:rStyle w:val="CETBodytextCarattere"/>
          <w:rFonts w:eastAsiaTheme="minorHAnsi"/>
          <w:i/>
          <w:iCs/>
          <w:lang w:val="en-GB"/>
        </w:rPr>
        <w:t xml:space="preserve"> adequacy</w:t>
      </w:r>
      <w:r w:rsidR="00AF5243" w:rsidRPr="008B3D34">
        <w:rPr>
          <w:rStyle w:val="CETBodytextCarattere"/>
          <w:rFonts w:eastAsiaTheme="minorHAnsi"/>
          <w:i/>
          <w:iCs/>
          <w:lang w:val="en-GB"/>
        </w:rPr>
        <w:t xml:space="preserve"> index</w:t>
      </w:r>
      <w:r w:rsidR="00AF5243" w:rsidRPr="008B3D34">
        <w:rPr>
          <w:rStyle w:val="CETBodytextCarattere"/>
          <w:rFonts w:eastAsiaTheme="minorHAnsi"/>
          <w:lang w:val="en-GB"/>
        </w:rPr>
        <w:t xml:space="preserve"> is calculated by summing the average score </w:t>
      </w:r>
      <w:r w:rsidR="00D45718" w:rsidRPr="008B3D34">
        <w:rPr>
          <w:rStyle w:val="CETBodytextCarattere"/>
          <w:rFonts w:eastAsiaTheme="minorHAnsi"/>
          <w:lang w:val="en-GB"/>
        </w:rPr>
        <w:t>of</w:t>
      </w:r>
      <w:r w:rsidR="00AF5243" w:rsidRPr="008B3D34">
        <w:rPr>
          <w:rStyle w:val="CETBodytextCarattere"/>
          <w:rFonts w:eastAsiaTheme="minorHAnsi"/>
          <w:lang w:val="en-GB"/>
        </w:rPr>
        <w:t xml:space="preserve"> accelerating factors</w:t>
      </w:r>
      <w:r w:rsidR="006A583A" w:rsidRPr="008B3D34">
        <w:rPr>
          <w:rStyle w:val="CETBodytextCarattere"/>
          <w:rFonts w:eastAsiaTheme="minorHAnsi"/>
          <w:lang w:val="en-GB"/>
        </w:rPr>
        <w:t xml:space="preserve"> </w:t>
      </w:r>
      <w:r w:rsidR="00800D53" w:rsidRPr="008B3D34">
        <w:rPr>
          <w:rStyle w:val="CETBodytextCarattere"/>
          <w:rFonts w:eastAsiaTheme="minorHAnsi"/>
          <w:lang w:val="en-GB"/>
        </w:rPr>
        <w:t>(</w:t>
      </w:r>
      <w:r w:rsidR="006A583A" w:rsidRPr="008B3D34">
        <w:rPr>
          <w:rStyle w:val="CETBodytextCarattere"/>
          <w:rFonts w:eastAsiaTheme="minorHAnsi"/>
          <w:i/>
          <w:iCs/>
          <w:lang w:val="en-GB"/>
        </w:rPr>
        <w:t>ageing index</w:t>
      </w:r>
      <w:r w:rsidR="00800D53" w:rsidRPr="008B3D34">
        <w:rPr>
          <w:rStyle w:val="CETBodytextCarattere"/>
          <w:rFonts w:eastAsiaTheme="minorHAnsi"/>
          <w:iCs/>
          <w:lang w:val="en-GB"/>
        </w:rPr>
        <w:t>)</w:t>
      </w:r>
      <w:r w:rsidR="00AF5243" w:rsidRPr="008B3D34">
        <w:rPr>
          <w:rStyle w:val="CETBodytextCarattere"/>
          <w:rFonts w:eastAsiaTheme="minorHAnsi"/>
          <w:lang w:val="en-GB"/>
        </w:rPr>
        <w:t xml:space="preserve"> and the average score </w:t>
      </w:r>
      <w:r w:rsidR="00D45718" w:rsidRPr="008B3D34">
        <w:rPr>
          <w:rStyle w:val="CETBodytextCarattere"/>
          <w:rFonts w:eastAsiaTheme="minorHAnsi"/>
          <w:lang w:val="en-GB"/>
        </w:rPr>
        <w:t>of</w:t>
      </w:r>
      <w:r w:rsidR="00AF5243" w:rsidRPr="008B3D34">
        <w:rPr>
          <w:rStyle w:val="CETBodytextCarattere"/>
          <w:rFonts w:eastAsiaTheme="minorHAnsi"/>
          <w:lang w:val="en-GB"/>
        </w:rPr>
        <w:t xml:space="preserve"> decelerating factors </w:t>
      </w:r>
      <w:r w:rsidR="00800D53" w:rsidRPr="008B3D34">
        <w:rPr>
          <w:rStyle w:val="CETBodytextCarattere"/>
          <w:rFonts w:eastAsiaTheme="minorHAnsi"/>
          <w:lang w:val="en-GB"/>
        </w:rPr>
        <w:t>(</w:t>
      </w:r>
      <w:r w:rsidR="006A583A" w:rsidRPr="008B3D34">
        <w:rPr>
          <w:rStyle w:val="CETBodytextCarattere"/>
          <w:rFonts w:eastAsiaTheme="minorHAnsi"/>
          <w:i/>
          <w:iCs/>
          <w:lang w:val="en-GB"/>
        </w:rPr>
        <w:t>longevity index</w:t>
      </w:r>
      <w:r w:rsidR="00800D53" w:rsidRPr="008B3D34">
        <w:rPr>
          <w:rStyle w:val="CETBodytextCarattere"/>
          <w:rFonts w:eastAsiaTheme="minorHAnsi"/>
          <w:iCs/>
          <w:lang w:val="en-GB"/>
        </w:rPr>
        <w:t>)</w:t>
      </w:r>
      <w:r w:rsidR="00555A8F" w:rsidRPr="008B3D34">
        <w:rPr>
          <w:rStyle w:val="CETBodytextCarattere"/>
          <w:rFonts w:eastAsiaTheme="minorHAnsi"/>
          <w:lang w:val="en-GB"/>
        </w:rPr>
        <w:t xml:space="preserve">. </w:t>
      </w:r>
      <w:r w:rsidR="00AF5243" w:rsidRPr="008B3D34">
        <w:rPr>
          <w:rStyle w:val="CETBodytextCarattere"/>
          <w:rFonts w:eastAsiaTheme="minorHAnsi"/>
          <w:lang w:val="en-GB"/>
        </w:rPr>
        <w:t>Usually the</w:t>
      </w:r>
      <w:r w:rsidR="00AE6169" w:rsidRPr="008B3D34">
        <w:rPr>
          <w:rStyle w:val="CETBodytextCarattere"/>
          <w:rFonts w:eastAsiaTheme="minorHAnsi"/>
          <w:lang w:val="en-GB"/>
        </w:rPr>
        <w:t xml:space="preserve"> result is given at the establishment level as a cumulative index by summing the </w:t>
      </w:r>
      <w:r w:rsidR="00C558DC" w:rsidRPr="008B3D34">
        <w:rPr>
          <w:rStyle w:val="CETBodytextCarattere"/>
          <w:rFonts w:eastAsiaTheme="minorHAnsi"/>
          <w:lang w:val="en-GB"/>
        </w:rPr>
        <w:t xml:space="preserve">overall </w:t>
      </w:r>
      <w:r w:rsidR="00AE6169" w:rsidRPr="008B3D34">
        <w:rPr>
          <w:rStyle w:val="CETBodytextCarattere"/>
          <w:rFonts w:eastAsiaTheme="minorHAnsi"/>
          <w:lang w:val="en-GB"/>
        </w:rPr>
        <w:t>index of all equipment.</w:t>
      </w:r>
      <w:r w:rsidR="00DD4FFE" w:rsidRPr="008B3D34">
        <w:rPr>
          <w:rStyle w:val="CETBodytextCarattere"/>
          <w:rFonts w:eastAsiaTheme="minorHAnsi"/>
          <w:lang w:val="en-GB"/>
        </w:rPr>
        <w:t xml:space="preserve"> Seveso inspector</w:t>
      </w:r>
      <w:r w:rsidR="006A583A" w:rsidRPr="008B3D34">
        <w:rPr>
          <w:rStyle w:val="CETBodytextCarattere"/>
          <w:rFonts w:eastAsiaTheme="minorHAnsi"/>
          <w:lang w:val="en-GB"/>
        </w:rPr>
        <w:t>s</w:t>
      </w:r>
      <w:r w:rsidR="00DD4FFE" w:rsidRPr="008B3D34">
        <w:rPr>
          <w:rStyle w:val="CETBodytextCarattere"/>
          <w:rFonts w:eastAsiaTheme="minorHAnsi"/>
          <w:lang w:val="en-GB"/>
        </w:rPr>
        <w:t xml:space="preserve"> use</w:t>
      </w:r>
      <w:r w:rsidR="007B316B" w:rsidRPr="008B3D34">
        <w:rPr>
          <w:rStyle w:val="CETBodytextCarattere"/>
          <w:rFonts w:eastAsiaTheme="minorHAnsi"/>
          <w:lang w:val="en-GB"/>
        </w:rPr>
        <w:t xml:space="preserve"> </w:t>
      </w:r>
      <w:r w:rsidR="00C558DC" w:rsidRPr="008B3D34">
        <w:rPr>
          <w:rStyle w:val="CETBodytextCarattere"/>
          <w:rFonts w:eastAsiaTheme="minorHAnsi"/>
          <w:lang w:val="en-GB"/>
        </w:rPr>
        <w:t xml:space="preserve">this index </w:t>
      </w:r>
      <w:r w:rsidR="007B316B" w:rsidRPr="008B3D34">
        <w:rPr>
          <w:rStyle w:val="CETBodytextCarattere"/>
          <w:rFonts w:eastAsiaTheme="minorHAnsi"/>
          <w:lang w:val="en-GB"/>
        </w:rPr>
        <w:t xml:space="preserve">to approve ageing </w:t>
      </w:r>
      <w:r w:rsidR="00C558DC" w:rsidRPr="008B3D34">
        <w:rPr>
          <w:rStyle w:val="CETBodytextCarattere"/>
          <w:rFonts w:eastAsiaTheme="minorHAnsi"/>
          <w:lang w:val="en-GB"/>
        </w:rPr>
        <w:t xml:space="preserve">management </w:t>
      </w:r>
      <w:r w:rsidR="00D2421D" w:rsidRPr="008B3D34">
        <w:rPr>
          <w:rStyle w:val="CETBodytextCarattere"/>
          <w:rFonts w:eastAsiaTheme="minorHAnsi"/>
          <w:lang w:val="en-GB"/>
        </w:rPr>
        <w:t>plan</w:t>
      </w:r>
      <w:r w:rsidR="007A1500" w:rsidRPr="008B3D34">
        <w:rPr>
          <w:rStyle w:val="CETBodytextCarattere"/>
          <w:rFonts w:eastAsiaTheme="minorHAnsi"/>
          <w:lang w:val="en-GB"/>
        </w:rPr>
        <w:t>s</w:t>
      </w:r>
      <w:r w:rsidR="007B316B" w:rsidRPr="008B3D34">
        <w:rPr>
          <w:rStyle w:val="CETBodytextCarattere"/>
          <w:rFonts w:eastAsiaTheme="minorHAnsi"/>
          <w:lang w:val="en-GB"/>
        </w:rPr>
        <w:t xml:space="preserve"> </w:t>
      </w:r>
      <w:r w:rsidR="00DD4FFE" w:rsidRPr="008B3D34">
        <w:rPr>
          <w:rStyle w:val="CETBodytextCarattere"/>
          <w:rFonts w:eastAsiaTheme="minorHAnsi"/>
          <w:lang w:val="en-GB"/>
        </w:rPr>
        <w:t xml:space="preserve">and </w:t>
      </w:r>
      <w:r w:rsidR="007B316B" w:rsidRPr="008B3D34">
        <w:rPr>
          <w:rStyle w:val="CETBodytextCarattere"/>
          <w:rFonts w:eastAsiaTheme="minorHAnsi"/>
          <w:lang w:val="en-GB"/>
        </w:rPr>
        <w:t>eventually</w:t>
      </w:r>
      <w:r w:rsidR="00DD4FFE" w:rsidRPr="008B3D34">
        <w:rPr>
          <w:rStyle w:val="CETBodytextCarattere"/>
          <w:rFonts w:eastAsiaTheme="minorHAnsi"/>
          <w:lang w:val="en-GB"/>
        </w:rPr>
        <w:t xml:space="preserve"> </w:t>
      </w:r>
      <w:r w:rsidR="007B316B" w:rsidRPr="008B3D34">
        <w:rPr>
          <w:rStyle w:val="CETBodytextCarattere"/>
          <w:rFonts w:eastAsiaTheme="minorHAnsi"/>
          <w:lang w:val="en-GB"/>
        </w:rPr>
        <w:t xml:space="preserve">recommend </w:t>
      </w:r>
      <w:r w:rsidR="00DD4FFE" w:rsidRPr="008B3D34">
        <w:rPr>
          <w:rStyle w:val="CETBodytextCarattere"/>
          <w:rFonts w:eastAsiaTheme="minorHAnsi"/>
          <w:lang w:val="en-GB"/>
        </w:rPr>
        <w:t xml:space="preserve">or prescribe </w:t>
      </w:r>
      <w:r w:rsidR="007B316B" w:rsidRPr="008B3D34">
        <w:rPr>
          <w:rStyle w:val="CETBodytextCarattere"/>
          <w:rFonts w:eastAsiaTheme="minorHAnsi"/>
          <w:lang w:val="en-GB"/>
        </w:rPr>
        <w:t xml:space="preserve">further </w:t>
      </w:r>
      <w:r w:rsidR="00DD4FFE" w:rsidRPr="008B3D34">
        <w:rPr>
          <w:rStyle w:val="CETBodytextCarattere"/>
          <w:rFonts w:eastAsiaTheme="minorHAnsi"/>
          <w:lang w:val="en-GB"/>
        </w:rPr>
        <w:t>technical or organi</w:t>
      </w:r>
      <w:r w:rsidR="00C55EC1" w:rsidRPr="008B3D34">
        <w:rPr>
          <w:rStyle w:val="CETBodytextCarattere"/>
          <w:rFonts w:eastAsiaTheme="minorHAnsi"/>
          <w:lang w:val="en-GB"/>
        </w:rPr>
        <w:t>s</w:t>
      </w:r>
      <w:r w:rsidR="00DD4FFE" w:rsidRPr="008B3D34">
        <w:rPr>
          <w:rStyle w:val="CETBodytextCarattere"/>
          <w:rFonts w:eastAsiaTheme="minorHAnsi"/>
          <w:lang w:val="en-GB"/>
        </w:rPr>
        <w:t xml:space="preserve">ational </w:t>
      </w:r>
      <w:r w:rsidR="007B316B" w:rsidRPr="008B3D34">
        <w:rPr>
          <w:rStyle w:val="CETBodytextCarattere"/>
          <w:rFonts w:eastAsiaTheme="minorHAnsi"/>
          <w:lang w:val="en-GB"/>
        </w:rPr>
        <w:t>measures</w:t>
      </w:r>
      <w:r w:rsidR="00DD4FFE" w:rsidRPr="008B3D34">
        <w:rPr>
          <w:rStyle w:val="CETBodytextCarattere"/>
          <w:rFonts w:eastAsiaTheme="minorHAnsi"/>
          <w:lang w:val="en-GB"/>
        </w:rPr>
        <w:t>, includ</w:t>
      </w:r>
      <w:r w:rsidR="00DA5D29" w:rsidRPr="008B3D34">
        <w:rPr>
          <w:rStyle w:val="CETBodytextCarattere"/>
          <w:rFonts w:eastAsiaTheme="minorHAnsi"/>
          <w:lang w:val="en-GB"/>
        </w:rPr>
        <w:t>ing the adoption of best available monitoring techniques.</w:t>
      </w:r>
    </w:p>
    <w:p w14:paraId="66CA74DC" w14:textId="602318F6" w:rsidR="0040387F" w:rsidRPr="008B3D34" w:rsidRDefault="002E1316" w:rsidP="004B4A90">
      <w:pPr>
        <w:pStyle w:val="CETBodytext"/>
        <w:rPr>
          <w:rStyle w:val="CETBodytextCarattere"/>
          <w:rFonts w:eastAsiaTheme="minorHAnsi"/>
          <w:lang w:val="en-GB"/>
        </w:rPr>
      </w:pPr>
      <w:r w:rsidRPr="008B3D34">
        <w:rPr>
          <w:rStyle w:val="CETBodytextCarattere"/>
          <w:rFonts w:eastAsiaTheme="minorHAnsi"/>
          <w:lang w:val="en-GB"/>
        </w:rPr>
        <w:t>Eq.(1)</w:t>
      </w:r>
      <w:r w:rsidR="00D07FB4" w:rsidRPr="008B3D34">
        <w:rPr>
          <w:rStyle w:val="CETBodytextCarattere"/>
          <w:rFonts w:eastAsiaTheme="minorHAnsi"/>
          <w:lang w:val="en-GB"/>
        </w:rPr>
        <w:t xml:space="preserve"> </w:t>
      </w:r>
      <w:r w:rsidR="006A583A" w:rsidRPr="008B3D34">
        <w:rPr>
          <w:rStyle w:val="CETBodytextCarattere"/>
          <w:rFonts w:eastAsiaTheme="minorHAnsi"/>
          <w:lang w:val="en-GB"/>
        </w:rPr>
        <w:t>gives</w:t>
      </w:r>
      <w:r w:rsidR="00D07FB4" w:rsidRPr="008B3D34">
        <w:rPr>
          <w:rStyle w:val="CETBodytextCarattere"/>
          <w:rFonts w:eastAsiaTheme="minorHAnsi"/>
          <w:lang w:val="en-GB"/>
        </w:rPr>
        <w:t xml:space="preserve"> the </w:t>
      </w:r>
      <w:r w:rsidR="00C558DC" w:rsidRPr="008B3D34">
        <w:rPr>
          <w:rStyle w:val="CETBodytextCarattere"/>
          <w:rFonts w:eastAsiaTheme="minorHAnsi"/>
          <w:i/>
          <w:iCs/>
          <w:lang w:val="en-GB"/>
        </w:rPr>
        <w:t>overall</w:t>
      </w:r>
      <w:r w:rsidR="0040387F" w:rsidRPr="008B3D34">
        <w:rPr>
          <w:rStyle w:val="CETBodytextCarattere"/>
          <w:rFonts w:eastAsiaTheme="minorHAnsi"/>
          <w:i/>
          <w:iCs/>
          <w:lang w:val="en-GB"/>
        </w:rPr>
        <w:t xml:space="preserve"> index</w:t>
      </w:r>
      <w:r w:rsidR="000C7FD9" w:rsidRPr="008B3D34">
        <w:rPr>
          <w:rStyle w:val="CETBodytextCarattere"/>
          <w:rFonts w:eastAsiaTheme="minorHAnsi"/>
          <w:lang w:val="en-GB"/>
        </w:rPr>
        <w:t xml:space="preserve"> for the establishment</w:t>
      </w:r>
      <w:r w:rsidR="0040387F" w:rsidRPr="008B3D34">
        <w:rPr>
          <w:rStyle w:val="CETBodytextCarattere"/>
          <w:rFonts w:eastAsiaTheme="minorHAnsi"/>
          <w:lang w:val="en-GB"/>
        </w:rPr>
        <w:t xml:space="preserve"> </w:t>
      </w:r>
      <w:r w:rsidR="00C558DC" w:rsidRPr="008B3D34">
        <w:rPr>
          <w:rStyle w:val="CETBodytextCarattere"/>
          <w:rFonts w:eastAsiaTheme="minorHAnsi"/>
          <w:lang w:val="en-GB"/>
        </w:rPr>
        <w:t>(</w:t>
      </w:r>
      <w:proofErr w:type="spellStart"/>
      <w:r w:rsidR="00C558DC" w:rsidRPr="008B3D34">
        <w:rPr>
          <w:rStyle w:val="CETBodytextCarattere"/>
          <w:rFonts w:ascii="Times New Roman" w:eastAsiaTheme="minorHAnsi" w:hAnsi="Times New Roman"/>
          <w:i/>
          <w:iCs/>
          <w:lang w:val="en-GB"/>
        </w:rPr>
        <w:t>I</w:t>
      </w:r>
      <w:r w:rsidR="00C558DC" w:rsidRPr="008B3D34">
        <w:rPr>
          <w:rStyle w:val="CETBodytextCarattere"/>
          <w:rFonts w:ascii="Times New Roman" w:eastAsiaTheme="minorHAnsi" w:hAnsi="Times New Roman"/>
          <w:i/>
          <w:iCs/>
          <w:vertAlign w:val="subscript"/>
          <w:lang w:val="en-GB"/>
        </w:rPr>
        <w:t>overall</w:t>
      </w:r>
      <w:proofErr w:type="spellEnd"/>
      <w:r w:rsidR="00C558DC" w:rsidRPr="008B3D34">
        <w:rPr>
          <w:rStyle w:val="CETBodytextCarattere"/>
          <w:rFonts w:eastAsiaTheme="minorHAnsi"/>
          <w:lang w:val="en-GB"/>
        </w:rPr>
        <w:t>)</w:t>
      </w:r>
      <w:r w:rsidR="00D07FB4" w:rsidRPr="008B3D34">
        <w:rPr>
          <w:rStyle w:val="CETBodytextCarattere"/>
          <w:rFonts w:eastAsiaTheme="minorHAnsi"/>
          <w:lang w:val="en-GB"/>
        </w:rPr>
        <w:t>:</w:t>
      </w:r>
    </w:p>
    <w:tbl>
      <w:tblPr>
        <w:tblW w:w="5000" w:type="pct"/>
        <w:tblLook w:val="04A0" w:firstRow="1" w:lastRow="0" w:firstColumn="1" w:lastColumn="0" w:noHBand="0" w:noVBand="1"/>
      </w:tblPr>
      <w:tblGrid>
        <w:gridCol w:w="8188"/>
        <w:gridCol w:w="815"/>
      </w:tblGrid>
      <w:tr w:rsidR="001679C2" w:rsidRPr="008B3D34" w14:paraId="2A27C142" w14:textId="77777777" w:rsidTr="00895D1B">
        <w:tc>
          <w:tcPr>
            <w:tcW w:w="8188" w:type="dxa"/>
            <w:shd w:val="clear" w:color="auto" w:fill="auto"/>
            <w:vAlign w:val="center"/>
          </w:tcPr>
          <w:p w14:paraId="3DDA24C2" w14:textId="31A44275" w:rsidR="001679C2" w:rsidRPr="008B3D34" w:rsidRDefault="006A583A" w:rsidP="00A234FC">
            <w:pPr>
              <w:pStyle w:val="CETEquation"/>
              <w:spacing w:before="60" w:after="60"/>
            </w:pPr>
            <w:r w:rsidRPr="008B3D34">
              <w:rPr>
                <w:rStyle w:val="CETBodytextCarattere"/>
                <w:rFonts w:eastAsiaTheme="minorHAnsi"/>
                <w:lang w:val="en-GB"/>
              </w:rPr>
              <w:object w:dxaOrig="1600" w:dyaOrig="680" w14:anchorId="51FDC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36pt" o:ole="">
                  <v:imagedata r:id="rId14" o:title=""/>
                </v:shape>
                <o:OLEObject Type="Embed" ProgID="Equation.DSMT4" ShapeID="_x0000_i1025" DrawAspect="Content" ObjectID="_1660382622" r:id="rId15"/>
              </w:object>
            </w:r>
          </w:p>
        </w:tc>
        <w:tc>
          <w:tcPr>
            <w:tcW w:w="815" w:type="dxa"/>
            <w:shd w:val="clear" w:color="auto" w:fill="auto"/>
            <w:vAlign w:val="center"/>
          </w:tcPr>
          <w:p w14:paraId="74C0F945" w14:textId="77777777" w:rsidR="001679C2" w:rsidRPr="008B3D34" w:rsidRDefault="001679C2" w:rsidP="00A234FC">
            <w:pPr>
              <w:pStyle w:val="CETEquation"/>
              <w:spacing w:before="60" w:after="60"/>
              <w:jc w:val="right"/>
            </w:pPr>
            <w:r w:rsidRPr="008B3D34">
              <w:t>(1)</w:t>
            </w:r>
          </w:p>
        </w:tc>
      </w:tr>
    </w:tbl>
    <w:p w14:paraId="5D533C48" w14:textId="35207337" w:rsidR="00A06476" w:rsidRPr="008B3D34" w:rsidRDefault="00B91E08" w:rsidP="00BF7D03">
      <w:pPr>
        <w:pStyle w:val="CETBodytext"/>
        <w:tabs>
          <w:tab w:val="left" w:pos="1134"/>
          <w:tab w:val="left" w:pos="1701"/>
          <w:tab w:val="left" w:pos="2410"/>
        </w:tabs>
        <w:rPr>
          <w:rStyle w:val="CETBodytextCarattere"/>
          <w:rFonts w:eastAsiaTheme="minorHAnsi"/>
          <w:iCs/>
          <w:lang w:val="en-GB"/>
        </w:rPr>
      </w:pPr>
      <w:r w:rsidRPr="008B3D34">
        <w:rPr>
          <w:rStyle w:val="CETBodytextCarattere"/>
          <w:rFonts w:eastAsiaTheme="minorHAnsi"/>
          <w:iCs/>
          <w:lang w:val="en-GB"/>
        </w:rPr>
        <w:t>w</w:t>
      </w:r>
      <w:r w:rsidR="008163B4" w:rsidRPr="008B3D34">
        <w:rPr>
          <w:rStyle w:val="CETBodytextCarattere"/>
          <w:rFonts w:eastAsiaTheme="minorHAnsi"/>
          <w:iCs/>
          <w:lang w:val="en-GB"/>
        </w:rPr>
        <w:t xml:space="preserve">here </w:t>
      </w:r>
      <w:r w:rsidR="006A583A" w:rsidRPr="008B3D34">
        <w:rPr>
          <w:rStyle w:val="CETBodytextCarattere"/>
          <w:rFonts w:ascii="Times New Roman" w:eastAsiaTheme="minorHAnsi" w:hAnsi="Times New Roman"/>
          <w:i/>
          <w:lang w:val="en-GB"/>
        </w:rPr>
        <w:t>M</w:t>
      </w:r>
      <w:r w:rsidR="0040387F" w:rsidRPr="008B3D34">
        <w:rPr>
          <w:rStyle w:val="CETBodytextCarattere"/>
          <w:rFonts w:eastAsiaTheme="minorHAnsi"/>
          <w:iCs/>
          <w:lang w:val="en-GB"/>
        </w:rPr>
        <w:t xml:space="preserve"> is the number of factor</w:t>
      </w:r>
      <w:r w:rsidR="007A1500" w:rsidRPr="008B3D34">
        <w:rPr>
          <w:rStyle w:val="CETBodytextCarattere"/>
          <w:rFonts w:eastAsiaTheme="minorHAnsi"/>
          <w:iCs/>
          <w:lang w:val="en-GB"/>
        </w:rPr>
        <w:t>s</w:t>
      </w:r>
      <w:r w:rsidR="0040387F" w:rsidRPr="008B3D34">
        <w:rPr>
          <w:rStyle w:val="CETBodytextCarattere"/>
          <w:rFonts w:eastAsiaTheme="minorHAnsi"/>
          <w:iCs/>
          <w:lang w:val="en-GB"/>
        </w:rPr>
        <w:t xml:space="preserve"> (namely 12</w:t>
      </w:r>
      <w:r w:rsidR="008163B4" w:rsidRPr="008B3D34">
        <w:rPr>
          <w:rStyle w:val="CETBodytextCarattere"/>
          <w:rFonts w:eastAsiaTheme="minorHAnsi"/>
          <w:iCs/>
          <w:lang w:val="en-GB"/>
        </w:rPr>
        <w:t xml:space="preserve"> in the </w:t>
      </w:r>
      <w:r w:rsidR="00AA7F97" w:rsidRPr="008B3D34">
        <w:rPr>
          <w:rStyle w:val="CETBodytextCarattere"/>
          <w:rFonts w:eastAsiaTheme="minorHAnsi"/>
          <w:iCs/>
          <w:lang w:val="en-GB"/>
        </w:rPr>
        <w:t>present</w:t>
      </w:r>
      <w:r w:rsidR="008163B4" w:rsidRPr="008B3D34">
        <w:rPr>
          <w:rStyle w:val="CETBodytextCarattere"/>
          <w:rFonts w:eastAsiaTheme="minorHAnsi"/>
          <w:iCs/>
          <w:lang w:val="en-GB"/>
        </w:rPr>
        <w:t xml:space="preserve"> version</w:t>
      </w:r>
      <w:r w:rsidR="007A1500" w:rsidRPr="008B3D34">
        <w:rPr>
          <w:rStyle w:val="CETBodytextCarattere"/>
          <w:rFonts w:eastAsiaTheme="minorHAnsi"/>
          <w:iCs/>
          <w:lang w:val="en-GB"/>
        </w:rPr>
        <w:t xml:space="preserve"> of the guideline</w:t>
      </w:r>
      <w:r w:rsidR="0040387F" w:rsidRPr="008B3D34">
        <w:rPr>
          <w:rStyle w:val="CETBodytextCarattere"/>
          <w:rFonts w:eastAsiaTheme="minorHAnsi"/>
          <w:iCs/>
          <w:lang w:val="en-GB"/>
        </w:rPr>
        <w:t>)</w:t>
      </w:r>
      <w:r w:rsidR="00D61191" w:rsidRPr="008B3D34">
        <w:rPr>
          <w:rStyle w:val="CETBodytextCarattere"/>
          <w:rFonts w:eastAsiaTheme="minorHAnsi"/>
          <w:iCs/>
          <w:lang w:val="en-GB"/>
        </w:rPr>
        <w:t xml:space="preserve">; </w:t>
      </w:r>
      <w:proofErr w:type="spellStart"/>
      <w:r w:rsidR="00D61191" w:rsidRPr="008B3D34">
        <w:rPr>
          <w:rStyle w:val="CETBodytextCarattere"/>
          <w:rFonts w:ascii="Times New Roman" w:eastAsiaTheme="minorHAnsi" w:hAnsi="Times New Roman"/>
          <w:i/>
          <w:lang w:val="en-GB"/>
        </w:rPr>
        <w:t>S</w:t>
      </w:r>
      <w:r w:rsidR="00D61191" w:rsidRPr="008B3D34">
        <w:rPr>
          <w:rStyle w:val="CETBodytextCarattere"/>
          <w:rFonts w:ascii="Times New Roman" w:eastAsiaTheme="minorHAnsi" w:hAnsi="Times New Roman"/>
          <w:i/>
          <w:vertAlign w:val="subscript"/>
          <w:lang w:val="en-GB"/>
        </w:rPr>
        <w:t>k</w:t>
      </w:r>
      <w:proofErr w:type="spellEnd"/>
      <w:r w:rsidR="0040387F" w:rsidRPr="008B3D34">
        <w:rPr>
          <w:rStyle w:val="CETBodytextCarattere"/>
          <w:rFonts w:eastAsiaTheme="minorHAnsi"/>
          <w:iCs/>
          <w:lang w:val="en-GB"/>
        </w:rPr>
        <w:t xml:space="preserve"> </w:t>
      </w:r>
      <w:r w:rsidR="00D61191" w:rsidRPr="008B3D34">
        <w:rPr>
          <w:rStyle w:val="CETBodytextCarattere"/>
          <w:rFonts w:eastAsiaTheme="minorHAnsi"/>
          <w:iCs/>
          <w:lang w:val="en-GB"/>
        </w:rPr>
        <w:t xml:space="preserve">is the score for the </w:t>
      </w:r>
      <w:r w:rsidR="00D61191" w:rsidRPr="008B3D34">
        <w:rPr>
          <w:rStyle w:val="CETBodytextCarattere"/>
          <w:rFonts w:ascii="Times New Roman" w:eastAsiaTheme="minorHAnsi" w:hAnsi="Times New Roman"/>
          <w:i/>
          <w:lang w:val="en-GB"/>
        </w:rPr>
        <w:t>k</w:t>
      </w:r>
      <w:r w:rsidR="00D61191" w:rsidRPr="008B3D34">
        <w:rPr>
          <w:rStyle w:val="CETBodytextCarattere"/>
          <w:rFonts w:eastAsiaTheme="minorHAnsi"/>
          <w:iCs/>
          <w:vertAlign w:val="superscript"/>
          <w:lang w:val="en-GB"/>
        </w:rPr>
        <w:t>th</w:t>
      </w:r>
      <w:r w:rsidR="00D61191" w:rsidRPr="008B3D34">
        <w:rPr>
          <w:rStyle w:val="CETBodytextCarattere"/>
          <w:rFonts w:eastAsiaTheme="minorHAnsi"/>
          <w:iCs/>
          <w:lang w:val="en-GB"/>
        </w:rPr>
        <w:t xml:space="preserve"> factor</w:t>
      </w:r>
      <w:r w:rsidR="00721D2F" w:rsidRPr="008B3D34">
        <w:rPr>
          <w:rStyle w:val="CETBodytextCarattere"/>
          <w:rFonts w:eastAsiaTheme="minorHAnsi"/>
          <w:iCs/>
          <w:lang w:val="en-GB"/>
        </w:rPr>
        <w:t xml:space="preserve"> </w:t>
      </w:r>
      <w:r w:rsidR="00721D2F" w:rsidRPr="008B3D34">
        <w:rPr>
          <w:rStyle w:val="CETBodytextCarattere"/>
          <w:rFonts w:eastAsiaTheme="minorHAnsi"/>
          <w:lang w:val="en-GB"/>
        </w:rPr>
        <w:t>at the establishment level</w:t>
      </w:r>
      <w:r w:rsidR="00D61191" w:rsidRPr="008B3D34">
        <w:rPr>
          <w:rStyle w:val="CETBodytextCarattere"/>
          <w:rFonts w:eastAsiaTheme="minorHAnsi"/>
          <w:iCs/>
          <w:lang w:val="en-GB"/>
        </w:rPr>
        <w:t xml:space="preserve">; </w:t>
      </w:r>
      <w:proofErr w:type="spellStart"/>
      <w:r w:rsidR="0040387F" w:rsidRPr="008B3D34">
        <w:rPr>
          <w:rStyle w:val="CETBodytextCarattere"/>
          <w:rFonts w:ascii="Times New Roman" w:eastAsiaTheme="minorHAnsi" w:hAnsi="Times New Roman"/>
          <w:i/>
          <w:lang w:val="en-GB"/>
        </w:rPr>
        <w:t>w</w:t>
      </w:r>
      <w:r w:rsidR="0040387F" w:rsidRPr="008B3D34">
        <w:rPr>
          <w:rStyle w:val="CETBodytextCarattere"/>
          <w:rFonts w:ascii="Times New Roman" w:eastAsiaTheme="minorHAnsi" w:hAnsi="Times New Roman"/>
          <w:i/>
          <w:vertAlign w:val="subscript"/>
          <w:lang w:val="en-GB"/>
        </w:rPr>
        <w:t>k</w:t>
      </w:r>
      <w:proofErr w:type="spellEnd"/>
      <w:r w:rsidR="0040387F" w:rsidRPr="008B3D34">
        <w:rPr>
          <w:rStyle w:val="CETBodytextCarattere"/>
          <w:rFonts w:eastAsiaTheme="minorHAnsi"/>
          <w:iCs/>
          <w:vertAlign w:val="subscript"/>
          <w:lang w:val="en-GB"/>
        </w:rPr>
        <w:t xml:space="preserve"> </w:t>
      </w:r>
      <w:r w:rsidR="0040387F" w:rsidRPr="008B3D34">
        <w:rPr>
          <w:rStyle w:val="CETBodytextCarattere"/>
          <w:rFonts w:eastAsiaTheme="minorHAnsi"/>
          <w:iCs/>
          <w:lang w:val="en-GB"/>
        </w:rPr>
        <w:t xml:space="preserve">is the </w:t>
      </w:r>
      <w:r w:rsidR="00A06476" w:rsidRPr="008B3D34">
        <w:rPr>
          <w:rStyle w:val="CETBodytextCarattere"/>
          <w:rFonts w:eastAsiaTheme="minorHAnsi"/>
          <w:iCs/>
          <w:lang w:val="en-GB"/>
        </w:rPr>
        <w:t xml:space="preserve">weight </w:t>
      </w:r>
      <w:r w:rsidR="0040387F" w:rsidRPr="008B3D34">
        <w:rPr>
          <w:rStyle w:val="CETBodytextCarattere"/>
          <w:rFonts w:eastAsiaTheme="minorHAnsi"/>
          <w:iCs/>
          <w:lang w:val="en-GB"/>
        </w:rPr>
        <w:t xml:space="preserve">of the </w:t>
      </w:r>
      <w:r w:rsidR="0040387F" w:rsidRPr="008B3D34">
        <w:rPr>
          <w:rStyle w:val="CETBodytextCarattere"/>
          <w:rFonts w:ascii="Times New Roman" w:eastAsiaTheme="minorHAnsi" w:hAnsi="Times New Roman"/>
          <w:i/>
          <w:lang w:val="en-GB"/>
        </w:rPr>
        <w:t>k</w:t>
      </w:r>
      <w:r w:rsidR="0040387F" w:rsidRPr="008B3D34">
        <w:rPr>
          <w:rStyle w:val="CETBodytextCarattere"/>
          <w:rFonts w:eastAsiaTheme="minorHAnsi"/>
          <w:iCs/>
          <w:vertAlign w:val="superscript"/>
          <w:lang w:val="en-GB"/>
        </w:rPr>
        <w:t>th</w:t>
      </w:r>
      <w:r w:rsidR="0040387F" w:rsidRPr="008B3D34">
        <w:rPr>
          <w:rStyle w:val="CETBodytextCarattere"/>
          <w:rFonts w:eastAsiaTheme="minorHAnsi"/>
          <w:iCs/>
          <w:lang w:val="en-GB"/>
        </w:rPr>
        <w:t xml:space="preserve"> </w:t>
      </w:r>
      <w:r w:rsidR="00D61191" w:rsidRPr="008B3D34">
        <w:rPr>
          <w:rStyle w:val="CETBodytextCarattere"/>
          <w:rFonts w:eastAsiaTheme="minorHAnsi"/>
          <w:iCs/>
          <w:lang w:val="en-GB"/>
        </w:rPr>
        <w:t>factor</w:t>
      </w:r>
      <w:r w:rsidRPr="008B3D34">
        <w:rPr>
          <w:rStyle w:val="CETBodytextCarattere"/>
          <w:rFonts w:eastAsiaTheme="minorHAnsi"/>
          <w:iCs/>
          <w:lang w:val="en-GB"/>
        </w:rPr>
        <w:t xml:space="preserve"> (</w:t>
      </w:r>
      <w:r w:rsidR="00D6587D" w:rsidRPr="008B3D34">
        <w:rPr>
          <w:rStyle w:val="CETBodytextCarattere"/>
          <w:rFonts w:eastAsiaTheme="minorHAnsi"/>
          <w:lang w:val="en-GB"/>
        </w:rPr>
        <w:t>–</w:t>
      </w:r>
      <w:r w:rsidR="006A583A" w:rsidRPr="008B3D34">
        <w:rPr>
          <w:rStyle w:val="CETBodytextCarattere"/>
          <w:rFonts w:eastAsiaTheme="minorHAnsi"/>
          <w:iCs/>
          <w:lang w:val="en-GB"/>
        </w:rPr>
        <w:t xml:space="preserve"> </w:t>
      </w:r>
      <w:r w:rsidR="00A06476" w:rsidRPr="008B3D34">
        <w:rPr>
          <w:rStyle w:val="CETBodytextCarattere"/>
          <w:rFonts w:eastAsiaTheme="minorHAnsi"/>
          <w:iCs/>
          <w:lang w:val="en-GB"/>
        </w:rPr>
        <w:t>1</w:t>
      </w:r>
      <w:r w:rsidR="006A583A" w:rsidRPr="008B3D34">
        <w:rPr>
          <w:rStyle w:val="CETBodytextCarattere"/>
          <w:rFonts w:eastAsiaTheme="minorHAnsi"/>
          <w:iCs/>
          <w:lang w:val="en-GB"/>
        </w:rPr>
        <w:t xml:space="preserve"> </w:t>
      </w:r>
      <w:r w:rsidR="00AA7F97" w:rsidRPr="008B3D34">
        <w:rPr>
          <w:rStyle w:val="CETBodytextCarattere"/>
          <w:rFonts w:eastAsiaTheme="minorHAnsi"/>
          <w:iCs/>
          <w:lang w:val="en-GB"/>
        </w:rPr>
        <w:t>/</w:t>
      </w:r>
      <w:r w:rsidR="006A583A" w:rsidRPr="008B3D34">
        <w:rPr>
          <w:rStyle w:val="CETBodytextCarattere"/>
          <w:rFonts w:ascii="Times New Roman" w:eastAsiaTheme="minorHAnsi" w:hAnsi="Times New Roman"/>
          <w:i/>
          <w:lang w:val="en-GB"/>
        </w:rPr>
        <w:t>M</w:t>
      </w:r>
      <w:r w:rsidR="00A06476" w:rsidRPr="008B3D34">
        <w:rPr>
          <w:rStyle w:val="CETBodytextCarattere"/>
          <w:rFonts w:eastAsiaTheme="minorHAnsi"/>
          <w:iCs/>
          <w:lang w:val="en-GB"/>
        </w:rPr>
        <w:t xml:space="preserve"> </w:t>
      </w:r>
      <w:r w:rsidR="00D61191" w:rsidRPr="008B3D34">
        <w:rPr>
          <w:rStyle w:val="CETBodytextCarattere"/>
          <w:rFonts w:eastAsiaTheme="minorHAnsi"/>
          <w:iCs/>
          <w:lang w:val="en-GB"/>
        </w:rPr>
        <w:t>for accelerating</w:t>
      </w:r>
      <w:r w:rsidR="00A06476" w:rsidRPr="008B3D34">
        <w:rPr>
          <w:rStyle w:val="CETBodytextCarattere"/>
          <w:rFonts w:eastAsiaTheme="minorHAnsi"/>
          <w:iCs/>
          <w:lang w:val="en-GB"/>
        </w:rPr>
        <w:t xml:space="preserve"> </w:t>
      </w:r>
      <w:r w:rsidR="00D61191" w:rsidRPr="008B3D34">
        <w:rPr>
          <w:rStyle w:val="CETBodytextCarattere"/>
          <w:rFonts w:eastAsiaTheme="minorHAnsi"/>
          <w:iCs/>
          <w:lang w:val="en-GB"/>
        </w:rPr>
        <w:t>factors</w:t>
      </w:r>
      <w:r w:rsidR="006A583A" w:rsidRPr="008B3D34">
        <w:rPr>
          <w:rStyle w:val="CETBodytextCarattere"/>
          <w:rFonts w:eastAsiaTheme="minorHAnsi"/>
          <w:iCs/>
          <w:lang w:val="en-GB"/>
        </w:rPr>
        <w:t xml:space="preserve"> and</w:t>
      </w:r>
      <w:r w:rsidR="00D61191" w:rsidRPr="008B3D34">
        <w:rPr>
          <w:rStyle w:val="CETBodytextCarattere"/>
          <w:rFonts w:eastAsiaTheme="minorHAnsi"/>
          <w:iCs/>
          <w:lang w:val="en-GB"/>
        </w:rPr>
        <w:t xml:space="preserve"> </w:t>
      </w:r>
      <w:r w:rsidR="00BF7D03" w:rsidRPr="008B3D34">
        <w:rPr>
          <w:rStyle w:val="CETBodytextCarattere"/>
          <w:rFonts w:eastAsiaTheme="minorHAnsi"/>
          <w:iCs/>
          <w:lang w:val="en-GB"/>
        </w:rPr>
        <w:t>+</w:t>
      </w:r>
      <w:r w:rsidR="006A583A" w:rsidRPr="008B3D34">
        <w:rPr>
          <w:rStyle w:val="CETBodytextCarattere"/>
          <w:rFonts w:eastAsiaTheme="minorHAnsi"/>
          <w:iCs/>
          <w:lang w:val="en-GB"/>
        </w:rPr>
        <w:t xml:space="preserve"> </w:t>
      </w:r>
      <w:r w:rsidR="00BF7D03" w:rsidRPr="008B3D34">
        <w:rPr>
          <w:rStyle w:val="CETBodytextCarattere"/>
          <w:rFonts w:eastAsiaTheme="minorHAnsi"/>
          <w:iCs/>
          <w:lang w:val="en-GB"/>
        </w:rPr>
        <w:t>1</w:t>
      </w:r>
      <w:r w:rsidR="00AA7F97" w:rsidRPr="008B3D34">
        <w:rPr>
          <w:rStyle w:val="CETBodytextCarattere"/>
          <w:rFonts w:eastAsiaTheme="minorHAnsi"/>
          <w:iCs/>
          <w:lang w:val="en-GB"/>
        </w:rPr>
        <w:t>/</w:t>
      </w:r>
      <w:r w:rsidR="006A583A" w:rsidRPr="008B3D34">
        <w:rPr>
          <w:rStyle w:val="CETBodytextCarattere"/>
          <w:rFonts w:ascii="Times New Roman" w:eastAsiaTheme="minorHAnsi" w:hAnsi="Times New Roman"/>
          <w:i/>
          <w:lang w:val="en-GB"/>
        </w:rPr>
        <w:t>M</w:t>
      </w:r>
      <w:r w:rsidR="00BF7D03" w:rsidRPr="008B3D34">
        <w:rPr>
          <w:rStyle w:val="CETBodytextCarattere"/>
          <w:rFonts w:eastAsiaTheme="minorHAnsi"/>
          <w:iCs/>
          <w:lang w:val="en-GB"/>
        </w:rPr>
        <w:t xml:space="preserve"> </w:t>
      </w:r>
      <w:r w:rsidR="00D61191" w:rsidRPr="008B3D34">
        <w:rPr>
          <w:rStyle w:val="CETBodytextCarattere"/>
          <w:rFonts w:eastAsiaTheme="minorHAnsi"/>
          <w:iCs/>
          <w:lang w:val="en-GB"/>
        </w:rPr>
        <w:t>for decelerating factors</w:t>
      </w:r>
      <w:r w:rsidRPr="008B3D34">
        <w:rPr>
          <w:rStyle w:val="CETBodytextCarattere"/>
          <w:rFonts w:eastAsiaTheme="minorHAnsi"/>
          <w:iCs/>
          <w:lang w:val="en-GB"/>
        </w:rPr>
        <w:t>)</w:t>
      </w:r>
      <w:r w:rsidR="00D61191" w:rsidRPr="008B3D34">
        <w:rPr>
          <w:rStyle w:val="CETBodytextCarattere"/>
          <w:rFonts w:eastAsiaTheme="minorHAnsi"/>
          <w:iCs/>
          <w:lang w:val="en-GB"/>
        </w:rPr>
        <w:t>.</w:t>
      </w:r>
    </w:p>
    <w:p w14:paraId="73CF2DBA" w14:textId="33161EB4" w:rsidR="00BF7D03" w:rsidRPr="008B3D34" w:rsidRDefault="007732C1" w:rsidP="00DC0033">
      <w:pPr>
        <w:pStyle w:val="CETBodytext"/>
        <w:tabs>
          <w:tab w:val="left" w:pos="1134"/>
          <w:tab w:val="left" w:pos="1701"/>
          <w:tab w:val="left" w:pos="2410"/>
        </w:tabs>
        <w:rPr>
          <w:rStyle w:val="CETBodytextCarattere"/>
          <w:rFonts w:eastAsiaTheme="minorHAnsi"/>
          <w:lang w:val="en-GB"/>
        </w:rPr>
      </w:pPr>
      <w:r w:rsidRPr="008B3D34">
        <w:rPr>
          <w:rStyle w:val="CETBodytextCarattere"/>
          <w:rFonts w:eastAsiaTheme="minorHAnsi"/>
          <w:lang w:val="en-GB"/>
        </w:rPr>
        <w:t>As mentioned above</w:t>
      </w:r>
      <w:r w:rsidR="006A583A" w:rsidRPr="008B3D34">
        <w:rPr>
          <w:rStyle w:val="CETBodytextCarattere"/>
          <w:rFonts w:eastAsiaTheme="minorHAnsi"/>
          <w:lang w:val="en-GB"/>
        </w:rPr>
        <w:t xml:space="preserve"> for organisational factors</w:t>
      </w:r>
      <w:r w:rsidRPr="008B3D34">
        <w:rPr>
          <w:rStyle w:val="CETBodytextCarattere"/>
          <w:rFonts w:eastAsiaTheme="minorHAnsi"/>
          <w:lang w:val="en-GB"/>
        </w:rPr>
        <w:t xml:space="preserve">, </w:t>
      </w:r>
      <w:r w:rsidR="00CF7238" w:rsidRPr="008B3D34">
        <w:rPr>
          <w:rStyle w:val="CETBodytextCarattere"/>
          <w:rFonts w:eastAsiaTheme="minorHAnsi"/>
          <w:lang w:val="en-GB"/>
        </w:rPr>
        <w:t>the score</w:t>
      </w:r>
      <w:r w:rsidRPr="008B3D34">
        <w:rPr>
          <w:rStyle w:val="CETBodytextCarattere"/>
          <w:rFonts w:eastAsiaTheme="minorHAnsi"/>
          <w:lang w:val="en-GB"/>
        </w:rPr>
        <w:t xml:space="preserve"> </w:t>
      </w:r>
      <w:proofErr w:type="spellStart"/>
      <w:r w:rsidRPr="008B3D34">
        <w:rPr>
          <w:rStyle w:val="CETBodytextCarattere"/>
          <w:rFonts w:ascii="Times New Roman" w:eastAsiaTheme="minorHAnsi" w:hAnsi="Times New Roman"/>
          <w:i/>
          <w:lang w:val="en-GB"/>
        </w:rPr>
        <w:t>S</w:t>
      </w:r>
      <w:r w:rsidRPr="008B3D34">
        <w:rPr>
          <w:rStyle w:val="CETBodytextCarattere"/>
          <w:rFonts w:ascii="Times New Roman" w:eastAsiaTheme="minorHAnsi" w:hAnsi="Times New Roman"/>
          <w:i/>
          <w:vertAlign w:val="subscript"/>
          <w:lang w:val="en-GB"/>
        </w:rPr>
        <w:t>k</w:t>
      </w:r>
      <w:proofErr w:type="spellEnd"/>
      <w:r w:rsidR="00CF7238" w:rsidRPr="008B3D34">
        <w:rPr>
          <w:rStyle w:val="CETBodytextCarattere"/>
          <w:rFonts w:eastAsiaTheme="minorHAnsi"/>
          <w:lang w:val="en-GB"/>
        </w:rPr>
        <w:t xml:space="preserve"> is</w:t>
      </w:r>
      <w:r w:rsidRPr="008B3D34">
        <w:rPr>
          <w:rStyle w:val="CETBodytextCarattere"/>
          <w:rFonts w:eastAsiaTheme="minorHAnsi"/>
          <w:lang w:val="en-GB"/>
        </w:rPr>
        <w:t xml:space="preserve"> assigned</w:t>
      </w:r>
      <w:r w:rsidR="00CF7238" w:rsidRPr="008B3D34">
        <w:rPr>
          <w:rStyle w:val="CETBodytextCarattere"/>
          <w:rFonts w:eastAsiaTheme="minorHAnsi"/>
          <w:lang w:val="en-GB"/>
        </w:rPr>
        <w:t xml:space="preserve"> at the establishment level</w:t>
      </w:r>
      <w:r w:rsidRPr="008B3D34">
        <w:rPr>
          <w:rStyle w:val="CETBodytextCarattere"/>
          <w:rFonts w:eastAsiaTheme="minorHAnsi"/>
          <w:lang w:val="en-GB"/>
        </w:rPr>
        <w:t xml:space="preserve">, whereas </w:t>
      </w:r>
      <w:r w:rsidR="00C135CE" w:rsidRPr="008B3D34">
        <w:rPr>
          <w:rStyle w:val="CETBodytextCarattere"/>
          <w:rFonts w:eastAsiaTheme="minorHAnsi"/>
          <w:lang w:val="en-GB"/>
        </w:rPr>
        <w:t>physical factors are</w:t>
      </w:r>
      <w:r w:rsidRPr="008B3D34">
        <w:rPr>
          <w:rStyle w:val="CETBodytextCarattere"/>
          <w:rFonts w:eastAsiaTheme="minorHAnsi"/>
          <w:lang w:val="en-GB"/>
        </w:rPr>
        <w:t xml:space="preserve"> evaluated for any critical item,</w:t>
      </w:r>
      <w:r w:rsidR="00D61191" w:rsidRPr="008B3D34">
        <w:rPr>
          <w:rStyle w:val="CETBodytextCarattere"/>
          <w:rFonts w:eastAsiaTheme="minorHAnsi"/>
          <w:lang w:val="en-GB"/>
        </w:rPr>
        <w:t xml:space="preserve"> ac</w:t>
      </w:r>
      <w:r w:rsidR="002E1316" w:rsidRPr="008B3D34">
        <w:rPr>
          <w:rStyle w:val="CETBodytextCarattere"/>
          <w:rFonts w:eastAsiaTheme="minorHAnsi"/>
          <w:lang w:val="en-GB"/>
        </w:rPr>
        <w:t>cording to Eq.(2)</w:t>
      </w:r>
      <w:r w:rsidR="00D61191" w:rsidRPr="008B3D34">
        <w:rPr>
          <w:rStyle w:val="CETBodytextCarattere"/>
          <w:rFonts w:eastAsiaTheme="minorHAnsi"/>
          <w:lang w:val="en-GB"/>
        </w:rPr>
        <w:t>:</w:t>
      </w:r>
    </w:p>
    <w:tbl>
      <w:tblPr>
        <w:tblW w:w="5000" w:type="pct"/>
        <w:tblLook w:val="04A0" w:firstRow="1" w:lastRow="0" w:firstColumn="1" w:lastColumn="0" w:noHBand="0" w:noVBand="1"/>
      </w:tblPr>
      <w:tblGrid>
        <w:gridCol w:w="8188"/>
        <w:gridCol w:w="815"/>
      </w:tblGrid>
      <w:tr w:rsidR="007732C1" w:rsidRPr="008B3D34" w14:paraId="4461C323" w14:textId="77777777" w:rsidTr="00895D1B">
        <w:tc>
          <w:tcPr>
            <w:tcW w:w="8188" w:type="dxa"/>
            <w:shd w:val="clear" w:color="auto" w:fill="auto"/>
            <w:vAlign w:val="center"/>
          </w:tcPr>
          <w:p w14:paraId="45CA73C2" w14:textId="4AA3C14F" w:rsidR="007732C1" w:rsidRPr="008B3D34" w:rsidRDefault="00BE045D" w:rsidP="00A234FC">
            <w:pPr>
              <w:pStyle w:val="CETEquation"/>
              <w:spacing w:before="60" w:after="60"/>
            </w:pPr>
            <w:r w:rsidRPr="008B3D34">
              <w:rPr>
                <w:rStyle w:val="CETBodytextCarattere"/>
                <w:rFonts w:eastAsiaTheme="minorHAnsi"/>
                <w:lang w:val="en-GB"/>
              </w:rPr>
              <w:object w:dxaOrig="1420" w:dyaOrig="680" w14:anchorId="095966D3">
                <v:shape id="_x0000_i1026" type="#_x0000_t75" style="width:61.2pt;height:36pt" o:ole="">
                  <v:imagedata r:id="rId16" o:title=""/>
                </v:shape>
                <o:OLEObject Type="Embed" ProgID="Equation.DSMT4" ShapeID="_x0000_i1026" DrawAspect="Content" ObjectID="_1660382623" r:id="rId17"/>
              </w:object>
            </w:r>
          </w:p>
        </w:tc>
        <w:tc>
          <w:tcPr>
            <w:tcW w:w="815" w:type="dxa"/>
            <w:shd w:val="clear" w:color="auto" w:fill="auto"/>
            <w:vAlign w:val="center"/>
          </w:tcPr>
          <w:p w14:paraId="02C7C1C8" w14:textId="755617B7" w:rsidR="007732C1" w:rsidRPr="008B3D34" w:rsidRDefault="007732C1" w:rsidP="00A234FC">
            <w:pPr>
              <w:pStyle w:val="CETEquation"/>
              <w:spacing w:before="60" w:after="60"/>
              <w:jc w:val="right"/>
            </w:pPr>
            <w:r w:rsidRPr="008B3D34">
              <w:t>(2)</w:t>
            </w:r>
          </w:p>
        </w:tc>
      </w:tr>
    </w:tbl>
    <w:p w14:paraId="7D548904" w14:textId="0328105E" w:rsidR="00D61191" w:rsidRPr="008B3D34" w:rsidRDefault="00E328B8" w:rsidP="00DC0033">
      <w:pPr>
        <w:pStyle w:val="CETBodytext"/>
        <w:tabs>
          <w:tab w:val="left" w:pos="2410"/>
          <w:tab w:val="left" w:pos="3402"/>
        </w:tabs>
        <w:rPr>
          <w:rStyle w:val="CETBodytextCarattere"/>
          <w:rFonts w:eastAsiaTheme="minorHAnsi"/>
          <w:iCs/>
          <w:szCs w:val="18"/>
          <w:lang w:val="en-GB"/>
        </w:rPr>
      </w:pPr>
      <w:r w:rsidRPr="008B3D34">
        <w:rPr>
          <w:rStyle w:val="CETBodytextCarattere"/>
          <w:rFonts w:eastAsiaTheme="minorHAnsi"/>
          <w:iCs/>
          <w:szCs w:val="18"/>
          <w:lang w:val="en-GB"/>
        </w:rPr>
        <w:t>where</w:t>
      </w:r>
      <w:r w:rsidR="00D61191" w:rsidRPr="008B3D34">
        <w:rPr>
          <w:rStyle w:val="CETBodytextCarattere"/>
          <w:rFonts w:eastAsiaTheme="minorHAnsi"/>
          <w:iCs/>
          <w:szCs w:val="18"/>
          <w:lang w:val="en-GB"/>
        </w:rPr>
        <w:t xml:space="preserve"> </w:t>
      </w:r>
      <w:r w:rsidR="006A583A" w:rsidRPr="008B3D34">
        <w:rPr>
          <w:rStyle w:val="CETBodytextCarattere"/>
          <w:rFonts w:ascii="Times New Roman" w:eastAsiaTheme="minorHAnsi" w:hAnsi="Times New Roman"/>
          <w:i/>
          <w:szCs w:val="18"/>
          <w:lang w:val="en-GB"/>
        </w:rPr>
        <w:t>N</w:t>
      </w:r>
      <w:r w:rsidR="00D61191" w:rsidRPr="008B3D34">
        <w:rPr>
          <w:rStyle w:val="CETBodytextCarattere"/>
          <w:rFonts w:eastAsiaTheme="minorHAnsi"/>
          <w:iCs/>
          <w:szCs w:val="18"/>
          <w:lang w:val="en-GB"/>
        </w:rPr>
        <w:t xml:space="preserve"> is the number of critical items</w:t>
      </w:r>
      <w:r w:rsidR="007732C1" w:rsidRPr="008B3D34">
        <w:rPr>
          <w:rStyle w:val="CETBodytextCarattere"/>
          <w:rFonts w:eastAsiaTheme="minorHAnsi"/>
          <w:iCs/>
          <w:szCs w:val="18"/>
          <w:lang w:val="en-GB"/>
        </w:rPr>
        <w:t>;</w:t>
      </w:r>
      <w:r w:rsidR="00474E90" w:rsidRPr="008B3D34">
        <w:rPr>
          <w:rStyle w:val="CETBodytextCarattere"/>
          <w:rFonts w:eastAsiaTheme="minorHAnsi"/>
          <w:iCs/>
          <w:szCs w:val="18"/>
          <w:lang w:val="en-GB"/>
        </w:rPr>
        <w:t xml:space="preserve"> </w:t>
      </w:r>
      <w:proofErr w:type="spellStart"/>
      <w:r w:rsidR="00D6587D" w:rsidRPr="008B3D34">
        <w:rPr>
          <w:rStyle w:val="CETBodytextCarattere"/>
          <w:rFonts w:ascii="Times New Roman" w:eastAsiaTheme="minorHAnsi" w:hAnsi="Times New Roman"/>
          <w:i/>
          <w:szCs w:val="18"/>
          <w:lang w:val="en-GB"/>
        </w:rPr>
        <w:t>S</w:t>
      </w:r>
      <w:r w:rsidR="0040387F" w:rsidRPr="008B3D34">
        <w:rPr>
          <w:rStyle w:val="CETBodytextCarattere"/>
          <w:rFonts w:ascii="Times New Roman" w:eastAsiaTheme="minorHAnsi" w:hAnsi="Times New Roman"/>
          <w:i/>
          <w:szCs w:val="18"/>
          <w:vertAlign w:val="subscript"/>
          <w:lang w:val="en-GB"/>
        </w:rPr>
        <w:t>k</w:t>
      </w:r>
      <w:r w:rsidR="007732C1" w:rsidRPr="008B3D34">
        <w:rPr>
          <w:rStyle w:val="CETBodytextCarattere"/>
          <w:rFonts w:ascii="Times New Roman" w:eastAsiaTheme="minorHAnsi" w:hAnsi="Times New Roman"/>
          <w:i/>
          <w:szCs w:val="18"/>
          <w:vertAlign w:val="subscript"/>
          <w:lang w:val="en-GB"/>
        </w:rPr>
        <w:t>,</w:t>
      </w:r>
      <w:r w:rsidR="0040387F" w:rsidRPr="008B3D34">
        <w:rPr>
          <w:rStyle w:val="CETBodytextCarattere"/>
          <w:rFonts w:ascii="Times New Roman" w:eastAsiaTheme="minorHAnsi" w:hAnsi="Times New Roman"/>
          <w:i/>
          <w:szCs w:val="18"/>
          <w:vertAlign w:val="subscript"/>
          <w:lang w:val="en-GB"/>
        </w:rPr>
        <w:t>i</w:t>
      </w:r>
      <w:proofErr w:type="spellEnd"/>
      <w:r w:rsidR="00474E90" w:rsidRPr="008B3D34">
        <w:rPr>
          <w:rStyle w:val="CETBodytextCarattere"/>
          <w:rFonts w:eastAsiaTheme="minorHAnsi"/>
          <w:iCs/>
          <w:szCs w:val="18"/>
          <w:lang w:val="en-GB"/>
        </w:rPr>
        <w:t xml:space="preserve"> is the score of the </w:t>
      </w:r>
      <w:r w:rsidR="0040387F" w:rsidRPr="008B3D34">
        <w:rPr>
          <w:rStyle w:val="CETBodytextCarattere"/>
          <w:rFonts w:ascii="Times New Roman" w:eastAsiaTheme="minorHAnsi" w:hAnsi="Times New Roman"/>
          <w:i/>
          <w:szCs w:val="18"/>
          <w:lang w:val="en-GB"/>
        </w:rPr>
        <w:t>k</w:t>
      </w:r>
      <w:r w:rsidR="00474E90" w:rsidRPr="008B3D34">
        <w:rPr>
          <w:rStyle w:val="CETBodytextCarattere"/>
          <w:rFonts w:eastAsiaTheme="minorHAnsi"/>
          <w:iCs/>
          <w:szCs w:val="18"/>
          <w:vertAlign w:val="superscript"/>
          <w:lang w:val="en-GB"/>
        </w:rPr>
        <w:t>th</w:t>
      </w:r>
      <w:r w:rsidR="00474E90" w:rsidRPr="008B3D34">
        <w:rPr>
          <w:rStyle w:val="CETBodytextCarattere"/>
          <w:rFonts w:eastAsiaTheme="minorHAnsi"/>
          <w:iCs/>
          <w:szCs w:val="18"/>
          <w:lang w:val="en-GB"/>
        </w:rPr>
        <w:t xml:space="preserve"> factor for the </w:t>
      </w:r>
      <w:proofErr w:type="spellStart"/>
      <w:r w:rsidR="0040387F" w:rsidRPr="008B3D34">
        <w:rPr>
          <w:rStyle w:val="CETBodytextCarattere"/>
          <w:rFonts w:ascii="Times New Roman" w:eastAsiaTheme="minorHAnsi" w:hAnsi="Times New Roman"/>
          <w:i/>
          <w:szCs w:val="18"/>
          <w:lang w:val="en-GB"/>
        </w:rPr>
        <w:t>i</w:t>
      </w:r>
      <w:r w:rsidR="00474E90" w:rsidRPr="008B3D34">
        <w:rPr>
          <w:rStyle w:val="CETBodytextCarattere"/>
          <w:rFonts w:eastAsiaTheme="minorHAnsi"/>
          <w:iCs/>
          <w:szCs w:val="18"/>
          <w:vertAlign w:val="superscript"/>
          <w:lang w:val="en-GB"/>
        </w:rPr>
        <w:t>th</w:t>
      </w:r>
      <w:proofErr w:type="spellEnd"/>
      <w:r w:rsidR="00474E90" w:rsidRPr="008B3D34">
        <w:rPr>
          <w:rStyle w:val="CETBodytextCarattere"/>
          <w:rFonts w:eastAsiaTheme="minorHAnsi"/>
          <w:iCs/>
          <w:szCs w:val="18"/>
          <w:lang w:val="en-GB"/>
        </w:rPr>
        <w:t xml:space="preserve"> critical item.</w:t>
      </w:r>
    </w:p>
    <w:p w14:paraId="7D620CFB" w14:textId="0785F5CE" w:rsidR="006D565F" w:rsidRPr="008B3D34" w:rsidRDefault="00BF7BC7" w:rsidP="004B4A90">
      <w:pPr>
        <w:pStyle w:val="CETBodytext"/>
        <w:rPr>
          <w:rStyle w:val="CETBodytextCarattere"/>
          <w:rFonts w:eastAsiaTheme="minorHAnsi"/>
          <w:lang w:val="en-GB"/>
        </w:rPr>
      </w:pPr>
      <w:r w:rsidRPr="008B3D34">
        <w:rPr>
          <w:rStyle w:val="CETBodytextCarattere"/>
          <w:rFonts w:eastAsiaTheme="minorHAnsi"/>
          <w:lang w:val="en-GB"/>
        </w:rPr>
        <w:t xml:space="preserve">The </w:t>
      </w:r>
      <w:r w:rsidR="00555A8F" w:rsidRPr="008B3D34">
        <w:rPr>
          <w:rStyle w:val="CETBodytextCarattere"/>
          <w:rFonts w:eastAsiaTheme="minorHAnsi"/>
          <w:lang w:val="en-GB"/>
        </w:rPr>
        <w:t>AFB</w:t>
      </w:r>
      <w:r w:rsidR="008F2110" w:rsidRPr="008B3D34">
        <w:rPr>
          <w:rStyle w:val="CETBodytextCarattere"/>
          <w:rFonts w:eastAsiaTheme="minorHAnsi"/>
          <w:lang w:val="en-GB"/>
        </w:rPr>
        <w:t xml:space="preserve"> was born </w:t>
      </w:r>
      <w:r w:rsidR="0070109C" w:rsidRPr="008B3D34">
        <w:rPr>
          <w:rStyle w:val="CETBodytextCarattere"/>
          <w:rFonts w:eastAsiaTheme="minorHAnsi"/>
          <w:lang w:val="en-GB"/>
        </w:rPr>
        <w:t>as</w:t>
      </w:r>
      <w:r w:rsidR="008F2110" w:rsidRPr="008B3D34">
        <w:rPr>
          <w:rStyle w:val="CETBodytextCarattere"/>
          <w:rFonts w:eastAsiaTheme="minorHAnsi"/>
          <w:lang w:val="en-GB"/>
        </w:rPr>
        <w:t xml:space="preserve"> a tight method,</w:t>
      </w:r>
      <w:r w:rsidR="0070109C" w:rsidRPr="008B3D34">
        <w:rPr>
          <w:rStyle w:val="CETBodytextCarattere"/>
          <w:rFonts w:eastAsiaTheme="minorHAnsi"/>
          <w:lang w:val="en-GB"/>
        </w:rPr>
        <w:t xml:space="preserve"> then,</w:t>
      </w:r>
      <w:r w:rsidR="008F2110" w:rsidRPr="008B3D34">
        <w:rPr>
          <w:rStyle w:val="CETBodytextCarattere"/>
          <w:rFonts w:eastAsiaTheme="minorHAnsi"/>
          <w:lang w:val="en-GB"/>
        </w:rPr>
        <w:t xml:space="preserve"> a number of </w:t>
      </w:r>
      <w:r w:rsidR="0070109C" w:rsidRPr="008B3D34">
        <w:rPr>
          <w:rStyle w:val="CETBodytextCarattere"/>
          <w:rFonts w:eastAsiaTheme="minorHAnsi"/>
          <w:lang w:val="en-GB"/>
        </w:rPr>
        <w:t>trade-off</w:t>
      </w:r>
      <w:r w:rsidR="008F2110" w:rsidRPr="008B3D34">
        <w:rPr>
          <w:rStyle w:val="CETBodytextCarattere"/>
          <w:rFonts w:eastAsiaTheme="minorHAnsi"/>
          <w:lang w:val="en-GB"/>
        </w:rPr>
        <w:t xml:space="preserve"> was </w:t>
      </w:r>
      <w:r w:rsidRPr="008B3D34">
        <w:rPr>
          <w:rStyle w:val="CETBodytextCarattere"/>
          <w:rFonts w:eastAsiaTheme="minorHAnsi"/>
          <w:lang w:val="en-GB"/>
        </w:rPr>
        <w:t>accepted to take into account the need</w:t>
      </w:r>
      <w:r w:rsidR="0070109C" w:rsidRPr="008B3D34">
        <w:rPr>
          <w:rStyle w:val="CETBodytextCarattere"/>
          <w:rFonts w:eastAsiaTheme="minorHAnsi"/>
          <w:lang w:val="en-GB"/>
        </w:rPr>
        <w:t>s</w:t>
      </w:r>
      <w:r w:rsidRPr="008B3D34">
        <w:rPr>
          <w:rStyle w:val="CETBodytextCarattere"/>
          <w:rFonts w:eastAsiaTheme="minorHAnsi"/>
          <w:lang w:val="en-GB"/>
        </w:rPr>
        <w:t xml:space="preserve"> of industrial stakeholders.</w:t>
      </w:r>
      <w:r w:rsidR="00CC0174" w:rsidRPr="008B3D34">
        <w:rPr>
          <w:rStyle w:val="CETBodytextCarattere"/>
          <w:rFonts w:eastAsiaTheme="minorHAnsi"/>
          <w:lang w:val="en-GB"/>
        </w:rPr>
        <w:t xml:space="preserve"> T</w:t>
      </w:r>
      <w:r w:rsidRPr="008B3D34">
        <w:rPr>
          <w:rStyle w:val="CETBodytextCarattere"/>
          <w:rFonts w:eastAsiaTheme="minorHAnsi"/>
          <w:lang w:val="en-GB"/>
        </w:rPr>
        <w:t xml:space="preserve">he </w:t>
      </w:r>
      <w:r w:rsidR="00D6587D" w:rsidRPr="008B3D34">
        <w:rPr>
          <w:rStyle w:val="CETBodytextCarattere"/>
          <w:rFonts w:eastAsiaTheme="minorHAnsi"/>
          <w:lang w:val="en-GB"/>
        </w:rPr>
        <w:t>value</w:t>
      </w:r>
      <w:r w:rsidRPr="008B3D34">
        <w:rPr>
          <w:rStyle w:val="CETBodytextCarattere"/>
          <w:rFonts w:eastAsiaTheme="minorHAnsi"/>
          <w:lang w:val="en-GB"/>
        </w:rPr>
        <w:t xml:space="preserve"> </w:t>
      </w:r>
      <w:proofErr w:type="spellStart"/>
      <w:r w:rsidR="000C7FD9" w:rsidRPr="008B3D34">
        <w:rPr>
          <w:rStyle w:val="CETBodytextCarattere"/>
          <w:rFonts w:ascii="Times New Roman" w:eastAsiaTheme="minorHAnsi" w:hAnsi="Times New Roman"/>
          <w:i/>
          <w:iCs/>
          <w:lang w:val="en-GB"/>
        </w:rPr>
        <w:t>I</w:t>
      </w:r>
      <w:r w:rsidR="000C7FD9" w:rsidRPr="008B3D34">
        <w:rPr>
          <w:rStyle w:val="CETBodytextCarattere"/>
          <w:rFonts w:ascii="Times New Roman" w:eastAsiaTheme="minorHAnsi" w:hAnsi="Times New Roman"/>
          <w:i/>
          <w:iCs/>
          <w:vertAlign w:val="subscript"/>
          <w:lang w:val="en-GB"/>
        </w:rPr>
        <w:t>overall</w:t>
      </w:r>
      <w:proofErr w:type="spellEnd"/>
      <w:r w:rsidR="000C7FD9" w:rsidRPr="008B3D34">
        <w:rPr>
          <w:rStyle w:val="CETBodytextCarattere"/>
          <w:rFonts w:ascii="Times New Roman" w:eastAsiaTheme="minorHAnsi" w:hAnsi="Times New Roman"/>
          <w:lang w:val="en-GB"/>
        </w:rPr>
        <w:t xml:space="preserve"> </w:t>
      </w:r>
      <w:r w:rsidRPr="008B3D34">
        <w:rPr>
          <w:rStyle w:val="CETBodytextCarattere"/>
          <w:rFonts w:eastAsiaTheme="minorHAnsi"/>
          <w:lang w:val="en-GB"/>
        </w:rPr>
        <w:t>=</w:t>
      </w:r>
      <w:r w:rsidR="000C7FD9" w:rsidRPr="008B3D34">
        <w:rPr>
          <w:rStyle w:val="CETBodytextCarattere"/>
          <w:rFonts w:eastAsiaTheme="minorHAnsi"/>
          <w:lang w:val="en-GB"/>
        </w:rPr>
        <w:t xml:space="preserve"> </w:t>
      </w:r>
      <w:r w:rsidRPr="008B3D34">
        <w:rPr>
          <w:rStyle w:val="CETBodytextCarattere"/>
          <w:rFonts w:eastAsiaTheme="minorHAnsi"/>
          <w:lang w:val="en-GB"/>
        </w:rPr>
        <w:t xml:space="preserve">0 </w:t>
      </w:r>
      <w:r w:rsidR="00D6587D" w:rsidRPr="008B3D34">
        <w:rPr>
          <w:rStyle w:val="CETBodytextCarattere"/>
          <w:rFonts w:eastAsiaTheme="minorHAnsi"/>
          <w:lang w:val="en-GB"/>
        </w:rPr>
        <w:t>does not have to be</w:t>
      </w:r>
      <w:r w:rsidRPr="008B3D34">
        <w:rPr>
          <w:rStyle w:val="CETBodytextCarattere"/>
          <w:rFonts w:eastAsiaTheme="minorHAnsi"/>
          <w:lang w:val="en-GB"/>
        </w:rPr>
        <w:t xml:space="preserve"> interpreted as a </w:t>
      </w:r>
      <w:r w:rsidR="008F2110" w:rsidRPr="008B3D34">
        <w:rPr>
          <w:rStyle w:val="CETBodytextCarattere"/>
          <w:rFonts w:eastAsiaTheme="minorHAnsi"/>
          <w:lang w:val="en-GB"/>
        </w:rPr>
        <w:t>sort</w:t>
      </w:r>
      <w:r w:rsidRPr="008B3D34">
        <w:rPr>
          <w:rStyle w:val="CETBodytextCarattere"/>
          <w:rFonts w:eastAsiaTheme="minorHAnsi"/>
          <w:lang w:val="en-GB"/>
        </w:rPr>
        <w:t xml:space="preserve"> of </w:t>
      </w:r>
      <w:r w:rsidR="00D6587D" w:rsidRPr="008B3D34">
        <w:rPr>
          <w:rStyle w:val="CETBodytextCarattere"/>
          <w:rFonts w:eastAsiaTheme="minorHAnsi"/>
          <w:lang w:val="en-GB"/>
        </w:rPr>
        <w:t>average</w:t>
      </w:r>
      <w:r w:rsidRPr="008B3D34">
        <w:rPr>
          <w:rStyle w:val="CETBodytextCarattere"/>
          <w:rFonts w:eastAsiaTheme="minorHAnsi"/>
          <w:lang w:val="en-GB"/>
        </w:rPr>
        <w:t xml:space="preserve"> condition, but as the lowest acceptable </w:t>
      </w:r>
      <w:r w:rsidR="00C135CE" w:rsidRPr="008B3D34">
        <w:rPr>
          <w:rStyle w:val="CETBodytextCarattere"/>
          <w:rFonts w:eastAsiaTheme="minorHAnsi"/>
          <w:lang w:val="en-GB"/>
        </w:rPr>
        <w:t xml:space="preserve">condition </w:t>
      </w:r>
      <w:r w:rsidR="000C7FD9" w:rsidRPr="008B3D34">
        <w:rPr>
          <w:rStyle w:val="CETBodytextCarattere"/>
          <w:rFonts w:eastAsiaTheme="minorHAnsi"/>
          <w:lang w:val="en-GB"/>
        </w:rPr>
        <w:t>for the item</w:t>
      </w:r>
      <w:r w:rsidRPr="008B3D34">
        <w:rPr>
          <w:rStyle w:val="CETBodytextCarattere"/>
          <w:rFonts w:eastAsiaTheme="minorHAnsi"/>
          <w:lang w:val="en-GB"/>
        </w:rPr>
        <w:t>. Th</w:t>
      </w:r>
      <w:r w:rsidR="00D6587D" w:rsidRPr="008B3D34">
        <w:rPr>
          <w:rStyle w:val="CETBodytextCarattere"/>
          <w:rFonts w:eastAsiaTheme="minorHAnsi"/>
          <w:lang w:val="en-GB"/>
        </w:rPr>
        <w:t>e</w:t>
      </w:r>
      <w:r w:rsidRPr="008B3D34">
        <w:rPr>
          <w:rStyle w:val="CETBodytextCarattere"/>
          <w:rFonts w:eastAsiaTheme="minorHAnsi"/>
          <w:lang w:val="en-GB"/>
        </w:rPr>
        <w:t xml:space="preserve"> “</w:t>
      </w:r>
      <w:r w:rsidR="00D6587D" w:rsidRPr="008B3D34">
        <w:rPr>
          <w:rStyle w:val="CETBodytextCarattere"/>
          <w:rFonts w:eastAsiaTheme="minorHAnsi"/>
          <w:lang w:val="en-GB"/>
        </w:rPr>
        <w:t>average</w:t>
      </w:r>
      <w:r w:rsidRPr="008B3D34">
        <w:rPr>
          <w:rStyle w:val="CETBodytextCarattere"/>
          <w:rFonts w:eastAsiaTheme="minorHAnsi"/>
          <w:lang w:val="en-GB"/>
        </w:rPr>
        <w:t xml:space="preserve"> condition” is better represented by the value </w:t>
      </w:r>
      <w:proofErr w:type="spellStart"/>
      <w:r w:rsidR="000C7FD9" w:rsidRPr="008B3D34">
        <w:rPr>
          <w:rStyle w:val="CETBodytextCarattere"/>
          <w:rFonts w:ascii="Times New Roman" w:eastAsiaTheme="minorHAnsi" w:hAnsi="Times New Roman"/>
          <w:i/>
          <w:iCs/>
          <w:lang w:val="en-GB"/>
        </w:rPr>
        <w:t>I</w:t>
      </w:r>
      <w:r w:rsidR="000C7FD9" w:rsidRPr="008B3D34">
        <w:rPr>
          <w:rStyle w:val="CETBodytextCarattere"/>
          <w:rFonts w:ascii="Times New Roman" w:eastAsiaTheme="minorHAnsi" w:hAnsi="Times New Roman"/>
          <w:i/>
          <w:iCs/>
          <w:vertAlign w:val="subscript"/>
          <w:lang w:val="en-GB"/>
        </w:rPr>
        <w:t>overall</w:t>
      </w:r>
      <w:proofErr w:type="spellEnd"/>
      <w:r w:rsidR="000C7FD9" w:rsidRPr="008B3D34">
        <w:rPr>
          <w:rStyle w:val="CETBodytextCarattere"/>
          <w:rFonts w:ascii="Times New Roman" w:eastAsiaTheme="minorHAnsi" w:hAnsi="Times New Roman"/>
          <w:lang w:val="en-GB"/>
        </w:rPr>
        <w:t xml:space="preserve"> </w:t>
      </w:r>
      <w:r w:rsidR="000C7FD9" w:rsidRPr="008B3D34">
        <w:rPr>
          <w:rStyle w:val="CETBodytextCarattere"/>
          <w:rFonts w:eastAsiaTheme="minorHAnsi"/>
          <w:lang w:val="en-GB"/>
        </w:rPr>
        <w:t>= 0.5</w:t>
      </w:r>
      <w:r w:rsidRPr="008B3D34">
        <w:rPr>
          <w:rStyle w:val="CETBodytextCarattere"/>
          <w:rFonts w:eastAsiaTheme="minorHAnsi"/>
          <w:lang w:val="en-GB"/>
        </w:rPr>
        <w:t xml:space="preserve">. </w:t>
      </w:r>
      <w:r w:rsidR="00705938" w:rsidRPr="008B3D34">
        <w:rPr>
          <w:rStyle w:val="CETBodytextCarattere"/>
          <w:rFonts w:eastAsiaTheme="minorHAnsi"/>
          <w:lang w:val="en-GB"/>
        </w:rPr>
        <w:t>For the purpose of</w:t>
      </w:r>
      <w:r w:rsidRPr="008B3D34">
        <w:rPr>
          <w:rStyle w:val="CETBodytextCarattere"/>
          <w:rFonts w:eastAsiaTheme="minorHAnsi"/>
          <w:lang w:val="en-GB"/>
        </w:rPr>
        <w:t xml:space="preserve"> Seveso inspection</w:t>
      </w:r>
      <w:r w:rsidR="00705938" w:rsidRPr="008B3D34">
        <w:rPr>
          <w:rStyle w:val="CETBodytextCarattere"/>
          <w:rFonts w:eastAsiaTheme="minorHAnsi"/>
          <w:lang w:val="en-GB"/>
        </w:rPr>
        <w:t>s</w:t>
      </w:r>
      <w:r w:rsidRPr="008B3D34">
        <w:rPr>
          <w:rStyle w:val="CETBodytextCarattere"/>
          <w:rFonts w:eastAsiaTheme="minorHAnsi"/>
          <w:lang w:val="en-GB"/>
        </w:rPr>
        <w:t>, a</w:t>
      </w:r>
      <w:r w:rsidR="00D6587D" w:rsidRPr="008B3D34">
        <w:rPr>
          <w:rStyle w:val="CETBodytextCarattere"/>
          <w:rFonts w:eastAsiaTheme="minorHAnsi"/>
          <w:lang w:val="en-GB"/>
        </w:rPr>
        <w:t>n alert</w:t>
      </w:r>
      <w:r w:rsidRPr="008B3D34">
        <w:rPr>
          <w:rStyle w:val="CETBodytextCarattere"/>
          <w:rFonts w:eastAsiaTheme="minorHAnsi"/>
          <w:lang w:val="en-GB"/>
        </w:rPr>
        <w:t xml:space="preserve"> </w:t>
      </w:r>
      <w:r w:rsidR="00705938" w:rsidRPr="008B3D34">
        <w:rPr>
          <w:rStyle w:val="CETBodytextCarattere"/>
          <w:rFonts w:eastAsiaTheme="minorHAnsi"/>
          <w:lang w:val="en-GB"/>
        </w:rPr>
        <w:t xml:space="preserve">range is </w:t>
      </w:r>
      <w:r w:rsidR="0034357F" w:rsidRPr="008B3D34">
        <w:rPr>
          <w:rStyle w:val="CETBodytextCarattere"/>
          <w:rFonts w:eastAsiaTheme="minorHAnsi"/>
          <w:lang w:val="en-GB"/>
        </w:rPr>
        <w:t>defin</w:t>
      </w:r>
      <w:r w:rsidR="00705938" w:rsidRPr="008B3D34">
        <w:rPr>
          <w:rStyle w:val="CETBodytextCarattere"/>
          <w:rFonts w:eastAsiaTheme="minorHAnsi"/>
          <w:lang w:val="en-GB"/>
        </w:rPr>
        <w:t xml:space="preserve">ed </w:t>
      </w:r>
      <w:r w:rsidRPr="008B3D34">
        <w:rPr>
          <w:rStyle w:val="CETBodytextCarattere"/>
          <w:rFonts w:eastAsiaTheme="minorHAnsi"/>
          <w:lang w:val="en-GB"/>
        </w:rPr>
        <w:t xml:space="preserve">between </w:t>
      </w:r>
      <w:proofErr w:type="spellStart"/>
      <w:r w:rsidR="00705938" w:rsidRPr="008B3D34">
        <w:rPr>
          <w:rStyle w:val="CETBodytextCarattere"/>
          <w:rFonts w:ascii="Times New Roman" w:eastAsiaTheme="minorHAnsi" w:hAnsi="Times New Roman"/>
          <w:i/>
          <w:iCs/>
          <w:lang w:val="en-GB"/>
        </w:rPr>
        <w:t>I</w:t>
      </w:r>
      <w:r w:rsidR="00705938" w:rsidRPr="008B3D34">
        <w:rPr>
          <w:rStyle w:val="CETBodytextCarattere"/>
          <w:rFonts w:ascii="Times New Roman" w:eastAsiaTheme="minorHAnsi" w:hAnsi="Times New Roman"/>
          <w:i/>
          <w:iCs/>
          <w:vertAlign w:val="subscript"/>
          <w:lang w:val="en-GB"/>
        </w:rPr>
        <w:t>overall</w:t>
      </w:r>
      <w:proofErr w:type="spellEnd"/>
      <w:r w:rsidR="00705938" w:rsidRPr="008B3D34">
        <w:rPr>
          <w:rStyle w:val="CETBodytextCarattere"/>
          <w:rFonts w:ascii="Times New Roman" w:eastAsiaTheme="minorHAnsi" w:hAnsi="Times New Roman"/>
          <w:lang w:val="en-GB"/>
        </w:rPr>
        <w:t xml:space="preserve"> </w:t>
      </w:r>
      <w:r w:rsidR="00705938" w:rsidRPr="008B3D34">
        <w:rPr>
          <w:rStyle w:val="CETBodytextCarattere"/>
          <w:rFonts w:eastAsiaTheme="minorHAnsi"/>
          <w:lang w:val="en-GB"/>
        </w:rPr>
        <w:t xml:space="preserve">= 0 and </w:t>
      </w:r>
      <w:proofErr w:type="spellStart"/>
      <w:r w:rsidR="00705938" w:rsidRPr="008B3D34">
        <w:rPr>
          <w:rStyle w:val="CETBodytextCarattere"/>
          <w:rFonts w:ascii="Times New Roman" w:eastAsiaTheme="minorHAnsi" w:hAnsi="Times New Roman"/>
          <w:i/>
          <w:iCs/>
          <w:lang w:val="en-GB"/>
        </w:rPr>
        <w:t>I</w:t>
      </w:r>
      <w:r w:rsidR="00705938" w:rsidRPr="008B3D34">
        <w:rPr>
          <w:rStyle w:val="CETBodytextCarattere"/>
          <w:rFonts w:ascii="Times New Roman" w:eastAsiaTheme="minorHAnsi" w:hAnsi="Times New Roman"/>
          <w:i/>
          <w:iCs/>
          <w:vertAlign w:val="subscript"/>
          <w:lang w:val="en-GB"/>
        </w:rPr>
        <w:t>overall</w:t>
      </w:r>
      <w:proofErr w:type="spellEnd"/>
      <w:r w:rsidR="00705938" w:rsidRPr="008B3D34">
        <w:rPr>
          <w:rStyle w:val="CETBodytextCarattere"/>
          <w:rFonts w:ascii="Times New Roman" w:eastAsiaTheme="minorHAnsi" w:hAnsi="Times New Roman"/>
          <w:lang w:val="en-GB"/>
        </w:rPr>
        <w:t xml:space="preserve"> </w:t>
      </w:r>
      <w:r w:rsidR="00705938" w:rsidRPr="008B3D34">
        <w:rPr>
          <w:rStyle w:val="CETBodytextCarattere"/>
          <w:rFonts w:eastAsiaTheme="minorHAnsi"/>
          <w:lang w:val="en-GB"/>
        </w:rPr>
        <w:t>= 0.5</w:t>
      </w:r>
      <w:r w:rsidRPr="008B3D34">
        <w:rPr>
          <w:rStyle w:val="CETBodytextCarattere"/>
          <w:rFonts w:eastAsiaTheme="minorHAnsi"/>
          <w:lang w:val="en-GB"/>
        </w:rPr>
        <w:t xml:space="preserve">, where improvements </w:t>
      </w:r>
      <w:r w:rsidR="003263EC" w:rsidRPr="008B3D34">
        <w:rPr>
          <w:rStyle w:val="CETBodytextCarattere"/>
          <w:rFonts w:eastAsiaTheme="minorHAnsi"/>
          <w:lang w:val="en-GB"/>
        </w:rPr>
        <w:t xml:space="preserve">are </w:t>
      </w:r>
      <w:r w:rsidRPr="008B3D34">
        <w:rPr>
          <w:rStyle w:val="CETBodytextCarattere"/>
          <w:rFonts w:eastAsiaTheme="minorHAnsi"/>
          <w:lang w:val="en-GB"/>
        </w:rPr>
        <w:t>recommended</w:t>
      </w:r>
      <w:r w:rsidR="008F2110" w:rsidRPr="008B3D34">
        <w:rPr>
          <w:rStyle w:val="CETBodytextCarattere"/>
          <w:rFonts w:eastAsiaTheme="minorHAnsi"/>
          <w:lang w:val="en-GB"/>
        </w:rPr>
        <w:t>.</w:t>
      </w:r>
      <w:r w:rsidRPr="008B3D34">
        <w:rPr>
          <w:rStyle w:val="CETBodytextCarattere"/>
          <w:rFonts w:eastAsiaTheme="minorHAnsi"/>
          <w:lang w:val="en-GB"/>
        </w:rPr>
        <w:t xml:space="preserve"> </w:t>
      </w:r>
      <w:r w:rsidR="00705938" w:rsidRPr="008B3D34">
        <w:rPr>
          <w:rStyle w:val="CETBodytextCarattere"/>
          <w:rFonts w:eastAsiaTheme="minorHAnsi"/>
          <w:lang w:val="en-GB"/>
        </w:rPr>
        <w:t>F</w:t>
      </w:r>
      <w:r w:rsidR="008F2110" w:rsidRPr="008B3D34">
        <w:rPr>
          <w:rStyle w:val="CETBodytextCarattere"/>
          <w:rFonts w:eastAsiaTheme="minorHAnsi"/>
          <w:lang w:val="en-GB"/>
        </w:rPr>
        <w:t xml:space="preserve">or </w:t>
      </w:r>
      <w:r w:rsidR="0034357F" w:rsidRPr="008B3D34">
        <w:rPr>
          <w:rStyle w:val="CETBodytextCarattere"/>
          <w:rFonts w:eastAsiaTheme="minorHAnsi"/>
          <w:lang w:val="en-GB"/>
        </w:rPr>
        <w:t>negative</w:t>
      </w:r>
      <w:r w:rsidR="004A61D0" w:rsidRPr="008B3D34">
        <w:rPr>
          <w:rStyle w:val="CETBodytextCarattere"/>
          <w:rFonts w:eastAsiaTheme="minorHAnsi"/>
          <w:lang w:val="en-GB"/>
        </w:rPr>
        <w:t xml:space="preserve"> value of</w:t>
      </w:r>
      <w:r w:rsidR="0034357F" w:rsidRPr="008B3D34">
        <w:rPr>
          <w:rStyle w:val="CETBodytextCarattere"/>
          <w:rFonts w:ascii="Times New Roman" w:eastAsiaTheme="minorHAnsi" w:hAnsi="Times New Roman"/>
          <w:i/>
          <w:iCs/>
          <w:lang w:val="en-GB"/>
        </w:rPr>
        <w:t xml:space="preserve"> </w:t>
      </w:r>
      <w:proofErr w:type="spellStart"/>
      <w:r w:rsidR="00705938" w:rsidRPr="008B3D34">
        <w:rPr>
          <w:rStyle w:val="CETBodytextCarattere"/>
          <w:rFonts w:ascii="Times New Roman" w:eastAsiaTheme="minorHAnsi" w:hAnsi="Times New Roman"/>
          <w:i/>
          <w:iCs/>
          <w:lang w:val="en-GB"/>
        </w:rPr>
        <w:t>I</w:t>
      </w:r>
      <w:r w:rsidR="00705938" w:rsidRPr="008B3D34">
        <w:rPr>
          <w:rStyle w:val="CETBodytextCarattere"/>
          <w:rFonts w:ascii="Times New Roman" w:eastAsiaTheme="minorHAnsi" w:hAnsi="Times New Roman"/>
          <w:i/>
          <w:iCs/>
          <w:vertAlign w:val="subscript"/>
          <w:lang w:val="en-GB"/>
        </w:rPr>
        <w:t>overall</w:t>
      </w:r>
      <w:proofErr w:type="spellEnd"/>
      <w:r w:rsidR="0034357F" w:rsidRPr="008B3D34">
        <w:rPr>
          <w:rStyle w:val="CETBodytextCarattere"/>
          <w:rFonts w:eastAsiaTheme="minorHAnsi"/>
          <w:lang w:val="en-GB"/>
        </w:rPr>
        <w:t xml:space="preserve">, </w:t>
      </w:r>
      <w:r w:rsidR="008F2110" w:rsidRPr="008B3D34">
        <w:rPr>
          <w:rStyle w:val="CETBodytextCarattere"/>
          <w:rFonts w:eastAsiaTheme="minorHAnsi"/>
          <w:lang w:val="en-GB"/>
        </w:rPr>
        <w:t xml:space="preserve">but higher than </w:t>
      </w:r>
      <w:r w:rsidR="0034357F" w:rsidRPr="008B3D34">
        <w:rPr>
          <w:rStyle w:val="CETBodytextCarattere"/>
          <w:rFonts w:eastAsiaTheme="minorHAnsi"/>
          <w:lang w:val="en-GB"/>
        </w:rPr>
        <w:t xml:space="preserve">– </w:t>
      </w:r>
      <w:r w:rsidR="008F2110" w:rsidRPr="008B3D34">
        <w:rPr>
          <w:rStyle w:val="CETBodytextCarattere"/>
          <w:rFonts w:eastAsiaTheme="minorHAnsi"/>
          <w:lang w:val="en-GB"/>
        </w:rPr>
        <w:t>0.5</w:t>
      </w:r>
      <w:r w:rsidR="0034357F" w:rsidRPr="008B3D34">
        <w:rPr>
          <w:rStyle w:val="CETBodytextCarattere"/>
          <w:rFonts w:eastAsiaTheme="minorHAnsi"/>
          <w:lang w:val="en-GB"/>
        </w:rPr>
        <w:t>,</w:t>
      </w:r>
      <w:r w:rsidR="008F2110" w:rsidRPr="008B3D34">
        <w:rPr>
          <w:rStyle w:val="CETBodytextCarattere"/>
          <w:rFonts w:eastAsiaTheme="minorHAnsi"/>
          <w:lang w:val="en-GB"/>
        </w:rPr>
        <w:t xml:space="preserve"> recommendations are preferred to prescriptions, </w:t>
      </w:r>
      <w:r w:rsidR="0034357F" w:rsidRPr="008B3D34">
        <w:rPr>
          <w:rStyle w:val="CETBodytextCarattere"/>
          <w:rFonts w:eastAsiaTheme="minorHAnsi"/>
          <w:lang w:val="en-GB"/>
        </w:rPr>
        <w:t>the</w:t>
      </w:r>
      <w:r w:rsidR="003263EC" w:rsidRPr="008B3D34">
        <w:rPr>
          <w:rStyle w:val="CETBodytextCarattere"/>
          <w:rFonts w:eastAsiaTheme="minorHAnsi"/>
          <w:lang w:val="en-GB"/>
        </w:rPr>
        <w:t>se</w:t>
      </w:r>
      <w:r w:rsidR="0034357F" w:rsidRPr="008B3D34">
        <w:rPr>
          <w:rStyle w:val="CETBodytextCarattere"/>
          <w:rFonts w:eastAsiaTheme="minorHAnsi"/>
          <w:lang w:val="en-GB"/>
        </w:rPr>
        <w:t xml:space="preserve"> latter </w:t>
      </w:r>
      <w:r w:rsidR="008F2110" w:rsidRPr="008B3D34">
        <w:rPr>
          <w:rStyle w:val="CETBodytextCarattere"/>
          <w:rFonts w:eastAsiaTheme="minorHAnsi"/>
          <w:lang w:val="en-GB"/>
        </w:rPr>
        <w:t xml:space="preserve">cannot be avoided for </w:t>
      </w:r>
      <w:proofErr w:type="spellStart"/>
      <w:r w:rsidR="0034357F" w:rsidRPr="008B3D34">
        <w:rPr>
          <w:rStyle w:val="CETBodytextCarattere"/>
          <w:rFonts w:ascii="Times New Roman" w:eastAsiaTheme="minorHAnsi" w:hAnsi="Times New Roman"/>
          <w:i/>
          <w:iCs/>
          <w:lang w:val="en-GB"/>
        </w:rPr>
        <w:t>I</w:t>
      </w:r>
      <w:r w:rsidR="0034357F" w:rsidRPr="008B3D34">
        <w:rPr>
          <w:rStyle w:val="CETBodytextCarattere"/>
          <w:rFonts w:ascii="Times New Roman" w:eastAsiaTheme="minorHAnsi" w:hAnsi="Times New Roman"/>
          <w:i/>
          <w:iCs/>
          <w:vertAlign w:val="subscript"/>
          <w:lang w:val="en-GB"/>
        </w:rPr>
        <w:t>overall</w:t>
      </w:r>
      <w:proofErr w:type="spellEnd"/>
      <w:r w:rsidR="0034357F" w:rsidRPr="008B3D34">
        <w:rPr>
          <w:rStyle w:val="CETBodytextCarattere"/>
          <w:rFonts w:eastAsiaTheme="minorHAnsi"/>
          <w:lang w:val="en-GB"/>
        </w:rPr>
        <w:t xml:space="preserve"> </w:t>
      </w:r>
      <w:r w:rsidR="008F2110" w:rsidRPr="008B3D34">
        <w:rPr>
          <w:rStyle w:val="CETBodytextCarattere"/>
          <w:rFonts w:eastAsiaTheme="minorHAnsi"/>
          <w:lang w:val="en-GB"/>
        </w:rPr>
        <w:t>&lt;</w:t>
      </w:r>
      <w:r w:rsidR="0034357F" w:rsidRPr="008B3D34">
        <w:rPr>
          <w:rStyle w:val="CETBodytextCarattere"/>
          <w:rFonts w:eastAsiaTheme="minorHAnsi"/>
          <w:lang w:val="en-GB"/>
        </w:rPr>
        <w:t xml:space="preserve"> </w:t>
      </w:r>
      <w:r w:rsidR="00D6587D" w:rsidRPr="008B3D34">
        <w:rPr>
          <w:rStyle w:val="CETBodytextCarattere"/>
          <w:rFonts w:eastAsiaTheme="minorHAnsi"/>
          <w:lang w:val="en-GB"/>
        </w:rPr>
        <w:t xml:space="preserve">– </w:t>
      </w:r>
      <w:r w:rsidR="008F2110" w:rsidRPr="008B3D34">
        <w:rPr>
          <w:rStyle w:val="CETBodytextCarattere"/>
          <w:rFonts w:eastAsiaTheme="minorHAnsi"/>
          <w:lang w:val="en-GB"/>
        </w:rPr>
        <w:t>0</w:t>
      </w:r>
      <w:r w:rsidR="0034357F" w:rsidRPr="008B3D34">
        <w:rPr>
          <w:rStyle w:val="CETBodytextCarattere"/>
          <w:rFonts w:eastAsiaTheme="minorHAnsi"/>
          <w:lang w:val="en-GB"/>
        </w:rPr>
        <w:t>.</w:t>
      </w:r>
      <w:r w:rsidR="008F2110" w:rsidRPr="008B3D34">
        <w:rPr>
          <w:rStyle w:val="CETBodytextCarattere"/>
          <w:rFonts w:eastAsiaTheme="minorHAnsi"/>
          <w:lang w:val="en-GB"/>
        </w:rPr>
        <w:t>5.</w:t>
      </w:r>
    </w:p>
    <w:p w14:paraId="3598E289" w14:textId="3B9B4D30" w:rsidR="00C90083" w:rsidRPr="008B3D34" w:rsidRDefault="00A06476" w:rsidP="004B4A90">
      <w:pPr>
        <w:pStyle w:val="CETBodytext"/>
        <w:rPr>
          <w:rStyle w:val="CETBodytextCarattere"/>
          <w:rFonts w:eastAsiaTheme="minorHAnsi"/>
          <w:lang w:val="en-GB"/>
        </w:rPr>
      </w:pPr>
      <w:r w:rsidRPr="008B3D34">
        <w:rPr>
          <w:rStyle w:val="CETBodytextCarattere"/>
          <w:rFonts w:eastAsiaTheme="minorHAnsi"/>
          <w:lang w:val="en-GB"/>
        </w:rPr>
        <w:lastRenderedPageBreak/>
        <w:t xml:space="preserve">Even though the scope of </w:t>
      </w:r>
      <w:r w:rsidR="00CC0174" w:rsidRPr="008B3D34">
        <w:rPr>
          <w:rStyle w:val="CETBodytextCarattere"/>
          <w:rFonts w:eastAsiaTheme="minorHAnsi"/>
          <w:lang w:val="en-GB"/>
        </w:rPr>
        <w:t xml:space="preserve">the </w:t>
      </w:r>
      <w:r w:rsidR="00555A8F" w:rsidRPr="008B3D34">
        <w:rPr>
          <w:rStyle w:val="CETBodytextCarattere"/>
          <w:rFonts w:eastAsiaTheme="minorHAnsi"/>
          <w:lang w:val="en-GB"/>
        </w:rPr>
        <w:t>AFB</w:t>
      </w:r>
      <w:r w:rsidRPr="008B3D34">
        <w:rPr>
          <w:rStyle w:val="CETBodytextCarattere"/>
          <w:rFonts w:eastAsiaTheme="minorHAnsi"/>
          <w:lang w:val="en-GB"/>
        </w:rPr>
        <w:t xml:space="preserve"> is the </w:t>
      </w:r>
      <w:r w:rsidR="00CC0174" w:rsidRPr="008B3D34">
        <w:rPr>
          <w:rStyle w:val="CETBodytextCarattere"/>
          <w:rFonts w:eastAsiaTheme="minorHAnsi"/>
          <w:lang w:val="en-GB"/>
        </w:rPr>
        <w:t xml:space="preserve">assessment of the </w:t>
      </w:r>
      <w:r w:rsidR="00D61191" w:rsidRPr="008B3D34">
        <w:rPr>
          <w:rStyle w:val="CETBodytextCarattere"/>
          <w:rFonts w:eastAsiaTheme="minorHAnsi"/>
          <w:lang w:val="en-GB"/>
        </w:rPr>
        <w:t>overall</w:t>
      </w:r>
      <w:r w:rsidRPr="008B3D34">
        <w:rPr>
          <w:rStyle w:val="CETBodytextCarattere"/>
          <w:rFonts w:eastAsiaTheme="minorHAnsi"/>
          <w:lang w:val="en-GB"/>
        </w:rPr>
        <w:t xml:space="preserve"> </w:t>
      </w:r>
      <w:r w:rsidR="00CC0174" w:rsidRPr="008B3D34">
        <w:rPr>
          <w:rStyle w:val="CETBodytextCarattere"/>
          <w:rFonts w:eastAsiaTheme="minorHAnsi"/>
          <w:lang w:val="en-GB"/>
        </w:rPr>
        <w:t xml:space="preserve">adequacy of the </w:t>
      </w:r>
      <w:r w:rsidRPr="008B3D34">
        <w:rPr>
          <w:rStyle w:val="CETBodytextCarattere"/>
          <w:rFonts w:eastAsiaTheme="minorHAnsi"/>
          <w:lang w:val="en-GB"/>
        </w:rPr>
        <w:t>establishment</w:t>
      </w:r>
      <w:r w:rsidR="00CC0174" w:rsidRPr="008B3D34">
        <w:rPr>
          <w:rStyle w:val="CETBodytextCarattere"/>
          <w:rFonts w:eastAsiaTheme="minorHAnsi"/>
          <w:lang w:val="en-GB"/>
        </w:rPr>
        <w:t xml:space="preserve"> from the point of view of ageing</w:t>
      </w:r>
      <w:r w:rsidRPr="008B3D34">
        <w:rPr>
          <w:rStyle w:val="CETBodytextCarattere"/>
          <w:rFonts w:eastAsiaTheme="minorHAnsi"/>
          <w:lang w:val="en-GB"/>
        </w:rPr>
        <w:t xml:space="preserve">, </w:t>
      </w:r>
      <w:r w:rsidR="00CC0174" w:rsidRPr="008B3D34">
        <w:rPr>
          <w:rStyle w:val="CETBodytextCarattere"/>
          <w:rFonts w:eastAsiaTheme="minorHAnsi"/>
          <w:lang w:val="en-GB"/>
        </w:rPr>
        <w:t>the</w:t>
      </w:r>
      <w:r w:rsidRPr="008B3D34">
        <w:rPr>
          <w:rStyle w:val="CETBodytextCarattere"/>
          <w:rFonts w:eastAsiaTheme="minorHAnsi"/>
          <w:lang w:val="en-GB"/>
        </w:rPr>
        <w:t xml:space="preserve"> application </w:t>
      </w:r>
      <w:r w:rsidR="00C90083" w:rsidRPr="008B3D34">
        <w:rPr>
          <w:rStyle w:val="CETBodytextCarattere"/>
          <w:rFonts w:eastAsiaTheme="minorHAnsi"/>
          <w:lang w:val="en-GB"/>
        </w:rPr>
        <w:t xml:space="preserve">to </w:t>
      </w:r>
      <w:r w:rsidRPr="008B3D34">
        <w:rPr>
          <w:rStyle w:val="CETBodytextCarattere"/>
          <w:rFonts w:eastAsiaTheme="minorHAnsi"/>
          <w:lang w:val="en-GB"/>
        </w:rPr>
        <w:t xml:space="preserve">a single critical item </w:t>
      </w:r>
      <w:r w:rsidR="00B5782E" w:rsidRPr="008B3D34">
        <w:rPr>
          <w:rStyle w:val="CETBodytextCarattere"/>
          <w:rFonts w:eastAsiaTheme="minorHAnsi"/>
          <w:lang w:val="en-GB"/>
        </w:rPr>
        <w:t>does make</w:t>
      </w:r>
      <w:r w:rsidRPr="008B3D34">
        <w:rPr>
          <w:rStyle w:val="CETBodytextCarattere"/>
          <w:rFonts w:eastAsiaTheme="minorHAnsi"/>
          <w:lang w:val="en-GB"/>
        </w:rPr>
        <w:t xml:space="preserve"> sense.</w:t>
      </w:r>
      <w:r w:rsidR="00DA5D29" w:rsidRPr="008B3D34">
        <w:rPr>
          <w:rStyle w:val="CETBodytextCarattere"/>
          <w:rFonts w:eastAsiaTheme="minorHAnsi"/>
          <w:lang w:val="en-GB"/>
        </w:rPr>
        <w:t xml:space="preserve"> </w:t>
      </w:r>
      <w:r w:rsidR="00CC0174" w:rsidRPr="008B3D34">
        <w:rPr>
          <w:rStyle w:val="CETBodytextCarattere"/>
          <w:rFonts w:eastAsiaTheme="minorHAnsi"/>
          <w:lang w:val="en-GB"/>
        </w:rPr>
        <w:t>The</w:t>
      </w:r>
      <w:r w:rsidR="00061E67" w:rsidRPr="008B3D34">
        <w:rPr>
          <w:rStyle w:val="CETBodytextCarattere"/>
          <w:rFonts w:eastAsiaTheme="minorHAnsi"/>
          <w:lang w:val="en-GB"/>
        </w:rPr>
        <w:t xml:space="preserve"> </w:t>
      </w:r>
      <w:r w:rsidR="00CC0174" w:rsidRPr="008B3D34">
        <w:rPr>
          <w:rStyle w:val="CETBodytextCarattere"/>
          <w:rFonts w:eastAsiaTheme="minorHAnsi"/>
          <w:i/>
          <w:iCs/>
          <w:lang w:val="en-GB"/>
        </w:rPr>
        <w:t>equipment</w:t>
      </w:r>
      <w:r w:rsidR="00061E67" w:rsidRPr="008B3D34">
        <w:rPr>
          <w:rStyle w:val="CETBodytextCarattere"/>
          <w:rFonts w:eastAsiaTheme="minorHAnsi"/>
          <w:i/>
          <w:iCs/>
          <w:lang w:val="en-GB"/>
        </w:rPr>
        <w:t xml:space="preserve"> </w:t>
      </w:r>
      <w:r w:rsidR="00D20C0C" w:rsidRPr="008B3D34">
        <w:rPr>
          <w:rStyle w:val="CETBodytextCarattere"/>
          <w:rFonts w:eastAsiaTheme="minorHAnsi"/>
          <w:i/>
          <w:iCs/>
          <w:lang w:val="en-GB"/>
        </w:rPr>
        <w:t xml:space="preserve">overall </w:t>
      </w:r>
      <w:r w:rsidR="00061E67" w:rsidRPr="008B3D34">
        <w:rPr>
          <w:rStyle w:val="CETBodytextCarattere"/>
          <w:rFonts w:eastAsiaTheme="minorHAnsi"/>
          <w:i/>
          <w:iCs/>
          <w:lang w:val="en-GB"/>
        </w:rPr>
        <w:t>index</w:t>
      </w:r>
      <w:r w:rsidR="00CC0174" w:rsidRPr="008B3D34">
        <w:rPr>
          <w:rStyle w:val="CETBodytextCarattere"/>
          <w:rFonts w:eastAsiaTheme="minorHAnsi"/>
          <w:lang w:val="en-GB"/>
        </w:rPr>
        <w:t xml:space="preserve"> </w:t>
      </w:r>
      <w:r w:rsidR="00D20C0C" w:rsidRPr="008B3D34">
        <w:rPr>
          <w:rStyle w:val="CETBodytextCarattere"/>
          <w:rFonts w:eastAsiaTheme="minorHAnsi"/>
          <w:lang w:val="en-GB"/>
        </w:rPr>
        <w:t xml:space="preserve">or simply </w:t>
      </w:r>
      <w:r w:rsidR="00D20C0C" w:rsidRPr="008B3D34">
        <w:rPr>
          <w:rStyle w:val="CETBodytextCarattere"/>
          <w:rFonts w:eastAsiaTheme="minorHAnsi"/>
          <w:i/>
          <w:iCs/>
          <w:lang w:val="en-GB"/>
        </w:rPr>
        <w:t>equipment index</w:t>
      </w:r>
      <w:r w:rsidR="00D20C0C" w:rsidRPr="008B3D34">
        <w:rPr>
          <w:rStyle w:val="CETBodytextCarattere"/>
          <w:rFonts w:eastAsiaTheme="minorHAnsi"/>
          <w:lang w:val="en-GB"/>
        </w:rPr>
        <w:t xml:space="preserve"> </w:t>
      </w:r>
      <w:r w:rsidR="003263EC" w:rsidRPr="008B3D34">
        <w:rPr>
          <w:rStyle w:val="CETBodytextCarattere"/>
          <w:rFonts w:eastAsiaTheme="minorHAnsi"/>
          <w:lang w:val="en-GB"/>
        </w:rPr>
        <w:t>(</w:t>
      </w:r>
      <w:r w:rsidR="00CC0174" w:rsidRPr="008B3D34">
        <w:rPr>
          <w:rStyle w:val="CETBodytextCarattere"/>
          <w:rFonts w:eastAsiaTheme="minorHAnsi"/>
          <w:lang w:val="en-GB"/>
        </w:rPr>
        <w:t xml:space="preserve">included </w:t>
      </w:r>
      <w:r w:rsidR="00061E67" w:rsidRPr="008B3D34">
        <w:rPr>
          <w:rStyle w:val="CETBodytextCarattere"/>
          <w:rFonts w:eastAsiaTheme="minorHAnsi"/>
          <w:lang w:val="en-GB"/>
        </w:rPr>
        <w:t xml:space="preserve">in the </w:t>
      </w:r>
      <w:r w:rsidR="00FD7595" w:rsidRPr="008B3D34">
        <w:rPr>
          <w:rStyle w:val="CETBodytextCarattere"/>
          <w:rFonts w:eastAsiaTheme="minorHAnsi"/>
          <w:lang w:val="en-GB"/>
        </w:rPr>
        <w:t>second</w:t>
      </w:r>
      <w:r w:rsidR="00EE6973" w:rsidRPr="008B3D34">
        <w:rPr>
          <w:rStyle w:val="CETBodytextCarattere"/>
          <w:rFonts w:eastAsiaTheme="minorHAnsi"/>
          <w:lang w:val="en-GB"/>
        </w:rPr>
        <w:t xml:space="preserve"> release of the</w:t>
      </w:r>
      <w:r w:rsidR="00061E67" w:rsidRPr="008B3D34">
        <w:rPr>
          <w:rStyle w:val="CETBodytextCarattere"/>
          <w:rFonts w:eastAsiaTheme="minorHAnsi"/>
          <w:lang w:val="en-GB"/>
        </w:rPr>
        <w:t xml:space="preserve"> method</w:t>
      </w:r>
      <w:r w:rsidR="00CC0174" w:rsidRPr="008B3D34">
        <w:rPr>
          <w:rStyle w:val="CETBodytextCarattere"/>
          <w:rFonts w:eastAsiaTheme="minorHAnsi"/>
          <w:lang w:val="en-GB"/>
        </w:rPr>
        <w:t>)</w:t>
      </w:r>
      <w:r w:rsidR="00EE6973" w:rsidRPr="008B3D34">
        <w:rPr>
          <w:rStyle w:val="CETBodytextCarattere"/>
          <w:rFonts w:eastAsiaTheme="minorHAnsi"/>
          <w:lang w:val="en-GB"/>
        </w:rPr>
        <w:t xml:space="preserve"> is</w:t>
      </w:r>
      <w:r w:rsidR="00061E67" w:rsidRPr="008B3D34">
        <w:rPr>
          <w:rStyle w:val="CETBodytextCarattere"/>
          <w:rFonts w:eastAsiaTheme="minorHAnsi"/>
          <w:lang w:val="en-GB"/>
        </w:rPr>
        <w:t xml:space="preserve"> defined </w:t>
      </w:r>
      <w:r w:rsidR="00CC47D9" w:rsidRPr="008B3D34">
        <w:rPr>
          <w:rStyle w:val="CETBodytextCarattere"/>
          <w:rFonts w:eastAsiaTheme="minorHAnsi"/>
          <w:lang w:val="en-GB"/>
        </w:rPr>
        <w:t xml:space="preserve">by </w:t>
      </w:r>
      <w:r w:rsidR="00EE6973" w:rsidRPr="008B3D34">
        <w:rPr>
          <w:rStyle w:val="CETBodytextCarattere"/>
          <w:rFonts w:eastAsiaTheme="minorHAnsi"/>
          <w:lang w:val="en-GB"/>
        </w:rPr>
        <w:t>Eq.(3)</w:t>
      </w:r>
      <w:r w:rsidR="00CC47D9" w:rsidRPr="008B3D34">
        <w:rPr>
          <w:rStyle w:val="CETBodytextCarattere"/>
          <w:rFonts w:eastAsiaTheme="minorHAnsi"/>
          <w:lang w:val="en-GB"/>
        </w:rPr>
        <w:t>:</w:t>
      </w:r>
    </w:p>
    <w:tbl>
      <w:tblPr>
        <w:tblW w:w="5000" w:type="pct"/>
        <w:tblLook w:val="04A0" w:firstRow="1" w:lastRow="0" w:firstColumn="1" w:lastColumn="0" w:noHBand="0" w:noVBand="1"/>
      </w:tblPr>
      <w:tblGrid>
        <w:gridCol w:w="8188"/>
        <w:gridCol w:w="815"/>
      </w:tblGrid>
      <w:tr w:rsidR="00CC0174" w:rsidRPr="008B3D34" w14:paraId="09BF08EE" w14:textId="77777777" w:rsidTr="00895D1B">
        <w:tc>
          <w:tcPr>
            <w:tcW w:w="8188" w:type="dxa"/>
            <w:shd w:val="clear" w:color="auto" w:fill="auto"/>
            <w:vAlign w:val="center"/>
          </w:tcPr>
          <w:p w14:paraId="160FC244" w14:textId="5C235799" w:rsidR="00CC0174" w:rsidRPr="008B3D34" w:rsidRDefault="00721D2F" w:rsidP="00A234FC">
            <w:pPr>
              <w:pStyle w:val="CETEquation"/>
              <w:spacing w:before="60" w:after="60"/>
            </w:pPr>
            <w:r w:rsidRPr="008B3D34">
              <w:rPr>
                <w:rStyle w:val="CETBodytextCarattere"/>
                <w:rFonts w:eastAsiaTheme="minorHAnsi"/>
                <w:lang w:val="en-GB"/>
              </w:rPr>
              <w:object w:dxaOrig="1500" w:dyaOrig="680" w14:anchorId="45B45316">
                <v:shape id="_x0000_i1027" type="#_x0000_t75" style="width:75.6pt;height:36pt" o:ole="">
                  <v:imagedata r:id="rId18" o:title=""/>
                </v:shape>
                <o:OLEObject Type="Embed" ProgID="Equation.DSMT4" ShapeID="_x0000_i1027" DrawAspect="Content" ObjectID="_1660382624" r:id="rId19"/>
              </w:object>
            </w:r>
          </w:p>
        </w:tc>
        <w:tc>
          <w:tcPr>
            <w:tcW w:w="815" w:type="dxa"/>
            <w:shd w:val="clear" w:color="auto" w:fill="auto"/>
            <w:vAlign w:val="center"/>
          </w:tcPr>
          <w:p w14:paraId="759C56E8" w14:textId="53D17EB3" w:rsidR="00CC0174" w:rsidRPr="008B3D34" w:rsidRDefault="00CC0174" w:rsidP="00A234FC">
            <w:pPr>
              <w:pStyle w:val="CETEquation"/>
              <w:spacing w:before="60" w:after="60"/>
              <w:jc w:val="right"/>
            </w:pPr>
            <w:r w:rsidRPr="008B3D34">
              <w:t>(3)</w:t>
            </w:r>
          </w:p>
        </w:tc>
      </w:tr>
    </w:tbl>
    <w:p w14:paraId="69928843" w14:textId="52E47D05" w:rsidR="00112341" w:rsidRPr="008B3D34" w:rsidRDefault="00061E67" w:rsidP="00112341">
      <w:pPr>
        <w:pStyle w:val="CETBodytext"/>
        <w:tabs>
          <w:tab w:val="left" w:pos="1134"/>
          <w:tab w:val="left" w:pos="1701"/>
          <w:tab w:val="left" w:pos="2410"/>
        </w:tabs>
        <w:rPr>
          <w:rStyle w:val="CETBodytextCarattere"/>
          <w:rFonts w:ascii="Times New Roman" w:eastAsiaTheme="minorHAnsi" w:hAnsi="Times New Roman"/>
          <w:i/>
          <w:lang w:val="en-GB"/>
        </w:rPr>
      </w:pPr>
      <w:r w:rsidRPr="008B3D34">
        <w:rPr>
          <w:rStyle w:val="CETBodytextCarattere"/>
          <w:rFonts w:eastAsiaTheme="minorHAnsi"/>
          <w:iCs/>
          <w:lang w:val="en-GB"/>
        </w:rPr>
        <w:t xml:space="preserve">where </w:t>
      </w:r>
      <w:proofErr w:type="spellStart"/>
      <w:r w:rsidR="008D79A4" w:rsidRPr="008B3D34">
        <w:rPr>
          <w:rStyle w:val="CETBodytextCarattere"/>
          <w:rFonts w:ascii="Times New Roman" w:eastAsiaTheme="minorHAnsi" w:hAnsi="Times New Roman"/>
          <w:i/>
          <w:lang w:val="en-GB"/>
        </w:rPr>
        <w:t>I</w:t>
      </w:r>
      <w:r w:rsidR="008D79A4" w:rsidRPr="008B3D34">
        <w:rPr>
          <w:rStyle w:val="CETBodytextCarattere"/>
          <w:rFonts w:ascii="Times New Roman" w:eastAsiaTheme="minorHAnsi" w:hAnsi="Times New Roman"/>
          <w:i/>
          <w:vertAlign w:val="subscript"/>
          <w:lang w:val="en-GB"/>
        </w:rPr>
        <w:t>eq</w:t>
      </w:r>
      <w:r w:rsidR="00721D2F" w:rsidRPr="008B3D34">
        <w:rPr>
          <w:rStyle w:val="CETBodytextCarattere"/>
          <w:rFonts w:ascii="Times New Roman" w:eastAsiaTheme="minorHAnsi" w:hAnsi="Times New Roman"/>
          <w:i/>
          <w:vertAlign w:val="subscript"/>
          <w:lang w:val="en-GB"/>
        </w:rPr>
        <w:t>,</w:t>
      </w:r>
      <w:r w:rsidR="008D79A4" w:rsidRPr="008B3D34">
        <w:rPr>
          <w:rStyle w:val="CETBodytextCarattere"/>
          <w:rFonts w:ascii="Times New Roman" w:eastAsiaTheme="minorHAnsi" w:hAnsi="Times New Roman"/>
          <w:i/>
          <w:vertAlign w:val="subscript"/>
          <w:lang w:val="en-GB"/>
        </w:rPr>
        <w:t>i</w:t>
      </w:r>
      <w:proofErr w:type="spellEnd"/>
      <w:r w:rsidR="008D79A4" w:rsidRPr="008B3D34">
        <w:rPr>
          <w:rStyle w:val="CETBodytextCarattere"/>
          <w:rFonts w:ascii="Times New Roman" w:eastAsiaTheme="minorHAnsi" w:hAnsi="Times New Roman"/>
          <w:i/>
          <w:lang w:val="en-GB"/>
        </w:rPr>
        <w:t xml:space="preserve"> </w:t>
      </w:r>
      <w:r w:rsidRPr="008B3D34">
        <w:rPr>
          <w:rStyle w:val="CETBodytextCarattere"/>
          <w:rFonts w:eastAsiaTheme="minorHAnsi"/>
          <w:iCs/>
          <w:lang w:val="en-GB"/>
        </w:rPr>
        <w:t xml:space="preserve">is the </w:t>
      </w:r>
      <w:r w:rsidR="00B032FE" w:rsidRPr="008B3D34">
        <w:rPr>
          <w:rStyle w:val="CETBodytextCarattere"/>
          <w:rFonts w:eastAsiaTheme="minorHAnsi"/>
          <w:iCs/>
          <w:lang w:val="en-GB"/>
        </w:rPr>
        <w:t>overall</w:t>
      </w:r>
      <w:r w:rsidR="00C90083" w:rsidRPr="008B3D34">
        <w:rPr>
          <w:rStyle w:val="CETBodytextCarattere"/>
          <w:rFonts w:eastAsiaTheme="minorHAnsi"/>
          <w:iCs/>
          <w:lang w:val="en-GB"/>
        </w:rPr>
        <w:t xml:space="preserve"> </w:t>
      </w:r>
      <w:r w:rsidRPr="008B3D34">
        <w:rPr>
          <w:rStyle w:val="CETBodytextCarattere"/>
          <w:rFonts w:eastAsiaTheme="minorHAnsi"/>
          <w:iCs/>
          <w:lang w:val="en-GB"/>
        </w:rPr>
        <w:t>index</w:t>
      </w:r>
      <w:r w:rsidR="00B032FE" w:rsidRPr="008B3D34">
        <w:rPr>
          <w:rStyle w:val="CETBodytextCarattere"/>
          <w:rFonts w:eastAsiaTheme="minorHAnsi"/>
          <w:iCs/>
          <w:lang w:val="en-GB"/>
        </w:rPr>
        <w:t xml:space="preserve"> for the equipment </w:t>
      </w:r>
      <w:proofErr w:type="spellStart"/>
      <w:r w:rsidR="00B032FE" w:rsidRPr="008B3D34">
        <w:rPr>
          <w:rStyle w:val="CETBodytextCarattere"/>
          <w:rFonts w:ascii="Times New Roman" w:eastAsiaTheme="minorHAnsi" w:hAnsi="Times New Roman"/>
          <w:i/>
          <w:lang w:val="en-GB"/>
        </w:rPr>
        <w:t>i</w:t>
      </w:r>
      <w:proofErr w:type="spellEnd"/>
      <w:r w:rsidRPr="008B3D34">
        <w:rPr>
          <w:rStyle w:val="CETBodytextCarattere"/>
          <w:rFonts w:eastAsiaTheme="minorHAnsi"/>
          <w:iCs/>
          <w:lang w:val="en-GB"/>
        </w:rPr>
        <w:t>.</w:t>
      </w:r>
    </w:p>
    <w:p w14:paraId="0439B87A" w14:textId="3A499E5C" w:rsidR="00C90083" w:rsidRPr="008B3D34" w:rsidRDefault="00401262" w:rsidP="00112341">
      <w:pPr>
        <w:pStyle w:val="CETBodytext"/>
        <w:tabs>
          <w:tab w:val="left" w:pos="1134"/>
          <w:tab w:val="left" w:pos="1701"/>
          <w:tab w:val="left" w:pos="2410"/>
        </w:tabs>
        <w:rPr>
          <w:rStyle w:val="CETBodytextCarattere"/>
          <w:rFonts w:eastAsiaTheme="minorHAnsi" w:cs="Arial"/>
          <w:lang w:val="en-GB"/>
        </w:rPr>
      </w:pPr>
      <w:r w:rsidRPr="008B3D34">
        <w:rPr>
          <w:rStyle w:val="CETBodytextCarattere"/>
          <w:rFonts w:eastAsiaTheme="minorHAnsi"/>
          <w:iCs/>
          <w:lang w:val="en-GB"/>
        </w:rPr>
        <w:t>F</w:t>
      </w:r>
      <w:r w:rsidR="00C90083" w:rsidRPr="008B3D34">
        <w:rPr>
          <w:rStyle w:val="CETBodytextCarattere"/>
          <w:rFonts w:eastAsiaTheme="minorHAnsi"/>
          <w:iCs/>
          <w:lang w:val="en-GB"/>
        </w:rPr>
        <w:t xml:space="preserve">or </w:t>
      </w:r>
      <w:r w:rsidR="00CF7238" w:rsidRPr="008B3D34">
        <w:rPr>
          <w:rStyle w:val="CETBodytextCarattere"/>
          <w:rFonts w:eastAsiaTheme="minorHAnsi"/>
          <w:iCs/>
          <w:lang w:val="en-GB"/>
        </w:rPr>
        <w:t>organi</w:t>
      </w:r>
      <w:r w:rsidR="00B032FE" w:rsidRPr="008B3D34">
        <w:rPr>
          <w:rStyle w:val="CETBodytextCarattere"/>
          <w:rFonts w:eastAsiaTheme="minorHAnsi"/>
          <w:iCs/>
          <w:lang w:val="en-GB"/>
        </w:rPr>
        <w:t>s</w:t>
      </w:r>
      <w:r w:rsidR="00CF7238" w:rsidRPr="008B3D34">
        <w:rPr>
          <w:rStyle w:val="CETBodytextCarattere"/>
          <w:rFonts w:eastAsiaTheme="minorHAnsi"/>
          <w:iCs/>
          <w:lang w:val="en-GB"/>
        </w:rPr>
        <w:t>ational</w:t>
      </w:r>
      <w:r w:rsidR="00061E67" w:rsidRPr="008B3D34">
        <w:rPr>
          <w:rStyle w:val="CETBodytextCarattere"/>
          <w:rFonts w:eastAsiaTheme="minorHAnsi"/>
          <w:iCs/>
          <w:lang w:val="en-GB"/>
        </w:rPr>
        <w:t xml:space="preserve"> factors, the </w:t>
      </w:r>
      <w:r w:rsidRPr="008B3D34">
        <w:rPr>
          <w:rStyle w:val="CETBodytextCarattere"/>
          <w:rFonts w:eastAsiaTheme="minorHAnsi"/>
          <w:iCs/>
          <w:lang w:val="en-GB"/>
        </w:rPr>
        <w:t xml:space="preserve">individual </w:t>
      </w:r>
      <w:r w:rsidR="00061E67" w:rsidRPr="008B3D34">
        <w:rPr>
          <w:rStyle w:val="CETBodytextCarattere"/>
          <w:rFonts w:eastAsiaTheme="minorHAnsi"/>
          <w:iCs/>
          <w:lang w:val="en-GB"/>
        </w:rPr>
        <w:t>score</w:t>
      </w:r>
      <w:r w:rsidR="00721D2F" w:rsidRPr="008B3D34">
        <w:rPr>
          <w:rStyle w:val="CETBodytextCarattere"/>
          <w:rFonts w:eastAsiaTheme="minorHAnsi"/>
          <w:iCs/>
          <w:lang w:val="en-GB"/>
        </w:rPr>
        <w:t xml:space="preserve"> (</w:t>
      </w:r>
      <w:proofErr w:type="spellStart"/>
      <w:r w:rsidR="00721D2F" w:rsidRPr="008B3D34">
        <w:rPr>
          <w:rStyle w:val="CETBodytextCarattere"/>
          <w:rFonts w:ascii="Times New Roman" w:eastAsiaTheme="minorHAnsi" w:hAnsi="Times New Roman"/>
          <w:i/>
          <w:lang w:val="en-GB"/>
        </w:rPr>
        <w:t>S</w:t>
      </w:r>
      <w:r w:rsidR="00721D2F" w:rsidRPr="008B3D34">
        <w:rPr>
          <w:rStyle w:val="CETBodytextCarattere"/>
          <w:rFonts w:ascii="Times New Roman" w:eastAsiaTheme="minorHAnsi" w:hAnsi="Times New Roman"/>
          <w:i/>
          <w:vertAlign w:val="subscript"/>
          <w:lang w:val="en-GB"/>
        </w:rPr>
        <w:t>k,i</w:t>
      </w:r>
      <w:proofErr w:type="spellEnd"/>
      <w:r w:rsidR="00721D2F" w:rsidRPr="008B3D34">
        <w:rPr>
          <w:rStyle w:val="CETBodytextCarattere"/>
          <w:rFonts w:eastAsiaTheme="minorHAnsi"/>
          <w:iCs/>
          <w:lang w:val="en-GB"/>
        </w:rPr>
        <w:t>)</w:t>
      </w:r>
      <w:r w:rsidRPr="008B3D34">
        <w:rPr>
          <w:rStyle w:val="CETBodytextCarattere"/>
          <w:rFonts w:eastAsiaTheme="minorHAnsi"/>
          <w:iCs/>
          <w:lang w:val="en-GB"/>
        </w:rPr>
        <w:t>, by definition,</w:t>
      </w:r>
      <w:r w:rsidR="00061E67" w:rsidRPr="008B3D34">
        <w:rPr>
          <w:rStyle w:val="CETBodytextCarattere"/>
          <w:rFonts w:eastAsiaTheme="minorHAnsi"/>
          <w:iCs/>
          <w:lang w:val="en-GB"/>
        </w:rPr>
        <w:t xml:space="preserve"> is</w:t>
      </w:r>
      <w:r w:rsidR="00561AA2" w:rsidRPr="008B3D34">
        <w:rPr>
          <w:rStyle w:val="CETBodytextCarattere"/>
          <w:rFonts w:eastAsiaTheme="minorHAnsi"/>
          <w:iCs/>
          <w:lang w:val="en-GB"/>
        </w:rPr>
        <w:t xml:space="preserve"> the same </w:t>
      </w:r>
      <w:r w:rsidR="003263EC" w:rsidRPr="008B3D34">
        <w:rPr>
          <w:rStyle w:val="CETBodytextCarattere"/>
          <w:rFonts w:eastAsiaTheme="minorHAnsi"/>
          <w:iCs/>
          <w:lang w:val="en-GB"/>
        </w:rPr>
        <w:t>of</w:t>
      </w:r>
      <w:r w:rsidR="00561AA2" w:rsidRPr="008B3D34">
        <w:rPr>
          <w:rStyle w:val="CETBodytextCarattere"/>
          <w:rFonts w:eastAsiaTheme="minorHAnsi"/>
          <w:iCs/>
          <w:lang w:val="en-GB"/>
        </w:rPr>
        <w:t xml:space="preserve"> the overall score </w:t>
      </w:r>
      <w:r w:rsidR="00721D2F" w:rsidRPr="008B3D34">
        <w:rPr>
          <w:rStyle w:val="CETBodytextCarattere"/>
          <w:rFonts w:eastAsiaTheme="minorHAnsi"/>
          <w:iCs/>
          <w:lang w:val="en-GB"/>
        </w:rPr>
        <w:t>(</w:t>
      </w:r>
      <w:proofErr w:type="spellStart"/>
      <w:r w:rsidR="00721D2F" w:rsidRPr="008B3D34">
        <w:rPr>
          <w:rStyle w:val="CETBodytextCarattere"/>
          <w:rFonts w:ascii="Times New Roman" w:eastAsiaTheme="minorHAnsi" w:hAnsi="Times New Roman"/>
          <w:i/>
          <w:lang w:val="en-GB"/>
        </w:rPr>
        <w:t>S</w:t>
      </w:r>
      <w:r w:rsidR="00721D2F" w:rsidRPr="008B3D34">
        <w:rPr>
          <w:rStyle w:val="CETBodytextCarattere"/>
          <w:rFonts w:ascii="Times New Roman" w:eastAsiaTheme="minorHAnsi" w:hAnsi="Times New Roman"/>
          <w:i/>
          <w:vertAlign w:val="subscript"/>
          <w:lang w:val="en-GB"/>
        </w:rPr>
        <w:t>k</w:t>
      </w:r>
      <w:proofErr w:type="spellEnd"/>
      <w:r w:rsidR="00721D2F" w:rsidRPr="008B3D34">
        <w:rPr>
          <w:rStyle w:val="CETBodytextCarattere"/>
          <w:rFonts w:eastAsiaTheme="minorHAnsi"/>
          <w:iCs/>
          <w:lang w:val="en-GB"/>
        </w:rPr>
        <w:t xml:space="preserve">) </w:t>
      </w:r>
      <w:r w:rsidR="00561AA2" w:rsidRPr="008B3D34">
        <w:rPr>
          <w:rStyle w:val="CETBodytextCarattere"/>
          <w:rFonts w:eastAsiaTheme="minorHAnsi"/>
          <w:iCs/>
          <w:lang w:val="en-GB"/>
        </w:rPr>
        <w:t xml:space="preserve">and equal </w:t>
      </w:r>
      <w:r w:rsidR="00061E67" w:rsidRPr="008B3D34">
        <w:rPr>
          <w:rStyle w:val="CETBodytextCarattere"/>
          <w:rFonts w:eastAsiaTheme="minorHAnsi"/>
          <w:iCs/>
          <w:lang w:val="en-GB"/>
        </w:rPr>
        <w:t>for all</w:t>
      </w:r>
      <w:r w:rsidR="00061E67" w:rsidRPr="008B3D34">
        <w:rPr>
          <w:rStyle w:val="CETBodytextCarattere"/>
          <w:rFonts w:eastAsiaTheme="minorHAnsi" w:cs="Arial"/>
          <w:lang w:val="en-GB"/>
        </w:rPr>
        <w:t xml:space="preserve"> items</w:t>
      </w:r>
      <w:r w:rsidRPr="008B3D34">
        <w:rPr>
          <w:rStyle w:val="CETBodytextCarattere"/>
          <w:rFonts w:eastAsiaTheme="minorHAnsi" w:cs="Arial"/>
          <w:lang w:val="en-GB"/>
        </w:rPr>
        <w:t xml:space="preserve">. The </w:t>
      </w:r>
      <w:r w:rsidRPr="008B3D34">
        <w:rPr>
          <w:rStyle w:val="CETBodytextCarattere"/>
          <w:rFonts w:eastAsiaTheme="minorHAnsi" w:cs="Arial"/>
          <w:i/>
          <w:iCs/>
          <w:lang w:val="en-GB"/>
        </w:rPr>
        <w:t xml:space="preserve">overall </w:t>
      </w:r>
      <w:r w:rsidR="00561AA2" w:rsidRPr="008B3D34">
        <w:rPr>
          <w:rStyle w:val="CETBodytextCarattere"/>
          <w:rFonts w:eastAsiaTheme="minorHAnsi" w:cs="Arial"/>
          <w:i/>
          <w:iCs/>
          <w:lang w:val="en-GB"/>
        </w:rPr>
        <w:t>adequacy</w:t>
      </w:r>
      <w:r w:rsidRPr="008B3D34">
        <w:rPr>
          <w:rStyle w:val="CETBodytextCarattere"/>
          <w:rFonts w:eastAsiaTheme="minorHAnsi" w:cs="Arial"/>
          <w:i/>
          <w:iCs/>
          <w:lang w:val="en-GB"/>
        </w:rPr>
        <w:t xml:space="preserve"> index</w:t>
      </w:r>
      <w:r w:rsidRPr="008B3D34">
        <w:rPr>
          <w:rStyle w:val="CETBodytextCarattere"/>
          <w:rFonts w:eastAsiaTheme="minorHAnsi" w:cs="Arial"/>
          <w:lang w:val="en-GB"/>
        </w:rPr>
        <w:t xml:space="preserve"> </w:t>
      </w:r>
      <w:r w:rsidR="00561AA2" w:rsidRPr="008B3D34">
        <w:rPr>
          <w:rStyle w:val="CETBodytextCarattere"/>
          <w:rFonts w:eastAsiaTheme="minorHAnsi" w:cs="Arial"/>
          <w:lang w:val="en-GB"/>
        </w:rPr>
        <w:t xml:space="preserve">is </w:t>
      </w:r>
      <w:r w:rsidRPr="008B3D34">
        <w:rPr>
          <w:rStyle w:val="CETBodytextCarattere"/>
          <w:rFonts w:eastAsiaTheme="minorHAnsi" w:cs="Arial"/>
          <w:lang w:val="en-GB"/>
        </w:rPr>
        <w:t xml:space="preserve">the average </w:t>
      </w:r>
      <w:r w:rsidR="003263EC" w:rsidRPr="008B3D34">
        <w:rPr>
          <w:rStyle w:val="CETBodytextCarattere"/>
          <w:rFonts w:eastAsiaTheme="minorHAnsi" w:cs="Arial"/>
          <w:lang w:val="en-GB"/>
        </w:rPr>
        <w:t>amongst all</w:t>
      </w:r>
      <w:r w:rsidR="00561AA2" w:rsidRPr="008B3D34">
        <w:rPr>
          <w:rStyle w:val="CETBodytextCarattere"/>
          <w:rFonts w:eastAsiaTheme="minorHAnsi" w:cs="Arial"/>
          <w:lang w:val="en-GB"/>
        </w:rPr>
        <w:t xml:space="preserve"> equipment ind</w:t>
      </w:r>
      <w:r w:rsidR="003263EC" w:rsidRPr="008B3D34">
        <w:rPr>
          <w:rStyle w:val="CETBodytextCarattere"/>
          <w:rFonts w:eastAsiaTheme="minorHAnsi" w:cs="Arial"/>
          <w:lang w:val="en-GB"/>
        </w:rPr>
        <w:t>e</w:t>
      </w:r>
      <w:r w:rsidR="00561AA2" w:rsidRPr="008B3D34">
        <w:rPr>
          <w:rStyle w:val="CETBodytextCarattere"/>
          <w:rFonts w:eastAsiaTheme="minorHAnsi" w:cs="Arial"/>
          <w:lang w:val="en-GB"/>
        </w:rPr>
        <w:t>x</w:t>
      </w:r>
      <w:r w:rsidR="003263EC" w:rsidRPr="008B3D34">
        <w:rPr>
          <w:rStyle w:val="CETBodytextCarattere"/>
          <w:rFonts w:eastAsiaTheme="minorHAnsi" w:cs="Arial"/>
          <w:lang w:val="en-GB"/>
        </w:rPr>
        <w:t>es</w:t>
      </w:r>
      <w:r w:rsidR="00EE6973" w:rsidRPr="008B3D34">
        <w:rPr>
          <w:rStyle w:val="CETBodytextCarattere"/>
          <w:rFonts w:eastAsiaTheme="minorHAnsi" w:cs="Arial"/>
          <w:lang w:val="en-GB"/>
        </w:rPr>
        <w:t>, according to Eq.(4)</w:t>
      </w:r>
      <w:r w:rsidR="00CC47D9" w:rsidRPr="008B3D34">
        <w:rPr>
          <w:rStyle w:val="CETBodytextCarattere"/>
          <w:rFonts w:eastAsiaTheme="minorHAnsi" w:cs="Arial"/>
          <w:lang w:val="en-GB"/>
        </w:rPr>
        <w:t>:</w:t>
      </w:r>
    </w:p>
    <w:tbl>
      <w:tblPr>
        <w:tblW w:w="5000" w:type="pct"/>
        <w:tblLook w:val="04A0" w:firstRow="1" w:lastRow="0" w:firstColumn="1" w:lastColumn="0" w:noHBand="0" w:noVBand="1"/>
      </w:tblPr>
      <w:tblGrid>
        <w:gridCol w:w="8188"/>
        <w:gridCol w:w="815"/>
      </w:tblGrid>
      <w:tr w:rsidR="00561AA2" w:rsidRPr="008B3D34" w14:paraId="333DC562" w14:textId="77777777" w:rsidTr="00895D1B">
        <w:tc>
          <w:tcPr>
            <w:tcW w:w="8188" w:type="dxa"/>
            <w:shd w:val="clear" w:color="auto" w:fill="auto"/>
            <w:vAlign w:val="center"/>
          </w:tcPr>
          <w:p w14:paraId="41C0429E" w14:textId="0A4C0AA6" w:rsidR="00561AA2" w:rsidRPr="008B3D34" w:rsidRDefault="00721D2F" w:rsidP="00A234FC">
            <w:pPr>
              <w:pStyle w:val="CETEquation"/>
              <w:spacing w:before="60" w:after="60"/>
            </w:pPr>
            <w:r w:rsidRPr="008B3D34">
              <w:rPr>
                <w:rStyle w:val="CETBodytextCarattere"/>
                <w:rFonts w:eastAsiaTheme="minorHAnsi"/>
                <w:lang w:val="en-GB"/>
              </w:rPr>
              <w:object w:dxaOrig="1740" w:dyaOrig="680" w14:anchorId="48F38849">
                <v:shape id="_x0000_i1028" type="#_x0000_t75" style="width:89.4pt;height:36pt" o:ole="">
                  <v:imagedata r:id="rId20" o:title=""/>
                </v:shape>
                <o:OLEObject Type="Embed" ProgID="Equation.DSMT4" ShapeID="_x0000_i1028" DrawAspect="Content" ObjectID="_1660382625" r:id="rId21"/>
              </w:object>
            </w:r>
          </w:p>
        </w:tc>
        <w:tc>
          <w:tcPr>
            <w:tcW w:w="815" w:type="dxa"/>
            <w:shd w:val="clear" w:color="auto" w:fill="auto"/>
            <w:vAlign w:val="center"/>
          </w:tcPr>
          <w:p w14:paraId="07C88909" w14:textId="3721DEC3" w:rsidR="00561AA2" w:rsidRPr="008B3D34" w:rsidRDefault="00561AA2" w:rsidP="00A234FC">
            <w:pPr>
              <w:pStyle w:val="CETEquation"/>
              <w:spacing w:before="60" w:after="60"/>
              <w:jc w:val="right"/>
            </w:pPr>
            <w:r w:rsidRPr="008B3D34">
              <w:t>(4)</w:t>
            </w:r>
          </w:p>
        </w:tc>
      </w:tr>
    </w:tbl>
    <w:p w14:paraId="42D861CD" w14:textId="229C7D86" w:rsidR="009008F5" w:rsidRPr="008B3D34" w:rsidRDefault="009008F5" w:rsidP="00C80CF2">
      <w:pPr>
        <w:pStyle w:val="CETheadingx"/>
      </w:pPr>
      <w:r w:rsidRPr="008B3D34">
        <w:t xml:space="preserve">Updating </w:t>
      </w:r>
      <w:r w:rsidR="00B23662" w:rsidRPr="008B3D34">
        <w:t>failure rates and risk assessment</w:t>
      </w:r>
    </w:p>
    <w:p w14:paraId="314F6494" w14:textId="09188D4A" w:rsidR="00B23662" w:rsidRPr="008B3D34" w:rsidRDefault="00721D2F" w:rsidP="00B23662">
      <w:pPr>
        <w:pStyle w:val="CETBodytext"/>
        <w:rPr>
          <w:lang w:val="en-GB"/>
        </w:rPr>
      </w:pPr>
      <w:r w:rsidRPr="008B3D34">
        <w:rPr>
          <w:lang w:val="en-GB"/>
        </w:rPr>
        <w:t>G</w:t>
      </w:r>
      <w:r w:rsidR="00E2036F" w:rsidRPr="008B3D34">
        <w:rPr>
          <w:lang w:val="en-GB"/>
        </w:rPr>
        <w:t xml:space="preserve">eneric </w:t>
      </w:r>
      <w:r w:rsidR="00860AF6" w:rsidRPr="008B3D34">
        <w:rPr>
          <w:lang w:val="en-GB"/>
        </w:rPr>
        <w:t xml:space="preserve">frequencies of failure </w:t>
      </w:r>
      <w:r w:rsidR="00153FA6" w:rsidRPr="008B3D34">
        <w:rPr>
          <w:lang w:val="en-GB"/>
        </w:rPr>
        <w:t>to be used in</w:t>
      </w:r>
      <w:r w:rsidRPr="008B3D34">
        <w:rPr>
          <w:lang w:val="en-GB"/>
        </w:rPr>
        <w:t xml:space="preserve"> the</w:t>
      </w:r>
      <w:r w:rsidR="00153FA6" w:rsidRPr="008B3D34">
        <w:rPr>
          <w:lang w:val="en-GB"/>
        </w:rPr>
        <w:t xml:space="preserve"> risk assessment </w:t>
      </w:r>
      <w:r w:rsidR="00860AF6" w:rsidRPr="008B3D34">
        <w:rPr>
          <w:lang w:val="en-GB"/>
        </w:rPr>
        <w:t>are provided by recogni</w:t>
      </w:r>
      <w:r w:rsidR="00153FA6" w:rsidRPr="008B3D34">
        <w:rPr>
          <w:lang w:val="en-GB"/>
        </w:rPr>
        <w:t>s</w:t>
      </w:r>
      <w:r w:rsidR="00860AF6" w:rsidRPr="008B3D34">
        <w:rPr>
          <w:lang w:val="en-GB"/>
        </w:rPr>
        <w:t>ed database</w:t>
      </w:r>
      <w:r w:rsidR="00153FA6" w:rsidRPr="008B3D34">
        <w:rPr>
          <w:lang w:val="en-GB"/>
        </w:rPr>
        <w:t>s that</w:t>
      </w:r>
      <w:r w:rsidR="00860AF6" w:rsidRPr="008B3D34">
        <w:rPr>
          <w:lang w:val="en-GB"/>
        </w:rPr>
        <w:t xml:space="preserve"> gather worldwide</w:t>
      </w:r>
      <w:r w:rsidR="00153FA6" w:rsidRPr="008B3D34">
        <w:rPr>
          <w:lang w:val="en-GB"/>
        </w:rPr>
        <w:t xml:space="preserve"> data</w:t>
      </w:r>
      <w:r w:rsidR="00860AF6" w:rsidRPr="008B3D34">
        <w:rPr>
          <w:lang w:val="en-GB"/>
        </w:rPr>
        <w:t>. Th</w:t>
      </w:r>
      <w:r w:rsidR="008F48CA" w:rsidRPr="008B3D34">
        <w:rPr>
          <w:lang w:val="en-GB"/>
        </w:rPr>
        <w:t>ese frequencies are representative of</w:t>
      </w:r>
      <w:r w:rsidR="00153FA6" w:rsidRPr="008B3D34">
        <w:rPr>
          <w:lang w:val="en-GB"/>
        </w:rPr>
        <w:t xml:space="preserve"> </w:t>
      </w:r>
      <w:r w:rsidR="00860AF6" w:rsidRPr="008B3D34">
        <w:rPr>
          <w:lang w:val="en-GB"/>
        </w:rPr>
        <w:t xml:space="preserve">equipment </w:t>
      </w:r>
      <w:r w:rsidR="00153FA6" w:rsidRPr="008B3D34">
        <w:rPr>
          <w:lang w:val="en-GB"/>
        </w:rPr>
        <w:t>assumed</w:t>
      </w:r>
      <w:r w:rsidR="0060772A" w:rsidRPr="008B3D34">
        <w:rPr>
          <w:lang w:val="en-GB"/>
        </w:rPr>
        <w:t xml:space="preserve"> to be</w:t>
      </w:r>
      <w:r w:rsidR="00153FA6" w:rsidRPr="008B3D34">
        <w:rPr>
          <w:lang w:val="en-GB"/>
        </w:rPr>
        <w:t xml:space="preserve"> in an </w:t>
      </w:r>
      <w:r w:rsidR="00860AF6" w:rsidRPr="008B3D34">
        <w:rPr>
          <w:lang w:val="en-GB"/>
        </w:rPr>
        <w:t>“average” condition</w:t>
      </w:r>
      <w:r w:rsidR="00153FA6" w:rsidRPr="008B3D34">
        <w:rPr>
          <w:lang w:val="en-GB"/>
        </w:rPr>
        <w:t xml:space="preserve"> with respect </w:t>
      </w:r>
      <w:r w:rsidR="00D37D57" w:rsidRPr="008B3D34">
        <w:rPr>
          <w:lang w:val="en-GB"/>
        </w:rPr>
        <w:t xml:space="preserve">to </w:t>
      </w:r>
      <w:r w:rsidR="00153FA6" w:rsidRPr="008B3D34">
        <w:rPr>
          <w:lang w:val="en-GB"/>
        </w:rPr>
        <w:t>the safety management</w:t>
      </w:r>
      <w:r w:rsidR="00860AF6" w:rsidRPr="008B3D34">
        <w:rPr>
          <w:lang w:val="en-GB"/>
        </w:rPr>
        <w:t xml:space="preserve">. </w:t>
      </w:r>
      <w:r w:rsidR="00153FA6" w:rsidRPr="008B3D34">
        <w:rPr>
          <w:lang w:val="en-GB"/>
        </w:rPr>
        <w:t>By d</w:t>
      </w:r>
      <w:r w:rsidR="00AA0830" w:rsidRPr="008B3D34">
        <w:rPr>
          <w:lang w:val="en-GB"/>
        </w:rPr>
        <w:t xml:space="preserve">eveloping </w:t>
      </w:r>
      <w:r w:rsidR="00153FA6" w:rsidRPr="008B3D34">
        <w:rPr>
          <w:lang w:val="en-GB"/>
        </w:rPr>
        <w:t>the</w:t>
      </w:r>
      <w:r w:rsidR="00AA0830" w:rsidRPr="008B3D34">
        <w:rPr>
          <w:lang w:val="en-GB"/>
        </w:rPr>
        <w:t xml:space="preserve"> concept introduced</w:t>
      </w:r>
      <w:r w:rsidR="000020D5" w:rsidRPr="008B3D34">
        <w:rPr>
          <w:lang w:val="en-GB"/>
        </w:rPr>
        <w:t xml:space="preserve"> </w:t>
      </w:r>
      <w:r w:rsidR="00E020C2" w:rsidRPr="008B3D34">
        <w:rPr>
          <w:lang w:val="en-GB"/>
        </w:rPr>
        <w:t xml:space="preserve">by </w:t>
      </w:r>
      <w:proofErr w:type="spellStart"/>
      <w:r w:rsidR="00E020C2" w:rsidRPr="008B3D34">
        <w:rPr>
          <w:lang w:val="en-GB"/>
        </w:rPr>
        <w:t>Papazoglou</w:t>
      </w:r>
      <w:proofErr w:type="spellEnd"/>
      <w:r w:rsidR="00E020C2" w:rsidRPr="008B3D34">
        <w:rPr>
          <w:lang w:val="en-GB"/>
        </w:rPr>
        <w:t xml:space="preserve"> and </w:t>
      </w:r>
      <w:proofErr w:type="spellStart"/>
      <w:r w:rsidR="00E020C2" w:rsidRPr="008B3D34">
        <w:rPr>
          <w:lang w:val="en-GB"/>
        </w:rPr>
        <w:t>Aneziri</w:t>
      </w:r>
      <w:r w:rsidR="00891D6A" w:rsidRPr="008B3D34">
        <w:rPr>
          <w:lang w:val="en-GB"/>
        </w:rPr>
        <w:t>s</w:t>
      </w:r>
      <w:proofErr w:type="spellEnd"/>
      <w:r w:rsidR="00E020C2" w:rsidRPr="008B3D34">
        <w:rPr>
          <w:lang w:val="en-GB"/>
        </w:rPr>
        <w:t xml:space="preserve"> (1999</w:t>
      </w:r>
      <w:r w:rsidR="00AA0830" w:rsidRPr="008B3D34">
        <w:rPr>
          <w:lang w:val="en-GB"/>
        </w:rPr>
        <w:t xml:space="preserve">), </w:t>
      </w:r>
      <w:r w:rsidR="000020D5" w:rsidRPr="008B3D34">
        <w:rPr>
          <w:lang w:val="en-GB"/>
        </w:rPr>
        <w:t xml:space="preserve">Milazzo et al. (2010) discussed in the </w:t>
      </w:r>
      <w:r w:rsidR="00AA0830" w:rsidRPr="008B3D34">
        <w:rPr>
          <w:lang w:val="en-GB"/>
        </w:rPr>
        <w:t>detail</w:t>
      </w:r>
      <w:r w:rsidR="000020D5" w:rsidRPr="008B3D34">
        <w:rPr>
          <w:lang w:val="en-GB"/>
        </w:rPr>
        <w:t xml:space="preserve"> </w:t>
      </w:r>
      <w:r w:rsidR="00153FA6" w:rsidRPr="008B3D34">
        <w:rPr>
          <w:lang w:val="en-GB"/>
        </w:rPr>
        <w:t xml:space="preserve">how to </w:t>
      </w:r>
      <w:r w:rsidR="00AA0830" w:rsidRPr="008B3D34">
        <w:rPr>
          <w:lang w:val="en-GB"/>
        </w:rPr>
        <w:t xml:space="preserve">weight </w:t>
      </w:r>
      <w:r w:rsidR="00153FA6" w:rsidRPr="008B3D34">
        <w:rPr>
          <w:lang w:val="en-GB"/>
        </w:rPr>
        <w:t xml:space="preserve">and judge the effects of the safety management, i.e. </w:t>
      </w:r>
      <w:r w:rsidR="00AA0830" w:rsidRPr="008B3D34">
        <w:rPr>
          <w:lang w:val="en-GB"/>
        </w:rPr>
        <w:t xml:space="preserve">the different </w:t>
      </w:r>
      <w:r w:rsidR="000020D5" w:rsidRPr="008B3D34">
        <w:rPr>
          <w:lang w:val="en-GB"/>
        </w:rPr>
        <w:t xml:space="preserve">measures adopted by the company to prevent </w:t>
      </w:r>
      <w:r w:rsidR="00AA0830" w:rsidRPr="008B3D34">
        <w:rPr>
          <w:lang w:val="en-GB"/>
        </w:rPr>
        <w:t>failures</w:t>
      </w:r>
      <w:r w:rsidR="008F48CA" w:rsidRPr="008B3D34">
        <w:rPr>
          <w:lang w:val="en-GB"/>
        </w:rPr>
        <w:t>. T</w:t>
      </w:r>
      <w:r w:rsidR="00153FA6" w:rsidRPr="008B3D34">
        <w:rPr>
          <w:lang w:val="en-GB"/>
        </w:rPr>
        <w:t xml:space="preserve">hey </w:t>
      </w:r>
      <w:r w:rsidR="00AA0830" w:rsidRPr="008B3D34">
        <w:rPr>
          <w:lang w:val="en-GB"/>
        </w:rPr>
        <w:t>assum</w:t>
      </w:r>
      <w:r w:rsidR="00153FA6" w:rsidRPr="008B3D34">
        <w:rPr>
          <w:lang w:val="en-GB"/>
        </w:rPr>
        <w:t>ed that</w:t>
      </w:r>
      <w:r w:rsidR="00AA0830" w:rsidRPr="008B3D34">
        <w:rPr>
          <w:lang w:val="en-GB"/>
        </w:rPr>
        <w:t xml:space="preserve"> t</w:t>
      </w:r>
      <w:r w:rsidR="00860AF6" w:rsidRPr="008B3D34">
        <w:rPr>
          <w:lang w:val="en-GB"/>
        </w:rPr>
        <w:t xml:space="preserve">he </w:t>
      </w:r>
      <w:r w:rsidR="00D37D57" w:rsidRPr="008B3D34">
        <w:rPr>
          <w:lang w:val="en-GB"/>
        </w:rPr>
        <w:t>frequencies</w:t>
      </w:r>
      <w:r w:rsidR="00860AF6" w:rsidRPr="008B3D34">
        <w:rPr>
          <w:lang w:val="en-GB"/>
        </w:rPr>
        <w:t xml:space="preserve"> </w:t>
      </w:r>
      <w:r w:rsidR="00AA0830" w:rsidRPr="008B3D34">
        <w:rPr>
          <w:lang w:val="en-GB"/>
        </w:rPr>
        <w:t>could range</w:t>
      </w:r>
      <w:r w:rsidR="00153FA6" w:rsidRPr="008B3D34">
        <w:rPr>
          <w:lang w:val="en-GB"/>
        </w:rPr>
        <w:t xml:space="preserve"> between </w:t>
      </w:r>
      <w:r w:rsidR="00AA0830" w:rsidRPr="008B3D34">
        <w:rPr>
          <w:lang w:val="en-GB"/>
        </w:rPr>
        <w:t xml:space="preserve">an </w:t>
      </w:r>
      <w:r w:rsidR="00860AF6" w:rsidRPr="008B3D34">
        <w:rPr>
          <w:lang w:val="en-GB"/>
        </w:rPr>
        <w:t xml:space="preserve">order </w:t>
      </w:r>
      <w:r w:rsidR="00AA0830" w:rsidRPr="008B3D34">
        <w:rPr>
          <w:lang w:val="en-GB"/>
        </w:rPr>
        <w:t>of magnitude</w:t>
      </w:r>
      <w:r w:rsidR="00765097" w:rsidRPr="008B3D34">
        <w:rPr>
          <w:lang w:val="en-GB"/>
        </w:rPr>
        <w:t>, which can be</w:t>
      </w:r>
      <w:r w:rsidR="00AA0830" w:rsidRPr="008B3D34">
        <w:rPr>
          <w:lang w:val="en-GB"/>
        </w:rPr>
        <w:t xml:space="preserve"> </w:t>
      </w:r>
      <w:r w:rsidR="00860AF6" w:rsidRPr="008B3D34">
        <w:rPr>
          <w:lang w:val="en-GB"/>
        </w:rPr>
        <w:t>higher or lower than generic values</w:t>
      </w:r>
      <w:r w:rsidR="00153FA6" w:rsidRPr="008B3D34">
        <w:rPr>
          <w:lang w:val="en-GB"/>
        </w:rPr>
        <w:t xml:space="preserve"> taken from the database</w:t>
      </w:r>
      <w:r w:rsidR="00860AF6" w:rsidRPr="008B3D34">
        <w:rPr>
          <w:lang w:val="en-GB"/>
        </w:rPr>
        <w:t xml:space="preserve">. </w:t>
      </w:r>
      <w:r w:rsidR="0060772A" w:rsidRPr="008B3D34">
        <w:rPr>
          <w:lang w:val="en-GB"/>
        </w:rPr>
        <w:t>I</w:t>
      </w:r>
      <w:r w:rsidR="006F0966" w:rsidRPr="008B3D34">
        <w:rPr>
          <w:lang w:val="en-GB"/>
        </w:rPr>
        <w:t xml:space="preserve">n </w:t>
      </w:r>
      <w:r w:rsidR="00E2036F" w:rsidRPr="008B3D34">
        <w:rPr>
          <w:lang w:val="en-GB"/>
        </w:rPr>
        <w:t>API 581</w:t>
      </w:r>
      <w:r w:rsidR="00153FA6" w:rsidRPr="008B3D34">
        <w:rPr>
          <w:lang w:val="en-GB"/>
        </w:rPr>
        <w:t xml:space="preserve"> (</w:t>
      </w:r>
      <w:r w:rsidR="00E020C2" w:rsidRPr="008B3D34">
        <w:rPr>
          <w:lang w:val="en-GB"/>
        </w:rPr>
        <w:t xml:space="preserve">API </w:t>
      </w:r>
      <w:r w:rsidR="00153FA6" w:rsidRPr="008B3D34">
        <w:rPr>
          <w:lang w:val="en-GB"/>
        </w:rPr>
        <w:t>2</w:t>
      </w:r>
      <w:r w:rsidR="00AA0830" w:rsidRPr="008B3D34">
        <w:rPr>
          <w:lang w:val="en-GB"/>
        </w:rPr>
        <w:t>016</w:t>
      </w:r>
      <w:r w:rsidR="005C7C84" w:rsidRPr="008B3D34">
        <w:rPr>
          <w:lang w:val="en-GB"/>
        </w:rPr>
        <w:t>b</w:t>
      </w:r>
      <w:r w:rsidR="00153FA6" w:rsidRPr="008B3D34">
        <w:rPr>
          <w:lang w:val="en-GB"/>
        </w:rPr>
        <w:t>)</w:t>
      </w:r>
      <w:r w:rsidR="0060772A" w:rsidRPr="008B3D34">
        <w:rPr>
          <w:lang w:val="en-GB"/>
        </w:rPr>
        <w:t>, the same range of variability is assumed.</w:t>
      </w:r>
      <w:r w:rsidR="00011543" w:rsidRPr="008B3D34">
        <w:rPr>
          <w:lang w:val="en-GB"/>
        </w:rPr>
        <w:t xml:space="preserve"> </w:t>
      </w:r>
      <w:r w:rsidR="002A436F" w:rsidRPr="008B3D34">
        <w:rPr>
          <w:lang w:val="en-GB"/>
        </w:rPr>
        <w:t>As previously discussed, the</w:t>
      </w:r>
      <w:r w:rsidR="00011543" w:rsidRPr="008B3D34">
        <w:rPr>
          <w:lang w:val="en-GB"/>
        </w:rPr>
        <w:t xml:space="preserve"> </w:t>
      </w:r>
      <w:r w:rsidR="00555A8F" w:rsidRPr="008B3D34">
        <w:rPr>
          <w:lang w:val="en-GB"/>
        </w:rPr>
        <w:t>AFB</w:t>
      </w:r>
      <w:r w:rsidR="002A436F" w:rsidRPr="008B3D34">
        <w:rPr>
          <w:lang w:val="en-GB"/>
        </w:rPr>
        <w:t xml:space="preserve"> method aims including factors relevant for ageing management and, consequently,</w:t>
      </w:r>
      <w:r w:rsidR="00AC557F" w:rsidRPr="008B3D34">
        <w:rPr>
          <w:lang w:val="en-GB"/>
        </w:rPr>
        <w:t xml:space="preserve"> the </w:t>
      </w:r>
      <w:r w:rsidR="007C5242" w:rsidRPr="008B3D34">
        <w:rPr>
          <w:i/>
          <w:iCs/>
          <w:lang w:val="en-GB"/>
        </w:rPr>
        <w:t xml:space="preserve">overall adequacy index </w:t>
      </w:r>
      <w:r w:rsidR="002A436F" w:rsidRPr="008B3D34">
        <w:rPr>
          <w:lang w:val="en-GB"/>
        </w:rPr>
        <w:t>may be exploited</w:t>
      </w:r>
      <w:r w:rsidR="00AC557F" w:rsidRPr="008B3D34">
        <w:rPr>
          <w:lang w:val="en-GB"/>
        </w:rPr>
        <w:t xml:space="preserve"> </w:t>
      </w:r>
      <w:r w:rsidR="00210F3C" w:rsidRPr="008B3D34">
        <w:rPr>
          <w:lang w:val="en-GB"/>
        </w:rPr>
        <w:t>to tune the generic frequencies</w:t>
      </w:r>
      <w:r w:rsidR="00AC557F" w:rsidRPr="008B3D34">
        <w:rPr>
          <w:lang w:val="en-GB"/>
        </w:rPr>
        <w:t xml:space="preserve"> </w:t>
      </w:r>
      <w:r w:rsidR="008F48CA" w:rsidRPr="008B3D34">
        <w:rPr>
          <w:lang w:val="en-GB"/>
        </w:rPr>
        <w:t>used</w:t>
      </w:r>
      <w:r w:rsidR="00011543" w:rsidRPr="008B3D34">
        <w:rPr>
          <w:lang w:val="en-GB"/>
        </w:rPr>
        <w:t xml:space="preserve"> in the</w:t>
      </w:r>
      <w:r w:rsidR="00210F3C" w:rsidRPr="008B3D34">
        <w:rPr>
          <w:lang w:val="en-GB"/>
        </w:rPr>
        <w:t xml:space="preserve"> SR and namely in the FTA.</w:t>
      </w:r>
      <w:r w:rsidR="002A436F" w:rsidRPr="008B3D34">
        <w:rPr>
          <w:lang w:val="en-GB"/>
        </w:rPr>
        <w:t xml:space="preserve"> </w:t>
      </w:r>
      <w:r w:rsidR="00210F3C" w:rsidRPr="008B3D34">
        <w:rPr>
          <w:lang w:val="en-GB"/>
        </w:rPr>
        <w:t>Th</w:t>
      </w:r>
      <w:r w:rsidR="009963B4" w:rsidRPr="008B3D34">
        <w:rPr>
          <w:lang w:val="en-GB"/>
        </w:rPr>
        <w:t>is</w:t>
      </w:r>
      <w:r w:rsidR="00210F3C" w:rsidRPr="008B3D34">
        <w:rPr>
          <w:lang w:val="en-GB"/>
        </w:rPr>
        <w:t xml:space="preserve"> index may range between </w:t>
      </w:r>
      <w:r w:rsidR="008F48CA" w:rsidRPr="008B3D34">
        <w:rPr>
          <w:lang w:val="en-GB"/>
        </w:rPr>
        <w:t>a minimum</w:t>
      </w:r>
      <w:r w:rsidR="00470DF9" w:rsidRPr="008B3D34">
        <w:rPr>
          <w:lang w:val="en-GB"/>
        </w:rPr>
        <w:t xml:space="preserve"> value</w:t>
      </w:r>
      <w:r w:rsidR="008F48CA" w:rsidRPr="008B3D34">
        <w:rPr>
          <w:lang w:val="en-GB"/>
        </w:rPr>
        <w:t xml:space="preserve"> </w:t>
      </w:r>
      <w:proofErr w:type="spellStart"/>
      <w:r w:rsidR="007F3CE7" w:rsidRPr="008B3D34">
        <w:rPr>
          <w:rFonts w:ascii="Times New Roman" w:hAnsi="Times New Roman"/>
          <w:i/>
          <w:lang w:val="en-GB"/>
        </w:rPr>
        <w:t>I</w:t>
      </w:r>
      <w:r w:rsidR="007F3CE7" w:rsidRPr="008B3D34">
        <w:rPr>
          <w:rFonts w:ascii="Times New Roman" w:hAnsi="Times New Roman"/>
          <w:i/>
          <w:vertAlign w:val="subscript"/>
          <w:lang w:val="en-GB"/>
        </w:rPr>
        <w:t>eq,</w:t>
      </w:r>
      <w:r w:rsidR="007F3CE7" w:rsidRPr="008B3D34">
        <w:rPr>
          <w:rFonts w:ascii="Times New Roman" w:hAnsi="Times New Roman"/>
          <w:iCs/>
          <w:vertAlign w:val="subscript"/>
          <w:lang w:val="en-GB"/>
        </w:rPr>
        <w:t>mi</w:t>
      </w:r>
      <w:r w:rsidR="003D5B70" w:rsidRPr="008B3D34">
        <w:rPr>
          <w:rFonts w:ascii="Times New Roman" w:hAnsi="Times New Roman"/>
          <w:iCs/>
          <w:vertAlign w:val="subscript"/>
          <w:lang w:val="en-GB"/>
        </w:rPr>
        <w:t>n</w:t>
      </w:r>
      <w:proofErr w:type="spellEnd"/>
      <w:r w:rsidR="00CA4B93" w:rsidRPr="008B3D34">
        <w:rPr>
          <w:lang w:val="en-GB"/>
        </w:rPr>
        <w:t xml:space="preserve"> and </w:t>
      </w:r>
      <w:r w:rsidR="008F48CA" w:rsidRPr="008B3D34">
        <w:rPr>
          <w:lang w:val="en-GB"/>
        </w:rPr>
        <w:t xml:space="preserve">maximum </w:t>
      </w:r>
      <w:proofErr w:type="spellStart"/>
      <w:r w:rsidR="007F3CE7" w:rsidRPr="008B3D34">
        <w:rPr>
          <w:rFonts w:ascii="Times New Roman" w:hAnsi="Times New Roman"/>
          <w:i/>
          <w:lang w:val="en-GB"/>
        </w:rPr>
        <w:t>I</w:t>
      </w:r>
      <w:r w:rsidR="007F3CE7" w:rsidRPr="008B3D34">
        <w:rPr>
          <w:rFonts w:ascii="Times New Roman" w:hAnsi="Times New Roman"/>
          <w:i/>
          <w:vertAlign w:val="subscript"/>
          <w:lang w:val="en-GB"/>
        </w:rPr>
        <w:t>eq,</w:t>
      </w:r>
      <w:r w:rsidR="00CA4B93" w:rsidRPr="008B3D34">
        <w:rPr>
          <w:rFonts w:ascii="Times New Roman" w:hAnsi="Times New Roman"/>
          <w:iCs/>
          <w:vertAlign w:val="subscript"/>
          <w:lang w:val="en-GB"/>
        </w:rPr>
        <w:t>max</w:t>
      </w:r>
      <w:proofErr w:type="spellEnd"/>
      <w:r w:rsidR="008F48CA" w:rsidRPr="008B3D34">
        <w:rPr>
          <w:lang w:val="en-GB"/>
        </w:rPr>
        <w:t>.</w:t>
      </w:r>
      <w:r w:rsidR="00A65356" w:rsidRPr="008B3D34">
        <w:rPr>
          <w:lang w:val="en-GB"/>
        </w:rPr>
        <w:t xml:space="preserve"> </w:t>
      </w:r>
      <w:r w:rsidR="008F48CA" w:rsidRPr="008B3D34">
        <w:rPr>
          <w:lang w:val="en-GB"/>
        </w:rPr>
        <w:t>T</w:t>
      </w:r>
      <w:r w:rsidR="007F3CE7" w:rsidRPr="008B3D34">
        <w:rPr>
          <w:lang w:val="en-GB"/>
        </w:rPr>
        <w:t>hese values</w:t>
      </w:r>
      <w:r w:rsidR="00A65356" w:rsidRPr="008B3D34">
        <w:rPr>
          <w:lang w:val="en-GB"/>
        </w:rPr>
        <w:t xml:space="preserve"> </w:t>
      </w:r>
      <w:r w:rsidR="009963B4" w:rsidRPr="008B3D34">
        <w:rPr>
          <w:lang w:val="en-GB"/>
        </w:rPr>
        <w:t xml:space="preserve">respectively </w:t>
      </w:r>
      <w:r w:rsidR="00907241" w:rsidRPr="008B3D34">
        <w:rPr>
          <w:lang w:val="en-GB"/>
        </w:rPr>
        <w:t>modif</w:t>
      </w:r>
      <w:r w:rsidR="008F48CA" w:rsidRPr="008B3D34">
        <w:rPr>
          <w:lang w:val="en-GB"/>
        </w:rPr>
        <w:t>y</w:t>
      </w:r>
      <w:r w:rsidR="00907241" w:rsidRPr="008B3D34">
        <w:rPr>
          <w:lang w:val="en-GB"/>
        </w:rPr>
        <w:t xml:space="preserve"> the frequency in</w:t>
      </w:r>
      <w:r w:rsidR="00A65356" w:rsidRPr="008B3D34">
        <w:rPr>
          <w:lang w:val="en-GB"/>
        </w:rPr>
        <w:t xml:space="preserve"> the highest and the lowest frequency of failure</w:t>
      </w:r>
      <w:r w:rsidR="008F48CA" w:rsidRPr="008B3D34">
        <w:rPr>
          <w:lang w:val="en-GB"/>
        </w:rPr>
        <w:t>,</w:t>
      </w:r>
      <w:r w:rsidR="000A2035" w:rsidRPr="008B3D34">
        <w:rPr>
          <w:lang w:val="en-GB"/>
        </w:rPr>
        <w:t xml:space="preserve"> whereas t</w:t>
      </w:r>
      <w:r w:rsidR="00A65356" w:rsidRPr="008B3D34">
        <w:rPr>
          <w:lang w:val="en-GB"/>
        </w:rPr>
        <w:t xml:space="preserve">he average </w:t>
      </w:r>
      <w:r w:rsidR="000A2035" w:rsidRPr="008B3D34">
        <w:rPr>
          <w:lang w:val="en-GB"/>
        </w:rPr>
        <w:t xml:space="preserve">value </w:t>
      </w:r>
      <w:r w:rsidR="008F48CA" w:rsidRPr="008B3D34">
        <w:rPr>
          <w:lang w:val="en-GB"/>
        </w:rPr>
        <w:t>(</w:t>
      </w:r>
      <w:proofErr w:type="spellStart"/>
      <w:r w:rsidR="008F48CA" w:rsidRPr="008B3D34">
        <w:rPr>
          <w:rFonts w:ascii="Times New Roman" w:hAnsi="Times New Roman"/>
          <w:i/>
          <w:iCs/>
          <w:lang w:val="en-GB"/>
        </w:rPr>
        <w:t>I</w:t>
      </w:r>
      <w:r w:rsidR="008F48CA" w:rsidRPr="008B3D34">
        <w:rPr>
          <w:rFonts w:ascii="Times New Roman" w:hAnsi="Times New Roman"/>
          <w:i/>
          <w:iCs/>
          <w:vertAlign w:val="subscript"/>
          <w:lang w:val="en-GB"/>
        </w:rPr>
        <w:t>eq,</w:t>
      </w:r>
      <w:r w:rsidR="008F48CA" w:rsidRPr="008B3D34">
        <w:rPr>
          <w:rFonts w:ascii="Times New Roman" w:hAnsi="Times New Roman"/>
          <w:vertAlign w:val="subscript"/>
          <w:lang w:val="en-GB"/>
        </w:rPr>
        <w:t>med</w:t>
      </w:r>
      <w:proofErr w:type="spellEnd"/>
      <w:r w:rsidR="008F48CA" w:rsidRPr="008B3D34">
        <w:rPr>
          <w:lang w:val="en-GB"/>
        </w:rPr>
        <w:t xml:space="preserve">) </w:t>
      </w:r>
      <w:r w:rsidR="00A65356" w:rsidRPr="008B3D34">
        <w:rPr>
          <w:lang w:val="en-GB"/>
        </w:rPr>
        <w:t>between the</w:t>
      </w:r>
      <w:r w:rsidR="000A2035" w:rsidRPr="008B3D34">
        <w:rPr>
          <w:lang w:val="en-GB"/>
        </w:rPr>
        <w:t>m</w:t>
      </w:r>
      <w:r w:rsidR="00A65356" w:rsidRPr="008B3D34">
        <w:rPr>
          <w:lang w:val="en-GB"/>
        </w:rPr>
        <w:t xml:space="preserve"> </w:t>
      </w:r>
      <w:r w:rsidR="000A2035" w:rsidRPr="008B3D34">
        <w:rPr>
          <w:lang w:val="en-GB"/>
        </w:rPr>
        <w:t>does not modify</w:t>
      </w:r>
      <w:r w:rsidR="004B49A3" w:rsidRPr="008B3D34">
        <w:rPr>
          <w:lang w:val="en-GB"/>
        </w:rPr>
        <w:t xml:space="preserve"> </w:t>
      </w:r>
      <w:r w:rsidR="00063540" w:rsidRPr="008B3D34">
        <w:rPr>
          <w:lang w:val="en-GB"/>
        </w:rPr>
        <w:t>the frequency</w:t>
      </w:r>
      <w:r w:rsidR="008F48CA" w:rsidRPr="008B3D34">
        <w:rPr>
          <w:lang w:val="en-GB"/>
        </w:rPr>
        <w:t xml:space="preserve"> and makes it</w:t>
      </w:r>
      <w:r w:rsidR="004B49A3" w:rsidRPr="008B3D34">
        <w:rPr>
          <w:lang w:val="en-GB"/>
        </w:rPr>
        <w:t xml:space="preserve"> equal </w:t>
      </w:r>
      <w:r w:rsidR="000502D0" w:rsidRPr="008B3D34">
        <w:rPr>
          <w:lang w:val="en-GB"/>
        </w:rPr>
        <w:t xml:space="preserve">to </w:t>
      </w:r>
      <w:r w:rsidR="004B49A3" w:rsidRPr="008B3D34">
        <w:rPr>
          <w:lang w:val="en-GB"/>
        </w:rPr>
        <w:t>the generic</w:t>
      </w:r>
      <w:r w:rsidR="008566FF" w:rsidRPr="008B3D34">
        <w:rPr>
          <w:lang w:val="en-GB"/>
        </w:rPr>
        <w:t xml:space="preserve"> frequency of failure</w:t>
      </w:r>
      <w:r w:rsidR="002A436F" w:rsidRPr="008B3D34">
        <w:rPr>
          <w:lang w:val="en-GB"/>
        </w:rPr>
        <w:t xml:space="preserve">. </w:t>
      </w:r>
      <w:r w:rsidR="00063540" w:rsidRPr="008B3D34">
        <w:rPr>
          <w:lang w:val="en-GB"/>
        </w:rPr>
        <w:t xml:space="preserve">On the basis of the application of the </w:t>
      </w:r>
      <w:r w:rsidR="00555A8F" w:rsidRPr="008B3D34">
        <w:rPr>
          <w:lang w:val="en-GB"/>
        </w:rPr>
        <w:t>AFB</w:t>
      </w:r>
      <w:r w:rsidR="00063540" w:rsidRPr="008B3D34">
        <w:rPr>
          <w:lang w:val="en-GB"/>
        </w:rPr>
        <w:t xml:space="preserve"> </w:t>
      </w:r>
      <w:r w:rsidR="003263EC" w:rsidRPr="008B3D34">
        <w:rPr>
          <w:lang w:val="en-GB"/>
        </w:rPr>
        <w:t>to</w:t>
      </w:r>
      <w:r w:rsidR="00063540" w:rsidRPr="008B3D34">
        <w:rPr>
          <w:lang w:val="en-GB"/>
        </w:rPr>
        <w:t xml:space="preserve"> thousands of items, it can be reasonable assumed that the extreme values for </w:t>
      </w:r>
      <w:proofErr w:type="spellStart"/>
      <w:r w:rsidR="00063540" w:rsidRPr="008B3D34">
        <w:rPr>
          <w:rFonts w:ascii="Times New Roman" w:hAnsi="Times New Roman"/>
          <w:i/>
          <w:lang w:val="en-GB"/>
        </w:rPr>
        <w:t>I</w:t>
      </w:r>
      <w:r w:rsidR="00063540" w:rsidRPr="008B3D34">
        <w:rPr>
          <w:rFonts w:ascii="Times New Roman" w:hAnsi="Times New Roman"/>
          <w:i/>
          <w:vertAlign w:val="subscript"/>
          <w:lang w:val="en-GB"/>
        </w:rPr>
        <w:t>eq</w:t>
      </w:r>
      <w:proofErr w:type="spellEnd"/>
      <w:r w:rsidR="00063540" w:rsidRPr="008B3D34">
        <w:rPr>
          <w:lang w:val="en-GB"/>
        </w:rPr>
        <w:t xml:space="preserve"> are </w:t>
      </w:r>
      <w:proofErr w:type="spellStart"/>
      <w:r w:rsidR="00063540" w:rsidRPr="008B3D34">
        <w:rPr>
          <w:rFonts w:ascii="Times New Roman" w:hAnsi="Times New Roman"/>
          <w:i/>
          <w:lang w:val="en-GB"/>
        </w:rPr>
        <w:t>I</w:t>
      </w:r>
      <w:r w:rsidR="00063540" w:rsidRPr="008B3D34">
        <w:rPr>
          <w:rFonts w:ascii="Times New Roman" w:hAnsi="Times New Roman"/>
          <w:i/>
          <w:vertAlign w:val="subscript"/>
          <w:lang w:val="en-GB"/>
        </w:rPr>
        <w:t>eq,</w:t>
      </w:r>
      <w:r w:rsidR="00063540" w:rsidRPr="008B3D34">
        <w:rPr>
          <w:rFonts w:ascii="Times New Roman" w:hAnsi="Times New Roman"/>
          <w:iCs/>
          <w:vertAlign w:val="subscript"/>
          <w:lang w:val="en-GB"/>
        </w:rPr>
        <w:t>min</w:t>
      </w:r>
      <w:proofErr w:type="spellEnd"/>
      <w:r w:rsidR="00063540" w:rsidRPr="008B3D34">
        <w:rPr>
          <w:rFonts w:ascii="Times New Roman" w:hAnsi="Times New Roman"/>
          <w:iCs/>
          <w:lang w:val="en-GB"/>
        </w:rPr>
        <w:t xml:space="preserve"> </w:t>
      </w:r>
      <w:r w:rsidR="00063540" w:rsidRPr="008B3D34">
        <w:rPr>
          <w:lang w:val="en-GB"/>
        </w:rPr>
        <w:t xml:space="preserve">= – 2.0 and </w:t>
      </w:r>
      <w:proofErr w:type="spellStart"/>
      <w:r w:rsidR="00063540" w:rsidRPr="008B3D34">
        <w:rPr>
          <w:rFonts w:ascii="Times New Roman" w:hAnsi="Times New Roman"/>
          <w:i/>
          <w:lang w:val="en-GB"/>
        </w:rPr>
        <w:t>I</w:t>
      </w:r>
      <w:r w:rsidR="00063540" w:rsidRPr="008B3D34">
        <w:rPr>
          <w:rFonts w:ascii="Times New Roman" w:hAnsi="Times New Roman"/>
          <w:i/>
          <w:vertAlign w:val="subscript"/>
          <w:lang w:val="en-GB"/>
        </w:rPr>
        <w:t>eq,</w:t>
      </w:r>
      <w:r w:rsidR="00063540" w:rsidRPr="008B3D34">
        <w:rPr>
          <w:rFonts w:ascii="Times New Roman" w:hAnsi="Times New Roman"/>
          <w:iCs/>
          <w:vertAlign w:val="subscript"/>
          <w:lang w:val="en-GB"/>
        </w:rPr>
        <w:t>max</w:t>
      </w:r>
      <w:proofErr w:type="spellEnd"/>
      <w:r w:rsidR="00063540" w:rsidRPr="008B3D34">
        <w:rPr>
          <w:rFonts w:ascii="Times New Roman" w:hAnsi="Times New Roman"/>
          <w:lang w:val="en-GB"/>
        </w:rPr>
        <w:t xml:space="preserve"> </w:t>
      </w:r>
      <w:r w:rsidR="00063540" w:rsidRPr="008B3D34">
        <w:rPr>
          <w:lang w:val="en-GB"/>
        </w:rPr>
        <w:t>=</w:t>
      </w:r>
      <w:r w:rsidR="00966A42" w:rsidRPr="008B3D34">
        <w:rPr>
          <w:lang w:val="en-GB"/>
        </w:rPr>
        <w:t xml:space="preserve"> </w:t>
      </w:r>
      <w:r w:rsidR="00063540" w:rsidRPr="008B3D34">
        <w:rPr>
          <w:lang w:val="en-GB"/>
        </w:rPr>
        <w:t xml:space="preserve">+ 3.0 and, consequently, </w:t>
      </w:r>
      <w:proofErr w:type="spellStart"/>
      <w:r w:rsidR="00063540" w:rsidRPr="008B3D34">
        <w:rPr>
          <w:rFonts w:ascii="Times New Roman" w:hAnsi="Times New Roman"/>
          <w:i/>
          <w:lang w:val="en-GB"/>
        </w:rPr>
        <w:t>I</w:t>
      </w:r>
      <w:r w:rsidR="00063540" w:rsidRPr="008B3D34">
        <w:rPr>
          <w:rFonts w:ascii="Times New Roman" w:hAnsi="Times New Roman"/>
          <w:i/>
          <w:vertAlign w:val="subscript"/>
          <w:lang w:val="en-GB"/>
        </w:rPr>
        <w:t>eq,</w:t>
      </w:r>
      <w:r w:rsidR="00063540" w:rsidRPr="008B3D34">
        <w:rPr>
          <w:rFonts w:ascii="Times New Roman" w:hAnsi="Times New Roman"/>
          <w:iCs/>
          <w:vertAlign w:val="subscript"/>
          <w:lang w:val="en-GB"/>
        </w:rPr>
        <w:t>med</w:t>
      </w:r>
      <w:proofErr w:type="spellEnd"/>
      <w:r w:rsidR="00063540" w:rsidRPr="008B3D34">
        <w:rPr>
          <w:lang w:val="en-GB"/>
        </w:rPr>
        <w:t xml:space="preserve"> is equal to 0.5</w:t>
      </w:r>
      <w:r w:rsidR="00B23662" w:rsidRPr="008B3D34">
        <w:rPr>
          <w:lang w:val="en-GB"/>
        </w:rPr>
        <w:t xml:space="preserve"> (mean value of -2.0 and +3.0)</w:t>
      </w:r>
      <w:r w:rsidR="00063540" w:rsidRPr="008B3D34">
        <w:rPr>
          <w:lang w:val="en-GB"/>
        </w:rPr>
        <w:t>.</w:t>
      </w:r>
      <w:r w:rsidR="00B23662" w:rsidRPr="008B3D34">
        <w:rPr>
          <w:lang w:val="en-GB"/>
        </w:rPr>
        <w:t xml:space="preserve"> </w:t>
      </w:r>
    </w:p>
    <w:p w14:paraId="3372127E" w14:textId="6B1024B7" w:rsidR="00B23662" w:rsidRPr="008B3D34" w:rsidRDefault="00B23662" w:rsidP="00B23662">
      <w:pPr>
        <w:pStyle w:val="CETBodytext"/>
        <w:rPr>
          <w:lang w:val="en-GB"/>
        </w:rPr>
      </w:pPr>
      <w:r w:rsidRPr="008B3D34">
        <w:rPr>
          <w:lang w:val="en-GB"/>
        </w:rPr>
        <w:t>T</w:t>
      </w:r>
      <w:r w:rsidR="00470DF9" w:rsidRPr="008B3D34">
        <w:rPr>
          <w:lang w:val="en-GB"/>
        </w:rPr>
        <w:t xml:space="preserve">he frequency of failure is </w:t>
      </w:r>
      <w:r w:rsidR="0032064B" w:rsidRPr="008B3D34">
        <w:rPr>
          <w:lang w:val="en-GB"/>
        </w:rPr>
        <w:t xml:space="preserve">modified according to Eq.(5), </w:t>
      </w:r>
      <w:r w:rsidRPr="008B3D34">
        <w:rPr>
          <w:lang w:val="en-GB"/>
        </w:rPr>
        <w:t xml:space="preserve">where </w:t>
      </w:r>
      <w:proofErr w:type="spellStart"/>
      <w:r w:rsidRPr="008B3D34">
        <w:rPr>
          <w:rFonts w:ascii="Times New Roman" w:hAnsi="Times New Roman"/>
          <w:i/>
          <w:iCs/>
          <w:lang w:val="en-GB"/>
        </w:rPr>
        <w:t>f</w:t>
      </w:r>
      <w:r w:rsidRPr="008B3D34">
        <w:rPr>
          <w:rFonts w:ascii="Times New Roman" w:hAnsi="Times New Roman"/>
          <w:i/>
          <w:iCs/>
          <w:vertAlign w:val="subscript"/>
          <w:lang w:val="en-GB"/>
        </w:rPr>
        <w:t>mod</w:t>
      </w:r>
      <w:proofErr w:type="spellEnd"/>
      <w:r w:rsidRPr="008B3D34">
        <w:rPr>
          <w:lang w:val="en-GB"/>
        </w:rPr>
        <w:t xml:space="preserve"> is the modified frequency of failure; </w:t>
      </w:r>
      <w:proofErr w:type="spellStart"/>
      <w:r w:rsidRPr="008B3D34">
        <w:rPr>
          <w:rFonts w:ascii="Times New Roman" w:hAnsi="Times New Roman"/>
          <w:i/>
          <w:iCs/>
          <w:lang w:val="en-GB"/>
        </w:rPr>
        <w:t>f</w:t>
      </w:r>
      <w:r w:rsidRPr="008B3D34">
        <w:rPr>
          <w:rFonts w:ascii="Times New Roman" w:hAnsi="Times New Roman"/>
          <w:i/>
          <w:iCs/>
          <w:vertAlign w:val="subscript"/>
          <w:lang w:val="en-GB"/>
        </w:rPr>
        <w:t>generic</w:t>
      </w:r>
      <w:proofErr w:type="spellEnd"/>
      <w:r w:rsidRPr="008B3D34">
        <w:rPr>
          <w:lang w:val="en-GB"/>
        </w:rPr>
        <w:t xml:space="preserve"> is the generic frequency of failure from the literature; </w:t>
      </w:r>
      <w:r w:rsidRPr="008B3D34">
        <w:rPr>
          <w:rFonts w:ascii="Times New Roman" w:hAnsi="Times New Roman"/>
          <w:i/>
          <w:iCs/>
          <w:lang w:val="en-GB"/>
        </w:rPr>
        <w:t>a</w:t>
      </w:r>
      <w:r w:rsidRPr="008B3D34">
        <w:rPr>
          <w:rFonts w:ascii="Times New Roman" w:hAnsi="Times New Roman"/>
          <w:i/>
          <w:iCs/>
          <w:vertAlign w:val="subscript"/>
          <w:lang w:val="en-GB"/>
        </w:rPr>
        <w:t>m</w:t>
      </w:r>
      <w:r w:rsidRPr="008B3D34">
        <w:rPr>
          <w:lang w:val="en-GB"/>
        </w:rPr>
        <w:t xml:space="preserve"> is the factor modifying the frequency, which, according to Milazzo et al. (2010), takes into account of the safety management and ranges between -1 and 1. The value of </w:t>
      </w:r>
      <w:r w:rsidRPr="008B3D34">
        <w:rPr>
          <w:rFonts w:ascii="Times New Roman" w:hAnsi="Times New Roman"/>
          <w:i/>
          <w:lang w:val="en-GB"/>
        </w:rPr>
        <w:t>a</w:t>
      </w:r>
      <w:r w:rsidRPr="008B3D34">
        <w:rPr>
          <w:rFonts w:ascii="Times New Roman" w:hAnsi="Times New Roman"/>
          <w:i/>
          <w:vertAlign w:val="subscript"/>
          <w:lang w:val="en-GB"/>
        </w:rPr>
        <w:t xml:space="preserve">m </w:t>
      </w:r>
      <w:r w:rsidRPr="008B3D34">
        <w:rPr>
          <w:lang w:val="en-GB"/>
        </w:rPr>
        <w:t xml:space="preserve">may be derived from the actual value of </w:t>
      </w:r>
      <w:proofErr w:type="spellStart"/>
      <w:r w:rsidRPr="008B3D34">
        <w:rPr>
          <w:rFonts w:ascii="Times New Roman" w:hAnsi="Times New Roman"/>
          <w:i/>
          <w:lang w:val="en-GB"/>
        </w:rPr>
        <w:t>I</w:t>
      </w:r>
      <w:r w:rsidRPr="008B3D34">
        <w:rPr>
          <w:rFonts w:ascii="Times New Roman" w:hAnsi="Times New Roman"/>
          <w:i/>
          <w:vertAlign w:val="subscript"/>
          <w:lang w:val="en-GB"/>
        </w:rPr>
        <w:t>eq</w:t>
      </w:r>
      <w:proofErr w:type="spellEnd"/>
      <w:r w:rsidRPr="008B3D34">
        <w:rPr>
          <w:rFonts w:ascii="Times New Roman" w:hAnsi="Times New Roman"/>
          <w:i/>
          <w:vertAlign w:val="subscript"/>
          <w:lang w:val="en-GB"/>
        </w:rPr>
        <w:t xml:space="preserve"> </w:t>
      </w:r>
      <w:r w:rsidRPr="008B3D34">
        <w:rPr>
          <w:lang w:val="en-GB"/>
        </w:rPr>
        <w:t>according to Eq.(6)</w:t>
      </w:r>
      <w:r w:rsidR="00CC47D9" w:rsidRPr="008B3D34">
        <w:rPr>
          <w:lang w:val="en-GB"/>
        </w:rPr>
        <w:t>:</w:t>
      </w:r>
    </w:p>
    <w:tbl>
      <w:tblPr>
        <w:tblW w:w="5000" w:type="pct"/>
        <w:tblLook w:val="04A0" w:firstRow="1" w:lastRow="0" w:firstColumn="1" w:lastColumn="0" w:noHBand="0" w:noVBand="1"/>
      </w:tblPr>
      <w:tblGrid>
        <w:gridCol w:w="8182"/>
        <w:gridCol w:w="821"/>
      </w:tblGrid>
      <w:tr w:rsidR="00470DF9" w:rsidRPr="008B3D34" w14:paraId="3303BE88" w14:textId="77777777" w:rsidTr="000502D0">
        <w:tc>
          <w:tcPr>
            <w:tcW w:w="7986" w:type="dxa"/>
            <w:shd w:val="clear" w:color="auto" w:fill="auto"/>
            <w:vAlign w:val="center"/>
          </w:tcPr>
          <w:p w14:paraId="28427607" w14:textId="1A9BABF8" w:rsidR="00470DF9" w:rsidRPr="008B3D34" w:rsidRDefault="009963B4" w:rsidP="00A234FC">
            <w:pPr>
              <w:pStyle w:val="CETEquation"/>
              <w:spacing w:before="60" w:after="60"/>
              <w:rPr>
                <w:i/>
              </w:rPr>
            </w:pPr>
            <w:r w:rsidRPr="008B3D34">
              <w:rPr>
                <w:rStyle w:val="CETBodytextCarattere"/>
                <w:rFonts w:eastAsiaTheme="minorHAnsi"/>
                <w:i/>
                <w:lang w:val="en-GB"/>
              </w:rPr>
              <w:object w:dxaOrig="2380" w:dyaOrig="380" w14:anchorId="7723B79A">
                <v:shape id="_x0000_i1029" type="#_x0000_t75" style="width:110.4pt;height:17.4pt" o:ole="">
                  <v:imagedata r:id="rId22" o:title=""/>
                </v:shape>
                <o:OLEObject Type="Embed" ProgID="Equation.DSMT4" ShapeID="_x0000_i1029" DrawAspect="Content" ObjectID="_1660382626" r:id="rId23"/>
              </w:object>
            </w:r>
          </w:p>
        </w:tc>
        <w:tc>
          <w:tcPr>
            <w:tcW w:w="801" w:type="dxa"/>
            <w:shd w:val="clear" w:color="auto" w:fill="auto"/>
            <w:vAlign w:val="center"/>
          </w:tcPr>
          <w:p w14:paraId="1FB2C1CC" w14:textId="77777777" w:rsidR="00B23662" w:rsidRPr="008B3D34" w:rsidRDefault="00470DF9" w:rsidP="00A234FC">
            <w:pPr>
              <w:pStyle w:val="CETEquation"/>
              <w:spacing w:before="60" w:after="60"/>
              <w:jc w:val="right"/>
            </w:pPr>
            <w:r w:rsidRPr="008B3D34">
              <w:t>(</w:t>
            </w:r>
            <w:r w:rsidR="004C4C9C" w:rsidRPr="008B3D34">
              <w:t>5</w:t>
            </w:r>
            <w:r w:rsidRPr="008B3D34">
              <w:t>)</w:t>
            </w:r>
          </w:p>
          <w:p w14:paraId="18B6AC7C" w14:textId="458F2607" w:rsidR="00470DF9" w:rsidRPr="008B3D34" w:rsidRDefault="00470DF9" w:rsidP="00A234FC">
            <w:pPr>
              <w:pStyle w:val="CETBodytext"/>
              <w:spacing w:before="60" w:after="60"/>
              <w:rPr>
                <w:lang w:val="en-GB"/>
              </w:rPr>
            </w:pPr>
          </w:p>
        </w:tc>
      </w:tr>
      <w:tr w:rsidR="000502D0" w:rsidRPr="008B3D34" w14:paraId="0F00B013" w14:textId="77777777" w:rsidTr="000502D0">
        <w:tc>
          <w:tcPr>
            <w:tcW w:w="7986" w:type="dxa"/>
            <w:shd w:val="clear" w:color="auto" w:fill="auto"/>
            <w:vAlign w:val="center"/>
          </w:tcPr>
          <w:p w14:paraId="22D3EE3C" w14:textId="1FF9D78C" w:rsidR="000502D0" w:rsidRPr="008B3D34" w:rsidRDefault="000502D0" w:rsidP="00A234FC">
            <w:pPr>
              <w:pStyle w:val="CETEquation"/>
              <w:spacing w:before="60" w:after="60"/>
              <w:rPr>
                <w:rFonts w:eastAsiaTheme="minorHAnsi"/>
              </w:rPr>
            </w:pPr>
            <w:r w:rsidRPr="008B3D34">
              <w:rPr>
                <w:rStyle w:val="CETBodytextCarattere"/>
                <w:rFonts w:eastAsiaTheme="minorHAnsi"/>
                <w:lang w:val="en-GB"/>
              </w:rPr>
              <w:object w:dxaOrig="2100" w:dyaOrig="840" w14:anchorId="431F4CD9">
                <v:shape id="_x0000_i1030" type="#_x0000_t75" style="width:102pt;height:40.2pt" o:ole="">
                  <v:imagedata r:id="rId24" o:title=""/>
                </v:shape>
                <o:OLEObject Type="Embed" ProgID="Equation.DSMT4" ShapeID="_x0000_i1030" DrawAspect="Content" ObjectID="_1660382627" r:id="rId25"/>
              </w:object>
            </w:r>
          </w:p>
        </w:tc>
        <w:tc>
          <w:tcPr>
            <w:tcW w:w="801" w:type="dxa"/>
            <w:shd w:val="clear" w:color="auto" w:fill="auto"/>
            <w:vAlign w:val="center"/>
          </w:tcPr>
          <w:p w14:paraId="61F3C4BA" w14:textId="77777777" w:rsidR="00B23662" w:rsidRPr="008B3D34" w:rsidRDefault="000502D0" w:rsidP="00A234FC">
            <w:pPr>
              <w:pStyle w:val="CETEquation"/>
              <w:spacing w:before="60" w:after="60"/>
              <w:jc w:val="right"/>
            </w:pPr>
            <w:r w:rsidRPr="008B3D34">
              <w:t>(</w:t>
            </w:r>
            <w:r w:rsidR="00B23662" w:rsidRPr="008B3D34">
              <w:t>6</w:t>
            </w:r>
            <w:r w:rsidRPr="008B3D34">
              <w:t>)</w:t>
            </w:r>
          </w:p>
          <w:p w14:paraId="37673FA0" w14:textId="4DA58533" w:rsidR="000502D0" w:rsidRPr="008B3D34" w:rsidRDefault="000502D0" w:rsidP="00A234FC">
            <w:pPr>
              <w:pStyle w:val="CETBodytext"/>
              <w:spacing w:before="60" w:after="60"/>
              <w:rPr>
                <w:lang w:val="en-GB"/>
              </w:rPr>
            </w:pPr>
          </w:p>
        </w:tc>
      </w:tr>
    </w:tbl>
    <w:p w14:paraId="7135F5B4" w14:textId="4F616DCC" w:rsidR="00063540" w:rsidRPr="008B3D34" w:rsidRDefault="00112341" w:rsidP="00063540">
      <w:pPr>
        <w:pStyle w:val="CETBodytext"/>
        <w:rPr>
          <w:lang w:val="en-GB"/>
        </w:rPr>
      </w:pPr>
      <w:r w:rsidRPr="008B3D34">
        <w:rPr>
          <w:lang w:val="en-GB"/>
        </w:rPr>
        <w:t>F</w:t>
      </w:r>
      <w:r w:rsidR="000502D0" w:rsidRPr="008B3D34">
        <w:rPr>
          <w:lang w:val="en-GB"/>
        </w:rPr>
        <w:t>inally, t</w:t>
      </w:r>
      <w:r w:rsidR="00063540" w:rsidRPr="008B3D34">
        <w:rPr>
          <w:lang w:val="en-GB"/>
        </w:rPr>
        <w:t>he modified frequency will replace the generic frequencies in the FTA</w:t>
      </w:r>
      <w:r w:rsidR="000502D0" w:rsidRPr="008B3D34">
        <w:rPr>
          <w:lang w:val="en-GB"/>
        </w:rPr>
        <w:t>,</w:t>
      </w:r>
      <w:r w:rsidR="00063540" w:rsidRPr="008B3D34">
        <w:rPr>
          <w:lang w:val="en-GB"/>
        </w:rPr>
        <w:t xml:space="preserve"> consequently also the frequency of the expected top-event will change. The cut-off threshold</w:t>
      </w:r>
      <w:r w:rsidR="00A8734F" w:rsidRPr="008B3D34">
        <w:rPr>
          <w:lang w:val="en-GB"/>
        </w:rPr>
        <w:t xml:space="preserve"> (e.g. 10</w:t>
      </w:r>
      <w:r w:rsidR="00A8734F" w:rsidRPr="008B3D34">
        <w:rPr>
          <w:vertAlign w:val="superscript"/>
          <w:lang w:val="en-GB"/>
        </w:rPr>
        <w:t>-6</w:t>
      </w:r>
      <w:r w:rsidR="00A8734F" w:rsidRPr="008B3D34">
        <w:rPr>
          <w:lang w:val="en-GB"/>
        </w:rPr>
        <w:t xml:space="preserve"> events/year)</w:t>
      </w:r>
      <w:r w:rsidR="00063540" w:rsidRPr="008B3D34">
        <w:rPr>
          <w:lang w:val="en-GB"/>
        </w:rPr>
        <w:t xml:space="preserve">, as fixed by the regulators, does not change, but the recalculation of frequency could </w:t>
      </w:r>
      <w:r w:rsidR="000502D0" w:rsidRPr="008B3D34">
        <w:rPr>
          <w:lang w:val="en-GB"/>
        </w:rPr>
        <w:t>change</w:t>
      </w:r>
      <w:r w:rsidR="00063540" w:rsidRPr="008B3D34">
        <w:rPr>
          <w:lang w:val="en-GB"/>
        </w:rPr>
        <w:t xml:space="preserve"> a negligible event a</w:t>
      </w:r>
      <w:r w:rsidR="000502D0" w:rsidRPr="008B3D34">
        <w:rPr>
          <w:lang w:val="en-GB"/>
        </w:rPr>
        <w:t>s a</w:t>
      </w:r>
      <w:r w:rsidR="00063540" w:rsidRPr="008B3D34">
        <w:rPr>
          <w:lang w:val="en-GB"/>
        </w:rPr>
        <w:t xml:space="preserve"> credible one. This means that new accidental scenarios must be considered. Hence, even the emergency plans and eventually also the land-use plan should be reconsidered in the light of the new scenarios</w:t>
      </w:r>
      <w:r w:rsidR="00F071EA" w:rsidRPr="008B3D34">
        <w:rPr>
          <w:lang w:val="en-GB"/>
        </w:rPr>
        <w:t xml:space="preserve"> (Palazzi et al., 2015)</w:t>
      </w:r>
      <w:r w:rsidR="00063540" w:rsidRPr="008B3D34">
        <w:rPr>
          <w:lang w:val="en-GB"/>
        </w:rPr>
        <w:t>.</w:t>
      </w:r>
    </w:p>
    <w:p w14:paraId="03F42AFD" w14:textId="6DC76D47" w:rsidR="009008F5" w:rsidRPr="008B3D34" w:rsidRDefault="00B14A5F" w:rsidP="00C80CF2">
      <w:pPr>
        <w:pStyle w:val="CETheadingx"/>
      </w:pPr>
      <w:r w:rsidRPr="008B3D34">
        <w:t>Equipment</w:t>
      </w:r>
      <w:r w:rsidR="00B23662" w:rsidRPr="008B3D34">
        <w:t xml:space="preserve"> prognostic and health management</w:t>
      </w:r>
    </w:p>
    <w:p w14:paraId="5E964409" w14:textId="019B3049" w:rsidR="001A2121" w:rsidRPr="008B3D34" w:rsidRDefault="0005604E" w:rsidP="001A2121">
      <w:pPr>
        <w:pStyle w:val="CETBodytext"/>
        <w:rPr>
          <w:lang w:val="en-GB"/>
        </w:rPr>
      </w:pPr>
      <w:r w:rsidRPr="008B3D34">
        <w:rPr>
          <w:lang w:val="en-GB"/>
        </w:rPr>
        <w:t xml:space="preserve">The estimation of the </w:t>
      </w:r>
      <w:r w:rsidRPr="008B3D34">
        <w:rPr>
          <w:i/>
          <w:iCs/>
          <w:lang w:val="en-GB"/>
        </w:rPr>
        <w:t>residual useful lifetime</w:t>
      </w:r>
      <w:r w:rsidRPr="008B3D34">
        <w:rPr>
          <w:lang w:val="en-GB"/>
        </w:rPr>
        <w:t xml:space="preserve"> of industrial equipment, based on its actual health conditions, is </w:t>
      </w:r>
      <w:r w:rsidR="001A2121" w:rsidRPr="008B3D34">
        <w:rPr>
          <w:lang w:val="en-GB"/>
        </w:rPr>
        <w:t xml:space="preserve">a </w:t>
      </w:r>
      <w:r w:rsidRPr="008B3D34">
        <w:rPr>
          <w:lang w:val="en-GB"/>
        </w:rPr>
        <w:t xml:space="preserve">need for the establishment operator. The combination of models for equipment prognostic </w:t>
      </w:r>
      <w:r w:rsidR="007C5242" w:rsidRPr="008B3D34">
        <w:rPr>
          <w:lang w:val="en-GB"/>
        </w:rPr>
        <w:t xml:space="preserve">and </w:t>
      </w:r>
      <w:r w:rsidRPr="008B3D34">
        <w:rPr>
          <w:lang w:val="en-GB"/>
        </w:rPr>
        <w:t xml:space="preserve">some innovative technologies (Bragatto et al., 2018) supports in achieving </w:t>
      </w:r>
      <w:r w:rsidR="001A2121" w:rsidRPr="008B3D34">
        <w:rPr>
          <w:lang w:val="en-GB"/>
        </w:rPr>
        <w:t>such an</w:t>
      </w:r>
      <w:r w:rsidRPr="008B3D34">
        <w:rPr>
          <w:lang w:val="en-GB"/>
        </w:rPr>
        <w:t xml:space="preserve"> estimation. </w:t>
      </w:r>
      <w:r w:rsidR="001A2121" w:rsidRPr="008B3D34">
        <w:rPr>
          <w:lang w:val="en-GB"/>
        </w:rPr>
        <w:t>To this scope, a preliminary version of the model above has been already included (as an ageing metric) in a system, which combines technologies for a smart identification of equipment (</w:t>
      </w:r>
      <w:proofErr w:type="spellStart"/>
      <w:r w:rsidR="001A2121" w:rsidRPr="008B3D34">
        <w:rPr>
          <w:lang w:val="en-GB"/>
        </w:rPr>
        <w:t>Gnoni</w:t>
      </w:r>
      <w:proofErr w:type="spellEnd"/>
      <w:r w:rsidR="001A2121" w:rsidRPr="008B3D34">
        <w:rPr>
          <w:lang w:val="en-GB"/>
        </w:rPr>
        <w:t xml:space="preserve"> et al., 2016) and cloud computing to store and manage equipment data and outputs deriving from the quantification of the </w:t>
      </w:r>
      <w:r w:rsidR="007C5242" w:rsidRPr="008B3D34">
        <w:rPr>
          <w:lang w:val="en-GB"/>
        </w:rPr>
        <w:t xml:space="preserve">equipment </w:t>
      </w:r>
      <w:r w:rsidR="001A2121" w:rsidRPr="008B3D34">
        <w:rPr>
          <w:lang w:val="en-GB"/>
        </w:rPr>
        <w:t xml:space="preserve">ageing conditions </w:t>
      </w:r>
      <w:r w:rsidR="00002399" w:rsidRPr="008B3D34">
        <w:rPr>
          <w:lang w:val="en-GB"/>
        </w:rPr>
        <w:t>(</w:t>
      </w:r>
      <w:r w:rsidR="00F071EA" w:rsidRPr="008B3D34">
        <w:rPr>
          <w:lang w:val="en-GB"/>
        </w:rPr>
        <w:t>Milazzo et al. 2018</w:t>
      </w:r>
      <w:r w:rsidR="00002399" w:rsidRPr="008B3D34">
        <w:rPr>
          <w:lang w:val="en-GB"/>
        </w:rPr>
        <w:t>)</w:t>
      </w:r>
      <w:r w:rsidR="001A2121" w:rsidRPr="008B3D34">
        <w:rPr>
          <w:lang w:val="en-GB"/>
        </w:rPr>
        <w:t>. Further implementations of the model will be part of a system for an advanced prognostic and health management</w:t>
      </w:r>
      <w:r w:rsidR="00BC222D" w:rsidRPr="008B3D34">
        <w:rPr>
          <w:lang w:val="en-GB"/>
        </w:rPr>
        <w:t xml:space="preserve"> (</w:t>
      </w:r>
      <w:r w:rsidR="00A8734F" w:rsidRPr="008B3D34">
        <w:rPr>
          <w:lang w:val="en-GB"/>
        </w:rPr>
        <w:t xml:space="preserve">the </w:t>
      </w:r>
      <w:r w:rsidR="00BC222D" w:rsidRPr="008B3D34">
        <w:rPr>
          <w:lang w:val="en-GB"/>
        </w:rPr>
        <w:t>so-called virtual sensor)</w:t>
      </w:r>
      <w:r w:rsidR="001A2121" w:rsidRPr="008B3D34">
        <w:rPr>
          <w:lang w:val="en-GB"/>
        </w:rPr>
        <w:t>.</w:t>
      </w:r>
    </w:p>
    <w:p w14:paraId="7A033BC3" w14:textId="77777777" w:rsidR="008A1BDB" w:rsidRPr="008B3D34" w:rsidRDefault="008A1BDB" w:rsidP="008A1BDB">
      <w:pPr>
        <w:pStyle w:val="CETheadingx"/>
      </w:pPr>
      <w:r w:rsidRPr="008B3D34">
        <w:lastRenderedPageBreak/>
        <w:t>Safety report: a proactive approach</w:t>
      </w:r>
    </w:p>
    <w:p w14:paraId="05C2E85E" w14:textId="4E9FE260" w:rsidR="009F135B" w:rsidRPr="008B3D34" w:rsidRDefault="008A1BDB" w:rsidP="008A1BDB">
      <w:pPr>
        <w:pStyle w:val="CETBodytext"/>
        <w:rPr>
          <w:lang w:val="en-GB"/>
        </w:rPr>
      </w:pPr>
      <w:r w:rsidRPr="008B3D34">
        <w:rPr>
          <w:lang w:val="en-GB"/>
        </w:rPr>
        <w:t xml:space="preserve">To improve the SR, the CA should also require the operator to include detailed information about the deterioration mechanisms, the actual condition and the adopted inspection and maintenance strategies for critical containment systems (namely pipe and vessels). Largest companies easily provide this information as they already apply recognised RBI guidelines or standards, on the contrary, smallest companies usually do not have an organised approach </w:t>
      </w:r>
      <w:r w:rsidR="00726C07" w:rsidRPr="008B3D34">
        <w:rPr>
          <w:lang w:val="en-GB"/>
        </w:rPr>
        <w:t xml:space="preserve">for </w:t>
      </w:r>
      <w:r w:rsidRPr="008B3D34">
        <w:rPr>
          <w:lang w:val="en-GB"/>
        </w:rPr>
        <w:t>ageing management. The CA has the duty to examine and eventually approve the SR; during this process, it can require or suggest technical improvements to prevent major accidents. The knowledge of the best available techniques to control the deterioration mechanisms is essential to make adequate decisions and to understand and prescribe the optimal monitoring contrasting the additional risk due to ageing. As discussed by Bragatto et al. (2018), the research in the field of integrity monitoring is promising; a number of technical solutions to continuous control the equipment health is already available in the market and further solutions will be likely ready in near future. The review of the SR should consider the adoption of innovative technologies to assure a safe life extension of aged critical equipment.</w:t>
      </w:r>
    </w:p>
    <w:p w14:paraId="7341FF0F" w14:textId="77777777" w:rsidR="009F135B" w:rsidRPr="008B3D34" w:rsidRDefault="009F135B" w:rsidP="00A234FC">
      <w:pPr>
        <w:pStyle w:val="CETTabletitle"/>
      </w:pPr>
      <w:r w:rsidRPr="008B3D34">
        <w:t xml:space="preserve">Table 1: Check points for the harmonisation of Safety Report and RBI study. </w:t>
      </w:r>
    </w:p>
    <w:tbl>
      <w:tblPr>
        <w:tblStyle w:val="Grigliatabella"/>
        <w:tblW w:w="0" w:type="auto"/>
        <w:jc w:val="center"/>
        <w:tblBorders>
          <w:top w:val="single" w:sz="12" w:space="0" w:color="008000"/>
          <w:left w:val="none" w:sz="0" w:space="0" w:color="auto"/>
          <w:bottom w:val="single" w:sz="12" w:space="0" w:color="008000"/>
          <w:right w:val="none" w:sz="0" w:space="0" w:color="auto"/>
          <w:insideH w:val="single" w:sz="6" w:space="0" w:color="008000"/>
          <w:insideV w:val="none" w:sz="0" w:space="0" w:color="auto"/>
        </w:tblBorders>
        <w:tblLook w:val="04A0" w:firstRow="1" w:lastRow="0" w:firstColumn="1" w:lastColumn="0" w:noHBand="0" w:noVBand="1"/>
      </w:tblPr>
      <w:tblGrid>
        <w:gridCol w:w="1411"/>
        <w:gridCol w:w="2485"/>
        <w:gridCol w:w="2419"/>
        <w:gridCol w:w="2419"/>
      </w:tblGrid>
      <w:tr w:rsidR="009F135B" w:rsidRPr="00A234FC" w14:paraId="21191F9C" w14:textId="77777777" w:rsidTr="00A234FC">
        <w:trPr>
          <w:trHeight w:val="20"/>
          <w:jc w:val="center"/>
        </w:trPr>
        <w:tc>
          <w:tcPr>
            <w:tcW w:w="1411" w:type="dxa"/>
            <w:tcBorders>
              <w:bottom w:val="single" w:sz="6" w:space="0" w:color="008000"/>
            </w:tcBorders>
          </w:tcPr>
          <w:p w14:paraId="45E2D3BE" w14:textId="77777777" w:rsidR="009F135B" w:rsidRPr="00A234FC" w:rsidRDefault="009F135B" w:rsidP="00054929">
            <w:pPr>
              <w:pStyle w:val="CETBodytext"/>
              <w:keepNext/>
              <w:jc w:val="center"/>
              <w:rPr>
                <w:sz w:val="17"/>
                <w:szCs w:val="17"/>
                <w:lang w:val="en-GB"/>
              </w:rPr>
            </w:pPr>
            <w:r w:rsidRPr="00A234FC">
              <w:rPr>
                <w:sz w:val="17"/>
                <w:szCs w:val="17"/>
                <w:lang w:val="en-GB"/>
              </w:rPr>
              <w:t>Point</w:t>
            </w:r>
          </w:p>
        </w:tc>
        <w:tc>
          <w:tcPr>
            <w:tcW w:w="2485" w:type="dxa"/>
            <w:tcBorders>
              <w:bottom w:val="single" w:sz="6" w:space="0" w:color="008000"/>
            </w:tcBorders>
          </w:tcPr>
          <w:p w14:paraId="29E1EC14" w14:textId="77777777" w:rsidR="009F135B" w:rsidRPr="00A234FC" w:rsidRDefault="009F135B" w:rsidP="00054929">
            <w:pPr>
              <w:pStyle w:val="CETBodytext"/>
              <w:keepNext/>
              <w:jc w:val="center"/>
              <w:rPr>
                <w:sz w:val="17"/>
                <w:szCs w:val="17"/>
                <w:lang w:val="en-GB"/>
              </w:rPr>
            </w:pPr>
            <w:r w:rsidRPr="00A234FC">
              <w:rPr>
                <w:sz w:val="17"/>
                <w:szCs w:val="17"/>
                <w:lang w:val="en-GB"/>
              </w:rPr>
              <w:t>RBI study</w:t>
            </w:r>
          </w:p>
        </w:tc>
        <w:tc>
          <w:tcPr>
            <w:tcW w:w="2419" w:type="dxa"/>
            <w:tcBorders>
              <w:bottom w:val="single" w:sz="6" w:space="0" w:color="008000"/>
            </w:tcBorders>
          </w:tcPr>
          <w:p w14:paraId="5B2A7CC0" w14:textId="77777777" w:rsidR="009F135B" w:rsidRPr="00A234FC" w:rsidRDefault="009F135B" w:rsidP="00054929">
            <w:pPr>
              <w:pStyle w:val="CETBodytext"/>
              <w:keepNext/>
              <w:jc w:val="center"/>
              <w:rPr>
                <w:sz w:val="17"/>
                <w:szCs w:val="17"/>
                <w:lang w:val="en-GB"/>
              </w:rPr>
            </w:pPr>
            <w:r w:rsidRPr="00A234FC">
              <w:rPr>
                <w:sz w:val="17"/>
                <w:szCs w:val="17"/>
                <w:lang w:val="en-GB"/>
              </w:rPr>
              <w:t>Safety Report</w:t>
            </w:r>
          </w:p>
        </w:tc>
        <w:tc>
          <w:tcPr>
            <w:tcW w:w="2419" w:type="dxa"/>
            <w:tcBorders>
              <w:bottom w:val="single" w:sz="6" w:space="0" w:color="008000"/>
            </w:tcBorders>
          </w:tcPr>
          <w:p w14:paraId="0800C884" w14:textId="77777777" w:rsidR="009F135B" w:rsidRPr="00A234FC" w:rsidRDefault="009F135B" w:rsidP="00054929">
            <w:pPr>
              <w:pStyle w:val="CETBodytext"/>
              <w:keepNext/>
              <w:jc w:val="center"/>
              <w:rPr>
                <w:sz w:val="17"/>
                <w:szCs w:val="17"/>
                <w:lang w:val="en-GB"/>
              </w:rPr>
            </w:pPr>
            <w:r w:rsidRPr="00A234FC">
              <w:rPr>
                <w:sz w:val="17"/>
                <w:szCs w:val="17"/>
                <w:lang w:val="en-GB"/>
              </w:rPr>
              <w:t>Reconciliation</w:t>
            </w:r>
          </w:p>
        </w:tc>
      </w:tr>
      <w:tr w:rsidR="009F135B" w:rsidRPr="00A234FC" w14:paraId="0E0E157C" w14:textId="77777777" w:rsidTr="00A234FC">
        <w:trPr>
          <w:trHeight w:val="20"/>
          <w:jc w:val="center"/>
        </w:trPr>
        <w:tc>
          <w:tcPr>
            <w:tcW w:w="1411" w:type="dxa"/>
            <w:tcBorders>
              <w:top w:val="single" w:sz="6" w:space="0" w:color="008000"/>
              <w:bottom w:val="dotted" w:sz="4" w:space="0" w:color="008000"/>
            </w:tcBorders>
            <w:vAlign w:val="center"/>
          </w:tcPr>
          <w:p w14:paraId="5BDE6B3A" w14:textId="77777777" w:rsidR="009F135B" w:rsidRPr="00A234FC" w:rsidRDefault="009F135B" w:rsidP="007A2DFA">
            <w:pPr>
              <w:pStyle w:val="CETBodytext"/>
              <w:keepNext/>
              <w:jc w:val="left"/>
              <w:rPr>
                <w:sz w:val="17"/>
                <w:szCs w:val="17"/>
                <w:lang w:val="en-GB"/>
              </w:rPr>
            </w:pPr>
            <w:r w:rsidRPr="00A234FC">
              <w:rPr>
                <w:sz w:val="17"/>
                <w:szCs w:val="17"/>
                <w:lang w:val="en-GB"/>
              </w:rPr>
              <w:t>Failure Rates and Corrosion Rates</w:t>
            </w:r>
          </w:p>
        </w:tc>
        <w:tc>
          <w:tcPr>
            <w:tcW w:w="2485" w:type="dxa"/>
            <w:tcBorders>
              <w:top w:val="single" w:sz="6" w:space="0" w:color="008000"/>
              <w:bottom w:val="dotted" w:sz="4" w:space="0" w:color="008000"/>
            </w:tcBorders>
            <w:vAlign w:val="center"/>
          </w:tcPr>
          <w:p w14:paraId="7EC47BD0" w14:textId="13471C66" w:rsidR="009F135B" w:rsidRPr="00A234FC" w:rsidRDefault="009F135B" w:rsidP="00E36045">
            <w:pPr>
              <w:pStyle w:val="CETBodytext"/>
              <w:keepNext/>
              <w:jc w:val="left"/>
              <w:rPr>
                <w:sz w:val="17"/>
                <w:szCs w:val="17"/>
                <w:lang w:val="en-GB"/>
              </w:rPr>
            </w:pPr>
            <w:r w:rsidRPr="00A234FC">
              <w:rPr>
                <w:sz w:val="17"/>
                <w:szCs w:val="17"/>
                <w:lang w:val="en-GB"/>
              </w:rPr>
              <w:t>Failure rates</w:t>
            </w:r>
            <w:r w:rsidR="007A2DFA" w:rsidRPr="00A234FC">
              <w:rPr>
                <w:sz w:val="17"/>
                <w:szCs w:val="17"/>
                <w:lang w:val="en-GB"/>
              </w:rPr>
              <w:t xml:space="preserve">, as well as corrosion rates, </w:t>
            </w:r>
            <w:r w:rsidRPr="00A234FC">
              <w:rPr>
                <w:sz w:val="17"/>
                <w:szCs w:val="17"/>
                <w:lang w:val="en-GB"/>
              </w:rPr>
              <w:t>come from API 581 or from available proprietary resources.</w:t>
            </w:r>
          </w:p>
        </w:tc>
        <w:tc>
          <w:tcPr>
            <w:tcW w:w="2419" w:type="dxa"/>
            <w:tcBorders>
              <w:top w:val="single" w:sz="6" w:space="0" w:color="008000"/>
              <w:bottom w:val="dotted" w:sz="4" w:space="0" w:color="008000"/>
            </w:tcBorders>
            <w:vAlign w:val="center"/>
          </w:tcPr>
          <w:p w14:paraId="52CEE268" w14:textId="77777777" w:rsidR="009F135B" w:rsidRPr="00A234FC" w:rsidRDefault="009F135B" w:rsidP="007A2DFA">
            <w:pPr>
              <w:pStyle w:val="CETBodytext"/>
              <w:keepNext/>
              <w:jc w:val="left"/>
              <w:rPr>
                <w:sz w:val="17"/>
                <w:szCs w:val="17"/>
                <w:lang w:val="en-GB"/>
              </w:rPr>
            </w:pPr>
            <w:r w:rsidRPr="00A234FC">
              <w:rPr>
                <w:sz w:val="17"/>
                <w:szCs w:val="17"/>
                <w:lang w:val="en-GB"/>
              </w:rPr>
              <w:t>Generic failure rates derived from public or proprietary databases.</w:t>
            </w:r>
          </w:p>
        </w:tc>
        <w:tc>
          <w:tcPr>
            <w:tcW w:w="2419" w:type="dxa"/>
            <w:tcBorders>
              <w:top w:val="single" w:sz="6" w:space="0" w:color="008000"/>
              <w:bottom w:val="dotted" w:sz="4" w:space="0" w:color="008000"/>
            </w:tcBorders>
            <w:vAlign w:val="center"/>
          </w:tcPr>
          <w:p w14:paraId="65D095C2" w14:textId="77777777" w:rsidR="009F135B" w:rsidRPr="00A234FC" w:rsidRDefault="009F135B" w:rsidP="007A2DFA">
            <w:pPr>
              <w:pStyle w:val="CETBodytext"/>
              <w:keepNext/>
              <w:jc w:val="left"/>
              <w:rPr>
                <w:sz w:val="17"/>
                <w:szCs w:val="17"/>
                <w:lang w:val="en-GB"/>
              </w:rPr>
            </w:pPr>
            <w:r w:rsidRPr="00A234FC">
              <w:rPr>
                <w:sz w:val="17"/>
                <w:szCs w:val="17"/>
                <w:lang w:val="en-GB"/>
              </w:rPr>
              <w:t>A different accuracy is acceptable in RBI and SR, but the values should be harmonised.</w:t>
            </w:r>
          </w:p>
        </w:tc>
      </w:tr>
      <w:tr w:rsidR="009F135B" w:rsidRPr="00A234FC" w14:paraId="54EEF611" w14:textId="77777777" w:rsidTr="00A234FC">
        <w:trPr>
          <w:trHeight w:val="20"/>
          <w:jc w:val="center"/>
        </w:trPr>
        <w:tc>
          <w:tcPr>
            <w:tcW w:w="1411" w:type="dxa"/>
            <w:tcBorders>
              <w:top w:val="dotted" w:sz="4" w:space="0" w:color="008000"/>
              <w:bottom w:val="dotted" w:sz="4" w:space="0" w:color="008000"/>
            </w:tcBorders>
            <w:vAlign w:val="center"/>
          </w:tcPr>
          <w:p w14:paraId="4D5B0000" w14:textId="77777777" w:rsidR="009F135B" w:rsidRPr="00A234FC" w:rsidRDefault="009F135B" w:rsidP="00054929">
            <w:pPr>
              <w:pStyle w:val="CETBodytext"/>
              <w:jc w:val="left"/>
              <w:rPr>
                <w:sz w:val="17"/>
                <w:szCs w:val="17"/>
                <w:lang w:val="en-GB"/>
              </w:rPr>
            </w:pPr>
            <w:r w:rsidRPr="00A234FC">
              <w:rPr>
                <w:sz w:val="17"/>
                <w:szCs w:val="17"/>
                <w:lang w:val="en-GB"/>
              </w:rPr>
              <w:t xml:space="preserve">Likelihood </w:t>
            </w:r>
          </w:p>
        </w:tc>
        <w:tc>
          <w:tcPr>
            <w:tcW w:w="2485" w:type="dxa"/>
            <w:tcBorders>
              <w:top w:val="dotted" w:sz="4" w:space="0" w:color="008000"/>
              <w:bottom w:val="dotted" w:sz="4" w:space="0" w:color="008000"/>
            </w:tcBorders>
            <w:vAlign w:val="center"/>
          </w:tcPr>
          <w:p w14:paraId="371BE48E" w14:textId="5598E56F" w:rsidR="009F135B" w:rsidRPr="00A234FC" w:rsidRDefault="009F135B" w:rsidP="00054929">
            <w:pPr>
              <w:pStyle w:val="CETBodytext"/>
              <w:keepNext/>
              <w:jc w:val="left"/>
              <w:rPr>
                <w:sz w:val="17"/>
                <w:szCs w:val="17"/>
                <w:lang w:val="en-GB"/>
              </w:rPr>
            </w:pPr>
            <w:r w:rsidRPr="00A234FC">
              <w:rPr>
                <w:sz w:val="17"/>
                <w:szCs w:val="17"/>
                <w:lang w:val="en-GB"/>
              </w:rPr>
              <w:t>Likelihood of failure (LOF) derives fr</w:t>
            </w:r>
            <w:r w:rsidR="007A2DFA" w:rsidRPr="00A234FC">
              <w:rPr>
                <w:sz w:val="17"/>
                <w:szCs w:val="17"/>
                <w:lang w:val="en-GB"/>
              </w:rPr>
              <w:t>o</w:t>
            </w:r>
            <w:r w:rsidRPr="00A234FC">
              <w:rPr>
                <w:sz w:val="17"/>
                <w:szCs w:val="17"/>
                <w:lang w:val="en-GB"/>
              </w:rPr>
              <w:t>m generic failure rates combined with corrective factors.</w:t>
            </w:r>
          </w:p>
          <w:p w14:paraId="441BEC49" w14:textId="2DB15703" w:rsidR="009F135B" w:rsidRPr="00A234FC" w:rsidRDefault="009F135B" w:rsidP="00054929">
            <w:pPr>
              <w:pStyle w:val="CETBodytext"/>
              <w:keepNext/>
              <w:jc w:val="left"/>
              <w:rPr>
                <w:strike/>
                <w:sz w:val="17"/>
                <w:szCs w:val="17"/>
                <w:lang w:val="en-GB"/>
              </w:rPr>
            </w:pPr>
          </w:p>
        </w:tc>
        <w:tc>
          <w:tcPr>
            <w:tcW w:w="2419" w:type="dxa"/>
            <w:tcBorders>
              <w:top w:val="dotted" w:sz="4" w:space="0" w:color="008000"/>
              <w:bottom w:val="dotted" w:sz="4" w:space="0" w:color="008000"/>
            </w:tcBorders>
            <w:vAlign w:val="center"/>
          </w:tcPr>
          <w:p w14:paraId="7E44780B" w14:textId="72EA14AA" w:rsidR="009F135B" w:rsidRPr="00A234FC" w:rsidRDefault="009F135B" w:rsidP="00555A8F">
            <w:pPr>
              <w:pStyle w:val="CETBodytext"/>
              <w:keepNext/>
              <w:jc w:val="left"/>
              <w:rPr>
                <w:sz w:val="17"/>
                <w:szCs w:val="17"/>
                <w:lang w:val="en-GB"/>
              </w:rPr>
            </w:pPr>
            <w:r w:rsidRPr="00A234FC">
              <w:rPr>
                <w:sz w:val="17"/>
                <w:szCs w:val="17"/>
                <w:lang w:val="en-GB"/>
              </w:rPr>
              <w:t>Likelihood of top-events is calculated by FTA</w:t>
            </w:r>
            <w:r w:rsidR="00555A8F" w:rsidRPr="00A234FC">
              <w:rPr>
                <w:strike/>
                <w:sz w:val="17"/>
                <w:szCs w:val="17"/>
                <w:lang w:val="en-GB"/>
              </w:rPr>
              <w:t xml:space="preserve">. </w:t>
            </w:r>
            <w:r w:rsidRPr="00A234FC">
              <w:rPr>
                <w:sz w:val="17"/>
                <w:szCs w:val="17"/>
                <w:lang w:val="en-GB"/>
              </w:rPr>
              <w:t>Regulators set a cut-off threshold to discriminate credible events.</w:t>
            </w:r>
          </w:p>
        </w:tc>
        <w:tc>
          <w:tcPr>
            <w:tcW w:w="2419" w:type="dxa"/>
            <w:tcBorders>
              <w:top w:val="dotted" w:sz="4" w:space="0" w:color="008000"/>
              <w:bottom w:val="dotted" w:sz="4" w:space="0" w:color="008000"/>
            </w:tcBorders>
            <w:vAlign w:val="center"/>
          </w:tcPr>
          <w:p w14:paraId="23BE41CC" w14:textId="352E8B0B" w:rsidR="009F135B" w:rsidRPr="00A234FC" w:rsidRDefault="009F135B" w:rsidP="00E36045">
            <w:pPr>
              <w:pStyle w:val="CETBodytext"/>
              <w:keepNext/>
              <w:jc w:val="left"/>
              <w:rPr>
                <w:sz w:val="17"/>
                <w:szCs w:val="17"/>
                <w:lang w:val="en-GB"/>
              </w:rPr>
            </w:pPr>
            <w:r w:rsidRPr="00A234FC">
              <w:rPr>
                <w:sz w:val="17"/>
                <w:szCs w:val="17"/>
                <w:lang w:val="en-GB"/>
              </w:rPr>
              <w:t xml:space="preserve">SR should consider also the effect of context on the likelihood of top-events, as RBI. The ageing index could reconcile both approaches. </w:t>
            </w:r>
          </w:p>
        </w:tc>
      </w:tr>
      <w:tr w:rsidR="009F135B" w:rsidRPr="00A234FC" w14:paraId="7B003F6F" w14:textId="77777777" w:rsidTr="00A234FC">
        <w:trPr>
          <w:trHeight w:val="20"/>
          <w:jc w:val="center"/>
        </w:trPr>
        <w:tc>
          <w:tcPr>
            <w:tcW w:w="1411" w:type="dxa"/>
            <w:tcBorders>
              <w:top w:val="dotted" w:sz="4" w:space="0" w:color="008000"/>
              <w:bottom w:val="dotted" w:sz="4" w:space="0" w:color="008000"/>
            </w:tcBorders>
            <w:vAlign w:val="center"/>
          </w:tcPr>
          <w:p w14:paraId="6E62C489" w14:textId="77777777" w:rsidR="009F135B" w:rsidRPr="00A234FC" w:rsidRDefault="009F135B" w:rsidP="00054929">
            <w:pPr>
              <w:pStyle w:val="CETBodytext"/>
              <w:jc w:val="left"/>
              <w:rPr>
                <w:sz w:val="17"/>
                <w:szCs w:val="17"/>
                <w:lang w:val="en-GB"/>
              </w:rPr>
            </w:pPr>
            <w:r w:rsidRPr="00A234FC">
              <w:rPr>
                <w:sz w:val="17"/>
                <w:szCs w:val="17"/>
                <w:lang w:val="en-GB"/>
              </w:rPr>
              <w:t>Consequences</w:t>
            </w:r>
          </w:p>
        </w:tc>
        <w:tc>
          <w:tcPr>
            <w:tcW w:w="2485" w:type="dxa"/>
            <w:tcBorders>
              <w:top w:val="dotted" w:sz="4" w:space="0" w:color="008000"/>
              <w:bottom w:val="dotted" w:sz="4" w:space="0" w:color="008000"/>
            </w:tcBorders>
            <w:vAlign w:val="center"/>
          </w:tcPr>
          <w:p w14:paraId="5E1ABE38" w14:textId="72DEBD00" w:rsidR="009F135B" w:rsidRPr="00A234FC" w:rsidRDefault="009F135B" w:rsidP="00555A8F">
            <w:pPr>
              <w:pStyle w:val="CETBodytext"/>
              <w:jc w:val="left"/>
              <w:rPr>
                <w:sz w:val="17"/>
                <w:szCs w:val="17"/>
                <w:lang w:val="en-GB"/>
              </w:rPr>
            </w:pPr>
            <w:r w:rsidRPr="00A234FC">
              <w:rPr>
                <w:sz w:val="17"/>
                <w:szCs w:val="17"/>
                <w:lang w:val="en-GB"/>
              </w:rPr>
              <w:t xml:space="preserve">Consequences of failures include both </w:t>
            </w:r>
            <w:r w:rsidR="00555A8F" w:rsidRPr="00A234FC">
              <w:rPr>
                <w:sz w:val="17"/>
                <w:szCs w:val="17"/>
                <w:lang w:val="en-GB"/>
              </w:rPr>
              <w:t>economic-</w:t>
            </w:r>
            <w:r w:rsidRPr="00A234FC">
              <w:rPr>
                <w:sz w:val="17"/>
                <w:szCs w:val="17"/>
                <w:lang w:val="en-GB"/>
              </w:rPr>
              <w:t xml:space="preserve">financial effects and impact effects. </w:t>
            </w:r>
          </w:p>
        </w:tc>
        <w:tc>
          <w:tcPr>
            <w:tcW w:w="2419" w:type="dxa"/>
            <w:tcBorders>
              <w:top w:val="dotted" w:sz="4" w:space="0" w:color="008000"/>
              <w:bottom w:val="dotted" w:sz="4" w:space="0" w:color="008000"/>
            </w:tcBorders>
            <w:vAlign w:val="center"/>
          </w:tcPr>
          <w:p w14:paraId="43004D53" w14:textId="1B1879E2" w:rsidR="009F135B" w:rsidRPr="00A234FC" w:rsidRDefault="00555A8F" w:rsidP="00555A8F">
            <w:pPr>
              <w:pStyle w:val="CETBodytext"/>
              <w:jc w:val="left"/>
              <w:rPr>
                <w:sz w:val="17"/>
                <w:szCs w:val="17"/>
                <w:lang w:val="en-GB"/>
              </w:rPr>
            </w:pPr>
            <w:r w:rsidRPr="00A234FC">
              <w:rPr>
                <w:sz w:val="17"/>
                <w:szCs w:val="17"/>
                <w:lang w:val="en-GB"/>
              </w:rPr>
              <w:t>C</w:t>
            </w:r>
            <w:r w:rsidR="009F135B" w:rsidRPr="00A234FC">
              <w:rPr>
                <w:sz w:val="17"/>
                <w:szCs w:val="17"/>
                <w:lang w:val="en-GB"/>
              </w:rPr>
              <w:t xml:space="preserve">onsequence </w:t>
            </w:r>
            <w:r w:rsidRPr="00A234FC">
              <w:rPr>
                <w:sz w:val="17"/>
                <w:szCs w:val="17"/>
                <w:lang w:val="en-GB"/>
              </w:rPr>
              <w:t xml:space="preserve">evaluation </w:t>
            </w:r>
            <w:r w:rsidR="009F135B" w:rsidRPr="00A234FC">
              <w:rPr>
                <w:sz w:val="17"/>
                <w:szCs w:val="17"/>
                <w:lang w:val="en-GB"/>
              </w:rPr>
              <w:t xml:space="preserve">of top-event </w:t>
            </w:r>
            <w:r w:rsidRPr="00A234FC">
              <w:rPr>
                <w:sz w:val="17"/>
                <w:szCs w:val="17"/>
                <w:lang w:val="en-GB"/>
              </w:rPr>
              <w:t xml:space="preserve">is very accurate and </w:t>
            </w:r>
            <w:r w:rsidR="009F135B" w:rsidRPr="00A234FC">
              <w:rPr>
                <w:sz w:val="17"/>
                <w:szCs w:val="17"/>
                <w:lang w:val="en-GB"/>
              </w:rPr>
              <w:t>include</w:t>
            </w:r>
            <w:r w:rsidR="007A2DFA" w:rsidRPr="00A234FC">
              <w:rPr>
                <w:sz w:val="17"/>
                <w:szCs w:val="17"/>
                <w:lang w:val="en-GB"/>
              </w:rPr>
              <w:t>s</w:t>
            </w:r>
            <w:r w:rsidR="009F135B" w:rsidRPr="00A234FC">
              <w:rPr>
                <w:sz w:val="17"/>
                <w:szCs w:val="17"/>
                <w:lang w:val="en-GB"/>
              </w:rPr>
              <w:t xml:space="preserve"> </w:t>
            </w:r>
            <w:r w:rsidRPr="00A234FC">
              <w:rPr>
                <w:sz w:val="17"/>
                <w:szCs w:val="17"/>
                <w:lang w:val="en-GB"/>
              </w:rPr>
              <w:t xml:space="preserve">extension </w:t>
            </w:r>
            <w:r w:rsidR="009F135B" w:rsidRPr="00A234FC">
              <w:rPr>
                <w:sz w:val="17"/>
                <w:szCs w:val="17"/>
                <w:lang w:val="en-GB"/>
              </w:rPr>
              <w:t xml:space="preserve">of </w:t>
            </w:r>
            <w:r w:rsidRPr="00A234FC">
              <w:rPr>
                <w:sz w:val="17"/>
                <w:szCs w:val="17"/>
                <w:lang w:val="en-GB"/>
              </w:rPr>
              <w:t xml:space="preserve">the impact area with </w:t>
            </w:r>
            <w:r w:rsidR="009F135B" w:rsidRPr="00A234FC">
              <w:rPr>
                <w:sz w:val="17"/>
                <w:szCs w:val="17"/>
                <w:lang w:val="en-GB"/>
              </w:rPr>
              <w:t>effects</w:t>
            </w:r>
            <w:r w:rsidRPr="00A234FC">
              <w:rPr>
                <w:sz w:val="17"/>
                <w:szCs w:val="17"/>
                <w:lang w:val="en-GB"/>
              </w:rPr>
              <w:t xml:space="preserve"> for humans and environment</w:t>
            </w:r>
            <w:r w:rsidR="009F135B" w:rsidRPr="00A234FC">
              <w:rPr>
                <w:sz w:val="17"/>
                <w:szCs w:val="17"/>
                <w:lang w:val="en-GB"/>
              </w:rPr>
              <w:t xml:space="preserve">. </w:t>
            </w:r>
          </w:p>
        </w:tc>
        <w:tc>
          <w:tcPr>
            <w:tcW w:w="2419" w:type="dxa"/>
            <w:tcBorders>
              <w:top w:val="dotted" w:sz="4" w:space="0" w:color="008000"/>
              <w:bottom w:val="dotted" w:sz="4" w:space="0" w:color="008000"/>
            </w:tcBorders>
            <w:vAlign w:val="center"/>
          </w:tcPr>
          <w:p w14:paraId="7DA340F7" w14:textId="77777777" w:rsidR="009F135B" w:rsidRPr="00A234FC" w:rsidRDefault="009F135B" w:rsidP="00054929">
            <w:pPr>
              <w:pStyle w:val="CETBodytext"/>
              <w:jc w:val="left"/>
              <w:rPr>
                <w:sz w:val="17"/>
                <w:szCs w:val="17"/>
                <w:lang w:val="en-GB"/>
              </w:rPr>
            </w:pPr>
            <w:r w:rsidRPr="00A234FC">
              <w:rPr>
                <w:sz w:val="17"/>
                <w:szCs w:val="17"/>
                <w:lang w:val="en-GB"/>
              </w:rPr>
              <w:t xml:space="preserve">The consistency of the impact areas for major releases of hazardous materials should be verified in SR and RBI. </w:t>
            </w:r>
          </w:p>
        </w:tc>
      </w:tr>
      <w:tr w:rsidR="009F135B" w:rsidRPr="00A234FC" w14:paraId="1B60EB99" w14:textId="77777777" w:rsidTr="00A234FC">
        <w:trPr>
          <w:trHeight w:val="20"/>
          <w:jc w:val="center"/>
        </w:trPr>
        <w:tc>
          <w:tcPr>
            <w:tcW w:w="1411" w:type="dxa"/>
            <w:tcBorders>
              <w:top w:val="dotted" w:sz="4" w:space="0" w:color="008000"/>
              <w:bottom w:val="dotted" w:sz="4" w:space="0" w:color="008000"/>
            </w:tcBorders>
            <w:vAlign w:val="center"/>
          </w:tcPr>
          <w:p w14:paraId="538E8154" w14:textId="77777777" w:rsidR="009F135B" w:rsidRPr="00A234FC" w:rsidRDefault="009F135B" w:rsidP="00054929">
            <w:pPr>
              <w:pStyle w:val="CETBodytext"/>
              <w:jc w:val="left"/>
              <w:rPr>
                <w:sz w:val="17"/>
                <w:szCs w:val="17"/>
                <w:lang w:val="en-GB"/>
              </w:rPr>
            </w:pPr>
            <w:r w:rsidRPr="00A234FC">
              <w:rPr>
                <w:sz w:val="17"/>
                <w:szCs w:val="17"/>
                <w:lang w:val="en-GB"/>
              </w:rPr>
              <w:t>Damage mechanisms</w:t>
            </w:r>
          </w:p>
        </w:tc>
        <w:tc>
          <w:tcPr>
            <w:tcW w:w="2485" w:type="dxa"/>
            <w:tcBorders>
              <w:top w:val="dotted" w:sz="4" w:space="0" w:color="008000"/>
              <w:bottom w:val="dotted" w:sz="4" w:space="0" w:color="008000"/>
            </w:tcBorders>
            <w:vAlign w:val="center"/>
          </w:tcPr>
          <w:p w14:paraId="1D046509" w14:textId="1F874352" w:rsidR="009F135B" w:rsidRPr="00A234FC" w:rsidRDefault="009F135B" w:rsidP="00E97876">
            <w:pPr>
              <w:pStyle w:val="CETBodytext"/>
              <w:jc w:val="left"/>
              <w:rPr>
                <w:sz w:val="17"/>
                <w:szCs w:val="17"/>
                <w:lang w:val="en-GB"/>
              </w:rPr>
            </w:pPr>
            <w:r w:rsidRPr="00A234FC">
              <w:rPr>
                <w:sz w:val="17"/>
                <w:szCs w:val="17"/>
                <w:lang w:val="en-GB"/>
              </w:rPr>
              <w:t>RBI trusts in a huge knowledge basis (API 2011)</w:t>
            </w:r>
            <w:r w:rsidR="006C75D9" w:rsidRPr="00A234FC">
              <w:rPr>
                <w:sz w:val="17"/>
                <w:szCs w:val="17"/>
                <w:lang w:val="en-GB"/>
              </w:rPr>
              <w:t>,</w:t>
            </w:r>
            <w:r w:rsidRPr="00A234FC">
              <w:rPr>
                <w:sz w:val="17"/>
                <w:szCs w:val="17"/>
                <w:lang w:val="en-GB"/>
              </w:rPr>
              <w:t xml:space="preserve"> developed for oil industry, but valuable also for process industry.</w:t>
            </w:r>
          </w:p>
        </w:tc>
        <w:tc>
          <w:tcPr>
            <w:tcW w:w="2419" w:type="dxa"/>
            <w:tcBorders>
              <w:top w:val="dotted" w:sz="4" w:space="0" w:color="008000"/>
              <w:bottom w:val="dotted" w:sz="4" w:space="0" w:color="008000"/>
            </w:tcBorders>
            <w:vAlign w:val="center"/>
          </w:tcPr>
          <w:p w14:paraId="4CA4C4DD" w14:textId="77777777" w:rsidR="009F135B" w:rsidRPr="00A234FC" w:rsidRDefault="009F135B" w:rsidP="00054929">
            <w:pPr>
              <w:pStyle w:val="CETBodytext"/>
              <w:jc w:val="left"/>
              <w:rPr>
                <w:sz w:val="17"/>
                <w:szCs w:val="17"/>
                <w:lang w:val="en-GB"/>
              </w:rPr>
            </w:pPr>
            <w:r w:rsidRPr="00A234FC">
              <w:rPr>
                <w:sz w:val="17"/>
                <w:szCs w:val="17"/>
                <w:lang w:val="en-GB"/>
              </w:rPr>
              <w:t>In the current practice, SR does not mention damage mechanisms.</w:t>
            </w:r>
          </w:p>
        </w:tc>
        <w:tc>
          <w:tcPr>
            <w:tcW w:w="2419" w:type="dxa"/>
            <w:tcBorders>
              <w:top w:val="dotted" w:sz="4" w:space="0" w:color="008000"/>
              <w:bottom w:val="dotted" w:sz="4" w:space="0" w:color="008000"/>
            </w:tcBorders>
            <w:vAlign w:val="center"/>
          </w:tcPr>
          <w:p w14:paraId="5BE5D673" w14:textId="0EC40E02" w:rsidR="009F135B" w:rsidRPr="00A234FC" w:rsidRDefault="009F135B" w:rsidP="00E97876">
            <w:pPr>
              <w:pStyle w:val="CETBodytext"/>
              <w:jc w:val="left"/>
              <w:rPr>
                <w:sz w:val="17"/>
                <w:szCs w:val="17"/>
                <w:lang w:val="en-GB"/>
              </w:rPr>
            </w:pPr>
            <w:r w:rsidRPr="00A234FC">
              <w:rPr>
                <w:sz w:val="17"/>
                <w:szCs w:val="17"/>
                <w:lang w:val="en-GB"/>
              </w:rPr>
              <w:t>SR should demonstrate the awareness about ageing</w:t>
            </w:r>
            <w:r w:rsidR="006C75D9" w:rsidRPr="00A234FC">
              <w:rPr>
                <w:sz w:val="17"/>
                <w:szCs w:val="17"/>
                <w:lang w:val="en-GB"/>
              </w:rPr>
              <w:t xml:space="preserve"> (</w:t>
            </w:r>
            <w:r w:rsidRPr="00A234FC">
              <w:rPr>
                <w:sz w:val="17"/>
                <w:szCs w:val="17"/>
                <w:lang w:val="en-GB"/>
              </w:rPr>
              <w:t>knowledge of damage mechanisms and control techniques</w:t>
            </w:r>
            <w:r w:rsidR="006C75D9" w:rsidRPr="00A234FC">
              <w:rPr>
                <w:sz w:val="17"/>
                <w:szCs w:val="17"/>
                <w:lang w:val="en-GB"/>
              </w:rPr>
              <w:t>)</w:t>
            </w:r>
            <w:r w:rsidRPr="00A234FC">
              <w:rPr>
                <w:sz w:val="17"/>
                <w:szCs w:val="17"/>
                <w:lang w:val="en-GB"/>
              </w:rPr>
              <w:t>.</w:t>
            </w:r>
            <w:r w:rsidR="006C75D9" w:rsidRPr="00A234FC">
              <w:rPr>
                <w:sz w:val="17"/>
                <w:szCs w:val="17"/>
                <w:lang w:val="en-GB"/>
              </w:rPr>
              <w:t xml:space="preserve"> </w:t>
            </w:r>
            <w:r w:rsidRPr="00A234FC">
              <w:rPr>
                <w:sz w:val="17"/>
                <w:szCs w:val="17"/>
                <w:lang w:val="en-GB"/>
              </w:rPr>
              <w:t>SR should exploit API 571.</w:t>
            </w:r>
          </w:p>
        </w:tc>
      </w:tr>
      <w:tr w:rsidR="009F135B" w:rsidRPr="00A234FC" w14:paraId="3A8A944E" w14:textId="77777777" w:rsidTr="00A234FC">
        <w:trPr>
          <w:trHeight w:val="20"/>
          <w:jc w:val="center"/>
        </w:trPr>
        <w:tc>
          <w:tcPr>
            <w:tcW w:w="1411" w:type="dxa"/>
            <w:tcBorders>
              <w:top w:val="dotted" w:sz="4" w:space="0" w:color="008000"/>
              <w:bottom w:val="single" w:sz="12" w:space="0" w:color="008000"/>
            </w:tcBorders>
            <w:vAlign w:val="center"/>
          </w:tcPr>
          <w:p w14:paraId="703AFCAF" w14:textId="77777777" w:rsidR="009F135B" w:rsidRPr="00A234FC" w:rsidRDefault="009F135B" w:rsidP="00054929">
            <w:pPr>
              <w:pStyle w:val="CETBodytext"/>
              <w:jc w:val="left"/>
              <w:rPr>
                <w:sz w:val="17"/>
                <w:szCs w:val="17"/>
                <w:lang w:val="en-GB"/>
              </w:rPr>
            </w:pPr>
            <w:r w:rsidRPr="00A234FC">
              <w:rPr>
                <w:sz w:val="17"/>
                <w:szCs w:val="17"/>
                <w:lang w:val="en-GB"/>
              </w:rPr>
              <w:t>Safety management System</w:t>
            </w:r>
          </w:p>
        </w:tc>
        <w:tc>
          <w:tcPr>
            <w:tcW w:w="2485" w:type="dxa"/>
            <w:tcBorders>
              <w:top w:val="dotted" w:sz="4" w:space="0" w:color="008000"/>
              <w:bottom w:val="single" w:sz="12" w:space="0" w:color="008000"/>
            </w:tcBorders>
            <w:vAlign w:val="center"/>
          </w:tcPr>
          <w:p w14:paraId="21FCB6F1" w14:textId="7BFAD3BA" w:rsidR="009F135B" w:rsidRPr="00A234FC" w:rsidRDefault="009F135B" w:rsidP="00054929">
            <w:pPr>
              <w:pStyle w:val="CETBodytext"/>
              <w:jc w:val="left"/>
              <w:rPr>
                <w:sz w:val="17"/>
                <w:szCs w:val="17"/>
                <w:lang w:val="en-GB"/>
              </w:rPr>
            </w:pPr>
            <w:r w:rsidRPr="00A234FC">
              <w:rPr>
                <w:sz w:val="17"/>
                <w:szCs w:val="17"/>
                <w:lang w:val="en-GB"/>
              </w:rPr>
              <w:t xml:space="preserve">The SMS is carefully assessed according </w:t>
            </w:r>
            <w:r w:rsidR="006C75D9" w:rsidRPr="00A234FC">
              <w:rPr>
                <w:sz w:val="17"/>
                <w:szCs w:val="17"/>
                <w:lang w:val="en-GB"/>
              </w:rPr>
              <w:t xml:space="preserve">to </w:t>
            </w:r>
            <w:r w:rsidRPr="00A234FC">
              <w:rPr>
                <w:sz w:val="17"/>
                <w:szCs w:val="17"/>
                <w:lang w:val="en-GB"/>
              </w:rPr>
              <w:t>a proprietary API checklist. The obtained score is used to correct generic failure rates.</w:t>
            </w:r>
          </w:p>
        </w:tc>
        <w:tc>
          <w:tcPr>
            <w:tcW w:w="2419" w:type="dxa"/>
            <w:tcBorders>
              <w:top w:val="dotted" w:sz="4" w:space="0" w:color="008000"/>
              <w:bottom w:val="single" w:sz="12" w:space="0" w:color="008000"/>
            </w:tcBorders>
            <w:vAlign w:val="center"/>
          </w:tcPr>
          <w:p w14:paraId="77030EA5" w14:textId="42D338DC" w:rsidR="009F135B" w:rsidRPr="00A234FC" w:rsidRDefault="009F135B" w:rsidP="00E97876">
            <w:pPr>
              <w:pStyle w:val="CETBodytext"/>
              <w:jc w:val="left"/>
              <w:rPr>
                <w:sz w:val="17"/>
                <w:szCs w:val="17"/>
                <w:lang w:val="en-GB"/>
              </w:rPr>
            </w:pPr>
            <w:r w:rsidRPr="00A234FC">
              <w:rPr>
                <w:sz w:val="17"/>
                <w:szCs w:val="17"/>
                <w:lang w:val="en-GB"/>
              </w:rPr>
              <w:t xml:space="preserve">The SMS is carefully verified according </w:t>
            </w:r>
            <w:r w:rsidR="006C75D9" w:rsidRPr="00A234FC">
              <w:rPr>
                <w:sz w:val="17"/>
                <w:szCs w:val="17"/>
                <w:lang w:val="en-GB"/>
              </w:rPr>
              <w:t xml:space="preserve">to </w:t>
            </w:r>
            <w:r w:rsidRPr="00A234FC">
              <w:rPr>
                <w:sz w:val="17"/>
                <w:szCs w:val="17"/>
                <w:lang w:val="en-GB"/>
              </w:rPr>
              <w:t>a regulatory checklist, which gives a score</w:t>
            </w:r>
            <w:r w:rsidR="006C75D9" w:rsidRPr="00A234FC">
              <w:rPr>
                <w:sz w:val="17"/>
                <w:szCs w:val="17"/>
                <w:lang w:val="en-GB"/>
              </w:rPr>
              <w:t>.</w:t>
            </w:r>
            <w:r w:rsidRPr="00A234FC">
              <w:rPr>
                <w:sz w:val="17"/>
                <w:szCs w:val="17"/>
                <w:lang w:val="en-GB"/>
              </w:rPr>
              <w:t xml:space="preserve"> Seveso inspection is </w:t>
            </w:r>
            <w:r w:rsidR="006C75D9" w:rsidRPr="00A234FC">
              <w:rPr>
                <w:sz w:val="17"/>
                <w:szCs w:val="17"/>
                <w:lang w:val="en-GB"/>
              </w:rPr>
              <w:t>used only</w:t>
            </w:r>
            <w:r w:rsidRPr="00A234FC">
              <w:rPr>
                <w:sz w:val="17"/>
                <w:szCs w:val="17"/>
                <w:lang w:val="en-GB"/>
              </w:rPr>
              <w:t xml:space="preserve"> to determine the time </w:t>
            </w:r>
            <w:r w:rsidR="006C75D9" w:rsidRPr="00A234FC">
              <w:rPr>
                <w:sz w:val="17"/>
                <w:szCs w:val="17"/>
                <w:lang w:val="en-GB"/>
              </w:rPr>
              <w:t>of</w:t>
            </w:r>
            <w:r w:rsidRPr="00A234FC">
              <w:rPr>
                <w:sz w:val="17"/>
                <w:szCs w:val="17"/>
                <w:lang w:val="en-GB"/>
              </w:rPr>
              <w:t xml:space="preserve"> next inspection. </w:t>
            </w:r>
          </w:p>
        </w:tc>
        <w:tc>
          <w:tcPr>
            <w:tcW w:w="2419" w:type="dxa"/>
            <w:tcBorders>
              <w:top w:val="dotted" w:sz="4" w:space="0" w:color="008000"/>
              <w:bottom w:val="single" w:sz="12" w:space="0" w:color="008000"/>
            </w:tcBorders>
            <w:vAlign w:val="center"/>
          </w:tcPr>
          <w:p w14:paraId="32E5F23B" w14:textId="52769FD3" w:rsidR="009F135B" w:rsidRPr="00A234FC" w:rsidRDefault="009F135B" w:rsidP="00E97876">
            <w:pPr>
              <w:pStyle w:val="CETBodytext"/>
              <w:jc w:val="left"/>
              <w:rPr>
                <w:sz w:val="17"/>
                <w:szCs w:val="17"/>
                <w:lang w:val="en-GB"/>
              </w:rPr>
            </w:pPr>
            <w:r w:rsidRPr="00A234FC">
              <w:rPr>
                <w:sz w:val="17"/>
                <w:szCs w:val="17"/>
                <w:lang w:val="en-GB"/>
              </w:rPr>
              <w:t xml:space="preserve">RBI study should </w:t>
            </w:r>
            <w:r w:rsidR="006C75D9" w:rsidRPr="00A234FC">
              <w:rPr>
                <w:sz w:val="17"/>
                <w:szCs w:val="17"/>
                <w:lang w:val="en-GB"/>
              </w:rPr>
              <w:t xml:space="preserve">use </w:t>
            </w:r>
            <w:r w:rsidRPr="00A234FC">
              <w:rPr>
                <w:sz w:val="17"/>
                <w:szCs w:val="17"/>
                <w:lang w:val="en-GB"/>
              </w:rPr>
              <w:t xml:space="preserve">the score </w:t>
            </w:r>
            <w:r w:rsidR="006C75D9" w:rsidRPr="00A234FC">
              <w:rPr>
                <w:sz w:val="17"/>
                <w:szCs w:val="17"/>
                <w:lang w:val="en-GB"/>
              </w:rPr>
              <w:t xml:space="preserve">from </w:t>
            </w:r>
            <w:r w:rsidRPr="00A234FC">
              <w:rPr>
                <w:sz w:val="17"/>
                <w:szCs w:val="17"/>
                <w:lang w:val="en-GB"/>
              </w:rPr>
              <w:t>the regulatory checklist</w:t>
            </w:r>
            <w:r w:rsidR="006C75D9" w:rsidRPr="00A234FC">
              <w:rPr>
                <w:sz w:val="17"/>
                <w:szCs w:val="17"/>
                <w:lang w:val="en-GB"/>
              </w:rPr>
              <w:t xml:space="preserve">. </w:t>
            </w:r>
            <w:r w:rsidRPr="00A234FC">
              <w:rPr>
                <w:sz w:val="17"/>
                <w:szCs w:val="17"/>
                <w:lang w:val="en-GB"/>
              </w:rPr>
              <w:t>SR should quantify</w:t>
            </w:r>
            <w:r w:rsidR="006C75D9" w:rsidRPr="00A234FC">
              <w:rPr>
                <w:sz w:val="17"/>
                <w:szCs w:val="17"/>
                <w:lang w:val="en-GB"/>
              </w:rPr>
              <w:t xml:space="preserve"> </w:t>
            </w:r>
            <w:r w:rsidRPr="00A234FC">
              <w:rPr>
                <w:sz w:val="17"/>
                <w:szCs w:val="17"/>
                <w:lang w:val="en-GB"/>
              </w:rPr>
              <w:t>the effects of SMS on risk. The use of ageing indexes reconciles the approaches.</w:t>
            </w:r>
          </w:p>
        </w:tc>
      </w:tr>
    </w:tbl>
    <w:p w14:paraId="14D5E041" w14:textId="7AE444DA" w:rsidR="008A1BDB" w:rsidRPr="008B3D34" w:rsidRDefault="008A1BDB" w:rsidP="00A234FC">
      <w:pPr>
        <w:pStyle w:val="CETBodytext"/>
        <w:spacing w:before="60"/>
        <w:rPr>
          <w:lang w:val="en-GB"/>
        </w:rPr>
      </w:pPr>
      <w:r w:rsidRPr="008B3D34">
        <w:rPr>
          <w:lang w:val="en-GB"/>
        </w:rPr>
        <w:t xml:space="preserve">To contrast ageing, innovative sensors and communication technologies could not be enough. The adoption of adequate organisational models is surely more important than the use of technological innovation in monitoring. </w:t>
      </w:r>
      <w:r w:rsidR="00901CC2" w:rsidRPr="008B3D34">
        <w:rPr>
          <w:lang w:val="en-GB"/>
        </w:rPr>
        <w:t>If</w:t>
      </w:r>
      <w:r w:rsidRPr="008B3D34">
        <w:rPr>
          <w:lang w:val="en-GB"/>
        </w:rPr>
        <w:t xml:space="preserve"> equipment is approaching the design lifetime or has overcome it, </w:t>
      </w:r>
      <w:r w:rsidR="00901CC2" w:rsidRPr="008B3D34">
        <w:rPr>
          <w:lang w:val="en-GB"/>
        </w:rPr>
        <w:t xml:space="preserve">the operator </w:t>
      </w:r>
      <w:r w:rsidRPr="008B3D34">
        <w:rPr>
          <w:lang w:val="en-GB"/>
        </w:rPr>
        <w:t xml:space="preserve">should adopt an RBI approach to manage integrity (Bragatto et al., 2012). The full implementation of API guidelines (API 2016a, API 2016b) is suitable for major companies and larger plants. For small-medium sized </w:t>
      </w:r>
      <w:r w:rsidR="00901CC2" w:rsidRPr="008B3D34">
        <w:rPr>
          <w:lang w:val="en-GB"/>
        </w:rPr>
        <w:t xml:space="preserve">ones, </w:t>
      </w:r>
      <w:r w:rsidRPr="008B3D34">
        <w:rPr>
          <w:lang w:val="en-GB"/>
        </w:rPr>
        <w:t xml:space="preserve">the implementation of </w:t>
      </w:r>
      <w:r w:rsidR="00901CC2" w:rsidRPr="008B3D34">
        <w:rPr>
          <w:lang w:val="en-GB"/>
        </w:rPr>
        <w:t xml:space="preserve">these </w:t>
      </w:r>
      <w:r w:rsidRPr="008B3D34">
        <w:rPr>
          <w:lang w:val="en-GB"/>
        </w:rPr>
        <w:t>guidelines may be difficult because</w:t>
      </w:r>
      <w:r w:rsidR="00901CC2" w:rsidRPr="008B3D34">
        <w:rPr>
          <w:lang w:val="en-GB"/>
        </w:rPr>
        <w:t xml:space="preserve"> of</w:t>
      </w:r>
      <w:r w:rsidRPr="008B3D34">
        <w:rPr>
          <w:lang w:val="en-GB"/>
        </w:rPr>
        <w:t xml:space="preserve"> the required resources, thus, other RBI guidelines are more suitable, including the EEMUA 159 for above ground atmospheric storage tanks (EEMUA</w:t>
      </w:r>
      <w:r w:rsidR="00901CC2" w:rsidRPr="008B3D34">
        <w:rPr>
          <w:lang w:val="en-GB"/>
        </w:rPr>
        <w:t xml:space="preserve"> </w:t>
      </w:r>
      <w:r w:rsidRPr="008B3D34">
        <w:rPr>
          <w:lang w:val="en-GB"/>
        </w:rPr>
        <w:t>2018) or the European standard EN 16991 (CEN 2018). Operators of small sized Seveso plants often have a limited understanding of deterioration phenomena and the adoption of an RBI strategy</w:t>
      </w:r>
      <w:r w:rsidR="00901CC2" w:rsidRPr="008B3D34">
        <w:rPr>
          <w:lang w:val="en-GB"/>
        </w:rPr>
        <w:t xml:space="preserve"> is a necessary condition to extend the in-service life of aged equipment</w:t>
      </w:r>
      <w:r w:rsidRPr="008B3D34">
        <w:rPr>
          <w:lang w:val="en-GB"/>
        </w:rPr>
        <w:t>, independently on the adopted guideline or code.</w:t>
      </w:r>
    </w:p>
    <w:p w14:paraId="6C08C792" w14:textId="5C6FE12A" w:rsidR="008A1BDB" w:rsidRPr="008B3D34" w:rsidRDefault="008A1BDB" w:rsidP="008A1BDB">
      <w:pPr>
        <w:pStyle w:val="CETBodytext"/>
        <w:rPr>
          <w:lang w:val="en-GB"/>
        </w:rPr>
      </w:pPr>
      <w:r w:rsidRPr="008B3D34">
        <w:rPr>
          <w:lang w:val="en-GB"/>
        </w:rPr>
        <w:t xml:space="preserve">It must be underlined that both the Seveso legislation and the RBI approach are based on a risk management approach. While RBI is based on a semi-qualitative risk assessment, the European regulation requires quantitative analysis to be included in SR. The first approach gives a risk classification, based on the probability of the failure and the consequences; the second one consists of the calculation of the probability of credible events and the development of simulations for the release and the impact of scenarios. The </w:t>
      </w:r>
      <w:r w:rsidR="00CA00C6" w:rsidRPr="008B3D34">
        <w:rPr>
          <w:lang w:val="en-GB"/>
        </w:rPr>
        <w:t xml:space="preserve">scope </w:t>
      </w:r>
      <w:r w:rsidRPr="008B3D34">
        <w:rPr>
          <w:lang w:val="en-GB"/>
        </w:rPr>
        <w:t xml:space="preserve">is different, but the </w:t>
      </w:r>
      <w:r w:rsidR="00CA00C6" w:rsidRPr="008B3D34">
        <w:rPr>
          <w:lang w:val="en-GB"/>
        </w:rPr>
        <w:t xml:space="preserve">results of the </w:t>
      </w:r>
      <w:r w:rsidRPr="008B3D34">
        <w:rPr>
          <w:lang w:val="en-GB"/>
        </w:rPr>
        <w:t xml:space="preserve">assessments should be consistent with each other; this is not so obvious and, </w:t>
      </w:r>
      <w:r w:rsidRPr="008B3D34">
        <w:rPr>
          <w:lang w:val="en-GB"/>
        </w:rPr>
        <w:lastRenderedPageBreak/>
        <w:t xml:space="preserve">inside largest companies, SR and RBI are managed by different departments, which often do not communicate each other. A complete overlap is not possible, due to the different scopes and approaches: RBI includes even financial losses due to failures and operational interruptions, whilst SR considers major losses on the basis of the </w:t>
      </w:r>
      <w:r w:rsidR="00CA00C6" w:rsidRPr="008B3D34">
        <w:rPr>
          <w:lang w:val="en-GB"/>
        </w:rPr>
        <w:t xml:space="preserve">impact </w:t>
      </w:r>
      <w:r w:rsidRPr="008B3D34">
        <w:rPr>
          <w:lang w:val="en-GB"/>
        </w:rPr>
        <w:t xml:space="preserve">area. SR is a public document, shared with other stakeholders, whilst RBI is a private document for internal use and, therefore, a less conservative and more agile approach is required. Even though the two documents must be kept independent, a reconciliation is essential to avoid conflicting evaluations. A merge of them does not make sense, but a number of elements should be carefully checked by looking </w:t>
      </w:r>
      <w:r w:rsidR="00CA00C6" w:rsidRPr="008B3D34">
        <w:rPr>
          <w:lang w:val="en-GB"/>
        </w:rPr>
        <w:t xml:space="preserve">at </w:t>
      </w:r>
      <w:r w:rsidRPr="008B3D34">
        <w:rPr>
          <w:lang w:val="en-GB"/>
        </w:rPr>
        <w:t>both documents. Table 1 summarises the main points to check to harmonise SR and RBI. In updating the SR, the operator should verify the existence of an RBI study and, if it does, he/she should follow point by point the suggestions in Table 1 to assure the required “consistency”. In the same way, when a new RBI study is under preparation, the SR should be accessed and, even in this case, the points in Table 1 provide a useful guideline.</w:t>
      </w:r>
    </w:p>
    <w:p w14:paraId="0EB2879D" w14:textId="77777777" w:rsidR="008A1BDB" w:rsidRPr="008B3D34" w:rsidRDefault="008A1BDB" w:rsidP="008A1BDB">
      <w:pPr>
        <w:pStyle w:val="CETHeading1"/>
        <w:tabs>
          <w:tab w:val="num" w:pos="360"/>
        </w:tabs>
        <w:rPr>
          <w:lang w:val="en-GB"/>
        </w:rPr>
      </w:pPr>
      <w:r w:rsidRPr="008B3D34">
        <w:rPr>
          <w:lang w:val="en-GB"/>
        </w:rPr>
        <w:t>Case study</w:t>
      </w:r>
    </w:p>
    <w:p w14:paraId="72095073" w14:textId="7BAE030A" w:rsidR="008A1BDB" w:rsidRDefault="008A1BDB" w:rsidP="008A1BDB">
      <w:pPr>
        <w:pStyle w:val="CETBodytext"/>
        <w:rPr>
          <w:lang w:val="en-GB"/>
        </w:rPr>
      </w:pPr>
      <w:r w:rsidRPr="008B3D34">
        <w:rPr>
          <w:lang w:val="en-GB"/>
        </w:rPr>
        <w:t xml:space="preserve">The </w:t>
      </w:r>
      <w:r w:rsidR="008D79A4" w:rsidRPr="008B3D34">
        <w:rPr>
          <w:lang w:val="en-GB"/>
        </w:rPr>
        <w:t>implement</w:t>
      </w:r>
      <w:r w:rsidR="00054929" w:rsidRPr="008B3D34">
        <w:rPr>
          <w:lang w:val="en-GB"/>
        </w:rPr>
        <w:t>ation of</w:t>
      </w:r>
      <w:r w:rsidR="008D79A4" w:rsidRPr="008B3D34">
        <w:rPr>
          <w:lang w:val="en-GB"/>
        </w:rPr>
        <w:t xml:space="preserve"> the method</w:t>
      </w:r>
      <w:r w:rsidR="00054929" w:rsidRPr="008B3D34">
        <w:rPr>
          <w:lang w:val="en-GB"/>
        </w:rPr>
        <w:t>,</w:t>
      </w:r>
      <w:r w:rsidR="008D79A4" w:rsidRPr="008B3D34">
        <w:rPr>
          <w:lang w:val="en-GB"/>
        </w:rPr>
        <w:t xml:space="preserve"> discussed in section 3.2</w:t>
      </w:r>
      <w:r w:rsidR="00054929" w:rsidRPr="008B3D34">
        <w:rPr>
          <w:lang w:val="en-GB"/>
        </w:rPr>
        <w:t>,</w:t>
      </w:r>
      <w:r w:rsidR="008D79A4" w:rsidRPr="008B3D34">
        <w:rPr>
          <w:lang w:val="en-GB"/>
        </w:rPr>
        <w:t xml:space="preserve"> </w:t>
      </w:r>
      <w:r w:rsidR="00054929" w:rsidRPr="008B3D34">
        <w:rPr>
          <w:lang w:val="en-GB"/>
        </w:rPr>
        <w:t xml:space="preserve">in a real establishment </w:t>
      </w:r>
      <w:r w:rsidR="008D79A4" w:rsidRPr="008B3D34">
        <w:rPr>
          <w:lang w:val="en-GB"/>
        </w:rPr>
        <w:t>inclu</w:t>
      </w:r>
      <w:r w:rsidR="00F55F15" w:rsidRPr="008B3D34">
        <w:rPr>
          <w:lang w:val="en-GB"/>
        </w:rPr>
        <w:t>de</w:t>
      </w:r>
      <w:r w:rsidR="00054929" w:rsidRPr="008B3D34">
        <w:rPr>
          <w:lang w:val="en-GB"/>
        </w:rPr>
        <w:t>s</w:t>
      </w:r>
      <w:r w:rsidR="00F55F15" w:rsidRPr="008B3D34">
        <w:rPr>
          <w:lang w:val="en-GB"/>
        </w:rPr>
        <w:t xml:space="preserve"> the following steps: </w:t>
      </w:r>
      <w:proofErr w:type="spellStart"/>
      <w:r w:rsidR="00F55F15" w:rsidRPr="008B3D34">
        <w:rPr>
          <w:lang w:val="en-GB"/>
        </w:rPr>
        <w:t>i</w:t>
      </w:r>
      <w:proofErr w:type="spellEnd"/>
      <w:r w:rsidR="008D79A4" w:rsidRPr="008B3D34">
        <w:rPr>
          <w:lang w:val="en-GB"/>
        </w:rPr>
        <w:t xml:space="preserve">) </w:t>
      </w:r>
      <w:r w:rsidR="00054929" w:rsidRPr="008B3D34">
        <w:rPr>
          <w:lang w:val="en-GB"/>
        </w:rPr>
        <w:t xml:space="preserve">to </w:t>
      </w:r>
      <w:r w:rsidR="008D79A4" w:rsidRPr="008B3D34">
        <w:rPr>
          <w:lang w:val="en-GB"/>
        </w:rPr>
        <w:t>fin</w:t>
      </w:r>
      <w:r w:rsidR="000375AF" w:rsidRPr="008B3D34">
        <w:rPr>
          <w:lang w:val="en-GB"/>
        </w:rPr>
        <w:t xml:space="preserve">d out the critical containment </w:t>
      </w:r>
      <w:r w:rsidR="008D79A4" w:rsidRPr="008B3D34">
        <w:rPr>
          <w:lang w:val="en-GB"/>
        </w:rPr>
        <w:t>systems</w:t>
      </w:r>
      <w:r w:rsidR="00F55F15" w:rsidRPr="008B3D34">
        <w:rPr>
          <w:lang w:val="en-GB"/>
        </w:rPr>
        <w:t xml:space="preserve"> and get the expected frequencies of accident</w:t>
      </w:r>
      <w:r w:rsidR="00054929" w:rsidRPr="008B3D34">
        <w:rPr>
          <w:lang w:val="en-GB"/>
        </w:rPr>
        <w:t>s</w:t>
      </w:r>
      <w:r w:rsidR="0068400A" w:rsidRPr="008B3D34">
        <w:rPr>
          <w:lang w:val="en-GB"/>
        </w:rPr>
        <w:t>;</w:t>
      </w:r>
      <w:r w:rsidR="00F55F15" w:rsidRPr="008B3D34">
        <w:rPr>
          <w:lang w:val="en-GB"/>
        </w:rPr>
        <w:t xml:space="preserve"> ii</w:t>
      </w:r>
      <w:r w:rsidR="008D79A4" w:rsidRPr="008B3D34">
        <w:rPr>
          <w:lang w:val="en-GB"/>
        </w:rPr>
        <w:t xml:space="preserve">) </w:t>
      </w:r>
      <w:r w:rsidR="00054929" w:rsidRPr="008B3D34">
        <w:rPr>
          <w:lang w:val="en-GB"/>
        </w:rPr>
        <w:t xml:space="preserve">to </w:t>
      </w:r>
      <w:r w:rsidR="008D79A4" w:rsidRPr="008B3D34">
        <w:rPr>
          <w:lang w:val="en-GB"/>
        </w:rPr>
        <w:t xml:space="preserve">apply the </w:t>
      </w:r>
      <w:r w:rsidR="00555A8F" w:rsidRPr="008B3D34">
        <w:rPr>
          <w:lang w:val="en-GB"/>
        </w:rPr>
        <w:t>AFB</w:t>
      </w:r>
      <w:r w:rsidR="008D79A4" w:rsidRPr="008B3D34">
        <w:rPr>
          <w:lang w:val="en-GB"/>
        </w:rPr>
        <w:t xml:space="preserve"> method and </w:t>
      </w:r>
      <w:r w:rsidR="00054929" w:rsidRPr="008B3D34">
        <w:rPr>
          <w:lang w:val="en-GB"/>
        </w:rPr>
        <w:t xml:space="preserve">calculate </w:t>
      </w:r>
      <w:r w:rsidR="008D79A4" w:rsidRPr="008B3D34">
        <w:rPr>
          <w:lang w:val="en-GB"/>
        </w:rPr>
        <w:t xml:space="preserve">the </w:t>
      </w:r>
      <w:r w:rsidR="00054929" w:rsidRPr="008B3D34">
        <w:rPr>
          <w:i/>
          <w:lang w:val="en-GB"/>
        </w:rPr>
        <w:t>equipment overall index</w:t>
      </w:r>
      <w:r w:rsidR="00054929" w:rsidRPr="008B3D34">
        <w:rPr>
          <w:lang w:val="en-GB"/>
        </w:rPr>
        <w:t xml:space="preserve"> </w:t>
      </w:r>
      <w:proofErr w:type="spellStart"/>
      <w:r w:rsidR="008D79A4" w:rsidRPr="008B3D34">
        <w:rPr>
          <w:rFonts w:ascii="Times New Roman" w:hAnsi="Times New Roman"/>
          <w:i/>
          <w:lang w:val="en-GB"/>
        </w:rPr>
        <w:t>I</w:t>
      </w:r>
      <w:r w:rsidR="00F55F15" w:rsidRPr="008B3D34">
        <w:rPr>
          <w:rFonts w:ascii="Times New Roman" w:hAnsi="Times New Roman"/>
          <w:i/>
          <w:sz w:val="16"/>
          <w:szCs w:val="16"/>
          <w:lang w:val="en-GB"/>
        </w:rPr>
        <w:t>eq</w:t>
      </w:r>
      <w:r w:rsidR="00BA7037" w:rsidRPr="008B3D34">
        <w:rPr>
          <w:rFonts w:ascii="Times New Roman" w:hAnsi="Times New Roman"/>
          <w:i/>
          <w:sz w:val="16"/>
          <w:szCs w:val="16"/>
          <w:vertAlign w:val="subscript"/>
          <w:lang w:val="en-GB"/>
        </w:rPr>
        <w:t>i</w:t>
      </w:r>
      <w:proofErr w:type="spellEnd"/>
      <w:r w:rsidR="00F55F15" w:rsidRPr="008B3D34">
        <w:rPr>
          <w:rFonts w:ascii="Times New Roman" w:hAnsi="Times New Roman"/>
          <w:sz w:val="16"/>
          <w:szCs w:val="16"/>
          <w:lang w:val="en-GB"/>
        </w:rPr>
        <w:t xml:space="preserve"> </w:t>
      </w:r>
      <w:r w:rsidR="00F55F15" w:rsidRPr="008B3D34">
        <w:rPr>
          <w:rFonts w:cs="Arial"/>
          <w:szCs w:val="18"/>
          <w:lang w:val="en-GB"/>
        </w:rPr>
        <w:t>for each critical item</w:t>
      </w:r>
      <w:r w:rsidR="0068400A" w:rsidRPr="008B3D34">
        <w:rPr>
          <w:rFonts w:cs="Arial"/>
          <w:szCs w:val="18"/>
          <w:lang w:val="en-GB"/>
        </w:rPr>
        <w:t>;</w:t>
      </w:r>
      <w:r w:rsidR="00F55F15" w:rsidRPr="008B3D34">
        <w:rPr>
          <w:rFonts w:cs="Arial"/>
          <w:szCs w:val="18"/>
          <w:lang w:val="en-GB"/>
        </w:rPr>
        <w:t xml:space="preserve"> iii) </w:t>
      </w:r>
      <w:r w:rsidR="00054929" w:rsidRPr="008B3D34">
        <w:rPr>
          <w:rFonts w:cs="Arial"/>
          <w:szCs w:val="18"/>
          <w:lang w:val="en-GB"/>
        </w:rPr>
        <w:t xml:space="preserve">to </w:t>
      </w:r>
      <w:r w:rsidR="00F55F15" w:rsidRPr="008B3D34">
        <w:rPr>
          <w:rFonts w:cs="Arial"/>
          <w:szCs w:val="18"/>
          <w:lang w:val="en-GB"/>
        </w:rPr>
        <w:t>calculate the corrective factor</w:t>
      </w:r>
      <w:r w:rsidR="00054929" w:rsidRPr="008B3D34">
        <w:rPr>
          <w:rFonts w:cs="Arial"/>
          <w:szCs w:val="18"/>
          <w:lang w:val="en-GB"/>
        </w:rPr>
        <w:t xml:space="preserve"> for each item</w:t>
      </w:r>
      <w:r w:rsidR="00F55F15" w:rsidRPr="008B3D34">
        <w:rPr>
          <w:rFonts w:cs="Arial"/>
          <w:szCs w:val="18"/>
          <w:lang w:val="en-GB"/>
        </w:rPr>
        <w:t xml:space="preserve">, according to </w:t>
      </w:r>
      <w:proofErr w:type="spellStart"/>
      <w:r w:rsidR="00F55F15" w:rsidRPr="008B3D34">
        <w:rPr>
          <w:rFonts w:cs="Arial"/>
          <w:szCs w:val="18"/>
          <w:lang w:val="en-GB"/>
        </w:rPr>
        <w:t>Eq</w:t>
      </w:r>
      <w:proofErr w:type="spellEnd"/>
      <w:r w:rsidR="00F55F15" w:rsidRPr="008B3D34">
        <w:rPr>
          <w:rFonts w:cs="Arial"/>
          <w:szCs w:val="18"/>
          <w:lang w:val="en-GB"/>
        </w:rPr>
        <w:t>(6)</w:t>
      </w:r>
      <w:r w:rsidR="0068400A" w:rsidRPr="008B3D34">
        <w:rPr>
          <w:rFonts w:cs="Arial"/>
          <w:szCs w:val="18"/>
          <w:lang w:val="en-GB"/>
        </w:rPr>
        <w:t>;</w:t>
      </w:r>
      <w:r w:rsidR="000375AF" w:rsidRPr="008B3D34">
        <w:rPr>
          <w:lang w:val="en-GB"/>
        </w:rPr>
        <w:t xml:space="preserve"> </w:t>
      </w:r>
      <w:r w:rsidR="00F55F15" w:rsidRPr="008B3D34">
        <w:rPr>
          <w:lang w:val="en-GB"/>
        </w:rPr>
        <w:t xml:space="preserve">iv) </w:t>
      </w:r>
      <w:r w:rsidR="00054929" w:rsidRPr="008B3D34">
        <w:rPr>
          <w:lang w:val="en-GB"/>
        </w:rPr>
        <w:t xml:space="preserve">to </w:t>
      </w:r>
      <w:r w:rsidR="00F55F15" w:rsidRPr="008B3D34">
        <w:rPr>
          <w:lang w:val="en-GB"/>
        </w:rPr>
        <w:t>adjust the frequency</w:t>
      </w:r>
      <w:r w:rsidR="00054929" w:rsidRPr="008B3D34">
        <w:rPr>
          <w:lang w:val="en-GB"/>
        </w:rPr>
        <w:t xml:space="preserve"> of accidents</w:t>
      </w:r>
      <w:r w:rsidR="00F55F15" w:rsidRPr="008B3D34">
        <w:rPr>
          <w:lang w:val="en-GB"/>
        </w:rPr>
        <w:t xml:space="preserve"> according to </w:t>
      </w:r>
      <w:proofErr w:type="spellStart"/>
      <w:r w:rsidR="00F55F15" w:rsidRPr="008B3D34">
        <w:rPr>
          <w:lang w:val="en-GB"/>
        </w:rPr>
        <w:t>Eq</w:t>
      </w:r>
      <w:proofErr w:type="spellEnd"/>
      <w:r w:rsidR="00F55F15" w:rsidRPr="008B3D34">
        <w:rPr>
          <w:lang w:val="en-GB"/>
        </w:rPr>
        <w:t xml:space="preserve">(5). </w:t>
      </w:r>
      <w:r w:rsidR="003207D5" w:rsidRPr="008B3D34">
        <w:t>The sensitivity of the AFB method, as discussed in a recent paper (Ancione et al. 2020), is low and substantial cha</w:t>
      </w:r>
      <w:proofErr w:type="spellStart"/>
      <w:r w:rsidR="003207D5" w:rsidRPr="008B3D34">
        <w:rPr>
          <w:lang w:val="en-GB"/>
        </w:rPr>
        <w:t>nges</w:t>
      </w:r>
      <w:proofErr w:type="spellEnd"/>
      <w:r w:rsidR="003207D5" w:rsidRPr="008B3D34">
        <w:rPr>
          <w:lang w:val="en-GB"/>
        </w:rPr>
        <w:t xml:space="preserve"> are required to affect the ageing indexes</w:t>
      </w:r>
      <w:r w:rsidR="003207D5" w:rsidRPr="008B3D34">
        <w:rPr>
          <w:sz w:val="16"/>
          <w:szCs w:val="16"/>
          <w:lang w:val="en-GB"/>
        </w:rPr>
        <w:t xml:space="preserve">. </w:t>
      </w:r>
      <w:r w:rsidR="003207D5" w:rsidRPr="008B3D34">
        <w:rPr>
          <w:lang w:val="en-GB"/>
        </w:rPr>
        <w:t>Thus, even the corrective factors and the frequencies are expected to change significantly, just in the case of major changes (technical or organi</w:t>
      </w:r>
      <w:r w:rsidR="00DD5333" w:rsidRPr="008B3D34">
        <w:rPr>
          <w:lang w:val="en-GB"/>
        </w:rPr>
        <w:t>s</w:t>
      </w:r>
      <w:r w:rsidR="003207D5" w:rsidRPr="008B3D34">
        <w:rPr>
          <w:lang w:val="en-GB"/>
        </w:rPr>
        <w:t>ational) in ageing management.</w:t>
      </w:r>
      <w:r w:rsidR="00A234FC">
        <w:rPr>
          <w:lang w:val="en-GB"/>
        </w:rPr>
        <w:t xml:space="preserve"> </w:t>
      </w:r>
      <w:r w:rsidR="00F55F15" w:rsidRPr="008B3D34">
        <w:rPr>
          <w:lang w:val="en-GB"/>
        </w:rPr>
        <w:t xml:space="preserve">The selected </w:t>
      </w:r>
      <w:r w:rsidRPr="008B3D34">
        <w:rPr>
          <w:lang w:val="en-GB"/>
        </w:rPr>
        <w:t xml:space="preserve">case study is a medium sized depot, containing five atmospheric tanks for the storage of light products (virgin naphtha or gasoline). </w:t>
      </w:r>
      <w:r w:rsidR="00054929" w:rsidRPr="008B3D34">
        <w:rPr>
          <w:lang w:val="en-GB"/>
        </w:rPr>
        <w:t>E</w:t>
      </w:r>
      <w:r w:rsidRPr="008B3D34">
        <w:rPr>
          <w:lang w:val="en-GB"/>
        </w:rPr>
        <w:t xml:space="preserve">ach tank, named TK0n (where n = 1, 2, 3, 4, 6), </w:t>
      </w:r>
      <w:r w:rsidR="00054929" w:rsidRPr="008B3D34">
        <w:rPr>
          <w:lang w:val="en-GB"/>
        </w:rPr>
        <w:t>is equipped by</w:t>
      </w:r>
      <w:r w:rsidRPr="008B3D34">
        <w:rPr>
          <w:lang w:val="en-GB"/>
        </w:rPr>
        <w:t xml:space="preserve"> an </w:t>
      </w:r>
      <w:proofErr w:type="spellStart"/>
      <w:r w:rsidRPr="008B3D34">
        <w:rPr>
          <w:lang w:val="en-GB"/>
        </w:rPr>
        <w:t>adduction</w:t>
      </w:r>
      <w:proofErr w:type="spellEnd"/>
      <w:r w:rsidRPr="008B3D34">
        <w:rPr>
          <w:lang w:val="en-GB"/>
        </w:rPr>
        <w:t xml:space="preserve"> line (named L10</w:t>
      </w:r>
      <w:r w:rsidRPr="008B3D34">
        <w:rPr>
          <w:i/>
          <w:lang w:val="en-GB"/>
        </w:rPr>
        <w:t>n</w:t>
      </w:r>
      <w:r w:rsidRPr="008B3D34">
        <w:rPr>
          <w:lang w:val="en-GB"/>
        </w:rPr>
        <w:t>) and an extraction line (L20</w:t>
      </w:r>
      <w:r w:rsidRPr="008B3D34">
        <w:rPr>
          <w:i/>
          <w:lang w:val="en-GB"/>
        </w:rPr>
        <w:t>n</w:t>
      </w:r>
      <w:r w:rsidRPr="008B3D34">
        <w:rPr>
          <w:lang w:val="en-GB"/>
        </w:rPr>
        <w:t xml:space="preserve">). Most tanks were built some sixty years ago, as well as the lines. At the depot there are no </w:t>
      </w:r>
      <w:r w:rsidR="00054929" w:rsidRPr="008B3D34">
        <w:rPr>
          <w:lang w:val="en-GB"/>
        </w:rPr>
        <w:t xml:space="preserve">particular </w:t>
      </w:r>
      <w:r w:rsidRPr="008B3D34">
        <w:rPr>
          <w:lang w:val="en-GB"/>
        </w:rPr>
        <w:t xml:space="preserve">measures for ageing control, such as RBI, best inspection techniques, functional safety policy, physical protections (neither active or passive). Thus, the application of </w:t>
      </w:r>
      <w:r w:rsidR="00555A8F" w:rsidRPr="008B3D34">
        <w:rPr>
          <w:lang w:val="en-GB"/>
        </w:rPr>
        <w:t>AFB</w:t>
      </w:r>
      <w:r w:rsidRPr="008B3D34">
        <w:rPr>
          <w:lang w:val="en-GB"/>
        </w:rPr>
        <w:t xml:space="preserve"> method gives a negative </w:t>
      </w:r>
      <w:r w:rsidR="00054929" w:rsidRPr="008B3D34">
        <w:rPr>
          <w:i/>
          <w:lang w:val="en-GB"/>
        </w:rPr>
        <w:t>equipment overall index</w:t>
      </w:r>
      <w:r w:rsidR="00054929" w:rsidRPr="008B3D34">
        <w:rPr>
          <w:lang w:val="en-GB"/>
        </w:rPr>
        <w:t xml:space="preserve"> </w:t>
      </w:r>
      <w:r w:rsidRPr="008B3D34">
        <w:rPr>
          <w:lang w:val="en-GB"/>
        </w:rPr>
        <w:t xml:space="preserve">for </w:t>
      </w:r>
      <w:r w:rsidR="00054929" w:rsidRPr="008B3D34">
        <w:rPr>
          <w:lang w:val="en-GB"/>
        </w:rPr>
        <w:t>some</w:t>
      </w:r>
      <w:r w:rsidR="00F55F15" w:rsidRPr="008B3D34">
        <w:rPr>
          <w:lang w:val="en-GB"/>
        </w:rPr>
        <w:t xml:space="preserve"> tanks and lines (see </w:t>
      </w:r>
      <w:r w:rsidR="00054929" w:rsidRPr="008B3D34">
        <w:rPr>
          <w:lang w:val="en-GB"/>
        </w:rPr>
        <w:t>T</w:t>
      </w:r>
      <w:r w:rsidR="00F55F15" w:rsidRPr="008B3D34">
        <w:rPr>
          <w:lang w:val="en-GB"/>
        </w:rPr>
        <w:t>able 2)</w:t>
      </w:r>
      <w:r w:rsidRPr="008B3D34">
        <w:rPr>
          <w:lang w:val="en-GB"/>
        </w:rPr>
        <w:t xml:space="preserve">, due to their age and condition. The SR, issued and approved a few years earlier, </w:t>
      </w:r>
      <w:r w:rsidR="00054929" w:rsidRPr="008B3D34">
        <w:rPr>
          <w:lang w:val="en-GB"/>
        </w:rPr>
        <w:t>provided</w:t>
      </w:r>
      <w:r w:rsidRPr="008B3D34">
        <w:rPr>
          <w:lang w:val="en-GB"/>
        </w:rPr>
        <w:t xml:space="preserve"> the frequencies of release </w:t>
      </w:r>
      <w:r w:rsidR="00054929" w:rsidRPr="008B3D34">
        <w:rPr>
          <w:lang w:val="en-GB"/>
        </w:rPr>
        <w:t xml:space="preserve">of </w:t>
      </w:r>
      <w:r w:rsidRPr="008B3D34">
        <w:rPr>
          <w:lang w:val="en-GB"/>
        </w:rPr>
        <w:t xml:space="preserve">critical equipment, based on generic failure rates derived </w:t>
      </w:r>
      <w:r w:rsidR="00D26879" w:rsidRPr="008B3D34">
        <w:rPr>
          <w:lang w:val="en-GB"/>
        </w:rPr>
        <w:t xml:space="preserve">from </w:t>
      </w:r>
      <w:r w:rsidRPr="008B3D34">
        <w:rPr>
          <w:lang w:val="en-GB"/>
        </w:rPr>
        <w:t>the literature</w:t>
      </w:r>
      <w:r w:rsidRPr="008B3D34">
        <w:rPr>
          <w:rFonts w:cs="Arial"/>
          <w:bCs/>
          <w:iCs/>
          <w:szCs w:val="18"/>
          <w:lang w:eastAsia="it-IT"/>
        </w:rPr>
        <w:t xml:space="preserve">. </w:t>
      </w:r>
      <w:r w:rsidRPr="008B3D34">
        <w:rPr>
          <w:lang w:val="en-GB"/>
        </w:rPr>
        <w:t>For the tanks</w:t>
      </w:r>
      <w:r w:rsidR="00D26879" w:rsidRPr="008B3D34">
        <w:rPr>
          <w:lang w:val="en-GB"/>
        </w:rPr>
        <w:t>,</w:t>
      </w:r>
      <w:r w:rsidRPr="008B3D34">
        <w:rPr>
          <w:lang w:val="en-GB"/>
        </w:rPr>
        <w:t xml:space="preserve"> the SR reported</w:t>
      </w:r>
      <w:r w:rsidR="00D26879" w:rsidRPr="008B3D34">
        <w:rPr>
          <w:lang w:val="en-GB"/>
        </w:rPr>
        <w:t xml:space="preserve"> a frequency equal to</w:t>
      </w:r>
      <w:r w:rsidRPr="008B3D34">
        <w:rPr>
          <w:lang w:val="en-GB"/>
        </w:rPr>
        <w:t xml:space="preserve"> 4.1 10</w:t>
      </w:r>
      <w:r w:rsidRPr="008B3D34">
        <w:rPr>
          <w:vertAlign w:val="superscript"/>
          <w:lang w:val="en-GB"/>
        </w:rPr>
        <w:t>-6</w:t>
      </w:r>
      <w:r w:rsidRPr="008B3D34">
        <w:rPr>
          <w:lang w:val="en-GB"/>
        </w:rPr>
        <w:t xml:space="preserve"> event/year for minor release from small holes (up to 20 mm) and 2.5 10</w:t>
      </w:r>
      <w:r w:rsidRPr="008B3D34">
        <w:rPr>
          <w:vertAlign w:val="superscript"/>
          <w:lang w:val="en-GB"/>
        </w:rPr>
        <w:t>-7</w:t>
      </w:r>
      <w:r w:rsidR="000375AF" w:rsidRPr="008B3D34">
        <w:rPr>
          <w:lang w:val="en-GB"/>
        </w:rPr>
        <w:t xml:space="preserve"> event/year for </w:t>
      </w:r>
      <w:r w:rsidRPr="008B3D34">
        <w:rPr>
          <w:lang w:val="en-GB"/>
        </w:rPr>
        <w:t xml:space="preserve">catastrophic losses due to tank ruptures. For the </w:t>
      </w:r>
      <w:r w:rsidRPr="008B3D34">
        <w:t>extraction and adduction lines</w:t>
      </w:r>
      <w:r w:rsidR="00D26879" w:rsidRPr="008B3D34">
        <w:t>,</w:t>
      </w:r>
      <w:r w:rsidRPr="008B3D34">
        <w:t xml:space="preserve"> the SR </w:t>
      </w:r>
      <w:r w:rsidR="00D26879" w:rsidRPr="008B3D34">
        <w:t xml:space="preserve">gave </w:t>
      </w:r>
      <w:r w:rsidRPr="008B3D34">
        <w:rPr>
          <w:rFonts w:cs="Arial"/>
          <w:iCs/>
          <w:szCs w:val="18"/>
          <w:lang w:eastAsia="it-IT"/>
        </w:rPr>
        <w:t>2.0 10</w:t>
      </w:r>
      <w:r w:rsidRPr="008B3D34">
        <w:rPr>
          <w:rFonts w:cs="Arial"/>
          <w:iCs/>
          <w:szCs w:val="18"/>
          <w:vertAlign w:val="superscript"/>
          <w:lang w:eastAsia="it-IT"/>
        </w:rPr>
        <w:t xml:space="preserve">-3 </w:t>
      </w:r>
      <w:r w:rsidRPr="008B3D34">
        <w:t xml:space="preserve">events/year for small release and </w:t>
      </w:r>
      <w:r w:rsidRPr="008B3D34">
        <w:rPr>
          <w:rFonts w:cs="Arial"/>
          <w:iCs/>
          <w:szCs w:val="18"/>
          <w:lang w:eastAsia="it-IT"/>
        </w:rPr>
        <w:t>3.1 10</w:t>
      </w:r>
      <w:r w:rsidRPr="008B3D34">
        <w:rPr>
          <w:rFonts w:cs="Arial"/>
          <w:iCs/>
          <w:szCs w:val="18"/>
          <w:vertAlign w:val="superscript"/>
          <w:lang w:eastAsia="it-IT"/>
        </w:rPr>
        <w:t>-7</w:t>
      </w:r>
      <w:r w:rsidRPr="008B3D34">
        <w:t xml:space="preserve"> </w:t>
      </w:r>
      <w:r w:rsidR="00DD5333" w:rsidRPr="008B3D34">
        <w:rPr>
          <w:lang w:val="en-GB"/>
        </w:rPr>
        <w:t xml:space="preserve">event/year </w:t>
      </w:r>
      <w:r w:rsidRPr="008B3D34">
        <w:t xml:space="preserve">for ruptures. </w:t>
      </w:r>
      <w:r w:rsidR="0068400A" w:rsidRPr="008B3D34">
        <w:t>T</w:t>
      </w:r>
      <w:r w:rsidRPr="008B3D34">
        <w:rPr>
          <w:lang w:val="en-GB"/>
        </w:rPr>
        <w:t>he</w:t>
      </w:r>
      <w:r w:rsidR="0068400A" w:rsidRPr="008B3D34">
        <w:rPr>
          <w:lang w:val="en-GB"/>
        </w:rPr>
        <w:t>n, the</w:t>
      </w:r>
      <w:r w:rsidRPr="008B3D34">
        <w:rPr>
          <w:lang w:val="en-GB"/>
        </w:rPr>
        <w:t xml:space="preserve"> frequencies of </w:t>
      </w:r>
      <w:r w:rsidR="00D26879" w:rsidRPr="008B3D34">
        <w:rPr>
          <w:lang w:val="en-GB"/>
        </w:rPr>
        <w:t xml:space="preserve">all </w:t>
      </w:r>
      <w:r w:rsidRPr="008B3D34">
        <w:rPr>
          <w:lang w:val="en-GB"/>
        </w:rPr>
        <w:t xml:space="preserve">events </w:t>
      </w:r>
      <w:r w:rsidR="00D26879" w:rsidRPr="008B3D34">
        <w:rPr>
          <w:lang w:val="en-GB"/>
        </w:rPr>
        <w:t>were</w:t>
      </w:r>
      <w:r w:rsidRPr="008B3D34">
        <w:rPr>
          <w:lang w:val="en-GB"/>
        </w:rPr>
        <w:t xml:space="preserve"> adjusted, in order to take into account </w:t>
      </w:r>
      <w:r w:rsidR="00D26879" w:rsidRPr="008B3D34">
        <w:rPr>
          <w:lang w:val="en-GB"/>
        </w:rPr>
        <w:t xml:space="preserve">the </w:t>
      </w:r>
      <w:r w:rsidRPr="008B3D34">
        <w:rPr>
          <w:lang w:val="en-GB"/>
        </w:rPr>
        <w:t>ageing effect</w:t>
      </w:r>
      <w:r w:rsidR="00D26879" w:rsidRPr="008B3D34">
        <w:rPr>
          <w:lang w:val="en-GB"/>
        </w:rPr>
        <w:t>s</w:t>
      </w:r>
      <w:r w:rsidRPr="008B3D34">
        <w:rPr>
          <w:lang w:val="en-GB"/>
        </w:rPr>
        <w:t xml:space="preserve">. Table 2 </w:t>
      </w:r>
      <w:r w:rsidR="00D26879" w:rsidRPr="008B3D34">
        <w:rPr>
          <w:lang w:val="en-GB"/>
        </w:rPr>
        <w:t xml:space="preserve">summarises </w:t>
      </w:r>
      <w:r w:rsidRPr="008B3D34">
        <w:rPr>
          <w:lang w:val="en-GB"/>
        </w:rPr>
        <w:t xml:space="preserve">the results of the application of the </w:t>
      </w:r>
      <w:r w:rsidR="00555A8F" w:rsidRPr="008B3D34">
        <w:rPr>
          <w:lang w:val="en-GB"/>
        </w:rPr>
        <w:t>AFB</w:t>
      </w:r>
      <w:r w:rsidRPr="008B3D34">
        <w:rPr>
          <w:lang w:val="en-GB"/>
        </w:rPr>
        <w:t xml:space="preserve">, including the modified frequencies. The major releases associated with tanks TK03 and TK04, </w:t>
      </w:r>
      <w:r w:rsidR="00D26879" w:rsidRPr="008B3D34">
        <w:rPr>
          <w:lang w:val="en-GB"/>
        </w:rPr>
        <w:t xml:space="preserve">were no-credible </w:t>
      </w:r>
      <w:r w:rsidRPr="008B3D34">
        <w:rPr>
          <w:lang w:val="en-GB"/>
        </w:rPr>
        <w:t>(lower than the threshold 10</w:t>
      </w:r>
      <w:r w:rsidRPr="008B3D34">
        <w:rPr>
          <w:vertAlign w:val="superscript"/>
          <w:lang w:val="en-GB"/>
        </w:rPr>
        <w:t>-6</w:t>
      </w:r>
      <w:r w:rsidRPr="008B3D34">
        <w:rPr>
          <w:lang w:val="en-GB"/>
        </w:rPr>
        <w:t xml:space="preserve"> events/year) in the original SR, </w:t>
      </w:r>
      <w:r w:rsidR="00D26879" w:rsidRPr="008B3D34">
        <w:rPr>
          <w:lang w:val="en-GB"/>
        </w:rPr>
        <w:t xml:space="preserve">they </w:t>
      </w:r>
      <w:r w:rsidRPr="008B3D34">
        <w:rPr>
          <w:lang w:val="en-GB"/>
        </w:rPr>
        <w:t xml:space="preserve">overcome the credibility threshold due to ageing. Even the releases from </w:t>
      </w:r>
      <w:r w:rsidR="006E630B" w:rsidRPr="008B3D34">
        <w:rPr>
          <w:lang w:val="en-GB"/>
        </w:rPr>
        <w:t>lines ID=</w:t>
      </w:r>
      <w:r w:rsidRPr="008B3D34">
        <w:rPr>
          <w:lang w:val="en-GB"/>
        </w:rPr>
        <w:t>106</w:t>
      </w:r>
      <w:r w:rsidR="006E630B" w:rsidRPr="008B3D34">
        <w:rPr>
          <w:lang w:val="en-GB"/>
        </w:rPr>
        <w:t xml:space="preserve"> - </w:t>
      </w:r>
      <w:r w:rsidRPr="008B3D34">
        <w:rPr>
          <w:lang w:val="en-GB"/>
        </w:rPr>
        <w:t>206,</w:t>
      </w:r>
      <w:r w:rsidR="00D26879" w:rsidRPr="008B3D34">
        <w:rPr>
          <w:lang w:val="en-GB"/>
        </w:rPr>
        <w:t xml:space="preserve"> were</w:t>
      </w:r>
      <w:r w:rsidRPr="008B3D34">
        <w:rPr>
          <w:lang w:val="en-GB"/>
        </w:rPr>
        <w:t xml:space="preserve"> </w:t>
      </w:r>
      <w:r w:rsidR="00D26879" w:rsidRPr="008B3D34">
        <w:rPr>
          <w:lang w:val="en-GB"/>
        </w:rPr>
        <w:t>no-</w:t>
      </w:r>
      <w:r w:rsidRPr="008B3D34">
        <w:rPr>
          <w:lang w:val="en-GB"/>
        </w:rPr>
        <w:t>credible in the SR</w:t>
      </w:r>
      <w:r w:rsidR="00D26879" w:rsidRPr="008B3D34">
        <w:rPr>
          <w:lang w:val="en-GB"/>
        </w:rPr>
        <w:t xml:space="preserve"> </w:t>
      </w:r>
      <w:r w:rsidR="006E630B" w:rsidRPr="008B3D34">
        <w:rPr>
          <w:lang w:val="en-GB"/>
        </w:rPr>
        <w:t xml:space="preserve">and </w:t>
      </w:r>
      <w:r w:rsidRPr="008B3D34">
        <w:rPr>
          <w:lang w:val="en-GB"/>
        </w:rPr>
        <w:t xml:space="preserve">become credible because </w:t>
      </w:r>
      <w:r w:rsidR="00D26879" w:rsidRPr="008B3D34">
        <w:rPr>
          <w:lang w:val="en-GB"/>
        </w:rPr>
        <w:t xml:space="preserve">of </w:t>
      </w:r>
      <w:r w:rsidRPr="008B3D34">
        <w:rPr>
          <w:lang w:val="en-GB"/>
        </w:rPr>
        <w:t xml:space="preserve">ageing. </w:t>
      </w:r>
    </w:p>
    <w:p w14:paraId="540858FE" w14:textId="77777777" w:rsidR="00A234FC" w:rsidRPr="008B3D34" w:rsidRDefault="00A234FC" w:rsidP="00A234FC">
      <w:pPr>
        <w:pStyle w:val="CETTabletitle"/>
      </w:pPr>
      <w:r w:rsidRPr="008B3D34">
        <w:t xml:space="preserve">Table 2: Application of Ageing Fishbone Method and modification of frequencies. </w:t>
      </w:r>
      <w:r>
        <w:t>The c</w:t>
      </w:r>
      <w:r w:rsidRPr="008B3D34">
        <w:t>riticalities are marked</w:t>
      </w:r>
      <w:r>
        <w:t>.</w:t>
      </w:r>
      <w:r w:rsidRPr="008B3D34">
        <w:t xml:space="preserve"> </w:t>
      </w:r>
    </w:p>
    <w:tbl>
      <w:tblPr>
        <w:tblStyle w:val="Grigliatabella"/>
        <w:tblW w:w="8647" w:type="dxa"/>
        <w:jc w:val="center"/>
        <w:tblBorders>
          <w:top w:val="single" w:sz="12" w:space="0" w:color="00B050"/>
          <w:left w:val="none" w:sz="0" w:space="0" w:color="auto"/>
          <w:bottom w:val="single" w:sz="12" w:space="0" w:color="00B050"/>
          <w:right w:val="none" w:sz="0" w:space="0" w:color="auto"/>
          <w:insideH w:val="none" w:sz="0" w:space="0" w:color="auto"/>
          <w:insideV w:val="none" w:sz="0" w:space="0" w:color="auto"/>
        </w:tblBorders>
        <w:tblLayout w:type="fixed"/>
        <w:tblLook w:val="04A0" w:firstRow="1" w:lastRow="0" w:firstColumn="1" w:lastColumn="0" w:noHBand="0" w:noVBand="1"/>
      </w:tblPr>
      <w:tblGrid>
        <w:gridCol w:w="1234"/>
        <w:gridCol w:w="1460"/>
        <w:gridCol w:w="1417"/>
        <w:gridCol w:w="1134"/>
        <w:gridCol w:w="1134"/>
        <w:gridCol w:w="1134"/>
        <w:gridCol w:w="1134"/>
      </w:tblGrid>
      <w:tr w:rsidR="00A234FC" w:rsidRPr="00A234FC" w14:paraId="597EB7D1" w14:textId="77777777" w:rsidTr="00BC6FFD">
        <w:trPr>
          <w:trHeight w:val="738"/>
          <w:jc w:val="center"/>
        </w:trPr>
        <w:tc>
          <w:tcPr>
            <w:tcW w:w="1234" w:type="dxa"/>
            <w:tcBorders>
              <w:top w:val="single" w:sz="12" w:space="0" w:color="00B050"/>
              <w:bottom w:val="single" w:sz="6" w:space="0" w:color="00B050"/>
            </w:tcBorders>
            <w:noWrap/>
            <w:hideMark/>
          </w:tcPr>
          <w:p w14:paraId="5F4AF9CA" w14:textId="77777777" w:rsidR="00A234FC" w:rsidRPr="00A234FC" w:rsidRDefault="00A234FC" w:rsidP="00BC6FFD">
            <w:pPr>
              <w:pStyle w:val="CETBodytext"/>
              <w:keepNext/>
              <w:rPr>
                <w:b/>
                <w:szCs w:val="18"/>
                <w:lang w:val="en-GB"/>
              </w:rPr>
            </w:pPr>
          </w:p>
        </w:tc>
        <w:tc>
          <w:tcPr>
            <w:tcW w:w="1460" w:type="dxa"/>
            <w:tcBorders>
              <w:top w:val="single" w:sz="12" w:space="0" w:color="00B050"/>
              <w:bottom w:val="single" w:sz="6" w:space="0" w:color="00B050"/>
            </w:tcBorders>
            <w:hideMark/>
          </w:tcPr>
          <w:p w14:paraId="5A5D9B57" w14:textId="77777777" w:rsidR="00A234FC" w:rsidRPr="00A234FC" w:rsidRDefault="00A234FC" w:rsidP="00BC6FFD">
            <w:pPr>
              <w:pStyle w:val="CETBodytext"/>
              <w:keepNext/>
              <w:jc w:val="center"/>
              <w:rPr>
                <w:rFonts w:cs="Arial"/>
                <w:bCs/>
                <w:i/>
                <w:szCs w:val="18"/>
              </w:rPr>
            </w:pPr>
            <w:r w:rsidRPr="00A234FC">
              <w:rPr>
                <w:rFonts w:cs="Arial"/>
                <w:bCs/>
                <w:i/>
                <w:szCs w:val="18"/>
              </w:rPr>
              <w:t>Average score for accelerating factors</w:t>
            </w:r>
          </w:p>
          <w:p w14:paraId="541D3418" w14:textId="77777777" w:rsidR="00A234FC" w:rsidRPr="00A234FC" w:rsidRDefault="00A234FC" w:rsidP="00BC6FFD">
            <w:pPr>
              <w:pStyle w:val="CETBodytext"/>
              <w:keepNext/>
              <w:jc w:val="center"/>
              <w:rPr>
                <w:rFonts w:cs="Arial"/>
                <w:bCs/>
                <w:i/>
                <w:szCs w:val="18"/>
                <w:vertAlign w:val="subscript"/>
              </w:rPr>
            </w:pPr>
            <w:proofErr w:type="spellStart"/>
            <w:r w:rsidRPr="00A234FC">
              <w:rPr>
                <w:rFonts w:ascii="Times New Roman" w:hAnsi="Times New Roman"/>
                <w:bCs/>
                <w:i/>
                <w:szCs w:val="18"/>
              </w:rPr>
              <w:t>S</w:t>
            </w:r>
            <w:r w:rsidRPr="00A234FC">
              <w:rPr>
                <w:rFonts w:ascii="Times New Roman" w:hAnsi="Times New Roman"/>
                <w:bCs/>
                <w:i/>
                <w:szCs w:val="18"/>
                <w:vertAlign w:val="subscript"/>
              </w:rPr>
              <w:t>k</w:t>
            </w:r>
            <w:proofErr w:type="spellEnd"/>
          </w:p>
        </w:tc>
        <w:tc>
          <w:tcPr>
            <w:tcW w:w="1417" w:type="dxa"/>
            <w:tcBorders>
              <w:top w:val="single" w:sz="12" w:space="0" w:color="00B050"/>
              <w:bottom w:val="single" w:sz="6" w:space="0" w:color="00B050"/>
            </w:tcBorders>
            <w:hideMark/>
          </w:tcPr>
          <w:p w14:paraId="7F644E3D" w14:textId="77777777" w:rsidR="00A234FC" w:rsidRPr="00A234FC" w:rsidRDefault="00A234FC" w:rsidP="00BC6FFD">
            <w:pPr>
              <w:pStyle w:val="CETBodytext"/>
              <w:keepNext/>
              <w:jc w:val="center"/>
              <w:rPr>
                <w:rFonts w:ascii="Times New Roman" w:hAnsi="Times New Roman"/>
                <w:bCs/>
                <w:i/>
                <w:szCs w:val="18"/>
              </w:rPr>
            </w:pPr>
            <w:r w:rsidRPr="00A234FC">
              <w:rPr>
                <w:rFonts w:cs="Arial"/>
                <w:bCs/>
                <w:i/>
                <w:szCs w:val="18"/>
              </w:rPr>
              <w:t>Average score for longevity factors</w:t>
            </w:r>
          </w:p>
          <w:p w14:paraId="461A6BFA" w14:textId="77777777" w:rsidR="00A234FC" w:rsidRPr="00A234FC" w:rsidRDefault="00A234FC" w:rsidP="00BC6FFD">
            <w:pPr>
              <w:pStyle w:val="CETBodytext"/>
              <w:keepNext/>
              <w:jc w:val="center"/>
              <w:rPr>
                <w:rFonts w:cs="Arial"/>
                <w:bCs/>
                <w:i/>
                <w:szCs w:val="18"/>
              </w:rPr>
            </w:pPr>
            <w:proofErr w:type="spellStart"/>
            <w:r w:rsidRPr="00A234FC">
              <w:rPr>
                <w:rFonts w:ascii="Times New Roman" w:hAnsi="Times New Roman"/>
                <w:bCs/>
                <w:i/>
                <w:szCs w:val="18"/>
              </w:rPr>
              <w:t>S</w:t>
            </w:r>
            <w:r w:rsidRPr="00A234FC">
              <w:rPr>
                <w:rFonts w:ascii="Times New Roman" w:hAnsi="Times New Roman"/>
                <w:bCs/>
                <w:i/>
                <w:szCs w:val="18"/>
                <w:vertAlign w:val="subscript"/>
              </w:rPr>
              <w:t>k</w:t>
            </w:r>
            <w:proofErr w:type="spellEnd"/>
            <w:r w:rsidRPr="00A234FC">
              <w:rPr>
                <w:rFonts w:ascii="Times New Roman" w:hAnsi="Times New Roman"/>
                <w:bCs/>
                <w:i/>
                <w:szCs w:val="18"/>
                <w:vertAlign w:val="subscript"/>
              </w:rPr>
              <w:t xml:space="preserve"> </w:t>
            </w:r>
          </w:p>
        </w:tc>
        <w:tc>
          <w:tcPr>
            <w:tcW w:w="1134" w:type="dxa"/>
            <w:tcBorders>
              <w:top w:val="single" w:sz="12" w:space="0" w:color="00B050"/>
              <w:bottom w:val="single" w:sz="6" w:space="0" w:color="00B050"/>
            </w:tcBorders>
            <w:hideMark/>
          </w:tcPr>
          <w:p w14:paraId="7EAD2C5C" w14:textId="77777777" w:rsidR="00A234FC" w:rsidRPr="00A234FC" w:rsidRDefault="00A234FC" w:rsidP="00BC6FFD">
            <w:pPr>
              <w:pStyle w:val="CETBodytext"/>
              <w:keepNext/>
              <w:jc w:val="center"/>
              <w:rPr>
                <w:rFonts w:cs="Arial"/>
                <w:bCs/>
                <w:i/>
                <w:szCs w:val="18"/>
              </w:rPr>
            </w:pPr>
            <w:r w:rsidRPr="00A234FC">
              <w:rPr>
                <w:rFonts w:cs="Arial"/>
                <w:bCs/>
                <w:i/>
                <w:szCs w:val="18"/>
              </w:rPr>
              <w:t>Equipment overall index</w:t>
            </w:r>
          </w:p>
          <w:p w14:paraId="548BBDC1" w14:textId="77777777" w:rsidR="00A234FC" w:rsidRPr="00A234FC" w:rsidRDefault="00A234FC" w:rsidP="00BC6FFD">
            <w:pPr>
              <w:pStyle w:val="CETBodytext"/>
              <w:keepNext/>
              <w:jc w:val="center"/>
              <w:rPr>
                <w:rFonts w:cs="Arial"/>
                <w:bCs/>
                <w:i/>
                <w:szCs w:val="18"/>
              </w:rPr>
            </w:pPr>
            <w:proofErr w:type="spellStart"/>
            <w:r w:rsidRPr="00A234FC">
              <w:rPr>
                <w:rFonts w:ascii="Times New Roman" w:hAnsi="Times New Roman"/>
                <w:bCs/>
                <w:i/>
                <w:szCs w:val="18"/>
              </w:rPr>
              <w:t>I</w:t>
            </w:r>
            <w:r w:rsidRPr="00A234FC">
              <w:rPr>
                <w:rFonts w:ascii="Times New Roman" w:hAnsi="Times New Roman"/>
                <w:bCs/>
                <w:i/>
                <w:szCs w:val="18"/>
                <w:vertAlign w:val="subscript"/>
              </w:rPr>
              <w:t>eq</w:t>
            </w:r>
            <w:proofErr w:type="spellEnd"/>
            <w:r w:rsidRPr="00A234FC">
              <w:rPr>
                <w:rFonts w:ascii="Times New Roman" w:hAnsi="Times New Roman"/>
                <w:bCs/>
                <w:i/>
                <w:szCs w:val="18"/>
                <w:vertAlign w:val="subscript"/>
              </w:rPr>
              <w:t xml:space="preserve"> </w:t>
            </w:r>
          </w:p>
        </w:tc>
        <w:tc>
          <w:tcPr>
            <w:tcW w:w="1134" w:type="dxa"/>
            <w:tcBorders>
              <w:top w:val="single" w:sz="12" w:space="0" w:color="00B050"/>
              <w:bottom w:val="single" w:sz="6" w:space="0" w:color="00B050"/>
            </w:tcBorders>
            <w:hideMark/>
          </w:tcPr>
          <w:p w14:paraId="0FFB8A61" w14:textId="77777777" w:rsidR="00A234FC" w:rsidRPr="00A234FC" w:rsidRDefault="00A234FC" w:rsidP="00BC6FFD">
            <w:pPr>
              <w:pStyle w:val="CETBodytext"/>
              <w:keepNext/>
              <w:jc w:val="center"/>
              <w:rPr>
                <w:rFonts w:cs="Arial"/>
                <w:bCs/>
                <w:i/>
                <w:szCs w:val="18"/>
              </w:rPr>
            </w:pPr>
            <w:r w:rsidRPr="00A234FC">
              <w:rPr>
                <w:rFonts w:cs="Arial"/>
                <w:bCs/>
                <w:i/>
                <w:szCs w:val="18"/>
              </w:rPr>
              <w:t>Corrective factor</w:t>
            </w:r>
          </w:p>
          <w:p w14:paraId="3FF868FB" w14:textId="77777777" w:rsidR="00A234FC" w:rsidRPr="00A234FC" w:rsidRDefault="00A234FC" w:rsidP="00BC6FFD">
            <w:pPr>
              <w:pStyle w:val="CETBodytext"/>
              <w:keepNext/>
              <w:jc w:val="center"/>
              <w:rPr>
                <w:rFonts w:cs="Arial"/>
                <w:bCs/>
                <w:i/>
                <w:szCs w:val="18"/>
              </w:rPr>
            </w:pPr>
          </w:p>
          <w:p w14:paraId="37E0326F" w14:textId="77777777" w:rsidR="00A234FC" w:rsidRPr="00A234FC" w:rsidRDefault="00A234FC" w:rsidP="00BC6FFD">
            <w:pPr>
              <w:pStyle w:val="CETBodytext"/>
              <w:keepNext/>
              <w:jc w:val="center"/>
              <w:rPr>
                <w:rFonts w:cs="Arial"/>
                <w:bCs/>
                <w:i/>
                <w:szCs w:val="18"/>
                <w:vertAlign w:val="subscript"/>
              </w:rPr>
            </w:pPr>
            <w:r w:rsidRPr="00A234FC">
              <w:rPr>
                <w:rFonts w:cs="Arial"/>
                <w:bCs/>
                <w:i/>
                <w:szCs w:val="18"/>
              </w:rPr>
              <w:t>10</w:t>
            </w:r>
            <w:r w:rsidRPr="00A234FC">
              <w:rPr>
                <w:rFonts w:ascii="Times New Roman" w:hAnsi="Times New Roman"/>
                <w:bCs/>
                <w:i/>
                <w:position w:val="10"/>
                <w:szCs w:val="18"/>
                <w:vertAlign w:val="superscript"/>
              </w:rPr>
              <w:t>am</w:t>
            </w:r>
          </w:p>
        </w:tc>
        <w:tc>
          <w:tcPr>
            <w:tcW w:w="1134" w:type="dxa"/>
            <w:tcBorders>
              <w:top w:val="single" w:sz="12" w:space="0" w:color="00B050"/>
              <w:bottom w:val="single" w:sz="6" w:space="0" w:color="00B050"/>
            </w:tcBorders>
            <w:hideMark/>
          </w:tcPr>
          <w:p w14:paraId="2EFBB094" w14:textId="77777777" w:rsidR="00A234FC" w:rsidRPr="00A234FC" w:rsidRDefault="00A234FC" w:rsidP="00BC6FFD">
            <w:pPr>
              <w:pStyle w:val="CETBodytext"/>
              <w:keepNext/>
              <w:jc w:val="center"/>
              <w:rPr>
                <w:rFonts w:cs="Arial"/>
                <w:bCs/>
                <w:i/>
                <w:szCs w:val="18"/>
              </w:rPr>
            </w:pPr>
            <w:proofErr w:type="spellStart"/>
            <w:r w:rsidRPr="00A234FC">
              <w:rPr>
                <w:rFonts w:cs="Arial"/>
                <w:bCs/>
                <w:i/>
                <w:szCs w:val="18"/>
              </w:rPr>
              <w:t>Frequencyof</w:t>
            </w:r>
            <w:proofErr w:type="spellEnd"/>
            <w:r w:rsidRPr="00A234FC">
              <w:rPr>
                <w:rFonts w:cs="Arial"/>
                <w:bCs/>
                <w:i/>
                <w:szCs w:val="18"/>
              </w:rPr>
              <w:t xml:space="preserve"> leakage</w:t>
            </w:r>
          </w:p>
          <w:p w14:paraId="08B1F8F5" w14:textId="77777777" w:rsidR="00A234FC" w:rsidRPr="00A234FC" w:rsidRDefault="00A234FC" w:rsidP="00BC6FFD">
            <w:pPr>
              <w:pStyle w:val="CETBodytext"/>
              <w:keepNext/>
              <w:jc w:val="center"/>
              <w:rPr>
                <w:rFonts w:cs="Arial"/>
                <w:bCs/>
                <w:i/>
                <w:szCs w:val="18"/>
              </w:rPr>
            </w:pPr>
          </w:p>
          <w:p w14:paraId="2EA884A7" w14:textId="77777777" w:rsidR="00A234FC" w:rsidRPr="00A234FC" w:rsidRDefault="00A234FC" w:rsidP="00BC6FFD">
            <w:pPr>
              <w:pStyle w:val="CETBodytext"/>
              <w:keepNext/>
              <w:jc w:val="center"/>
              <w:rPr>
                <w:rFonts w:cs="Arial"/>
                <w:bCs/>
                <w:i/>
                <w:szCs w:val="18"/>
              </w:rPr>
            </w:pPr>
            <w:proofErr w:type="spellStart"/>
            <w:r w:rsidRPr="00A234FC">
              <w:rPr>
                <w:rFonts w:ascii="Times New Roman" w:hAnsi="Times New Roman"/>
                <w:bCs/>
                <w:i/>
                <w:szCs w:val="18"/>
              </w:rPr>
              <w:t>f</w:t>
            </w:r>
            <w:r w:rsidRPr="00A234FC">
              <w:rPr>
                <w:rFonts w:ascii="Times New Roman" w:hAnsi="Times New Roman"/>
                <w:bCs/>
                <w:i/>
                <w:szCs w:val="18"/>
                <w:vertAlign w:val="subscript"/>
              </w:rPr>
              <w:t>mod</w:t>
            </w:r>
            <w:proofErr w:type="spellEnd"/>
          </w:p>
        </w:tc>
        <w:tc>
          <w:tcPr>
            <w:tcW w:w="1134" w:type="dxa"/>
            <w:tcBorders>
              <w:top w:val="single" w:sz="12" w:space="0" w:color="00B050"/>
              <w:bottom w:val="single" w:sz="6" w:space="0" w:color="00B050"/>
            </w:tcBorders>
            <w:hideMark/>
          </w:tcPr>
          <w:p w14:paraId="11F5D69C" w14:textId="77777777" w:rsidR="00A234FC" w:rsidRPr="00A234FC" w:rsidRDefault="00A234FC" w:rsidP="00BC6FFD">
            <w:pPr>
              <w:pStyle w:val="CETBodytext"/>
              <w:keepNext/>
              <w:jc w:val="center"/>
              <w:rPr>
                <w:rFonts w:cs="Arial"/>
                <w:bCs/>
                <w:i/>
                <w:szCs w:val="18"/>
              </w:rPr>
            </w:pPr>
            <w:r w:rsidRPr="00A234FC">
              <w:rPr>
                <w:rFonts w:cs="Arial"/>
                <w:bCs/>
                <w:i/>
                <w:szCs w:val="18"/>
              </w:rPr>
              <w:t>Frequency of rupture</w:t>
            </w:r>
          </w:p>
          <w:p w14:paraId="1F36CD48" w14:textId="77777777" w:rsidR="00A234FC" w:rsidRPr="00A234FC" w:rsidRDefault="00A234FC" w:rsidP="00BC6FFD">
            <w:pPr>
              <w:pStyle w:val="CETBodytext"/>
              <w:keepNext/>
              <w:jc w:val="center"/>
              <w:rPr>
                <w:rFonts w:ascii="Times New Roman" w:hAnsi="Times New Roman"/>
                <w:bCs/>
                <w:i/>
                <w:szCs w:val="18"/>
              </w:rPr>
            </w:pPr>
          </w:p>
          <w:p w14:paraId="146DF5E3" w14:textId="77777777" w:rsidR="00A234FC" w:rsidRPr="00A234FC" w:rsidRDefault="00A234FC" w:rsidP="00BC6FFD">
            <w:pPr>
              <w:pStyle w:val="CETBodytext"/>
              <w:keepNext/>
              <w:jc w:val="center"/>
              <w:rPr>
                <w:rFonts w:cs="Arial"/>
                <w:bCs/>
                <w:szCs w:val="18"/>
              </w:rPr>
            </w:pPr>
            <w:proofErr w:type="spellStart"/>
            <w:r w:rsidRPr="00A234FC">
              <w:rPr>
                <w:rFonts w:ascii="Times New Roman" w:hAnsi="Times New Roman"/>
                <w:bCs/>
                <w:i/>
                <w:szCs w:val="18"/>
              </w:rPr>
              <w:t>f</w:t>
            </w:r>
            <w:r w:rsidRPr="00A234FC">
              <w:rPr>
                <w:rFonts w:ascii="Times New Roman" w:hAnsi="Times New Roman"/>
                <w:bCs/>
                <w:i/>
                <w:szCs w:val="18"/>
                <w:vertAlign w:val="subscript"/>
              </w:rPr>
              <w:t>mod</w:t>
            </w:r>
            <w:proofErr w:type="spellEnd"/>
            <w:r w:rsidRPr="00A234FC">
              <w:rPr>
                <w:rFonts w:ascii="Times New Roman" w:hAnsi="Times New Roman"/>
                <w:bCs/>
                <w:i/>
                <w:szCs w:val="18"/>
              </w:rPr>
              <w:t xml:space="preserve"> </w:t>
            </w:r>
          </w:p>
        </w:tc>
      </w:tr>
      <w:tr w:rsidR="00A234FC" w:rsidRPr="00A234FC" w14:paraId="4A74A58A" w14:textId="77777777" w:rsidTr="00BC6FFD">
        <w:trPr>
          <w:trHeight w:val="215"/>
          <w:jc w:val="center"/>
        </w:trPr>
        <w:tc>
          <w:tcPr>
            <w:tcW w:w="1234" w:type="dxa"/>
            <w:shd w:val="clear" w:color="auto" w:fill="EAF1DD" w:themeFill="accent3" w:themeFillTint="33"/>
            <w:noWrap/>
          </w:tcPr>
          <w:p w14:paraId="6D5EA929" w14:textId="77777777" w:rsidR="00A234FC" w:rsidRPr="00A234FC" w:rsidRDefault="00A234FC" w:rsidP="00BC6FFD">
            <w:pPr>
              <w:pStyle w:val="CETBodytext"/>
              <w:jc w:val="left"/>
              <w:rPr>
                <w:rFonts w:cs="Arial"/>
                <w:szCs w:val="18"/>
                <w:lang w:val="en-GB"/>
              </w:rPr>
            </w:pPr>
            <w:r w:rsidRPr="00A234FC">
              <w:rPr>
                <w:rFonts w:cs="Arial"/>
                <w:szCs w:val="18"/>
                <w:lang w:val="en-GB"/>
              </w:rPr>
              <w:t>TANKS</w:t>
            </w:r>
          </w:p>
        </w:tc>
        <w:tc>
          <w:tcPr>
            <w:tcW w:w="1460" w:type="dxa"/>
            <w:shd w:val="clear" w:color="auto" w:fill="EAF1DD" w:themeFill="accent3" w:themeFillTint="33"/>
            <w:noWrap/>
          </w:tcPr>
          <w:p w14:paraId="638C7ABC" w14:textId="77777777" w:rsidR="00A234FC" w:rsidRPr="00A234FC" w:rsidRDefault="00A234FC" w:rsidP="00BC6FFD">
            <w:pPr>
              <w:pStyle w:val="CETBodytext"/>
              <w:jc w:val="left"/>
              <w:rPr>
                <w:rFonts w:cs="Arial"/>
                <w:szCs w:val="18"/>
                <w:lang w:val="en-GB"/>
              </w:rPr>
            </w:pPr>
          </w:p>
        </w:tc>
        <w:tc>
          <w:tcPr>
            <w:tcW w:w="3685" w:type="dxa"/>
            <w:gridSpan w:val="3"/>
            <w:shd w:val="clear" w:color="auto" w:fill="EAF1DD" w:themeFill="accent3" w:themeFillTint="33"/>
            <w:noWrap/>
          </w:tcPr>
          <w:p w14:paraId="1F4D6D45" w14:textId="77777777" w:rsidR="00A234FC" w:rsidRPr="00A234FC" w:rsidRDefault="00A234FC" w:rsidP="00BC6FFD">
            <w:pPr>
              <w:pStyle w:val="CETBodytext"/>
              <w:jc w:val="right"/>
              <w:rPr>
                <w:rFonts w:cs="Arial"/>
                <w:szCs w:val="18"/>
                <w:lang w:val="en-GB"/>
              </w:rPr>
            </w:pPr>
            <w:proofErr w:type="spellStart"/>
            <w:r w:rsidRPr="00A234FC">
              <w:rPr>
                <w:rFonts w:ascii="Times New Roman" w:hAnsi="Times New Roman"/>
                <w:bCs/>
                <w:i/>
                <w:iCs/>
                <w:szCs w:val="18"/>
                <w:u w:color="00B050"/>
              </w:rPr>
              <w:t>f</w:t>
            </w:r>
            <w:r w:rsidRPr="00A234FC">
              <w:rPr>
                <w:rFonts w:ascii="Times New Roman" w:hAnsi="Times New Roman"/>
                <w:bCs/>
                <w:i/>
                <w:iCs/>
                <w:szCs w:val="18"/>
                <w:u w:color="00B050"/>
                <w:vertAlign w:val="subscript"/>
              </w:rPr>
              <w:t>generic</w:t>
            </w:r>
            <w:proofErr w:type="spellEnd"/>
            <w:r w:rsidRPr="00A234FC">
              <w:rPr>
                <w:rFonts w:cs="Arial"/>
                <w:bCs/>
                <w:i/>
                <w:iCs/>
                <w:szCs w:val="18"/>
                <w:u w:color="00B050"/>
              </w:rPr>
              <w:t xml:space="preserve"> from the Safety Report</w:t>
            </w:r>
            <w:r w:rsidRPr="00A234FC">
              <w:rPr>
                <w:rFonts w:cs="Arial"/>
                <w:bCs/>
                <w:i/>
                <w:iCs/>
                <w:szCs w:val="18"/>
                <w:u w:color="00B050"/>
              </w:rPr>
              <w:sym w:font="Wingdings" w:char="F0E8"/>
            </w:r>
          </w:p>
        </w:tc>
        <w:tc>
          <w:tcPr>
            <w:tcW w:w="1134" w:type="dxa"/>
            <w:shd w:val="clear" w:color="auto" w:fill="EAF1DD" w:themeFill="accent3" w:themeFillTint="33"/>
            <w:noWrap/>
          </w:tcPr>
          <w:p w14:paraId="7865A3EA" w14:textId="77777777" w:rsidR="00A234FC" w:rsidRPr="00A234FC" w:rsidRDefault="00A234FC" w:rsidP="00BC6FFD">
            <w:pPr>
              <w:pStyle w:val="CETBodytext"/>
              <w:jc w:val="right"/>
              <w:rPr>
                <w:rFonts w:cs="Arial"/>
                <w:szCs w:val="18"/>
                <w:lang w:val="en-GB"/>
              </w:rPr>
            </w:pPr>
            <w:r w:rsidRPr="00A234FC">
              <w:rPr>
                <w:rFonts w:cs="Arial"/>
                <w:szCs w:val="18"/>
                <w:lang w:val="en-GB"/>
              </w:rPr>
              <w:t>4.1E-06</w:t>
            </w:r>
          </w:p>
        </w:tc>
        <w:tc>
          <w:tcPr>
            <w:tcW w:w="1134" w:type="dxa"/>
            <w:shd w:val="clear" w:color="auto" w:fill="EAF1DD" w:themeFill="accent3" w:themeFillTint="33"/>
            <w:noWrap/>
          </w:tcPr>
          <w:p w14:paraId="6E4E3C85" w14:textId="77777777" w:rsidR="00A234FC" w:rsidRPr="00A234FC" w:rsidRDefault="00A234FC" w:rsidP="00BC6FFD">
            <w:pPr>
              <w:pStyle w:val="CETBodytext"/>
              <w:jc w:val="right"/>
              <w:rPr>
                <w:rFonts w:cs="Arial"/>
                <w:szCs w:val="18"/>
                <w:lang w:val="en-GB"/>
              </w:rPr>
            </w:pPr>
            <w:r w:rsidRPr="00A234FC">
              <w:rPr>
                <w:rFonts w:cs="Arial"/>
                <w:szCs w:val="18"/>
                <w:lang w:val="en-GB"/>
              </w:rPr>
              <w:t>2.5E-07</w:t>
            </w:r>
          </w:p>
        </w:tc>
      </w:tr>
      <w:tr w:rsidR="00A234FC" w:rsidRPr="00A234FC" w14:paraId="57859F99" w14:textId="77777777" w:rsidTr="00BC6FFD">
        <w:trPr>
          <w:trHeight w:val="215"/>
          <w:jc w:val="center"/>
        </w:trPr>
        <w:tc>
          <w:tcPr>
            <w:tcW w:w="1234" w:type="dxa"/>
            <w:noWrap/>
            <w:hideMark/>
          </w:tcPr>
          <w:p w14:paraId="77FF7645" w14:textId="77777777" w:rsidR="00A234FC" w:rsidRPr="00A234FC" w:rsidRDefault="00A234FC" w:rsidP="00BC6FFD">
            <w:pPr>
              <w:pStyle w:val="CETBodytext"/>
              <w:jc w:val="left"/>
              <w:rPr>
                <w:rFonts w:cs="Arial"/>
                <w:szCs w:val="18"/>
                <w:lang w:val="en-GB"/>
              </w:rPr>
            </w:pPr>
            <w:r w:rsidRPr="00A234FC">
              <w:rPr>
                <w:rFonts w:cs="Arial"/>
                <w:szCs w:val="18"/>
                <w:lang w:val="en-GB"/>
              </w:rPr>
              <w:t>TK01</w:t>
            </w:r>
          </w:p>
        </w:tc>
        <w:tc>
          <w:tcPr>
            <w:tcW w:w="1460" w:type="dxa"/>
            <w:noWrap/>
            <w:hideMark/>
          </w:tcPr>
          <w:p w14:paraId="1E693EC9" w14:textId="77777777" w:rsidR="00A234FC" w:rsidRPr="00A234FC" w:rsidRDefault="00A234FC" w:rsidP="00BC6FFD">
            <w:pPr>
              <w:pStyle w:val="CETBodytext"/>
              <w:jc w:val="center"/>
              <w:rPr>
                <w:rFonts w:cs="Arial"/>
                <w:szCs w:val="18"/>
                <w:lang w:val="en-GB"/>
              </w:rPr>
            </w:pPr>
            <w:r w:rsidRPr="00A234FC">
              <w:rPr>
                <w:rFonts w:cs="Arial"/>
                <w:szCs w:val="18"/>
                <w:lang w:val="en-GB"/>
              </w:rPr>
              <w:t>2.17</w:t>
            </w:r>
          </w:p>
        </w:tc>
        <w:tc>
          <w:tcPr>
            <w:tcW w:w="1417" w:type="dxa"/>
            <w:noWrap/>
            <w:hideMark/>
          </w:tcPr>
          <w:p w14:paraId="469A7950" w14:textId="77777777" w:rsidR="00A234FC" w:rsidRPr="00A234FC" w:rsidRDefault="00A234FC" w:rsidP="00BC6FFD">
            <w:pPr>
              <w:pStyle w:val="CETBodytext"/>
              <w:jc w:val="center"/>
              <w:rPr>
                <w:rFonts w:cs="Arial"/>
                <w:szCs w:val="18"/>
                <w:lang w:val="en-GB"/>
              </w:rPr>
            </w:pPr>
            <w:r w:rsidRPr="00A234FC">
              <w:rPr>
                <w:rFonts w:cs="Arial"/>
                <w:szCs w:val="18"/>
                <w:lang w:val="en-GB"/>
              </w:rPr>
              <w:t>2.25</w:t>
            </w:r>
          </w:p>
        </w:tc>
        <w:tc>
          <w:tcPr>
            <w:tcW w:w="1134" w:type="dxa"/>
            <w:noWrap/>
            <w:hideMark/>
          </w:tcPr>
          <w:p w14:paraId="2F2CD92A" w14:textId="77777777" w:rsidR="00A234FC" w:rsidRPr="00A234FC" w:rsidRDefault="00A234FC" w:rsidP="00BC6FFD">
            <w:pPr>
              <w:pStyle w:val="CETBodytext"/>
              <w:jc w:val="center"/>
              <w:rPr>
                <w:rFonts w:cs="Arial"/>
                <w:szCs w:val="18"/>
                <w:lang w:val="en-GB"/>
              </w:rPr>
            </w:pPr>
            <w:r w:rsidRPr="00A234FC">
              <w:rPr>
                <w:rFonts w:cs="Arial"/>
                <w:szCs w:val="18"/>
                <w:lang w:val="en-GB"/>
              </w:rPr>
              <w:t>0.08</w:t>
            </w:r>
          </w:p>
        </w:tc>
        <w:tc>
          <w:tcPr>
            <w:tcW w:w="1134" w:type="dxa"/>
            <w:noWrap/>
            <w:hideMark/>
          </w:tcPr>
          <w:p w14:paraId="6693F7B2" w14:textId="77777777" w:rsidR="00A234FC" w:rsidRPr="00A234FC" w:rsidRDefault="00A234FC" w:rsidP="00BC6FFD">
            <w:pPr>
              <w:pStyle w:val="CETBodytext"/>
              <w:jc w:val="center"/>
              <w:rPr>
                <w:rFonts w:cs="Arial"/>
                <w:szCs w:val="18"/>
                <w:lang w:val="en-GB"/>
              </w:rPr>
            </w:pPr>
            <w:r w:rsidRPr="00A234FC">
              <w:rPr>
                <w:rFonts w:cs="Arial"/>
                <w:szCs w:val="18"/>
                <w:lang w:val="en-GB"/>
              </w:rPr>
              <w:t>1.6</w:t>
            </w:r>
          </w:p>
        </w:tc>
        <w:tc>
          <w:tcPr>
            <w:tcW w:w="1134" w:type="dxa"/>
            <w:noWrap/>
            <w:hideMark/>
          </w:tcPr>
          <w:p w14:paraId="559266E4" w14:textId="77777777" w:rsidR="00A234FC" w:rsidRPr="00A234FC" w:rsidRDefault="00A234FC" w:rsidP="00BC6FFD">
            <w:pPr>
              <w:pStyle w:val="CETBodytext"/>
              <w:jc w:val="right"/>
              <w:rPr>
                <w:rFonts w:cs="Arial"/>
                <w:szCs w:val="18"/>
                <w:lang w:val="en-GB"/>
              </w:rPr>
            </w:pPr>
            <w:r w:rsidRPr="00A234FC">
              <w:rPr>
                <w:rFonts w:cs="Arial"/>
                <w:szCs w:val="18"/>
                <w:lang w:val="en-GB"/>
              </w:rPr>
              <w:t>6.6E-06</w:t>
            </w:r>
          </w:p>
        </w:tc>
        <w:tc>
          <w:tcPr>
            <w:tcW w:w="1134" w:type="dxa"/>
            <w:noWrap/>
            <w:hideMark/>
          </w:tcPr>
          <w:p w14:paraId="6C822300" w14:textId="77777777" w:rsidR="00A234FC" w:rsidRPr="00A234FC" w:rsidRDefault="00A234FC" w:rsidP="00BC6FFD">
            <w:pPr>
              <w:pStyle w:val="CETBodytext"/>
              <w:jc w:val="right"/>
              <w:rPr>
                <w:rFonts w:cs="Arial"/>
                <w:szCs w:val="18"/>
                <w:lang w:val="en-GB"/>
              </w:rPr>
            </w:pPr>
            <w:r w:rsidRPr="00A234FC">
              <w:rPr>
                <w:rFonts w:cs="Arial"/>
                <w:szCs w:val="18"/>
                <w:lang w:val="en-GB"/>
              </w:rPr>
              <w:t>4.1E-07</w:t>
            </w:r>
          </w:p>
        </w:tc>
      </w:tr>
      <w:tr w:rsidR="00A234FC" w:rsidRPr="00A234FC" w14:paraId="4E7C19D0" w14:textId="77777777" w:rsidTr="00BC6FFD">
        <w:trPr>
          <w:trHeight w:val="215"/>
          <w:jc w:val="center"/>
        </w:trPr>
        <w:tc>
          <w:tcPr>
            <w:tcW w:w="1234" w:type="dxa"/>
            <w:noWrap/>
            <w:hideMark/>
          </w:tcPr>
          <w:p w14:paraId="3C48A04D" w14:textId="77777777" w:rsidR="00A234FC" w:rsidRPr="00A234FC" w:rsidRDefault="00A234FC" w:rsidP="00BC6FFD">
            <w:pPr>
              <w:pStyle w:val="CETBodytext"/>
              <w:jc w:val="left"/>
              <w:rPr>
                <w:rFonts w:cs="Arial"/>
                <w:szCs w:val="18"/>
                <w:lang w:val="en-GB"/>
              </w:rPr>
            </w:pPr>
            <w:r w:rsidRPr="00A234FC">
              <w:rPr>
                <w:rFonts w:cs="Arial"/>
                <w:szCs w:val="18"/>
                <w:lang w:val="en-GB"/>
              </w:rPr>
              <w:t>TK02</w:t>
            </w:r>
          </w:p>
        </w:tc>
        <w:tc>
          <w:tcPr>
            <w:tcW w:w="1460" w:type="dxa"/>
            <w:noWrap/>
            <w:hideMark/>
          </w:tcPr>
          <w:p w14:paraId="493A7D25" w14:textId="77777777" w:rsidR="00A234FC" w:rsidRPr="00A234FC" w:rsidRDefault="00A234FC" w:rsidP="00BC6FFD">
            <w:pPr>
              <w:pStyle w:val="CETBodytext"/>
              <w:jc w:val="center"/>
              <w:rPr>
                <w:rFonts w:cs="Arial"/>
                <w:szCs w:val="18"/>
                <w:lang w:val="en-GB"/>
              </w:rPr>
            </w:pPr>
            <w:r w:rsidRPr="00A234FC">
              <w:rPr>
                <w:rFonts w:cs="Arial"/>
                <w:szCs w:val="18"/>
                <w:lang w:val="en-GB"/>
              </w:rPr>
              <w:t>2.17</w:t>
            </w:r>
          </w:p>
        </w:tc>
        <w:tc>
          <w:tcPr>
            <w:tcW w:w="1417" w:type="dxa"/>
            <w:noWrap/>
            <w:hideMark/>
          </w:tcPr>
          <w:p w14:paraId="63DFBFBE" w14:textId="77777777" w:rsidR="00A234FC" w:rsidRPr="00A234FC" w:rsidRDefault="00A234FC" w:rsidP="00BC6FFD">
            <w:pPr>
              <w:pStyle w:val="CETBodytext"/>
              <w:jc w:val="center"/>
              <w:rPr>
                <w:rFonts w:cs="Arial"/>
                <w:szCs w:val="18"/>
                <w:lang w:val="en-GB"/>
              </w:rPr>
            </w:pPr>
            <w:r w:rsidRPr="00A234FC">
              <w:rPr>
                <w:rFonts w:cs="Arial"/>
                <w:szCs w:val="18"/>
                <w:lang w:val="en-GB"/>
              </w:rPr>
              <w:t>2.25</w:t>
            </w:r>
          </w:p>
        </w:tc>
        <w:tc>
          <w:tcPr>
            <w:tcW w:w="1134" w:type="dxa"/>
            <w:noWrap/>
            <w:hideMark/>
          </w:tcPr>
          <w:p w14:paraId="19CBCAEC" w14:textId="77777777" w:rsidR="00A234FC" w:rsidRPr="00A234FC" w:rsidRDefault="00A234FC" w:rsidP="00BC6FFD">
            <w:pPr>
              <w:pStyle w:val="CETBodytext"/>
              <w:jc w:val="center"/>
              <w:rPr>
                <w:rFonts w:cs="Arial"/>
                <w:szCs w:val="18"/>
                <w:lang w:val="en-GB"/>
              </w:rPr>
            </w:pPr>
            <w:r w:rsidRPr="00A234FC">
              <w:rPr>
                <w:rFonts w:cs="Arial"/>
                <w:szCs w:val="18"/>
                <w:lang w:val="en-GB"/>
              </w:rPr>
              <w:t>0.08</w:t>
            </w:r>
          </w:p>
        </w:tc>
        <w:tc>
          <w:tcPr>
            <w:tcW w:w="1134" w:type="dxa"/>
            <w:noWrap/>
            <w:hideMark/>
          </w:tcPr>
          <w:p w14:paraId="3A346C9E" w14:textId="77777777" w:rsidR="00A234FC" w:rsidRPr="00A234FC" w:rsidRDefault="00A234FC" w:rsidP="00BC6FFD">
            <w:pPr>
              <w:pStyle w:val="CETBodytext"/>
              <w:jc w:val="center"/>
              <w:rPr>
                <w:rFonts w:cs="Arial"/>
                <w:szCs w:val="18"/>
                <w:lang w:val="en-GB"/>
              </w:rPr>
            </w:pPr>
            <w:r w:rsidRPr="00A234FC">
              <w:rPr>
                <w:rFonts w:cs="Arial"/>
                <w:szCs w:val="18"/>
                <w:lang w:val="en-GB"/>
              </w:rPr>
              <w:t>1.6</w:t>
            </w:r>
          </w:p>
        </w:tc>
        <w:tc>
          <w:tcPr>
            <w:tcW w:w="1134" w:type="dxa"/>
            <w:noWrap/>
            <w:hideMark/>
          </w:tcPr>
          <w:p w14:paraId="0837BBAC" w14:textId="77777777" w:rsidR="00A234FC" w:rsidRPr="00A234FC" w:rsidRDefault="00A234FC" w:rsidP="00BC6FFD">
            <w:pPr>
              <w:pStyle w:val="CETBodytext"/>
              <w:jc w:val="right"/>
              <w:rPr>
                <w:rFonts w:cs="Arial"/>
                <w:szCs w:val="18"/>
                <w:lang w:val="en-GB"/>
              </w:rPr>
            </w:pPr>
            <w:r w:rsidRPr="00A234FC">
              <w:rPr>
                <w:rFonts w:cs="Arial"/>
                <w:szCs w:val="18"/>
                <w:lang w:val="en-GB"/>
              </w:rPr>
              <w:t>6.6E-06</w:t>
            </w:r>
          </w:p>
        </w:tc>
        <w:tc>
          <w:tcPr>
            <w:tcW w:w="1134" w:type="dxa"/>
            <w:noWrap/>
            <w:hideMark/>
          </w:tcPr>
          <w:p w14:paraId="5D2779E4" w14:textId="77777777" w:rsidR="00A234FC" w:rsidRPr="00A234FC" w:rsidRDefault="00A234FC" w:rsidP="00BC6FFD">
            <w:pPr>
              <w:pStyle w:val="CETBodytext"/>
              <w:jc w:val="right"/>
              <w:rPr>
                <w:rFonts w:cs="Arial"/>
                <w:szCs w:val="18"/>
                <w:lang w:val="en-GB"/>
              </w:rPr>
            </w:pPr>
            <w:r w:rsidRPr="00A234FC">
              <w:rPr>
                <w:rFonts w:cs="Arial"/>
                <w:szCs w:val="18"/>
                <w:lang w:val="en-GB"/>
              </w:rPr>
              <w:t>4.1E-07</w:t>
            </w:r>
          </w:p>
        </w:tc>
      </w:tr>
      <w:tr w:rsidR="00A234FC" w:rsidRPr="00A234FC" w14:paraId="39CB3F3D" w14:textId="77777777" w:rsidTr="00BC6FFD">
        <w:trPr>
          <w:trHeight w:val="215"/>
          <w:jc w:val="center"/>
        </w:trPr>
        <w:tc>
          <w:tcPr>
            <w:tcW w:w="1234" w:type="dxa"/>
            <w:noWrap/>
            <w:hideMark/>
          </w:tcPr>
          <w:p w14:paraId="09F70F51" w14:textId="77777777" w:rsidR="00A234FC" w:rsidRPr="00A234FC" w:rsidRDefault="00A234FC" w:rsidP="00BC6FFD">
            <w:pPr>
              <w:pStyle w:val="CETBodytext"/>
              <w:jc w:val="left"/>
              <w:rPr>
                <w:rFonts w:cs="Arial"/>
                <w:szCs w:val="18"/>
                <w:lang w:val="en-GB"/>
              </w:rPr>
            </w:pPr>
            <w:r w:rsidRPr="00A234FC">
              <w:rPr>
                <w:rFonts w:cs="Arial"/>
                <w:szCs w:val="18"/>
                <w:lang w:val="en-GB"/>
              </w:rPr>
              <w:t>TK03</w:t>
            </w:r>
          </w:p>
        </w:tc>
        <w:tc>
          <w:tcPr>
            <w:tcW w:w="1460" w:type="dxa"/>
            <w:noWrap/>
            <w:hideMark/>
          </w:tcPr>
          <w:p w14:paraId="6613463A" w14:textId="77777777" w:rsidR="00A234FC" w:rsidRPr="00A234FC" w:rsidRDefault="00A234FC" w:rsidP="00BC6FFD">
            <w:pPr>
              <w:pStyle w:val="CETBodytext"/>
              <w:jc w:val="center"/>
              <w:rPr>
                <w:rFonts w:cs="Arial"/>
                <w:szCs w:val="18"/>
                <w:lang w:val="en-GB"/>
              </w:rPr>
            </w:pPr>
            <w:r w:rsidRPr="00A234FC">
              <w:rPr>
                <w:rFonts w:cs="Arial"/>
                <w:szCs w:val="18"/>
                <w:lang w:val="en-GB"/>
              </w:rPr>
              <w:t>2.83</w:t>
            </w:r>
          </w:p>
        </w:tc>
        <w:tc>
          <w:tcPr>
            <w:tcW w:w="1417" w:type="dxa"/>
            <w:noWrap/>
            <w:hideMark/>
          </w:tcPr>
          <w:p w14:paraId="0C7A1AEE" w14:textId="77777777" w:rsidR="00A234FC" w:rsidRPr="00A234FC" w:rsidRDefault="00A234FC" w:rsidP="00BC6FFD">
            <w:pPr>
              <w:pStyle w:val="CETBodytext"/>
              <w:jc w:val="center"/>
              <w:rPr>
                <w:rFonts w:cs="Arial"/>
                <w:szCs w:val="18"/>
                <w:lang w:val="en-GB"/>
              </w:rPr>
            </w:pPr>
            <w:r w:rsidRPr="00A234FC">
              <w:rPr>
                <w:rFonts w:cs="Arial"/>
                <w:szCs w:val="18"/>
                <w:lang w:val="en-GB"/>
              </w:rPr>
              <w:t>2.17</w:t>
            </w:r>
          </w:p>
        </w:tc>
        <w:tc>
          <w:tcPr>
            <w:tcW w:w="1134" w:type="dxa"/>
            <w:noWrap/>
            <w:hideMark/>
          </w:tcPr>
          <w:p w14:paraId="4367D99A"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6F166607">
                <v:shape id="_x0000_i1031" type="#_x0000_t75" style="width:9pt;height:9pt" o:ole="">
                  <v:imagedata r:id="rId26" o:title=""/>
                </v:shape>
                <o:OLEObject Type="Embed" ProgID="PBrush" ShapeID="_x0000_i1031" DrawAspect="Content" ObjectID="_1660382628" r:id="rId27"/>
              </w:object>
            </w:r>
            <w:r w:rsidRPr="00A234FC">
              <w:rPr>
                <w:rFonts w:cs="Arial"/>
                <w:szCs w:val="18"/>
                <w:lang w:val="en-GB"/>
              </w:rPr>
              <w:t>-0.67</w:t>
            </w:r>
          </w:p>
        </w:tc>
        <w:tc>
          <w:tcPr>
            <w:tcW w:w="1134" w:type="dxa"/>
            <w:noWrap/>
            <w:hideMark/>
          </w:tcPr>
          <w:p w14:paraId="0213CB2E" w14:textId="77777777" w:rsidR="00A234FC" w:rsidRPr="00A234FC" w:rsidRDefault="00A234FC" w:rsidP="00BC6FFD">
            <w:pPr>
              <w:pStyle w:val="CETBodytext"/>
              <w:jc w:val="center"/>
              <w:rPr>
                <w:rFonts w:cs="Arial"/>
                <w:szCs w:val="18"/>
                <w:lang w:val="en-GB"/>
              </w:rPr>
            </w:pPr>
            <w:r w:rsidRPr="00A234FC">
              <w:rPr>
                <w:rFonts w:cs="Arial"/>
                <w:szCs w:val="18"/>
                <w:lang w:val="en-GB"/>
              </w:rPr>
              <w:t>3.8</w:t>
            </w:r>
          </w:p>
        </w:tc>
        <w:tc>
          <w:tcPr>
            <w:tcW w:w="1134" w:type="dxa"/>
            <w:noWrap/>
            <w:hideMark/>
          </w:tcPr>
          <w:p w14:paraId="4C665C35" w14:textId="77777777" w:rsidR="00A234FC" w:rsidRPr="00A234FC" w:rsidRDefault="00A234FC" w:rsidP="00BC6FFD">
            <w:pPr>
              <w:pStyle w:val="CETBodytext"/>
              <w:jc w:val="right"/>
              <w:rPr>
                <w:rFonts w:cs="Arial"/>
                <w:szCs w:val="18"/>
                <w:lang w:val="en-GB"/>
              </w:rPr>
            </w:pPr>
            <w:r w:rsidRPr="00A234FC">
              <w:rPr>
                <w:rFonts w:cs="Arial"/>
                <w:szCs w:val="18"/>
                <w:lang w:val="en-GB"/>
              </w:rPr>
              <w:t>1.6E-05</w:t>
            </w:r>
          </w:p>
        </w:tc>
        <w:tc>
          <w:tcPr>
            <w:tcW w:w="1134" w:type="dxa"/>
            <w:noWrap/>
            <w:hideMark/>
          </w:tcPr>
          <w:p w14:paraId="0DEC3573" w14:textId="77777777" w:rsidR="00A234FC" w:rsidRPr="00A234FC" w:rsidRDefault="00A234FC" w:rsidP="00BC6FFD">
            <w:pPr>
              <w:pStyle w:val="CETBodytext"/>
              <w:jc w:val="right"/>
              <w:rPr>
                <w:rFonts w:cs="Arial"/>
                <w:szCs w:val="18"/>
                <w:lang w:val="en-GB"/>
              </w:rPr>
            </w:pPr>
            <w:r w:rsidRPr="00A234FC">
              <w:rPr>
                <w:rFonts w:cs="Arial"/>
                <w:szCs w:val="18"/>
                <w:lang w:val="en-GB"/>
              </w:rPr>
              <w:object w:dxaOrig="232" w:dyaOrig="232" w14:anchorId="49550457">
                <v:shape id="_x0000_i1032" type="#_x0000_t75" style="width:9pt;height:9pt" o:ole="">
                  <v:imagedata r:id="rId28" o:title=""/>
                </v:shape>
                <o:OLEObject Type="Embed" ProgID="PBrush" ShapeID="_x0000_i1032" DrawAspect="Content" ObjectID="_1660382629" r:id="rId29"/>
              </w:object>
            </w:r>
            <w:r w:rsidRPr="00A234FC">
              <w:rPr>
                <w:rFonts w:cs="Arial"/>
                <w:szCs w:val="18"/>
                <w:lang w:val="en-GB"/>
              </w:rPr>
              <w:t>9.7E-07</w:t>
            </w:r>
          </w:p>
        </w:tc>
      </w:tr>
      <w:tr w:rsidR="00A234FC" w:rsidRPr="00A234FC" w14:paraId="65BA5CD0" w14:textId="77777777" w:rsidTr="00BC6FFD">
        <w:trPr>
          <w:trHeight w:val="215"/>
          <w:jc w:val="center"/>
        </w:trPr>
        <w:tc>
          <w:tcPr>
            <w:tcW w:w="1234" w:type="dxa"/>
            <w:noWrap/>
            <w:hideMark/>
          </w:tcPr>
          <w:p w14:paraId="4545E56C" w14:textId="77777777" w:rsidR="00A234FC" w:rsidRPr="00A234FC" w:rsidRDefault="00A234FC" w:rsidP="00BC6FFD">
            <w:pPr>
              <w:pStyle w:val="CETBodytext"/>
              <w:jc w:val="left"/>
              <w:rPr>
                <w:rFonts w:cs="Arial"/>
                <w:szCs w:val="18"/>
                <w:lang w:val="en-GB"/>
              </w:rPr>
            </w:pPr>
            <w:r w:rsidRPr="00A234FC">
              <w:rPr>
                <w:rFonts w:cs="Arial"/>
                <w:szCs w:val="18"/>
                <w:lang w:val="en-GB"/>
              </w:rPr>
              <w:t>TK04</w:t>
            </w:r>
          </w:p>
        </w:tc>
        <w:tc>
          <w:tcPr>
            <w:tcW w:w="1460" w:type="dxa"/>
            <w:noWrap/>
            <w:hideMark/>
          </w:tcPr>
          <w:p w14:paraId="257F270B" w14:textId="77777777" w:rsidR="00A234FC" w:rsidRPr="00A234FC" w:rsidRDefault="00A234FC" w:rsidP="00BC6FFD">
            <w:pPr>
              <w:pStyle w:val="CETBodytext"/>
              <w:jc w:val="center"/>
              <w:rPr>
                <w:rFonts w:cs="Arial"/>
                <w:szCs w:val="18"/>
                <w:lang w:val="en-GB"/>
              </w:rPr>
            </w:pPr>
            <w:r w:rsidRPr="00A234FC">
              <w:rPr>
                <w:rFonts w:cs="Arial"/>
                <w:szCs w:val="18"/>
                <w:lang w:val="en-GB"/>
              </w:rPr>
              <w:t>3.00</w:t>
            </w:r>
          </w:p>
        </w:tc>
        <w:tc>
          <w:tcPr>
            <w:tcW w:w="1417" w:type="dxa"/>
            <w:noWrap/>
            <w:hideMark/>
          </w:tcPr>
          <w:p w14:paraId="1A099D6D" w14:textId="77777777" w:rsidR="00A234FC" w:rsidRPr="00A234FC" w:rsidRDefault="00A234FC" w:rsidP="00BC6FFD">
            <w:pPr>
              <w:pStyle w:val="CETBodytext"/>
              <w:jc w:val="center"/>
              <w:rPr>
                <w:rFonts w:cs="Arial"/>
                <w:szCs w:val="18"/>
                <w:lang w:val="en-GB"/>
              </w:rPr>
            </w:pPr>
            <w:r w:rsidRPr="00A234FC">
              <w:rPr>
                <w:rFonts w:cs="Arial"/>
                <w:szCs w:val="18"/>
                <w:lang w:val="en-GB"/>
              </w:rPr>
              <w:t>2.17</w:t>
            </w:r>
          </w:p>
        </w:tc>
        <w:tc>
          <w:tcPr>
            <w:tcW w:w="1134" w:type="dxa"/>
            <w:noWrap/>
            <w:hideMark/>
          </w:tcPr>
          <w:p w14:paraId="7DE91C8F"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5D9469BA">
                <v:shape id="_x0000_i1033" type="#_x0000_t75" style="width:9pt;height:9pt" o:ole="">
                  <v:imagedata r:id="rId26" o:title=""/>
                </v:shape>
                <o:OLEObject Type="Embed" ProgID="PBrush" ShapeID="_x0000_i1033" DrawAspect="Content" ObjectID="_1660382630" r:id="rId30"/>
              </w:object>
            </w:r>
            <w:r w:rsidRPr="00A234FC">
              <w:rPr>
                <w:rFonts w:cs="Arial"/>
                <w:szCs w:val="18"/>
                <w:lang w:val="en-GB"/>
              </w:rPr>
              <w:t>-0.83</w:t>
            </w:r>
          </w:p>
        </w:tc>
        <w:tc>
          <w:tcPr>
            <w:tcW w:w="1134" w:type="dxa"/>
            <w:noWrap/>
            <w:hideMark/>
          </w:tcPr>
          <w:p w14:paraId="72F9A277" w14:textId="77777777" w:rsidR="00A234FC" w:rsidRPr="00A234FC" w:rsidRDefault="00A234FC" w:rsidP="00BC6FFD">
            <w:pPr>
              <w:pStyle w:val="CETBodytext"/>
              <w:jc w:val="center"/>
              <w:rPr>
                <w:rFonts w:cs="Arial"/>
                <w:szCs w:val="18"/>
                <w:lang w:val="en-GB"/>
              </w:rPr>
            </w:pPr>
            <w:r w:rsidRPr="00A234FC">
              <w:rPr>
                <w:rFonts w:cs="Arial"/>
                <w:szCs w:val="18"/>
                <w:lang w:val="en-GB"/>
              </w:rPr>
              <w:t>4.6</w:t>
            </w:r>
          </w:p>
        </w:tc>
        <w:tc>
          <w:tcPr>
            <w:tcW w:w="1134" w:type="dxa"/>
            <w:noWrap/>
            <w:hideMark/>
          </w:tcPr>
          <w:p w14:paraId="6DDAAD7B" w14:textId="77777777" w:rsidR="00A234FC" w:rsidRPr="00A234FC" w:rsidRDefault="00A234FC" w:rsidP="00BC6FFD">
            <w:pPr>
              <w:pStyle w:val="CETBodytext"/>
              <w:jc w:val="right"/>
              <w:rPr>
                <w:rFonts w:cs="Arial"/>
                <w:szCs w:val="18"/>
                <w:lang w:val="en-GB"/>
              </w:rPr>
            </w:pPr>
            <w:r w:rsidRPr="00A234FC">
              <w:rPr>
                <w:rFonts w:cs="Arial"/>
                <w:szCs w:val="18"/>
                <w:lang w:val="en-GB"/>
              </w:rPr>
              <w:t>1.9E-05</w:t>
            </w:r>
          </w:p>
        </w:tc>
        <w:tc>
          <w:tcPr>
            <w:tcW w:w="1134" w:type="dxa"/>
            <w:noWrap/>
            <w:hideMark/>
          </w:tcPr>
          <w:p w14:paraId="793E4A6E" w14:textId="77777777" w:rsidR="00A234FC" w:rsidRPr="00A234FC" w:rsidRDefault="00A234FC" w:rsidP="00BC6FFD">
            <w:pPr>
              <w:pStyle w:val="CETBodytext"/>
              <w:jc w:val="right"/>
              <w:rPr>
                <w:rFonts w:cs="Arial"/>
                <w:szCs w:val="18"/>
                <w:lang w:val="en-GB"/>
              </w:rPr>
            </w:pPr>
            <w:r w:rsidRPr="00A234FC">
              <w:rPr>
                <w:rFonts w:cs="Arial"/>
                <w:szCs w:val="18"/>
                <w:lang w:val="en-GB"/>
              </w:rPr>
              <w:object w:dxaOrig="232" w:dyaOrig="232" w14:anchorId="21A8E288">
                <v:shape id="_x0000_i1034" type="#_x0000_t75" style="width:9pt;height:9pt" o:ole="">
                  <v:imagedata r:id="rId28" o:title=""/>
                </v:shape>
                <o:OLEObject Type="Embed" ProgID="PBrush" ShapeID="_x0000_i1034" DrawAspect="Content" ObjectID="_1660382631" r:id="rId31"/>
              </w:object>
            </w:r>
            <w:r w:rsidRPr="00A234FC">
              <w:rPr>
                <w:rFonts w:cs="Arial"/>
                <w:szCs w:val="18"/>
                <w:lang w:val="en-GB"/>
              </w:rPr>
              <w:t>1.2E-06</w:t>
            </w:r>
          </w:p>
        </w:tc>
      </w:tr>
      <w:tr w:rsidR="00A234FC" w:rsidRPr="00A234FC" w14:paraId="7D1B7248" w14:textId="77777777" w:rsidTr="00BC6FFD">
        <w:trPr>
          <w:trHeight w:val="215"/>
          <w:jc w:val="center"/>
        </w:trPr>
        <w:tc>
          <w:tcPr>
            <w:tcW w:w="1234" w:type="dxa"/>
            <w:noWrap/>
            <w:hideMark/>
          </w:tcPr>
          <w:p w14:paraId="39878555" w14:textId="77777777" w:rsidR="00A234FC" w:rsidRPr="00A234FC" w:rsidRDefault="00A234FC" w:rsidP="00BC6FFD">
            <w:pPr>
              <w:pStyle w:val="CETBodytext"/>
              <w:jc w:val="left"/>
              <w:rPr>
                <w:rFonts w:cs="Arial"/>
                <w:szCs w:val="18"/>
                <w:lang w:val="en-GB"/>
              </w:rPr>
            </w:pPr>
            <w:r w:rsidRPr="00A234FC">
              <w:rPr>
                <w:rFonts w:cs="Arial"/>
                <w:szCs w:val="18"/>
                <w:lang w:val="en-GB"/>
              </w:rPr>
              <w:t>TK06</w:t>
            </w:r>
          </w:p>
        </w:tc>
        <w:tc>
          <w:tcPr>
            <w:tcW w:w="1460" w:type="dxa"/>
            <w:noWrap/>
            <w:hideMark/>
          </w:tcPr>
          <w:p w14:paraId="1F12EBB1" w14:textId="77777777" w:rsidR="00A234FC" w:rsidRPr="00A234FC" w:rsidRDefault="00A234FC" w:rsidP="00BC6FFD">
            <w:pPr>
              <w:pStyle w:val="CETBodytext"/>
              <w:jc w:val="center"/>
              <w:rPr>
                <w:rFonts w:cs="Arial"/>
                <w:szCs w:val="18"/>
                <w:lang w:val="en-GB"/>
              </w:rPr>
            </w:pPr>
            <w:r w:rsidRPr="00A234FC">
              <w:rPr>
                <w:rFonts w:cs="Arial"/>
                <w:szCs w:val="18"/>
                <w:lang w:val="en-GB"/>
              </w:rPr>
              <w:t>2.50</w:t>
            </w:r>
          </w:p>
        </w:tc>
        <w:tc>
          <w:tcPr>
            <w:tcW w:w="1417" w:type="dxa"/>
            <w:noWrap/>
            <w:hideMark/>
          </w:tcPr>
          <w:p w14:paraId="33E8A8AA" w14:textId="77777777" w:rsidR="00A234FC" w:rsidRPr="00A234FC" w:rsidRDefault="00A234FC" w:rsidP="00BC6FFD">
            <w:pPr>
              <w:pStyle w:val="CETBodytext"/>
              <w:jc w:val="center"/>
              <w:rPr>
                <w:rFonts w:cs="Arial"/>
                <w:szCs w:val="18"/>
                <w:lang w:val="en-GB"/>
              </w:rPr>
            </w:pPr>
            <w:r w:rsidRPr="00A234FC">
              <w:rPr>
                <w:rFonts w:cs="Arial"/>
                <w:szCs w:val="18"/>
                <w:lang w:val="en-GB"/>
              </w:rPr>
              <w:t>2.17</w:t>
            </w:r>
          </w:p>
        </w:tc>
        <w:tc>
          <w:tcPr>
            <w:tcW w:w="1134" w:type="dxa"/>
            <w:noWrap/>
            <w:hideMark/>
          </w:tcPr>
          <w:p w14:paraId="7F9B408B"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67074CB4">
                <v:shape id="_x0000_i1035" type="#_x0000_t75" style="width:9pt;height:9pt" o:ole="">
                  <v:imagedata r:id="rId26" o:title=""/>
                </v:shape>
                <o:OLEObject Type="Embed" ProgID="PBrush" ShapeID="_x0000_i1035" DrawAspect="Content" ObjectID="_1660382632" r:id="rId32"/>
              </w:object>
            </w:r>
            <w:r w:rsidRPr="00A234FC">
              <w:rPr>
                <w:rFonts w:cs="Arial"/>
                <w:szCs w:val="18"/>
                <w:lang w:val="en-GB"/>
              </w:rPr>
              <w:t>-0.33</w:t>
            </w:r>
          </w:p>
        </w:tc>
        <w:tc>
          <w:tcPr>
            <w:tcW w:w="1134" w:type="dxa"/>
            <w:noWrap/>
            <w:hideMark/>
          </w:tcPr>
          <w:p w14:paraId="02081CF2" w14:textId="77777777" w:rsidR="00A234FC" w:rsidRPr="00A234FC" w:rsidRDefault="00A234FC" w:rsidP="00BC6FFD">
            <w:pPr>
              <w:pStyle w:val="CETBodytext"/>
              <w:jc w:val="center"/>
              <w:rPr>
                <w:rFonts w:cs="Arial"/>
                <w:szCs w:val="18"/>
                <w:lang w:val="en-GB"/>
              </w:rPr>
            </w:pPr>
            <w:r w:rsidRPr="00A234FC">
              <w:rPr>
                <w:rFonts w:cs="Arial"/>
                <w:szCs w:val="18"/>
                <w:lang w:val="en-GB"/>
              </w:rPr>
              <w:t>2.6</w:t>
            </w:r>
          </w:p>
        </w:tc>
        <w:tc>
          <w:tcPr>
            <w:tcW w:w="1134" w:type="dxa"/>
            <w:noWrap/>
            <w:hideMark/>
          </w:tcPr>
          <w:p w14:paraId="0C4B1A8D" w14:textId="77777777" w:rsidR="00A234FC" w:rsidRPr="00A234FC" w:rsidRDefault="00A234FC" w:rsidP="00BC6FFD">
            <w:pPr>
              <w:pStyle w:val="CETBodytext"/>
              <w:jc w:val="right"/>
              <w:rPr>
                <w:rFonts w:cs="Arial"/>
                <w:szCs w:val="18"/>
                <w:lang w:val="en-GB"/>
              </w:rPr>
            </w:pPr>
            <w:r w:rsidRPr="00A234FC">
              <w:rPr>
                <w:rFonts w:cs="Arial"/>
                <w:szCs w:val="18"/>
                <w:lang w:val="en-GB"/>
              </w:rPr>
              <w:t>1.1E-05</w:t>
            </w:r>
          </w:p>
        </w:tc>
        <w:tc>
          <w:tcPr>
            <w:tcW w:w="1134" w:type="dxa"/>
            <w:noWrap/>
            <w:hideMark/>
          </w:tcPr>
          <w:p w14:paraId="38465443" w14:textId="77777777" w:rsidR="00A234FC" w:rsidRPr="00A234FC" w:rsidRDefault="00A234FC" w:rsidP="00BC6FFD">
            <w:pPr>
              <w:pStyle w:val="CETBodytext"/>
              <w:jc w:val="right"/>
              <w:rPr>
                <w:rFonts w:cs="Arial"/>
                <w:szCs w:val="18"/>
                <w:lang w:val="en-GB"/>
              </w:rPr>
            </w:pPr>
            <w:r w:rsidRPr="00A234FC">
              <w:rPr>
                <w:rFonts w:cs="Arial"/>
                <w:szCs w:val="18"/>
                <w:lang w:val="en-GB"/>
              </w:rPr>
              <w:t>6.6E-07</w:t>
            </w:r>
          </w:p>
        </w:tc>
      </w:tr>
      <w:tr w:rsidR="00A234FC" w:rsidRPr="00A234FC" w14:paraId="1417AFB9" w14:textId="77777777" w:rsidTr="00BC6FFD">
        <w:trPr>
          <w:trHeight w:val="215"/>
          <w:jc w:val="center"/>
        </w:trPr>
        <w:tc>
          <w:tcPr>
            <w:tcW w:w="1234" w:type="dxa"/>
            <w:shd w:val="clear" w:color="auto" w:fill="EAF1DD" w:themeFill="accent3" w:themeFillTint="33"/>
            <w:noWrap/>
          </w:tcPr>
          <w:p w14:paraId="20FC30EA" w14:textId="77777777" w:rsidR="00A234FC" w:rsidRPr="00A234FC" w:rsidRDefault="00A234FC" w:rsidP="00BC6FFD">
            <w:pPr>
              <w:pStyle w:val="CETBodytext"/>
              <w:jc w:val="left"/>
              <w:rPr>
                <w:rFonts w:cs="Arial"/>
                <w:szCs w:val="18"/>
                <w:lang w:val="en-GB"/>
              </w:rPr>
            </w:pPr>
            <w:r w:rsidRPr="00A234FC">
              <w:rPr>
                <w:rFonts w:cs="Arial"/>
                <w:szCs w:val="18"/>
                <w:lang w:val="en-GB"/>
              </w:rPr>
              <w:t>LINES</w:t>
            </w:r>
          </w:p>
        </w:tc>
        <w:tc>
          <w:tcPr>
            <w:tcW w:w="1460" w:type="dxa"/>
            <w:shd w:val="clear" w:color="auto" w:fill="EAF1DD" w:themeFill="accent3" w:themeFillTint="33"/>
            <w:noWrap/>
          </w:tcPr>
          <w:p w14:paraId="05ED451F" w14:textId="77777777" w:rsidR="00A234FC" w:rsidRPr="00A234FC" w:rsidRDefault="00A234FC" w:rsidP="00BC6FFD">
            <w:pPr>
              <w:pStyle w:val="CETBodytext"/>
              <w:jc w:val="left"/>
              <w:rPr>
                <w:rFonts w:cs="Arial"/>
                <w:szCs w:val="18"/>
                <w:lang w:val="en-GB"/>
              </w:rPr>
            </w:pPr>
          </w:p>
        </w:tc>
        <w:tc>
          <w:tcPr>
            <w:tcW w:w="3685" w:type="dxa"/>
            <w:gridSpan w:val="3"/>
            <w:shd w:val="clear" w:color="auto" w:fill="EAF1DD" w:themeFill="accent3" w:themeFillTint="33"/>
            <w:noWrap/>
            <w:vAlign w:val="center"/>
          </w:tcPr>
          <w:p w14:paraId="7A816E01" w14:textId="77777777" w:rsidR="00A234FC" w:rsidRPr="00A234FC" w:rsidRDefault="00A234FC" w:rsidP="00BC6FFD">
            <w:pPr>
              <w:pStyle w:val="CETBodytext"/>
              <w:jc w:val="right"/>
              <w:rPr>
                <w:rFonts w:cs="Arial"/>
                <w:szCs w:val="18"/>
                <w:lang w:val="en-GB"/>
              </w:rPr>
            </w:pPr>
            <w:proofErr w:type="spellStart"/>
            <w:r w:rsidRPr="00A234FC">
              <w:rPr>
                <w:rFonts w:ascii="Times New Roman" w:hAnsi="Times New Roman"/>
                <w:bCs/>
                <w:i/>
                <w:iCs/>
                <w:szCs w:val="18"/>
                <w:u w:color="00B050"/>
              </w:rPr>
              <w:t>f</w:t>
            </w:r>
            <w:r w:rsidRPr="00A234FC">
              <w:rPr>
                <w:rFonts w:ascii="Times New Roman" w:hAnsi="Times New Roman"/>
                <w:bCs/>
                <w:i/>
                <w:iCs/>
                <w:szCs w:val="18"/>
                <w:u w:color="00B050"/>
                <w:vertAlign w:val="subscript"/>
              </w:rPr>
              <w:t>generic</w:t>
            </w:r>
            <w:proofErr w:type="spellEnd"/>
            <w:r w:rsidRPr="00A234FC">
              <w:rPr>
                <w:rFonts w:cs="Arial"/>
                <w:bCs/>
                <w:i/>
                <w:iCs/>
                <w:szCs w:val="18"/>
                <w:u w:color="00B050"/>
              </w:rPr>
              <w:t xml:space="preserve"> from the Safety Report </w:t>
            </w:r>
            <w:r w:rsidRPr="00A234FC">
              <w:rPr>
                <w:rFonts w:cs="Arial"/>
                <w:bCs/>
                <w:i/>
                <w:iCs/>
                <w:szCs w:val="18"/>
                <w:u w:color="00B050"/>
              </w:rPr>
              <w:sym w:font="Wingdings" w:char="F0E8"/>
            </w:r>
          </w:p>
        </w:tc>
        <w:tc>
          <w:tcPr>
            <w:tcW w:w="1134" w:type="dxa"/>
            <w:shd w:val="clear" w:color="auto" w:fill="EAF1DD" w:themeFill="accent3" w:themeFillTint="33"/>
            <w:noWrap/>
          </w:tcPr>
          <w:p w14:paraId="526621F6" w14:textId="77777777" w:rsidR="00A234FC" w:rsidRPr="00A234FC" w:rsidRDefault="00A234FC" w:rsidP="00BC6FFD">
            <w:pPr>
              <w:pStyle w:val="CETBodytext"/>
              <w:jc w:val="right"/>
              <w:rPr>
                <w:rFonts w:cs="Arial"/>
                <w:szCs w:val="18"/>
                <w:lang w:val="en-GB"/>
              </w:rPr>
            </w:pPr>
            <w:r w:rsidRPr="00A234FC">
              <w:rPr>
                <w:szCs w:val="18"/>
              </w:rPr>
              <w:t>2.0E-03</w:t>
            </w:r>
          </w:p>
        </w:tc>
        <w:tc>
          <w:tcPr>
            <w:tcW w:w="1134" w:type="dxa"/>
            <w:shd w:val="clear" w:color="auto" w:fill="EAF1DD" w:themeFill="accent3" w:themeFillTint="33"/>
            <w:noWrap/>
          </w:tcPr>
          <w:p w14:paraId="3331AF1D" w14:textId="77777777" w:rsidR="00A234FC" w:rsidRPr="00A234FC" w:rsidRDefault="00A234FC" w:rsidP="00BC6FFD">
            <w:pPr>
              <w:pStyle w:val="CETBodytext"/>
              <w:jc w:val="right"/>
              <w:rPr>
                <w:rFonts w:cs="Arial"/>
                <w:szCs w:val="18"/>
                <w:lang w:val="en-GB"/>
              </w:rPr>
            </w:pPr>
            <w:r w:rsidRPr="00A234FC">
              <w:rPr>
                <w:szCs w:val="18"/>
              </w:rPr>
              <w:t>3.1E-07</w:t>
            </w:r>
          </w:p>
        </w:tc>
      </w:tr>
      <w:tr w:rsidR="00A234FC" w:rsidRPr="00A234FC" w14:paraId="4B4DE41E" w14:textId="77777777" w:rsidTr="00BC6FFD">
        <w:trPr>
          <w:trHeight w:val="215"/>
          <w:jc w:val="center"/>
        </w:trPr>
        <w:tc>
          <w:tcPr>
            <w:tcW w:w="1234" w:type="dxa"/>
            <w:noWrap/>
            <w:hideMark/>
          </w:tcPr>
          <w:p w14:paraId="6BBD0AEB" w14:textId="77777777" w:rsidR="00A234FC" w:rsidRPr="00A234FC" w:rsidRDefault="00A234FC" w:rsidP="00BC6FFD">
            <w:pPr>
              <w:pStyle w:val="CETBodytext"/>
              <w:jc w:val="left"/>
              <w:rPr>
                <w:rFonts w:cs="Arial"/>
                <w:szCs w:val="18"/>
                <w:lang w:val="en-GB"/>
              </w:rPr>
            </w:pPr>
            <w:r w:rsidRPr="00A234FC">
              <w:rPr>
                <w:rFonts w:cs="Arial"/>
                <w:szCs w:val="18"/>
                <w:lang w:val="en-GB"/>
              </w:rPr>
              <w:t>L101 - L201</w:t>
            </w:r>
          </w:p>
        </w:tc>
        <w:tc>
          <w:tcPr>
            <w:tcW w:w="1460" w:type="dxa"/>
            <w:noWrap/>
            <w:hideMark/>
          </w:tcPr>
          <w:p w14:paraId="4E58DAD9" w14:textId="77777777" w:rsidR="00A234FC" w:rsidRPr="00A234FC" w:rsidRDefault="00A234FC" w:rsidP="00BC6FFD">
            <w:pPr>
              <w:pStyle w:val="CETBodytext"/>
              <w:jc w:val="center"/>
              <w:rPr>
                <w:rFonts w:cs="Arial"/>
                <w:szCs w:val="18"/>
                <w:lang w:val="en-GB"/>
              </w:rPr>
            </w:pPr>
            <w:r w:rsidRPr="00A234FC">
              <w:rPr>
                <w:rFonts w:cs="Arial"/>
                <w:szCs w:val="18"/>
                <w:lang w:val="en-GB"/>
              </w:rPr>
              <w:t>2.22</w:t>
            </w:r>
          </w:p>
        </w:tc>
        <w:tc>
          <w:tcPr>
            <w:tcW w:w="1417" w:type="dxa"/>
            <w:noWrap/>
            <w:hideMark/>
          </w:tcPr>
          <w:p w14:paraId="41D08BE0" w14:textId="77777777" w:rsidR="00A234FC" w:rsidRPr="00A234FC" w:rsidRDefault="00A234FC" w:rsidP="00BC6FFD">
            <w:pPr>
              <w:pStyle w:val="CETBodytext"/>
              <w:jc w:val="center"/>
              <w:rPr>
                <w:rFonts w:cs="Arial"/>
                <w:szCs w:val="18"/>
                <w:lang w:val="en-GB"/>
              </w:rPr>
            </w:pPr>
            <w:r w:rsidRPr="00A234FC">
              <w:rPr>
                <w:rFonts w:cs="Arial"/>
                <w:szCs w:val="18"/>
                <w:lang w:val="en-GB"/>
              </w:rPr>
              <w:t>2.33</w:t>
            </w:r>
          </w:p>
        </w:tc>
        <w:tc>
          <w:tcPr>
            <w:tcW w:w="1134" w:type="dxa"/>
            <w:noWrap/>
            <w:hideMark/>
          </w:tcPr>
          <w:p w14:paraId="7892F06E" w14:textId="77777777" w:rsidR="00A234FC" w:rsidRPr="00A234FC" w:rsidRDefault="00A234FC" w:rsidP="00BC6FFD">
            <w:pPr>
              <w:pStyle w:val="CETBodytext"/>
              <w:jc w:val="center"/>
              <w:rPr>
                <w:rFonts w:cs="Arial"/>
                <w:szCs w:val="18"/>
                <w:lang w:val="en-GB"/>
              </w:rPr>
            </w:pPr>
            <w:r w:rsidRPr="00A234FC">
              <w:rPr>
                <w:rFonts w:cs="Arial"/>
                <w:szCs w:val="18"/>
                <w:lang w:val="en-GB"/>
              </w:rPr>
              <w:t>0.12</w:t>
            </w:r>
          </w:p>
        </w:tc>
        <w:tc>
          <w:tcPr>
            <w:tcW w:w="1134" w:type="dxa"/>
            <w:noWrap/>
            <w:hideMark/>
          </w:tcPr>
          <w:p w14:paraId="381EA6EB" w14:textId="77777777" w:rsidR="00A234FC" w:rsidRPr="00A234FC" w:rsidRDefault="00A234FC" w:rsidP="00BC6FFD">
            <w:pPr>
              <w:pStyle w:val="CETBodytext"/>
              <w:jc w:val="center"/>
              <w:rPr>
                <w:rFonts w:cs="Arial"/>
                <w:szCs w:val="18"/>
                <w:lang w:val="en-GB"/>
              </w:rPr>
            </w:pPr>
            <w:r w:rsidRPr="00A234FC">
              <w:rPr>
                <w:rFonts w:cs="Arial"/>
                <w:szCs w:val="18"/>
                <w:lang w:val="en-GB"/>
              </w:rPr>
              <w:t>1.5</w:t>
            </w:r>
          </w:p>
        </w:tc>
        <w:tc>
          <w:tcPr>
            <w:tcW w:w="1134" w:type="dxa"/>
            <w:noWrap/>
            <w:hideMark/>
          </w:tcPr>
          <w:p w14:paraId="0AF66210" w14:textId="77777777" w:rsidR="00A234FC" w:rsidRPr="00A234FC" w:rsidRDefault="00A234FC" w:rsidP="00BC6FFD">
            <w:pPr>
              <w:pStyle w:val="CETBodytext"/>
              <w:jc w:val="right"/>
              <w:rPr>
                <w:rFonts w:cs="Arial"/>
                <w:szCs w:val="18"/>
                <w:lang w:val="en-GB"/>
              </w:rPr>
            </w:pPr>
            <w:r w:rsidRPr="00A234FC">
              <w:rPr>
                <w:rFonts w:cs="Arial"/>
                <w:szCs w:val="18"/>
                <w:lang w:val="en-GB"/>
              </w:rPr>
              <w:t>3.1E-03</w:t>
            </w:r>
          </w:p>
        </w:tc>
        <w:tc>
          <w:tcPr>
            <w:tcW w:w="1134" w:type="dxa"/>
            <w:noWrap/>
            <w:hideMark/>
          </w:tcPr>
          <w:p w14:paraId="291CA760" w14:textId="77777777" w:rsidR="00A234FC" w:rsidRPr="00A234FC" w:rsidRDefault="00A234FC" w:rsidP="00BC6FFD">
            <w:pPr>
              <w:pStyle w:val="CETBodytext"/>
              <w:jc w:val="right"/>
              <w:rPr>
                <w:rFonts w:cs="Arial"/>
                <w:szCs w:val="18"/>
                <w:lang w:val="en-GB"/>
              </w:rPr>
            </w:pPr>
            <w:r w:rsidRPr="00A234FC">
              <w:rPr>
                <w:rFonts w:cs="Arial"/>
                <w:szCs w:val="18"/>
                <w:lang w:val="en-GB"/>
              </w:rPr>
              <w:t>4.7E-07</w:t>
            </w:r>
          </w:p>
        </w:tc>
      </w:tr>
      <w:tr w:rsidR="00A234FC" w:rsidRPr="00A234FC" w14:paraId="2BBFD038" w14:textId="77777777" w:rsidTr="00BC6FFD">
        <w:trPr>
          <w:trHeight w:val="215"/>
          <w:jc w:val="center"/>
        </w:trPr>
        <w:tc>
          <w:tcPr>
            <w:tcW w:w="1234" w:type="dxa"/>
            <w:noWrap/>
            <w:hideMark/>
          </w:tcPr>
          <w:p w14:paraId="06352F5D" w14:textId="77777777" w:rsidR="00A234FC" w:rsidRPr="00A234FC" w:rsidRDefault="00A234FC" w:rsidP="00BC6FFD">
            <w:pPr>
              <w:pStyle w:val="CETBodytext"/>
              <w:jc w:val="left"/>
              <w:rPr>
                <w:rFonts w:cs="Arial"/>
                <w:szCs w:val="18"/>
                <w:lang w:val="en-GB"/>
              </w:rPr>
            </w:pPr>
            <w:r w:rsidRPr="00A234FC">
              <w:rPr>
                <w:rFonts w:cs="Arial"/>
                <w:szCs w:val="18"/>
                <w:lang w:val="en-GB"/>
              </w:rPr>
              <w:t>L102 - L202</w:t>
            </w:r>
          </w:p>
        </w:tc>
        <w:tc>
          <w:tcPr>
            <w:tcW w:w="1460" w:type="dxa"/>
            <w:noWrap/>
            <w:hideMark/>
          </w:tcPr>
          <w:p w14:paraId="4166BBCE" w14:textId="77777777" w:rsidR="00A234FC" w:rsidRPr="00A234FC" w:rsidRDefault="00A234FC" w:rsidP="00BC6FFD">
            <w:pPr>
              <w:pStyle w:val="CETBodytext"/>
              <w:jc w:val="center"/>
              <w:rPr>
                <w:rFonts w:cs="Arial"/>
                <w:szCs w:val="18"/>
                <w:lang w:val="en-GB"/>
              </w:rPr>
            </w:pPr>
            <w:r w:rsidRPr="00A234FC">
              <w:rPr>
                <w:rFonts w:cs="Arial"/>
                <w:szCs w:val="18"/>
                <w:lang w:val="en-GB"/>
              </w:rPr>
              <w:t>2.22</w:t>
            </w:r>
          </w:p>
        </w:tc>
        <w:tc>
          <w:tcPr>
            <w:tcW w:w="1417" w:type="dxa"/>
            <w:noWrap/>
            <w:hideMark/>
          </w:tcPr>
          <w:p w14:paraId="1D3FB072" w14:textId="77777777" w:rsidR="00A234FC" w:rsidRPr="00A234FC" w:rsidRDefault="00A234FC" w:rsidP="00BC6FFD">
            <w:pPr>
              <w:pStyle w:val="CETBodytext"/>
              <w:jc w:val="center"/>
              <w:rPr>
                <w:rFonts w:cs="Arial"/>
                <w:szCs w:val="18"/>
                <w:lang w:val="en-GB"/>
              </w:rPr>
            </w:pPr>
            <w:r w:rsidRPr="00A234FC">
              <w:rPr>
                <w:rFonts w:cs="Arial"/>
                <w:szCs w:val="18"/>
                <w:lang w:val="en-GB"/>
              </w:rPr>
              <w:t>2.33</w:t>
            </w:r>
          </w:p>
        </w:tc>
        <w:tc>
          <w:tcPr>
            <w:tcW w:w="1134" w:type="dxa"/>
            <w:noWrap/>
            <w:hideMark/>
          </w:tcPr>
          <w:p w14:paraId="2F60BA64" w14:textId="77777777" w:rsidR="00A234FC" w:rsidRPr="00A234FC" w:rsidRDefault="00A234FC" w:rsidP="00BC6FFD">
            <w:pPr>
              <w:pStyle w:val="CETBodytext"/>
              <w:jc w:val="center"/>
              <w:rPr>
                <w:rFonts w:cs="Arial"/>
                <w:szCs w:val="18"/>
                <w:lang w:val="en-GB"/>
              </w:rPr>
            </w:pPr>
            <w:r w:rsidRPr="00A234FC">
              <w:rPr>
                <w:rFonts w:cs="Arial"/>
                <w:szCs w:val="18"/>
                <w:lang w:val="en-GB"/>
              </w:rPr>
              <w:t>0.12</w:t>
            </w:r>
          </w:p>
        </w:tc>
        <w:tc>
          <w:tcPr>
            <w:tcW w:w="1134" w:type="dxa"/>
            <w:noWrap/>
            <w:hideMark/>
          </w:tcPr>
          <w:p w14:paraId="2CDB51EA" w14:textId="77777777" w:rsidR="00A234FC" w:rsidRPr="00A234FC" w:rsidRDefault="00A234FC" w:rsidP="00BC6FFD">
            <w:pPr>
              <w:pStyle w:val="CETBodytext"/>
              <w:jc w:val="center"/>
              <w:rPr>
                <w:rFonts w:cs="Arial"/>
                <w:szCs w:val="18"/>
                <w:lang w:val="en-GB"/>
              </w:rPr>
            </w:pPr>
            <w:r w:rsidRPr="00A234FC">
              <w:rPr>
                <w:rFonts w:cs="Arial"/>
                <w:szCs w:val="18"/>
                <w:lang w:val="en-GB"/>
              </w:rPr>
              <w:t>1.5</w:t>
            </w:r>
          </w:p>
        </w:tc>
        <w:tc>
          <w:tcPr>
            <w:tcW w:w="1134" w:type="dxa"/>
            <w:noWrap/>
            <w:hideMark/>
          </w:tcPr>
          <w:p w14:paraId="74E251B3" w14:textId="77777777" w:rsidR="00A234FC" w:rsidRPr="00A234FC" w:rsidRDefault="00A234FC" w:rsidP="00BC6FFD">
            <w:pPr>
              <w:pStyle w:val="CETBodytext"/>
              <w:jc w:val="right"/>
              <w:rPr>
                <w:rFonts w:cs="Arial"/>
                <w:szCs w:val="18"/>
                <w:lang w:val="en-GB"/>
              </w:rPr>
            </w:pPr>
            <w:r w:rsidRPr="00A234FC">
              <w:rPr>
                <w:rFonts w:cs="Arial"/>
                <w:szCs w:val="18"/>
                <w:lang w:val="en-GB"/>
              </w:rPr>
              <w:t>3.1E-03</w:t>
            </w:r>
          </w:p>
        </w:tc>
        <w:tc>
          <w:tcPr>
            <w:tcW w:w="1134" w:type="dxa"/>
            <w:noWrap/>
            <w:hideMark/>
          </w:tcPr>
          <w:p w14:paraId="29653C1C" w14:textId="77777777" w:rsidR="00A234FC" w:rsidRPr="00A234FC" w:rsidRDefault="00A234FC" w:rsidP="00BC6FFD">
            <w:pPr>
              <w:pStyle w:val="CETBodytext"/>
              <w:jc w:val="right"/>
              <w:rPr>
                <w:rFonts w:cs="Arial"/>
                <w:szCs w:val="18"/>
                <w:lang w:val="en-GB"/>
              </w:rPr>
            </w:pPr>
            <w:r w:rsidRPr="00A234FC">
              <w:rPr>
                <w:rFonts w:cs="Arial"/>
                <w:szCs w:val="18"/>
                <w:lang w:val="en-GB"/>
              </w:rPr>
              <w:t>4.7E-07</w:t>
            </w:r>
          </w:p>
        </w:tc>
      </w:tr>
      <w:tr w:rsidR="00A234FC" w:rsidRPr="00A234FC" w14:paraId="28A80E52" w14:textId="77777777" w:rsidTr="00BC6FFD">
        <w:trPr>
          <w:trHeight w:val="215"/>
          <w:jc w:val="center"/>
        </w:trPr>
        <w:tc>
          <w:tcPr>
            <w:tcW w:w="1234" w:type="dxa"/>
            <w:noWrap/>
            <w:hideMark/>
          </w:tcPr>
          <w:p w14:paraId="78A3CA35" w14:textId="77777777" w:rsidR="00A234FC" w:rsidRPr="00A234FC" w:rsidRDefault="00A234FC" w:rsidP="00BC6FFD">
            <w:pPr>
              <w:pStyle w:val="CETBodytext"/>
              <w:jc w:val="left"/>
              <w:rPr>
                <w:rFonts w:cs="Arial"/>
                <w:szCs w:val="18"/>
                <w:lang w:val="en-GB"/>
              </w:rPr>
            </w:pPr>
            <w:r w:rsidRPr="00A234FC">
              <w:rPr>
                <w:rFonts w:cs="Arial"/>
                <w:szCs w:val="18"/>
                <w:lang w:val="en-GB"/>
              </w:rPr>
              <w:t>L103 - L203</w:t>
            </w:r>
          </w:p>
        </w:tc>
        <w:tc>
          <w:tcPr>
            <w:tcW w:w="1460" w:type="dxa"/>
            <w:noWrap/>
            <w:hideMark/>
          </w:tcPr>
          <w:p w14:paraId="3E91599A" w14:textId="77777777" w:rsidR="00A234FC" w:rsidRPr="00A234FC" w:rsidRDefault="00A234FC" w:rsidP="00BC6FFD">
            <w:pPr>
              <w:pStyle w:val="CETBodytext"/>
              <w:jc w:val="center"/>
              <w:rPr>
                <w:rFonts w:cs="Arial"/>
                <w:szCs w:val="18"/>
                <w:lang w:val="en-GB"/>
              </w:rPr>
            </w:pPr>
            <w:r w:rsidRPr="00A234FC">
              <w:rPr>
                <w:rFonts w:cs="Arial"/>
                <w:szCs w:val="18"/>
                <w:lang w:val="en-GB"/>
              </w:rPr>
              <w:t>2.22</w:t>
            </w:r>
          </w:p>
        </w:tc>
        <w:tc>
          <w:tcPr>
            <w:tcW w:w="1417" w:type="dxa"/>
            <w:noWrap/>
            <w:hideMark/>
          </w:tcPr>
          <w:p w14:paraId="692736A5" w14:textId="77777777" w:rsidR="00A234FC" w:rsidRPr="00A234FC" w:rsidRDefault="00A234FC" w:rsidP="00BC6FFD">
            <w:pPr>
              <w:pStyle w:val="CETBodytext"/>
              <w:jc w:val="center"/>
              <w:rPr>
                <w:rFonts w:cs="Arial"/>
                <w:szCs w:val="18"/>
                <w:lang w:val="en-GB"/>
              </w:rPr>
            </w:pPr>
            <w:r w:rsidRPr="00A234FC">
              <w:rPr>
                <w:rFonts w:cs="Arial"/>
                <w:szCs w:val="18"/>
                <w:lang w:val="en-GB"/>
              </w:rPr>
              <w:t>2.33</w:t>
            </w:r>
          </w:p>
        </w:tc>
        <w:tc>
          <w:tcPr>
            <w:tcW w:w="1134" w:type="dxa"/>
            <w:noWrap/>
            <w:hideMark/>
          </w:tcPr>
          <w:p w14:paraId="20683FA5"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1E16724E">
                <v:shape id="_x0000_i1036" type="#_x0000_t75" style="width:9pt;height:9pt" o:ole="">
                  <v:imagedata r:id="rId26" o:title=""/>
                </v:shape>
                <o:OLEObject Type="Embed" ProgID="PBrush" ShapeID="_x0000_i1036" DrawAspect="Content" ObjectID="_1660382633" r:id="rId33"/>
              </w:object>
            </w:r>
            <w:r w:rsidRPr="00A234FC">
              <w:rPr>
                <w:rFonts w:cs="Arial"/>
                <w:szCs w:val="18"/>
                <w:lang w:val="en-GB"/>
              </w:rPr>
              <w:t>-0.38</w:t>
            </w:r>
          </w:p>
        </w:tc>
        <w:tc>
          <w:tcPr>
            <w:tcW w:w="1134" w:type="dxa"/>
            <w:noWrap/>
            <w:hideMark/>
          </w:tcPr>
          <w:p w14:paraId="5A5E5F67" w14:textId="77777777" w:rsidR="00A234FC" w:rsidRPr="00A234FC" w:rsidRDefault="00A234FC" w:rsidP="00BC6FFD">
            <w:pPr>
              <w:pStyle w:val="CETBodytext"/>
              <w:jc w:val="center"/>
              <w:rPr>
                <w:rFonts w:cs="Arial"/>
                <w:szCs w:val="18"/>
                <w:lang w:val="en-GB"/>
              </w:rPr>
            </w:pPr>
            <w:r w:rsidRPr="00A234FC">
              <w:rPr>
                <w:rFonts w:cs="Arial"/>
                <w:szCs w:val="18"/>
                <w:lang w:val="en-GB"/>
              </w:rPr>
              <w:t>2.7</w:t>
            </w:r>
          </w:p>
        </w:tc>
        <w:tc>
          <w:tcPr>
            <w:tcW w:w="1134" w:type="dxa"/>
            <w:noWrap/>
            <w:hideMark/>
          </w:tcPr>
          <w:p w14:paraId="717ED0AD" w14:textId="77777777" w:rsidR="00A234FC" w:rsidRPr="00A234FC" w:rsidRDefault="00A234FC" w:rsidP="00BC6FFD">
            <w:pPr>
              <w:pStyle w:val="CETBodytext"/>
              <w:jc w:val="right"/>
              <w:rPr>
                <w:rFonts w:cs="Arial"/>
                <w:szCs w:val="18"/>
                <w:lang w:val="en-GB"/>
              </w:rPr>
            </w:pPr>
            <w:r w:rsidRPr="00A234FC">
              <w:rPr>
                <w:rFonts w:cs="Arial"/>
                <w:szCs w:val="18"/>
                <w:lang w:val="en-GB"/>
              </w:rPr>
              <w:t>5.5E-03</w:t>
            </w:r>
          </w:p>
        </w:tc>
        <w:tc>
          <w:tcPr>
            <w:tcW w:w="1134" w:type="dxa"/>
            <w:noWrap/>
            <w:hideMark/>
          </w:tcPr>
          <w:p w14:paraId="29186A05" w14:textId="77777777" w:rsidR="00A234FC" w:rsidRPr="00A234FC" w:rsidRDefault="00A234FC" w:rsidP="00BC6FFD">
            <w:pPr>
              <w:pStyle w:val="CETBodytext"/>
              <w:jc w:val="right"/>
              <w:rPr>
                <w:rFonts w:cs="Arial"/>
                <w:szCs w:val="18"/>
                <w:lang w:val="en-GB"/>
              </w:rPr>
            </w:pPr>
            <w:r w:rsidRPr="00A234FC">
              <w:rPr>
                <w:rFonts w:cs="Arial"/>
                <w:szCs w:val="18"/>
                <w:lang w:val="en-GB"/>
              </w:rPr>
              <w:t>8.3E-07</w:t>
            </w:r>
          </w:p>
        </w:tc>
      </w:tr>
      <w:tr w:rsidR="00A234FC" w:rsidRPr="00A234FC" w14:paraId="5BEA2111" w14:textId="77777777" w:rsidTr="00BC6FFD">
        <w:trPr>
          <w:trHeight w:val="215"/>
          <w:jc w:val="center"/>
        </w:trPr>
        <w:tc>
          <w:tcPr>
            <w:tcW w:w="1234" w:type="dxa"/>
            <w:noWrap/>
            <w:hideMark/>
          </w:tcPr>
          <w:p w14:paraId="523A24B9" w14:textId="77777777" w:rsidR="00A234FC" w:rsidRPr="00A234FC" w:rsidRDefault="00A234FC" w:rsidP="00BC6FFD">
            <w:pPr>
              <w:pStyle w:val="CETBodytext"/>
              <w:jc w:val="left"/>
              <w:rPr>
                <w:rFonts w:cs="Arial"/>
                <w:szCs w:val="18"/>
                <w:lang w:val="en-GB"/>
              </w:rPr>
            </w:pPr>
            <w:r w:rsidRPr="00A234FC">
              <w:rPr>
                <w:rFonts w:cs="Arial"/>
                <w:szCs w:val="18"/>
                <w:lang w:val="en-GB"/>
              </w:rPr>
              <w:t>L104 - L204</w:t>
            </w:r>
          </w:p>
        </w:tc>
        <w:tc>
          <w:tcPr>
            <w:tcW w:w="1460" w:type="dxa"/>
            <w:noWrap/>
            <w:hideMark/>
          </w:tcPr>
          <w:p w14:paraId="1B9FAB3F" w14:textId="77777777" w:rsidR="00A234FC" w:rsidRPr="00A234FC" w:rsidRDefault="00A234FC" w:rsidP="00BC6FFD">
            <w:pPr>
              <w:pStyle w:val="CETBodytext"/>
              <w:jc w:val="center"/>
              <w:rPr>
                <w:rFonts w:cs="Arial"/>
                <w:szCs w:val="18"/>
                <w:lang w:val="en-GB"/>
              </w:rPr>
            </w:pPr>
            <w:r w:rsidRPr="00A234FC">
              <w:rPr>
                <w:rFonts w:cs="Arial"/>
                <w:szCs w:val="18"/>
                <w:lang w:val="en-GB"/>
              </w:rPr>
              <w:t>2.72</w:t>
            </w:r>
          </w:p>
        </w:tc>
        <w:tc>
          <w:tcPr>
            <w:tcW w:w="1417" w:type="dxa"/>
            <w:noWrap/>
            <w:hideMark/>
          </w:tcPr>
          <w:p w14:paraId="577941CA" w14:textId="77777777" w:rsidR="00A234FC" w:rsidRPr="00A234FC" w:rsidRDefault="00A234FC" w:rsidP="00BC6FFD">
            <w:pPr>
              <w:pStyle w:val="CETBodytext"/>
              <w:jc w:val="center"/>
              <w:rPr>
                <w:rFonts w:cs="Arial"/>
                <w:szCs w:val="18"/>
                <w:lang w:val="en-GB"/>
              </w:rPr>
            </w:pPr>
            <w:r w:rsidRPr="00A234FC">
              <w:rPr>
                <w:rFonts w:cs="Arial"/>
                <w:szCs w:val="18"/>
                <w:lang w:val="en-GB"/>
              </w:rPr>
              <w:t>2.33</w:t>
            </w:r>
          </w:p>
        </w:tc>
        <w:tc>
          <w:tcPr>
            <w:tcW w:w="1134" w:type="dxa"/>
            <w:noWrap/>
            <w:hideMark/>
          </w:tcPr>
          <w:p w14:paraId="61DDBB2C"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5E2BD6CD">
                <v:shape id="_x0000_i1037" type="#_x0000_t75" style="width:9pt;height:9pt" o:ole="">
                  <v:imagedata r:id="rId26" o:title=""/>
                </v:shape>
                <o:OLEObject Type="Embed" ProgID="PBrush" ShapeID="_x0000_i1037" DrawAspect="Content" ObjectID="_1660382634" r:id="rId34"/>
              </w:object>
            </w:r>
            <w:r w:rsidRPr="00A234FC">
              <w:rPr>
                <w:rFonts w:cs="Arial"/>
                <w:szCs w:val="18"/>
                <w:lang w:val="en-GB"/>
              </w:rPr>
              <w:t>-0.38</w:t>
            </w:r>
          </w:p>
        </w:tc>
        <w:tc>
          <w:tcPr>
            <w:tcW w:w="1134" w:type="dxa"/>
            <w:noWrap/>
            <w:hideMark/>
          </w:tcPr>
          <w:p w14:paraId="12626A31" w14:textId="77777777" w:rsidR="00A234FC" w:rsidRPr="00A234FC" w:rsidRDefault="00A234FC" w:rsidP="00BC6FFD">
            <w:pPr>
              <w:pStyle w:val="CETBodytext"/>
              <w:jc w:val="center"/>
              <w:rPr>
                <w:rFonts w:cs="Arial"/>
                <w:szCs w:val="18"/>
                <w:lang w:val="en-GB"/>
              </w:rPr>
            </w:pPr>
            <w:r w:rsidRPr="00A234FC">
              <w:rPr>
                <w:rFonts w:cs="Arial"/>
                <w:szCs w:val="18"/>
                <w:lang w:val="en-GB"/>
              </w:rPr>
              <w:t>2.7</w:t>
            </w:r>
          </w:p>
        </w:tc>
        <w:tc>
          <w:tcPr>
            <w:tcW w:w="1134" w:type="dxa"/>
            <w:noWrap/>
            <w:hideMark/>
          </w:tcPr>
          <w:p w14:paraId="6490A028" w14:textId="77777777" w:rsidR="00A234FC" w:rsidRPr="00A234FC" w:rsidRDefault="00A234FC" w:rsidP="00BC6FFD">
            <w:pPr>
              <w:pStyle w:val="CETBodytext"/>
              <w:jc w:val="right"/>
              <w:rPr>
                <w:rFonts w:cs="Arial"/>
                <w:szCs w:val="18"/>
                <w:lang w:val="en-GB"/>
              </w:rPr>
            </w:pPr>
            <w:r w:rsidRPr="00A234FC">
              <w:rPr>
                <w:rFonts w:cs="Arial"/>
                <w:szCs w:val="18"/>
                <w:lang w:val="en-GB"/>
              </w:rPr>
              <w:t>5.5E-03</w:t>
            </w:r>
          </w:p>
        </w:tc>
        <w:tc>
          <w:tcPr>
            <w:tcW w:w="1134" w:type="dxa"/>
            <w:noWrap/>
            <w:hideMark/>
          </w:tcPr>
          <w:p w14:paraId="1B5D0DE1" w14:textId="77777777" w:rsidR="00A234FC" w:rsidRPr="00A234FC" w:rsidRDefault="00A234FC" w:rsidP="00BC6FFD">
            <w:pPr>
              <w:pStyle w:val="CETBodytext"/>
              <w:jc w:val="right"/>
              <w:rPr>
                <w:rFonts w:cs="Arial"/>
                <w:szCs w:val="18"/>
                <w:lang w:val="en-GB"/>
              </w:rPr>
            </w:pPr>
            <w:r w:rsidRPr="00A234FC">
              <w:rPr>
                <w:rFonts w:cs="Arial"/>
                <w:szCs w:val="18"/>
                <w:lang w:val="en-GB"/>
              </w:rPr>
              <w:t>8.3E-07</w:t>
            </w:r>
          </w:p>
        </w:tc>
      </w:tr>
      <w:tr w:rsidR="00A234FC" w:rsidRPr="00A234FC" w14:paraId="0F078FB6" w14:textId="77777777" w:rsidTr="00BC6FFD">
        <w:trPr>
          <w:trHeight w:val="120"/>
          <w:jc w:val="center"/>
        </w:trPr>
        <w:tc>
          <w:tcPr>
            <w:tcW w:w="1234" w:type="dxa"/>
            <w:noWrap/>
            <w:hideMark/>
          </w:tcPr>
          <w:p w14:paraId="40036916" w14:textId="77777777" w:rsidR="00A234FC" w:rsidRPr="00A234FC" w:rsidRDefault="00A234FC" w:rsidP="00BC6FFD">
            <w:pPr>
              <w:pStyle w:val="CETBodytext"/>
              <w:jc w:val="left"/>
              <w:rPr>
                <w:rFonts w:cs="Arial"/>
                <w:szCs w:val="18"/>
                <w:lang w:val="en-GB"/>
              </w:rPr>
            </w:pPr>
            <w:r w:rsidRPr="00A234FC">
              <w:rPr>
                <w:rFonts w:cs="Arial"/>
                <w:szCs w:val="18"/>
                <w:lang w:val="en-GB"/>
              </w:rPr>
              <w:t>L106 - L206</w:t>
            </w:r>
          </w:p>
        </w:tc>
        <w:tc>
          <w:tcPr>
            <w:tcW w:w="1460" w:type="dxa"/>
            <w:noWrap/>
            <w:hideMark/>
          </w:tcPr>
          <w:p w14:paraId="5DE337A6" w14:textId="77777777" w:rsidR="00A234FC" w:rsidRPr="00A234FC" w:rsidRDefault="00A234FC" w:rsidP="00BC6FFD">
            <w:pPr>
              <w:pStyle w:val="CETBodytext"/>
              <w:jc w:val="center"/>
              <w:rPr>
                <w:rFonts w:cs="Arial"/>
                <w:szCs w:val="18"/>
                <w:lang w:val="en-GB"/>
              </w:rPr>
            </w:pPr>
            <w:bookmarkStart w:id="1" w:name="_GoBack"/>
            <w:bookmarkEnd w:id="1"/>
            <w:r w:rsidRPr="00A234FC">
              <w:rPr>
                <w:rFonts w:cs="Arial"/>
                <w:szCs w:val="18"/>
                <w:lang w:val="en-GB"/>
              </w:rPr>
              <w:t>3.05</w:t>
            </w:r>
          </w:p>
        </w:tc>
        <w:tc>
          <w:tcPr>
            <w:tcW w:w="1417" w:type="dxa"/>
            <w:noWrap/>
            <w:hideMark/>
          </w:tcPr>
          <w:p w14:paraId="70DAC028" w14:textId="77777777" w:rsidR="00A234FC" w:rsidRPr="00A234FC" w:rsidRDefault="00A234FC" w:rsidP="00BC6FFD">
            <w:pPr>
              <w:pStyle w:val="CETBodytext"/>
              <w:jc w:val="center"/>
              <w:rPr>
                <w:rFonts w:cs="Arial"/>
                <w:szCs w:val="18"/>
                <w:lang w:val="en-GB"/>
              </w:rPr>
            </w:pPr>
            <w:r w:rsidRPr="00A234FC">
              <w:rPr>
                <w:rFonts w:cs="Arial"/>
                <w:szCs w:val="18"/>
                <w:lang w:val="en-GB"/>
              </w:rPr>
              <w:t>2.33</w:t>
            </w:r>
          </w:p>
        </w:tc>
        <w:tc>
          <w:tcPr>
            <w:tcW w:w="1134" w:type="dxa"/>
            <w:noWrap/>
            <w:hideMark/>
          </w:tcPr>
          <w:p w14:paraId="130AAB1B" w14:textId="77777777" w:rsidR="00A234FC" w:rsidRPr="00A234FC" w:rsidRDefault="00A234FC" w:rsidP="00BC6FFD">
            <w:pPr>
              <w:pStyle w:val="CETBodytext"/>
              <w:jc w:val="center"/>
              <w:rPr>
                <w:rFonts w:cs="Arial"/>
                <w:szCs w:val="18"/>
                <w:lang w:val="en-GB"/>
              </w:rPr>
            </w:pPr>
            <w:r w:rsidRPr="00A234FC">
              <w:rPr>
                <w:rFonts w:cs="Arial"/>
                <w:szCs w:val="18"/>
                <w:lang w:val="en-GB"/>
              </w:rPr>
              <w:object w:dxaOrig="240" w:dyaOrig="240" w14:anchorId="52DC66B7">
                <v:shape id="_x0000_i1038" type="#_x0000_t75" style="width:9pt;height:9pt" o:ole="">
                  <v:imagedata r:id="rId26" o:title=""/>
                </v:shape>
                <o:OLEObject Type="Embed" ProgID="PBrush" ShapeID="_x0000_i1038" DrawAspect="Content" ObjectID="_1660382635" r:id="rId35"/>
              </w:object>
            </w:r>
            <w:r w:rsidRPr="00A234FC">
              <w:rPr>
                <w:rFonts w:cs="Arial"/>
                <w:szCs w:val="18"/>
                <w:lang w:val="en-GB"/>
              </w:rPr>
              <w:t>-0.72</w:t>
            </w:r>
          </w:p>
        </w:tc>
        <w:tc>
          <w:tcPr>
            <w:tcW w:w="1134" w:type="dxa"/>
            <w:noWrap/>
            <w:hideMark/>
          </w:tcPr>
          <w:p w14:paraId="1B52E5EE" w14:textId="77777777" w:rsidR="00A234FC" w:rsidRPr="00A234FC" w:rsidRDefault="00A234FC" w:rsidP="00BC6FFD">
            <w:pPr>
              <w:pStyle w:val="CETBodytext"/>
              <w:jc w:val="center"/>
              <w:rPr>
                <w:rFonts w:cs="Arial"/>
                <w:szCs w:val="18"/>
                <w:lang w:val="en-GB"/>
              </w:rPr>
            </w:pPr>
            <w:r w:rsidRPr="00A234FC">
              <w:rPr>
                <w:rFonts w:cs="Arial"/>
                <w:szCs w:val="18"/>
                <w:lang w:val="en-GB"/>
              </w:rPr>
              <w:t>4.0</w:t>
            </w:r>
          </w:p>
        </w:tc>
        <w:tc>
          <w:tcPr>
            <w:tcW w:w="1134" w:type="dxa"/>
            <w:noWrap/>
            <w:hideMark/>
          </w:tcPr>
          <w:p w14:paraId="564B9B00" w14:textId="77777777" w:rsidR="00A234FC" w:rsidRPr="00A234FC" w:rsidRDefault="00A234FC" w:rsidP="00BC6FFD">
            <w:pPr>
              <w:pStyle w:val="CETBodytext"/>
              <w:jc w:val="right"/>
              <w:rPr>
                <w:rFonts w:cs="Arial"/>
                <w:szCs w:val="18"/>
                <w:lang w:val="en-GB"/>
              </w:rPr>
            </w:pPr>
            <w:r w:rsidRPr="00A234FC">
              <w:rPr>
                <w:rFonts w:cs="Arial"/>
                <w:szCs w:val="18"/>
                <w:lang w:val="en-GB"/>
              </w:rPr>
              <w:t>8.1E-03</w:t>
            </w:r>
          </w:p>
        </w:tc>
        <w:tc>
          <w:tcPr>
            <w:tcW w:w="1134" w:type="dxa"/>
            <w:noWrap/>
            <w:hideMark/>
          </w:tcPr>
          <w:p w14:paraId="2D862A0A" w14:textId="77777777" w:rsidR="00A234FC" w:rsidRPr="00A234FC" w:rsidRDefault="00A234FC" w:rsidP="00BC6FFD">
            <w:pPr>
              <w:pStyle w:val="CETBodytext"/>
              <w:jc w:val="right"/>
              <w:rPr>
                <w:rFonts w:cs="Arial"/>
                <w:szCs w:val="18"/>
                <w:lang w:val="en-GB"/>
              </w:rPr>
            </w:pPr>
            <w:r w:rsidRPr="00A234FC">
              <w:rPr>
                <w:rFonts w:cs="Arial"/>
                <w:color w:val="FF0000"/>
                <w:szCs w:val="18"/>
                <w:lang w:val="en-GB"/>
              </w:rPr>
              <w:object w:dxaOrig="232" w:dyaOrig="232" w14:anchorId="6C5D5810">
                <v:shape id="_x0000_i1039" type="#_x0000_t75" style="width:9pt;height:9pt" o:ole="">
                  <v:imagedata r:id="rId28" o:title=""/>
                </v:shape>
                <o:OLEObject Type="Embed" ProgID="PBrush" ShapeID="_x0000_i1039" DrawAspect="Content" ObjectID="_1660382636" r:id="rId36"/>
              </w:object>
            </w:r>
            <w:r w:rsidRPr="00A234FC">
              <w:rPr>
                <w:rFonts w:cs="Arial"/>
                <w:szCs w:val="18"/>
                <w:lang w:val="en-GB"/>
              </w:rPr>
              <w:t>1.2E-06</w:t>
            </w:r>
          </w:p>
        </w:tc>
      </w:tr>
    </w:tbl>
    <w:p w14:paraId="16F1E69E" w14:textId="02A3E16B" w:rsidR="00DC29C3" w:rsidRPr="008B3D34" w:rsidRDefault="00DC29C3" w:rsidP="00B55179">
      <w:pPr>
        <w:pStyle w:val="CETHeading1"/>
        <w:rPr>
          <w:lang w:val="en-GB"/>
        </w:rPr>
      </w:pPr>
      <w:r w:rsidRPr="008B3D34">
        <w:rPr>
          <w:lang w:val="en-GB"/>
        </w:rPr>
        <w:lastRenderedPageBreak/>
        <w:t>Conclusions</w:t>
      </w:r>
    </w:p>
    <w:p w14:paraId="2F9D08A9" w14:textId="1ED01D3E" w:rsidR="00560E56" w:rsidRPr="008B3D34" w:rsidRDefault="00DC29C3" w:rsidP="00560E56">
      <w:pPr>
        <w:pStyle w:val="CETBodytext"/>
        <w:rPr>
          <w:lang w:val="en-GB"/>
        </w:rPr>
      </w:pPr>
      <w:r w:rsidRPr="008B3D34">
        <w:rPr>
          <w:lang w:val="en-GB"/>
        </w:rPr>
        <w:t xml:space="preserve">Aged plants in </w:t>
      </w:r>
      <w:r w:rsidR="002A4E87" w:rsidRPr="008B3D34">
        <w:rPr>
          <w:lang w:val="en-GB"/>
        </w:rPr>
        <w:t>major-hazard establishments</w:t>
      </w:r>
      <w:r w:rsidRPr="008B3D34">
        <w:rPr>
          <w:lang w:val="en-GB"/>
        </w:rPr>
        <w:t xml:space="preserve"> pose additional risk</w:t>
      </w:r>
      <w:r w:rsidR="007D7667" w:rsidRPr="008B3D34">
        <w:rPr>
          <w:lang w:val="en-GB"/>
        </w:rPr>
        <w:t>s</w:t>
      </w:r>
      <w:r w:rsidRPr="008B3D34">
        <w:rPr>
          <w:lang w:val="en-GB"/>
        </w:rPr>
        <w:t xml:space="preserve">, therefore, a few actions are required to control them. In the framework of Seveso legislation, </w:t>
      </w:r>
      <w:r w:rsidR="00FA65E3" w:rsidRPr="008B3D34">
        <w:rPr>
          <w:lang w:val="en-GB"/>
        </w:rPr>
        <w:t xml:space="preserve">the </w:t>
      </w:r>
      <w:r w:rsidR="00555A8F" w:rsidRPr="008B3D34">
        <w:rPr>
          <w:lang w:val="en-GB"/>
        </w:rPr>
        <w:t>AFB</w:t>
      </w:r>
      <w:r w:rsidR="00FA65E3" w:rsidRPr="008B3D34">
        <w:rPr>
          <w:lang w:val="en-GB"/>
        </w:rPr>
        <w:t xml:space="preserve"> method is used during inspections to </w:t>
      </w:r>
      <w:r w:rsidRPr="008B3D34">
        <w:rPr>
          <w:lang w:val="en-GB"/>
        </w:rPr>
        <w:t>verify</w:t>
      </w:r>
      <w:r w:rsidR="00FA65E3" w:rsidRPr="008B3D34">
        <w:rPr>
          <w:lang w:val="en-GB"/>
        </w:rPr>
        <w:t xml:space="preserve"> the adequateness of the equipment ageing plan implemented by operator</w:t>
      </w:r>
      <w:r w:rsidRPr="008B3D34">
        <w:rPr>
          <w:lang w:val="en-GB"/>
        </w:rPr>
        <w:t xml:space="preserve">. The periodical update of the SR for upper-tier Seveso establishments is </w:t>
      </w:r>
      <w:r w:rsidR="00FA65E3" w:rsidRPr="008B3D34">
        <w:rPr>
          <w:lang w:val="en-GB"/>
        </w:rPr>
        <w:t>a further</w:t>
      </w:r>
      <w:r w:rsidRPr="008B3D34">
        <w:rPr>
          <w:lang w:val="en-GB"/>
        </w:rPr>
        <w:t xml:space="preserve"> opportunity to face the ageing issue</w:t>
      </w:r>
      <w:r w:rsidR="00FA65E3" w:rsidRPr="008B3D34">
        <w:rPr>
          <w:lang w:val="en-GB"/>
        </w:rPr>
        <w:t xml:space="preserve">. </w:t>
      </w:r>
      <w:r w:rsidR="00BF4020" w:rsidRPr="008B3D34">
        <w:rPr>
          <w:lang w:val="en-GB"/>
        </w:rPr>
        <w:t>T</w:t>
      </w:r>
      <w:r w:rsidRPr="008B3D34">
        <w:rPr>
          <w:lang w:val="en-GB"/>
        </w:rPr>
        <w:t xml:space="preserve">he </w:t>
      </w:r>
      <w:r w:rsidR="00F222B3" w:rsidRPr="008B3D34">
        <w:rPr>
          <w:lang w:val="en-GB"/>
        </w:rPr>
        <w:t>results of the case study,</w:t>
      </w:r>
      <w:r w:rsidR="00BC3693" w:rsidRPr="008B3D34">
        <w:rPr>
          <w:lang w:val="en-GB"/>
        </w:rPr>
        <w:t xml:space="preserve"> discussed in </w:t>
      </w:r>
      <w:r w:rsidR="002A4E87" w:rsidRPr="008B3D34">
        <w:rPr>
          <w:lang w:val="en-GB"/>
        </w:rPr>
        <w:t xml:space="preserve">Section </w:t>
      </w:r>
      <w:r w:rsidR="00BC3693" w:rsidRPr="008B3D34">
        <w:rPr>
          <w:lang w:val="en-GB"/>
        </w:rPr>
        <w:t>4, have</w:t>
      </w:r>
      <w:r w:rsidR="00F222B3" w:rsidRPr="008B3D34">
        <w:rPr>
          <w:lang w:val="en-GB"/>
        </w:rPr>
        <w:t xml:space="preserve"> demonstrated the potential</w:t>
      </w:r>
      <w:r w:rsidR="00BF4020" w:rsidRPr="008B3D34">
        <w:rPr>
          <w:lang w:val="en-GB"/>
        </w:rPr>
        <w:t xml:space="preserve"> </w:t>
      </w:r>
      <w:r w:rsidR="00F222B3" w:rsidRPr="008B3D34">
        <w:rPr>
          <w:lang w:val="en-GB"/>
        </w:rPr>
        <w:t xml:space="preserve">of the </w:t>
      </w:r>
      <w:r w:rsidR="00555A8F" w:rsidRPr="008B3D34">
        <w:rPr>
          <w:lang w:val="en-GB"/>
        </w:rPr>
        <w:t>AFB</w:t>
      </w:r>
      <w:r w:rsidRPr="008B3D34">
        <w:rPr>
          <w:lang w:val="en-GB"/>
        </w:rPr>
        <w:t xml:space="preserve"> </w:t>
      </w:r>
      <w:r w:rsidR="00BF4020" w:rsidRPr="008B3D34">
        <w:rPr>
          <w:lang w:val="en-GB"/>
        </w:rPr>
        <w:t xml:space="preserve">method </w:t>
      </w:r>
      <w:r w:rsidR="00F222B3" w:rsidRPr="008B3D34">
        <w:rPr>
          <w:lang w:val="en-GB"/>
        </w:rPr>
        <w:t>to evaluate the contribution of ageing management to the likelihood of the top events and, consequently, to update the SR, as required by the Seveso Legislation</w:t>
      </w:r>
      <w:r w:rsidR="00B676E5" w:rsidRPr="008B3D34">
        <w:rPr>
          <w:lang w:val="en-GB"/>
        </w:rPr>
        <w:t>. The discussed case study show</w:t>
      </w:r>
      <w:r w:rsidR="002A4E87" w:rsidRPr="008B3D34">
        <w:rPr>
          <w:lang w:val="en-GB"/>
        </w:rPr>
        <w:t>ed</w:t>
      </w:r>
      <w:r w:rsidR="00B676E5" w:rsidRPr="008B3D34">
        <w:rPr>
          <w:lang w:val="en-GB"/>
        </w:rPr>
        <w:t xml:space="preserve"> how a poor ageing management </w:t>
      </w:r>
      <w:r w:rsidR="00B709E4" w:rsidRPr="008B3D34">
        <w:rPr>
          <w:lang w:val="en-GB"/>
        </w:rPr>
        <w:t xml:space="preserve">may </w:t>
      </w:r>
      <w:r w:rsidR="00B676E5" w:rsidRPr="008B3D34">
        <w:rPr>
          <w:lang w:val="en-GB"/>
        </w:rPr>
        <w:t>a</w:t>
      </w:r>
      <w:r w:rsidR="00B709E4" w:rsidRPr="008B3D34">
        <w:rPr>
          <w:lang w:val="en-GB"/>
        </w:rPr>
        <w:t>ffect</w:t>
      </w:r>
      <w:r w:rsidR="00B676E5" w:rsidRPr="008B3D34">
        <w:rPr>
          <w:lang w:val="en-GB"/>
        </w:rPr>
        <w:t xml:space="preserve"> negatively the likelihood of accident; but the use of the </w:t>
      </w:r>
      <w:r w:rsidR="00555A8F" w:rsidRPr="008B3D34">
        <w:rPr>
          <w:lang w:val="en-GB"/>
        </w:rPr>
        <w:t>AFB</w:t>
      </w:r>
      <w:r w:rsidR="00B676E5" w:rsidRPr="008B3D34">
        <w:rPr>
          <w:lang w:val="en-GB"/>
        </w:rPr>
        <w:t xml:space="preserve"> method is</w:t>
      </w:r>
      <w:r w:rsidR="00B709E4" w:rsidRPr="008B3D34">
        <w:rPr>
          <w:lang w:val="en-GB"/>
        </w:rPr>
        <w:t>, of course,</w:t>
      </w:r>
      <w:r w:rsidR="00B676E5" w:rsidRPr="008B3D34">
        <w:rPr>
          <w:lang w:val="en-GB"/>
        </w:rPr>
        <w:t xml:space="preserve"> adequate also to recogni</w:t>
      </w:r>
      <w:r w:rsidR="002A4E87" w:rsidRPr="008B3D34">
        <w:rPr>
          <w:lang w:val="en-GB"/>
        </w:rPr>
        <w:t>s</w:t>
      </w:r>
      <w:r w:rsidR="00B676E5" w:rsidRPr="008B3D34">
        <w:rPr>
          <w:lang w:val="en-GB"/>
        </w:rPr>
        <w:t>e the positive effects of an adequate managem</w:t>
      </w:r>
      <w:r w:rsidR="007F24BB" w:rsidRPr="008B3D34">
        <w:rPr>
          <w:lang w:val="en-GB"/>
        </w:rPr>
        <w:t>ent.</w:t>
      </w:r>
      <w:r w:rsidR="00B676E5" w:rsidRPr="008B3D34">
        <w:rPr>
          <w:lang w:val="en-GB"/>
        </w:rPr>
        <w:t xml:space="preserve"> </w:t>
      </w:r>
      <w:r w:rsidR="0056773E" w:rsidRPr="008B3D34">
        <w:rPr>
          <w:lang w:val="en-GB"/>
        </w:rPr>
        <w:t>Th</w:t>
      </w:r>
      <w:r w:rsidRPr="008B3D34">
        <w:rPr>
          <w:lang w:val="en-GB"/>
        </w:rPr>
        <w:t xml:space="preserve">e </w:t>
      </w:r>
      <w:r w:rsidR="002A4E87" w:rsidRPr="008B3D34">
        <w:rPr>
          <w:lang w:val="en-GB"/>
        </w:rPr>
        <w:t xml:space="preserve">best action </w:t>
      </w:r>
      <w:r w:rsidR="0056773E" w:rsidRPr="008B3D34">
        <w:rPr>
          <w:lang w:val="en-GB"/>
        </w:rPr>
        <w:t xml:space="preserve">to the increased likelihood of accident, due to equipment ageing, is the </w:t>
      </w:r>
      <w:r w:rsidR="009F135B" w:rsidRPr="008B3D34">
        <w:rPr>
          <w:lang w:val="en-GB"/>
        </w:rPr>
        <w:t xml:space="preserve">adoption of the best inspection techniques and </w:t>
      </w:r>
      <w:r w:rsidRPr="008B3D34">
        <w:rPr>
          <w:lang w:val="en-GB"/>
        </w:rPr>
        <w:t>implementation of RBI policies</w:t>
      </w:r>
      <w:r w:rsidR="0068400A" w:rsidRPr="008B3D34">
        <w:rPr>
          <w:lang w:val="en-GB"/>
        </w:rPr>
        <w:t>, harmoni</w:t>
      </w:r>
      <w:r w:rsidR="002A4E87" w:rsidRPr="008B3D34">
        <w:rPr>
          <w:lang w:val="en-GB"/>
        </w:rPr>
        <w:t>s</w:t>
      </w:r>
      <w:r w:rsidR="0068400A" w:rsidRPr="008B3D34">
        <w:rPr>
          <w:lang w:val="en-GB"/>
        </w:rPr>
        <w:t xml:space="preserve">ed with the </w:t>
      </w:r>
      <w:r w:rsidRPr="008B3D34">
        <w:rPr>
          <w:lang w:val="en-GB"/>
        </w:rPr>
        <w:t>SR</w:t>
      </w:r>
      <w:r w:rsidR="0068400A" w:rsidRPr="008B3D34">
        <w:rPr>
          <w:lang w:val="en-GB"/>
        </w:rPr>
        <w:t>,</w:t>
      </w:r>
      <w:r w:rsidRPr="008B3D34">
        <w:rPr>
          <w:lang w:val="en-GB"/>
        </w:rPr>
        <w:t xml:space="preserve"> </w:t>
      </w:r>
      <w:r w:rsidR="0068400A" w:rsidRPr="008B3D34">
        <w:rPr>
          <w:lang w:val="en-GB"/>
        </w:rPr>
        <w:t xml:space="preserve">as detailed </w:t>
      </w:r>
      <w:r w:rsidR="0056773E" w:rsidRPr="008B3D34">
        <w:rPr>
          <w:lang w:val="en-GB"/>
        </w:rPr>
        <w:t xml:space="preserve">in </w:t>
      </w:r>
      <w:r w:rsidR="002A4E87" w:rsidRPr="008B3D34">
        <w:rPr>
          <w:lang w:val="en-GB"/>
        </w:rPr>
        <w:t xml:space="preserve">Section </w:t>
      </w:r>
      <w:r w:rsidR="0056773E" w:rsidRPr="008B3D34">
        <w:rPr>
          <w:lang w:val="en-GB"/>
        </w:rPr>
        <w:t>3.4.</w:t>
      </w:r>
    </w:p>
    <w:p w14:paraId="5DF1D59F" w14:textId="77777777" w:rsidR="009253A2" w:rsidRPr="008B3D34" w:rsidRDefault="009253A2" w:rsidP="009253A2">
      <w:pPr>
        <w:pStyle w:val="CETAcknowledgementstitle"/>
      </w:pPr>
      <w:r w:rsidRPr="008B3D34">
        <w:t>Acknowledgments</w:t>
      </w:r>
    </w:p>
    <w:p w14:paraId="219D3052" w14:textId="44FB8BDB" w:rsidR="009253A2" w:rsidRPr="008B3D34" w:rsidRDefault="009253A2" w:rsidP="009253A2">
      <w:pPr>
        <w:pStyle w:val="CETBodytext"/>
        <w:rPr>
          <w:lang w:val="en-GB"/>
        </w:rPr>
      </w:pPr>
      <w:r w:rsidRPr="008B3D34">
        <w:rPr>
          <w:lang w:val="en-GB"/>
        </w:rPr>
        <w:t>Res</w:t>
      </w:r>
      <w:r w:rsidR="005A6983" w:rsidRPr="008B3D34">
        <w:rPr>
          <w:lang w:val="en-GB"/>
        </w:rPr>
        <w:t>earch partially funded by INAIL</w:t>
      </w:r>
      <w:r w:rsidRPr="008B3D34">
        <w:rPr>
          <w:lang w:val="en-GB"/>
        </w:rPr>
        <w:t xml:space="preserve"> BRIC 2018/ID=11</w:t>
      </w:r>
      <w:r w:rsidR="005A6983" w:rsidRPr="008B3D34">
        <w:rPr>
          <w:lang w:val="en-GB"/>
        </w:rPr>
        <w:t xml:space="preserve"> MAC4PRO project</w:t>
      </w:r>
      <w:r w:rsidR="00895100" w:rsidRPr="008B3D34">
        <w:rPr>
          <w:lang w:val="en-GB"/>
        </w:rPr>
        <w:t>.</w:t>
      </w:r>
    </w:p>
    <w:p w14:paraId="7D63371F" w14:textId="77777777" w:rsidR="00600535" w:rsidRPr="008B3D34" w:rsidRDefault="00600535" w:rsidP="00860459">
      <w:pPr>
        <w:pStyle w:val="CETReference"/>
        <w:rPr>
          <w:lang w:val="en-US"/>
        </w:rPr>
      </w:pPr>
      <w:r w:rsidRPr="008B3D34">
        <w:rPr>
          <w:lang w:val="en-US"/>
        </w:rPr>
        <w:t>References</w:t>
      </w:r>
    </w:p>
    <w:p w14:paraId="33824227" w14:textId="763BF883" w:rsidR="003C741F" w:rsidRPr="008B3D34" w:rsidRDefault="003C741F" w:rsidP="00A234FC">
      <w:pPr>
        <w:pStyle w:val="CETReferencetext"/>
        <w:rPr>
          <w:lang w:val="en-US"/>
        </w:rPr>
      </w:pPr>
      <w:r w:rsidRPr="008B3D34">
        <w:rPr>
          <w:lang w:val="en-US"/>
        </w:rPr>
        <w:t>Ancione, G., Bragatto, P., Milazzo, M.F.</w:t>
      </w:r>
      <w:r w:rsidR="00DD5333" w:rsidRPr="008B3D34">
        <w:rPr>
          <w:lang w:val="en-US"/>
        </w:rPr>
        <w:t>,</w:t>
      </w:r>
      <w:r w:rsidRPr="008B3D34">
        <w:rPr>
          <w:lang w:val="en-US"/>
        </w:rPr>
        <w:t xml:space="preserve"> 2020</w:t>
      </w:r>
      <w:r w:rsidR="00DD5333" w:rsidRPr="008B3D34">
        <w:rPr>
          <w:lang w:val="en-US"/>
        </w:rPr>
        <w:t>,</w:t>
      </w:r>
      <w:r w:rsidRPr="008B3D34">
        <w:rPr>
          <w:lang w:val="en-US"/>
        </w:rPr>
        <w:t xml:space="preserve"> A Bayesian network-based approach for the assessment and management of ageing in major hazard establishments</w:t>
      </w:r>
      <w:r w:rsidR="00DD5333" w:rsidRPr="008B3D34">
        <w:rPr>
          <w:lang w:val="en-US"/>
        </w:rPr>
        <w:t xml:space="preserve">, </w:t>
      </w:r>
      <w:r w:rsidRPr="008B3D34">
        <w:rPr>
          <w:lang w:val="en-US"/>
        </w:rPr>
        <w:t>Journal of Loss Prevention</w:t>
      </w:r>
      <w:r w:rsidR="003207D5" w:rsidRPr="008B3D34">
        <w:rPr>
          <w:lang w:val="en-US"/>
        </w:rPr>
        <w:t xml:space="preserve"> </w:t>
      </w:r>
      <w:r w:rsidR="00566756" w:rsidRPr="008B3D34">
        <w:rPr>
          <w:lang w:val="en-US"/>
        </w:rPr>
        <w:t>in the process industries</w:t>
      </w:r>
      <w:r w:rsidRPr="008B3D34">
        <w:rPr>
          <w:lang w:val="en-US"/>
        </w:rPr>
        <w:t>,</w:t>
      </w:r>
      <w:r w:rsidR="00DD5333" w:rsidRPr="008B3D34">
        <w:rPr>
          <w:lang w:val="en-US"/>
        </w:rPr>
        <w:t xml:space="preserve"> </w:t>
      </w:r>
      <w:r w:rsidRPr="008B3D34">
        <w:rPr>
          <w:lang w:val="en-US"/>
        </w:rPr>
        <w:t>64, 104080.</w:t>
      </w:r>
    </w:p>
    <w:p w14:paraId="0E08A29D" w14:textId="50D26BE6" w:rsidR="00AF7FCA" w:rsidRPr="008B3D34" w:rsidRDefault="00AF7FCA" w:rsidP="00A234FC">
      <w:pPr>
        <w:pStyle w:val="CETReferencetext"/>
        <w:rPr>
          <w:szCs w:val="18"/>
        </w:rPr>
      </w:pPr>
      <w:r w:rsidRPr="008B3D34">
        <w:rPr>
          <w:szCs w:val="18"/>
        </w:rPr>
        <w:t>API</w:t>
      </w:r>
      <w:r w:rsidR="00556640" w:rsidRPr="008B3D34">
        <w:rPr>
          <w:szCs w:val="18"/>
        </w:rPr>
        <w:t>,</w:t>
      </w:r>
      <w:r w:rsidRPr="008B3D34">
        <w:rPr>
          <w:szCs w:val="18"/>
        </w:rPr>
        <w:t xml:space="preserve"> 2011</w:t>
      </w:r>
      <w:r w:rsidR="00556640" w:rsidRPr="008B3D34">
        <w:rPr>
          <w:szCs w:val="18"/>
        </w:rPr>
        <w:t>,</w:t>
      </w:r>
      <w:r w:rsidRPr="008B3D34">
        <w:rPr>
          <w:szCs w:val="18"/>
        </w:rPr>
        <w:t xml:space="preserve"> Damage mechanisms affecting fixed equipment in the refining industry. RP 571 Washington DC,</w:t>
      </w:r>
      <w:r w:rsidR="00556640" w:rsidRPr="008B3D34">
        <w:rPr>
          <w:szCs w:val="18"/>
        </w:rPr>
        <w:t xml:space="preserve"> </w:t>
      </w:r>
      <w:r w:rsidRPr="008B3D34">
        <w:rPr>
          <w:szCs w:val="18"/>
        </w:rPr>
        <w:t>US.</w:t>
      </w:r>
    </w:p>
    <w:p w14:paraId="3A41EBFE" w14:textId="71E8D640" w:rsidR="00556640" w:rsidRPr="008B3D34" w:rsidRDefault="00556640" w:rsidP="00A234FC">
      <w:pPr>
        <w:pStyle w:val="CETReferencetext"/>
      </w:pPr>
      <w:r w:rsidRPr="008B3D34">
        <w:t>API 2016a, Risk-based Inspection. API RP 580 3</w:t>
      </w:r>
      <w:r w:rsidRPr="008B3D34">
        <w:rPr>
          <w:vertAlign w:val="superscript"/>
        </w:rPr>
        <w:t>rd</w:t>
      </w:r>
      <w:r w:rsidRPr="008B3D34">
        <w:t xml:space="preserve"> ed. Washington DC, US.</w:t>
      </w:r>
    </w:p>
    <w:p w14:paraId="76D4A639" w14:textId="4801C923" w:rsidR="00556640" w:rsidRPr="008B3D34" w:rsidRDefault="00556640" w:rsidP="00A234FC">
      <w:pPr>
        <w:pStyle w:val="CETReferencetext"/>
        <w:rPr>
          <w:rFonts w:eastAsia="Calibri"/>
          <w:spacing w:val="-2"/>
        </w:rPr>
      </w:pPr>
      <w:r w:rsidRPr="008B3D34">
        <w:rPr>
          <w:rFonts w:eastAsia="Calibri"/>
          <w:spacing w:val="-2"/>
          <w:lang w:val="en-US"/>
        </w:rPr>
        <w:t>API, 2016b, Risk-Based Inspection Methodology. API RP 581 3</w:t>
      </w:r>
      <w:r w:rsidRPr="008B3D34">
        <w:rPr>
          <w:rFonts w:eastAsia="Calibri"/>
          <w:spacing w:val="-2"/>
          <w:vertAlign w:val="superscript"/>
          <w:lang w:val="en-US"/>
        </w:rPr>
        <w:t>rd</w:t>
      </w:r>
      <w:r w:rsidRPr="008B3D34">
        <w:rPr>
          <w:rFonts w:eastAsia="Calibri"/>
          <w:spacing w:val="-2"/>
          <w:lang w:val="en-US"/>
        </w:rPr>
        <w:t xml:space="preserve"> ed.,</w:t>
      </w:r>
      <w:r w:rsidRPr="008B3D34">
        <w:t xml:space="preserve"> Washington DC, US.</w:t>
      </w:r>
    </w:p>
    <w:p w14:paraId="74065DB4" w14:textId="77777777" w:rsidR="00F41BED" w:rsidRPr="008B3D34" w:rsidRDefault="00F41BED" w:rsidP="00A234FC">
      <w:pPr>
        <w:pStyle w:val="CETReferencetext"/>
      </w:pPr>
      <w:r w:rsidRPr="008B3D34">
        <w:t>Bragatto P., Milazzo M.F. 2016, Risk due to the ageing of equipment: Assessment and management, Chemical Engineering Transactions, 53, 253-258.</w:t>
      </w:r>
    </w:p>
    <w:p w14:paraId="335B1F51" w14:textId="77777777" w:rsidR="00F41BED" w:rsidRPr="008B3D34" w:rsidRDefault="00F41BED" w:rsidP="00A234FC">
      <w:pPr>
        <w:pStyle w:val="CETReferencetext"/>
      </w:pPr>
      <w:r w:rsidRPr="008B3D34">
        <w:rPr>
          <w:lang w:val="en-US"/>
        </w:rPr>
        <w:t xml:space="preserve">Bragatto P., Ansaldi S. M., Mennuti C., 2018, </w:t>
      </w:r>
      <w:r w:rsidRPr="008B3D34">
        <w:t>Improving safety of process plants, through smart systems for critical equipment monitoring, Chemical Engineering Transactions, 67, 49-54.</w:t>
      </w:r>
    </w:p>
    <w:p w14:paraId="3B33D7C7" w14:textId="22310516" w:rsidR="007519B4" w:rsidRPr="008B3D34" w:rsidRDefault="007519B4" w:rsidP="00A234FC">
      <w:pPr>
        <w:pStyle w:val="CETReferencetext"/>
      </w:pPr>
      <w:r w:rsidRPr="008B3D34">
        <w:rPr>
          <w:lang w:val="en-US"/>
        </w:rPr>
        <w:t xml:space="preserve">Bragatto, P., Delle Site, C., &amp; </w:t>
      </w:r>
      <w:proofErr w:type="spellStart"/>
      <w:r w:rsidRPr="008B3D34">
        <w:rPr>
          <w:lang w:val="en-US"/>
        </w:rPr>
        <w:t>Faragnoli</w:t>
      </w:r>
      <w:proofErr w:type="spellEnd"/>
      <w:r w:rsidRPr="008B3D34">
        <w:rPr>
          <w:lang w:val="en-US"/>
        </w:rPr>
        <w:t>, A.</w:t>
      </w:r>
      <w:r w:rsidR="00F41BED" w:rsidRPr="008B3D34">
        <w:rPr>
          <w:lang w:val="en-US"/>
        </w:rPr>
        <w:t>,</w:t>
      </w:r>
      <w:r w:rsidRPr="008B3D34">
        <w:rPr>
          <w:lang w:val="en-US"/>
        </w:rPr>
        <w:t xml:space="preserve"> 2012</w:t>
      </w:r>
      <w:r w:rsidR="00F41BED" w:rsidRPr="008B3D34">
        <w:rPr>
          <w:lang w:val="en-US"/>
        </w:rPr>
        <w:t>,</w:t>
      </w:r>
      <w:r w:rsidRPr="008B3D34">
        <w:rPr>
          <w:lang w:val="en-US"/>
        </w:rPr>
        <w:t xml:space="preserve"> </w:t>
      </w:r>
      <w:r w:rsidRPr="008B3D34">
        <w:t>Opportunities and threats of risk based inspections: The new Italian legislation on pressure equipment inspection</w:t>
      </w:r>
      <w:r w:rsidR="00F41BED" w:rsidRPr="008B3D34">
        <w:t xml:space="preserve">, </w:t>
      </w:r>
      <w:r w:rsidR="002B776A" w:rsidRPr="008B3D34">
        <w:t>Chemic</w:t>
      </w:r>
      <w:r w:rsidR="00D514C0" w:rsidRPr="008B3D34">
        <w:t>al Engineering Transactions,</w:t>
      </w:r>
      <w:r w:rsidR="00F41BED" w:rsidRPr="008B3D34">
        <w:t xml:space="preserve"> </w:t>
      </w:r>
      <w:r w:rsidR="00D514C0" w:rsidRPr="008B3D34">
        <w:t>26, 177-182.</w:t>
      </w:r>
    </w:p>
    <w:p w14:paraId="540AA5B6" w14:textId="182C4CC5" w:rsidR="00AF7FCA" w:rsidRPr="008B3D34" w:rsidRDefault="00AF7FCA" w:rsidP="00A234FC">
      <w:pPr>
        <w:pStyle w:val="CETReferencetext"/>
        <w:rPr>
          <w:rStyle w:val="txt"/>
          <w:rFonts w:cs="Arial"/>
          <w:color w:val="000000"/>
          <w:szCs w:val="18"/>
          <w:shd w:val="clear" w:color="auto" w:fill="FFFFFF"/>
        </w:rPr>
      </w:pPr>
      <w:r w:rsidRPr="008B3D34">
        <w:rPr>
          <w:rStyle w:val="txt"/>
          <w:rFonts w:cs="Arial"/>
          <w:color w:val="000000"/>
          <w:szCs w:val="18"/>
          <w:shd w:val="clear" w:color="auto" w:fill="FFFFFF"/>
        </w:rPr>
        <w:t>CEN</w:t>
      </w:r>
      <w:r w:rsidR="00556640"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2018</w:t>
      </w:r>
      <w:r w:rsidR="00556640"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w:t>
      </w:r>
      <w:r w:rsidRPr="008B3D34">
        <w:t>Risk based inspection framework (RBIF)</w:t>
      </w:r>
      <w:r w:rsidR="00556640" w:rsidRPr="008B3D34">
        <w:t>.</w:t>
      </w:r>
      <w:r w:rsidRPr="008B3D34">
        <w:rPr>
          <w:rStyle w:val="txt"/>
          <w:rFonts w:cs="Arial"/>
          <w:color w:val="000000"/>
          <w:szCs w:val="18"/>
          <w:shd w:val="clear" w:color="auto" w:fill="FFFFFF"/>
        </w:rPr>
        <w:t xml:space="preserve"> EN 16991 1</w:t>
      </w:r>
      <w:r w:rsidRPr="008B3D34">
        <w:rPr>
          <w:rStyle w:val="txt"/>
          <w:rFonts w:cs="Arial"/>
          <w:color w:val="000000"/>
          <w:szCs w:val="18"/>
          <w:shd w:val="clear" w:color="auto" w:fill="FFFFFF"/>
          <w:vertAlign w:val="superscript"/>
        </w:rPr>
        <w:t>st</w:t>
      </w:r>
      <w:r w:rsidRPr="008B3D34">
        <w:rPr>
          <w:rStyle w:val="txt"/>
          <w:rFonts w:cs="Arial"/>
          <w:color w:val="000000"/>
          <w:szCs w:val="18"/>
          <w:shd w:val="clear" w:color="auto" w:fill="FFFFFF"/>
        </w:rPr>
        <w:t xml:space="preserve"> ed. Brussels, B</w:t>
      </w:r>
    </w:p>
    <w:p w14:paraId="3EEC9617" w14:textId="24CC89FC" w:rsidR="00AF7FCA" w:rsidRPr="008B3D34" w:rsidRDefault="00AF7FCA" w:rsidP="00A234FC">
      <w:pPr>
        <w:pStyle w:val="CETReferencetext"/>
        <w:rPr>
          <w:rStyle w:val="txt"/>
          <w:rFonts w:cs="Arial"/>
          <w:color w:val="000000"/>
          <w:szCs w:val="18"/>
          <w:shd w:val="clear" w:color="auto" w:fill="FFFFFF"/>
          <w:lang w:val="en-US"/>
        </w:rPr>
      </w:pPr>
      <w:r w:rsidRPr="008B3D34">
        <w:rPr>
          <w:rStyle w:val="txt"/>
          <w:rFonts w:cs="Arial"/>
          <w:color w:val="000000"/>
          <w:szCs w:val="18"/>
          <w:shd w:val="clear" w:color="auto" w:fill="FFFFFF"/>
        </w:rPr>
        <w:t>EEMUA</w:t>
      </w:r>
      <w:r w:rsidR="00556640"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(2018</w:t>
      </w:r>
      <w:r w:rsidR="00556640"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Above ground flat bottomed storag</w:t>
      </w:r>
      <w:r w:rsidR="00A027EA" w:rsidRPr="008B3D34">
        <w:rPr>
          <w:rStyle w:val="txt"/>
          <w:rFonts w:cs="Arial"/>
          <w:color w:val="000000"/>
          <w:szCs w:val="18"/>
          <w:shd w:val="clear" w:color="auto" w:fill="FFFFFF"/>
        </w:rPr>
        <w:t xml:space="preserve">e tanks. </w:t>
      </w:r>
      <w:r w:rsidR="00556640" w:rsidRPr="008B3D34">
        <w:rPr>
          <w:rStyle w:val="txt"/>
          <w:rFonts w:cs="Arial"/>
          <w:color w:val="000000"/>
          <w:szCs w:val="18"/>
          <w:shd w:val="clear" w:color="auto" w:fill="FFFFFF"/>
        </w:rPr>
        <w:t xml:space="preserve">Guideline </w:t>
      </w:r>
      <w:r w:rsidRPr="008B3D34">
        <w:rPr>
          <w:rStyle w:val="txt"/>
          <w:rFonts w:cs="Arial"/>
          <w:color w:val="000000"/>
          <w:szCs w:val="18"/>
          <w:shd w:val="clear" w:color="auto" w:fill="FFFFFF"/>
        </w:rPr>
        <w:t>159 5</w:t>
      </w:r>
      <w:r w:rsidRPr="008B3D34">
        <w:rPr>
          <w:rStyle w:val="txt"/>
          <w:rFonts w:cs="Arial"/>
          <w:color w:val="000000"/>
          <w:szCs w:val="18"/>
          <w:shd w:val="clear" w:color="auto" w:fill="FFFFFF"/>
          <w:vertAlign w:val="superscript"/>
        </w:rPr>
        <w:t>th</w:t>
      </w:r>
      <w:r w:rsidRPr="008B3D34">
        <w:rPr>
          <w:rStyle w:val="txt"/>
          <w:rFonts w:cs="Arial"/>
          <w:color w:val="000000"/>
          <w:szCs w:val="18"/>
          <w:shd w:val="clear" w:color="auto" w:fill="FFFFFF"/>
        </w:rPr>
        <w:t xml:space="preserve"> ed. </w:t>
      </w:r>
      <w:r w:rsidRPr="008B3D34">
        <w:rPr>
          <w:rStyle w:val="txt"/>
          <w:rFonts w:cs="Arial"/>
          <w:color w:val="000000"/>
          <w:szCs w:val="18"/>
          <w:shd w:val="clear" w:color="auto" w:fill="FFFFFF"/>
          <w:lang w:val="en-US"/>
        </w:rPr>
        <w:t>London UK.</w:t>
      </w:r>
    </w:p>
    <w:p w14:paraId="02E6B746" w14:textId="6E11AAA7" w:rsidR="00F41BED" w:rsidRPr="008B3D34" w:rsidRDefault="00F41BED" w:rsidP="00A234FC">
      <w:pPr>
        <w:pStyle w:val="CETReferencetext"/>
      </w:pPr>
      <w:proofErr w:type="spellStart"/>
      <w:r w:rsidRPr="008B3D34">
        <w:rPr>
          <w:lang w:val="en-US"/>
        </w:rPr>
        <w:t>Gnoni</w:t>
      </w:r>
      <w:proofErr w:type="spellEnd"/>
      <w:r w:rsidRPr="008B3D34">
        <w:rPr>
          <w:lang w:val="en-US"/>
        </w:rPr>
        <w:t xml:space="preserve"> M.G., Elia V., Bragatto P.A., 2016, </w:t>
      </w:r>
      <w:r w:rsidRPr="008B3D34">
        <w:t>An IOT-Based System to Prevent Injuries in Assembly Line Production Systems,</w:t>
      </w:r>
      <w:r w:rsidR="00566756" w:rsidRPr="008B3D34">
        <w:t xml:space="preserve"> IEEE International</w:t>
      </w:r>
      <w:r w:rsidRPr="008B3D34">
        <w:t xml:space="preserve"> Conference on Industrial Engineering </w:t>
      </w:r>
      <w:r w:rsidR="00566756" w:rsidRPr="008B3D34">
        <w:t>&amp;</w:t>
      </w:r>
      <w:r w:rsidRPr="008B3D34">
        <w:t xml:space="preserve"> Engineering Management, 1889-1892.</w:t>
      </w:r>
    </w:p>
    <w:p w14:paraId="5499468F" w14:textId="77777777" w:rsidR="00F41BED" w:rsidRPr="008B3D34" w:rsidRDefault="00F41BED" w:rsidP="00A234FC">
      <w:pPr>
        <w:pStyle w:val="CETReferencetext"/>
      </w:pPr>
      <w:r w:rsidRPr="008B3D34">
        <w:t xml:space="preserve">Milazzo M.F., Ancione G., </w:t>
      </w:r>
      <w:proofErr w:type="spellStart"/>
      <w:r w:rsidRPr="008B3D34">
        <w:t>Scionti</w:t>
      </w:r>
      <w:proofErr w:type="spellEnd"/>
      <w:r w:rsidRPr="008B3D34">
        <w:t xml:space="preserve">, G. Bragatto P.A., 2018, Assessment and management of ageing of critical equipment at </w:t>
      </w:r>
      <w:proofErr w:type="spellStart"/>
      <w:r w:rsidRPr="008B3D34">
        <w:t>seveso</w:t>
      </w:r>
      <w:proofErr w:type="spellEnd"/>
      <w:r w:rsidRPr="008B3D34">
        <w:t xml:space="preserve"> sites, Safety and Reliability - Safe Societies in a Changing World - Proceedings of the 28th International European Safety and Reliability Conference, ESREL 2018, 1629-1636.</w:t>
      </w:r>
    </w:p>
    <w:p w14:paraId="1734C0CE" w14:textId="77777777" w:rsidR="00F41BED" w:rsidRPr="008B3D34" w:rsidRDefault="00F41BED" w:rsidP="00A234FC">
      <w:pPr>
        <w:pStyle w:val="CETReferencetext"/>
      </w:pPr>
      <w:r w:rsidRPr="008B3D34">
        <w:t xml:space="preserve">Milazzo M.F., Maschio G., </w:t>
      </w:r>
      <w:proofErr w:type="spellStart"/>
      <w:r w:rsidRPr="008B3D34">
        <w:t>Uguccioni</w:t>
      </w:r>
      <w:proofErr w:type="spellEnd"/>
      <w:r w:rsidRPr="008B3D34">
        <w:t xml:space="preserve"> G., 2010, The Influence of Risk Prevention Measures on the Frequency of Failure of Piping, International Journal of Performability Engineering, 6(1), 19-33.</w:t>
      </w:r>
    </w:p>
    <w:p w14:paraId="5DD5650B" w14:textId="2B80B4D2" w:rsidR="00F41BED" w:rsidRPr="008B3D34" w:rsidRDefault="00F41BED" w:rsidP="00A234FC">
      <w:pPr>
        <w:pStyle w:val="CETReferencetext"/>
      </w:pPr>
      <w:r w:rsidRPr="008B3D34">
        <w:t>Milazzo M.F., Bragatto P., 2019, A framework addressing a safe ageing management in complex industrial sites: The Italian experience in «Seveso» establishments, Journal of Loss Prevention</w:t>
      </w:r>
      <w:r w:rsidR="00566756" w:rsidRPr="008B3D34">
        <w:t xml:space="preserve"> in the process industries</w:t>
      </w:r>
      <w:r w:rsidRPr="008B3D34">
        <w:t>, 58, 70-81.</w:t>
      </w:r>
    </w:p>
    <w:p w14:paraId="7D6DB9C7" w14:textId="45B21FF8" w:rsidR="00AF7FCA" w:rsidRPr="008B3D34" w:rsidRDefault="00AF7FCA" w:rsidP="00A234FC">
      <w:pPr>
        <w:pStyle w:val="CETReferencetext"/>
        <w:rPr>
          <w:rStyle w:val="txt"/>
          <w:rFonts w:cs="Arial"/>
          <w:color w:val="000000"/>
          <w:szCs w:val="18"/>
          <w:shd w:val="clear" w:color="auto" w:fill="FFFFFF"/>
        </w:rPr>
      </w:pPr>
      <w:r w:rsidRPr="008B3D34">
        <w:rPr>
          <w:rStyle w:val="txt"/>
          <w:rFonts w:cs="Arial"/>
          <w:color w:val="000000"/>
          <w:szCs w:val="18"/>
          <w:shd w:val="clear" w:color="auto" w:fill="FFFFFF"/>
        </w:rPr>
        <w:t>OECD</w:t>
      </w:r>
      <w:r w:rsidR="00F41BED"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2008</w:t>
      </w:r>
      <w:r w:rsidR="00F41BED" w:rsidRPr="008B3D34">
        <w:rPr>
          <w:rStyle w:val="txt"/>
          <w:rFonts w:cs="Arial"/>
          <w:color w:val="000000"/>
          <w:szCs w:val="18"/>
          <w:shd w:val="clear" w:color="auto" w:fill="FFFFFF"/>
        </w:rPr>
        <w:t>,</w:t>
      </w:r>
      <w:r w:rsidRPr="008B3D34">
        <w:rPr>
          <w:rStyle w:val="txt"/>
          <w:rFonts w:cs="Arial"/>
          <w:color w:val="000000"/>
          <w:szCs w:val="18"/>
          <w:shd w:val="clear" w:color="auto" w:fill="FFFFFF"/>
        </w:rPr>
        <w:t xml:space="preserve"> </w:t>
      </w:r>
      <w:r w:rsidR="00F41BED" w:rsidRPr="008B3D34">
        <w:rPr>
          <w:rStyle w:val="txt"/>
          <w:rFonts w:cs="Arial"/>
          <w:color w:val="000000"/>
          <w:szCs w:val="18"/>
          <w:shd w:val="clear" w:color="auto" w:fill="FFFFFF"/>
        </w:rPr>
        <w:t xml:space="preserve">Report of survey on the use of safety documents in the control of major accident hazards Environment Directorate Series on Chemical Accidents Number 17 Paris, JT03241223 </w:t>
      </w:r>
    </w:p>
    <w:p w14:paraId="183205CB" w14:textId="77777777" w:rsidR="00F41BED" w:rsidRPr="008B3D34" w:rsidRDefault="00F41BED" w:rsidP="00A234FC">
      <w:pPr>
        <w:pStyle w:val="CETReferencetext"/>
      </w:pPr>
      <w:proofErr w:type="spellStart"/>
      <w:r w:rsidRPr="008B3D34">
        <w:t>Papazoglou</w:t>
      </w:r>
      <w:proofErr w:type="spellEnd"/>
      <w:r w:rsidRPr="008B3D34">
        <w:t xml:space="preserve"> I.A., </w:t>
      </w:r>
      <w:proofErr w:type="spellStart"/>
      <w:r w:rsidRPr="008B3D34">
        <w:t>Aneziris</w:t>
      </w:r>
      <w:proofErr w:type="spellEnd"/>
      <w:r w:rsidRPr="008B3D34">
        <w:t xml:space="preserve"> O., 1999, On the quantification of the effects of organizational and management factors in chemical, Reliability Engineering and System Safety, 15 (1), 545-554.</w:t>
      </w:r>
    </w:p>
    <w:p w14:paraId="5215019B" w14:textId="26A18DF8" w:rsidR="00F41BED" w:rsidRPr="008B3D34" w:rsidRDefault="00F41BED" w:rsidP="00A234FC">
      <w:pPr>
        <w:pStyle w:val="CETReferencetext"/>
      </w:pPr>
      <w:r w:rsidRPr="008B3D34">
        <w:t xml:space="preserve">Palazzi E., </w:t>
      </w:r>
      <w:proofErr w:type="spellStart"/>
      <w:r w:rsidRPr="008B3D34">
        <w:t>Currò</w:t>
      </w:r>
      <w:proofErr w:type="spellEnd"/>
      <w:r w:rsidRPr="008B3D34">
        <w:t xml:space="preserve"> F., Fabiano B., 2015, A critical approach to safety equipment and emergency time evaluation based on actual information from the Bhopal gas tragedy, Process Safety and Environmental Protection</w:t>
      </w:r>
      <w:r w:rsidR="00DD5333" w:rsidRPr="008B3D34">
        <w:t>,</w:t>
      </w:r>
      <w:r w:rsidRPr="008B3D34">
        <w:t xml:space="preserve"> 97, 37-48.</w:t>
      </w:r>
    </w:p>
    <w:p w14:paraId="0AEB6E61" w14:textId="77777777" w:rsidR="00F41BED" w:rsidRDefault="00F41BED" w:rsidP="00A234FC">
      <w:pPr>
        <w:pStyle w:val="CETReferencetext"/>
      </w:pPr>
      <w:proofErr w:type="spellStart"/>
      <w:r w:rsidRPr="008B3D34">
        <w:t>Pittiglio</w:t>
      </w:r>
      <w:proofErr w:type="spellEnd"/>
      <w:r w:rsidRPr="008B3D34">
        <w:t xml:space="preserve"> P., Bragatto P., Delle Site, C., 2014, Updated failure rates and risk management in process industries, Energy Procedia, 45, 1364-1371.</w:t>
      </w:r>
    </w:p>
    <w:sectPr w:rsidR="00F41BED" w:rsidSect="004F4ED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5134F" w14:textId="77777777" w:rsidR="00A972C7" w:rsidRDefault="00A972C7" w:rsidP="004F5E36">
      <w:r>
        <w:separator/>
      </w:r>
    </w:p>
  </w:endnote>
  <w:endnote w:type="continuationSeparator" w:id="0">
    <w:p w14:paraId="768B4103" w14:textId="77777777" w:rsidR="00A972C7" w:rsidRDefault="00A972C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1FC6A" w14:textId="77777777" w:rsidR="00A972C7" w:rsidRDefault="00A972C7" w:rsidP="004F5E36">
      <w:r>
        <w:separator/>
      </w:r>
    </w:p>
  </w:footnote>
  <w:footnote w:type="continuationSeparator" w:id="0">
    <w:p w14:paraId="3941096D" w14:textId="77777777" w:rsidR="00A972C7" w:rsidRDefault="00A972C7"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BCCA3B6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C02EDA"/>
    <w:multiLevelType w:val="hybridMultilevel"/>
    <w:tmpl w:val="346A37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C352931"/>
    <w:multiLevelType w:val="hybridMultilevel"/>
    <w:tmpl w:val="D92867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B1A218E"/>
    <w:multiLevelType w:val="hybridMultilevel"/>
    <w:tmpl w:val="E17607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8"/>
  </w:num>
  <w:num w:numId="15">
    <w:abstractNumId w:val="21"/>
  </w:num>
  <w:num w:numId="16">
    <w:abstractNumId w:val="20"/>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9"/>
  </w:num>
  <w:num w:numId="23">
    <w:abstractNumId w:val="10"/>
  </w:num>
  <w:num w:numId="24">
    <w:abstractNumId w:val="10"/>
  </w:num>
  <w:num w:numId="25">
    <w:abstractNumId w:val="10"/>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0D5"/>
    <w:rsid w:val="00002399"/>
    <w:rsid w:val="000027C0"/>
    <w:rsid w:val="00002DE8"/>
    <w:rsid w:val="000052FB"/>
    <w:rsid w:val="00011543"/>
    <w:rsid w:val="000117CB"/>
    <w:rsid w:val="00016525"/>
    <w:rsid w:val="00021733"/>
    <w:rsid w:val="000261AE"/>
    <w:rsid w:val="00030BC1"/>
    <w:rsid w:val="0003148D"/>
    <w:rsid w:val="00034279"/>
    <w:rsid w:val="000375AF"/>
    <w:rsid w:val="000502D0"/>
    <w:rsid w:val="00051566"/>
    <w:rsid w:val="00054929"/>
    <w:rsid w:val="0005604E"/>
    <w:rsid w:val="000571D4"/>
    <w:rsid w:val="00061E67"/>
    <w:rsid w:val="0006252A"/>
    <w:rsid w:val="00062A9A"/>
    <w:rsid w:val="00062D9D"/>
    <w:rsid w:val="00063540"/>
    <w:rsid w:val="00064AEE"/>
    <w:rsid w:val="00065058"/>
    <w:rsid w:val="00085FF5"/>
    <w:rsid w:val="00086C39"/>
    <w:rsid w:val="00094316"/>
    <w:rsid w:val="0009464F"/>
    <w:rsid w:val="000A03B2"/>
    <w:rsid w:val="000A2035"/>
    <w:rsid w:val="000A6A9C"/>
    <w:rsid w:val="000B59EB"/>
    <w:rsid w:val="000C7FD9"/>
    <w:rsid w:val="000D0268"/>
    <w:rsid w:val="000D34BE"/>
    <w:rsid w:val="000D4D2E"/>
    <w:rsid w:val="000D6182"/>
    <w:rsid w:val="000E102F"/>
    <w:rsid w:val="000E1A4D"/>
    <w:rsid w:val="000E36F1"/>
    <w:rsid w:val="000E3A73"/>
    <w:rsid w:val="000E414A"/>
    <w:rsid w:val="000F0535"/>
    <w:rsid w:val="000F093C"/>
    <w:rsid w:val="000F2F4F"/>
    <w:rsid w:val="000F3362"/>
    <w:rsid w:val="000F3A23"/>
    <w:rsid w:val="000F66DC"/>
    <w:rsid w:val="000F787B"/>
    <w:rsid w:val="001110CF"/>
    <w:rsid w:val="00111B7C"/>
    <w:rsid w:val="00112341"/>
    <w:rsid w:val="0012091F"/>
    <w:rsid w:val="00125B71"/>
    <w:rsid w:val="00126BC2"/>
    <w:rsid w:val="001308B6"/>
    <w:rsid w:val="0013121F"/>
    <w:rsid w:val="001316CB"/>
    <w:rsid w:val="00131E43"/>
    <w:rsid w:val="00131FE6"/>
    <w:rsid w:val="0013263F"/>
    <w:rsid w:val="00134DE4"/>
    <w:rsid w:val="0014034D"/>
    <w:rsid w:val="001443F8"/>
    <w:rsid w:val="00145844"/>
    <w:rsid w:val="00147EAC"/>
    <w:rsid w:val="00150E59"/>
    <w:rsid w:val="00151F1B"/>
    <w:rsid w:val="00152DE3"/>
    <w:rsid w:val="00153FA6"/>
    <w:rsid w:val="00164CF9"/>
    <w:rsid w:val="00164D0A"/>
    <w:rsid w:val="00164EA4"/>
    <w:rsid w:val="001667A6"/>
    <w:rsid w:val="001679C2"/>
    <w:rsid w:val="00176597"/>
    <w:rsid w:val="001775A7"/>
    <w:rsid w:val="00184AD6"/>
    <w:rsid w:val="00195E45"/>
    <w:rsid w:val="001A2121"/>
    <w:rsid w:val="001A4AF7"/>
    <w:rsid w:val="001B0349"/>
    <w:rsid w:val="001B45B1"/>
    <w:rsid w:val="001B65C1"/>
    <w:rsid w:val="001C684B"/>
    <w:rsid w:val="001D53FC"/>
    <w:rsid w:val="001F42A5"/>
    <w:rsid w:val="001F5F2F"/>
    <w:rsid w:val="001F75D9"/>
    <w:rsid w:val="001F79F3"/>
    <w:rsid w:val="001F7B9D"/>
    <w:rsid w:val="00207858"/>
    <w:rsid w:val="00210F3C"/>
    <w:rsid w:val="002135F2"/>
    <w:rsid w:val="002224B4"/>
    <w:rsid w:val="00226EC7"/>
    <w:rsid w:val="002437FA"/>
    <w:rsid w:val="002447EF"/>
    <w:rsid w:val="00251550"/>
    <w:rsid w:val="00263B05"/>
    <w:rsid w:val="00267759"/>
    <w:rsid w:val="00270F65"/>
    <w:rsid w:val="0027221A"/>
    <w:rsid w:val="00274F1E"/>
    <w:rsid w:val="00275B61"/>
    <w:rsid w:val="00282656"/>
    <w:rsid w:val="00282D4B"/>
    <w:rsid w:val="002859BE"/>
    <w:rsid w:val="00296B83"/>
    <w:rsid w:val="00297D7A"/>
    <w:rsid w:val="002A436F"/>
    <w:rsid w:val="002A4E87"/>
    <w:rsid w:val="002B4478"/>
    <w:rsid w:val="002B4E62"/>
    <w:rsid w:val="002B776A"/>
    <w:rsid w:val="002B78CE"/>
    <w:rsid w:val="002C2FB6"/>
    <w:rsid w:val="002D0512"/>
    <w:rsid w:val="002D0876"/>
    <w:rsid w:val="002E1316"/>
    <w:rsid w:val="002E56E9"/>
    <w:rsid w:val="002F3309"/>
    <w:rsid w:val="003009B7"/>
    <w:rsid w:val="00300E56"/>
    <w:rsid w:val="003021AE"/>
    <w:rsid w:val="0030469C"/>
    <w:rsid w:val="003154AD"/>
    <w:rsid w:val="0032064B"/>
    <w:rsid w:val="003207D5"/>
    <w:rsid w:val="00320F1A"/>
    <w:rsid w:val="00321CA6"/>
    <w:rsid w:val="003263EC"/>
    <w:rsid w:val="00334C09"/>
    <w:rsid w:val="0034357F"/>
    <w:rsid w:val="0035456D"/>
    <w:rsid w:val="00355B36"/>
    <w:rsid w:val="0036333E"/>
    <w:rsid w:val="00370D93"/>
    <w:rsid w:val="003723D4"/>
    <w:rsid w:val="003813E0"/>
    <w:rsid w:val="00381905"/>
    <w:rsid w:val="00384CC8"/>
    <w:rsid w:val="003871FD"/>
    <w:rsid w:val="003A1E30"/>
    <w:rsid w:val="003A6B46"/>
    <w:rsid w:val="003A7D1C"/>
    <w:rsid w:val="003B304B"/>
    <w:rsid w:val="003B3146"/>
    <w:rsid w:val="003B78CE"/>
    <w:rsid w:val="003C147E"/>
    <w:rsid w:val="003C2E32"/>
    <w:rsid w:val="003C3499"/>
    <w:rsid w:val="003C584D"/>
    <w:rsid w:val="003C741F"/>
    <w:rsid w:val="003D1339"/>
    <w:rsid w:val="003D5B70"/>
    <w:rsid w:val="003E3581"/>
    <w:rsid w:val="003E6D22"/>
    <w:rsid w:val="003F015E"/>
    <w:rsid w:val="003F1161"/>
    <w:rsid w:val="00400414"/>
    <w:rsid w:val="00401262"/>
    <w:rsid w:val="0040387F"/>
    <w:rsid w:val="00406B05"/>
    <w:rsid w:val="00407E3C"/>
    <w:rsid w:val="00411324"/>
    <w:rsid w:val="0041446B"/>
    <w:rsid w:val="00414C5A"/>
    <w:rsid w:val="0044329C"/>
    <w:rsid w:val="00446B7C"/>
    <w:rsid w:val="00451850"/>
    <w:rsid w:val="004577FE"/>
    <w:rsid w:val="00457B9C"/>
    <w:rsid w:val="0046164A"/>
    <w:rsid w:val="004628D2"/>
    <w:rsid w:val="00462DCD"/>
    <w:rsid w:val="004648AD"/>
    <w:rsid w:val="00465E18"/>
    <w:rsid w:val="004703A9"/>
    <w:rsid w:val="00470DF9"/>
    <w:rsid w:val="0047110D"/>
    <w:rsid w:val="00474E90"/>
    <w:rsid w:val="004760DE"/>
    <w:rsid w:val="004763D7"/>
    <w:rsid w:val="004838A0"/>
    <w:rsid w:val="00484E64"/>
    <w:rsid w:val="00486886"/>
    <w:rsid w:val="00497CCD"/>
    <w:rsid w:val="004A004E"/>
    <w:rsid w:val="004A058F"/>
    <w:rsid w:val="004A24CF"/>
    <w:rsid w:val="004A3B81"/>
    <w:rsid w:val="004A61D0"/>
    <w:rsid w:val="004B49A3"/>
    <w:rsid w:val="004B4A90"/>
    <w:rsid w:val="004C3D1D"/>
    <w:rsid w:val="004C4C9C"/>
    <w:rsid w:val="004C7913"/>
    <w:rsid w:val="004D1669"/>
    <w:rsid w:val="004D556C"/>
    <w:rsid w:val="004E152F"/>
    <w:rsid w:val="004E4DD6"/>
    <w:rsid w:val="004E5AE0"/>
    <w:rsid w:val="004F035A"/>
    <w:rsid w:val="004F4ED7"/>
    <w:rsid w:val="004F5E36"/>
    <w:rsid w:val="004F7C31"/>
    <w:rsid w:val="00507B47"/>
    <w:rsid w:val="00507BEF"/>
    <w:rsid w:val="00507CC9"/>
    <w:rsid w:val="005119A5"/>
    <w:rsid w:val="0051382E"/>
    <w:rsid w:val="00520B64"/>
    <w:rsid w:val="00521F7A"/>
    <w:rsid w:val="005229D3"/>
    <w:rsid w:val="00523294"/>
    <w:rsid w:val="0052412D"/>
    <w:rsid w:val="005251BF"/>
    <w:rsid w:val="00525728"/>
    <w:rsid w:val="005278B7"/>
    <w:rsid w:val="00532016"/>
    <w:rsid w:val="00533BAB"/>
    <w:rsid w:val="005346C8"/>
    <w:rsid w:val="005368DD"/>
    <w:rsid w:val="00542FD6"/>
    <w:rsid w:val="005430E0"/>
    <w:rsid w:val="00543E7D"/>
    <w:rsid w:val="00547A68"/>
    <w:rsid w:val="005503F0"/>
    <w:rsid w:val="005531C9"/>
    <w:rsid w:val="00555A8F"/>
    <w:rsid w:val="00556640"/>
    <w:rsid w:val="0056086D"/>
    <w:rsid w:val="00560E56"/>
    <w:rsid w:val="00561AA2"/>
    <w:rsid w:val="00564F0A"/>
    <w:rsid w:val="0056669D"/>
    <w:rsid w:val="00566756"/>
    <w:rsid w:val="0056739F"/>
    <w:rsid w:val="0056773E"/>
    <w:rsid w:val="00570C43"/>
    <w:rsid w:val="00577146"/>
    <w:rsid w:val="00581F62"/>
    <w:rsid w:val="00585808"/>
    <w:rsid w:val="0059319D"/>
    <w:rsid w:val="005A0FFC"/>
    <w:rsid w:val="005A1286"/>
    <w:rsid w:val="005A6983"/>
    <w:rsid w:val="005A71AB"/>
    <w:rsid w:val="005B08B0"/>
    <w:rsid w:val="005B2110"/>
    <w:rsid w:val="005B61E6"/>
    <w:rsid w:val="005C4E78"/>
    <w:rsid w:val="005C5F4C"/>
    <w:rsid w:val="005C77E1"/>
    <w:rsid w:val="005C7C84"/>
    <w:rsid w:val="005D638E"/>
    <w:rsid w:val="005D6A2F"/>
    <w:rsid w:val="005E1A82"/>
    <w:rsid w:val="005E3268"/>
    <w:rsid w:val="005E4158"/>
    <w:rsid w:val="005E794C"/>
    <w:rsid w:val="005F0A28"/>
    <w:rsid w:val="005F0E5E"/>
    <w:rsid w:val="005F3053"/>
    <w:rsid w:val="005F61A5"/>
    <w:rsid w:val="00600535"/>
    <w:rsid w:val="0060772A"/>
    <w:rsid w:val="00610CD6"/>
    <w:rsid w:val="00620DEE"/>
    <w:rsid w:val="00621F92"/>
    <w:rsid w:val="0062280A"/>
    <w:rsid w:val="00625639"/>
    <w:rsid w:val="0062629C"/>
    <w:rsid w:val="00631B33"/>
    <w:rsid w:val="00635EC1"/>
    <w:rsid w:val="0064184D"/>
    <w:rsid w:val="006422CC"/>
    <w:rsid w:val="00660E06"/>
    <w:rsid w:val="00660E3E"/>
    <w:rsid w:val="00662E74"/>
    <w:rsid w:val="00664225"/>
    <w:rsid w:val="00664C44"/>
    <w:rsid w:val="00680C23"/>
    <w:rsid w:val="0068400A"/>
    <w:rsid w:val="00687D71"/>
    <w:rsid w:val="00693766"/>
    <w:rsid w:val="006A1585"/>
    <w:rsid w:val="006A1F4D"/>
    <w:rsid w:val="006A2541"/>
    <w:rsid w:val="006A3281"/>
    <w:rsid w:val="006A3699"/>
    <w:rsid w:val="006A583A"/>
    <w:rsid w:val="006B4888"/>
    <w:rsid w:val="006C2D5F"/>
    <w:rsid w:val="006C2E45"/>
    <w:rsid w:val="006C359C"/>
    <w:rsid w:val="006C5579"/>
    <w:rsid w:val="006C75D9"/>
    <w:rsid w:val="006D565F"/>
    <w:rsid w:val="006D6D3F"/>
    <w:rsid w:val="006E1054"/>
    <w:rsid w:val="006E623F"/>
    <w:rsid w:val="006E630B"/>
    <w:rsid w:val="006E737D"/>
    <w:rsid w:val="006F0966"/>
    <w:rsid w:val="006F2890"/>
    <w:rsid w:val="006F69BB"/>
    <w:rsid w:val="006F74FE"/>
    <w:rsid w:val="0070109C"/>
    <w:rsid w:val="007021EC"/>
    <w:rsid w:val="00705938"/>
    <w:rsid w:val="0071752D"/>
    <w:rsid w:val="00720A24"/>
    <w:rsid w:val="00720EB6"/>
    <w:rsid w:val="00721D2F"/>
    <w:rsid w:val="00726C07"/>
    <w:rsid w:val="00732386"/>
    <w:rsid w:val="0073514D"/>
    <w:rsid w:val="00736629"/>
    <w:rsid w:val="007447F3"/>
    <w:rsid w:val="007519B4"/>
    <w:rsid w:val="007528F1"/>
    <w:rsid w:val="0075499F"/>
    <w:rsid w:val="00760535"/>
    <w:rsid w:val="00765097"/>
    <w:rsid w:val="007661C8"/>
    <w:rsid w:val="007701A8"/>
    <w:rsid w:val="0077098D"/>
    <w:rsid w:val="007732C1"/>
    <w:rsid w:val="00776AB1"/>
    <w:rsid w:val="00781B73"/>
    <w:rsid w:val="007931FA"/>
    <w:rsid w:val="0079640C"/>
    <w:rsid w:val="007A1500"/>
    <w:rsid w:val="007A2DFA"/>
    <w:rsid w:val="007A4861"/>
    <w:rsid w:val="007A7BBA"/>
    <w:rsid w:val="007B0C50"/>
    <w:rsid w:val="007B2F51"/>
    <w:rsid w:val="007B316B"/>
    <w:rsid w:val="007C1A43"/>
    <w:rsid w:val="007C5242"/>
    <w:rsid w:val="007C5C3A"/>
    <w:rsid w:val="007D62B3"/>
    <w:rsid w:val="007D7667"/>
    <w:rsid w:val="007F20C6"/>
    <w:rsid w:val="007F24BB"/>
    <w:rsid w:val="007F3CE7"/>
    <w:rsid w:val="007F751C"/>
    <w:rsid w:val="0080013E"/>
    <w:rsid w:val="00800D53"/>
    <w:rsid w:val="0080459E"/>
    <w:rsid w:val="00807F2F"/>
    <w:rsid w:val="00813288"/>
    <w:rsid w:val="00815E77"/>
    <w:rsid w:val="008163B4"/>
    <w:rsid w:val="008168FC"/>
    <w:rsid w:val="00830996"/>
    <w:rsid w:val="00830CEC"/>
    <w:rsid w:val="008345F1"/>
    <w:rsid w:val="008406A3"/>
    <w:rsid w:val="0084178F"/>
    <w:rsid w:val="00842F53"/>
    <w:rsid w:val="00846F84"/>
    <w:rsid w:val="008566FF"/>
    <w:rsid w:val="00860459"/>
    <w:rsid w:val="00860AF6"/>
    <w:rsid w:val="00863289"/>
    <w:rsid w:val="00865B07"/>
    <w:rsid w:val="008667EA"/>
    <w:rsid w:val="0087206A"/>
    <w:rsid w:val="0087620E"/>
    <w:rsid w:val="0087637F"/>
    <w:rsid w:val="008861A5"/>
    <w:rsid w:val="00891D6A"/>
    <w:rsid w:val="00892AD5"/>
    <w:rsid w:val="00895100"/>
    <w:rsid w:val="00895D1B"/>
    <w:rsid w:val="008A1512"/>
    <w:rsid w:val="008A1BDB"/>
    <w:rsid w:val="008B32D8"/>
    <w:rsid w:val="008B3D34"/>
    <w:rsid w:val="008C3D48"/>
    <w:rsid w:val="008D32B9"/>
    <w:rsid w:val="008D433B"/>
    <w:rsid w:val="008D70D9"/>
    <w:rsid w:val="008D79A4"/>
    <w:rsid w:val="008E566E"/>
    <w:rsid w:val="008F2110"/>
    <w:rsid w:val="008F48CA"/>
    <w:rsid w:val="008F4952"/>
    <w:rsid w:val="008F5A45"/>
    <w:rsid w:val="009008F5"/>
    <w:rsid w:val="0090161A"/>
    <w:rsid w:val="00901CC2"/>
    <w:rsid w:val="00901EB6"/>
    <w:rsid w:val="00904C62"/>
    <w:rsid w:val="00907241"/>
    <w:rsid w:val="00907D31"/>
    <w:rsid w:val="0091001F"/>
    <w:rsid w:val="00915DC1"/>
    <w:rsid w:val="00920225"/>
    <w:rsid w:val="00922BA8"/>
    <w:rsid w:val="00924DAC"/>
    <w:rsid w:val="009253A2"/>
    <w:rsid w:val="00927058"/>
    <w:rsid w:val="0093336A"/>
    <w:rsid w:val="0093592E"/>
    <w:rsid w:val="00942750"/>
    <w:rsid w:val="00943901"/>
    <w:rsid w:val="009450CE"/>
    <w:rsid w:val="00946A25"/>
    <w:rsid w:val="00947179"/>
    <w:rsid w:val="0094752A"/>
    <w:rsid w:val="0095164B"/>
    <w:rsid w:val="009523AF"/>
    <w:rsid w:val="00954090"/>
    <w:rsid w:val="009568F0"/>
    <w:rsid w:val="00956B3B"/>
    <w:rsid w:val="009573E7"/>
    <w:rsid w:val="0095757E"/>
    <w:rsid w:val="00963E05"/>
    <w:rsid w:val="0096454B"/>
    <w:rsid w:val="009667C6"/>
    <w:rsid w:val="00966A42"/>
    <w:rsid w:val="00967D54"/>
    <w:rsid w:val="009705AF"/>
    <w:rsid w:val="00971028"/>
    <w:rsid w:val="00974AE5"/>
    <w:rsid w:val="009963B4"/>
    <w:rsid w:val="00996483"/>
    <w:rsid w:val="00996F5A"/>
    <w:rsid w:val="00997146"/>
    <w:rsid w:val="009A1F6F"/>
    <w:rsid w:val="009A2B88"/>
    <w:rsid w:val="009A39AD"/>
    <w:rsid w:val="009B041A"/>
    <w:rsid w:val="009C37C3"/>
    <w:rsid w:val="009C6950"/>
    <w:rsid w:val="009C7C86"/>
    <w:rsid w:val="009D2FF7"/>
    <w:rsid w:val="009D4A60"/>
    <w:rsid w:val="009D4CBD"/>
    <w:rsid w:val="009E2D59"/>
    <w:rsid w:val="009E72FB"/>
    <w:rsid w:val="009E7884"/>
    <w:rsid w:val="009E788A"/>
    <w:rsid w:val="009F0E08"/>
    <w:rsid w:val="009F135B"/>
    <w:rsid w:val="009F57F7"/>
    <w:rsid w:val="00A01F67"/>
    <w:rsid w:val="00A027EA"/>
    <w:rsid w:val="00A06476"/>
    <w:rsid w:val="00A1763D"/>
    <w:rsid w:val="00A17CEC"/>
    <w:rsid w:val="00A234FC"/>
    <w:rsid w:val="00A27EF0"/>
    <w:rsid w:val="00A34635"/>
    <w:rsid w:val="00A34C51"/>
    <w:rsid w:val="00A3684C"/>
    <w:rsid w:val="00A42402"/>
    <w:rsid w:val="00A464E2"/>
    <w:rsid w:val="00A5021B"/>
    <w:rsid w:val="00A50B20"/>
    <w:rsid w:val="00A51390"/>
    <w:rsid w:val="00A52001"/>
    <w:rsid w:val="00A53D3A"/>
    <w:rsid w:val="00A60D13"/>
    <w:rsid w:val="00A65356"/>
    <w:rsid w:val="00A72745"/>
    <w:rsid w:val="00A76EFC"/>
    <w:rsid w:val="00A8734F"/>
    <w:rsid w:val="00A91010"/>
    <w:rsid w:val="00A972C7"/>
    <w:rsid w:val="00A97F29"/>
    <w:rsid w:val="00AA0830"/>
    <w:rsid w:val="00AA65A0"/>
    <w:rsid w:val="00AA702E"/>
    <w:rsid w:val="00AA7F97"/>
    <w:rsid w:val="00AB0964"/>
    <w:rsid w:val="00AB1984"/>
    <w:rsid w:val="00AB5011"/>
    <w:rsid w:val="00AC557F"/>
    <w:rsid w:val="00AC7368"/>
    <w:rsid w:val="00AD16B9"/>
    <w:rsid w:val="00AD5792"/>
    <w:rsid w:val="00AE3017"/>
    <w:rsid w:val="00AE377D"/>
    <w:rsid w:val="00AE5B87"/>
    <w:rsid w:val="00AE6169"/>
    <w:rsid w:val="00AF5243"/>
    <w:rsid w:val="00AF7FCA"/>
    <w:rsid w:val="00B02C8A"/>
    <w:rsid w:val="00B032FE"/>
    <w:rsid w:val="00B14A5F"/>
    <w:rsid w:val="00B17FBD"/>
    <w:rsid w:val="00B23662"/>
    <w:rsid w:val="00B315A6"/>
    <w:rsid w:val="00B31813"/>
    <w:rsid w:val="00B33365"/>
    <w:rsid w:val="00B402E8"/>
    <w:rsid w:val="00B55179"/>
    <w:rsid w:val="00B5782E"/>
    <w:rsid w:val="00B57B36"/>
    <w:rsid w:val="00B676E5"/>
    <w:rsid w:val="00B709E4"/>
    <w:rsid w:val="00B72A04"/>
    <w:rsid w:val="00B75C2E"/>
    <w:rsid w:val="00B813A3"/>
    <w:rsid w:val="00B8686D"/>
    <w:rsid w:val="00B91E08"/>
    <w:rsid w:val="00B922F5"/>
    <w:rsid w:val="00BA21F6"/>
    <w:rsid w:val="00BA7037"/>
    <w:rsid w:val="00BB1DDC"/>
    <w:rsid w:val="00BB38D0"/>
    <w:rsid w:val="00BB41E6"/>
    <w:rsid w:val="00BC222D"/>
    <w:rsid w:val="00BC30C9"/>
    <w:rsid w:val="00BC3693"/>
    <w:rsid w:val="00BC6B15"/>
    <w:rsid w:val="00BE045D"/>
    <w:rsid w:val="00BE3E58"/>
    <w:rsid w:val="00BE78E2"/>
    <w:rsid w:val="00BF3F61"/>
    <w:rsid w:val="00BF4020"/>
    <w:rsid w:val="00BF7935"/>
    <w:rsid w:val="00BF7BC7"/>
    <w:rsid w:val="00BF7D03"/>
    <w:rsid w:val="00C01616"/>
    <w:rsid w:val="00C0162B"/>
    <w:rsid w:val="00C068ED"/>
    <w:rsid w:val="00C12417"/>
    <w:rsid w:val="00C135CE"/>
    <w:rsid w:val="00C1542F"/>
    <w:rsid w:val="00C2010C"/>
    <w:rsid w:val="00C24F1A"/>
    <w:rsid w:val="00C27A14"/>
    <w:rsid w:val="00C345B1"/>
    <w:rsid w:val="00C35718"/>
    <w:rsid w:val="00C40142"/>
    <w:rsid w:val="00C43D45"/>
    <w:rsid w:val="00C4753C"/>
    <w:rsid w:val="00C552FA"/>
    <w:rsid w:val="00C558DC"/>
    <w:rsid w:val="00C55EC1"/>
    <w:rsid w:val="00C57182"/>
    <w:rsid w:val="00C57863"/>
    <w:rsid w:val="00C655FD"/>
    <w:rsid w:val="00C67313"/>
    <w:rsid w:val="00C75407"/>
    <w:rsid w:val="00C80CF2"/>
    <w:rsid w:val="00C870A8"/>
    <w:rsid w:val="00C90083"/>
    <w:rsid w:val="00C91393"/>
    <w:rsid w:val="00C94434"/>
    <w:rsid w:val="00CA00C6"/>
    <w:rsid w:val="00CA0AF7"/>
    <w:rsid w:val="00CA0D75"/>
    <w:rsid w:val="00CA1C95"/>
    <w:rsid w:val="00CA3BF9"/>
    <w:rsid w:val="00CA4B93"/>
    <w:rsid w:val="00CA5A9C"/>
    <w:rsid w:val="00CB7F4D"/>
    <w:rsid w:val="00CC0174"/>
    <w:rsid w:val="00CC04E5"/>
    <w:rsid w:val="00CC45CA"/>
    <w:rsid w:val="00CC47D9"/>
    <w:rsid w:val="00CC4C20"/>
    <w:rsid w:val="00CD3517"/>
    <w:rsid w:val="00CD5FE2"/>
    <w:rsid w:val="00CE7C68"/>
    <w:rsid w:val="00CF18CF"/>
    <w:rsid w:val="00CF7238"/>
    <w:rsid w:val="00D02B4C"/>
    <w:rsid w:val="00D040C4"/>
    <w:rsid w:val="00D05862"/>
    <w:rsid w:val="00D07FB4"/>
    <w:rsid w:val="00D11DD2"/>
    <w:rsid w:val="00D20C0C"/>
    <w:rsid w:val="00D21439"/>
    <w:rsid w:val="00D2421D"/>
    <w:rsid w:val="00D26879"/>
    <w:rsid w:val="00D37D57"/>
    <w:rsid w:val="00D45718"/>
    <w:rsid w:val="00D45F00"/>
    <w:rsid w:val="00D514C0"/>
    <w:rsid w:val="00D57C84"/>
    <w:rsid w:val="00D6057D"/>
    <w:rsid w:val="00D60B5C"/>
    <w:rsid w:val="00D61191"/>
    <w:rsid w:val="00D6478E"/>
    <w:rsid w:val="00D6587D"/>
    <w:rsid w:val="00D836C5"/>
    <w:rsid w:val="00D84576"/>
    <w:rsid w:val="00DA1399"/>
    <w:rsid w:val="00DA24C6"/>
    <w:rsid w:val="00DA4968"/>
    <w:rsid w:val="00DA4D7B"/>
    <w:rsid w:val="00DA5D29"/>
    <w:rsid w:val="00DB016A"/>
    <w:rsid w:val="00DC0033"/>
    <w:rsid w:val="00DC07D6"/>
    <w:rsid w:val="00DC1845"/>
    <w:rsid w:val="00DC29C3"/>
    <w:rsid w:val="00DD4FFE"/>
    <w:rsid w:val="00DD5333"/>
    <w:rsid w:val="00DE264A"/>
    <w:rsid w:val="00DE37A1"/>
    <w:rsid w:val="00DF2AD7"/>
    <w:rsid w:val="00DF5072"/>
    <w:rsid w:val="00DF61E9"/>
    <w:rsid w:val="00E020C2"/>
    <w:rsid w:val="00E02D18"/>
    <w:rsid w:val="00E041E7"/>
    <w:rsid w:val="00E11360"/>
    <w:rsid w:val="00E2036F"/>
    <w:rsid w:val="00E23CA1"/>
    <w:rsid w:val="00E2569F"/>
    <w:rsid w:val="00E30471"/>
    <w:rsid w:val="00E328B8"/>
    <w:rsid w:val="00E36045"/>
    <w:rsid w:val="00E409A8"/>
    <w:rsid w:val="00E50327"/>
    <w:rsid w:val="00E5055A"/>
    <w:rsid w:val="00E50C12"/>
    <w:rsid w:val="00E539DB"/>
    <w:rsid w:val="00E57A5F"/>
    <w:rsid w:val="00E60AE7"/>
    <w:rsid w:val="00E60F37"/>
    <w:rsid w:val="00E61D8F"/>
    <w:rsid w:val="00E65B91"/>
    <w:rsid w:val="00E6654F"/>
    <w:rsid w:val="00E7209D"/>
    <w:rsid w:val="00E75C55"/>
    <w:rsid w:val="00E77223"/>
    <w:rsid w:val="00E8528B"/>
    <w:rsid w:val="00E85B94"/>
    <w:rsid w:val="00E97876"/>
    <w:rsid w:val="00E978D0"/>
    <w:rsid w:val="00EA4613"/>
    <w:rsid w:val="00EA7F91"/>
    <w:rsid w:val="00EB1523"/>
    <w:rsid w:val="00EC0E49"/>
    <w:rsid w:val="00EC101F"/>
    <w:rsid w:val="00EC562D"/>
    <w:rsid w:val="00EE0131"/>
    <w:rsid w:val="00EE17B0"/>
    <w:rsid w:val="00EE6973"/>
    <w:rsid w:val="00EF06D9"/>
    <w:rsid w:val="00F0078E"/>
    <w:rsid w:val="00F03DB4"/>
    <w:rsid w:val="00F071EA"/>
    <w:rsid w:val="00F17B1F"/>
    <w:rsid w:val="00F222B3"/>
    <w:rsid w:val="00F24701"/>
    <w:rsid w:val="00F30C64"/>
    <w:rsid w:val="00F32CDB"/>
    <w:rsid w:val="00F37539"/>
    <w:rsid w:val="00F4104B"/>
    <w:rsid w:val="00F41BED"/>
    <w:rsid w:val="00F43188"/>
    <w:rsid w:val="00F5062E"/>
    <w:rsid w:val="00F53B12"/>
    <w:rsid w:val="00F55F15"/>
    <w:rsid w:val="00F63A70"/>
    <w:rsid w:val="00F70B27"/>
    <w:rsid w:val="00F72659"/>
    <w:rsid w:val="00F75E2A"/>
    <w:rsid w:val="00F814ED"/>
    <w:rsid w:val="00F8533E"/>
    <w:rsid w:val="00F85F67"/>
    <w:rsid w:val="00F874D2"/>
    <w:rsid w:val="00F904A8"/>
    <w:rsid w:val="00F905E0"/>
    <w:rsid w:val="00F9246E"/>
    <w:rsid w:val="00F92608"/>
    <w:rsid w:val="00FA21D0"/>
    <w:rsid w:val="00FA5F5F"/>
    <w:rsid w:val="00FA65E3"/>
    <w:rsid w:val="00FB71E4"/>
    <w:rsid w:val="00FB730C"/>
    <w:rsid w:val="00FC2695"/>
    <w:rsid w:val="00FC3E03"/>
    <w:rsid w:val="00FC3FC1"/>
    <w:rsid w:val="00FD1A2A"/>
    <w:rsid w:val="00FD7595"/>
    <w:rsid w:val="00FE3303"/>
    <w:rsid w:val="00FE5374"/>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760B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0CF2"/>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0CF2"/>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trike w:val="0"/>
      <w:sz w:val="18"/>
      <w:szCs w:val="20"/>
      <w:lang w:val="en-US"/>
    </w:rPr>
  </w:style>
  <w:style w:type="paragraph" w:styleId="Paragrafoelenco">
    <w:name w:val="List Paragraph"/>
    <w:basedOn w:val="Normale"/>
    <w:uiPriority w:val="34"/>
    <w:qFormat/>
    <w:rsid w:val="00F4104B"/>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character" w:customStyle="1" w:styleId="txt">
    <w:name w:val="txt"/>
    <w:basedOn w:val="Carpredefinitoparagrafo"/>
    <w:rsid w:val="00411324"/>
  </w:style>
  <w:style w:type="character" w:customStyle="1" w:styleId="txtbold">
    <w:name w:val="txtbold"/>
    <w:basedOn w:val="Carpredefinitoparagrafo"/>
    <w:rsid w:val="00411324"/>
  </w:style>
  <w:style w:type="character" w:styleId="Enfasicorsivo">
    <w:name w:val="Emphasis"/>
    <w:basedOn w:val="Carpredefinitoparagrafo"/>
    <w:uiPriority w:val="20"/>
    <w:qFormat/>
    <w:rsid w:val="00411324"/>
    <w:rPr>
      <w:i/>
      <w:iCs/>
    </w:rPr>
  </w:style>
  <w:style w:type="character" w:styleId="Rimandonotadichiusura">
    <w:name w:val="endnote reference"/>
    <w:basedOn w:val="Carpredefinitoparagrafo"/>
    <w:uiPriority w:val="99"/>
    <w:semiHidden/>
    <w:unhideWhenUsed/>
    <w:rsid w:val="006C2D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80CF2"/>
    <w:pPr>
      <w:keepNext/>
      <w:numPr>
        <w:ilvl w:val="2"/>
        <w:numId w:val="1"/>
      </w:numPr>
      <w:suppressAutoHyphens/>
      <w:spacing w:before="120" w:after="120" w:line="240" w:lineRule="auto"/>
    </w:pPr>
    <w:rPr>
      <w:rFonts w:ascii="Arial" w:eastAsia="Times New Roman" w:hAnsi="Arial" w:cs="Times New Roman"/>
      <w:b/>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80CF2"/>
    <w:rPr>
      <w:rFonts w:ascii="Arial" w:eastAsia="Times New Roman" w:hAnsi="Arial" w:cs="Times New Roman"/>
      <w:b/>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trike w:val="0"/>
      <w:sz w:val="18"/>
      <w:szCs w:val="20"/>
      <w:lang w:val="en-US"/>
    </w:rPr>
  </w:style>
  <w:style w:type="paragraph" w:styleId="Paragrafoelenco">
    <w:name w:val="List Paragraph"/>
    <w:basedOn w:val="Normale"/>
    <w:uiPriority w:val="34"/>
    <w:qFormat/>
    <w:rsid w:val="00F4104B"/>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 w:type="character" w:customStyle="1" w:styleId="txt">
    <w:name w:val="txt"/>
    <w:basedOn w:val="Carpredefinitoparagrafo"/>
    <w:rsid w:val="00411324"/>
  </w:style>
  <w:style w:type="character" w:customStyle="1" w:styleId="txtbold">
    <w:name w:val="txtbold"/>
    <w:basedOn w:val="Carpredefinitoparagrafo"/>
    <w:rsid w:val="00411324"/>
  </w:style>
  <w:style w:type="character" w:styleId="Enfasicorsivo">
    <w:name w:val="Emphasis"/>
    <w:basedOn w:val="Carpredefinitoparagrafo"/>
    <w:uiPriority w:val="20"/>
    <w:qFormat/>
    <w:rsid w:val="00411324"/>
    <w:rPr>
      <w:i/>
      <w:iCs/>
    </w:rPr>
  </w:style>
  <w:style w:type="character" w:styleId="Rimandonotadichiusura">
    <w:name w:val="endnote reference"/>
    <w:basedOn w:val="Carpredefinitoparagrafo"/>
    <w:uiPriority w:val="99"/>
    <w:semiHidden/>
    <w:unhideWhenUsed/>
    <w:rsid w:val="006C2D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879">
      <w:bodyDiv w:val="1"/>
      <w:marLeft w:val="0"/>
      <w:marRight w:val="0"/>
      <w:marTop w:val="0"/>
      <w:marBottom w:val="0"/>
      <w:divBdr>
        <w:top w:val="none" w:sz="0" w:space="0" w:color="auto"/>
        <w:left w:val="none" w:sz="0" w:space="0" w:color="auto"/>
        <w:bottom w:val="none" w:sz="0" w:space="0" w:color="auto"/>
        <w:right w:val="none" w:sz="0" w:space="0" w:color="auto"/>
      </w:divBdr>
    </w:div>
    <w:div w:id="306328253">
      <w:bodyDiv w:val="1"/>
      <w:marLeft w:val="0"/>
      <w:marRight w:val="0"/>
      <w:marTop w:val="0"/>
      <w:marBottom w:val="0"/>
      <w:divBdr>
        <w:top w:val="none" w:sz="0" w:space="0" w:color="auto"/>
        <w:left w:val="none" w:sz="0" w:space="0" w:color="auto"/>
        <w:bottom w:val="none" w:sz="0" w:space="0" w:color="auto"/>
        <w:right w:val="none" w:sz="0" w:space="0" w:color="auto"/>
      </w:divBdr>
    </w:div>
    <w:div w:id="440420785">
      <w:bodyDiv w:val="1"/>
      <w:marLeft w:val="0"/>
      <w:marRight w:val="0"/>
      <w:marTop w:val="0"/>
      <w:marBottom w:val="0"/>
      <w:divBdr>
        <w:top w:val="none" w:sz="0" w:space="0" w:color="auto"/>
        <w:left w:val="none" w:sz="0" w:space="0" w:color="auto"/>
        <w:bottom w:val="none" w:sz="0" w:space="0" w:color="auto"/>
        <w:right w:val="none" w:sz="0" w:space="0" w:color="auto"/>
      </w:divBdr>
    </w:div>
    <w:div w:id="535043425">
      <w:bodyDiv w:val="1"/>
      <w:marLeft w:val="0"/>
      <w:marRight w:val="0"/>
      <w:marTop w:val="0"/>
      <w:marBottom w:val="0"/>
      <w:divBdr>
        <w:top w:val="none" w:sz="0" w:space="0" w:color="auto"/>
        <w:left w:val="none" w:sz="0" w:space="0" w:color="auto"/>
        <w:bottom w:val="none" w:sz="0" w:space="0" w:color="auto"/>
        <w:right w:val="none" w:sz="0" w:space="0" w:color="auto"/>
      </w:divBdr>
    </w:div>
    <w:div w:id="557479555">
      <w:bodyDiv w:val="1"/>
      <w:marLeft w:val="0"/>
      <w:marRight w:val="0"/>
      <w:marTop w:val="0"/>
      <w:marBottom w:val="0"/>
      <w:divBdr>
        <w:top w:val="none" w:sz="0" w:space="0" w:color="auto"/>
        <w:left w:val="none" w:sz="0" w:space="0" w:color="auto"/>
        <w:bottom w:val="none" w:sz="0" w:space="0" w:color="auto"/>
        <w:right w:val="none" w:sz="0" w:space="0" w:color="auto"/>
      </w:divBdr>
    </w:div>
    <w:div w:id="559942570">
      <w:bodyDiv w:val="1"/>
      <w:marLeft w:val="0"/>
      <w:marRight w:val="0"/>
      <w:marTop w:val="0"/>
      <w:marBottom w:val="0"/>
      <w:divBdr>
        <w:top w:val="none" w:sz="0" w:space="0" w:color="auto"/>
        <w:left w:val="none" w:sz="0" w:space="0" w:color="auto"/>
        <w:bottom w:val="none" w:sz="0" w:space="0" w:color="auto"/>
        <w:right w:val="none" w:sz="0" w:space="0" w:color="auto"/>
      </w:divBdr>
    </w:div>
    <w:div w:id="593829365">
      <w:bodyDiv w:val="1"/>
      <w:marLeft w:val="0"/>
      <w:marRight w:val="0"/>
      <w:marTop w:val="0"/>
      <w:marBottom w:val="0"/>
      <w:divBdr>
        <w:top w:val="none" w:sz="0" w:space="0" w:color="auto"/>
        <w:left w:val="none" w:sz="0" w:space="0" w:color="auto"/>
        <w:bottom w:val="none" w:sz="0" w:space="0" w:color="auto"/>
        <w:right w:val="none" w:sz="0" w:space="0" w:color="auto"/>
      </w:divBdr>
    </w:div>
    <w:div w:id="690839990">
      <w:bodyDiv w:val="1"/>
      <w:marLeft w:val="0"/>
      <w:marRight w:val="0"/>
      <w:marTop w:val="0"/>
      <w:marBottom w:val="0"/>
      <w:divBdr>
        <w:top w:val="none" w:sz="0" w:space="0" w:color="auto"/>
        <w:left w:val="none" w:sz="0" w:space="0" w:color="auto"/>
        <w:bottom w:val="none" w:sz="0" w:space="0" w:color="auto"/>
        <w:right w:val="none" w:sz="0" w:space="0" w:color="auto"/>
      </w:divBdr>
      <w:divsChild>
        <w:div w:id="957377239">
          <w:marLeft w:val="0"/>
          <w:marRight w:val="0"/>
          <w:marTop w:val="0"/>
          <w:marBottom w:val="0"/>
          <w:divBdr>
            <w:top w:val="none" w:sz="0" w:space="0" w:color="auto"/>
            <w:left w:val="none" w:sz="0" w:space="0" w:color="auto"/>
            <w:bottom w:val="none" w:sz="0" w:space="0" w:color="auto"/>
            <w:right w:val="none" w:sz="0" w:space="0" w:color="auto"/>
          </w:divBdr>
        </w:div>
      </w:divsChild>
    </w:div>
    <w:div w:id="765073733">
      <w:bodyDiv w:val="1"/>
      <w:marLeft w:val="0"/>
      <w:marRight w:val="0"/>
      <w:marTop w:val="0"/>
      <w:marBottom w:val="0"/>
      <w:divBdr>
        <w:top w:val="none" w:sz="0" w:space="0" w:color="auto"/>
        <w:left w:val="none" w:sz="0" w:space="0" w:color="auto"/>
        <w:bottom w:val="none" w:sz="0" w:space="0" w:color="auto"/>
        <w:right w:val="none" w:sz="0" w:space="0" w:color="auto"/>
      </w:divBdr>
    </w:div>
    <w:div w:id="77811022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456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3820">
      <w:bodyDiv w:val="1"/>
      <w:marLeft w:val="0"/>
      <w:marRight w:val="0"/>
      <w:marTop w:val="0"/>
      <w:marBottom w:val="0"/>
      <w:divBdr>
        <w:top w:val="none" w:sz="0" w:space="0" w:color="auto"/>
        <w:left w:val="none" w:sz="0" w:space="0" w:color="auto"/>
        <w:bottom w:val="none" w:sz="0" w:space="0" w:color="auto"/>
        <w:right w:val="none" w:sz="0" w:space="0" w:color="auto"/>
      </w:divBdr>
      <w:divsChild>
        <w:div w:id="1402941909">
          <w:marLeft w:val="0"/>
          <w:marRight w:val="0"/>
          <w:marTop w:val="0"/>
          <w:marBottom w:val="0"/>
          <w:divBdr>
            <w:top w:val="none" w:sz="0" w:space="0" w:color="auto"/>
            <w:left w:val="none" w:sz="0" w:space="0" w:color="auto"/>
            <w:bottom w:val="none" w:sz="0" w:space="0" w:color="auto"/>
            <w:right w:val="none" w:sz="0" w:space="0" w:color="auto"/>
          </w:divBdr>
        </w:div>
        <w:div w:id="1485656999">
          <w:marLeft w:val="0"/>
          <w:marRight w:val="0"/>
          <w:marTop w:val="0"/>
          <w:marBottom w:val="0"/>
          <w:divBdr>
            <w:top w:val="none" w:sz="0" w:space="0" w:color="auto"/>
            <w:left w:val="none" w:sz="0" w:space="0" w:color="auto"/>
            <w:bottom w:val="none" w:sz="0" w:space="0" w:color="auto"/>
            <w:right w:val="none" w:sz="0" w:space="0" w:color="auto"/>
          </w:divBdr>
        </w:div>
      </w:divsChild>
    </w:div>
    <w:div w:id="160858436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5424">
      <w:bodyDiv w:val="1"/>
      <w:marLeft w:val="0"/>
      <w:marRight w:val="0"/>
      <w:marTop w:val="0"/>
      <w:marBottom w:val="0"/>
      <w:divBdr>
        <w:top w:val="none" w:sz="0" w:space="0" w:color="auto"/>
        <w:left w:val="none" w:sz="0" w:space="0" w:color="auto"/>
        <w:bottom w:val="none" w:sz="0" w:space="0" w:color="auto"/>
        <w:right w:val="none" w:sz="0" w:space="0" w:color="auto"/>
      </w:divBdr>
    </w:div>
    <w:div w:id="1854412044">
      <w:bodyDiv w:val="1"/>
      <w:marLeft w:val="0"/>
      <w:marRight w:val="0"/>
      <w:marTop w:val="0"/>
      <w:marBottom w:val="0"/>
      <w:divBdr>
        <w:top w:val="none" w:sz="0" w:space="0" w:color="auto"/>
        <w:left w:val="none" w:sz="0" w:space="0" w:color="auto"/>
        <w:bottom w:val="none" w:sz="0" w:space="0" w:color="auto"/>
        <w:right w:val="none" w:sz="0" w:space="0" w:color="auto"/>
      </w:divBdr>
    </w:div>
    <w:div w:id="1872837052">
      <w:bodyDiv w:val="1"/>
      <w:marLeft w:val="0"/>
      <w:marRight w:val="0"/>
      <w:marTop w:val="0"/>
      <w:marBottom w:val="0"/>
      <w:divBdr>
        <w:top w:val="none" w:sz="0" w:space="0" w:color="auto"/>
        <w:left w:val="none" w:sz="0" w:space="0" w:color="auto"/>
        <w:bottom w:val="none" w:sz="0" w:space="0" w:color="auto"/>
        <w:right w:val="none" w:sz="0" w:space="0" w:color="auto"/>
      </w:divBdr>
    </w:div>
    <w:div w:id="1918859037">
      <w:bodyDiv w:val="1"/>
      <w:marLeft w:val="0"/>
      <w:marRight w:val="0"/>
      <w:marTop w:val="0"/>
      <w:marBottom w:val="0"/>
      <w:divBdr>
        <w:top w:val="none" w:sz="0" w:space="0" w:color="auto"/>
        <w:left w:val="none" w:sz="0" w:space="0" w:color="auto"/>
        <w:bottom w:val="none" w:sz="0" w:space="0" w:color="auto"/>
        <w:right w:val="none" w:sz="0" w:space="0" w:color="auto"/>
      </w:divBdr>
    </w:div>
    <w:div w:id="207763164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5.wmf"/><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3.bin"/><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png"/><Relationship Id="rId36" Type="http://schemas.openxmlformats.org/officeDocument/2006/relationships/oleObject" Target="embeddings/oleObject15.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4.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3" ma:contentTypeDescription="Creare un nuovo documento." ma:contentTypeScope="" ma:versionID="05a2ae36c3ebe30dd08a4a96e9f7922c">
  <xsd:schema xmlns:xsd="http://www.w3.org/2001/XMLSchema" xmlns:xs="http://www.w3.org/2001/XMLSchema" xmlns:p="http://schemas.microsoft.com/office/2006/metadata/properties" xmlns:ns3="cbf4709b-61c0-47b0-9eac-e8ebcc034ad4" xmlns:ns4="af762feb-2118-4029-a7e0-237917f89237" targetNamespace="http://schemas.microsoft.com/office/2006/metadata/properties" ma:root="true" ma:fieldsID="aa726e6a1201765fee3687dd31dbfd5c" ns3:_="" ns4:_="">
    <xsd:import namespace="cbf4709b-61c0-47b0-9eac-e8ebcc034ad4"/>
    <xsd:import namespace="af762feb-2118-4029-a7e0-237917f892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2AC4-0863-486D-8AE7-159982B2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4709b-61c0-47b0-9eac-e8ebcc034ad4"/>
    <ds:schemaRef ds:uri="af762feb-2118-4029-a7e0-237917f89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D9793-A5FB-42E3-BE8A-DCE695C96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350088-39BF-43AF-ACC8-A657D046EB77}">
  <ds:schemaRefs>
    <ds:schemaRef ds:uri="http://schemas.microsoft.com/sharepoint/v3/contenttype/forms"/>
  </ds:schemaRefs>
</ds:datastoreItem>
</file>

<file path=customXml/itemProps4.xml><?xml version="1.0" encoding="utf-8"?>
<ds:datastoreItem xmlns:ds="http://schemas.openxmlformats.org/officeDocument/2006/customXml" ds:itemID="{05FDE6D6-0982-4C59-AC34-2F011FC7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3995</Words>
  <Characters>22777</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raffaella</cp:lastModifiedBy>
  <cp:revision>9</cp:revision>
  <cp:lastPrinted>2015-05-12T18:31:00Z</cp:lastPrinted>
  <dcterms:created xsi:type="dcterms:W3CDTF">2020-06-15T07:44:00Z</dcterms:created>
  <dcterms:modified xsi:type="dcterms:W3CDTF">2020-08-31T10:37:00Z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0x010100A419FA0100E36D4D906EDEC5D55162E9</vt:lpwstr>
  </property>
</Properties>
</file>