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3C3724" w14:paraId="2AD838A3" w14:textId="77777777" w:rsidTr="003C3724">
        <w:trPr>
          <w:trHeight w:val="852"/>
          <w:jc w:val="center"/>
        </w:trPr>
        <w:tc>
          <w:tcPr>
            <w:tcW w:w="6946" w:type="dxa"/>
            <w:vMerge w:val="restart"/>
            <w:tcBorders>
              <w:top w:val="nil"/>
              <w:left w:val="nil"/>
              <w:bottom w:val="nil"/>
              <w:right w:val="single" w:sz="4" w:space="0" w:color="auto"/>
            </w:tcBorders>
            <w:hideMark/>
          </w:tcPr>
          <w:p w14:paraId="7574F210" w14:textId="63BF8099" w:rsidR="003C3724" w:rsidRDefault="003C3724" w:rsidP="006A6D0C">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04845CD3" wp14:editId="20010F95">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22774EE5" w14:textId="77777777" w:rsidR="003C3724" w:rsidRDefault="003C3724" w:rsidP="006A6D0C">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561A5D10" w14:textId="77777777" w:rsidR="003C3724" w:rsidRDefault="003C3724" w:rsidP="006A6D0C">
            <w:pPr>
              <w:jc w:val="right"/>
              <w:rPr>
                <w:rFonts w:cs="Arial"/>
                <w:sz w:val="14"/>
                <w:szCs w:val="14"/>
              </w:rPr>
            </w:pPr>
            <w:r>
              <w:rPr>
                <w:rFonts w:cs="Arial"/>
                <w:sz w:val="14"/>
                <w:szCs w:val="14"/>
              </w:rPr>
              <w:t>A publication of</w:t>
            </w:r>
          </w:p>
          <w:p w14:paraId="4C711FA7" w14:textId="0DC15398" w:rsidR="003C3724" w:rsidRDefault="003C3724" w:rsidP="006A6D0C">
            <w:pPr>
              <w:jc w:val="right"/>
            </w:pPr>
            <w:r>
              <w:rPr>
                <w:noProof/>
                <w:lang w:val="it-IT" w:eastAsia="it-IT"/>
              </w:rPr>
              <w:drawing>
                <wp:inline distT="0" distB="0" distL="0" distR="0" wp14:anchorId="64E9B941" wp14:editId="71C78189">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3C3724" w14:paraId="2689FFF9" w14:textId="77777777" w:rsidTr="003C3724">
        <w:trPr>
          <w:trHeight w:val="567"/>
          <w:jc w:val="center"/>
        </w:trPr>
        <w:tc>
          <w:tcPr>
            <w:tcW w:w="0" w:type="auto"/>
            <w:vMerge/>
            <w:tcBorders>
              <w:top w:val="nil"/>
              <w:left w:val="nil"/>
              <w:bottom w:val="nil"/>
              <w:right w:val="single" w:sz="4" w:space="0" w:color="auto"/>
            </w:tcBorders>
            <w:vAlign w:val="center"/>
            <w:hideMark/>
          </w:tcPr>
          <w:p w14:paraId="44019F6E" w14:textId="77777777" w:rsidR="003C3724" w:rsidRDefault="003C3724" w:rsidP="006A6D0C">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D4E0D1D" w14:textId="77777777" w:rsidR="003C3724" w:rsidRDefault="003C3724" w:rsidP="006A6D0C">
            <w:pPr>
              <w:jc w:val="right"/>
              <w:rPr>
                <w:rFonts w:cs="Arial"/>
                <w:sz w:val="14"/>
                <w:szCs w:val="14"/>
              </w:rPr>
            </w:pPr>
            <w:r>
              <w:rPr>
                <w:rFonts w:cs="Arial"/>
                <w:sz w:val="14"/>
                <w:szCs w:val="14"/>
              </w:rPr>
              <w:t>The Italian Association</w:t>
            </w:r>
          </w:p>
          <w:p w14:paraId="0659D653" w14:textId="77777777" w:rsidR="003C3724" w:rsidRDefault="003C3724" w:rsidP="006A6D0C">
            <w:pPr>
              <w:jc w:val="right"/>
              <w:rPr>
                <w:rFonts w:cs="Arial"/>
                <w:sz w:val="14"/>
                <w:szCs w:val="14"/>
              </w:rPr>
            </w:pPr>
            <w:r>
              <w:rPr>
                <w:rFonts w:cs="Arial"/>
                <w:sz w:val="14"/>
                <w:szCs w:val="14"/>
              </w:rPr>
              <w:t>of Chemical Engineering</w:t>
            </w:r>
          </w:p>
          <w:p w14:paraId="3F7FD7E3" w14:textId="77777777" w:rsidR="003C3724" w:rsidRDefault="003C3724" w:rsidP="006A6D0C">
            <w:pPr>
              <w:jc w:val="right"/>
              <w:rPr>
                <w:rFonts w:cs="Arial"/>
                <w:sz w:val="13"/>
                <w:szCs w:val="13"/>
              </w:rPr>
            </w:pPr>
            <w:r>
              <w:rPr>
                <w:rFonts w:cs="Arial"/>
                <w:sz w:val="13"/>
                <w:szCs w:val="13"/>
              </w:rPr>
              <w:t>Online at www.cetjournal.it</w:t>
            </w:r>
          </w:p>
        </w:tc>
      </w:tr>
      <w:tr w:rsidR="003C3724" w14:paraId="2A75EC2C" w14:textId="77777777" w:rsidTr="003C3724">
        <w:trPr>
          <w:trHeight w:val="68"/>
          <w:jc w:val="center"/>
        </w:trPr>
        <w:tc>
          <w:tcPr>
            <w:tcW w:w="8789" w:type="dxa"/>
            <w:gridSpan w:val="2"/>
            <w:tcBorders>
              <w:top w:val="nil"/>
              <w:left w:val="nil"/>
              <w:bottom w:val="single" w:sz="4" w:space="0" w:color="auto"/>
              <w:right w:val="nil"/>
            </w:tcBorders>
            <w:hideMark/>
          </w:tcPr>
          <w:p w14:paraId="172DCB80" w14:textId="77777777" w:rsidR="003C3724" w:rsidRDefault="003C3724" w:rsidP="006A6D0C">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2E4B162" w14:textId="77777777" w:rsidR="003C3724" w:rsidRDefault="003C3724" w:rsidP="006A6D0C">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6A6D0C">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2BC6993F" w:rsidR="00E978D0" w:rsidRPr="001B53F6" w:rsidRDefault="00BE629C" w:rsidP="006A6D0C">
      <w:pPr>
        <w:pStyle w:val="CETTitle"/>
      </w:pPr>
      <w:r w:rsidRPr="001B53F6">
        <w:lastRenderedPageBreak/>
        <w:t>Application of HAZOP, LOPA and SIL to an Alkylation Unit in a Refine</w:t>
      </w:r>
      <w:r w:rsidR="008F0516" w:rsidRPr="001B53F6">
        <w:t>r</w:t>
      </w:r>
      <w:r w:rsidRPr="001B53F6">
        <w:t xml:space="preserve">y: a </w:t>
      </w:r>
      <w:r w:rsidR="001B53F6">
        <w:t>C</w:t>
      </w:r>
      <w:r w:rsidRPr="001B53F6">
        <w:t xml:space="preserve">ase </w:t>
      </w:r>
      <w:r w:rsidR="001B53F6">
        <w:t>S</w:t>
      </w:r>
      <w:r w:rsidRPr="001B53F6">
        <w:t>tudy</w:t>
      </w:r>
    </w:p>
    <w:p w14:paraId="2B3CA35C" w14:textId="2F700BD6" w:rsidR="00E978D0" w:rsidRPr="00776CA3" w:rsidRDefault="000C4F36" w:rsidP="006A6D0C">
      <w:pPr>
        <w:pStyle w:val="CETAuthors"/>
        <w:rPr>
          <w:lang w:val="es-MX"/>
        </w:rPr>
      </w:pPr>
      <w:r w:rsidRPr="00776CA3">
        <w:rPr>
          <w:lang w:val="es-MX"/>
        </w:rPr>
        <w:t>Juliana Puello*</w:t>
      </w:r>
      <w:r w:rsidR="00600535" w:rsidRPr="00776CA3">
        <w:rPr>
          <w:lang w:val="es-MX"/>
        </w:rPr>
        <w:t xml:space="preserve">, </w:t>
      </w:r>
      <w:r w:rsidRPr="00776CA3">
        <w:rPr>
          <w:lang w:val="es-MX"/>
        </w:rPr>
        <w:t>Sonia Gómez</w:t>
      </w:r>
      <w:r w:rsidR="005B1E0B" w:rsidRPr="00776CA3">
        <w:rPr>
          <w:lang w:val="es-MX"/>
        </w:rPr>
        <w:t xml:space="preserve">, </w:t>
      </w:r>
      <w:r w:rsidR="00F74E3A" w:rsidRPr="00776CA3">
        <w:rPr>
          <w:lang w:val="es-MX"/>
        </w:rPr>
        <w:t>Ingry Ruiz</w:t>
      </w:r>
      <w:r w:rsidR="00F74E3A">
        <w:rPr>
          <w:lang w:val="es-MX"/>
        </w:rPr>
        <w:t xml:space="preserve">, </w:t>
      </w:r>
      <w:r w:rsidR="005B1E0B" w:rsidRPr="00776CA3">
        <w:rPr>
          <w:lang w:val="es-MX"/>
        </w:rPr>
        <w:t>Stefany</w:t>
      </w:r>
      <w:r w:rsidR="00482BA7" w:rsidRPr="00776CA3">
        <w:rPr>
          <w:lang w:val="es-MX"/>
        </w:rPr>
        <w:t xml:space="preserve"> Lombana, Stefanny</w:t>
      </w:r>
      <w:r w:rsidR="006D11A6" w:rsidRPr="00776CA3">
        <w:rPr>
          <w:lang w:val="es-MX"/>
        </w:rPr>
        <w:t xml:space="preserve"> Figueroa</w:t>
      </w:r>
    </w:p>
    <w:p w14:paraId="5053C5A8" w14:textId="539249E0" w:rsidR="00E978D0" w:rsidRPr="00B57B36" w:rsidRDefault="00320B16" w:rsidP="006A6D0C">
      <w:pPr>
        <w:pStyle w:val="CETAddress"/>
        <w:spacing w:line="264" w:lineRule="auto"/>
      </w:pPr>
      <w:r>
        <w:t xml:space="preserve">Chemical Engineering Department, </w:t>
      </w:r>
      <w:r w:rsidR="00B67D85">
        <w:t>Universidad de San Buenaventura Cartagena, Dg 32 #30-966, Cartagena, Colombia</w:t>
      </w:r>
      <w:r w:rsidR="00E978D0" w:rsidRPr="00B57B36">
        <w:t xml:space="preserve"> </w:t>
      </w:r>
    </w:p>
    <w:p w14:paraId="0127A28D" w14:textId="1735FA50" w:rsidR="00E978D0" w:rsidRPr="00B57B36" w:rsidRDefault="00B67D85" w:rsidP="006A6D0C">
      <w:pPr>
        <w:pStyle w:val="CETemail"/>
        <w:spacing w:line="264" w:lineRule="auto"/>
      </w:pPr>
      <w:r>
        <w:t>jpuello@usbctg.edu.co</w:t>
      </w:r>
    </w:p>
    <w:p w14:paraId="37A61FCE" w14:textId="3A638639" w:rsidR="00DA24C6" w:rsidRDefault="00EE6C24" w:rsidP="006A6D0C">
      <w:pPr>
        <w:pStyle w:val="CETBodytext"/>
      </w:pPr>
      <w:r>
        <w:rPr>
          <w:lang w:val="en-GB"/>
        </w:rPr>
        <w:t xml:space="preserve">In a refinery, an alkylation unit is </w:t>
      </w:r>
      <w:r w:rsidR="004A4C37">
        <w:rPr>
          <w:lang w:val="en-GB"/>
        </w:rPr>
        <w:t xml:space="preserve">a </w:t>
      </w:r>
      <w:r>
        <w:rPr>
          <w:lang w:val="en-GB"/>
        </w:rPr>
        <w:t xml:space="preserve">process </w:t>
      </w:r>
      <w:r w:rsidR="004A4C37">
        <w:rPr>
          <w:lang w:val="en-GB"/>
        </w:rPr>
        <w:t xml:space="preserve">for </w:t>
      </w:r>
      <w:r>
        <w:rPr>
          <w:lang w:val="en-GB"/>
        </w:rPr>
        <w:t>producing gasoline range material (alkylate) from olefins such as propylene, isobutene, butylene</w:t>
      </w:r>
      <w:r w:rsidR="000006D2">
        <w:rPr>
          <w:lang w:val="en-GB"/>
        </w:rPr>
        <w:t>,</w:t>
      </w:r>
      <w:r>
        <w:rPr>
          <w:lang w:val="en-GB"/>
        </w:rPr>
        <w:t xml:space="preserve"> and pentene.</w:t>
      </w:r>
      <w:r w:rsidR="007745B6">
        <w:rPr>
          <w:lang w:val="en-GB"/>
        </w:rPr>
        <w:t xml:space="preserve"> In the alkylation process, light hydrocarbons from the Fluid Catalytic Cracking Unit (FCC) rea</w:t>
      </w:r>
      <w:r w:rsidR="00855430">
        <w:rPr>
          <w:lang w:val="en-GB"/>
        </w:rPr>
        <w:t>ct in presence of a catalyst (h</w:t>
      </w:r>
      <w:r w:rsidR="007745B6">
        <w:rPr>
          <w:lang w:val="en-GB"/>
        </w:rPr>
        <w:t>ydrofluoric acid or sulphuric acid)</w:t>
      </w:r>
      <w:r w:rsidR="005D60C9">
        <w:rPr>
          <w:lang w:val="en-GB"/>
        </w:rPr>
        <w:t xml:space="preserve">, to form a mixture of heavier hydrocarbons. After the reaction, the alkylate meets the specification as high octane </w:t>
      </w:r>
      <w:r w:rsidR="00025BC4">
        <w:rPr>
          <w:lang w:val="en-GB"/>
        </w:rPr>
        <w:t>gasoline.</w:t>
      </w:r>
      <w:r w:rsidR="00152C88">
        <w:rPr>
          <w:lang w:val="en-GB"/>
        </w:rPr>
        <w:t xml:space="preserve"> Important safety considerations in this process are related to the catalyst. For example, if hydrofluoric acid </w:t>
      </w:r>
      <w:r w:rsidR="004B1AAE">
        <w:rPr>
          <w:lang w:val="en-GB"/>
        </w:rPr>
        <w:t>(HF) is used, its high vapour pressure, making it easily vaporized if a leak occurs in the units.</w:t>
      </w:r>
      <w:r w:rsidR="00BB1323">
        <w:rPr>
          <w:lang w:val="en-GB"/>
        </w:rPr>
        <w:t xml:space="preserve"> HF can travel a significant distance as a dense vapour.</w:t>
      </w:r>
      <w:r w:rsidR="00C86334">
        <w:rPr>
          <w:lang w:val="en-GB"/>
        </w:rPr>
        <w:t xml:space="preserve"> Even though a small concentration of HF is used in the reaction, it is still enough to cause human and environmental problems, since it is a very corrosive and toxic inorganic acid.</w:t>
      </w:r>
      <w:r w:rsidR="00E63A1D">
        <w:rPr>
          <w:lang w:val="en-GB"/>
        </w:rPr>
        <w:t xml:space="preserve"> The objective of this study was to evaluate the hazards in the alkylation unit at a refinery located in Latin America, applying HAZOP, LOPA</w:t>
      </w:r>
      <w:r w:rsidR="001D082D">
        <w:rPr>
          <w:lang w:val="en-GB"/>
        </w:rPr>
        <w:t>,</w:t>
      </w:r>
      <w:r w:rsidR="00E63A1D">
        <w:rPr>
          <w:lang w:val="en-GB"/>
        </w:rPr>
        <w:t xml:space="preserve"> and SIL methodologies. This study is based on the assumption that the process operates according to the conditions intended in its design, thus the risk and operability problems are unlikely to occur.</w:t>
      </w:r>
      <w:r w:rsidR="00C809D8">
        <w:rPr>
          <w:lang w:val="en-GB"/>
        </w:rPr>
        <w:t xml:space="preserve"> The HAZOP </w:t>
      </w:r>
      <w:r w:rsidR="00D66643">
        <w:rPr>
          <w:lang w:val="en-GB"/>
        </w:rPr>
        <w:t xml:space="preserve">(Hazard and Operability Study) </w:t>
      </w:r>
      <w:r w:rsidR="00C809D8">
        <w:rPr>
          <w:lang w:val="en-GB"/>
        </w:rPr>
        <w:t>analysis covered 13 sections of the alkylation process. Hazardous scenarios were categorized as: related to safety, environmental, and financial</w:t>
      </w:r>
      <w:r w:rsidR="002041CF">
        <w:rPr>
          <w:lang w:val="en-GB"/>
        </w:rPr>
        <w:t>; each topic was also risk ranked to assess the strength of existing safeguards</w:t>
      </w:r>
      <w:r w:rsidR="00BE7F88">
        <w:rPr>
          <w:lang w:val="en-GB"/>
        </w:rPr>
        <w:t>. The causes of hazardous scenarios were identified including human error, equipment failure</w:t>
      </w:r>
      <w:r w:rsidR="005B1AB6">
        <w:rPr>
          <w:lang w:val="en-GB"/>
        </w:rPr>
        <w:t>,</w:t>
      </w:r>
      <w:r w:rsidR="00BE7F88">
        <w:rPr>
          <w:lang w:val="en-GB"/>
        </w:rPr>
        <w:t xml:space="preserve"> and external events. The severity of deviations was evaluated without any protection or safeguards. From all the deviations that were analysed, 24 scenarios were identified as significant </w:t>
      </w:r>
      <w:r w:rsidR="00AE3EE8">
        <w:rPr>
          <w:lang w:val="en-GB"/>
        </w:rPr>
        <w:t xml:space="preserve">risk </w:t>
      </w:r>
      <w:r w:rsidR="00BE7F88">
        <w:rPr>
          <w:lang w:val="en-GB"/>
        </w:rPr>
        <w:t xml:space="preserve">and of high risk. </w:t>
      </w:r>
      <w:r w:rsidR="00EE461B">
        <w:rPr>
          <w:lang w:val="en-GB"/>
        </w:rPr>
        <w:t>These scenarios were then analysed</w:t>
      </w:r>
      <w:r w:rsidR="00BE7F88">
        <w:rPr>
          <w:lang w:val="en-GB"/>
        </w:rPr>
        <w:t xml:space="preserve"> by LOPA</w:t>
      </w:r>
      <w:r w:rsidR="00FC59FA">
        <w:rPr>
          <w:lang w:val="en-GB"/>
        </w:rPr>
        <w:t xml:space="preserve"> (L</w:t>
      </w:r>
      <w:r w:rsidR="00CF50BB">
        <w:rPr>
          <w:lang w:val="en-GB"/>
        </w:rPr>
        <w:t>ayer</w:t>
      </w:r>
      <w:r w:rsidR="00FC59FA">
        <w:rPr>
          <w:lang w:val="en-GB"/>
        </w:rPr>
        <w:t xml:space="preserve"> of Protection analysis)</w:t>
      </w:r>
      <w:r w:rsidR="00BE7F88">
        <w:rPr>
          <w:lang w:val="en-GB"/>
        </w:rPr>
        <w:t xml:space="preserve"> and SIL </w:t>
      </w:r>
      <w:r w:rsidR="00CF50BB">
        <w:rPr>
          <w:lang w:val="en-GB"/>
        </w:rPr>
        <w:t xml:space="preserve">(Safety Integrity Level) </w:t>
      </w:r>
      <w:r w:rsidR="00BE7F88">
        <w:rPr>
          <w:lang w:val="en-GB"/>
        </w:rPr>
        <w:t>methodologies</w:t>
      </w:r>
      <w:r w:rsidR="00EE461B">
        <w:rPr>
          <w:lang w:val="en-GB"/>
        </w:rPr>
        <w:t xml:space="preserve">, to identify the layers of protection that mitigate the hazardous scenarios found in the HAZOP </w:t>
      </w:r>
      <w:r w:rsidR="00D306B1">
        <w:rPr>
          <w:lang w:val="en-GB"/>
        </w:rPr>
        <w:t xml:space="preserve">analysis, as well as assigning a PFD (probability of failure on demand) value on each safeguard. Based on this, recommendations are provided, </w:t>
      </w:r>
      <w:r w:rsidR="00531744">
        <w:rPr>
          <w:lang w:val="en-GB"/>
        </w:rPr>
        <w:t>to</w:t>
      </w:r>
      <w:r w:rsidR="00D306B1">
        <w:rPr>
          <w:lang w:val="en-GB"/>
        </w:rPr>
        <w:t xml:space="preserve"> mitigate the consequences or improve the operational capability</w:t>
      </w:r>
    </w:p>
    <w:p w14:paraId="476B2F2E" w14:textId="77777777" w:rsidR="00600535" w:rsidRPr="00B57B36" w:rsidRDefault="00600535" w:rsidP="006A6D0C">
      <w:pPr>
        <w:pStyle w:val="CETHeading1"/>
        <w:spacing w:line="264" w:lineRule="auto"/>
        <w:rPr>
          <w:lang w:val="en-GB"/>
        </w:rPr>
      </w:pPr>
      <w:r w:rsidRPr="00B57B36">
        <w:rPr>
          <w:lang w:val="en-GB"/>
        </w:rPr>
        <w:t>Introduction</w:t>
      </w:r>
    </w:p>
    <w:p w14:paraId="23F86FEF" w14:textId="0CE9D60A" w:rsidR="00600535" w:rsidRPr="002D2A26" w:rsidRDefault="00B542FD" w:rsidP="006A6D0C">
      <w:pPr>
        <w:rPr>
          <w:rFonts w:cs="Arial"/>
        </w:rPr>
      </w:pPr>
      <w:r w:rsidRPr="005C4EBE">
        <w:rPr>
          <w:rFonts w:cs="Arial"/>
          <w:lang w:val="en-US"/>
        </w:rPr>
        <w:t xml:space="preserve">The alkylation </w:t>
      </w:r>
      <w:r w:rsidRPr="005C4EBE">
        <w:rPr>
          <w:rFonts w:cs="Arial"/>
        </w:rPr>
        <w:t xml:space="preserve">unit performs an important role, since its product, </w:t>
      </w:r>
      <w:r w:rsidRPr="005C4EBE">
        <w:rPr>
          <w:rFonts w:cs="Arial"/>
          <w:lang w:val="en-US"/>
        </w:rPr>
        <w:t xml:space="preserve">a high-value alkylate, is used as </w:t>
      </w:r>
      <w:r>
        <w:rPr>
          <w:rFonts w:cs="Arial"/>
          <w:lang w:val="en-US"/>
        </w:rPr>
        <w:t>a gasoline blending component</w:t>
      </w:r>
      <w:r w:rsidR="00C01A27" w:rsidRPr="00AB7DBF">
        <w:rPr>
          <w:rFonts w:cs="Arial"/>
          <w:lang w:val="en-US"/>
        </w:rPr>
        <w:t xml:space="preserve">. </w:t>
      </w:r>
      <w:r w:rsidR="00A06077">
        <w:rPr>
          <w:rFonts w:cs="Arial"/>
          <w:lang w:val="en-US"/>
        </w:rPr>
        <w:t xml:space="preserve">HF alkylation unit converts some products that are of limited use (i.e. butane, </w:t>
      </w:r>
      <w:proofErr w:type="spellStart"/>
      <w:r w:rsidR="00A06077">
        <w:rPr>
          <w:rFonts w:cs="Arial"/>
          <w:lang w:val="en-US"/>
        </w:rPr>
        <w:t>propene</w:t>
      </w:r>
      <w:proofErr w:type="spellEnd"/>
      <w:r w:rsidR="00A06077">
        <w:rPr>
          <w:rFonts w:cs="Arial"/>
          <w:lang w:val="en-US"/>
        </w:rPr>
        <w:t xml:space="preserve">, butane) </w:t>
      </w:r>
      <w:r w:rsidR="00A06077" w:rsidRPr="005C4EBE">
        <w:rPr>
          <w:rFonts w:cs="Arial"/>
          <w:lang w:val="en-US"/>
        </w:rPr>
        <w:t xml:space="preserve">to </w:t>
      </w:r>
      <w:proofErr w:type="spellStart"/>
      <w:r w:rsidR="00A06077" w:rsidRPr="005C4EBE">
        <w:rPr>
          <w:rFonts w:cs="Arial"/>
          <w:lang w:val="en-US"/>
        </w:rPr>
        <w:t>iso</w:t>
      </w:r>
      <w:proofErr w:type="spellEnd"/>
      <w:r w:rsidR="00A06077" w:rsidRPr="005C4EBE">
        <w:rPr>
          <w:rFonts w:cs="Arial"/>
          <w:lang w:val="en-US"/>
        </w:rPr>
        <w:t>-butane</w:t>
      </w:r>
      <w:r w:rsidR="00A06077" w:rsidRPr="005C4EBE">
        <w:rPr>
          <w:rFonts w:cs="Arial"/>
        </w:rPr>
        <w:t xml:space="preserve"> (</w:t>
      </w:r>
      <w:r w:rsidR="00A06077">
        <w:rPr>
          <w:rFonts w:cs="Arial"/>
        </w:rPr>
        <w:t>Tamm et al., 2018</w:t>
      </w:r>
      <w:r w:rsidR="00A06077" w:rsidRPr="005C4EBE">
        <w:rPr>
          <w:rFonts w:cs="Arial"/>
        </w:rPr>
        <w:t>)</w:t>
      </w:r>
      <w:r w:rsidR="00C01A27" w:rsidRPr="005C4EBE">
        <w:rPr>
          <w:rFonts w:cs="Arial"/>
          <w:lang w:val="en-US"/>
        </w:rPr>
        <w:t>.</w:t>
      </w:r>
      <w:r w:rsidR="00C01A27" w:rsidRPr="005C4EBE">
        <w:rPr>
          <w:rFonts w:cs="Arial"/>
        </w:rPr>
        <w:t xml:space="preserve"> </w:t>
      </w:r>
      <w:r w:rsidR="001A4642">
        <w:rPr>
          <w:rFonts w:cs="Arial"/>
        </w:rPr>
        <w:t>On the other side, t</w:t>
      </w:r>
      <w:r w:rsidR="009A19FE" w:rsidRPr="005C4EBE">
        <w:rPr>
          <w:rFonts w:cs="Arial"/>
        </w:rPr>
        <w:t xml:space="preserve">he hydrofluoric acid (HF) </w:t>
      </w:r>
      <w:r w:rsidR="005A3EA6" w:rsidRPr="005C4EBE">
        <w:rPr>
          <w:rFonts w:cs="Arial"/>
        </w:rPr>
        <w:t>catalysed</w:t>
      </w:r>
      <w:r w:rsidR="009A19FE" w:rsidRPr="005C4EBE">
        <w:rPr>
          <w:rFonts w:cs="Arial"/>
        </w:rPr>
        <w:t xml:space="preserve"> alkylation </w:t>
      </w:r>
      <w:r w:rsidR="009F01B9" w:rsidRPr="005C4EBE">
        <w:rPr>
          <w:rFonts w:cs="Arial"/>
        </w:rPr>
        <w:t xml:space="preserve">represents potential hazards </w:t>
      </w:r>
      <w:r w:rsidR="002B24E8">
        <w:rPr>
          <w:rFonts w:cs="Arial"/>
        </w:rPr>
        <w:t xml:space="preserve">for </w:t>
      </w:r>
      <w:r w:rsidR="00B95056" w:rsidRPr="005C4EBE">
        <w:rPr>
          <w:rFonts w:cs="Arial"/>
          <w:lang w:val="en-US"/>
        </w:rPr>
        <w:t xml:space="preserve">the process itself </w:t>
      </w:r>
      <w:r w:rsidR="00B95056">
        <w:rPr>
          <w:rFonts w:cs="Arial"/>
          <w:lang w:val="en-US"/>
        </w:rPr>
        <w:t xml:space="preserve">and </w:t>
      </w:r>
      <w:r w:rsidR="002B24E8" w:rsidRPr="005C4EBE">
        <w:rPr>
          <w:rFonts w:cs="Arial"/>
          <w:lang w:val="en-US"/>
        </w:rPr>
        <w:t xml:space="preserve">the people who operate </w:t>
      </w:r>
      <w:r w:rsidR="00B95056">
        <w:rPr>
          <w:rFonts w:cs="Arial"/>
          <w:lang w:val="en-US"/>
        </w:rPr>
        <w:t>it</w:t>
      </w:r>
      <w:r w:rsidR="007122B3" w:rsidRPr="005C4EBE">
        <w:rPr>
          <w:rFonts w:cs="Arial"/>
        </w:rPr>
        <w:t>,</w:t>
      </w:r>
      <w:r w:rsidR="00800C91" w:rsidRPr="005C4EBE">
        <w:rPr>
          <w:rFonts w:cs="Arial"/>
        </w:rPr>
        <w:t xml:space="preserve"> </w:t>
      </w:r>
      <w:r w:rsidR="00FD72A6">
        <w:rPr>
          <w:rFonts w:cs="Arial"/>
        </w:rPr>
        <w:t xml:space="preserve">so </w:t>
      </w:r>
      <w:r w:rsidR="00800C91" w:rsidRPr="005C4EBE">
        <w:rPr>
          <w:rFonts w:cs="Arial"/>
        </w:rPr>
        <w:t xml:space="preserve">the units for this process meet </w:t>
      </w:r>
      <w:r w:rsidR="0050231C" w:rsidRPr="005C4EBE">
        <w:rPr>
          <w:rFonts w:cs="Arial"/>
        </w:rPr>
        <w:t xml:space="preserve">high safety </w:t>
      </w:r>
      <w:r w:rsidR="00800C91" w:rsidRPr="005C4EBE">
        <w:rPr>
          <w:rFonts w:cs="Arial"/>
        </w:rPr>
        <w:t xml:space="preserve">special requirements for their construction materials and operational practices </w:t>
      </w:r>
      <w:r w:rsidR="00051142" w:rsidRPr="005C4EBE">
        <w:rPr>
          <w:rFonts w:cs="Arial"/>
        </w:rPr>
        <w:t xml:space="preserve">contemplated </w:t>
      </w:r>
      <w:r w:rsidR="006653BB">
        <w:rPr>
          <w:rFonts w:cs="Arial"/>
        </w:rPr>
        <w:t>in its</w:t>
      </w:r>
      <w:r w:rsidR="00800C91" w:rsidRPr="005C4EBE">
        <w:rPr>
          <w:rFonts w:cs="Arial"/>
        </w:rPr>
        <w:t xml:space="preserve"> design, </w:t>
      </w:r>
      <w:r w:rsidR="00E17466" w:rsidRPr="005C4EBE">
        <w:rPr>
          <w:rFonts w:cs="Arial"/>
        </w:rPr>
        <w:t>construction and op</w:t>
      </w:r>
      <w:r w:rsidR="00D6109A" w:rsidRPr="005C4EBE">
        <w:rPr>
          <w:rFonts w:cs="Arial"/>
        </w:rPr>
        <w:t>e</w:t>
      </w:r>
      <w:r w:rsidR="002B24E8">
        <w:rPr>
          <w:rFonts w:cs="Arial"/>
        </w:rPr>
        <w:t>ration</w:t>
      </w:r>
      <w:r w:rsidR="006835C3" w:rsidRPr="005C4EBE">
        <w:rPr>
          <w:rFonts w:cs="Arial"/>
          <w:lang w:val="en-US"/>
        </w:rPr>
        <w:t xml:space="preserve"> </w:t>
      </w:r>
      <w:r w:rsidR="003B3DBB" w:rsidRPr="005C4EBE">
        <w:rPr>
          <w:rFonts w:cs="Arial"/>
          <w:lang w:val="en-US"/>
        </w:rPr>
        <w:t>(</w:t>
      </w:r>
      <w:r w:rsidR="006334EA">
        <w:rPr>
          <w:rFonts w:cs="Arial"/>
          <w:lang w:val="en-US"/>
        </w:rPr>
        <w:t xml:space="preserve">Vogt and </w:t>
      </w:r>
      <w:proofErr w:type="spellStart"/>
      <w:r w:rsidR="006334EA">
        <w:rPr>
          <w:rFonts w:cs="Arial"/>
          <w:lang w:val="en-US"/>
        </w:rPr>
        <w:t>Weckhuysen</w:t>
      </w:r>
      <w:proofErr w:type="spellEnd"/>
      <w:r w:rsidR="006334EA">
        <w:rPr>
          <w:rFonts w:cs="Arial"/>
          <w:lang w:val="en-US"/>
        </w:rPr>
        <w:t>, 2015</w:t>
      </w:r>
      <w:r w:rsidR="003B3DBB" w:rsidRPr="005C4EBE">
        <w:rPr>
          <w:rFonts w:cs="Arial"/>
          <w:lang w:val="en-US"/>
        </w:rPr>
        <w:t>)</w:t>
      </w:r>
      <w:r w:rsidR="00B95056">
        <w:rPr>
          <w:rFonts w:cs="Arial"/>
          <w:lang w:val="en-US"/>
        </w:rPr>
        <w:t xml:space="preserve"> </w:t>
      </w:r>
      <w:r w:rsidR="002B24E8">
        <w:rPr>
          <w:rFonts w:cs="Arial"/>
          <w:lang w:val="en-US"/>
        </w:rPr>
        <w:t xml:space="preserve">and also </w:t>
      </w:r>
      <w:r w:rsidR="003B3DBB" w:rsidRPr="005C4EBE">
        <w:rPr>
          <w:rFonts w:cs="Arial"/>
          <w:lang w:val="en-US"/>
        </w:rPr>
        <w:t xml:space="preserve">follow an adequate safety system for </w:t>
      </w:r>
      <w:r w:rsidR="002B24E8">
        <w:rPr>
          <w:rFonts w:cs="Arial"/>
          <w:lang w:val="en-US"/>
        </w:rPr>
        <w:t xml:space="preserve">its </w:t>
      </w:r>
      <w:r w:rsidR="003B3DBB" w:rsidRPr="005C4EBE">
        <w:rPr>
          <w:rFonts w:cs="Arial"/>
          <w:lang w:val="en-US"/>
        </w:rPr>
        <w:t>operation.</w:t>
      </w:r>
      <w:r w:rsidR="00BB6D9C">
        <w:rPr>
          <w:rFonts w:cs="Arial"/>
          <w:lang w:val="en-US"/>
        </w:rPr>
        <w:t xml:space="preserve"> </w:t>
      </w:r>
      <w:r w:rsidR="00333B8F" w:rsidRPr="005C4EBE">
        <w:rPr>
          <w:rFonts w:cs="Arial"/>
          <w:lang w:val="en-US"/>
        </w:rPr>
        <w:t>If released in the atmosphere, HF rapidly forms dense vapor clouds that hover near land and can travel great</w:t>
      </w:r>
      <w:r w:rsidR="00333B8F" w:rsidRPr="00244CBF">
        <w:rPr>
          <w:rFonts w:cs="Arial"/>
          <w:lang w:val="en-US"/>
        </w:rPr>
        <w:t xml:space="preserve"> distances. Like other powerful acids, HF can cause deep severe burns and damage the eyes, skin, nose, throat</w:t>
      </w:r>
      <w:r w:rsidR="006A0CCA">
        <w:rPr>
          <w:rFonts w:cs="Arial"/>
          <w:lang w:val="en-US"/>
        </w:rPr>
        <w:t>,</w:t>
      </w:r>
      <w:r w:rsidR="00333B8F" w:rsidRPr="00244CBF">
        <w:rPr>
          <w:rFonts w:cs="Arial"/>
          <w:lang w:val="en-US"/>
        </w:rPr>
        <w:t xml:space="preserve"> and respiratory system. </w:t>
      </w:r>
      <w:r w:rsidR="008847CC">
        <w:rPr>
          <w:rFonts w:cs="Arial"/>
          <w:lang w:val="en-US"/>
        </w:rPr>
        <w:t>Also, if HF enters</w:t>
      </w:r>
      <w:r w:rsidR="00333B8F" w:rsidRPr="00244CBF">
        <w:rPr>
          <w:rFonts w:cs="Arial"/>
          <w:lang w:val="en-US"/>
        </w:rPr>
        <w:t xml:space="preserve"> the body through a burn or by the lungs, it can cause internal damage throughout the body</w:t>
      </w:r>
      <w:r w:rsidR="000D3CFB">
        <w:rPr>
          <w:rFonts w:cs="Arial"/>
          <w:lang w:val="en-US"/>
        </w:rPr>
        <w:t xml:space="preserve"> (</w:t>
      </w:r>
      <w:proofErr w:type="spellStart"/>
      <w:r w:rsidR="00725DFD">
        <w:rPr>
          <w:rFonts w:cs="Arial"/>
          <w:lang w:val="en-US"/>
        </w:rPr>
        <w:t>Bajraktarova-Valjakova</w:t>
      </w:r>
      <w:proofErr w:type="spellEnd"/>
      <w:r w:rsidR="00725DFD">
        <w:rPr>
          <w:rFonts w:cs="Arial"/>
          <w:lang w:val="en-US"/>
        </w:rPr>
        <w:t xml:space="preserve"> et al., 2018)</w:t>
      </w:r>
      <w:r w:rsidR="00333B8F" w:rsidRPr="00244CBF">
        <w:rPr>
          <w:rFonts w:cs="Arial"/>
          <w:lang w:val="en-US"/>
        </w:rPr>
        <w:t>. At high enough exposures, HF can kill. The Occupational Safety and Health Administration (OSHA) and the Environmental Protection Agency (EPA) regulate HF as highly toxic</w:t>
      </w:r>
      <w:r w:rsidR="00333B8F">
        <w:rPr>
          <w:rFonts w:cs="Arial"/>
        </w:rPr>
        <w:t xml:space="preserve"> (</w:t>
      </w:r>
      <w:r w:rsidR="00F62FCA">
        <w:rPr>
          <w:rFonts w:cs="Arial"/>
        </w:rPr>
        <w:t>United Steelworkers</w:t>
      </w:r>
      <w:r w:rsidR="00333B8F">
        <w:rPr>
          <w:rFonts w:cs="Arial"/>
        </w:rPr>
        <w:t>, 2013)</w:t>
      </w:r>
      <w:r w:rsidR="00333B8F" w:rsidRPr="00244CBF">
        <w:rPr>
          <w:rFonts w:cs="Arial"/>
          <w:lang w:val="en-US"/>
        </w:rPr>
        <w:t>.</w:t>
      </w:r>
      <w:r w:rsidR="00333B8F">
        <w:rPr>
          <w:rFonts w:cs="Arial"/>
          <w:lang w:val="en-US"/>
        </w:rPr>
        <w:t xml:space="preserve"> </w:t>
      </w:r>
      <w:r w:rsidR="006835C3" w:rsidRPr="006835C3">
        <w:rPr>
          <w:rFonts w:cs="Arial"/>
          <w:lang w:val="en-US"/>
        </w:rPr>
        <w:t xml:space="preserve">The efficient operation of </w:t>
      </w:r>
      <w:r w:rsidR="00CC5CD6">
        <w:rPr>
          <w:rFonts w:cs="Arial"/>
        </w:rPr>
        <w:t>a</w:t>
      </w:r>
      <w:r w:rsidR="00817E37">
        <w:rPr>
          <w:rFonts w:cs="Arial"/>
        </w:rPr>
        <w:t>n</w:t>
      </w:r>
      <w:r w:rsidR="00CC5CD6">
        <w:rPr>
          <w:rFonts w:cs="Arial"/>
        </w:rPr>
        <w:t xml:space="preserve"> HF </w:t>
      </w:r>
      <w:r w:rsidR="00651C64">
        <w:rPr>
          <w:rFonts w:cs="Arial"/>
        </w:rPr>
        <w:t>catalysed</w:t>
      </w:r>
      <w:r w:rsidR="00CC5CD6">
        <w:rPr>
          <w:rFonts w:cs="Arial"/>
        </w:rPr>
        <w:t xml:space="preserve"> </w:t>
      </w:r>
      <w:r w:rsidR="006835C3" w:rsidRPr="006835C3">
        <w:rPr>
          <w:rFonts w:cs="Arial"/>
          <w:lang w:val="en-US"/>
        </w:rPr>
        <w:t xml:space="preserve">alkylation units is a </w:t>
      </w:r>
      <w:r w:rsidR="00564192">
        <w:rPr>
          <w:rFonts w:cs="Arial"/>
          <w:lang w:val="en-US"/>
        </w:rPr>
        <w:t xml:space="preserve">complex </w:t>
      </w:r>
      <w:r w:rsidR="006835C3" w:rsidRPr="006835C3">
        <w:rPr>
          <w:rFonts w:cs="Arial"/>
          <w:lang w:val="en-US"/>
        </w:rPr>
        <w:t>task and subj</w:t>
      </w:r>
      <w:r w:rsidR="006835C3" w:rsidRPr="00B921AB">
        <w:rPr>
          <w:rFonts w:cs="Arial"/>
          <w:szCs w:val="18"/>
          <w:lang w:val="en-US"/>
        </w:rPr>
        <w:t>ect to the most testing of operating regimes</w:t>
      </w:r>
      <w:r w:rsidR="008D4E9A">
        <w:rPr>
          <w:rFonts w:cs="Arial"/>
          <w:szCs w:val="18"/>
          <w:lang w:val="en-US"/>
        </w:rPr>
        <w:t xml:space="preserve">, </w:t>
      </w:r>
      <w:r w:rsidR="006835C3" w:rsidRPr="00B921AB">
        <w:rPr>
          <w:rFonts w:cs="Arial"/>
          <w:szCs w:val="18"/>
          <w:lang w:val="en-US"/>
        </w:rPr>
        <w:t>due to industry-specific constraints and operating issues that stretch the processing capability of the plant.</w:t>
      </w:r>
      <w:r w:rsidR="00600535" w:rsidRPr="00B921AB">
        <w:rPr>
          <w:rFonts w:cs="Arial"/>
          <w:szCs w:val="18"/>
        </w:rPr>
        <w:t xml:space="preserve"> </w:t>
      </w:r>
      <w:r w:rsidR="00BB3B4E">
        <w:rPr>
          <w:rFonts w:cs="Arial"/>
          <w:szCs w:val="18"/>
        </w:rPr>
        <w:t>Based on what is mentioned above, t</w:t>
      </w:r>
      <w:r w:rsidR="001E2A1F" w:rsidRPr="00B921AB">
        <w:rPr>
          <w:rFonts w:cs="Arial"/>
          <w:szCs w:val="18"/>
        </w:rPr>
        <w:t>his study</w:t>
      </w:r>
      <w:r w:rsidR="00064173" w:rsidRPr="00B921AB">
        <w:rPr>
          <w:rFonts w:cs="Arial"/>
          <w:szCs w:val="18"/>
          <w:lang w:val="en-US"/>
        </w:rPr>
        <w:t xml:space="preserve"> is </w:t>
      </w:r>
      <w:r w:rsidR="00C00CF6">
        <w:rPr>
          <w:rFonts w:cs="Arial"/>
          <w:szCs w:val="18"/>
        </w:rPr>
        <w:t xml:space="preserve">aimed to </w:t>
      </w:r>
      <w:r w:rsidR="00B921AB" w:rsidRPr="00B921AB">
        <w:rPr>
          <w:rFonts w:cs="Arial"/>
          <w:szCs w:val="18"/>
          <w:lang w:val="en-US"/>
        </w:rPr>
        <w:t xml:space="preserve">identify and review best safety practices for proper operation </w:t>
      </w:r>
      <w:r w:rsidR="00B921AB" w:rsidRPr="00B921AB">
        <w:rPr>
          <w:rFonts w:cs="Arial"/>
          <w:szCs w:val="18"/>
          <w:lang w:val="en-US"/>
        </w:rPr>
        <w:lastRenderedPageBreak/>
        <w:t xml:space="preserve">and performance of </w:t>
      </w:r>
      <w:r w:rsidR="00EE293A">
        <w:rPr>
          <w:rFonts w:cs="Arial"/>
          <w:szCs w:val="18"/>
        </w:rPr>
        <w:t xml:space="preserve">an </w:t>
      </w:r>
      <w:r w:rsidR="00B921AB" w:rsidRPr="00B921AB">
        <w:rPr>
          <w:rFonts w:cs="Arial"/>
          <w:szCs w:val="18"/>
          <w:lang w:val="en-US"/>
        </w:rPr>
        <w:t xml:space="preserve">alkylation unit catalyzed with hydrofluoric acid (HF) </w:t>
      </w:r>
      <w:r w:rsidR="00EE293A">
        <w:rPr>
          <w:rFonts w:cs="Arial"/>
          <w:szCs w:val="18"/>
        </w:rPr>
        <w:t xml:space="preserve">by </w:t>
      </w:r>
      <w:r w:rsidR="00B921AB" w:rsidRPr="00B921AB">
        <w:rPr>
          <w:rFonts w:cs="Arial"/>
          <w:szCs w:val="18"/>
          <w:lang w:val="en-US"/>
        </w:rPr>
        <w:t>applying HAZOP</w:t>
      </w:r>
      <w:r w:rsidR="005B362C">
        <w:rPr>
          <w:rFonts w:cs="Arial"/>
          <w:szCs w:val="18"/>
          <w:lang w:val="en-US"/>
        </w:rPr>
        <w:t xml:space="preserve"> </w:t>
      </w:r>
      <w:r w:rsidR="005B362C">
        <w:t>(Hazard and Operability Study)</w:t>
      </w:r>
      <w:r w:rsidR="00B921AB" w:rsidRPr="00B921AB">
        <w:rPr>
          <w:rFonts w:cs="Arial"/>
          <w:szCs w:val="18"/>
          <w:lang w:val="en-US"/>
        </w:rPr>
        <w:t xml:space="preserve">, LOPA </w:t>
      </w:r>
      <w:r w:rsidR="005B362C">
        <w:t xml:space="preserve">(Layer of Protection analysis) </w:t>
      </w:r>
      <w:r w:rsidR="00B921AB" w:rsidRPr="00B921AB">
        <w:rPr>
          <w:rFonts w:cs="Arial"/>
          <w:szCs w:val="18"/>
          <w:lang w:val="en-US"/>
        </w:rPr>
        <w:t>and SIL</w:t>
      </w:r>
      <w:r w:rsidR="005B362C">
        <w:rPr>
          <w:rFonts w:cs="Arial"/>
          <w:szCs w:val="18"/>
          <w:lang w:val="en-US"/>
        </w:rPr>
        <w:t xml:space="preserve"> </w:t>
      </w:r>
      <w:r w:rsidR="005B362C">
        <w:t>(Safety Integrity Level)</w:t>
      </w:r>
      <w:r w:rsidR="00B921AB" w:rsidRPr="00B921AB">
        <w:rPr>
          <w:rFonts w:cs="Arial"/>
          <w:szCs w:val="18"/>
          <w:lang w:val="en-US"/>
        </w:rPr>
        <w:t xml:space="preserve"> methodologies.</w:t>
      </w:r>
    </w:p>
    <w:p w14:paraId="61A9B77A" w14:textId="0E612030" w:rsidR="00600535" w:rsidRPr="00B57B36" w:rsidRDefault="00DE4F3A" w:rsidP="006A6D0C">
      <w:pPr>
        <w:pStyle w:val="CETheadingx"/>
        <w:spacing w:line="264" w:lineRule="auto"/>
      </w:pPr>
      <w:r>
        <w:t>Hazard and Operability Study (</w:t>
      </w:r>
      <w:r w:rsidR="00961ECA">
        <w:t>HAZOP</w:t>
      </w:r>
      <w:r>
        <w:t>)</w:t>
      </w:r>
      <w:r w:rsidR="00961ECA">
        <w:t xml:space="preserve"> methodology</w:t>
      </w:r>
    </w:p>
    <w:p w14:paraId="62153862" w14:textId="36452E34" w:rsidR="006131F8" w:rsidRDefault="00530D8B" w:rsidP="006A6D0C">
      <w:pPr>
        <w:pStyle w:val="CETBodytext"/>
        <w:rPr>
          <w:rFonts w:cs="Arial"/>
        </w:rPr>
      </w:pPr>
      <w:r>
        <w:rPr>
          <w:rFonts w:cs="Arial"/>
        </w:rPr>
        <w:t xml:space="preserve">The </w:t>
      </w:r>
      <w:r w:rsidR="001A4B2D" w:rsidRPr="002D2A26">
        <w:rPr>
          <w:rFonts w:cs="Arial"/>
        </w:rPr>
        <w:t>HAZOP methodolog</w:t>
      </w:r>
      <w:r w:rsidR="001A4B2D" w:rsidRPr="00325EC1">
        <w:rPr>
          <w:rFonts w:cs="Arial"/>
        </w:rPr>
        <w:t>y is used to identify major process hazards or operability issues related to the process design</w:t>
      </w:r>
      <w:r w:rsidR="00A56821">
        <w:rPr>
          <w:rFonts w:cs="Arial"/>
          <w:lang w:val="en-GB"/>
        </w:rPr>
        <w:t xml:space="preserve">. </w:t>
      </w:r>
      <w:r w:rsidR="00C742C5">
        <w:rPr>
          <w:rFonts w:cs="Arial"/>
          <w:lang w:val="en-GB"/>
        </w:rPr>
        <w:t>It</w:t>
      </w:r>
      <w:r w:rsidR="00713DD7">
        <w:rPr>
          <w:rFonts w:cs="Arial"/>
          <w:lang w:val="en-GB"/>
        </w:rPr>
        <w:t xml:space="preserve"> aim</w:t>
      </w:r>
      <w:r w:rsidR="00C742C5">
        <w:rPr>
          <w:rFonts w:cs="Arial"/>
          <w:lang w:val="en-GB"/>
        </w:rPr>
        <w:t>s</w:t>
      </w:r>
      <w:r w:rsidR="00713DD7">
        <w:rPr>
          <w:rFonts w:cs="Arial"/>
          <w:lang w:val="en-GB"/>
        </w:rPr>
        <w:t xml:space="preserve"> is to identify al</w:t>
      </w:r>
      <w:r w:rsidR="00325EC1" w:rsidRPr="00325EC1">
        <w:rPr>
          <w:rFonts w:cs="Arial"/>
        </w:rPr>
        <w:t>l conceivable deviations far from</w:t>
      </w:r>
      <w:r w:rsidR="00EB6740">
        <w:rPr>
          <w:rFonts w:cs="Arial"/>
        </w:rPr>
        <w:t xml:space="preserve"> design intentions in the plant</w:t>
      </w:r>
      <w:r w:rsidR="00713DD7">
        <w:rPr>
          <w:rFonts w:cs="Arial"/>
        </w:rPr>
        <w:t xml:space="preserve"> and to determine the </w:t>
      </w:r>
      <w:r w:rsidR="00325EC1" w:rsidRPr="00325EC1">
        <w:rPr>
          <w:rFonts w:cs="Arial"/>
        </w:rPr>
        <w:t xml:space="preserve">possible abnormal causes and the adverse consequences of </w:t>
      </w:r>
      <w:r w:rsidR="000D71D3">
        <w:rPr>
          <w:rFonts w:cs="Arial"/>
        </w:rPr>
        <w:t xml:space="preserve">those </w:t>
      </w:r>
      <w:r w:rsidR="00325EC1" w:rsidRPr="00325EC1">
        <w:rPr>
          <w:rFonts w:cs="Arial"/>
        </w:rPr>
        <w:t>deviations</w:t>
      </w:r>
      <w:r w:rsidR="00015C75">
        <w:rPr>
          <w:rFonts w:cs="Arial"/>
        </w:rPr>
        <w:t xml:space="preserve"> (Benedetti et al., 2018).</w:t>
      </w:r>
      <w:r w:rsidR="00521950">
        <w:rPr>
          <w:rFonts w:cs="Arial"/>
        </w:rPr>
        <w:t xml:space="preserve"> The considerations of the team are provided in the following two aspects: 1) determining whether a given operation or activity has the potential to start a hazardous situation, and 2) determining the range of hazardous events </w:t>
      </w:r>
      <w:r w:rsidR="00B011D4">
        <w:rPr>
          <w:rFonts w:cs="Arial"/>
        </w:rPr>
        <w:t xml:space="preserve">associated </w:t>
      </w:r>
      <w:r w:rsidR="006F1DA7">
        <w:rPr>
          <w:rFonts w:cs="Arial"/>
        </w:rPr>
        <w:t>with</w:t>
      </w:r>
      <w:r w:rsidR="00B011D4">
        <w:rPr>
          <w:rFonts w:cs="Arial"/>
        </w:rPr>
        <w:t xml:space="preserve"> the </w:t>
      </w:r>
      <w:r w:rsidR="00521950">
        <w:rPr>
          <w:rFonts w:cs="Arial"/>
        </w:rPr>
        <w:t>oper</w:t>
      </w:r>
      <w:r w:rsidR="00B011D4">
        <w:rPr>
          <w:rFonts w:cs="Arial"/>
        </w:rPr>
        <w:t>ation or activity.</w:t>
      </w:r>
      <w:r w:rsidR="00CC2956">
        <w:rPr>
          <w:rFonts w:cs="Arial"/>
        </w:rPr>
        <w:t xml:space="preserve"> </w:t>
      </w:r>
      <w:r w:rsidR="002C2534">
        <w:rPr>
          <w:rFonts w:cs="Arial"/>
        </w:rPr>
        <w:t>W</w:t>
      </w:r>
      <w:r w:rsidR="001657D7">
        <w:rPr>
          <w:rFonts w:cs="Arial"/>
        </w:rPr>
        <w:t>hen analyzing a deviation, it i</w:t>
      </w:r>
      <w:r w:rsidR="00ED5003">
        <w:rPr>
          <w:rFonts w:cs="Arial"/>
        </w:rPr>
        <w:t>s advised to consider the worst-</w:t>
      </w:r>
      <w:r w:rsidR="001657D7">
        <w:rPr>
          <w:rFonts w:cs="Arial"/>
        </w:rPr>
        <w:t>case scenario</w:t>
      </w:r>
      <w:r w:rsidR="00030CA0">
        <w:rPr>
          <w:rFonts w:cs="Arial"/>
        </w:rPr>
        <w:t>, so it should be assumed that no safeguard is installed in the facilities.</w:t>
      </w:r>
      <w:r w:rsidR="00CA476E">
        <w:rPr>
          <w:rFonts w:cs="Arial"/>
        </w:rPr>
        <w:t xml:space="preserve"> Also, the most severe consequence</w:t>
      </w:r>
      <w:r w:rsidR="00CC2956">
        <w:rPr>
          <w:rFonts w:cs="Arial"/>
        </w:rPr>
        <w:t>s</w:t>
      </w:r>
      <w:r w:rsidR="00CA476E">
        <w:rPr>
          <w:rFonts w:cs="Arial"/>
        </w:rPr>
        <w:t xml:space="preserve"> must be taken in</w:t>
      </w:r>
      <w:r w:rsidR="0062027F">
        <w:rPr>
          <w:rFonts w:cs="Arial"/>
        </w:rPr>
        <w:t>to</w:t>
      </w:r>
      <w:r w:rsidR="00CA476E">
        <w:rPr>
          <w:rFonts w:cs="Arial"/>
        </w:rPr>
        <w:t xml:space="preserve"> account.</w:t>
      </w:r>
    </w:p>
    <w:p w14:paraId="0A886317" w14:textId="060F7A56" w:rsidR="00EC2635" w:rsidRPr="00B57B36" w:rsidRDefault="001B5145" w:rsidP="006A6D0C">
      <w:pPr>
        <w:pStyle w:val="CETheadingx"/>
        <w:spacing w:line="264" w:lineRule="auto"/>
      </w:pPr>
      <w:r>
        <w:t>Layers of Protection (</w:t>
      </w:r>
      <w:r w:rsidR="00EC2635">
        <w:t>LOPA</w:t>
      </w:r>
      <w:r>
        <w:t>)</w:t>
      </w:r>
      <w:r w:rsidR="00EC2635">
        <w:t xml:space="preserve"> analysis</w:t>
      </w:r>
    </w:p>
    <w:p w14:paraId="6F32CA50" w14:textId="2E8CA083" w:rsidR="00EC2635" w:rsidRDefault="005031FC" w:rsidP="006A6D0C">
      <w:pPr>
        <w:pStyle w:val="CETBodytext"/>
        <w:rPr>
          <w:rFonts w:cs="Arial"/>
        </w:rPr>
      </w:pPr>
      <w:r>
        <w:rPr>
          <w:rFonts w:cs="Arial"/>
        </w:rPr>
        <w:t>The LOPA analysis is a</w:t>
      </w:r>
      <w:r w:rsidR="00426707">
        <w:rPr>
          <w:rFonts w:cs="Arial"/>
        </w:rPr>
        <w:t>n</w:t>
      </w:r>
      <w:r>
        <w:rPr>
          <w:rFonts w:cs="Arial"/>
        </w:rPr>
        <w:t xml:space="preserve"> analytical tool for assessing the adequacy of prot</w:t>
      </w:r>
      <w:r w:rsidR="006D6C91">
        <w:rPr>
          <w:rFonts w:cs="Arial"/>
        </w:rPr>
        <w:t>ection layers used to mitigate</w:t>
      </w:r>
      <w:r>
        <w:rPr>
          <w:rFonts w:cs="Arial"/>
        </w:rPr>
        <w:t xml:space="preserve"> process risk.</w:t>
      </w:r>
      <w:r w:rsidR="00297813">
        <w:rPr>
          <w:rFonts w:cs="Arial"/>
        </w:rPr>
        <w:t xml:space="preserve"> It includes simplified methods to characterize </w:t>
      </w:r>
      <w:r w:rsidR="0025426A">
        <w:rPr>
          <w:rFonts w:cs="Arial"/>
        </w:rPr>
        <w:t>the consequences and estimate the</w:t>
      </w:r>
      <w:r w:rsidR="00297813">
        <w:rPr>
          <w:rFonts w:cs="Arial"/>
        </w:rPr>
        <w:t xml:space="preserve"> frequencies of an incident.</w:t>
      </w:r>
      <w:r w:rsidR="006848BD">
        <w:rPr>
          <w:rFonts w:cs="Arial"/>
        </w:rPr>
        <w:t xml:space="preserve"> Its primary purpose is to determine whether there are sufficient layers of protection against a specific accident scenario.</w:t>
      </w:r>
      <w:r w:rsidR="00704BEB">
        <w:rPr>
          <w:rFonts w:cs="Arial"/>
        </w:rPr>
        <w:t xml:space="preserve"> The layers of protection are the following: Design, Basic Process Cont</w:t>
      </w:r>
      <w:r w:rsidR="00AF2F45">
        <w:rPr>
          <w:rFonts w:cs="Arial"/>
        </w:rPr>
        <w:t>rol Systems, Critical Alarms,</w:t>
      </w:r>
      <w:r w:rsidR="00704BEB">
        <w:rPr>
          <w:rFonts w:cs="Arial"/>
        </w:rPr>
        <w:t xml:space="preserve"> Human, </w:t>
      </w:r>
      <w:r w:rsidR="00442AFD">
        <w:rPr>
          <w:rFonts w:cs="Arial"/>
        </w:rPr>
        <w:t>Safety Instrumented Functions, Physical Protection (relief devices)</w:t>
      </w:r>
      <w:r w:rsidR="00D354FE">
        <w:rPr>
          <w:rFonts w:cs="Arial"/>
        </w:rPr>
        <w:t>, Post-response Physical Protection, Plant Emergency Response, Community Emergency Response.</w:t>
      </w:r>
      <w:r w:rsidR="00D146A1">
        <w:rPr>
          <w:rFonts w:cs="Arial"/>
        </w:rPr>
        <w:t xml:space="preserve"> T</w:t>
      </w:r>
      <w:r w:rsidR="00126494">
        <w:rPr>
          <w:rFonts w:cs="Arial"/>
        </w:rPr>
        <w:t xml:space="preserve">he steps to carry on a LOPA analysis are: 1) </w:t>
      </w:r>
      <w:r w:rsidR="009B6DC4">
        <w:rPr>
          <w:rFonts w:cs="Arial"/>
        </w:rPr>
        <w:t>From HAZOP, c</w:t>
      </w:r>
      <w:r w:rsidR="00566C8C">
        <w:rPr>
          <w:rFonts w:cs="Arial"/>
        </w:rPr>
        <w:t xml:space="preserve">hoose the scenarios that </w:t>
      </w:r>
      <w:r w:rsidR="009B6DC4">
        <w:rPr>
          <w:rFonts w:cs="Arial"/>
        </w:rPr>
        <w:t xml:space="preserve">are of </w:t>
      </w:r>
      <w:r w:rsidR="00032DE2">
        <w:rPr>
          <w:rFonts w:cs="Arial"/>
        </w:rPr>
        <w:t>Significant Risk or High Risk</w:t>
      </w:r>
      <w:r w:rsidR="003A19B3">
        <w:rPr>
          <w:rFonts w:cs="Arial"/>
        </w:rPr>
        <w:t>; 2) Estimate the potential risk</w:t>
      </w:r>
      <w:r w:rsidR="00177377">
        <w:rPr>
          <w:rFonts w:cs="Arial"/>
        </w:rPr>
        <w:t>; 3) Define the tolerable risk (this is, the tolerable maximum frequency of mitigated event)</w:t>
      </w:r>
      <w:r w:rsidR="00077C6E">
        <w:rPr>
          <w:rFonts w:cs="Arial"/>
        </w:rPr>
        <w:t xml:space="preserve">; 4) </w:t>
      </w:r>
      <w:r w:rsidR="006355A0">
        <w:rPr>
          <w:rFonts w:cs="Arial"/>
        </w:rPr>
        <w:t xml:space="preserve">Analyze the layers of protection and establish the independent layers of protection; 5) </w:t>
      </w:r>
      <w:r w:rsidR="00895949">
        <w:rPr>
          <w:rFonts w:cs="Arial"/>
        </w:rPr>
        <w:t xml:space="preserve">Assign a risk factor reduction; 6) </w:t>
      </w:r>
      <w:r w:rsidR="00267E1C">
        <w:rPr>
          <w:rFonts w:cs="Arial"/>
        </w:rPr>
        <w:t>Estimate the overall consequence frequency to compare with acceptable risk criteria, which is 1 x 10</w:t>
      </w:r>
      <w:r w:rsidR="002B7EF1">
        <w:rPr>
          <w:rFonts w:cs="Arial"/>
        </w:rPr>
        <w:t xml:space="preserve"> </w:t>
      </w:r>
      <w:r w:rsidR="00267E1C" w:rsidRPr="002B7EF1">
        <w:rPr>
          <w:rFonts w:cs="Arial"/>
          <w:vertAlign w:val="superscript"/>
        </w:rPr>
        <w:t>-8</w:t>
      </w:r>
      <w:r w:rsidR="00267E1C">
        <w:rPr>
          <w:rFonts w:cs="Arial"/>
        </w:rPr>
        <w:t xml:space="preserve"> / year</w:t>
      </w:r>
      <w:r w:rsidR="00F6274C">
        <w:rPr>
          <w:rFonts w:cs="Arial"/>
        </w:rPr>
        <w:t>, and 7) Evaluate and repeat the process if necessary</w:t>
      </w:r>
      <w:r w:rsidR="000834FF">
        <w:rPr>
          <w:rFonts w:cs="Arial"/>
        </w:rPr>
        <w:t xml:space="preserve"> </w:t>
      </w:r>
      <w:r w:rsidR="007A08FE">
        <w:rPr>
          <w:rFonts w:cs="Arial"/>
        </w:rPr>
        <w:t>(Willey, 2014)</w:t>
      </w:r>
      <w:r w:rsidR="00F6274C">
        <w:rPr>
          <w:rFonts w:cs="Arial"/>
        </w:rPr>
        <w:t>.</w:t>
      </w:r>
      <w:r w:rsidR="00F83B96">
        <w:rPr>
          <w:rFonts w:cs="Arial"/>
        </w:rPr>
        <w:t xml:space="preserve"> Literature provides the values of </w:t>
      </w:r>
      <w:r w:rsidR="00C83D57">
        <w:rPr>
          <w:rFonts w:cs="Arial"/>
        </w:rPr>
        <w:t xml:space="preserve">the </w:t>
      </w:r>
      <w:r w:rsidR="00F83B96">
        <w:rPr>
          <w:rFonts w:cs="Arial"/>
        </w:rPr>
        <w:t xml:space="preserve">Probability of </w:t>
      </w:r>
      <w:r w:rsidR="00D830BE">
        <w:rPr>
          <w:rFonts w:cs="Arial"/>
        </w:rPr>
        <w:t>Failure on Demand (PFD) for independent protection layers</w:t>
      </w:r>
      <w:r w:rsidR="00717A59">
        <w:rPr>
          <w:rFonts w:cs="Arial"/>
        </w:rPr>
        <w:t xml:space="preserve"> (</w:t>
      </w:r>
      <w:r w:rsidR="00086388">
        <w:rPr>
          <w:rFonts w:cs="Arial"/>
        </w:rPr>
        <w:t>Kojo and Manninen, 2019</w:t>
      </w:r>
      <w:r w:rsidR="00717A59">
        <w:rPr>
          <w:rFonts w:cs="Arial"/>
        </w:rPr>
        <w:t>)</w:t>
      </w:r>
      <w:r w:rsidR="000505C9">
        <w:rPr>
          <w:rFonts w:cs="Arial"/>
        </w:rPr>
        <w:t>.</w:t>
      </w:r>
    </w:p>
    <w:p w14:paraId="5B21F970" w14:textId="46F083C8" w:rsidR="00EC2635" w:rsidRPr="00B57B36" w:rsidRDefault="001B5145" w:rsidP="006A6D0C">
      <w:pPr>
        <w:pStyle w:val="CETheadingx"/>
        <w:spacing w:line="264" w:lineRule="auto"/>
      </w:pPr>
      <w:r>
        <w:t>Safety Integrity Level (</w:t>
      </w:r>
      <w:r w:rsidR="00EC2635">
        <w:t>SIL</w:t>
      </w:r>
      <w:r>
        <w:t>)</w:t>
      </w:r>
      <w:r w:rsidR="00EC2635">
        <w:t xml:space="preserve"> analysis</w:t>
      </w:r>
    </w:p>
    <w:p w14:paraId="4F11060D" w14:textId="2E214193" w:rsidR="00EC2635" w:rsidRDefault="004232C1" w:rsidP="006A6D0C">
      <w:pPr>
        <w:pStyle w:val="CETBodytext"/>
        <w:rPr>
          <w:rFonts w:cs="Arial"/>
        </w:rPr>
      </w:pPr>
      <w:r>
        <w:rPr>
          <w:rFonts w:cs="Arial"/>
          <w:color w:val="222222"/>
          <w:shd w:val="clear" w:color="auto" w:fill="FFFFFF"/>
        </w:rPr>
        <w:t>A </w:t>
      </w:r>
      <w:r w:rsidRPr="00F52B93">
        <w:rPr>
          <w:rFonts w:cs="Arial"/>
          <w:bCs/>
          <w:color w:val="222222"/>
          <w:shd w:val="clear" w:color="auto" w:fill="FFFFFF"/>
        </w:rPr>
        <w:t>SIL</w:t>
      </w:r>
      <w:r>
        <w:rPr>
          <w:rFonts w:cs="Arial"/>
          <w:color w:val="222222"/>
          <w:shd w:val="clear" w:color="auto" w:fill="FFFFFF"/>
        </w:rPr>
        <w:t> is a measu</w:t>
      </w:r>
      <w:r w:rsidR="00EA79AF">
        <w:rPr>
          <w:rFonts w:cs="Arial"/>
          <w:color w:val="222222"/>
          <w:shd w:val="clear" w:color="auto" w:fill="FFFFFF"/>
        </w:rPr>
        <w:t>re of safety system performance</w:t>
      </w:r>
      <w:r>
        <w:rPr>
          <w:rFonts w:cs="Arial"/>
          <w:color w:val="222222"/>
          <w:shd w:val="clear" w:color="auto" w:fill="FFFFFF"/>
        </w:rPr>
        <w:t xml:space="preserve"> or probability of failure on demand (</w:t>
      </w:r>
      <w:r w:rsidRPr="00F52B93">
        <w:rPr>
          <w:rFonts w:cs="Arial"/>
          <w:bCs/>
          <w:color w:val="222222"/>
          <w:shd w:val="clear" w:color="auto" w:fill="FFFFFF"/>
        </w:rPr>
        <w:t>PFD</w:t>
      </w:r>
      <w:r>
        <w:rPr>
          <w:rFonts w:cs="Arial"/>
          <w:color w:val="222222"/>
          <w:shd w:val="clear" w:color="auto" w:fill="FFFFFF"/>
        </w:rPr>
        <w:t xml:space="preserve">) for a </w:t>
      </w:r>
      <w:r w:rsidR="00CC2902">
        <w:rPr>
          <w:rFonts w:cs="Arial"/>
          <w:color w:val="222222"/>
          <w:shd w:val="clear" w:color="auto" w:fill="FFFFFF"/>
        </w:rPr>
        <w:t>Safety Instrumented Function (</w:t>
      </w:r>
      <w:r>
        <w:rPr>
          <w:rFonts w:cs="Arial"/>
          <w:color w:val="222222"/>
          <w:shd w:val="clear" w:color="auto" w:fill="FFFFFF"/>
        </w:rPr>
        <w:t>SIF</w:t>
      </w:r>
      <w:r w:rsidR="00CC2902">
        <w:rPr>
          <w:rFonts w:cs="Arial"/>
          <w:color w:val="222222"/>
          <w:shd w:val="clear" w:color="auto" w:fill="FFFFFF"/>
        </w:rPr>
        <w:t>)</w:t>
      </w:r>
      <w:r>
        <w:rPr>
          <w:rFonts w:cs="Arial"/>
          <w:color w:val="222222"/>
          <w:shd w:val="clear" w:color="auto" w:fill="FFFFFF"/>
        </w:rPr>
        <w:t xml:space="preserve"> or </w:t>
      </w:r>
      <w:r w:rsidR="00BF05BE">
        <w:rPr>
          <w:rFonts w:cs="Arial"/>
          <w:color w:val="222222"/>
          <w:shd w:val="clear" w:color="auto" w:fill="FFFFFF"/>
        </w:rPr>
        <w:t>a Safety Instrumented System (</w:t>
      </w:r>
      <w:r>
        <w:rPr>
          <w:rFonts w:cs="Arial"/>
          <w:color w:val="222222"/>
          <w:shd w:val="clear" w:color="auto" w:fill="FFFFFF"/>
        </w:rPr>
        <w:t>SIS</w:t>
      </w:r>
      <w:r w:rsidR="00BF05BE">
        <w:rPr>
          <w:rFonts w:cs="Arial"/>
          <w:color w:val="222222"/>
          <w:shd w:val="clear" w:color="auto" w:fill="FFFFFF"/>
        </w:rPr>
        <w:t>)</w:t>
      </w:r>
      <w:r w:rsidR="00DD2E18">
        <w:rPr>
          <w:rFonts w:cs="Arial"/>
        </w:rPr>
        <w:t>.</w:t>
      </w:r>
      <w:r w:rsidR="0042716F">
        <w:rPr>
          <w:rFonts w:cs="Arial"/>
        </w:rPr>
        <w:t xml:space="preserve"> There are four levels of SIL (</w:t>
      </w:r>
      <w:r w:rsidR="00323BF2">
        <w:rPr>
          <w:rFonts w:cs="Arial"/>
        </w:rPr>
        <w:t>SIL</w:t>
      </w:r>
      <w:r w:rsidR="00253F2D">
        <w:rPr>
          <w:rFonts w:cs="Arial"/>
        </w:rPr>
        <w:t xml:space="preserve">1, </w:t>
      </w:r>
      <w:r w:rsidR="00323BF2">
        <w:rPr>
          <w:rFonts w:cs="Arial"/>
        </w:rPr>
        <w:t>SIL</w:t>
      </w:r>
      <w:r w:rsidR="00253F2D">
        <w:rPr>
          <w:rFonts w:cs="Arial"/>
        </w:rPr>
        <w:t xml:space="preserve">2, </w:t>
      </w:r>
      <w:r w:rsidR="00323BF2">
        <w:rPr>
          <w:rFonts w:cs="Arial"/>
        </w:rPr>
        <w:t>SIL</w:t>
      </w:r>
      <w:r w:rsidR="00253F2D">
        <w:rPr>
          <w:rFonts w:cs="Arial"/>
        </w:rPr>
        <w:t xml:space="preserve">3, </w:t>
      </w:r>
      <w:r w:rsidR="00323BF2">
        <w:rPr>
          <w:rFonts w:cs="Arial"/>
        </w:rPr>
        <w:t>SIL</w:t>
      </w:r>
      <w:r w:rsidR="00253F2D">
        <w:rPr>
          <w:rFonts w:cs="Arial"/>
        </w:rPr>
        <w:t>4)</w:t>
      </w:r>
      <w:r w:rsidR="00D8424C">
        <w:rPr>
          <w:rFonts w:cs="Arial"/>
        </w:rPr>
        <w:t>.</w:t>
      </w:r>
      <w:r w:rsidR="009438B9">
        <w:rPr>
          <w:rFonts w:cs="Arial"/>
        </w:rPr>
        <w:t xml:space="preserve"> </w:t>
      </w:r>
      <w:r w:rsidR="00764E4A">
        <w:rPr>
          <w:rFonts w:cs="Arial"/>
          <w:color w:val="222222"/>
          <w:shd w:val="clear" w:color="auto" w:fill="FFFFFF"/>
        </w:rPr>
        <w:t>The higher the </w:t>
      </w:r>
      <w:r w:rsidR="00764E4A" w:rsidRPr="00385A84">
        <w:rPr>
          <w:rFonts w:cs="Arial"/>
          <w:bCs/>
          <w:color w:val="222222"/>
          <w:shd w:val="clear" w:color="auto" w:fill="FFFFFF"/>
        </w:rPr>
        <w:t>SIL</w:t>
      </w:r>
      <w:r w:rsidR="00764E4A">
        <w:rPr>
          <w:rFonts w:cs="Arial"/>
          <w:color w:val="222222"/>
          <w:shd w:val="clear" w:color="auto" w:fill="FFFFFF"/>
        </w:rPr>
        <w:t> level, the lower the probability of failure on demand for the safety system</w:t>
      </w:r>
      <w:r w:rsidR="004B1B58">
        <w:rPr>
          <w:rFonts w:cs="Arial"/>
          <w:color w:val="222222"/>
          <w:shd w:val="clear" w:color="auto" w:fill="FFFFFF"/>
        </w:rPr>
        <w:t>,</w:t>
      </w:r>
      <w:r w:rsidR="00764E4A">
        <w:rPr>
          <w:rFonts w:cs="Arial"/>
          <w:color w:val="222222"/>
          <w:shd w:val="clear" w:color="auto" w:fill="FFFFFF"/>
        </w:rPr>
        <w:t xml:space="preserve"> and the better the system performance</w:t>
      </w:r>
      <w:r w:rsidR="002940DD">
        <w:rPr>
          <w:rFonts w:cs="Arial"/>
          <w:color w:val="222222"/>
          <w:shd w:val="clear" w:color="auto" w:fill="FFFFFF"/>
        </w:rPr>
        <w:t xml:space="preserve"> (</w:t>
      </w:r>
      <w:proofErr w:type="spellStart"/>
      <w:r w:rsidR="002940DD">
        <w:rPr>
          <w:rFonts w:cs="Arial"/>
          <w:color w:val="222222"/>
          <w:shd w:val="clear" w:color="auto" w:fill="FFFFFF"/>
        </w:rPr>
        <w:t>Delavar</w:t>
      </w:r>
      <w:proofErr w:type="spellEnd"/>
      <w:r w:rsidR="002940DD">
        <w:rPr>
          <w:rFonts w:cs="Arial"/>
          <w:color w:val="222222"/>
          <w:shd w:val="clear" w:color="auto" w:fill="FFFFFF"/>
        </w:rPr>
        <w:t xml:space="preserve"> et al., 2016</w:t>
      </w:r>
      <w:r w:rsidR="00D33F94">
        <w:rPr>
          <w:rFonts w:cs="Arial"/>
          <w:color w:val="222222"/>
          <w:shd w:val="clear" w:color="auto" w:fill="FFFFFF"/>
        </w:rPr>
        <w:t>).</w:t>
      </w:r>
      <w:r w:rsidR="00356676">
        <w:rPr>
          <w:rFonts w:cs="Arial"/>
          <w:color w:val="222222"/>
          <w:shd w:val="clear" w:color="auto" w:fill="FFFFFF"/>
        </w:rPr>
        <w:t xml:space="preserve"> </w:t>
      </w:r>
      <w:r w:rsidR="0072620E">
        <w:rPr>
          <w:rFonts w:cs="Arial"/>
          <w:color w:val="222222"/>
          <w:shd w:val="clear" w:color="auto" w:fill="FFFFFF"/>
        </w:rPr>
        <w:t xml:space="preserve">In this study, SIL analysis is done to assess </w:t>
      </w:r>
      <w:r w:rsidR="006A78BC">
        <w:rPr>
          <w:rFonts w:cs="Arial"/>
          <w:color w:val="222222"/>
          <w:shd w:val="clear" w:color="auto" w:fill="FFFFFF"/>
        </w:rPr>
        <w:t>the amount of risk reduction necessary to maintain the risk of the process at an acceptable level</w:t>
      </w:r>
      <w:r w:rsidR="00573E14">
        <w:rPr>
          <w:rFonts w:cs="Arial"/>
          <w:color w:val="222222"/>
          <w:shd w:val="clear" w:color="auto" w:fill="FFFFFF"/>
        </w:rPr>
        <w:t>.</w:t>
      </w:r>
    </w:p>
    <w:p w14:paraId="4FA70A2F" w14:textId="77777777" w:rsidR="00BF7AFE" w:rsidRPr="00B57B36" w:rsidRDefault="00BF7AFE" w:rsidP="006A6D0C">
      <w:pPr>
        <w:pStyle w:val="CETHeading1"/>
        <w:tabs>
          <w:tab w:val="clear" w:pos="360"/>
          <w:tab w:val="right" w:pos="7100"/>
        </w:tabs>
        <w:spacing w:line="264" w:lineRule="auto"/>
        <w:jc w:val="both"/>
        <w:rPr>
          <w:lang w:val="en-GB"/>
        </w:rPr>
      </w:pPr>
      <w:r>
        <w:rPr>
          <w:lang w:val="en-GB"/>
        </w:rPr>
        <w:t>Methodology</w:t>
      </w:r>
    </w:p>
    <w:p w14:paraId="4B32AD34" w14:textId="325D69E6" w:rsidR="00B40588" w:rsidRDefault="00BF7AFE" w:rsidP="006A6D0C">
      <w:pPr>
        <w:pStyle w:val="CETBodytext"/>
      </w:pPr>
      <w:r w:rsidRPr="00275ABC">
        <w:t xml:space="preserve">To develop the HAZOP, LOPA and SIL analysis, the first stage was a detailed study, concerning the alkylation process and how it works, to identify the operating principles of the alkylation unit as well as the main </w:t>
      </w:r>
      <w:r w:rsidRPr="00B12A8A">
        <w:rPr>
          <w:szCs w:val="18"/>
        </w:rPr>
        <w:t>variables of the process, and also to select the nodes to be evaluated. To do this, it was needed to systematically carry on a review of the Process Flow Diagrams (PFD), Piping and Instrument Diagrams (P&amp;ID)</w:t>
      </w:r>
      <w:r w:rsidR="0047375C">
        <w:rPr>
          <w:szCs w:val="18"/>
        </w:rPr>
        <w:t>,</w:t>
      </w:r>
      <w:r w:rsidRPr="00B12A8A">
        <w:rPr>
          <w:szCs w:val="18"/>
        </w:rPr>
        <w:t xml:space="preserve"> and plant manuals by a multi-disciplinary team</w:t>
      </w:r>
      <w:r w:rsidR="00C20FD4">
        <w:rPr>
          <w:szCs w:val="18"/>
        </w:rPr>
        <w:t xml:space="preserve"> (Crawley and Tyler, 2015).</w:t>
      </w:r>
      <w:r w:rsidRPr="00B12A8A">
        <w:rPr>
          <w:szCs w:val="18"/>
        </w:rPr>
        <w:t xml:space="preserve"> Forty-eight nodes that are distributed among thirteen units were considered for this study</w:t>
      </w:r>
      <w:r w:rsidR="00B40588" w:rsidRPr="00B12A8A">
        <w:rPr>
          <w:szCs w:val="18"/>
        </w:rPr>
        <w:t xml:space="preserve">, </w:t>
      </w:r>
      <w:r w:rsidR="007831AC">
        <w:rPr>
          <w:szCs w:val="18"/>
        </w:rPr>
        <w:t>as it is shown in Table 1.</w:t>
      </w:r>
      <w:r w:rsidR="00B107BE">
        <w:rPr>
          <w:szCs w:val="18"/>
        </w:rPr>
        <w:t xml:space="preserve"> </w:t>
      </w:r>
      <w:r w:rsidR="00B107BE" w:rsidRPr="00275ABC">
        <w:t>For each node, deviations were analyzed, regarding guide words and</w:t>
      </w:r>
      <w:r w:rsidR="00B107BE">
        <w:t xml:space="preserve"> the relevant process variables</w:t>
      </w:r>
      <w:r w:rsidR="00B107BE" w:rsidRPr="00275ABC">
        <w:t>. Each association betw</w:t>
      </w:r>
      <w:r w:rsidR="0085691E">
        <w:t>een a guide word and a variable</w:t>
      </w:r>
      <w:r w:rsidR="00B107BE" w:rsidRPr="00275ABC">
        <w:t xml:space="preserve"> represented a hazard scenario.</w:t>
      </w:r>
      <w:r w:rsidR="00B107BE">
        <w:t xml:space="preserve"> </w:t>
      </w:r>
      <w:r w:rsidR="00B107BE" w:rsidRPr="00275ABC">
        <w:t>Each haz</w:t>
      </w:r>
      <w:r w:rsidR="00B107BE">
        <w:t>ard scenario was categorized as affecting</w:t>
      </w:r>
      <w:r w:rsidR="00B107BE" w:rsidRPr="00275ABC">
        <w:t xml:space="preserve"> </w:t>
      </w:r>
      <w:r w:rsidR="00B107BE">
        <w:t>s</w:t>
      </w:r>
      <w:r w:rsidR="00B107BE" w:rsidRPr="00275ABC">
        <w:t>afety (S)</w:t>
      </w:r>
      <w:r w:rsidR="00B107BE">
        <w:t>,</w:t>
      </w:r>
      <w:r w:rsidR="00B107BE" w:rsidRPr="00275ABC">
        <w:t xml:space="preserve"> </w:t>
      </w:r>
      <w:r w:rsidR="00B107BE">
        <w:t>e</w:t>
      </w:r>
      <w:r w:rsidR="00B107BE" w:rsidRPr="00275ABC">
        <w:t>nvironmental (E)</w:t>
      </w:r>
      <w:r w:rsidR="00A92979">
        <w:t>,</w:t>
      </w:r>
      <w:r w:rsidR="00B107BE">
        <w:t xml:space="preserve"> and f</w:t>
      </w:r>
      <w:r w:rsidR="00B107BE" w:rsidRPr="00275ABC">
        <w:t>inancial (F). Also, each scenario was ranked according to its estimated severity and likelihood of occurrence, to determine the risk ranking.</w:t>
      </w:r>
      <w:r w:rsidR="00B107BE">
        <w:t xml:space="preserve"> </w:t>
      </w:r>
      <w:r w:rsidR="00975E32">
        <w:t xml:space="preserve">Regarding </w:t>
      </w:r>
      <w:r w:rsidR="00B107BE">
        <w:t>the severity level, a category (S1 Negligible, S2 Minor, S3 Significant, S4 Major, S5 Catastrophic) was assigned to each scenario, according to the effects on the safety (</w:t>
      </w:r>
      <w:r w:rsidR="00D6798E">
        <w:t xml:space="preserve">the </w:t>
      </w:r>
      <w:r w:rsidR="00B107BE">
        <w:t xml:space="preserve">health of personnel), environment or finances, while the likelihood (frequency) was assigned from a list of five levels (F1 Improbable, F2 Remote, F3 Rare, F4 Probable, F5 Frequent). The risk ranking, as a result of the relation between the severity and the likelihood (frequency) of each hazard scenario, can take the following levels: Low (L), Medium (M), Significant (S), High (H) or No Ranked, according </w:t>
      </w:r>
      <w:r w:rsidR="00DA6017">
        <w:t>to a Risk Matrix (Mannan, 2012), as it is shown in Figure 1.</w:t>
      </w:r>
    </w:p>
    <w:p w14:paraId="59DE4496" w14:textId="77777777" w:rsidR="009B0C0D" w:rsidRPr="00B57B36" w:rsidRDefault="009B0C0D" w:rsidP="006A6D0C">
      <w:pPr>
        <w:pStyle w:val="CETHeading1"/>
        <w:tabs>
          <w:tab w:val="clear" w:pos="360"/>
          <w:tab w:val="right" w:pos="7100"/>
        </w:tabs>
        <w:spacing w:line="264" w:lineRule="auto"/>
        <w:jc w:val="both"/>
        <w:rPr>
          <w:lang w:val="en-GB"/>
        </w:rPr>
      </w:pPr>
      <w:r>
        <w:rPr>
          <w:lang w:val="en-GB"/>
        </w:rPr>
        <w:t>Results</w:t>
      </w:r>
    </w:p>
    <w:p w14:paraId="3EFA1D16" w14:textId="77777777" w:rsidR="009B0C0D" w:rsidRDefault="009B0C0D" w:rsidP="006A6D0C">
      <w:pPr>
        <w:pStyle w:val="CETheadingx"/>
        <w:spacing w:line="264" w:lineRule="auto"/>
      </w:pPr>
      <w:r>
        <w:t>HAZOP analysis</w:t>
      </w:r>
    </w:p>
    <w:p w14:paraId="2BAE5421" w14:textId="6A108632" w:rsidR="009B0C0D" w:rsidRDefault="009B0C0D" w:rsidP="006A6D0C">
      <w:pPr>
        <w:pStyle w:val="CETBodytext"/>
        <w:rPr>
          <w:szCs w:val="18"/>
        </w:rPr>
      </w:pPr>
      <w:r w:rsidRPr="0088777E">
        <w:rPr>
          <w:szCs w:val="18"/>
        </w:rPr>
        <w:t xml:space="preserve">For </w:t>
      </w:r>
      <w:r w:rsidR="00612FF5">
        <w:rPr>
          <w:szCs w:val="18"/>
        </w:rPr>
        <w:t xml:space="preserve">this </w:t>
      </w:r>
      <w:r w:rsidRPr="0088777E">
        <w:rPr>
          <w:szCs w:val="18"/>
        </w:rPr>
        <w:t>analysis, the relevant variables were: Temperature, Pressure, Level, Charge composition, Concentration</w:t>
      </w:r>
      <w:r w:rsidR="00663336">
        <w:rPr>
          <w:szCs w:val="18"/>
        </w:rPr>
        <w:t>,</w:t>
      </w:r>
      <w:r w:rsidRPr="0088777E">
        <w:rPr>
          <w:szCs w:val="18"/>
        </w:rPr>
        <w:t xml:space="preserve"> and Flow. The guide words applied were “More”, “Less”, and “None”. Twenty-four scenarios </w:t>
      </w:r>
      <w:r w:rsidRPr="0088777E">
        <w:rPr>
          <w:szCs w:val="18"/>
        </w:rPr>
        <w:lastRenderedPageBreak/>
        <w:t>were found to be of significant risk and high risk in nine of the thirteen sections of the HF alkylation unit</w:t>
      </w:r>
      <w:r>
        <w:rPr>
          <w:szCs w:val="18"/>
        </w:rPr>
        <w:t>, as it is shown in Table 2.</w:t>
      </w:r>
      <w:r w:rsidR="0001579D">
        <w:rPr>
          <w:szCs w:val="18"/>
        </w:rPr>
        <w:t xml:space="preserve"> </w:t>
      </w:r>
      <w:r w:rsidR="0001579D" w:rsidRPr="0088777E">
        <w:rPr>
          <w:szCs w:val="18"/>
        </w:rPr>
        <w:t>These twenty-four scenarios were then analyzed by LOPA and SIL methodologies.</w:t>
      </w:r>
    </w:p>
    <w:p w14:paraId="074E9812" w14:textId="6D6F1422" w:rsidR="008E55A3" w:rsidRPr="00B57B36" w:rsidRDefault="008E55A3" w:rsidP="006A6D0C">
      <w:pPr>
        <w:pStyle w:val="CETTabletitle"/>
        <w:spacing w:line="264" w:lineRule="auto"/>
      </w:pPr>
      <w:r w:rsidRPr="00B57B36">
        <w:t xml:space="preserve">Table 1: </w:t>
      </w:r>
      <w:r w:rsidR="003F76E3">
        <w:t>Sections and nodes analysed by HAZOP in the HF alkylation process unit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6235"/>
      </w:tblGrid>
      <w:tr w:rsidR="00017C83" w:rsidRPr="00B57B36" w14:paraId="0C74B008" w14:textId="77777777" w:rsidTr="00831992">
        <w:tc>
          <w:tcPr>
            <w:tcW w:w="2552" w:type="dxa"/>
            <w:tcBorders>
              <w:top w:val="single" w:sz="12" w:space="0" w:color="008000"/>
              <w:bottom w:val="single" w:sz="6" w:space="0" w:color="008000"/>
            </w:tcBorders>
            <w:shd w:val="clear" w:color="auto" w:fill="FFFFFF"/>
          </w:tcPr>
          <w:p w14:paraId="6D2CA787" w14:textId="7E0F5750" w:rsidR="00017C83" w:rsidRPr="00B57B36" w:rsidRDefault="00017C83" w:rsidP="006A6D0C">
            <w:pPr>
              <w:pStyle w:val="CETBodytext"/>
              <w:rPr>
                <w:lang w:val="en-GB"/>
              </w:rPr>
            </w:pPr>
            <w:r>
              <w:rPr>
                <w:lang w:val="en-GB"/>
              </w:rPr>
              <w:t>Sections</w:t>
            </w:r>
          </w:p>
        </w:tc>
        <w:tc>
          <w:tcPr>
            <w:tcW w:w="6235" w:type="dxa"/>
            <w:tcBorders>
              <w:top w:val="single" w:sz="12" w:space="0" w:color="008000"/>
              <w:bottom w:val="single" w:sz="6" w:space="0" w:color="008000"/>
            </w:tcBorders>
            <w:shd w:val="clear" w:color="auto" w:fill="FFFFFF"/>
          </w:tcPr>
          <w:p w14:paraId="6523E0B3" w14:textId="3901B022" w:rsidR="00017C83" w:rsidRPr="00B57B36" w:rsidRDefault="00017C83" w:rsidP="006A6D0C">
            <w:pPr>
              <w:pStyle w:val="CETBodytext"/>
              <w:rPr>
                <w:lang w:val="en-GB"/>
              </w:rPr>
            </w:pPr>
            <w:r>
              <w:rPr>
                <w:lang w:val="en-GB"/>
              </w:rPr>
              <w:t>Nodes</w:t>
            </w:r>
          </w:p>
        </w:tc>
      </w:tr>
      <w:tr w:rsidR="00017C83" w:rsidRPr="00B57B36" w14:paraId="795699B2" w14:textId="77777777" w:rsidTr="00831992">
        <w:tc>
          <w:tcPr>
            <w:tcW w:w="2552" w:type="dxa"/>
            <w:shd w:val="clear" w:color="auto" w:fill="FFFFFF"/>
            <w:vAlign w:val="center"/>
          </w:tcPr>
          <w:p w14:paraId="7391E19E" w14:textId="6187E655" w:rsidR="00017C83" w:rsidRPr="00A5405B" w:rsidRDefault="00A5405B" w:rsidP="006A6D0C">
            <w:pPr>
              <w:pStyle w:val="CETBodytext"/>
              <w:jc w:val="left"/>
              <w:rPr>
                <w:lang w:val="en-GB"/>
              </w:rPr>
            </w:pPr>
            <w:r w:rsidRPr="00A5405B">
              <w:rPr>
                <w:rFonts w:cs="Arial"/>
                <w:szCs w:val="18"/>
              </w:rPr>
              <w:t>Selective Hydrogenation</w:t>
            </w:r>
          </w:p>
        </w:tc>
        <w:tc>
          <w:tcPr>
            <w:tcW w:w="6235" w:type="dxa"/>
            <w:shd w:val="clear" w:color="auto" w:fill="FFFFFF"/>
            <w:vAlign w:val="center"/>
          </w:tcPr>
          <w:p w14:paraId="3E896BE0" w14:textId="42F5C20B" w:rsidR="00017C83" w:rsidRPr="00B57B36" w:rsidRDefault="00BE2C67" w:rsidP="006A6D0C">
            <w:pPr>
              <w:pStyle w:val="CETBodytext"/>
              <w:jc w:val="left"/>
              <w:rPr>
                <w:lang w:val="en-GB"/>
              </w:rPr>
            </w:pPr>
            <w:r w:rsidRPr="00A5405B">
              <w:rPr>
                <w:rFonts w:cs="Arial"/>
                <w:szCs w:val="18"/>
              </w:rPr>
              <w:t>Feed surge drum, Heat exchanger, Condenser, Reactors, Stripper</w:t>
            </w:r>
          </w:p>
        </w:tc>
      </w:tr>
      <w:tr w:rsidR="00017C83" w:rsidRPr="00B57B36" w14:paraId="75A9F279" w14:textId="77777777" w:rsidTr="00831992">
        <w:tc>
          <w:tcPr>
            <w:tcW w:w="2552" w:type="dxa"/>
            <w:shd w:val="clear" w:color="auto" w:fill="FFFFFF"/>
            <w:vAlign w:val="center"/>
          </w:tcPr>
          <w:p w14:paraId="0A532EFD" w14:textId="1B75B9D6" w:rsidR="00017C83" w:rsidRPr="00B57B36" w:rsidRDefault="00376879" w:rsidP="006A6D0C">
            <w:pPr>
              <w:pStyle w:val="CETBodytext"/>
              <w:ind w:right="-1"/>
              <w:jc w:val="left"/>
              <w:rPr>
                <w:rFonts w:cs="Arial"/>
                <w:szCs w:val="18"/>
                <w:lang w:val="en-GB"/>
              </w:rPr>
            </w:pPr>
            <w:r w:rsidRPr="0084384D">
              <w:rPr>
                <w:rFonts w:cs="Arial"/>
                <w:szCs w:val="18"/>
              </w:rPr>
              <w:t>Charge and drying</w:t>
            </w:r>
          </w:p>
        </w:tc>
        <w:tc>
          <w:tcPr>
            <w:tcW w:w="6235" w:type="dxa"/>
            <w:shd w:val="clear" w:color="auto" w:fill="FFFFFF"/>
            <w:vAlign w:val="center"/>
          </w:tcPr>
          <w:p w14:paraId="343E53FD" w14:textId="1D3EA8F0" w:rsidR="00017C83" w:rsidRPr="00B57B36" w:rsidRDefault="00376879" w:rsidP="006A6D0C">
            <w:pPr>
              <w:pStyle w:val="CETBodytext"/>
              <w:ind w:right="-1"/>
              <w:jc w:val="left"/>
              <w:rPr>
                <w:rFonts w:cs="Arial"/>
                <w:szCs w:val="18"/>
                <w:lang w:val="en-GB"/>
              </w:rPr>
            </w:pPr>
            <w:r w:rsidRPr="0084384D">
              <w:rPr>
                <w:rFonts w:cs="Arial"/>
                <w:szCs w:val="18"/>
              </w:rPr>
              <w:t xml:space="preserve">Surge Drum, Olefin feed dryers in use, Olefin feed dryers in regeneration, Condenser, </w:t>
            </w:r>
            <w:proofErr w:type="spellStart"/>
            <w:r w:rsidRPr="0084384D">
              <w:rPr>
                <w:rFonts w:cs="Arial"/>
                <w:szCs w:val="18"/>
              </w:rPr>
              <w:t>Coalescer</w:t>
            </w:r>
            <w:proofErr w:type="spellEnd"/>
          </w:p>
        </w:tc>
      </w:tr>
      <w:tr w:rsidR="00CC648F" w:rsidRPr="00B57B36" w14:paraId="7C85E896" w14:textId="77777777" w:rsidTr="00831992">
        <w:tc>
          <w:tcPr>
            <w:tcW w:w="2552" w:type="dxa"/>
            <w:shd w:val="clear" w:color="auto" w:fill="FFFFFF"/>
            <w:vAlign w:val="center"/>
          </w:tcPr>
          <w:p w14:paraId="2521B5E2" w14:textId="399F4B37" w:rsidR="00CC648F" w:rsidRPr="0084384D" w:rsidRDefault="00136D34" w:rsidP="006A6D0C">
            <w:pPr>
              <w:pStyle w:val="CETBodytext"/>
              <w:ind w:right="-1"/>
              <w:jc w:val="left"/>
              <w:rPr>
                <w:rFonts w:cs="Arial"/>
                <w:szCs w:val="18"/>
              </w:rPr>
            </w:pPr>
            <w:r w:rsidRPr="0084384D">
              <w:rPr>
                <w:rFonts w:cs="Arial"/>
                <w:szCs w:val="18"/>
              </w:rPr>
              <w:t>Reaction</w:t>
            </w:r>
          </w:p>
        </w:tc>
        <w:tc>
          <w:tcPr>
            <w:tcW w:w="6235" w:type="dxa"/>
            <w:shd w:val="clear" w:color="auto" w:fill="FFFFFF"/>
            <w:vAlign w:val="center"/>
          </w:tcPr>
          <w:p w14:paraId="194B659D" w14:textId="28340194" w:rsidR="00CC648F" w:rsidRPr="0084384D" w:rsidRDefault="00136D34" w:rsidP="006A6D0C">
            <w:pPr>
              <w:pStyle w:val="CETBodytext"/>
              <w:ind w:right="-1"/>
              <w:jc w:val="left"/>
              <w:rPr>
                <w:rFonts w:cs="Arial"/>
                <w:szCs w:val="18"/>
              </w:rPr>
            </w:pPr>
            <w:r w:rsidRPr="0084384D">
              <w:rPr>
                <w:rFonts w:cs="Arial"/>
                <w:szCs w:val="18"/>
              </w:rPr>
              <w:t>Reactor, Acid settler</w:t>
            </w:r>
          </w:p>
        </w:tc>
      </w:tr>
      <w:tr w:rsidR="00136D34" w:rsidRPr="00B57B36" w14:paraId="60EFE63B" w14:textId="77777777" w:rsidTr="00831992">
        <w:tc>
          <w:tcPr>
            <w:tcW w:w="2552" w:type="dxa"/>
            <w:shd w:val="clear" w:color="auto" w:fill="FFFFFF"/>
            <w:vAlign w:val="center"/>
          </w:tcPr>
          <w:p w14:paraId="71E06E26" w14:textId="7618874E" w:rsidR="00136D34" w:rsidRPr="0084384D" w:rsidRDefault="001B00C0" w:rsidP="006A6D0C">
            <w:pPr>
              <w:pStyle w:val="CETBodytext"/>
              <w:ind w:right="-1"/>
              <w:jc w:val="left"/>
              <w:rPr>
                <w:rFonts w:cs="Arial"/>
                <w:szCs w:val="18"/>
              </w:rPr>
            </w:pPr>
            <w:r w:rsidRPr="0084384D">
              <w:rPr>
                <w:rFonts w:cs="Arial"/>
                <w:szCs w:val="18"/>
              </w:rPr>
              <w:t>Acid Storage</w:t>
            </w:r>
          </w:p>
        </w:tc>
        <w:tc>
          <w:tcPr>
            <w:tcW w:w="6235" w:type="dxa"/>
            <w:shd w:val="clear" w:color="auto" w:fill="FFFFFF"/>
            <w:vAlign w:val="center"/>
          </w:tcPr>
          <w:p w14:paraId="49EE95A6" w14:textId="5AE9DFCD" w:rsidR="00136D34" w:rsidRPr="0084384D" w:rsidRDefault="001B00C0" w:rsidP="006A6D0C">
            <w:pPr>
              <w:pStyle w:val="CETBodytext"/>
              <w:ind w:right="-1"/>
              <w:jc w:val="left"/>
              <w:rPr>
                <w:rFonts w:cs="Arial"/>
                <w:szCs w:val="18"/>
              </w:rPr>
            </w:pPr>
            <w:r w:rsidRPr="0084384D">
              <w:rPr>
                <w:rFonts w:cs="Arial"/>
                <w:szCs w:val="18"/>
              </w:rPr>
              <w:t>HF Acid container, Acid storage drum, Acid dump drum</w:t>
            </w:r>
          </w:p>
        </w:tc>
      </w:tr>
      <w:tr w:rsidR="001B00C0" w:rsidRPr="00B57B36" w14:paraId="4320560B" w14:textId="77777777" w:rsidTr="00831992">
        <w:tc>
          <w:tcPr>
            <w:tcW w:w="2552" w:type="dxa"/>
            <w:shd w:val="clear" w:color="auto" w:fill="FFFFFF"/>
            <w:vAlign w:val="center"/>
          </w:tcPr>
          <w:p w14:paraId="23C084D3" w14:textId="220734AB" w:rsidR="001B00C0" w:rsidRPr="0084384D" w:rsidRDefault="00E238CF" w:rsidP="006A6D0C">
            <w:pPr>
              <w:pStyle w:val="CETBodytext"/>
              <w:ind w:right="-1"/>
              <w:jc w:val="left"/>
              <w:rPr>
                <w:rFonts w:cs="Arial"/>
                <w:szCs w:val="18"/>
              </w:rPr>
            </w:pPr>
            <w:r w:rsidRPr="0084384D">
              <w:rPr>
                <w:rFonts w:cs="Arial"/>
                <w:szCs w:val="18"/>
              </w:rPr>
              <w:t>Cooling water tower TAE</w:t>
            </w:r>
          </w:p>
        </w:tc>
        <w:tc>
          <w:tcPr>
            <w:tcW w:w="6235" w:type="dxa"/>
            <w:shd w:val="clear" w:color="auto" w:fill="FFFFFF"/>
            <w:vAlign w:val="center"/>
          </w:tcPr>
          <w:p w14:paraId="2BB468AC" w14:textId="78676995" w:rsidR="001B00C0" w:rsidRPr="0084384D" w:rsidRDefault="00E238CF" w:rsidP="006A6D0C">
            <w:pPr>
              <w:pStyle w:val="CETBodytext"/>
              <w:ind w:right="-1"/>
              <w:jc w:val="left"/>
              <w:rPr>
                <w:rFonts w:cs="Arial"/>
                <w:szCs w:val="18"/>
              </w:rPr>
            </w:pPr>
            <w:r w:rsidRPr="0084384D">
              <w:rPr>
                <w:rFonts w:cs="Arial"/>
                <w:szCs w:val="18"/>
              </w:rPr>
              <w:t>Cooling tower</w:t>
            </w:r>
          </w:p>
        </w:tc>
      </w:tr>
      <w:tr w:rsidR="00E5100B" w:rsidRPr="00B57B36" w14:paraId="345D86A6" w14:textId="77777777" w:rsidTr="00831992">
        <w:tc>
          <w:tcPr>
            <w:tcW w:w="2552" w:type="dxa"/>
            <w:shd w:val="clear" w:color="auto" w:fill="FFFFFF"/>
            <w:vAlign w:val="center"/>
          </w:tcPr>
          <w:p w14:paraId="059CD42E" w14:textId="03035677" w:rsidR="00E5100B" w:rsidRPr="0084384D" w:rsidRDefault="00E5100B" w:rsidP="006A6D0C">
            <w:pPr>
              <w:pStyle w:val="CETBodytext"/>
              <w:ind w:right="-1"/>
              <w:jc w:val="left"/>
              <w:rPr>
                <w:rFonts w:cs="Arial"/>
                <w:szCs w:val="18"/>
              </w:rPr>
            </w:pPr>
            <w:proofErr w:type="spellStart"/>
            <w:r w:rsidRPr="0084384D">
              <w:rPr>
                <w:rFonts w:cs="Arial"/>
                <w:szCs w:val="18"/>
              </w:rPr>
              <w:t>Isostripper</w:t>
            </w:r>
            <w:proofErr w:type="spellEnd"/>
          </w:p>
        </w:tc>
        <w:tc>
          <w:tcPr>
            <w:tcW w:w="6235" w:type="dxa"/>
            <w:shd w:val="clear" w:color="auto" w:fill="FFFFFF"/>
            <w:vAlign w:val="center"/>
          </w:tcPr>
          <w:p w14:paraId="6C848E8C" w14:textId="3EA8B7B2" w:rsidR="00E5100B" w:rsidRPr="0084384D" w:rsidRDefault="00E5100B" w:rsidP="006A6D0C">
            <w:pPr>
              <w:pStyle w:val="CETBodytext"/>
              <w:ind w:right="-1"/>
              <w:jc w:val="left"/>
              <w:rPr>
                <w:rFonts w:cs="Arial"/>
                <w:szCs w:val="18"/>
              </w:rPr>
            </w:pPr>
            <w:proofErr w:type="spellStart"/>
            <w:r w:rsidRPr="0084384D">
              <w:rPr>
                <w:rFonts w:cs="Arial"/>
                <w:szCs w:val="18"/>
              </w:rPr>
              <w:t>Isostripper</w:t>
            </w:r>
            <w:proofErr w:type="spellEnd"/>
            <w:r w:rsidRPr="0084384D">
              <w:rPr>
                <w:rFonts w:cs="Arial"/>
                <w:szCs w:val="18"/>
              </w:rPr>
              <w:t xml:space="preserve"> surge Drum, </w:t>
            </w:r>
            <w:proofErr w:type="spellStart"/>
            <w:r w:rsidRPr="0084384D">
              <w:rPr>
                <w:rFonts w:cs="Arial"/>
                <w:szCs w:val="18"/>
              </w:rPr>
              <w:t>Isostripper</w:t>
            </w:r>
            <w:proofErr w:type="spellEnd"/>
            <w:r w:rsidRPr="0084384D">
              <w:rPr>
                <w:rFonts w:cs="Arial"/>
                <w:szCs w:val="18"/>
              </w:rPr>
              <w:t xml:space="preserve"> tower, </w:t>
            </w:r>
            <w:proofErr w:type="spellStart"/>
            <w:r w:rsidRPr="0084384D">
              <w:rPr>
                <w:rFonts w:cs="Arial"/>
                <w:szCs w:val="18"/>
              </w:rPr>
              <w:t>Depropanizer</w:t>
            </w:r>
            <w:proofErr w:type="spellEnd"/>
            <w:r w:rsidRPr="0084384D">
              <w:rPr>
                <w:rFonts w:cs="Arial"/>
                <w:szCs w:val="18"/>
              </w:rPr>
              <w:t xml:space="preserve"> feed settler</w:t>
            </w:r>
          </w:p>
        </w:tc>
      </w:tr>
      <w:tr w:rsidR="00E5100B" w:rsidRPr="00B57B36" w14:paraId="17ED1F7F" w14:textId="77777777" w:rsidTr="00831992">
        <w:tc>
          <w:tcPr>
            <w:tcW w:w="2552" w:type="dxa"/>
            <w:shd w:val="clear" w:color="auto" w:fill="FFFFFF"/>
            <w:vAlign w:val="center"/>
          </w:tcPr>
          <w:p w14:paraId="5935F946" w14:textId="5D201D98" w:rsidR="00E5100B" w:rsidRPr="0084384D" w:rsidRDefault="00224BCD" w:rsidP="006A6D0C">
            <w:pPr>
              <w:pStyle w:val="CETBodytext"/>
              <w:ind w:right="-1"/>
              <w:jc w:val="left"/>
              <w:rPr>
                <w:rFonts w:cs="Arial"/>
                <w:szCs w:val="18"/>
              </w:rPr>
            </w:pPr>
            <w:proofErr w:type="spellStart"/>
            <w:r w:rsidRPr="0084384D">
              <w:rPr>
                <w:rFonts w:cs="Arial"/>
                <w:szCs w:val="18"/>
              </w:rPr>
              <w:t>Depropanizer</w:t>
            </w:r>
            <w:proofErr w:type="spellEnd"/>
            <w:r w:rsidRPr="0084384D">
              <w:rPr>
                <w:rFonts w:cs="Arial"/>
                <w:szCs w:val="18"/>
              </w:rPr>
              <w:t xml:space="preserve"> and HF Stripper</w:t>
            </w:r>
          </w:p>
        </w:tc>
        <w:tc>
          <w:tcPr>
            <w:tcW w:w="6235" w:type="dxa"/>
            <w:shd w:val="clear" w:color="auto" w:fill="FFFFFF"/>
            <w:vAlign w:val="center"/>
          </w:tcPr>
          <w:p w14:paraId="06A8E1DA" w14:textId="7B7A3457" w:rsidR="00E5100B" w:rsidRPr="0084384D" w:rsidRDefault="00224BCD" w:rsidP="006A6D0C">
            <w:pPr>
              <w:pStyle w:val="CETBodytext"/>
              <w:ind w:right="-1"/>
              <w:jc w:val="left"/>
              <w:rPr>
                <w:rFonts w:cs="Arial"/>
                <w:szCs w:val="18"/>
              </w:rPr>
            </w:pPr>
            <w:proofErr w:type="spellStart"/>
            <w:r w:rsidRPr="0084384D">
              <w:rPr>
                <w:rFonts w:cs="Arial"/>
                <w:szCs w:val="18"/>
              </w:rPr>
              <w:t>Depropanizer</w:t>
            </w:r>
            <w:proofErr w:type="spellEnd"/>
            <w:r w:rsidRPr="0084384D">
              <w:rPr>
                <w:rFonts w:cs="Arial"/>
                <w:szCs w:val="18"/>
              </w:rPr>
              <w:t xml:space="preserve">, </w:t>
            </w:r>
            <w:proofErr w:type="spellStart"/>
            <w:r w:rsidRPr="0084384D">
              <w:rPr>
                <w:rFonts w:cs="Arial"/>
                <w:szCs w:val="18"/>
              </w:rPr>
              <w:t>Depropanizer</w:t>
            </w:r>
            <w:proofErr w:type="spellEnd"/>
            <w:r w:rsidRPr="0084384D">
              <w:rPr>
                <w:rFonts w:cs="Arial"/>
                <w:szCs w:val="18"/>
              </w:rPr>
              <w:t xml:space="preserve"> receiver, </w:t>
            </w:r>
            <w:proofErr w:type="spellStart"/>
            <w:r w:rsidRPr="0084384D">
              <w:rPr>
                <w:rFonts w:cs="Arial"/>
                <w:szCs w:val="18"/>
              </w:rPr>
              <w:t>Isobutane</w:t>
            </w:r>
            <w:proofErr w:type="spellEnd"/>
            <w:r w:rsidRPr="0084384D">
              <w:rPr>
                <w:rFonts w:cs="Arial"/>
                <w:szCs w:val="18"/>
              </w:rPr>
              <w:t xml:space="preserve"> flush filter, HF Stripper, Propane flush filter</w:t>
            </w:r>
          </w:p>
        </w:tc>
      </w:tr>
      <w:tr w:rsidR="00D568C8" w:rsidRPr="00B57B36" w14:paraId="698DC4F1" w14:textId="77777777" w:rsidTr="00831992">
        <w:tc>
          <w:tcPr>
            <w:tcW w:w="2552" w:type="dxa"/>
            <w:shd w:val="clear" w:color="auto" w:fill="FFFFFF"/>
            <w:vAlign w:val="center"/>
          </w:tcPr>
          <w:p w14:paraId="0F49BD33" w14:textId="2C04EA25" w:rsidR="00D568C8" w:rsidRPr="0084384D" w:rsidRDefault="00CF5720" w:rsidP="006A6D0C">
            <w:pPr>
              <w:pStyle w:val="CETBodytext"/>
              <w:ind w:right="-1"/>
              <w:jc w:val="left"/>
              <w:rPr>
                <w:rFonts w:cs="Arial"/>
                <w:szCs w:val="18"/>
              </w:rPr>
            </w:pPr>
            <w:r w:rsidRPr="0084384D">
              <w:rPr>
                <w:rFonts w:cs="Arial"/>
                <w:szCs w:val="18"/>
              </w:rPr>
              <w:t>Propane treatment section</w:t>
            </w:r>
          </w:p>
        </w:tc>
        <w:tc>
          <w:tcPr>
            <w:tcW w:w="6235" w:type="dxa"/>
            <w:shd w:val="clear" w:color="auto" w:fill="FFFFFF"/>
            <w:vAlign w:val="center"/>
          </w:tcPr>
          <w:p w14:paraId="1AEBF7CA" w14:textId="316F936A" w:rsidR="00D568C8" w:rsidRPr="0084384D" w:rsidRDefault="00CF5720" w:rsidP="006A6D0C">
            <w:pPr>
              <w:pStyle w:val="CETBodytext"/>
              <w:ind w:right="-1"/>
              <w:jc w:val="left"/>
              <w:rPr>
                <w:rFonts w:cs="Arial"/>
                <w:szCs w:val="18"/>
              </w:rPr>
            </w:pPr>
            <w:r w:rsidRPr="0084384D">
              <w:rPr>
                <w:rFonts w:cs="Arial"/>
                <w:szCs w:val="18"/>
              </w:rPr>
              <w:t>Propane exchanger, Propane alumina treaters, Propane KOH treaters</w:t>
            </w:r>
          </w:p>
        </w:tc>
      </w:tr>
      <w:tr w:rsidR="00CF5720" w:rsidRPr="00B57B36" w14:paraId="26260196" w14:textId="77777777" w:rsidTr="00831992">
        <w:tc>
          <w:tcPr>
            <w:tcW w:w="2552" w:type="dxa"/>
            <w:shd w:val="clear" w:color="auto" w:fill="FFFFFF"/>
            <w:vAlign w:val="center"/>
          </w:tcPr>
          <w:p w14:paraId="29BF5A05" w14:textId="0581871C" w:rsidR="00CF5720" w:rsidRPr="0084384D" w:rsidRDefault="002D653B" w:rsidP="006A6D0C">
            <w:pPr>
              <w:pStyle w:val="CETBodytext"/>
              <w:ind w:right="-1"/>
              <w:jc w:val="left"/>
              <w:rPr>
                <w:rFonts w:cs="Arial"/>
                <w:szCs w:val="18"/>
              </w:rPr>
            </w:pPr>
            <w:proofErr w:type="spellStart"/>
            <w:r w:rsidRPr="0084384D">
              <w:rPr>
                <w:rFonts w:cs="Arial"/>
                <w:szCs w:val="18"/>
              </w:rPr>
              <w:t>Debutanization</w:t>
            </w:r>
            <w:proofErr w:type="spellEnd"/>
            <w:r w:rsidRPr="0084384D">
              <w:rPr>
                <w:rFonts w:cs="Arial"/>
                <w:szCs w:val="18"/>
              </w:rPr>
              <w:t xml:space="preserve"> and alkylate treatment</w:t>
            </w:r>
          </w:p>
        </w:tc>
        <w:tc>
          <w:tcPr>
            <w:tcW w:w="6235" w:type="dxa"/>
            <w:shd w:val="clear" w:color="auto" w:fill="FFFFFF"/>
            <w:vAlign w:val="center"/>
          </w:tcPr>
          <w:p w14:paraId="2CED4969" w14:textId="6B784122" w:rsidR="00CF5720" w:rsidRPr="0084384D" w:rsidRDefault="002D653B" w:rsidP="006A6D0C">
            <w:pPr>
              <w:pStyle w:val="CETBodytext"/>
              <w:ind w:right="-1"/>
              <w:jc w:val="left"/>
              <w:rPr>
                <w:rFonts w:cs="Arial"/>
                <w:szCs w:val="18"/>
              </w:rPr>
            </w:pPr>
            <w:r w:rsidRPr="0084384D">
              <w:rPr>
                <w:rFonts w:cs="Arial"/>
                <w:szCs w:val="18"/>
              </w:rPr>
              <w:t>Debutanizer tower, Reflux drum, Alkylate filters, Alkylate treatment drum</w:t>
            </w:r>
          </w:p>
        </w:tc>
      </w:tr>
      <w:tr w:rsidR="004F3D38" w:rsidRPr="00B57B36" w14:paraId="0B247519" w14:textId="77777777" w:rsidTr="00831992">
        <w:tc>
          <w:tcPr>
            <w:tcW w:w="2552" w:type="dxa"/>
            <w:shd w:val="clear" w:color="auto" w:fill="FFFFFF"/>
            <w:vAlign w:val="center"/>
          </w:tcPr>
          <w:p w14:paraId="4432DAF3" w14:textId="476174A0" w:rsidR="004F3D38" w:rsidRPr="0084384D" w:rsidRDefault="004F3D38" w:rsidP="006A6D0C">
            <w:pPr>
              <w:pStyle w:val="CETBodytext"/>
              <w:ind w:right="-1"/>
              <w:jc w:val="left"/>
              <w:rPr>
                <w:rFonts w:cs="Arial"/>
                <w:szCs w:val="18"/>
              </w:rPr>
            </w:pPr>
            <w:r w:rsidRPr="0084384D">
              <w:rPr>
                <w:rFonts w:cs="Arial"/>
                <w:szCs w:val="18"/>
              </w:rPr>
              <w:t>n-Butane treatment section</w:t>
            </w:r>
          </w:p>
        </w:tc>
        <w:tc>
          <w:tcPr>
            <w:tcW w:w="6235" w:type="dxa"/>
            <w:shd w:val="clear" w:color="auto" w:fill="FFFFFF"/>
            <w:vAlign w:val="center"/>
          </w:tcPr>
          <w:p w14:paraId="6E0684E0" w14:textId="22377BEB" w:rsidR="004F3D38" w:rsidRPr="0084384D" w:rsidRDefault="004F3D38" w:rsidP="006A6D0C">
            <w:pPr>
              <w:pStyle w:val="CETBodytext"/>
              <w:ind w:right="-1"/>
              <w:jc w:val="left"/>
              <w:rPr>
                <w:rFonts w:cs="Arial"/>
                <w:szCs w:val="18"/>
              </w:rPr>
            </w:pPr>
            <w:r w:rsidRPr="0084384D">
              <w:rPr>
                <w:rFonts w:cs="Arial"/>
                <w:szCs w:val="18"/>
              </w:rPr>
              <w:t xml:space="preserve">Heat exchangers and condenser, Treaters with alumina, n-butane </w:t>
            </w:r>
            <w:proofErr w:type="spellStart"/>
            <w:r w:rsidRPr="0084384D">
              <w:rPr>
                <w:rFonts w:cs="Arial"/>
                <w:szCs w:val="18"/>
              </w:rPr>
              <w:t>coalescers</w:t>
            </w:r>
            <w:proofErr w:type="spellEnd"/>
            <w:r w:rsidRPr="0084384D">
              <w:rPr>
                <w:rFonts w:cs="Arial"/>
                <w:szCs w:val="18"/>
              </w:rPr>
              <w:t>, KOH treatment drums, A</w:t>
            </w:r>
            <w:r w:rsidR="00EA01CC">
              <w:rPr>
                <w:rFonts w:cs="Arial"/>
                <w:szCs w:val="18"/>
              </w:rPr>
              <w:t>d</w:t>
            </w:r>
            <w:r w:rsidRPr="0084384D">
              <w:rPr>
                <w:rFonts w:cs="Arial"/>
                <w:szCs w:val="18"/>
              </w:rPr>
              <w:t>ditive treatments</w:t>
            </w:r>
          </w:p>
        </w:tc>
      </w:tr>
      <w:tr w:rsidR="004F3D38" w:rsidRPr="00B57B36" w14:paraId="62169287" w14:textId="77777777" w:rsidTr="00831992">
        <w:tc>
          <w:tcPr>
            <w:tcW w:w="2552" w:type="dxa"/>
            <w:shd w:val="clear" w:color="auto" w:fill="FFFFFF"/>
            <w:vAlign w:val="center"/>
          </w:tcPr>
          <w:p w14:paraId="0A264953" w14:textId="170037E9" w:rsidR="004F3D38" w:rsidRPr="0084384D" w:rsidRDefault="004F3D38" w:rsidP="006A6D0C">
            <w:pPr>
              <w:pStyle w:val="CETBodytext"/>
              <w:ind w:right="-1"/>
              <w:jc w:val="left"/>
              <w:rPr>
                <w:rFonts w:cs="Arial"/>
                <w:szCs w:val="18"/>
              </w:rPr>
            </w:pPr>
            <w:r w:rsidRPr="0084384D">
              <w:rPr>
                <w:rFonts w:cs="Arial"/>
                <w:szCs w:val="18"/>
              </w:rPr>
              <w:t>ALKAD regeneration</w:t>
            </w:r>
          </w:p>
        </w:tc>
        <w:tc>
          <w:tcPr>
            <w:tcW w:w="6235" w:type="dxa"/>
            <w:shd w:val="clear" w:color="auto" w:fill="FFFFFF"/>
            <w:vAlign w:val="center"/>
          </w:tcPr>
          <w:p w14:paraId="79D7AD0C" w14:textId="2B590AF1" w:rsidR="004F3D38" w:rsidRPr="0084384D" w:rsidRDefault="004F3D38" w:rsidP="006A6D0C">
            <w:pPr>
              <w:pStyle w:val="CETBodytext"/>
              <w:ind w:right="-1"/>
              <w:jc w:val="left"/>
              <w:rPr>
                <w:rFonts w:cs="Arial"/>
                <w:szCs w:val="18"/>
              </w:rPr>
            </w:pPr>
            <w:r w:rsidRPr="0084384D">
              <w:rPr>
                <w:rFonts w:cs="Arial"/>
                <w:szCs w:val="18"/>
              </w:rPr>
              <w:t>Fresh additive charge – additive storage drum, Additive stripper, Additive stripper receiver, Additive stripper bottoms separator</w:t>
            </w:r>
          </w:p>
        </w:tc>
      </w:tr>
      <w:tr w:rsidR="004F3D38" w:rsidRPr="00B57B36" w14:paraId="72B6E68B" w14:textId="77777777" w:rsidTr="00831992">
        <w:tc>
          <w:tcPr>
            <w:tcW w:w="2552" w:type="dxa"/>
            <w:shd w:val="clear" w:color="auto" w:fill="FFFFFF"/>
            <w:vAlign w:val="center"/>
          </w:tcPr>
          <w:p w14:paraId="0DF49C08" w14:textId="05BFF0FF" w:rsidR="004F3D38" w:rsidRPr="0084384D" w:rsidRDefault="004F3D38" w:rsidP="006A6D0C">
            <w:pPr>
              <w:pStyle w:val="CETBodytext"/>
              <w:ind w:right="-1"/>
              <w:jc w:val="left"/>
              <w:rPr>
                <w:rFonts w:cs="Arial"/>
                <w:szCs w:val="18"/>
              </w:rPr>
            </w:pPr>
            <w:r w:rsidRPr="0084384D">
              <w:rPr>
                <w:rFonts w:cs="Arial"/>
                <w:szCs w:val="18"/>
              </w:rPr>
              <w:t>HF regeneration</w:t>
            </w:r>
          </w:p>
        </w:tc>
        <w:tc>
          <w:tcPr>
            <w:tcW w:w="6235" w:type="dxa"/>
            <w:shd w:val="clear" w:color="auto" w:fill="FFFFFF"/>
            <w:vAlign w:val="center"/>
          </w:tcPr>
          <w:p w14:paraId="7C12A7A9" w14:textId="108A1617" w:rsidR="004F3D38" w:rsidRPr="0084384D" w:rsidRDefault="004F3D38" w:rsidP="006A6D0C">
            <w:pPr>
              <w:pStyle w:val="CETBodytext"/>
              <w:ind w:right="-1"/>
              <w:jc w:val="left"/>
              <w:rPr>
                <w:rFonts w:cs="Arial"/>
                <w:szCs w:val="18"/>
              </w:rPr>
            </w:pPr>
            <w:r w:rsidRPr="0084384D">
              <w:rPr>
                <w:rFonts w:cs="Arial"/>
                <w:szCs w:val="18"/>
              </w:rPr>
              <w:t>Acid regenerator, Isobutane superheater, Condensate pot, Polymer surge drum, Polymer neutralizer, Closed drain drum</w:t>
            </w:r>
          </w:p>
        </w:tc>
      </w:tr>
      <w:tr w:rsidR="004F3D38" w:rsidRPr="00B57B36" w14:paraId="59153661" w14:textId="77777777" w:rsidTr="00831992">
        <w:tc>
          <w:tcPr>
            <w:tcW w:w="2552" w:type="dxa"/>
            <w:shd w:val="clear" w:color="auto" w:fill="FFFFFF"/>
            <w:vAlign w:val="center"/>
          </w:tcPr>
          <w:p w14:paraId="249774C5" w14:textId="7ACB57AF" w:rsidR="004F3D38" w:rsidRPr="0084384D" w:rsidRDefault="00900D0A" w:rsidP="006A6D0C">
            <w:pPr>
              <w:pStyle w:val="CETBodytext"/>
              <w:ind w:right="-1"/>
              <w:jc w:val="left"/>
              <w:rPr>
                <w:rFonts w:cs="Arial"/>
                <w:szCs w:val="18"/>
              </w:rPr>
            </w:pPr>
            <w:r w:rsidRPr="0084384D">
              <w:rPr>
                <w:rFonts w:cs="Arial"/>
                <w:szCs w:val="18"/>
              </w:rPr>
              <w:t>Effluent treatment</w:t>
            </w:r>
          </w:p>
        </w:tc>
        <w:tc>
          <w:tcPr>
            <w:tcW w:w="6235" w:type="dxa"/>
            <w:shd w:val="clear" w:color="auto" w:fill="FFFFFF"/>
            <w:vAlign w:val="center"/>
          </w:tcPr>
          <w:p w14:paraId="6167758B" w14:textId="5C16C84A" w:rsidR="004F3D38" w:rsidRPr="0084384D" w:rsidRDefault="00900D0A" w:rsidP="006A6D0C">
            <w:pPr>
              <w:pStyle w:val="CETBodytext"/>
              <w:ind w:right="-1"/>
              <w:jc w:val="left"/>
              <w:rPr>
                <w:rFonts w:cs="Arial"/>
                <w:szCs w:val="18"/>
              </w:rPr>
            </w:pPr>
            <w:r w:rsidRPr="0084384D">
              <w:rPr>
                <w:rFonts w:cs="Arial"/>
                <w:szCs w:val="18"/>
              </w:rPr>
              <w:t>Liquid Knockout drum, Neutralizing drum, Relief gas scrubber, KOH regeneration tank, Neutralizing basin</w:t>
            </w:r>
          </w:p>
        </w:tc>
      </w:tr>
    </w:tbl>
    <w:p w14:paraId="657346EB" w14:textId="0675B2DA" w:rsidR="00CF7582" w:rsidRDefault="00CF7582" w:rsidP="006A6D0C">
      <w:pPr>
        <w:pStyle w:val="CETListbullets"/>
        <w:ind w:left="0" w:firstLine="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5120"/>
      </w:tblGrid>
      <w:tr w:rsidR="00CF7582" w14:paraId="7B334C39" w14:textId="77777777" w:rsidTr="00A8459F">
        <w:tc>
          <w:tcPr>
            <w:tcW w:w="3883" w:type="dxa"/>
          </w:tcPr>
          <w:p w14:paraId="1FD2CC25" w14:textId="77777777" w:rsidR="00CF7582" w:rsidRDefault="00CF7582" w:rsidP="006A6D0C">
            <w:pPr>
              <w:pStyle w:val="CETListbullets"/>
              <w:ind w:left="0" w:firstLine="0"/>
            </w:pPr>
            <w:r w:rsidRPr="00A462B4">
              <w:rPr>
                <w:rFonts w:ascii="Arial Narrow" w:hAnsi="Arial Narrow"/>
                <w:noProof/>
                <w:lang w:val="it-IT" w:eastAsia="it-IT"/>
              </w:rPr>
              <w:drawing>
                <wp:inline distT="0" distB="0" distL="0" distR="0" wp14:anchorId="737703AA" wp14:editId="37D48113">
                  <wp:extent cx="2377240" cy="1620078"/>
                  <wp:effectExtent l="0" t="0" r="4445"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29363" cy="1655599"/>
                          </a:xfrm>
                          <a:prstGeom prst="rect">
                            <a:avLst/>
                          </a:prstGeom>
                        </pic:spPr>
                      </pic:pic>
                    </a:graphicData>
                  </a:graphic>
                </wp:inline>
              </w:drawing>
            </w:r>
          </w:p>
        </w:tc>
        <w:tc>
          <w:tcPr>
            <w:tcW w:w="5120" w:type="dxa"/>
          </w:tcPr>
          <w:p w14:paraId="74EE760A" w14:textId="77777777" w:rsidR="00CF7582" w:rsidRDefault="00CF7582" w:rsidP="006A6D0C">
            <w:pPr>
              <w:pStyle w:val="CETListbullets"/>
              <w:ind w:left="0" w:firstLine="0"/>
            </w:pPr>
            <w:r w:rsidRPr="00A462B4">
              <w:rPr>
                <w:rFonts w:ascii="Arial Narrow" w:hAnsi="Arial Narrow"/>
                <w:noProof/>
                <w:lang w:val="it-IT" w:eastAsia="it-IT"/>
              </w:rPr>
              <w:drawing>
                <wp:inline distT="0" distB="0" distL="0" distR="0" wp14:anchorId="6E689A87" wp14:editId="3DFD2B13">
                  <wp:extent cx="3185758" cy="1033669"/>
                  <wp:effectExtent l="0" t="0" r="0"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26356" cy="1046842"/>
                          </a:xfrm>
                          <a:prstGeom prst="rect">
                            <a:avLst/>
                          </a:prstGeom>
                        </pic:spPr>
                      </pic:pic>
                    </a:graphicData>
                  </a:graphic>
                </wp:inline>
              </w:drawing>
            </w:r>
          </w:p>
        </w:tc>
      </w:tr>
    </w:tbl>
    <w:p w14:paraId="7A002ACD" w14:textId="77777777" w:rsidR="00CF7582" w:rsidRDefault="00CF7582" w:rsidP="006A6D0C">
      <w:pPr>
        <w:pStyle w:val="CETListbullets"/>
        <w:ind w:left="0" w:firstLine="0"/>
        <w:rPr>
          <w:i/>
        </w:rPr>
      </w:pPr>
      <w:r>
        <w:rPr>
          <w:i/>
        </w:rPr>
        <w:t xml:space="preserve">  </w:t>
      </w:r>
      <w:r w:rsidRPr="00C90B01">
        <w:rPr>
          <w:i/>
        </w:rPr>
        <w:t xml:space="preserve">Figure 1: </w:t>
      </w:r>
      <w:r>
        <w:rPr>
          <w:i/>
        </w:rPr>
        <w:t>Risk matrix and definitions</w:t>
      </w:r>
    </w:p>
    <w:p w14:paraId="59E3EC70" w14:textId="271E10F7" w:rsidR="00275311" w:rsidRPr="00B57B36" w:rsidRDefault="00275311" w:rsidP="006A6D0C">
      <w:pPr>
        <w:pStyle w:val="CETTabletitle"/>
        <w:spacing w:line="264" w:lineRule="auto"/>
      </w:pPr>
      <w:r w:rsidRPr="00B57B36">
        <w:t xml:space="preserve">Table </w:t>
      </w:r>
      <w:r w:rsidR="009F2B53">
        <w:t>2</w:t>
      </w:r>
      <w:r w:rsidRPr="00B57B36">
        <w:t xml:space="preserve">: </w:t>
      </w:r>
      <w:r w:rsidR="007002C3">
        <w:t>Significant and high-</w:t>
      </w:r>
      <w:r w:rsidR="006C515E">
        <w:t>risk scenarios</w:t>
      </w:r>
    </w:p>
    <w:tbl>
      <w:tblPr>
        <w:tblW w:w="884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1418"/>
        <w:gridCol w:w="1842"/>
        <w:gridCol w:w="1478"/>
      </w:tblGrid>
      <w:tr w:rsidR="00F1642E" w:rsidRPr="00B57B36" w14:paraId="254B5327" w14:textId="77777777" w:rsidTr="009F0B52">
        <w:tc>
          <w:tcPr>
            <w:tcW w:w="4111" w:type="dxa"/>
            <w:tcBorders>
              <w:top w:val="single" w:sz="12" w:space="0" w:color="008000"/>
              <w:bottom w:val="single" w:sz="6" w:space="0" w:color="008000"/>
            </w:tcBorders>
            <w:shd w:val="clear" w:color="auto" w:fill="FFFFFF"/>
            <w:vAlign w:val="center"/>
          </w:tcPr>
          <w:p w14:paraId="17F2619A" w14:textId="3D0D35D4" w:rsidR="00F1642E" w:rsidRPr="00B57B36" w:rsidRDefault="00F1642E" w:rsidP="006A6D0C">
            <w:pPr>
              <w:pStyle w:val="CETBodytext"/>
              <w:jc w:val="center"/>
              <w:rPr>
                <w:lang w:val="en-GB"/>
              </w:rPr>
            </w:pPr>
            <w:r>
              <w:rPr>
                <w:lang w:val="en-GB"/>
              </w:rPr>
              <w:t>Section</w:t>
            </w:r>
          </w:p>
        </w:tc>
        <w:tc>
          <w:tcPr>
            <w:tcW w:w="1418" w:type="dxa"/>
            <w:tcBorders>
              <w:top w:val="single" w:sz="12" w:space="0" w:color="008000"/>
              <w:bottom w:val="single" w:sz="6" w:space="0" w:color="008000"/>
            </w:tcBorders>
            <w:shd w:val="clear" w:color="auto" w:fill="FFFFFF"/>
            <w:vAlign w:val="center"/>
          </w:tcPr>
          <w:p w14:paraId="48970D6A" w14:textId="3D4D1C06" w:rsidR="00F1642E" w:rsidRPr="00B57B36" w:rsidRDefault="00F1642E" w:rsidP="006A6D0C">
            <w:pPr>
              <w:pStyle w:val="CETBodytext"/>
              <w:jc w:val="center"/>
              <w:rPr>
                <w:lang w:val="en-GB"/>
              </w:rPr>
            </w:pPr>
            <w:r>
              <w:rPr>
                <w:lang w:val="en-GB"/>
              </w:rPr>
              <w:t>Total number of scenarios</w:t>
            </w:r>
          </w:p>
        </w:tc>
        <w:tc>
          <w:tcPr>
            <w:tcW w:w="1842" w:type="dxa"/>
            <w:tcBorders>
              <w:top w:val="single" w:sz="12" w:space="0" w:color="008000"/>
              <w:bottom w:val="single" w:sz="6" w:space="0" w:color="008000"/>
            </w:tcBorders>
            <w:shd w:val="clear" w:color="auto" w:fill="FFFFFF"/>
            <w:vAlign w:val="center"/>
          </w:tcPr>
          <w:p w14:paraId="65EA6563" w14:textId="2F5D2E17" w:rsidR="00F1642E" w:rsidRPr="00B57B36" w:rsidRDefault="00F1642E" w:rsidP="006A6D0C">
            <w:pPr>
              <w:pStyle w:val="CETBodytext"/>
              <w:jc w:val="center"/>
              <w:rPr>
                <w:lang w:val="en-GB"/>
              </w:rPr>
            </w:pPr>
            <w:r>
              <w:rPr>
                <w:lang w:val="en-GB"/>
              </w:rPr>
              <w:t>Number of Significant risk scenarios</w:t>
            </w:r>
          </w:p>
        </w:tc>
        <w:tc>
          <w:tcPr>
            <w:tcW w:w="1478" w:type="dxa"/>
            <w:tcBorders>
              <w:top w:val="single" w:sz="12" w:space="0" w:color="008000"/>
              <w:bottom w:val="single" w:sz="6" w:space="0" w:color="008000"/>
            </w:tcBorders>
            <w:shd w:val="clear" w:color="auto" w:fill="FFFFFF"/>
            <w:vAlign w:val="center"/>
          </w:tcPr>
          <w:p w14:paraId="27F48CC9" w14:textId="77777777" w:rsidR="006C6042" w:rsidRDefault="00F1642E" w:rsidP="006A6D0C">
            <w:pPr>
              <w:pStyle w:val="CETBodytext"/>
              <w:ind w:right="-1"/>
              <w:jc w:val="center"/>
              <w:rPr>
                <w:rFonts w:cs="Arial"/>
                <w:szCs w:val="18"/>
                <w:lang w:val="en-GB"/>
              </w:rPr>
            </w:pPr>
            <w:r>
              <w:rPr>
                <w:rFonts w:cs="Arial"/>
                <w:szCs w:val="18"/>
                <w:lang w:val="en-GB"/>
              </w:rPr>
              <w:t>Number of High</w:t>
            </w:r>
            <w:r w:rsidR="007002C3">
              <w:rPr>
                <w:rFonts w:cs="Arial"/>
                <w:szCs w:val="18"/>
                <w:lang w:val="en-GB"/>
              </w:rPr>
              <w:t>-</w:t>
            </w:r>
          </w:p>
          <w:p w14:paraId="6C40648C" w14:textId="167F2D2B" w:rsidR="00F1642E" w:rsidRPr="00B57B36" w:rsidRDefault="00F1642E" w:rsidP="006A6D0C">
            <w:pPr>
              <w:pStyle w:val="CETBodytext"/>
              <w:ind w:right="-1"/>
              <w:jc w:val="center"/>
              <w:rPr>
                <w:rFonts w:cs="Arial"/>
                <w:szCs w:val="18"/>
                <w:lang w:val="en-GB"/>
              </w:rPr>
            </w:pPr>
            <w:r>
              <w:rPr>
                <w:rFonts w:cs="Arial"/>
                <w:szCs w:val="18"/>
                <w:lang w:val="en-GB"/>
              </w:rPr>
              <w:t>risk scenarios</w:t>
            </w:r>
          </w:p>
        </w:tc>
      </w:tr>
      <w:tr w:rsidR="00F1642E" w:rsidRPr="00B57B36" w14:paraId="785E9AC6" w14:textId="77777777" w:rsidTr="009F0B52">
        <w:tc>
          <w:tcPr>
            <w:tcW w:w="4111" w:type="dxa"/>
            <w:shd w:val="clear" w:color="auto" w:fill="FFFFFF"/>
            <w:vAlign w:val="center"/>
          </w:tcPr>
          <w:p w14:paraId="55C1B9D6" w14:textId="15516084" w:rsidR="00F1642E" w:rsidRPr="00B57B36" w:rsidRDefault="002275FC" w:rsidP="006A6D0C">
            <w:pPr>
              <w:pStyle w:val="CETBodytext"/>
              <w:jc w:val="center"/>
              <w:rPr>
                <w:lang w:val="en-GB"/>
              </w:rPr>
            </w:pPr>
            <w:r w:rsidRPr="00D43F38">
              <w:t>Selective Hydrogenation</w:t>
            </w:r>
          </w:p>
        </w:tc>
        <w:tc>
          <w:tcPr>
            <w:tcW w:w="1418" w:type="dxa"/>
            <w:shd w:val="clear" w:color="auto" w:fill="FFFFFF"/>
            <w:vAlign w:val="center"/>
          </w:tcPr>
          <w:p w14:paraId="04032934" w14:textId="7E1E8BE4" w:rsidR="00F1642E" w:rsidRPr="00B57B36" w:rsidRDefault="002275FC" w:rsidP="006A6D0C">
            <w:pPr>
              <w:pStyle w:val="CETBodytext"/>
              <w:jc w:val="center"/>
              <w:rPr>
                <w:lang w:val="en-GB"/>
              </w:rPr>
            </w:pPr>
            <w:r>
              <w:rPr>
                <w:lang w:val="en-GB"/>
              </w:rPr>
              <w:t>176</w:t>
            </w:r>
          </w:p>
        </w:tc>
        <w:tc>
          <w:tcPr>
            <w:tcW w:w="1842" w:type="dxa"/>
            <w:shd w:val="clear" w:color="auto" w:fill="FFFFFF"/>
            <w:vAlign w:val="center"/>
          </w:tcPr>
          <w:p w14:paraId="085056EF" w14:textId="74E9B4E5" w:rsidR="00F1642E" w:rsidRPr="00B57B36" w:rsidRDefault="002275FC" w:rsidP="006A6D0C">
            <w:pPr>
              <w:pStyle w:val="CETBodytext"/>
              <w:jc w:val="center"/>
              <w:rPr>
                <w:lang w:val="en-GB"/>
              </w:rPr>
            </w:pPr>
            <w:r>
              <w:rPr>
                <w:lang w:val="en-GB"/>
              </w:rPr>
              <w:t>4</w:t>
            </w:r>
          </w:p>
        </w:tc>
        <w:tc>
          <w:tcPr>
            <w:tcW w:w="1478" w:type="dxa"/>
            <w:shd w:val="clear" w:color="auto" w:fill="FFFFFF"/>
            <w:vAlign w:val="center"/>
          </w:tcPr>
          <w:p w14:paraId="0D23B44B" w14:textId="44CDAAE7" w:rsidR="00F1642E" w:rsidRPr="00B57B36" w:rsidRDefault="002275FC" w:rsidP="006A6D0C">
            <w:pPr>
              <w:pStyle w:val="CETBodytext"/>
              <w:ind w:right="-1"/>
              <w:jc w:val="center"/>
              <w:rPr>
                <w:rFonts w:cs="Arial"/>
                <w:szCs w:val="18"/>
                <w:lang w:val="en-GB"/>
              </w:rPr>
            </w:pPr>
            <w:r>
              <w:rPr>
                <w:rFonts w:cs="Arial"/>
                <w:szCs w:val="18"/>
                <w:lang w:val="en-GB"/>
              </w:rPr>
              <w:t>0</w:t>
            </w:r>
          </w:p>
        </w:tc>
      </w:tr>
      <w:tr w:rsidR="00F1642E" w:rsidRPr="00B57B36" w14:paraId="7802EA06" w14:textId="77777777" w:rsidTr="009F0B52">
        <w:tc>
          <w:tcPr>
            <w:tcW w:w="4111" w:type="dxa"/>
            <w:shd w:val="clear" w:color="auto" w:fill="FFFFFF"/>
            <w:vAlign w:val="center"/>
          </w:tcPr>
          <w:p w14:paraId="6064992F" w14:textId="6AFAFFFA" w:rsidR="00F1642E" w:rsidRPr="00B57B36" w:rsidRDefault="009C3908" w:rsidP="006A6D0C">
            <w:pPr>
              <w:pStyle w:val="CETBodytext"/>
              <w:ind w:right="-1"/>
              <w:jc w:val="center"/>
              <w:rPr>
                <w:rFonts w:cs="Arial"/>
                <w:szCs w:val="18"/>
                <w:lang w:val="en-GB"/>
              </w:rPr>
            </w:pPr>
            <w:r w:rsidRPr="00D43F38">
              <w:t>Charge and Drying</w:t>
            </w:r>
          </w:p>
        </w:tc>
        <w:tc>
          <w:tcPr>
            <w:tcW w:w="1418" w:type="dxa"/>
            <w:shd w:val="clear" w:color="auto" w:fill="FFFFFF"/>
            <w:vAlign w:val="center"/>
          </w:tcPr>
          <w:p w14:paraId="0E5598A3" w14:textId="0090508A" w:rsidR="00F1642E" w:rsidRPr="00B57B36" w:rsidRDefault="009C3908" w:rsidP="006A6D0C">
            <w:pPr>
              <w:pStyle w:val="CETBodytext"/>
              <w:ind w:right="-1"/>
              <w:jc w:val="center"/>
              <w:rPr>
                <w:rFonts w:cs="Arial"/>
                <w:szCs w:val="18"/>
                <w:lang w:val="en-GB"/>
              </w:rPr>
            </w:pPr>
            <w:r>
              <w:rPr>
                <w:rFonts w:cs="Arial"/>
                <w:szCs w:val="18"/>
                <w:lang w:val="en-GB"/>
              </w:rPr>
              <w:t>113</w:t>
            </w:r>
          </w:p>
        </w:tc>
        <w:tc>
          <w:tcPr>
            <w:tcW w:w="1842" w:type="dxa"/>
            <w:shd w:val="clear" w:color="auto" w:fill="FFFFFF"/>
            <w:vAlign w:val="center"/>
          </w:tcPr>
          <w:p w14:paraId="04CD62A9" w14:textId="3B6E67B8" w:rsidR="00F1642E" w:rsidRPr="00B57B36" w:rsidRDefault="009C3908" w:rsidP="006A6D0C">
            <w:pPr>
              <w:pStyle w:val="CETBodytext"/>
              <w:ind w:right="-1"/>
              <w:jc w:val="center"/>
              <w:rPr>
                <w:rFonts w:cs="Arial"/>
                <w:szCs w:val="18"/>
                <w:lang w:val="en-GB"/>
              </w:rPr>
            </w:pPr>
            <w:r>
              <w:rPr>
                <w:rFonts w:cs="Arial"/>
                <w:szCs w:val="18"/>
                <w:lang w:val="en-GB"/>
              </w:rPr>
              <w:t>3</w:t>
            </w:r>
          </w:p>
        </w:tc>
        <w:tc>
          <w:tcPr>
            <w:tcW w:w="1478" w:type="dxa"/>
            <w:shd w:val="clear" w:color="auto" w:fill="FFFFFF"/>
            <w:vAlign w:val="center"/>
          </w:tcPr>
          <w:p w14:paraId="564E9EC5" w14:textId="158DD06B" w:rsidR="00F1642E" w:rsidRPr="00B57B36" w:rsidRDefault="009C3908" w:rsidP="006A6D0C">
            <w:pPr>
              <w:pStyle w:val="CETBodytext"/>
              <w:ind w:right="-1"/>
              <w:jc w:val="center"/>
              <w:rPr>
                <w:rFonts w:cs="Arial"/>
                <w:szCs w:val="18"/>
                <w:lang w:val="en-GB"/>
              </w:rPr>
            </w:pPr>
            <w:r>
              <w:rPr>
                <w:rFonts w:cs="Arial"/>
                <w:szCs w:val="18"/>
                <w:lang w:val="en-GB"/>
              </w:rPr>
              <w:t>0</w:t>
            </w:r>
          </w:p>
        </w:tc>
      </w:tr>
      <w:tr w:rsidR="009C3908" w:rsidRPr="00B57B36" w14:paraId="5119E453" w14:textId="77777777" w:rsidTr="009F0B52">
        <w:tc>
          <w:tcPr>
            <w:tcW w:w="4111" w:type="dxa"/>
            <w:shd w:val="clear" w:color="auto" w:fill="FFFFFF"/>
            <w:vAlign w:val="center"/>
          </w:tcPr>
          <w:p w14:paraId="79AAED6F" w14:textId="6EFEF6F4" w:rsidR="009C3908" w:rsidRPr="00D43F38" w:rsidRDefault="00A6440B" w:rsidP="006A6D0C">
            <w:pPr>
              <w:pStyle w:val="CETBodytext"/>
              <w:ind w:right="-1"/>
              <w:jc w:val="center"/>
            </w:pPr>
            <w:r w:rsidRPr="00D43F38">
              <w:t>Alkylation reaction</w:t>
            </w:r>
          </w:p>
        </w:tc>
        <w:tc>
          <w:tcPr>
            <w:tcW w:w="1418" w:type="dxa"/>
            <w:shd w:val="clear" w:color="auto" w:fill="FFFFFF"/>
            <w:vAlign w:val="center"/>
          </w:tcPr>
          <w:p w14:paraId="2D63C651" w14:textId="3F6213FF" w:rsidR="009C3908" w:rsidRDefault="00A6440B" w:rsidP="006A6D0C">
            <w:pPr>
              <w:pStyle w:val="CETBodytext"/>
              <w:ind w:right="-1"/>
              <w:jc w:val="center"/>
              <w:rPr>
                <w:rFonts w:cs="Arial"/>
                <w:szCs w:val="18"/>
                <w:lang w:val="en-GB"/>
              </w:rPr>
            </w:pPr>
            <w:r>
              <w:rPr>
                <w:rFonts w:cs="Arial"/>
                <w:szCs w:val="18"/>
                <w:lang w:val="en-GB"/>
              </w:rPr>
              <w:t>50</w:t>
            </w:r>
          </w:p>
        </w:tc>
        <w:tc>
          <w:tcPr>
            <w:tcW w:w="1842" w:type="dxa"/>
            <w:shd w:val="clear" w:color="auto" w:fill="FFFFFF"/>
            <w:vAlign w:val="center"/>
          </w:tcPr>
          <w:p w14:paraId="67BBE92A" w14:textId="30A5FF0B" w:rsidR="009C3908" w:rsidRDefault="00A6440B" w:rsidP="006A6D0C">
            <w:pPr>
              <w:pStyle w:val="CETBodytext"/>
              <w:ind w:right="-1"/>
              <w:jc w:val="center"/>
              <w:rPr>
                <w:rFonts w:cs="Arial"/>
                <w:szCs w:val="18"/>
                <w:lang w:val="en-GB"/>
              </w:rPr>
            </w:pPr>
            <w:r>
              <w:rPr>
                <w:rFonts w:cs="Arial"/>
                <w:szCs w:val="18"/>
                <w:lang w:val="en-GB"/>
              </w:rPr>
              <w:t>1</w:t>
            </w:r>
          </w:p>
        </w:tc>
        <w:tc>
          <w:tcPr>
            <w:tcW w:w="1478" w:type="dxa"/>
            <w:shd w:val="clear" w:color="auto" w:fill="FFFFFF"/>
            <w:vAlign w:val="center"/>
          </w:tcPr>
          <w:p w14:paraId="2EECE4FF" w14:textId="6B3627EE" w:rsidR="009C3908" w:rsidRDefault="00A6440B" w:rsidP="006A6D0C">
            <w:pPr>
              <w:pStyle w:val="CETBodytext"/>
              <w:ind w:right="-1"/>
              <w:jc w:val="center"/>
              <w:rPr>
                <w:rFonts w:cs="Arial"/>
                <w:szCs w:val="18"/>
                <w:lang w:val="en-GB"/>
              </w:rPr>
            </w:pPr>
            <w:r>
              <w:rPr>
                <w:rFonts w:cs="Arial"/>
                <w:szCs w:val="18"/>
                <w:lang w:val="en-GB"/>
              </w:rPr>
              <w:t>0</w:t>
            </w:r>
          </w:p>
        </w:tc>
      </w:tr>
      <w:tr w:rsidR="00A6440B" w:rsidRPr="00B57B36" w14:paraId="1F3C9728" w14:textId="77777777" w:rsidTr="009F0B52">
        <w:tc>
          <w:tcPr>
            <w:tcW w:w="4111" w:type="dxa"/>
            <w:shd w:val="clear" w:color="auto" w:fill="FFFFFF"/>
            <w:vAlign w:val="center"/>
          </w:tcPr>
          <w:p w14:paraId="254B82E9" w14:textId="466DBD34" w:rsidR="00A6440B" w:rsidRPr="00D43F38" w:rsidRDefault="001A227F" w:rsidP="006A6D0C">
            <w:pPr>
              <w:pStyle w:val="CETBodytext"/>
              <w:ind w:right="-1"/>
              <w:jc w:val="center"/>
            </w:pPr>
            <w:r w:rsidRPr="00D43F38">
              <w:t>Propane treatment</w:t>
            </w:r>
          </w:p>
        </w:tc>
        <w:tc>
          <w:tcPr>
            <w:tcW w:w="1418" w:type="dxa"/>
            <w:shd w:val="clear" w:color="auto" w:fill="FFFFFF"/>
            <w:vAlign w:val="center"/>
          </w:tcPr>
          <w:p w14:paraId="5CE9DC2A" w14:textId="565C68F9" w:rsidR="00A6440B" w:rsidRDefault="001A227F" w:rsidP="006A6D0C">
            <w:pPr>
              <w:pStyle w:val="CETBodytext"/>
              <w:ind w:right="-1"/>
              <w:jc w:val="center"/>
              <w:rPr>
                <w:rFonts w:cs="Arial"/>
                <w:szCs w:val="18"/>
                <w:lang w:val="en-GB"/>
              </w:rPr>
            </w:pPr>
            <w:r>
              <w:rPr>
                <w:rFonts w:cs="Arial"/>
                <w:szCs w:val="18"/>
                <w:lang w:val="en-GB"/>
              </w:rPr>
              <w:t>62</w:t>
            </w:r>
          </w:p>
        </w:tc>
        <w:tc>
          <w:tcPr>
            <w:tcW w:w="1842" w:type="dxa"/>
            <w:shd w:val="clear" w:color="auto" w:fill="FFFFFF"/>
            <w:vAlign w:val="center"/>
          </w:tcPr>
          <w:p w14:paraId="12B027F4" w14:textId="32340B53" w:rsidR="00A6440B" w:rsidRDefault="001A227F" w:rsidP="006A6D0C">
            <w:pPr>
              <w:pStyle w:val="CETBodytext"/>
              <w:ind w:right="-1"/>
              <w:jc w:val="center"/>
              <w:rPr>
                <w:rFonts w:cs="Arial"/>
                <w:szCs w:val="18"/>
                <w:lang w:val="en-GB"/>
              </w:rPr>
            </w:pPr>
            <w:r>
              <w:rPr>
                <w:rFonts w:cs="Arial"/>
                <w:szCs w:val="18"/>
                <w:lang w:val="en-GB"/>
              </w:rPr>
              <w:t>2</w:t>
            </w:r>
          </w:p>
        </w:tc>
        <w:tc>
          <w:tcPr>
            <w:tcW w:w="1478" w:type="dxa"/>
            <w:shd w:val="clear" w:color="auto" w:fill="FFFFFF"/>
            <w:vAlign w:val="center"/>
          </w:tcPr>
          <w:p w14:paraId="0AF97650" w14:textId="11A33417" w:rsidR="00A6440B" w:rsidRDefault="001A227F" w:rsidP="006A6D0C">
            <w:pPr>
              <w:pStyle w:val="CETBodytext"/>
              <w:ind w:right="-1"/>
              <w:jc w:val="center"/>
              <w:rPr>
                <w:rFonts w:cs="Arial"/>
                <w:szCs w:val="18"/>
                <w:lang w:val="en-GB"/>
              </w:rPr>
            </w:pPr>
            <w:r>
              <w:rPr>
                <w:rFonts w:cs="Arial"/>
                <w:szCs w:val="18"/>
                <w:lang w:val="en-GB"/>
              </w:rPr>
              <w:t>0</w:t>
            </w:r>
          </w:p>
        </w:tc>
      </w:tr>
      <w:tr w:rsidR="001A227F" w:rsidRPr="00B57B36" w14:paraId="617432F7" w14:textId="77777777" w:rsidTr="009F0B52">
        <w:tc>
          <w:tcPr>
            <w:tcW w:w="4111" w:type="dxa"/>
            <w:shd w:val="clear" w:color="auto" w:fill="FFFFFF"/>
            <w:vAlign w:val="center"/>
          </w:tcPr>
          <w:p w14:paraId="4E550520" w14:textId="1366B202" w:rsidR="001A227F" w:rsidRPr="00D43F38" w:rsidRDefault="009F0B52" w:rsidP="006A6D0C">
            <w:pPr>
              <w:pStyle w:val="CETBodytext"/>
              <w:ind w:right="-1"/>
              <w:jc w:val="center"/>
            </w:pPr>
            <w:proofErr w:type="spellStart"/>
            <w:r w:rsidRPr="00D43F38">
              <w:t>Debutanization</w:t>
            </w:r>
            <w:proofErr w:type="spellEnd"/>
            <w:r w:rsidRPr="00D43F38">
              <w:t xml:space="preserve"> and alkylate treatment</w:t>
            </w:r>
          </w:p>
        </w:tc>
        <w:tc>
          <w:tcPr>
            <w:tcW w:w="1418" w:type="dxa"/>
            <w:shd w:val="clear" w:color="auto" w:fill="FFFFFF"/>
            <w:vAlign w:val="center"/>
          </w:tcPr>
          <w:p w14:paraId="2EB287D9" w14:textId="61F07D20" w:rsidR="001A227F" w:rsidRDefault="003F551F" w:rsidP="006A6D0C">
            <w:pPr>
              <w:pStyle w:val="CETBodytext"/>
              <w:ind w:right="-1"/>
              <w:jc w:val="center"/>
              <w:rPr>
                <w:rFonts w:cs="Arial"/>
                <w:szCs w:val="18"/>
                <w:lang w:val="en-GB"/>
              </w:rPr>
            </w:pPr>
            <w:r>
              <w:rPr>
                <w:rFonts w:cs="Arial"/>
                <w:szCs w:val="18"/>
                <w:lang w:val="en-GB"/>
              </w:rPr>
              <w:t>72</w:t>
            </w:r>
          </w:p>
        </w:tc>
        <w:tc>
          <w:tcPr>
            <w:tcW w:w="1842" w:type="dxa"/>
            <w:shd w:val="clear" w:color="auto" w:fill="FFFFFF"/>
            <w:vAlign w:val="center"/>
          </w:tcPr>
          <w:p w14:paraId="121266E7" w14:textId="61FD20E5" w:rsidR="001A227F" w:rsidRDefault="003F551F" w:rsidP="006A6D0C">
            <w:pPr>
              <w:pStyle w:val="CETBodytext"/>
              <w:ind w:right="-1"/>
              <w:jc w:val="center"/>
              <w:rPr>
                <w:rFonts w:cs="Arial"/>
                <w:szCs w:val="18"/>
                <w:lang w:val="en-GB"/>
              </w:rPr>
            </w:pPr>
            <w:r>
              <w:rPr>
                <w:rFonts w:cs="Arial"/>
                <w:szCs w:val="18"/>
                <w:lang w:val="en-GB"/>
              </w:rPr>
              <w:t>1</w:t>
            </w:r>
          </w:p>
        </w:tc>
        <w:tc>
          <w:tcPr>
            <w:tcW w:w="1478" w:type="dxa"/>
            <w:shd w:val="clear" w:color="auto" w:fill="FFFFFF"/>
            <w:vAlign w:val="center"/>
          </w:tcPr>
          <w:p w14:paraId="670261F0" w14:textId="46E3DD17" w:rsidR="001A227F" w:rsidRDefault="003F551F" w:rsidP="006A6D0C">
            <w:pPr>
              <w:pStyle w:val="CETBodytext"/>
              <w:ind w:right="-1"/>
              <w:jc w:val="center"/>
              <w:rPr>
                <w:rFonts w:cs="Arial"/>
                <w:szCs w:val="18"/>
                <w:lang w:val="en-GB"/>
              </w:rPr>
            </w:pPr>
            <w:r>
              <w:rPr>
                <w:rFonts w:cs="Arial"/>
                <w:szCs w:val="18"/>
                <w:lang w:val="en-GB"/>
              </w:rPr>
              <w:t>0</w:t>
            </w:r>
          </w:p>
        </w:tc>
      </w:tr>
      <w:tr w:rsidR="003F551F" w:rsidRPr="00B57B36" w14:paraId="7E2F5C8F" w14:textId="77777777" w:rsidTr="009F0B52">
        <w:tc>
          <w:tcPr>
            <w:tcW w:w="4111" w:type="dxa"/>
            <w:shd w:val="clear" w:color="auto" w:fill="FFFFFF"/>
            <w:vAlign w:val="center"/>
          </w:tcPr>
          <w:p w14:paraId="770DC7DD" w14:textId="34570D75" w:rsidR="003F551F" w:rsidRPr="00D43F38" w:rsidRDefault="00D67E38" w:rsidP="006A6D0C">
            <w:pPr>
              <w:pStyle w:val="CETBodytext"/>
              <w:ind w:right="-1"/>
              <w:jc w:val="center"/>
            </w:pPr>
            <w:r w:rsidRPr="00D43F38">
              <w:t>n-Butane treatment</w:t>
            </w:r>
          </w:p>
        </w:tc>
        <w:tc>
          <w:tcPr>
            <w:tcW w:w="1418" w:type="dxa"/>
            <w:shd w:val="clear" w:color="auto" w:fill="FFFFFF"/>
            <w:vAlign w:val="center"/>
          </w:tcPr>
          <w:p w14:paraId="66B9583E" w14:textId="65073F6A" w:rsidR="003F551F" w:rsidRDefault="00A602BD" w:rsidP="006A6D0C">
            <w:pPr>
              <w:pStyle w:val="CETBodytext"/>
              <w:ind w:right="-1"/>
              <w:jc w:val="center"/>
              <w:rPr>
                <w:rFonts w:cs="Arial"/>
                <w:szCs w:val="18"/>
                <w:lang w:val="en-GB"/>
              </w:rPr>
            </w:pPr>
            <w:r>
              <w:rPr>
                <w:rFonts w:cs="Arial"/>
                <w:szCs w:val="18"/>
                <w:lang w:val="en-GB"/>
              </w:rPr>
              <w:t>103</w:t>
            </w:r>
          </w:p>
        </w:tc>
        <w:tc>
          <w:tcPr>
            <w:tcW w:w="1842" w:type="dxa"/>
            <w:shd w:val="clear" w:color="auto" w:fill="FFFFFF"/>
            <w:vAlign w:val="center"/>
          </w:tcPr>
          <w:p w14:paraId="6F7B33E3" w14:textId="6218BD77" w:rsidR="003F551F" w:rsidRDefault="00A602BD" w:rsidP="006A6D0C">
            <w:pPr>
              <w:pStyle w:val="CETBodytext"/>
              <w:ind w:right="-1"/>
              <w:jc w:val="center"/>
              <w:rPr>
                <w:rFonts w:cs="Arial"/>
                <w:szCs w:val="18"/>
                <w:lang w:val="en-GB"/>
              </w:rPr>
            </w:pPr>
            <w:r>
              <w:rPr>
                <w:rFonts w:cs="Arial"/>
                <w:szCs w:val="18"/>
                <w:lang w:val="en-GB"/>
              </w:rPr>
              <w:t>2</w:t>
            </w:r>
          </w:p>
        </w:tc>
        <w:tc>
          <w:tcPr>
            <w:tcW w:w="1478" w:type="dxa"/>
            <w:shd w:val="clear" w:color="auto" w:fill="FFFFFF"/>
            <w:vAlign w:val="center"/>
          </w:tcPr>
          <w:p w14:paraId="648284D9" w14:textId="6A297703" w:rsidR="003F551F" w:rsidRDefault="00A602BD" w:rsidP="006A6D0C">
            <w:pPr>
              <w:pStyle w:val="CETBodytext"/>
              <w:ind w:right="-1"/>
              <w:jc w:val="center"/>
              <w:rPr>
                <w:rFonts w:cs="Arial"/>
                <w:szCs w:val="18"/>
                <w:lang w:val="en-GB"/>
              </w:rPr>
            </w:pPr>
            <w:r>
              <w:rPr>
                <w:rFonts w:cs="Arial"/>
                <w:szCs w:val="18"/>
                <w:lang w:val="en-GB"/>
              </w:rPr>
              <w:t>0</w:t>
            </w:r>
          </w:p>
        </w:tc>
      </w:tr>
      <w:tr w:rsidR="00A602BD" w:rsidRPr="00B57B36" w14:paraId="4277E5CF" w14:textId="77777777" w:rsidTr="009F0B52">
        <w:tc>
          <w:tcPr>
            <w:tcW w:w="4111" w:type="dxa"/>
            <w:shd w:val="clear" w:color="auto" w:fill="FFFFFF"/>
            <w:vAlign w:val="center"/>
          </w:tcPr>
          <w:p w14:paraId="3D85A607" w14:textId="044B274F" w:rsidR="00A602BD" w:rsidRPr="00D43F38" w:rsidRDefault="00A602BD" w:rsidP="006A6D0C">
            <w:pPr>
              <w:pStyle w:val="CETBodytext"/>
              <w:ind w:right="-1"/>
              <w:jc w:val="center"/>
            </w:pPr>
            <w:r w:rsidRPr="00D43F38">
              <w:t>HF regeneration</w:t>
            </w:r>
          </w:p>
        </w:tc>
        <w:tc>
          <w:tcPr>
            <w:tcW w:w="1418" w:type="dxa"/>
            <w:shd w:val="clear" w:color="auto" w:fill="FFFFFF"/>
            <w:vAlign w:val="center"/>
          </w:tcPr>
          <w:p w14:paraId="4B3F41CB" w14:textId="3CF42C92" w:rsidR="00A602BD" w:rsidRDefault="00A602BD" w:rsidP="006A6D0C">
            <w:pPr>
              <w:pStyle w:val="CETBodytext"/>
              <w:ind w:right="-1"/>
              <w:jc w:val="center"/>
              <w:rPr>
                <w:rFonts w:cs="Arial"/>
                <w:szCs w:val="18"/>
                <w:lang w:val="en-GB"/>
              </w:rPr>
            </w:pPr>
            <w:r>
              <w:rPr>
                <w:rFonts w:cs="Arial"/>
                <w:szCs w:val="18"/>
                <w:lang w:val="en-GB"/>
              </w:rPr>
              <w:t>112</w:t>
            </w:r>
          </w:p>
        </w:tc>
        <w:tc>
          <w:tcPr>
            <w:tcW w:w="1842" w:type="dxa"/>
            <w:shd w:val="clear" w:color="auto" w:fill="FFFFFF"/>
            <w:vAlign w:val="center"/>
          </w:tcPr>
          <w:p w14:paraId="54CBEE20" w14:textId="7E5EBA79" w:rsidR="00A602BD" w:rsidRDefault="00A602BD" w:rsidP="006A6D0C">
            <w:pPr>
              <w:pStyle w:val="CETBodytext"/>
              <w:ind w:right="-1"/>
              <w:jc w:val="center"/>
              <w:rPr>
                <w:rFonts w:cs="Arial"/>
                <w:szCs w:val="18"/>
                <w:lang w:val="en-GB"/>
              </w:rPr>
            </w:pPr>
            <w:r>
              <w:rPr>
                <w:rFonts w:cs="Arial"/>
                <w:szCs w:val="18"/>
                <w:lang w:val="en-GB"/>
              </w:rPr>
              <w:t>3</w:t>
            </w:r>
          </w:p>
        </w:tc>
        <w:tc>
          <w:tcPr>
            <w:tcW w:w="1478" w:type="dxa"/>
            <w:shd w:val="clear" w:color="auto" w:fill="FFFFFF"/>
            <w:vAlign w:val="center"/>
          </w:tcPr>
          <w:p w14:paraId="2E7B1240" w14:textId="1324A135" w:rsidR="00A602BD" w:rsidRDefault="00A602BD" w:rsidP="006A6D0C">
            <w:pPr>
              <w:pStyle w:val="CETBodytext"/>
              <w:ind w:right="-1"/>
              <w:jc w:val="center"/>
              <w:rPr>
                <w:rFonts w:cs="Arial"/>
                <w:szCs w:val="18"/>
                <w:lang w:val="en-GB"/>
              </w:rPr>
            </w:pPr>
            <w:r>
              <w:rPr>
                <w:rFonts w:cs="Arial"/>
                <w:szCs w:val="18"/>
                <w:lang w:val="en-GB"/>
              </w:rPr>
              <w:t>2</w:t>
            </w:r>
          </w:p>
        </w:tc>
      </w:tr>
      <w:tr w:rsidR="00A602BD" w:rsidRPr="00B57B36" w14:paraId="097C2C87" w14:textId="77777777" w:rsidTr="009F0B52">
        <w:tc>
          <w:tcPr>
            <w:tcW w:w="4111" w:type="dxa"/>
            <w:shd w:val="clear" w:color="auto" w:fill="FFFFFF"/>
            <w:vAlign w:val="center"/>
          </w:tcPr>
          <w:p w14:paraId="44413E27" w14:textId="2E0C940C" w:rsidR="00A602BD" w:rsidRPr="00D43F38" w:rsidRDefault="00041E62" w:rsidP="006A6D0C">
            <w:pPr>
              <w:pStyle w:val="CETBodytext"/>
              <w:ind w:right="-1"/>
              <w:jc w:val="center"/>
            </w:pPr>
            <w:r w:rsidRPr="00D43F38">
              <w:t>Cooling water</w:t>
            </w:r>
          </w:p>
        </w:tc>
        <w:tc>
          <w:tcPr>
            <w:tcW w:w="1418" w:type="dxa"/>
            <w:shd w:val="clear" w:color="auto" w:fill="FFFFFF"/>
            <w:vAlign w:val="center"/>
          </w:tcPr>
          <w:p w14:paraId="15FA2F78" w14:textId="7588C23A" w:rsidR="00A602BD" w:rsidRDefault="00041E62" w:rsidP="006A6D0C">
            <w:pPr>
              <w:pStyle w:val="CETBodytext"/>
              <w:ind w:right="-1"/>
              <w:jc w:val="center"/>
              <w:rPr>
                <w:rFonts w:cs="Arial"/>
                <w:szCs w:val="18"/>
                <w:lang w:val="en-GB"/>
              </w:rPr>
            </w:pPr>
            <w:r>
              <w:rPr>
                <w:rFonts w:cs="Arial"/>
                <w:szCs w:val="18"/>
                <w:lang w:val="en-GB"/>
              </w:rPr>
              <w:t>15</w:t>
            </w:r>
          </w:p>
        </w:tc>
        <w:tc>
          <w:tcPr>
            <w:tcW w:w="1842" w:type="dxa"/>
            <w:shd w:val="clear" w:color="auto" w:fill="FFFFFF"/>
            <w:vAlign w:val="center"/>
          </w:tcPr>
          <w:p w14:paraId="39FBC524" w14:textId="1A902774" w:rsidR="00A602BD" w:rsidRDefault="00041E62" w:rsidP="006A6D0C">
            <w:pPr>
              <w:pStyle w:val="CETBodytext"/>
              <w:ind w:right="-1"/>
              <w:jc w:val="center"/>
              <w:rPr>
                <w:rFonts w:cs="Arial"/>
                <w:szCs w:val="18"/>
                <w:lang w:val="en-GB"/>
              </w:rPr>
            </w:pPr>
            <w:r>
              <w:rPr>
                <w:rFonts w:cs="Arial"/>
                <w:szCs w:val="18"/>
                <w:lang w:val="en-GB"/>
              </w:rPr>
              <w:t>1</w:t>
            </w:r>
          </w:p>
        </w:tc>
        <w:tc>
          <w:tcPr>
            <w:tcW w:w="1478" w:type="dxa"/>
            <w:shd w:val="clear" w:color="auto" w:fill="FFFFFF"/>
            <w:vAlign w:val="center"/>
          </w:tcPr>
          <w:p w14:paraId="0AC6D8EA" w14:textId="274654B3" w:rsidR="00A602BD" w:rsidRDefault="00041E62" w:rsidP="006A6D0C">
            <w:pPr>
              <w:pStyle w:val="CETBodytext"/>
              <w:ind w:right="-1"/>
              <w:jc w:val="center"/>
              <w:rPr>
                <w:rFonts w:cs="Arial"/>
                <w:szCs w:val="18"/>
                <w:lang w:val="en-GB"/>
              </w:rPr>
            </w:pPr>
            <w:r>
              <w:rPr>
                <w:rFonts w:cs="Arial"/>
                <w:szCs w:val="18"/>
                <w:lang w:val="en-GB"/>
              </w:rPr>
              <w:t>0</w:t>
            </w:r>
          </w:p>
        </w:tc>
      </w:tr>
      <w:tr w:rsidR="00041E62" w:rsidRPr="00B57B36" w14:paraId="072DC150" w14:textId="77777777" w:rsidTr="009F0B52">
        <w:tc>
          <w:tcPr>
            <w:tcW w:w="4111" w:type="dxa"/>
            <w:shd w:val="clear" w:color="auto" w:fill="FFFFFF"/>
            <w:vAlign w:val="center"/>
          </w:tcPr>
          <w:p w14:paraId="254BDA35" w14:textId="292CD955" w:rsidR="00041E62" w:rsidRPr="00D43F38" w:rsidRDefault="00041E62" w:rsidP="006A6D0C">
            <w:pPr>
              <w:pStyle w:val="CETBodytext"/>
              <w:ind w:right="-1"/>
              <w:jc w:val="center"/>
            </w:pPr>
            <w:r w:rsidRPr="00D43F38">
              <w:t>Effluent treatment</w:t>
            </w:r>
          </w:p>
        </w:tc>
        <w:tc>
          <w:tcPr>
            <w:tcW w:w="1418" w:type="dxa"/>
            <w:shd w:val="clear" w:color="auto" w:fill="FFFFFF"/>
            <w:vAlign w:val="center"/>
          </w:tcPr>
          <w:p w14:paraId="69FEE111" w14:textId="176280AC" w:rsidR="00041E62" w:rsidRDefault="00041E62" w:rsidP="006A6D0C">
            <w:pPr>
              <w:pStyle w:val="CETBodytext"/>
              <w:ind w:right="-1"/>
              <w:jc w:val="center"/>
              <w:rPr>
                <w:rFonts w:cs="Arial"/>
                <w:szCs w:val="18"/>
                <w:lang w:val="en-GB"/>
              </w:rPr>
            </w:pPr>
            <w:r>
              <w:rPr>
                <w:rFonts w:cs="Arial"/>
                <w:szCs w:val="18"/>
                <w:lang w:val="en-GB"/>
              </w:rPr>
              <w:t>71</w:t>
            </w:r>
          </w:p>
        </w:tc>
        <w:tc>
          <w:tcPr>
            <w:tcW w:w="1842" w:type="dxa"/>
            <w:shd w:val="clear" w:color="auto" w:fill="FFFFFF"/>
            <w:vAlign w:val="center"/>
          </w:tcPr>
          <w:p w14:paraId="720D43C1" w14:textId="38EF11F0" w:rsidR="00041E62" w:rsidRDefault="00041E62" w:rsidP="006A6D0C">
            <w:pPr>
              <w:pStyle w:val="CETBodytext"/>
              <w:ind w:right="-1"/>
              <w:jc w:val="center"/>
              <w:rPr>
                <w:rFonts w:cs="Arial"/>
                <w:szCs w:val="18"/>
                <w:lang w:val="en-GB"/>
              </w:rPr>
            </w:pPr>
            <w:r>
              <w:rPr>
                <w:rFonts w:cs="Arial"/>
                <w:szCs w:val="18"/>
                <w:lang w:val="en-GB"/>
              </w:rPr>
              <w:t>5</w:t>
            </w:r>
          </w:p>
        </w:tc>
        <w:tc>
          <w:tcPr>
            <w:tcW w:w="1478" w:type="dxa"/>
            <w:shd w:val="clear" w:color="auto" w:fill="FFFFFF"/>
            <w:vAlign w:val="center"/>
          </w:tcPr>
          <w:p w14:paraId="01ED499D" w14:textId="468FFAA8" w:rsidR="00041E62" w:rsidRDefault="00041E62" w:rsidP="006A6D0C">
            <w:pPr>
              <w:pStyle w:val="CETBodytext"/>
              <w:ind w:right="-1"/>
              <w:jc w:val="center"/>
              <w:rPr>
                <w:rFonts w:cs="Arial"/>
                <w:szCs w:val="18"/>
                <w:lang w:val="en-GB"/>
              </w:rPr>
            </w:pPr>
            <w:r>
              <w:rPr>
                <w:rFonts w:cs="Arial"/>
                <w:szCs w:val="18"/>
                <w:lang w:val="en-GB"/>
              </w:rPr>
              <w:t>0</w:t>
            </w:r>
          </w:p>
        </w:tc>
      </w:tr>
    </w:tbl>
    <w:p w14:paraId="067C2DC0" w14:textId="596E6E50" w:rsidR="007E3449" w:rsidRDefault="007E3449" w:rsidP="006A6D0C">
      <w:pPr>
        <w:pStyle w:val="CETheadingx"/>
        <w:spacing w:line="264" w:lineRule="auto"/>
      </w:pPr>
      <w:r>
        <w:t xml:space="preserve">LOPA </w:t>
      </w:r>
      <w:r w:rsidR="0037025E">
        <w:t xml:space="preserve">and SIL </w:t>
      </w:r>
      <w:r>
        <w:t>analysis</w:t>
      </w:r>
    </w:p>
    <w:p w14:paraId="37CBD782" w14:textId="375D2AB8" w:rsidR="00BA5922" w:rsidRDefault="00A53132" w:rsidP="006A6D0C">
      <w:pPr>
        <w:pStyle w:val="CETBodytext"/>
        <w:rPr>
          <w:rFonts w:cs="Arial"/>
        </w:rPr>
      </w:pPr>
      <w:r>
        <w:rPr>
          <w:szCs w:val="18"/>
        </w:rPr>
        <w:t>Based on the HAZOP findings</w:t>
      </w:r>
      <w:r w:rsidR="00A52755" w:rsidRPr="0088777E">
        <w:rPr>
          <w:szCs w:val="18"/>
        </w:rPr>
        <w:t>, and for illustration purpose</w:t>
      </w:r>
      <w:r w:rsidR="006C6042">
        <w:rPr>
          <w:szCs w:val="18"/>
        </w:rPr>
        <w:t>s</w:t>
      </w:r>
      <w:r w:rsidR="00721EB0">
        <w:rPr>
          <w:szCs w:val="18"/>
        </w:rPr>
        <w:t xml:space="preserve"> in this paper</w:t>
      </w:r>
      <w:r w:rsidR="0091245F">
        <w:rPr>
          <w:szCs w:val="18"/>
        </w:rPr>
        <w:t>,</w:t>
      </w:r>
      <w:r w:rsidR="008F0DB7">
        <w:rPr>
          <w:szCs w:val="18"/>
        </w:rPr>
        <w:t xml:space="preserve"> </w:t>
      </w:r>
      <w:r w:rsidR="0039617E">
        <w:rPr>
          <w:szCs w:val="18"/>
        </w:rPr>
        <w:t xml:space="preserve">the </w:t>
      </w:r>
      <w:r w:rsidR="008F0DB7">
        <w:rPr>
          <w:szCs w:val="18"/>
        </w:rPr>
        <w:t xml:space="preserve">HF regeneration </w:t>
      </w:r>
      <w:r w:rsidR="0091245F">
        <w:rPr>
          <w:szCs w:val="18"/>
        </w:rPr>
        <w:t>section</w:t>
      </w:r>
      <w:r w:rsidR="00A52755" w:rsidRPr="0088777E">
        <w:rPr>
          <w:szCs w:val="18"/>
        </w:rPr>
        <w:t xml:space="preserve"> </w:t>
      </w:r>
      <w:r w:rsidR="0091245F">
        <w:rPr>
          <w:szCs w:val="18"/>
        </w:rPr>
        <w:t xml:space="preserve">was </w:t>
      </w:r>
      <w:r w:rsidR="00A52755" w:rsidRPr="0088777E">
        <w:rPr>
          <w:szCs w:val="18"/>
        </w:rPr>
        <w:t xml:space="preserve">chosen to explain the LOPA and SIL </w:t>
      </w:r>
      <w:r w:rsidR="0036293E">
        <w:rPr>
          <w:szCs w:val="18"/>
        </w:rPr>
        <w:t>analysis applied in this study.</w:t>
      </w:r>
      <w:r w:rsidR="004E2473">
        <w:rPr>
          <w:szCs w:val="18"/>
        </w:rPr>
        <w:t xml:space="preserve"> </w:t>
      </w:r>
      <w:r w:rsidR="00BA5922">
        <w:rPr>
          <w:rFonts w:cs="Arial"/>
        </w:rPr>
        <w:t xml:space="preserve">Three </w:t>
      </w:r>
      <w:r w:rsidR="00BA5922" w:rsidRPr="006D21F4">
        <w:rPr>
          <w:rFonts w:cs="Arial"/>
        </w:rPr>
        <w:t xml:space="preserve">scenarios </w:t>
      </w:r>
      <w:r w:rsidR="00F33316">
        <w:rPr>
          <w:rFonts w:cs="Arial"/>
        </w:rPr>
        <w:t xml:space="preserve">were </w:t>
      </w:r>
      <w:r w:rsidR="00BA5922">
        <w:rPr>
          <w:rFonts w:cs="Arial"/>
        </w:rPr>
        <w:t>evaluated as of significant risk</w:t>
      </w:r>
      <w:r w:rsidR="00F33316">
        <w:rPr>
          <w:rFonts w:cs="Arial"/>
        </w:rPr>
        <w:t xml:space="preserve"> and two scenarios were evaluated as of high risk, as it is shown in Table 3.</w:t>
      </w:r>
    </w:p>
    <w:p w14:paraId="20748051" w14:textId="71507D7C" w:rsidR="00284A0F" w:rsidRPr="00B57B36" w:rsidRDefault="00284A0F" w:rsidP="006A6D0C">
      <w:pPr>
        <w:pStyle w:val="CETTabletitle"/>
        <w:spacing w:line="264" w:lineRule="auto"/>
      </w:pPr>
      <w:r w:rsidRPr="00B57B36">
        <w:lastRenderedPageBreak/>
        <w:t xml:space="preserve">Table </w:t>
      </w:r>
      <w:r>
        <w:t>3</w:t>
      </w:r>
      <w:r w:rsidRPr="00B57B36">
        <w:t xml:space="preserve">: </w:t>
      </w:r>
      <w:r>
        <w:t>Summary of HAZOP, LOPA</w:t>
      </w:r>
      <w:r w:rsidR="0039617E">
        <w:t>,</w:t>
      </w:r>
      <w:r>
        <w:t xml:space="preserve"> and SIL for HF Regeneration section</w:t>
      </w:r>
    </w:p>
    <w:tbl>
      <w:tblPr>
        <w:tblW w:w="906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31"/>
        <w:gridCol w:w="1196"/>
        <w:gridCol w:w="446"/>
        <w:gridCol w:w="404"/>
        <w:gridCol w:w="567"/>
        <w:gridCol w:w="425"/>
        <w:gridCol w:w="709"/>
        <w:gridCol w:w="709"/>
        <w:gridCol w:w="709"/>
        <w:gridCol w:w="708"/>
        <w:gridCol w:w="851"/>
        <w:gridCol w:w="992"/>
        <w:gridCol w:w="415"/>
      </w:tblGrid>
      <w:tr w:rsidR="00D13161" w:rsidRPr="00B57B36" w14:paraId="33046AB3" w14:textId="525F94C6" w:rsidTr="009D119A">
        <w:tc>
          <w:tcPr>
            <w:tcW w:w="931" w:type="dxa"/>
            <w:tcBorders>
              <w:top w:val="single" w:sz="12" w:space="0" w:color="008000"/>
              <w:bottom w:val="single" w:sz="6" w:space="0" w:color="008000"/>
            </w:tcBorders>
            <w:shd w:val="clear" w:color="auto" w:fill="FFFFFF"/>
            <w:vAlign w:val="center"/>
          </w:tcPr>
          <w:p w14:paraId="306B7865" w14:textId="323259C1" w:rsidR="00D13161" w:rsidRPr="00902793" w:rsidRDefault="00D13161" w:rsidP="006A6D0C">
            <w:pPr>
              <w:pStyle w:val="CETBodytext"/>
              <w:jc w:val="center"/>
              <w:rPr>
                <w:b/>
                <w:lang w:val="en-GB"/>
              </w:rPr>
            </w:pPr>
            <w:r w:rsidRPr="00902793">
              <w:rPr>
                <w:b/>
                <w:lang w:val="en-GB"/>
              </w:rPr>
              <w:t>Node</w:t>
            </w:r>
          </w:p>
        </w:tc>
        <w:tc>
          <w:tcPr>
            <w:tcW w:w="1196" w:type="dxa"/>
            <w:tcBorders>
              <w:top w:val="single" w:sz="12" w:space="0" w:color="008000"/>
              <w:bottom w:val="single" w:sz="6" w:space="0" w:color="008000"/>
            </w:tcBorders>
            <w:shd w:val="clear" w:color="auto" w:fill="FFFFFF"/>
            <w:vAlign w:val="center"/>
          </w:tcPr>
          <w:p w14:paraId="25F693C8" w14:textId="77777777" w:rsidR="00D13161" w:rsidRPr="00902793" w:rsidRDefault="00D13161" w:rsidP="006A6D0C">
            <w:pPr>
              <w:pStyle w:val="CETBodytext"/>
              <w:jc w:val="center"/>
              <w:rPr>
                <w:b/>
                <w:lang w:val="en-GB"/>
              </w:rPr>
            </w:pPr>
            <w:r w:rsidRPr="00902793">
              <w:rPr>
                <w:b/>
                <w:lang w:val="en-GB"/>
              </w:rPr>
              <w:t>P.P.</w:t>
            </w:r>
          </w:p>
        </w:tc>
        <w:tc>
          <w:tcPr>
            <w:tcW w:w="446" w:type="dxa"/>
            <w:tcBorders>
              <w:top w:val="single" w:sz="12" w:space="0" w:color="008000"/>
              <w:bottom w:val="single" w:sz="6" w:space="0" w:color="008000"/>
            </w:tcBorders>
            <w:shd w:val="clear" w:color="auto" w:fill="FFFFFF"/>
            <w:vAlign w:val="center"/>
          </w:tcPr>
          <w:p w14:paraId="7F90385E" w14:textId="77777777" w:rsidR="00D13161" w:rsidRPr="00902793" w:rsidRDefault="00D13161" w:rsidP="006A6D0C">
            <w:pPr>
              <w:pStyle w:val="CETBodytext"/>
              <w:jc w:val="center"/>
              <w:rPr>
                <w:b/>
                <w:lang w:val="en-GB"/>
              </w:rPr>
            </w:pPr>
            <w:r w:rsidRPr="00902793">
              <w:rPr>
                <w:b/>
                <w:lang w:val="en-GB"/>
              </w:rPr>
              <w:t>Dev</w:t>
            </w:r>
          </w:p>
        </w:tc>
        <w:tc>
          <w:tcPr>
            <w:tcW w:w="404" w:type="dxa"/>
            <w:tcBorders>
              <w:top w:val="single" w:sz="12" w:space="0" w:color="008000"/>
              <w:bottom w:val="single" w:sz="6" w:space="0" w:color="008000"/>
            </w:tcBorders>
            <w:shd w:val="clear" w:color="auto" w:fill="FFFFFF"/>
            <w:vAlign w:val="center"/>
          </w:tcPr>
          <w:p w14:paraId="5ACF70BF" w14:textId="77777777" w:rsidR="00D13161" w:rsidRPr="00902793" w:rsidRDefault="00D13161" w:rsidP="006A6D0C">
            <w:pPr>
              <w:pStyle w:val="CETBodytext"/>
              <w:ind w:right="-1"/>
              <w:jc w:val="center"/>
              <w:rPr>
                <w:rFonts w:cs="Arial"/>
                <w:b/>
                <w:szCs w:val="18"/>
                <w:lang w:val="en-GB"/>
              </w:rPr>
            </w:pPr>
            <w:r w:rsidRPr="00902793">
              <w:rPr>
                <w:rFonts w:cs="Arial"/>
                <w:b/>
                <w:szCs w:val="18"/>
                <w:lang w:val="en-GB"/>
              </w:rPr>
              <w:t>S</w:t>
            </w:r>
          </w:p>
        </w:tc>
        <w:tc>
          <w:tcPr>
            <w:tcW w:w="567" w:type="dxa"/>
            <w:tcBorders>
              <w:top w:val="single" w:sz="12" w:space="0" w:color="008000"/>
              <w:bottom w:val="single" w:sz="6" w:space="0" w:color="008000"/>
            </w:tcBorders>
            <w:shd w:val="clear" w:color="auto" w:fill="FFFFFF"/>
            <w:vAlign w:val="center"/>
          </w:tcPr>
          <w:p w14:paraId="6325404D" w14:textId="77777777" w:rsidR="00D13161" w:rsidRPr="00902793" w:rsidRDefault="00D13161" w:rsidP="006A6D0C">
            <w:pPr>
              <w:pStyle w:val="CETBodytext"/>
              <w:ind w:right="-1"/>
              <w:jc w:val="center"/>
              <w:rPr>
                <w:rFonts w:cs="Arial"/>
                <w:b/>
                <w:szCs w:val="18"/>
                <w:lang w:val="en-GB"/>
              </w:rPr>
            </w:pPr>
            <w:r w:rsidRPr="00902793">
              <w:rPr>
                <w:rFonts w:cs="Arial"/>
                <w:b/>
                <w:szCs w:val="18"/>
                <w:lang w:val="en-GB"/>
              </w:rPr>
              <w:t>F</w:t>
            </w:r>
          </w:p>
        </w:tc>
        <w:tc>
          <w:tcPr>
            <w:tcW w:w="425" w:type="dxa"/>
            <w:tcBorders>
              <w:top w:val="single" w:sz="12" w:space="0" w:color="008000"/>
              <w:bottom w:val="single" w:sz="6" w:space="0" w:color="008000"/>
            </w:tcBorders>
            <w:shd w:val="clear" w:color="auto" w:fill="FFFFFF"/>
            <w:vAlign w:val="center"/>
          </w:tcPr>
          <w:p w14:paraId="2720BFE9" w14:textId="50AA11F6"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R</w:t>
            </w:r>
          </w:p>
        </w:tc>
        <w:tc>
          <w:tcPr>
            <w:tcW w:w="709" w:type="dxa"/>
            <w:tcBorders>
              <w:top w:val="single" w:sz="12" w:space="0" w:color="008000"/>
              <w:bottom w:val="single" w:sz="6" w:space="0" w:color="008000"/>
            </w:tcBorders>
            <w:shd w:val="clear" w:color="auto" w:fill="FFFFFF"/>
            <w:vAlign w:val="center"/>
          </w:tcPr>
          <w:p w14:paraId="2E6F23BD" w14:textId="765E4271"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I.E.F</w:t>
            </w:r>
          </w:p>
        </w:tc>
        <w:tc>
          <w:tcPr>
            <w:tcW w:w="2126" w:type="dxa"/>
            <w:gridSpan w:val="3"/>
            <w:tcBorders>
              <w:top w:val="single" w:sz="12" w:space="0" w:color="008000"/>
              <w:bottom w:val="single" w:sz="6" w:space="0" w:color="008000"/>
            </w:tcBorders>
            <w:shd w:val="clear" w:color="auto" w:fill="FFFFFF"/>
            <w:vAlign w:val="center"/>
          </w:tcPr>
          <w:p w14:paraId="2615454F" w14:textId="5B266DBC"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Independent Protection Layers</w:t>
            </w:r>
            <w:r w:rsidR="003F795B" w:rsidRPr="00902793">
              <w:rPr>
                <w:rFonts w:cs="Arial"/>
                <w:b/>
                <w:szCs w:val="18"/>
                <w:lang w:val="en-GB"/>
              </w:rPr>
              <w:t xml:space="preserve"> PFD</w:t>
            </w:r>
          </w:p>
        </w:tc>
        <w:tc>
          <w:tcPr>
            <w:tcW w:w="851" w:type="dxa"/>
            <w:tcBorders>
              <w:top w:val="single" w:sz="12" w:space="0" w:color="008000"/>
              <w:bottom w:val="single" w:sz="6" w:space="0" w:color="008000"/>
            </w:tcBorders>
            <w:shd w:val="clear" w:color="auto" w:fill="FFFFFF"/>
            <w:vAlign w:val="center"/>
          </w:tcPr>
          <w:p w14:paraId="78BAD82F" w14:textId="4FD01832"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O.C.F.</w:t>
            </w:r>
          </w:p>
        </w:tc>
        <w:tc>
          <w:tcPr>
            <w:tcW w:w="992" w:type="dxa"/>
            <w:tcBorders>
              <w:top w:val="single" w:sz="12" w:space="0" w:color="008000"/>
              <w:bottom w:val="single" w:sz="6" w:space="0" w:color="008000"/>
            </w:tcBorders>
            <w:shd w:val="clear" w:color="auto" w:fill="FFFFFF"/>
            <w:vAlign w:val="center"/>
          </w:tcPr>
          <w:p w14:paraId="391FAB97" w14:textId="125DC454"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SIL for SIF</w:t>
            </w:r>
          </w:p>
        </w:tc>
        <w:tc>
          <w:tcPr>
            <w:tcW w:w="415" w:type="dxa"/>
            <w:tcBorders>
              <w:top w:val="single" w:sz="12" w:space="0" w:color="008000"/>
              <w:bottom w:val="single" w:sz="6" w:space="0" w:color="008000"/>
            </w:tcBorders>
            <w:shd w:val="clear" w:color="auto" w:fill="FFFFFF"/>
            <w:vAlign w:val="center"/>
          </w:tcPr>
          <w:p w14:paraId="37DB43A0" w14:textId="02E2930B" w:rsidR="00D13161" w:rsidRPr="00902793" w:rsidRDefault="00D13161" w:rsidP="006A6D0C">
            <w:pPr>
              <w:pStyle w:val="CETBodytext"/>
              <w:tabs>
                <w:tab w:val="clear" w:pos="7100"/>
                <w:tab w:val="center" w:pos="1913"/>
              </w:tabs>
              <w:ind w:right="-1"/>
              <w:jc w:val="center"/>
              <w:rPr>
                <w:rFonts w:cs="Arial"/>
                <w:b/>
                <w:szCs w:val="18"/>
                <w:lang w:val="en-GB"/>
              </w:rPr>
            </w:pPr>
            <w:r w:rsidRPr="00902793">
              <w:rPr>
                <w:rFonts w:cs="Arial"/>
                <w:b/>
                <w:szCs w:val="18"/>
                <w:lang w:val="en-GB"/>
              </w:rPr>
              <w:t>SIL</w:t>
            </w:r>
          </w:p>
        </w:tc>
      </w:tr>
      <w:tr w:rsidR="009D119A" w:rsidRPr="00B57B36" w14:paraId="30DD53FD" w14:textId="71BE26D7" w:rsidTr="009D119A">
        <w:tc>
          <w:tcPr>
            <w:tcW w:w="931" w:type="dxa"/>
            <w:shd w:val="clear" w:color="auto" w:fill="FFFFFF"/>
          </w:tcPr>
          <w:p w14:paraId="4B7E36F5" w14:textId="77777777" w:rsidR="000E6C50" w:rsidRPr="00B57B36" w:rsidRDefault="000E6C50" w:rsidP="006A6D0C">
            <w:pPr>
              <w:pStyle w:val="CETBodytext"/>
              <w:rPr>
                <w:lang w:val="en-GB"/>
              </w:rPr>
            </w:pPr>
          </w:p>
        </w:tc>
        <w:tc>
          <w:tcPr>
            <w:tcW w:w="1196" w:type="dxa"/>
            <w:shd w:val="clear" w:color="auto" w:fill="FFFFFF"/>
          </w:tcPr>
          <w:p w14:paraId="440F3E5A" w14:textId="77777777" w:rsidR="000E6C50" w:rsidRPr="00B57B36" w:rsidRDefault="000E6C50" w:rsidP="006A6D0C">
            <w:pPr>
              <w:pStyle w:val="CETBodytext"/>
              <w:rPr>
                <w:lang w:val="en-GB"/>
              </w:rPr>
            </w:pPr>
          </w:p>
        </w:tc>
        <w:tc>
          <w:tcPr>
            <w:tcW w:w="446" w:type="dxa"/>
            <w:shd w:val="clear" w:color="auto" w:fill="FFFFFF"/>
          </w:tcPr>
          <w:p w14:paraId="17D7EB5F" w14:textId="77777777" w:rsidR="000E6C50" w:rsidRPr="00B57B36" w:rsidRDefault="000E6C50" w:rsidP="006A6D0C">
            <w:pPr>
              <w:pStyle w:val="CETBodytext"/>
              <w:rPr>
                <w:lang w:val="en-GB"/>
              </w:rPr>
            </w:pPr>
          </w:p>
        </w:tc>
        <w:tc>
          <w:tcPr>
            <w:tcW w:w="404" w:type="dxa"/>
            <w:shd w:val="clear" w:color="auto" w:fill="FFFFFF"/>
          </w:tcPr>
          <w:p w14:paraId="516D6BD6" w14:textId="77777777" w:rsidR="000E6C50" w:rsidRPr="00B57B36" w:rsidRDefault="000E6C50" w:rsidP="006A6D0C">
            <w:pPr>
              <w:pStyle w:val="CETBodytext"/>
              <w:ind w:right="-1"/>
              <w:rPr>
                <w:rFonts w:cs="Arial"/>
                <w:szCs w:val="18"/>
                <w:lang w:val="en-GB"/>
              </w:rPr>
            </w:pPr>
          </w:p>
        </w:tc>
        <w:tc>
          <w:tcPr>
            <w:tcW w:w="567" w:type="dxa"/>
            <w:shd w:val="clear" w:color="auto" w:fill="FFFFFF"/>
          </w:tcPr>
          <w:p w14:paraId="6DCEBFCA" w14:textId="77777777" w:rsidR="000E6C50" w:rsidRPr="00B57B36" w:rsidRDefault="000E6C50" w:rsidP="006A6D0C">
            <w:pPr>
              <w:pStyle w:val="CETBodytext"/>
              <w:ind w:right="-1"/>
              <w:rPr>
                <w:rFonts w:cs="Arial"/>
                <w:szCs w:val="18"/>
                <w:lang w:val="en-GB"/>
              </w:rPr>
            </w:pPr>
          </w:p>
        </w:tc>
        <w:tc>
          <w:tcPr>
            <w:tcW w:w="425" w:type="dxa"/>
            <w:shd w:val="clear" w:color="auto" w:fill="FFFFFF"/>
          </w:tcPr>
          <w:p w14:paraId="2FA09A6D" w14:textId="77777777" w:rsidR="000E6C50" w:rsidRPr="00B57B36" w:rsidRDefault="000E6C50" w:rsidP="006A6D0C">
            <w:pPr>
              <w:pStyle w:val="CETBodytext"/>
              <w:ind w:right="-1"/>
              <w:rPr>
                <w:rFonts w:cs="Arial"/>
                <w:szCs w:val="18"/>
                <w:lang w:val="en-GB"/>
              </w:rPr>
            </w:pPr>
          </w:p>
        </w:tc>
        <w:tc>
          <w:tcPr>
            <w:tcW w:w="709" w:type="dxa"/>
            <w:shd w:val="clear" w:color="auto" w:fill="FFFFFF"/>
          </w:tcPr>
          <w:p w14:paraId="3F510CC2" w14:textId="77777777" w:rsidR="000E6C50" w:rsidRDefault="000E6C50" w:rsidP="006A6D0C">
            <w:pPr>
              <w:pStyle w:val="CETBodytext"/>
              <w:ind w:right="-1"/>
              <w:rPr>
                <w:rFonts w:cs="Arial"/>
                <w:szCs w:val="18"/>
                <w:lang w:val="en-GB"/>
              </w:rPr>
            </w:pPr>
          </w:p>
        </w:tc>
        <w:tc>
          <w:tcPr>
            <w:tcW w:w="709" w:type="dxa"/>
            <w:shd w:val="clear" w:color="auto" w:fill="FFFFFF"/>
            <w:vAlign w:val="center"/>
          </w:tcPr>
          <w:p w14:paraId="6336203A" w14:textId="746E59D8" w:rsidR="000E6C50" w:rsidRPr="00536CA5" w:rsidRDefault="000E6C50" w:rsidP="006A6D0C">
            <w:pPr>
              <w:pStyle w:val="CETBodytext"/>
              <w:ind w:right="-1"/>
              <w:jc w:val="center"/>
              <w:rPr>
                <w:rFonts w:cs="Arial"/>
                <w:b/>
                <w:szCs w:val="18"/>
                <w:lang w:val="en-GB"/>
              </w:rPr>
            </w:pPr>
            <w:r w:rsidRPr="00536CA5">
              <w:rPr>
                <w:rFonts w:cs="Arial"/>
                <w:b/>
                <w:szCs w:val="18"/>
                <w:lang w:val="en-GB"/>
              </w:rPr>
              <w:t>P.D.</w:t>
            </w:r>
          </w:p>
        </w:tc>
        <w:tc>
          <w:tcPr>
            <w:tcW w:w="709" w:type="dxa"/>
            <w:shd w:val="clear" w:color="auto" w:fill="FFFFFF"/>
            <w:vAlign w:val="center"/>
          </w:tcPr>
          <w:p w14:paraId="05A0F4D0" w14:textId="43D1A480" w:rsidR="000E6C50" w:rsidRPr="00536CA5" w:rsidRDefault="000E6C50" w:rsidP="006A6D0C">
            <w:pPr>
              <w:pStyle w:val="CETBodytext"/>
              <w:ind w:right="-1"/>
              <w:jc w:val="center"/>
              <w:rPr>
                <w:rFonts w:cs="Arial"/>
                <w:b/>
                <w:szCs w:val="18"/>
                <w:lang w:val="en-GB"/>
              </w:rPr>
            </w:pPr>
            <w:r w:rsidRPr="00536CA5">
              <w:rPr>
                <w:rFonts w:cs="Arial"/>
                <w:b/>
                <w:szCs w:val="18"/>
                <w:lang w:val="en-GB"/>
              </w:rPr>
              <w:t>P</w:t>
            </w:r>
            <w:r w:rsidR="00533CCA">
              <w:rPr>
                <w:rFonts w:cs="Arial"/>
                <w:b/>
                <w:szCs w:val="18"/>
                <w:lang w:val="en-GB"/>
              </w:rPr>
              <w:t>.</w:t>
            </w:r>
          </w:p>
        </w:tc>
        <w:tc>
          <w:tcPr>
            <w:tcW w:w="708" w:type="dxa"/>
            <w:shd w:val="clear" w:color="auto" w:fill="FFFFFF"/>
            <w:vAlign w:val="center"/>
          </w:tcPr>
          <w:p w14:paraId="31EC27AB" w14:textId="21D0F9AB" w:rsidR="000E6C50" w:rsidRPr="00536CA5" w:rsidRDefault="000E6C50" w:rsidP="006A6D0C">
            <w:pPr>
              <w:pStyle w:val="CETBodytext"/>
              <w:ind w:right="-1"/>
              <w:jc w:val="center"/>
              <w:rPr>
                <w:rFonts w:cs="Arial"/>
                <w:b/>
                <w:szCs w:val="18"/>
                <w:lang w:val="en-GB"/>
              </w:rPr>
            </w:pPr>
            <w:r w:rsidRPr="00536CA5">
              <w:rPr>
                <w:rFonts w:cs="Arial"/>
                <w:b/>
                <w:szCs w:val="18"/>
                <w:lang w:val="en-GB"/>
              </w:rPr>
              <w:t>E.R.</w:t>
            </w:r>
          </w:p>
        </w:tc>
        <w:tc>
          <w:tcPr>
            <w:tcW w:w="851" w:type="dxa"/>
            <w:shd w:val="clear" w:color="auto" w:fill="FFFFFF"/>
          </w:tcPr>
          <w:p w14:paraId="23633B0E" w14:textId="2DCC234F" w:rsidR="000E6C50" w:rsidRDefault="000E6C50" w:rsidP="006A6D0C">
            <w:pPr>
              <w:pStyle w:val="CETBodytext"/>
              <w:ind w:right="-1"/>
              <w:rPr>
                <w:rFonts w:cs="Arial"/>
                <w:szCs w:val="18"/>
                <w:lang w:val="en-GB"/>
              </w:rPr>
            </w:pPr>
          </w:p>
        </w:tc>
        <w:tc>
          <w:tcPr>
            <w:tcW w:w="992" w:type="dxa"/>
            <w:shd w:val="clear" w:color="auto" w:fill="FFFFFF"/>
          </w:tcPr>
          <w:p w14:paraId="0B431357" w14:textId="77777777" w:rsidR="000E6C50" w:rsidRDefault="000E6C50" w:rsidP="006A6D0C">
            <w:pPr>
              <w:pStyle w:val="CETBodytext"/>
              <w:ind w:right="-1"/>
              <w:rPr>
                <w:rFonts w:cs="Arial"/>
                <w:szCs w:val="18"/>
                <w:lang w:val="en-GB"/>
              </w:rPr>
            </w:pPr>
          </w:p>
        </w:tc>
        <w:tc>
          <w:tcPr>
            <w:tcW w:w="415" w:type="dxa"/>
            <w:shd w:val="clear" w:color="auto" w:fill="FFFFFF"/>
          </w:tcPr>
          <w:p w14:paraId="26E4FE84" w14:textId="77777777" w:rsidR="000E6C50" w:rsidRDefault="000E6C50" w:rsidP="006A6D0C">
            <w:pPr>
              <w:pStyle w:val="CETBodytext"/>
              <w:ind w:right="-1"/>
              <w:rPr>
                <w:rFonts w:cs="Arial"/>
                <w:szCs w:val="18"/>
                <w:lang w:val="en-GB"/>
              </w:rPr>
            </w:pPr>
          </w:p>
        </w:tc>
      </w:tr>
      <w:tr w:rsidR="009D119A" w:rsidRPr="00B57B36" w14:paraId="5A984CF9" w14:textId="3A04E3E6" w:rsidTr="009D119A">
        <w:tc>
          <w:tcPr>
            <w:tcW w:w="931" w:type="dxa"/>
            <w:shd w:val="clear" w:color="auto" w:fill="FFFFFF"/>
            <w:vAlign w:val="center"/>
          </w:tcPr>
          <w:p w14:paraId="35EBEAD3" w14:textId="77777777" w:rsidR="000E6C50" w:rsidRDefault="000E6C50" w:rsidP="006A6D0C">
            <w:pPr>
              <w:pStyle w:val="CETBodytext"/>
              <w:jc w:val="center"/>
              <w:rPr>
                <w:lang w:val="en-GB"/>
              </w:rPr>
            </w:pPr>
            <w:r>
              <w:rPr>
                <w:lang w:val="en-GB"/>
              </w:rPr>
              <w:t>Acid regenerator</w:t>
            </w:r>
          </w:p>
        </w:tc>
        <w:tc>
          <w:tcPr>
            <w:tcW w:w="1196" w:type="dxa"/>
            <w:shd w:val="clear" w:color="auto" w:fill="FFFFFF"/>
            <w:vAlign w:val="center"/>
          </w:tcPr>
          <w:p w14:paraId="369C794B" w14:textId="77777777" w:rsidR="000E6C50" w:rsidRDefault="000E6C50" w:rsidP="006A6D0C">
            <w:pPr>
              <w:pStyle w:val="CETBodytext"/>
              <w:jc w:val="center"/>
              <w:rPr>
                <w:lang w:val="en-GB"/>
              </w:rPr>
            </w:pPr>
            <w:r>
              <w:rPr>
                <w:lang w:val="en-GB"/>
              </w:rPr>
              <w:t>Temperature</w:t>
            </w:r>
          </w:p>
        </w:tc>
        <w:tc>
          <w:tcPr>
            <w:tcW w:w="446" w:type="dxa"/>
            <w:shd w:val="clear" w:color="auto" w:fill="FFFFFF"/>
            <w:vAlign w:val="center"/>
          </w:tcPr>
          <w:p w14:paraId="2BE60784" w14:textId="77777777" w:rsidR="000E6C50" w:rsidRDefault="000E6C50" w:rsidP="006A6D0C">
            <w:pPr>
              <w:pStyle w:val="CETBodytext"/>
              <w:jc w:val="center"/>
              <w:rPr>
                <w:lang w:val="en-GB"/>
              </w:rPr>
            </w:pPr>
            <w:r>
              <w:rPr>
                <w:lang w:val="en-GB"/>
              </w:rPr>
              <w:t>More</w:t>
            </w:r>
          </w:p>
        </w:tc>
        <w:tc>
          <w:tcPr>
            <w:tcW w:w="404" w:type="dxa"/>
            <w:shd w:val="clear" w:color="auto" w:fill="FFFFFF"/>
            <w:vAlign w:val="center"/>
          </w:tcPr>
          <w:p w14:paraId="32BB218E" w14:textId="77777777" w:rsidR="000E6C50" w:rsidRDefault="000E6C50" w:rsidP="006A6D0C">
            <w:pPr>
              <w:pStyle w:val="CETBodytext"/>
              <w:ind w:right="-1"/>
              <w:jc w:val="center"/>
              <w:rPr>
                <w:rFonts w:cs="Arial"/>
                <w:szCs w:val="18"/>
                <w:lang w:val="en-GB"/>
              </w:rPr>
            </w:pPr>
            <w:r>
              <w:rPr>
                <w:rFonts w:cs="Arial"/>
                <w:szCs w:val="18"/>
                <w:lang w:val="en-GB"/>
              </w:rPr>
              <w:t>4</w:t>
            </w:r>
          </w:p>
        </w:tc>
        <w:tc>
          <w:tcPr>
            <w:tcW w:w="567" w:type="dxa"/>
            <w:shd w:val="clear" w:color="auto" w:fill="FFFFFF"/>
            <w:vAlign w:val="center"/>
          </w:tcPr>
          <w:p w14:paraId="50030CD1" w14:textId="77777777" w:rsidR="000E6C50" w:rsidRDefault="000E6C50" w:rsidP="006A6D0C">
            <w:pPr>
              <w:pStyle w:val="CETBodytext"/>
              <w:ind w:right="-1"/>
              <w:jc w:val="center"/>
              <w:rPr>
                <w:rFonts w:cs="Arial"/>
                <w:szCs w:val="18"/>
                <w:lang w:val="en-GB"/>
              </w:rPr>
            </w:pPr>
            <w:r>
              <w:rPr>
                <w:rFonts w:cs="Arial"/>
                <w:szCs w:val="18"/>
                <w:lang w:val="en-GB"/>
              </w:rPr>
              <w:t>3</w:t>
            </w:r>
          </w:p>
        </w:tc>
        <w:tc>
          <w:tcPr>
            <w:tcW w:w="425" w:type="dxa"/>
            <w:shd w:val="clear" w:color="auto" w:fill="FFFFFF"/>
            <w:vAlign w:val="center"/>
          </w:tcPr>
          <w:p w14:paraId="200F8BAA" w14:textId="77777777" w:rsidR="000E6C50" w:rsidRDefault="000E6C50" w:rsidP="006A6D0C">
            <w:pPr>
              <w:pStyle w:val="CETBodytext"/>
              <w:ind w:right="-1"/>
              <w:jc w:val="center"/>
              <w:rPr>
                <w:rFonts w:cs="Arial"/>
                <w:szCs w:val="18"/>
                <w:lang w:val="en-GB"/>
              </w:rPr>
            </w:pPr>
            <w:r>
              <w:rPr>
                <w:rFonts w:cs="Arial"/>
                <w:szCs w:val="18"/>
                <w:lang w:val="en-GB"/>
              </w:rPr>
              <w:t>12</w:t>
            </w:r>
          </w:p>
        </w:tc>
        <w:tc>
          <w:tcPr>
            <w:tcW w:w="709" w:type="dxa"/>
            <w:shd w:val="clear" w:color="auto" w:fill="FFFFFF"/>
            <w:vAlign w:val="center"/>
          </w:tcPr>
          <w:p w14:paraId="0F6DB527" w14:textId="11107C92" w:rsidR="000E6C50" w:rsidRDefault="00240A6F" w:rsidP="006A6D0C">
            <w:pPr>
              <w:pStyle w:val="CETBodytext"/>
              <w:ind w:right="-1"/>
              <w:jc w:val="center"/>
              <w:rPr>
                <w:rFonts w:cs="Arial"/>
                <w:szCs w:val="18"/>
                <w:lang w:val="en-GB"/>
              </w:rPr>
            </w:pPr>
            <w:r>
              <w:rPr>
                <w:rFonts w:cs="Arial"/>
                <w:color w:val="000000"/>
              </w:rPr>
              <w:t>1 E-3</w:t>
            </w:r>
          </w:p>
        </w:tc>
        <w:tc>
          <w:tcPr>
            <w:tcW w:w="709" w:type="dxa"/>
            <w:shd w:val="clear" w:color="auto" w:fill="FFFFFF"/>
            <w:vAlign w:val="center"/>
          </w:tcPr>
          <w:p w14:paraId="645B07BD" w14:textId="391D5A88" w:rsidR="000E6C50" w:rsidRDefault="00826253" w:rsidP="006A6D0C">
            <w:pPr>
              <w:pStyle w:val="CETBodytext"/>
              <w:ind w:right="-1"/>
              <w:jc w:val="center"/>
              <w:rPr>
                <w:rFonts w:cs="Arial"/>
                <w:szCs w:val="18"/>
                <w:lang w:val="en-GB"/>
              </w:rPr>
            </w:pPr>
            <w:r>
              <w:rPr>
                <w:rFonts w:cs="Arial"/>
                <w:color w:val="000000"/>
              </w:rPr>
              <w:t>1 E-2</w:t>
            </w:r>
          </w:p>
        </w:tc>
        <w:tc>
          <w:tcPr>
            <w:tcW w:w="709" w:type="dxa"/>
            <w:shd w:val="clear" w:color="auto" w:fill="FFFFFF"/>
            <w:vAlign w:val="center"/>
          </w:tcPr>
          <w:p w14:paraId="492BA1D7" w14:textId="408799EC" w:rsidR="000E6C50" w:rsidRDefault="00240A6F" w:rsidP="006A6D0C">
            <w:pPr>
              <w:pStyle w:val="CETBodytext"/>
              <w:ind w:right="-1"/>
              <w:jc w:val="center"/>
              <w:rPr>
                <w:rFonts w:cs="Arial"/>
                <w:szCs w:val="18"/>
                <w:lang w:val="en-GB"/>
              </w:rPr>
            </w:pPr>
            <w:r>
              <w:rPr>
                <w:rFonts w:cs="Arial"/>
                <w:color w:val="000000"/>
              </w:rPr>
              <w:t>1 E-2</w:t>
            </w:r>
          </w:p>
        </w:tc>
        <w:tc>
          <w:tcPr>
            <w:tcW w:w="708" w:type="dxa"/>
            <w:shd w:val="clear" w:color="auto" w:fill="FFFFFF"/>
            <w:vAlign w:val="center"/>
          </w:tcPr>
          <w:p w14:paraId="52688243" w14:textId="2D28C502" w:rsidR="000E6C50" w:rsidRDefault="00240A6F" w:rsidP="006A6D0C">
            <w:pPr>
              <w:pStyle w:val="CETBodytext"/>
              <w:ind w:right="-1"/>
              <w:jc w:val="center"/>
              <w:rPr>
                <w:rFonts w:cs="Arial"/>
                <w:szCs w:val="18"/>
                <w:lang w:val="en-GB"/>
              </w:rPr>
            </w:pPr>
            <w:r>
              <w:rPr>
                <w:rFonts w:cs="Arial"/>
                <w:color w:val="000000"/>
              </w:rPr>
              <w:t>1 E-2</w:t>
            </w:r>
          </w:p>
        </w:tc>
        <w:tc>
          <w:tcPr>
            <w:tcW w:w="851" w:type="dxa"/>
            <w:shd w:val="clear" w:color="auto" w:fill="FFFFFF"/>
            <w:vAlign w:val="center"/>
          </w:tcPr>
          <w:p w14:paraId="7ECB5C13" w14:textId="6BF24319" w:rsidR="000E6C50" w:rsidRDefault="00B04F67" w:rsidP="006A6D0C">
            <w:pPr>
              <w:pStyle w:val="CETBodytext"/>
              <w:ind w:right="-1"/>
              <w:jc w:val="center"/>
              <w:rPr>
                <w:rFonts w:cs="Arial"/>
                <w:szCs w:val="18"/>
                <w:lang w:val="en-GB"/>
              </w:rPr>
            </w:pPr>
            <w:r>
              <w:rPr>
                <w:rFonts w:cs="Arial"/>
                <w:color w:val="000000"/>
              </w:rPr>
              <w:t>1 E-</w:t>
            </w:r>
            <w:r w:rsidR="004E28F1">
              <w:rPr>
                <w:rFonts w:cs="Arial"/>
                <w:color w:val="000000"/>
              </w:rPr>
              <w:t>9</w:t>
            </w:r>
          </w:p>
        </w:tc>
        <w:tc>
          <w:tcPr>
            <w:tcW w:w="992" w:type="dxa"/>
            <w:shd w:val="clear" w:color="auto" w:fill="FFFFFF"/>
            <w:vAlign w:val="center"/>
          </w:tcPr>
          <w:p w14:paraId="4F174C13" w14:textId="2C495311" w:rsidR="000E6C50" w:rsidRDefault="004E28F1" w:rsidP="006A6D0C">
            <w:pPr>
              <w:pStyle w:val="CETBodytext"/>
              <w:ind w:right="-1"/>
              <w:jc w:val="center"/>
              <w:rPr>
                <w:rFonts w:cs="Arial"/>
                <w:szCs w:val="18"/>
                <w:lang w:val="en-GB"/>
              </w:rPr>
            </w:pPr>
            <w:r>
              <w:rPr>
                <w:rFonts w:cs="Arial"/>
                <w:color w:val="000000"/>
              </w:rPr>
              <w:t>1 E 1</w:t>
            </w:r>
          </w:p>
        </w:tc>
        <w:tc>
          <w:tcPr>
            <w:tcW w:w="415" w:type="dxa"/>
            <w:shd w:val="clear" w:color="auto" w:fill="FFFFFF"/>
            <w:vAlign w:val="center"/>
          </w:tcPr>
          <w:p w14:paraId="68A7AF24" w14:textId="6F593692" w:rsidR="000E6C50" w:rsidRDefault="004E75FE" w:rsidP="006A6D0C">
            <w:pPr>
              <w:pStyle w:val="CETBodytext"/>
              <w:ind w:right="-1"/>
              <w:jc w:val="center"/>
              <w:rPr>
                <w:rFonts w:cs="Arial"/>
                <w:szCs w:val="18"/>
                <w:lang w:val="en-GB"/>
              </w:rPr>
            </w:pPr>
            <w:r>
              <w:rPr>
                <w:rFonts w:cs="Arial"/>
                <w:szCs w:val="18"/>
                <w:lang w:val="en-GB"/>
              </w:rPr>
              <w:t>--</w:t>
            </w:r>
          </w:p>
        </w:tc>
      </w:tr>
      <w:tr w:rsidR="003B3FA0" w:rsidRPr="00B57B36" w14:paraId="4F6EBD5C" w14:textId="77777777" w:rsidTr="009D119A">
        <w:tc>
          <w:tcPr>
            <w:tcW w:w="931" w:type="dxa"/>
            <w:shd w:val="clear" w:color="auto" w:fill="FFFFFF"/>
            <w:vAlign w:val="center"/>
          </w:tcPr>
          <w:p w14:paraId="5984705D" w14:textId="77777777" w:rsidR="003B3FA0" w:rsidRDefault="003B3FA0" w:rsidP="006A6D0C">
            <w:pPr>
              <w:pStyle w:val="CETBodytext"/>
              <w:jc w:val="center"/>
              <w:rPr>
                <w:lang w:val="en-GB"/>
              </w:rPr>
            </w:pPr>
          </w:p>
        </w:tc>
        <w:tc>
          <w:tcPr>
            <w:tcW w:w="1196" w:type="dxa"/>
            <w:shd w:val="clear" w:color="auto" w:fill="FFFFFF"/>
            <w:vAlign w:val="center"/>
          </w:tcPr>
          <w:p w14:paraId="48D779B3" w14:textId="77777777" w:rsidR="003B3FA0" w:rsidRDefault="003B3FA0" w:rsidP="006A6D0C">
            <w:pPr>
              <w:pStyle w:val="CETBodytext"/>
              <w:jc w:val="center"/>
              <w:rPr>
                <w:lang w:val="en-GB"/>
              </w:rPr>
            </w:pPr>
          </w:p>
        </w:tc>
        <w:tc>
          <w:tcPr>
            <w:tcW w:w="446" w:type="dxa"/>
            <w:shd w:val="clear" w:color="auto" w:fill="FFFFFF"/>
            <w:vAlign w:val="center"/>
          </w:tcPr>
          <w:p w14:paraId="0D64A0AC" w14:textId="77777777" w:rsidR="003B3FA0" w:rsidRDefault="003B3FA0" w:rsidP="006A6D0C">
            <w:pPr>
              <w:pStyle w:val="CETBodytext"/>
              <w:jc w:val="center"/>
              <w:rPr>
                <w:lang w:val="en-GB"/>
              </w:rPr>
            </w:pPr>
          </w:p>
        </w:tc>
        <w:tc>
          <w:tcPr>
            <w:tcW w:w="404" w:type="dxa"/>
            <w:shd w:val="clear" w:color="auto" w:fill="FFFFFF"/>
            <w:vAlign w:val="center"/>
          </w:tcPr>
          <w:p w14:paraId="68749563" w14:textId="77777777" w:rsidR="003B3FA0" w:rsidRDefault="003B3FA0" w:rsidP="006A6D0C">
            <w:pPr>
              <w:pStyle w:val="CETBodytext"/>
              <w:ind w:right="-1"/>
              <w:jc w:val="center"/>
              <w:rPr>
                <w:rFonts w:cs="Arial"/>
                <w:szCs w:val="18"/>
                <w:lang w:val="en-GB"/>
              </w:rPr>
            </w:pPr>
          </w:p>
        </w:tc>
        <w:tc>
          <w:tcPr>
            <w:tcW w:w="567" w:type="dxa"/>
            <w:shd w:val="clear" w:color="auto" w:fill="FFFFFF"/>
            <w:vAlign w:val="center"/>
          </w:tcPr>
          <w:p w14:paraId="5B93EBED" w14:textId="77777777" w:rsidR="003B3FA0" w:rsidRDefault="003B3FA0" w:rsidP="006A6D0C">
            <w:pPr>
              <w:pStyle w:val="CETBodytext"/>
              <w:ind w:right="-1"/>
              <w:jc w:val="center"/>
              <w:rPr>
                <w:rFonts w:cs="Arial"/>
                <w:szCs w:val="18"/>
                <w:lang w:val="en-GB"/>
              </w:rPr>
            </w:pPr>
          </w:p>
        </w:tc>
        <w:tc>
          <w:tcPr>
            <w:tcW w:w="425" w:type="dxa"/>
            <w:shd w:val="clear" w:color="auto" w:fill="FFFFFF"/>
            <w:vAlign w:val="center"/>
          </w:tcPr>
          <w:p w14:paraId="54CED1B1" w14:textId="77777777" w:rsidR="003B3FA0" w:rsidRDefault="003B3FA0" w:rsidP="006A6D0C">
            <w:pPr>
              <w:pStyle w:val="CETBodytext"/>
              <w:ind w:right="-1"/>
              <w:jc w:val="center"/>
              <w:rPr>
                <w:rFonts w:cs="Arial"/>
                <w:szCs w:val="18"/>
                <w:lang w:val="en-GB"/>
              </w:rPr>
            </w:pPr>
          </w:p>
        </w:tc>
        <w:tc>
          <w:tcPr>
            <w:tcW w:w="709" w:type="dxa"/>
            <w:shd w:val="clear" w:color="auto" w:fill="FFFFFF"/>
            <w:vAlign w:val="center"/>
          </w:tcPr>
          <w:p w14:paraId="1D4F510A" w14:textId="77777777" w:rsidR="003B3FA0" w:rsidRDefault="003B3FA0" w:rsidP="006A6D0C">
            <w:pPr>
              <w:pStyle w:val="CETBodytext"/>
              <w:ind w:right="-1"/>
              <w:jc w:val="center"/>
              <w:rPr>
                <w:rFonts w:cs="Arial"/>
                <w:color w:val="000000"/>
              </w:rPr>
            </w:pPr>
          </w:p>
        </w:tc>
        <w:tc>
          <w:tcPr>
            <w:tcW w:w="709" w:type="dxa"/>
            <w:shd w:val="clear" w:color="auto" w:fill="FFFFFF"/>
            <w:vAlign w:val="center"/>
          </w:tcPr>
          <w:p w14:paraId="06E4A907" w14:textId="77777777" w:rsidR="003B3FA0" w:rsidRDefault="003B3FA0" w:rsidP="006A6D0C">
            <w:pPr>
              <w:pStyle w:val="CETBodytext"/>
              <w:ind w:right="-1"/>
              <w:jc w:val="center"/>
              <w:rPr>
                <w:rFonts w:cs="Arial"/>
                <w:color w:val="000000"/>
              </w:rPr>
            </w:pPr>
          </w:p>
        </w:tc>
        <w:tc>
          <w:tcPr>
            <w:tcW w:w="709" w:type="dxa"/>
            <w:shd w:val="clear" w:color="auto" w:fill="FFFFFF"/>
            <w:vAlign w:val="center"/>
          </w:tcPr>
          <w:p w14:paraId="0D353475" w14:textId="77777777" w:rsidR="003B3FA0" w:rsidRDefault="003B3FA0" w:rsidP="006A6D0C">
            <w:pPr>
              <w:pStyle w:val="CETBodytext"/>
              <w:ind w:right="-1"/>
              <w:jc w:val="center"/>
              <w:rPr>
                <w:rFonts w:cs="Arial"/>
                <w:color w:val="000000"/>
              </w:rPr>
            </w:pPr>
          </w:p>
        </w:tc>
        <w:tc>
          <w:tcPr>
            <w:tcW w:w="708" w:type="dxa"/>
            <w:shd w:val="clear" w:color="auto" w:fill="FFFFFF"/>
            <w:vAlign w:val="center"/>
          </w:tcPr>
          <w:p w14:paraId="4D2A27D9" w14:textId="77777777" w:rsidR="003B3FA0" w:rsidRDefault="003B3FA0" w:rsidP="006A6D0C">
            <w:pPr>
              <w:pStyle w:val="CETBodytext"/>
              <w:ind w:right="-1"/>
              <w:jc w:val="center"/>
              <w:rPr>
                <w:rFonts w:cs="Arial"/>
                <w:color w:val="000000"/>
              </w:rPr>
            </w:pPr>
          </w:p>
        </w:tc>
        <w:tc>
          <w:tcPr>
            <w:tcW w:w="851" w:type="dxa"/>
            <w:shd w:val="clear" w:color="auto" w:fill="FFFFFF"/>
            <w:vAlign w:val="center"/>
          </w:tcPr>
          <w:p w14:paraId="65478446" w14:textId="77777777" w:rsidR="003B3FA0" w:rsidRDefault="003B3FA0" w:rsidP="006A6D0C">
            <w:pPr>
              <w:pStyle w:val="CETBodytext"/>
              <w:ind w:right="-1"/>
              <w:jc w:val="center"/>
              <w:rPr>
                <w:rFonts w:cs="Arial"/>
                <w:color w:val="000000"/>
              </w:rPr>
            </w:pPr>
          </w:p>
        </w:tc>
        <w:tc>
          <w:tcPr>
            <w:tcW w:w="992" w:type="dxa"/>
            <w:shd w:val="clear" w:color="auto" w:fill="FFFFFF"/>
            <w:vAlign w:val="center"/>
          </w:tcPr>
          <w:p w14:paraId="03AA6679" w14:textId="77777777" w:rsidR="003B3FA0" w:rsidRDefault="003B3FA0" w:rsidP="006A6D0C">
            <w:pPr>
              <w:pStyle w:val="CETBodytext"/>
              <w:ind w:right="-1"/>
              <w:jc w:val="center"/>
              <w:rPr>
                <w:rFonts w:cs="Arial"/>
                <w:color w:val="000000"/>
              </w:rPr>
            </w:pPr>
          </w:p>
        </w:tc>
        <w:tc>
          <w:tcPr>
            <w:tcW w:w="415" w:type="dxa"/>
            <w:shd w:val="clear" w:color="auto" w:fill="FFFFFF"/>
            <w:vAlign w:val="center"/>
          </w:tcPr>
          <w:p w14:paraId="3B29D8CB" w14:textId="77777777" w:rsidR="003B3FA0" w:rsidRDefault="003B3FA0" w:rsidP="006A6D0C">
            <w:pPr>
              <w:pStyle w:val="CETBodytext"/>
              <w:ind w:right="-1"/>
              <w:jc w:val="center"/>
              <w:rPr>
                <w:rFonts w:cs="Arial"/>
                <w:szCs w:val="18"/>
                <w:lang w:val="en-GB"/>
              </w:rPr>
            </w:pPr>
          </w:p>
        </w:tc>
      </w:tr>
      <w:tr w:rsidR="009D119A" w:rsidRPr="00B57B36" w14:paraId="580FF8C7" w14:textId="03F6E7F3" w:rsidTr="00D31DF7">
        <w:tc>
          <w:tcPr>
            <w:tcW w:w="931" w:type="dxa"/>
            <w:shd w:val="clear" w:color="auto" w:fill="FFFFFF"/>
            <w:vAlign w:val="center"/>
          </w:tcPr>
          <w:p w14:paraId="1FCDC0E7" w14:textId="6EA28BB4" w:rsidR="000E6C50" w:rsidRPr="00B57B36" w:rsidRDefault="00846639" w:rsidP="006A6D0C">
            <w:pPr>
              <w:pStyle w:val="CETBodytext"/>
              <w:ind w:right="-1"/>
              <w:jc w:val="center"/>
              <w:rPr>
                <w:rFonts w:cs="Arial"/>
                <w:szCs w:val="18"/>
                <w:lang w:val="en-GB"/>
              </w:rPr>
            </w:pPr>
            <w:r>
              <w:rPr>
                <w:rFonts w:cs="Arial"/>
                <w:szCs w:val="18"/>
                <w:lang w:val="en-GB"/>
              </w:rPr>
              <w:t>Acid regenerator</w:t>
            </w:r>
          </w:p>
        </w:tc>
        <w:tc>
          <w:tcPr>
            <w:tcW w:w="1196" w:type="dxa"/>
            <w:shd w:val="clear" w:color="auto" w:fill="FFFFFF"/>
            <w:vAlign w:val="center"/>
          </w:tcPr>
          <w:p w14:paraId="336E2C98" w14:textId="43D4A7CD" w:rsidR="000E6C50" w:rsidRPr="00B57B36" w:rsidRDefault="00846639" w:rsidP="006A6D0C">
            <w:pPr>
              <w:pStyle w:val="CETBodytext"/>
              <w:ind w:right="-1"/>
              <w:jc w:val="center"/>
              <w:rPr>
                <w:rFonts w:cs="Arial"/>
                <w:szCs w:val="18"/>
                <w:lang w:val="en-GB"/>
              </w:rPr>
            </w:pPr>
            <w:r>
              <w:rPr>
                <w:rFonts w:cs="Arial"/>
                <w:szCs w:val="18"/>
                <w:lang w:val="en-GB"/>
              </w:rPr>
              <w:t>Temperature</w:t>
            </w:r>
          </w:p>
        </w:tc>
        <w:tc>
          <w:tcPr>
            <w:tcW w:w="446" w:type="dxa"/>
            <w:shd w:val="clear" w:color="auto" w:fill="FFFFFF"/>
            <w:vAlign w:val="center"/>
          </w:tcPr>
          <w:p w14:paraId="24B1926C" w14:textId="7ADD6477" w:rsidR="000E6C50" w:rsidRPr="00B57B36" w:rsidRDefault="00846639" w:rsidP="006A6D0C">
            <w:pPr>
              <w:pStyle w:val="CETBodytext"/>
              <w:ind w:right="-1"/>
              <w:jc w:val="center"/>
              <w:rPr>
                <w:rFonts w:cs="Arial"/>
                <w:szCs w:val="18"/>
                <w:lang w:val="en-GB"/>
              </w:rPr>
            </w:pPr>
            <w:r>
              <w:rPr>
                <w:rFonts w:cs="Arial"/>
                <w:szCs w:val="18"/>
                <w:lang w:val="en-GB"/>
              </w:rPr>
              <w:t>More</w:t>
            </w:r>
          </w:p>
        </w:tc>
        <w:tc>
          <w:tcPr>
            <w:tcW w:w="404" w:type="dxa"/>
            <w:shd w:val="clear" w:color="auto" w:fill="FFFFFF"/>
            <w:vAlign w:val="center"/>
          </w:tcPr>
          <w:p w14:paraId="4B4AEC7C" w14:textId="1A64179A" w:rsidR="000E6C50" w:rsidRPr="00B57B36" w:rsidRDefault="00846639" w:rsidP="006A6D0C">
            <w:pPr>
              <w:pStyle w:val="CETBodytext"/>
              <w:ind w:right="-1"/>
              <w:jc w:val="center"/>
              <w:rPr>
                <w:rFonts w:cs="Arial"/>
                <w:szCs w:val="18"/>
                <w:lang w:val="en-GB"/>
              </w:rPr>
            </w:pPr>
            <w:r>
              <w:rPr>
                <w:rFonts w:cs="Arial"/>
                <w:szCs w:val="18"/>
                <w:lang w:val="en-GB"/>
              </w:rPr>
              <w:t>4</w:t>
            </w:r>
          </w:p>
        </w:tc>
        <w:tc>
          <w:tcPr>
            <w:tcW w:w="567" w:type="dxa"/>
            <w:shd w:val="clear" w:color="auto" w:fill="FFFFFF"/>
            <w:vAlign w:val="center"/>
          </w:tcPr>
          <w:p w14:paraId="145F342E" w14:textId="0CEA37DB" w:rsidR="000E6C50" w:rsidRPr="00B57B36" w:rsidRDefault="00846639" w:rsidP="006A6D0C">
            <w:pPr>
              <w:pStyle w:val="CETBodytext"/>
              <w:ind w:right="-1"/>
              <w:jc w:val="center"/>
              <w:rPr>
                <w:rFonts w:cs="Arial"/>
                <w:szCs w:val="18"/>
                <w:lang w:val="en-GB"/>
              </w:rPr>
            </w:pPr>
            <w:r>
              <w:rPr>
                <w:rFonts w:cs="Arial"/>
                <w:szCs w:val="18"/>
                <w:lang w:val="en-GB"/>
              </w:rPr>
              <w:t>3</w:t>
            </w:r>
          </w:p>
        </w:tc>
        <w:tc>
          <w:tcPr>
            <w:tcW w:w="425" w:type="dxa"/>
            <w:shd w:val="clear" w:color="auto" w:fill="FFFFFF"/>
            <w:vAlign w:val="center"/>
          </w:tcPr>
          <w:p w14:paraId="2361881A" w14:textId="52519C66" w:rsidR="000E6C50" w:rsidRPr="00B57B36" w:rsidRDefault="00846639" w:rsidP="006A6D0C">
            <w:pPr>
              <w:pStyle w:val="CETBodytext"/>
              <w:ind w:right="-1"/>
              <w:jc w:val="center"/>
              <w:rPr>
                <w:rFonts w:cs="Arial"/>
                <w:szCs w:val="18"/>
                <w:lang w:val="en-GB"/>
              </w:rPr>
            </w:pPr>
            <w:r>
              <w:rPr>
                <w:rFonts w:cs="Arial"/>
                <w:szCs w:val="18"/>
                <w:lang w:val="en-GB"/>
              </w:rPr>
              <w:t>12</w:t>
            </w:r>
          </w:p>
        </w:tc>
        <w:tc>
          <w:tcPr>
            <w:tcW w:w="709" w:type="dxa"/>
            <w:shd w:val="clear" w:color="auto" w:fill="FFFFFF"/>
            <w:vAlign w:val="center"/>
          </w:tcPr>
          <w:p w14:paraId="6FAF1A8B" w14:textId="770BE23A" w:rsidR="000E6C50" w:rsidRPr="00B57B36" w:rsidRDefault="00846639" w:rsidP="006A6D0C">
            <w:pPr>
              <w:pStyle w:val="CETBodytext"/>
              <w:ind w:right="-1"/>
              <w:jc w:val="center"/>
              <w:rPr>
                <w:rFonts w:cs="Arial"/>
                <w:szCs w:val="18"/>
                <w:lang w:val="en-GB"/>
              </w:rPr>
            </w:pPr>
            <w:r>
              <w:rPr>
                <w:rFonts w:cs="Arial"/>
                <w:color w:val="000000"/>
              </w:rPr>
              <w:t>1 E-3</w:t>
            </w:r>
          </w:p>
        </w:tc>
        <w:tc>
          <w:tcPr>
            <w:tcW w:w="709" w:type="dxa"/>
            <w:shd w:val="clear" w:color="auto" w:fill="FFFFFF"/>
            <w:vAlign w:val="center"/>
          </w:tcPr>
          <w:p w14:paraId="52064FB8" w14:textId="431F36D1" w:rsidR="000E6C50" w:rsidRPr="00B57B36" w:rsidRDefault="00AA68FB" w:rsidP="006A6D0C">
            <w:pPr>
              <w:pStyle w:val="CETBodytext"/>
              <w:ind w:right="-1"/>
              <w:jc w:val="center"/>
              <w:rPr>
                <w:rFonts w:cs="Arial"/>
                <w:szCs w:val="18"/>
                <w:lang w:val="en-GB"/>
              </w:rPr>
            </w:pPr>
            <w:r>
              <w:rPr>
                <w:rFonts w:cs="Arial"/>
                <w:color w:val="000000"/>
              </w:rPr>
              <w:t>1 E-4</w:t>
            </w:r>
          </w:p>
        </w:tc>
        <w:tc>
          <w:tcPr>
            <w:tcW w:w="709" w:type="dxa"/>
            <w:shd w:val="clear" w:color="auto" w:fill="FFFFFF"/>
            <w:vAlign w:val="center"/>
          </w:tcPr>
          <w:p w14:paraId="710144EE" w14:textId="647AD7B5" w:rsidR="000E6C50" w:rsidRPr="00B57B36" w:rsidRDefault="00AA68FB" w:rsidP="006A6D0C">
            <w:pPr>
              <w:pStyle w:val="CETBodytext"/>
              <w:ind w:right="-1"/>
              <w:jc w:val="center"/>
              <w:rPr>
                <w:rFonts w:cs="Arial"/>
                <w:szCs w:val="18"/>
                <w:lang w:val="en-GB"/>
              </w:rPr>
            </w:pPr>
            <w:r>
              <w:rPr>
                <w:rFonts w:cs="Arial"/>
                <w:color w:val="000000"/>
              </w:rPr>
              <w:t>1 E-1</w:t>
            </w:r>
          </w:p>
        </w:tc>
        <w:tc>
          <w:tcPr>
            <w:tcW w:w="708" w:type="dxa"/>
            <w:shd w:val="clear" w:color="auto" w:fill="FFFFFF"/>
            <w:vAlign w:val="center"/>
          </w:tcPr>
          <w:p w14:paraId="343E859F" w14:textId="68ACBBC8" w:rsidR="000E6C50" w:rsidRPr="00B57B36" w:rsidRDefault="00AA68FB" w:rsidP="006A6D0C">
            <w:pPr>
              <w:pStyle w:val="CETBodytext"/>
              <w:ind w:right="-1"/>
              <w:jc w:val="center"/>
              <w:rPr>
                <w:rFonts w:cs="Arial"/>
                <w:szCs w:val="18"/>
                <w:lang w:val="en-GB"/>
              </w:rPr>
            </w:pPr>
            <w:r>
              <w:rPr>
                <w:rFonts w:cs="Arial"/>
                <w:szCs w:val="18"/>
                <w:lang w:val="en-GB"/>
              </w:rPr>
              <w:t>--</w:t>
            </w:r>
          </w:p>
        </w:tc>
        <w:tc>
          <w:tcPr>
            <w:tcW w:w="851" w:type="dxa"/>
            <w:shd w:val="clear" w:color="auto" w:fill="FFFFFF"/>
            <w:vAlign w:val="center"/>
          </w:tcPr>
          <w:p w14:paraId="2B9A432E" w14:textId="51EB8DC5" w:rsidR="000E6C50" w:rsidRPr="00B57B36" w:rsidRDefault="00AA68FB" w:rsidP="006A6D0C">
            <w:pPr>
              <w:pStyle w:val="CETBodytext"/>
              <w:ind w:right="-1"/>
              <w:jc w:val="center"/>
              <w:rPr>
                <w:rFonts w:cs="Arial"/>
                <w:szCs w:val="18"/>
                <w:lang w:val="en-GB"/>
              </w:rPr>
            </w:pPr>
            <w:r>
              <w:rPr>
                <w:rFonts w:cs="Arial"/>
                <w:color w:val="000000"/>
              </w:rPr>
              <w:t>1 E-8</w:t>
            </w:r>
          </w:p>
        </w:tc>
        <w:tc>
          <w:tcPr>
            <w:tcW w:w="992" w:type="dxa"/>
            <w:shd w:val="clear" w:color="auto" w:fill="FFFFFF"/>
            <w:vAlign w:val="center"/>
          </w:tcPr>
          <w:p w14:paraId="4852F6CB" w14:textId="1023D0BE" w:rsidR="000E6C50" w:rsidRPr="00B57B36" w:rsidRDefault="00866B95" w:rsidP="006A6D0C">
            <w:pPr>
              <w:pStyle w:val="CETBodytext"/>
              <w:ind w:right="-1"/>
              <w:jc w:val="center"/>
              <w:rPr>
                <w:rFonts w:cs="Arial"/>
                <w:szCs w:val="18"/>
                <w:lang w:val="en-GB"/>
              </w:rPr>
            </w:pPr>
            <w:r>
              <w:rPr>
                <w:rFonts w:cs="Arial"/>
                <w:szCs w:val="18"/>
                <w:lang w:val="en-GB"/>
              </w:rPr>
              <w:t>0</w:t>
            </w:r>
          </w:p>
        </w:tc>
        <w:tc>
          <w:tcPr>
            <w:tcW w:w="415" w:type="dxa"/>
            <w:shd w:val="clear" w:color="auto" w:fill="FFFFFF"/>
            <w:vAlign w:val="center"/>
          </w:tcPr>
          <w:p w14:paraId="322D1006" w14:textId="63C6BB19" w:rsidR="000E6C50" w:rsidRPr="00B57B36" w:rsidRDefault="00866B95" w:rsidP="006A6D0C">
            <w:pPr>
              <w:pStyle w:val="CETBodytext"/>
              <w:ind w:right="-1"/>
              <w:jc w:val="center"/>
              <w:rPr>
                <w:rFonts w:cs="Arial"/>
                <w:szCs w:val="18"/>
                <w:lang w:val="en-GB"/>
              </w:rPr>
            </w:pPr>
            <w:r>
              <w:rPr>
                <w:rFonts w:cs="Arial"/>
                <w:szCs w:val="18"/>
                <w:lang w:val="en-GB"/>
              </w:rPr>
              <w:t>--</w:t>
            </w:r>
          </w:p>
        </w:tc>
      </w:tr>
      <w:tr w:rsidR="00D31DF7" w:rsidRPr="00B57B36" w14:paraId="3E754BA8" w14:textId="77777777" w:rsidTr="00D31DF7">
        <w:tc>
          <w:tcPr>
            <w:tcW w:w="931" w:type="dxa"/>
            <w:shd w:val="clear" w:color="auto" w:fill="FFFFFF"/>
            <w:vAlign w:val="center"/>
          </w:tcPr>
          <w:p w14:paraId="51FF1136" w14:textId="77777777" w:rsidR="00D31DF7" w:rsidRDefault="00D31DF7" w:rsidP="006A6D0C">
            <w:pPr>
              <w:pStyle w:val="CETBodytext"/>
              <w:ind w:right="-1"/>
              <w:jc w:val="center"/>
              <w:rPr>
                <w:rFonts w:cs="Arial"/>
                <w:szCs w:val="18"/>
                <w:lang w:val="en-GB"/>
              </w:rPr>
            </w:pPr>
          </w:p>
        </w:tc>
        <w:tc>
          <w:tcPr>
            <w:tcW w:w="1196" w:type="dxa"/>
            <w:shd w:val="clear" w:color="auto" w:fill="FFFFFF"/>
            <w:vAlign w:val="center"/>
          </w:tcPr>
          <w:p w14:paraId="414427BF" w14:textId="77777777" w:rsidR="00D31DF7" w:rsidRDefault="00D31DF7" w:rsidP="006A6D0C">
            <w:pPr>
              <w:pStyle w:val="CETBodytext"/>
              <w:ind w:right="-1"/>
              <w:jc w:val="center"/>
              <w:rPr>
                <w:rFonts w:cs="Arial"/>
                <w:szCs w:val="18"/>
                <w:lang w:val="en-GB"/>
              </w:rPr>
            </w:pPr>
          </w:p>
        </w:tc>
        <w:tc>
          <w:tcPr>
            <w:tcW w:w="446" w:type="dxa"/>
            <w:shd w:val="clear" w:color="auto" w:fill="FFFFFF"/>
            <w:vAlign w:val="center"/>
          </w:tcPr>
          <w:p w14:paraId="6EB5B023" w14:textId="77777777" w:rsidR="00D31DF7" w:rsidRDefault="00D31DF7" w:rsidP="006A6D0C">
            <w:pPr>
              <w:pStyle w:val="CETBodytext"/>
              <w:ind w:right="-1"/>
              <w:jc w:val="center"/>
              <w:rPr>
                <w:rFonts w:cs="Arial"/>
                <w:szCs w:val="18"/>
                <w:lang w:val="en-GB"/>
              </w:rPr>
            </w:pPr>
          </w:p>
        </w:tc>
        <w:tc>
          <w:tcPr>
            <w:tcW w:w="404" w:type="dxa"/>
            <w:shd w:val="clear" w:color="auto" w:fill="FFFFFF"/>
            <w:vAlign w:val="center"/>
          </w:tcPr>
          <w:p w14:paraId="4B33222E" w14:textId="77777777" w:rsidR="00D31DF7" w:rsidRDefault="00D31DF7" w:rsidP="006A6D0C">
            <w:pPr>
              <w:pStyle w:val="CETBodytext"/>
              <w:ind w:right="-1"/>
              <w:jc w:val="center"/>
              <w:rPr>
                <w:rFonts w:cs="Arial"/>
                <w:szCs w:val="18"/>
                <w:lang w:val="en-GB"/>
              </w:rPr>
            </w:pPr>
          </w:p>
        </w:tc>
        <w:tc>
          <w:tcPr>
            <w:tcW w:w="567" w:type="dxa"/>
            <w:shd w:val="clear" w:color="auto" w:fill="FFFFFF"/>
            <w:vAlign w:val="center"/>
          </w:tcPr>
          <w:p w14:paraId="03B3151B" w14:textId="77777777" w:rsidR="00D31DF7" w:rsidRDefault="00D31DF7" w:rsidP="006A6D0C">
            <w:pPr>
              <w:pStyle w:val="CETBodytext"/>
              <w:ind w:right="-1"/>
              <w:jc w:val="center"/>
              <w:rPr>
                <w:rFonts w:cs="Arial"/>
                <w:szCs w:val="18"/>
                <w:lang w:val="en-GB"/>
              </w:rPr>
            </w:pPr>
          </w:p>
        </w:tc>
        <w:tc>
          <w:tcPr>
            <w:tcW w:w="425" w:type="dxa"/>
            <w:shd w:val="clear" w:color="auto" w:fill="FFFFFF"/>
            <w:vAlign w:val="center"/>
          </w:tcPr>
          <w:p w14:paraId="083D70D9" w14:textId="77777777" w:rsidR="00D31DF7" w:rsidRDefault="00D31DF7" w:rsidP="006A6D0C">
            <w:pPr>
              <w:pStyle w:val="CETBodytext"/>
              <w:ind w:right="-1"/>
              <w:jc w:val="center"/>
              <w:rPr>
                <w:rFonts w:cs="Arial"/>
                <w:szCs w:val="18"/>
                <w:lang w:val="en-GB"/>
              </w:rPr>
            </w:pPr>
          </w:p>
        </w:tc>
        <w:tc>
          <w:tcPr>
            <w:tcW w:w="709" w:type="dxa"/>
            <w:shd w:val="clear" w:color="auto" w:fill="FFFFFF"/>
            <w:vAlign w:val="center"/>
          </w:tcPr>
          <w:p w14:paraId="381EE59C" w14:textId="77777777" w:rsidR="00D31DF7" w:rsidRDefault="00D31DF7" w:rsidP="006A6D0C">
            <w:pPr>
              <w:pStyle w:val="CETBodytext"/>
              <w:ind w:right="-1"/>
              <w:jc w:val="center"/>
              <w:rPr>
                <w:rFonts w:cs="Arial"/>
                <w:color w:val="000000"/>
              </w:rPr>
            </w:pPr>
          </w:p>
        </w:tc>
        <w:tc>
          <w:tcPr>
            <w:tcW w:w="709" w:type="dxa"/>
            <w:shd w:val="clear" w:color="auto" w:fill="FFFFFF"/>
            <w:vAlign w:val="center"/>
          </w:tcPr>
          <w:p w14:paraId="145B7508" w14:textId="77777777" w:rsidR="00D31DF7" w:rsidRDefault="00D31DF7" w:rsidP="006A6D0C">
            <w:pPr>
              <w:pStyle w:val="CETBodytext"/>
              <w:ind w:right="-1"/>
              <w:jc w:val="center"/>
              <w:rPr>
                <w:rFonts w:cs="Arial"/>
                <w:color w:val="000000"/>
              </w:rPr>
            </w:pPr>
          </w:p>
        </w:tc>
        <w:tc>
          <w:tcPr>
            <w:tcW w:w="709" w:type="dxa"/>
            <w:shd w:val="clear" w:color="auto" w:fill="FFFFFF"/>
            <w:vAlign w:val="center"/>
          </w:tcPr>
          <w:p w14:paraId="13A561D7" w14:textId="77777777" w:rsidR="00D31DF7" w:rsidRDefault="00D31DF7" w:rsidP="006A6D0C">
            <w:pPr>
              <w:pStyle w:val="CETBodytext"/>
              <w:ind w:right="-1"/>
              <w:jc w:val="center"/>
              <w:rPr>
                <w:rFonts w:cs="Arial"/>
                <w:color w:val="000000"/>
              </w:rPr>
            </w:pPr>
          </w:p>
        </w:tc>
        <w:tc>
          <w:tcPr>
            <w:tcW w:w="708" w:type="dxa"/>
            <w:shd w:val="clear" w:color="auto" w:fill="FFFFFF"/>
            <w:vAlign w:val="center"/>
          </w:tcPr>
          <w:p w14:paraId="4AA735D8" w14:textId="77777777" w:rsidR="00D31DF7" w:rsidRDefault="00D31DF7" w:rsidP="006A6D0C">
            <w:pPr>
              <w:pStyle w:val="CETBodytext"/>
              <w:ind w:right="-1"/>
              <w:jc w:val="center"/>
              <w:rPr>
                <w:rFonts w:cs="Arial"/>
                <w:szCs w:val="18"/>
                <w:lang w:val="en-GB"/>
              </w:rPr>
            </w:pPr>
          </w:p>
        </w:tc>
        <w:tc>
          <w:tcPr>
            <w:tcW w:w="851" w:type="dxa"/>
            <w:shd w:val="clear" w:color="auto" w:fill="FFFFFF"/>
            <w:vAlign w:val="center"/>
          </w:tcPr>
          <w:p w14:paraId="0BC976EA" w14:textId="77777777" w:rsidR="00D31DF7" w:rsidRDefault="00D31DF7" w:rsidP="006A6D0C">
            <w:pPr>
              <w:pStyle w:val="CETBodytext"/>
              <w:ind w:right="-1"/>
              <w:jc w:val="center"/>
              <w:rPr>
                <w:rFonts w:cs="Arial"/>
                <w:color w:val="000000"/>
              </w:rPr>
            </w:pPr>
          </w:p>
        </w:tc>
        <w:tc>
          <w:tcPr>
            <w:tcW w:w="992" w:type="dxa"/>
            <w:shd w:val="clear" w:color="auto" w:fill="FFFFFF"/>
            <w:vAlign w:val="center"/>
          </w:tcPr>
          <w:p w14:paraId="4AE3A182" w14:textId="77777777" w:rsidR="00D31DF7" w:rsidRDefault="00D31DF7" w:rsidP="006A6D0C">
            <w:pPr>
              <w:pStyle w:val="CETBodytext"/>
              <w:ind w:right="-1"/>
              <w:jc w:val="center"/>
              <w:rPr>
                <w:rFonts w:cs="Arial"/>
                <w:szCs w:val="18"/>
                <w:lang w:val="en-GB"/>
              </w:rPr>
            </w:pPr>
          </w:p>
        </w:tc>
        <w:tc>
          <w:tcPr>
            <w:tcW w:w="415" w:type="dxa"/>
            <w:shd w:val="clear" w:color="auto" w:fill="FFFFFF"/>
            <w:vAlign w:val="center"/>
          </w:tcPr>
          <w:p w14:paraId="19B7E267" w14:textId="77777777" w:rsidR="00D31DF7" w:rsidRDefault="00D31DF7" w:rsidP="006A6D0C">
            <w:pPr>
              <w:pStyle w:val="CETBodytext"/>
              <w:ind w:right="-1"/>
              <w:jc w:val="center"/>
              <w:rPr>
                <w:rFonts w:cs="Arial"/>
                <w:szCs w:val="18"/>
                <w:lang w:val="en-GB"/>
              </w:rPr>
            </w:pPr>
          </w:p>
        </w:tc>
      </w:tr>
      <w:tr w:rsidR="00D31DF7" w:rsidRPr="00B57B36" w14:paraId="1086E93E" w14:textId="77777777" w:rsidTr="00D31DF7">
        <w:tc>
          <w:tcPr>
            <w:tcW w:w="931" w:type="dxa"/>
            <w:shd w:val="clear" w:color="auto" w:fill="FFFFFF"/>
            <w:vAlign w:val="center"/>
          </w:tcPr>
          <w:p w14:paraId="5F31C124" w14:textId="23D9FBD5" w:rsidR="00D31DF7" w:rsidRDefault="00135BA0" w:rsidP="006A6D0C">
            <w:pPr>
              <w:pStyle w:val="CETBodytext"/>
              <w:ind w:right="-1"/>
              <w:jc w:val="center"/>
              <w:rPr>
                <w:rFonts w:cs="Arial"/>
                <w:szCs w:val="18"/>
                <w:lang w:val="en-GB"/>
              </w:rPr>
            </w:pPr>
            <w:r>
              <w:rPr>
                <w:rFonts w:cs="Arial"/>
                <w:szCs w:val="18"/>
                <w:lang w:val="en-GB"/>
              </w:rPr>
              <w:t>Acid regenerator</w:t>
            </w:r>
          </w:p>
        </w:tc>
        <w:tc>
          <w:tcPr>
            <w:tcW w:w="1196" w:type="dxa"/>
            <w:shd w:val="clear" w:color="auto" w:fill="FFFFFF"/>
            <w:vAlign w:val="center"/>
          </w:tcPr>
          <w:p w14:paraId="12CB6FB4" w14:textId="5CCBBB58" w:rsidR="00D31DF7" w:rsidRDefault="00135BA0" w:rsidP="006A6D0C">
            <w:pPr>
              <w:pStyle w:val="CETBodytext"/>
              <w:ind w:right="-1"/>
              <w:jc w:val="center"/>
              <w:rPr>
                <w:rFonts w:cs="Arial"/>
                <w:szCs w:val="18"/>
                <w:lang w:val="en-GB"/>
              </w:rPr>
            </w:pPr>
            <w:r>
              <w:rPr>
                <w:rFonts w:cs="Arial"/>
                <w:szCs w:val="18"/>
                <w:lang w:val="en-GB"/>
              </w:rPr>
              <w:t>Pressure</w:t>
            </w:r>
          </w:p>
        </w:tc>
        <w:tc>
          <w:tcPr>
            <w:tcW w:w="446" w:type="dxa"/>
            <w:shd w:val="clear" w:color="auto" w:fill="FFFFFF"/>
            <w:vAlign w:val="center"/>
          </w:tcPr>
          <w:p w14:paraId="2188F5E7" w14:textId="1E138FAA" w:rsidR="00D31DF7" w:rsidRDefault="00135BA0" w:rsidP="006A6D0C">
            <w:pPr>
              <w:pStyle w:val="CETBodytext"/>
              <w:ind w:right="-1"/>
              <w:jc w:val="center"/>
              <w:rPr>
                <w:rFonts w:cs="Arial"/>
                <w:szCs w:val="18"/>
                <w:lang w:val="en-GB"/>
              </w:rPr>
            </w:pPr>
            <w:r>
              <w:rPr>
                <w:rFonts w:cs="Arial"/>
                <w:szCs w:val="18"/>
                <w:lang w:val="en-GB"/>
              </w:rPr>
              <w:t>Less</w:t>
            </w:r>
          </w:p>
        </w:tc>
        <w:tc>
          <w:tcPr>
            <w:tcW w:w="404" w:type="dxa"/>
            <w:shd w:val="clear" w:color="auto" w:fill="FFFFFF"/>
            <w:vAlign w:val="center"/>
          </w:tcPr>
          <w:p w14:paraId="1E4E6A86" w14:textId="64CFD0DE" w:rsidR="00D31DF7" w:rsidRDefault="00D830C3" w:rsidP="006A6D0C">
            <w:pPr>
              <w:pStyle w:val="CETBodytext"/>
              <w:ind w:right="-1"/>
              <w:jc w:val="center"/>
              <w:rPr>
                <w:rFonts w:cs="Arial"/>
                <w:szCs w:val="18"/>
                <w:lang w:val="en-GB"/>
              </w:rPr>
            </w:pPr>
            <w:r>
              <w:rPr>
                <w:rFonts w:cs="Arial"/>
                <w:szCs w:val="18"/>
                <w:lang w:val="en-GB"/>
              </w:rPr>
              <w:t>4</w:t>
            </w:r>
          </w:p>
        </w:tc>
        <w:tc>
          <w:tcPr>
            <w:tcW w:w="567" w:type="dxa"/>
            <w:shd w:val="clear" w:color="auto" w:fill="FFFFFF"/>
            <w:vAlign w:val="center"/>
          </w:tcPr>
          <w:p w14:paraId="415954B8" w14:textId="138CBE00" w:rsidR="00D31DF7" w:rsidRDefault="00D830C3" w:rsidP="006A6D0C">
            <w:pPr>
              <w:pStyle w:val="CETBodytext"/>
              <w:ind w:right="-1"/>
              <w:jc w:val="center"/>
              <w:rPr>
                <w:rFonts w:cs="Arial"/>
                <w:szCs w:val="18"/>
                <w:lang w:val="en-GB"/>
              </w:rPr>
            </w:pPr>
            <w:r>
              <w:rPr>
                <w:rFonts w:cs="Arial"/>
                <w:szCs w:val="18"/>
                <w:lang w:val="en-GB"/>
              </w:rPr>
              <w:t>3</w:t>
            </w:r>
          </w:p>
        </w:tc>
        <w:tc>
          <w:tcPr>
            <w:tcW w:w="425" w:type="dxa"/>
            <w:shd w:val="clear" w:color="auto" w:fill="FFFFFF"/>
            <w:vAlign w:val="center"/>
          </w:tcPr>
          <w:p w14:paraId="1B13FFF9" w14:textId="574E7562" w:rsidR="00D31DF7" w:rsidRDefault="00D830C3" w:rsidP="006A6D0C">
            <w:pPr>
              <w:pStyle w:val="CETBodytext"/>
              <w:ind w:right="-1"/>
              <w:jc w:val="center"/>
              <w:rPr>
                <w:rFonts w:cs="Arial"/>
                <w:szCs w:val="18"/>
                <w:lang w:val="en-GB"/>
              </w:rPr>
            </w:pPr>
            <w:r>
              <w:rPr>
                <w:rFonts w:cs="Arial"/>
                <w:szCs w:val="18"/>
                <w:lang w:val="en-GB"/>
              </w:rPr>
              <w:t>12</w:t>
            </w:r>
          </w:p>
        </w:tc>
        <w:tc>
          <w:tcPr>
            <w:tcW w:w="709" w:type="dxa"/>
            <w:shd w:val="clear" w:color="auto" w:fill="FFFFFF"/>
            <w:vAlign w:val="center"/>
          </w:tcPr>
          <w:p w14:paraId="694FA0DD" w14:textId="303A5155" w:rsidR="00D31DF7" w:rsidRDefault="00F21434" w:rsidP="006A6D0C">
            <w:pPr>
              <w:pStyle w:val="CETBodytext"/>
              <w:ind w:right="-1"/>
              <w:jc w:val="center"/>
              <w:rPr>
                <w:rFonts w:cs="Arial"/>
                <w:color w:val="000000"/>
              </w:rPr>
            </w:pPr>
            <w:r>
              <w:rPr>
                <w:rFonts w:cs="Arial"/>
                <w:color w:val="000000"/>
              </w:rPr>
              <w:t>1 E-3</w:t>
            </w:r>
          </w:p>
        </w:tc>
        <w:tc>
          <w:tcPr>
            <w:tcW w:w="709" w:type="dxa"/>
            <w:shd w:val="clear" w:color="auto" w:fill="FFFFFF"/>
            <w:vAlign w:val="center"/>
          </w:tcPr>
          <w:p w14:paraId="2EDB1AF9" w14:textId="4505421D" w:rsidR="00D31DF7" w:rsidRDefault="00D759CB" w:rsidP="006A6D0C">
            <w:pPr>
              <w:pStyle w:val="CETBodytext"/>
              <w:ind w:right="-1"/>
              <w:jc w:val="center"/>
              <w:rPr>
                <w:rFonts w:cs="Arial"/>
                <w:color w:val="000000"/>
              </w:rPr>
            </w:pPr>
            <w:r>
              <w:rPr>
                <w:rFonts w:cs="Arial"/>
                <w:color w:val="000000"/>
              </w:rPr>
              <w:t>--</w:t>
            </w:r>
          </w:p>
        </w:tc>
        <w:tc>
          <w:tcPr>
            <w:tcW w:w="709" w:type="dxa"/>
            <w:shd w:val="clear" w:color="auto" w:fill="FFFFFF"/>
            <w:vAlign w:val="center"/>
          </w:tcPr>
          <w:p w14:paraId="26A69062" w14:textId="223327A5" w:rsidR="00D31DF7" w:rsidRDefault="00D759CB" w:rsidP="006A6D0C">
            <w:pPr>
              <w:pStyle w:val="CETBodytext"/>
              <w:ind w:right="-1"/>
              <w:jc w:val="center"/>
              <w:rPr>
                <w:rFonts w:cs="Arial"/>
                <w:color w:val="000000"/>
              </w:rPr>
            </w:pPr>
            <w:r>
              <w:rPr>
                <w:rFonts w:cs="Arial"/>
                <w:color w:val="000000"/>
              </w:rPr>
              <w:t>1 E-2</w:t>
            </w:r>
          </w:p>
        </w:tc>
        <w:tc>
          <w:tcPr>
            <w:tcW w:w="708" w:type="dxa"/>
            <w:shd w:val="clear" w:color="auto" w:fill="FFFFFF"/>
            <w:vAlign w:val="center"/>
          </w:tcPr>
          <w:p w14:paraId="5EFDD5D8" w14:textId="56461ECC" w:rsidR="00D31DF7" w:rsidRDefault="00D759CB" w:rsidP="006A6D0C">
            <w:pPr>
              <w:pStyle w:val="CETBodytext"/>
              <w:ind w:right="-1"/>
              <w:jc w:val="center"/>
              <w:rPr>
                <w:rFonts w:cs="Arial"/>
                <w:szCs w:val="18"/>
                <w:lang w:val="en-GB"/>
              </w:rPr>
            </w:pPr>
            <w:r>
              <w:rPr>
                <w:rFonts w:cs="Arial"/>
                <w:color w:val="000000"/>
              </w:rPr>
              <w:t>1 E-2</w:t>
            </w:r>
          </w:p>
        </w:tc>
        <w:tc>
          <w:tcPr>
            <w:tcW w:w="851" w:type="dxa"/>
            <w:shd w:val="clear" w:color="auto" w:fill="FFFFFF"/>
            <w:vAlign w:val="center"/>
          </w:tcPr>
          <w:p w14:paraId="4B019BEE" w14:textId="7BD7E46C" w:rsidR="00D31DF7" w:rsidRDefault="00D759CB" w:rsidP="006A6D0C">
            <w:pPr>
              <w:pStyle w:val="CETBodytext"/>
              <w:ind w:right="-1"/>
              <w:jc w:val="center"/>
              <w:rPr>
                <w:rFonts w:cs="Arial"/>
                <w:color w:val="000000"/>
              </w:rPr>
            </w:pPr>
            <w:r>
              <w:rPr>
                <w:rFonts w:cs="Arial"/>
                <w:color w:val="000000"/>
              </w:rPr>
              <w:t>1 E-7</w:t>
            </w:r>
          </w:p>
        </w:tc>
        <w:tc>
          <w:tcPr>
            <w:tcW w:w="992" w:type="dxa"/>
            <w:shd w:val="clear" w:color="auto" w:fill="FFFFFF"/>
            <w:vAlign w:val="center"/>
          </w:tcPr>
          <w:p w14:paraId="17C7D8D9" w14:textId="20D4F0A1" w:rsidR="00D31DF7" w:rsidRDefault="001863C1" w:rsidP="006A6D0C">
            <w:pPr>
              <w:pStyle w:val="CETBodytext"/>
              <w:ind w:right="-1"/>
              <w:jc w:val="center"/>
              <w:rPr>
                <w:rFonts w:cs="Arial"/>
                <w:szCs w:val="18"/>
                <w:lang w:val="en-GB"/>
              </w:rPr>
            </w:pPr>
            <w:r>
              <w:rPr>
                <w:rFonts w:cs="Arial"/>
                <w:szCs w:val="18"/>
                <w:lang w:val="en-GB"/>
              </w:rPr>
              <w:t>1 E-1</w:t>
            </w:r>
          </w:p>
        </w:tc>
        <w:tc>
          <w:tcPr>
            <w:tcW w:w="415" w:type="dxa"/>
            <w:shd w:val="clear" w:color="auto" w:fill="FFFFFF"/>
            <w:vAlign w:val="center"/>
          </w:tcPr>
          <w:p w14:paraId="68D6B912" w14:textId="28B622A8" w:rsidR="00D31DF7" w:rsidRDefault="008105A1" w:rsidP="006A6D0C">
            <w:pPr>
              <w:pStyle w:val="CETBodytext"/>
              <w:ind w:right="-1"/>
              <w:jc w:val="center"/>
              <w:rPr>
                <w:rFonts w:cs="Arial"/>
                <w:szCs w:val="18"/>
                <w:lang w:val="en-GB"/>
              </w:rPr>
            </w:pPr>
            <w:r>
              <w:rPr>
                <w:rFonts w:cs="Arial"/>
                <w:szCs w:val="18"/>
                <w:lang w:val="en-GB"/>
              </w:rPr>
              <w:t>1</w:t>
            </w:r>
          </w:p>
        </w:tc>
      </w:tr>
      <w:tr w:rsidR="000651D6" w:rsidRPr="00B57B36" w14:paraId="617FCAE6" w14:textId="77777777" w:rsidTr="00D31DF7">
        <w:tc>
          <w:tcPr>
            <w:tcW w:w="931" w:type="dxa"/>
            <w:shd w:val="clear" w:color="auto" w:fill="FFFFFF"/>
            <w:vAlign w:val="center"/>
          </w:tcPr>
          <w:p w14:paraId="220B2817" w14:textId="77777777" w:rsidR="000651D6" w:rsidRDefault="000651D6" w:rsidP="006A6D0C">
            <w:pPr>
              <w:pStyle w:val="CETBodytext"/>
              <w:ind w:right="-1"/>
              <w:jc w:val="center"/>
              <w:rPr>
                <w:rFonts w:cs="Arial"/>
                <w:szCs w:val="18"/>
                <w:lang w:val="en-GB"/>
              </w:rPr>
            </w:pPr>
          </w:p>
        </w:tc>
        <w:tc>
          <w:tcPr>
            <w:tcW w:w="1196" w:type="dxa"/>
            <w:shd w:val="clear" w:color="auto" w:fill="FFFFFF"/>
            <w:vAlign w:val="center"/>
          </w:tcPr>
          <w:p w14:paraId="210DC835" w14:textId="77777777" w:rsidR="000651D6" w:rsidRDefault="000651D6" w:rsidP="006A6D0C">
            <w:pPr>
              <w:pStyle w:val="CETBodytext"/>
              <w:ind w:right="-1"/>
              <w:jc w:val="center"/>
              <w:rPr>
                <w:rFonts w:cs="Arial"/>
                <w:szCs w:val="18"/>
                <w:lang w:val="en-GB"/>
              </w:rPr>
            </w:pPr>
          </w:p>
        </w:tc>
        <w:tc>
          <w:tcPr>
            <w:tcW w:w="446" w:type="dxa"/>
            <w:shd w:val="clear" w:color="auto" w:fill="FFFFFF"/>
            <w:vAlign w:val="center"/>
          </w:tcPr>
          <w:p w14:paraId="28C66888" w14:textId="77777777" w:rsidR="000651D6" w:rsidRDefault="000651D6" w:rsidP="006A6D0C">
            <w:pPr>
              <w:pStyle w:val="CETBodytext"/>
              <w:ind w:right="-1"/>
              <w:jc w:val="center"/>
              <w:rPr>
                <w:rFonts w:cs="Arial"/>
                <w:szCs w:val="18"/>
                <w:lang w:val="en-GB"/>
              </w:rPr>
            </w:pPr>
          </w:p>
        </w:tc>
        <w:tc>
          <w:tcPr>
            <w:tcW w:w="404" w:type="dxa"/>
            <w:shd w:val="clear" w:color="auto" w:fill="FFFFFF"/>
            <w:vAlign w:val="center"/>
          </w:tcPr>
          <w:p w14:paraId="5EA4E3A0" w14:textId="77777777" w:rsidR="000651D6" w:rsidRDefault="000651D6" w:rsidP="006A6D0C">
            <w:pPr>
              <w:pStyle w:val="CETBodytext"/>
              <w:ind w:right="-1"/>
              <w:jc w:val="center"/>
              <w:rPr>
                <w:rFonts w:cs="Arial"/>
                <w:szCs w:val="18"/>
                <w:lang w:val="en-GB"/>
              </w:rPr>
            </w:pPr>
          </w:p>
        </w:tc>
        <w:tc>
          <w:tcPr>
            <w:tcW w:w="567" w:type="dxa"/>
            <w:shd w:val="clear" w:color="auto" w:fill="FFFFFF"/>
            <w:vAlign w:val="center"/>
          </w:tcPr>
          <w:p w14:paraId="76BD5022" w14:textId="77777777" w:rsidR="000651D6" w:rsidRDefault="000651D6" w:rsidP="006A6D0C">
            <w:pPr>
              <w:pStyle w:val="CETBodytext"/>
              <w:ind w:right="-1"/>
              <w:jc w:val="center"/>
              <w:rPr>
                <w:rFonts w:cs="Arial"/>
                <w:szCs w:val="18"/>
                <w:lang w:val="en-GB"/>
              </w:rPr>
            </w:pPr>
          </w:p>
        </w:tc>
        <w:tc>
          <w:tcPr>
            <w:tcW w:w="425" w:type="dxa"/>
            <w:shd w:val="clear" w:color="auto" w:fill="FFFFFF"/>
            <w:vAlign w:val="center"/>
          </w:tcPr>
          <w:p w14:paraId="57B80E7A" w14:textId="77777777" w:rsidR="000651D6" w:rsidRDefault="000651D6" w:rsidP="006A6D0C">
            <w:pPr>
              <w:pStyle w:val="CETBodytext"/>
              <w:ind w:right="-1"/>
              <w:jc w:val="center"/>
              <w:rPr>
                <w:rFonts w:cs="Arial"/>
                <w:szCs w:val="18"/>
                <w:lang w:val="en-GB"/>
              </w:rPr>
            </w:pPr>
          </w:p>
        </w:tc>
        <w:tc>
          <w:tcPr>
            <w:tcW w:w="709" w:type="dxa"/>
            <w:shd w:val="clear" w:color="auto" w:fill="FFFFFF"/>
            <w:vAlign w:val="center"/>
          </w:tcPr>
          <w:p w14:paraId="4B104E56" w14:textId="77777777" w:rsidR="000651D6" w:rsidRDefault="000651D6" w:rsidP="006A6D0C">
            <w:pPr>
              <w:pStyle w:val="CETBodytext"/>
              <w:ind w:right="-1"/>
              <w:jc w:val="center"/>
              <w:rPr>
                <w:rFonts w:cs="Arial"/>
                <w:color w:val="000000"/>
              </w:rPr>
            </w:pPr>
          </w:p>
        </w:tc>
        <w:tc>
          <w:tcPr>
            <w:tcW w:w="709" w:type="dxa"/>
            <w:shd w:val="clear" w:color="auto" w:fill="FFFFFF"/>
            <w:vAlign w:val="center"/>
          </w:tcPr>
          <w:p w14:paraId="4B9A2849" w14:textId="77777777" w:rsidR="000651D6" w:rsidRDefault="000651D6" w:rsidP="006A6D0C">
            <w:pPr>
              <w:pStyle w:val="CETBodytext"/>
              <w:ind w:right="-1"/>
              <w:jc w:val="center"/>
              <w:rPr>
                <w:rFonts w:cs="Arial"/>
                <w:color w:val="000000"/>
              </w:rPr>
            </w:pPr>
          </w:p>
        </w:tc>
        <w:tc>
          <w:tcPr>
            <w:tcW w:w="709" w:type="dxa"/>
            <w:shd w:val="clear" w:color="auto" w:fill="FFFFFF"/>
            <w:vAlign w:val="center"/>
          </w:tcPr>
          <w:p w14:paraId="740859B3" w14:textId="77777777" w:rsidR="000651D6" w:rsidRDefault="000651D6" w:rsidP="006A6D0C">
            <w:pPr>
              <w:pStyle w:val="CETBodytext"/>
              <w:ind w:right="-1"/>
              <w:jc w:val="center"/>
              <w:rPr>
                <w:rFonts w:cs="Arial"/>
                <w:color w:val="000000"/>
              </w:rPr>
            </w:pPr>
          </w:p>
        </w:tc>
        <w:tc>
          <w:tcPr>
            <w:tcW w:w="708" w:type="dxa"/>
            <w:shd w:val="clear" w:color="auto" w:fill="FFFFFF"/>
            <w:vAlign w:val="center"/>
          </w:tcPr>
          <w:p w14:paraId="7F66186B" w14:textId="77777777" w:rsidR="000651D6" w:rsidRDefault="000651D6" w:rsidP="006A6D0C">
            <w:pPr>
              <w:pStyle w:val="CETBodytext"/>
              <w:ind w:right="-1"/>
              <w:jc w:val="center"/>
              <w:rPr>
                <w:rFonts w:cs="Arial"/>
                <w:color w:val="000000"/>
              </w:rPr>
            </w:pPr>
          </w:p>
        </w:tc>
        <w:tc>
          <w:tcPr>
            <w:tcW w:w="851" w:type="dxa"/>
            <w:shd w:val="clear" w:color="auto" w:fill="FFFFFF"/>
            <w:vAlign w:val="center"/>
          </w:tcPr>
          <w:p w14:paraId="0AC3AC66" w14:textId="77777777" w:rsidR="000651D6" w:rsidRDefault="000651D6" w:rsidP="006A6D0C">
            <w:pPr>
              <w:pStyle w:val="CETBodytext"/>
              <w:ind w:right="-1"/>
              <w:jc w:val="center"/>
              <w:rPr>
                <w:rFonts w:cs="Arial"/>
                <w:color w:val="000000"/>
              </w:rPr>
            </w:pPr>
          </w:p>
        </w:tc>
        <w:tc>
          <w:tcPr>
            <w:tcW w:w="992" w:type="dxa"/>
            <w:shd w:val="clear" w:color="auto" w:fill="FFFFFF"/>
            <w:vAlign w:val="center"/>
          </w:tcPr>
          <w:p w14:paraId="0FB96B59" w14:textId="77777777" w:rsidR="000651D6" w:rsidRDefault="000651D6" w:rsidP="006A6D0C">
            <w:pPr>
              <w:pStyle w:val="CETBodytext"/>
              <w:ind w:right="-1"/>
              <w:jc w:val="center"/>
              <w:rPr>
                <w:rFonts w:cs="Arial"/>
                <w:szCs w:val="18"/>
                <w:lang w:val="en-GB"/>
              </w:rPr>
            </w:pPr>
          </w:p>
        </w:tc>
        <w:tc>
          <w:tcPr>
            <w:tcW w:w="415" w:type="dxa"/>
            <w:shd w:val="clear" w:color="auto" w:fill="FFFFFF"/>
            <w:vAlign w:val="center"/>
          </w:tcPr>
          <w:p w14:paraId="5757E1D7" w14:textId="77777777" w:rsidR="000651D6" w:rsidRDefault="000651D6" w:rsidP="006A6D0C">
            <w:pPr>
              <w:pStyle w:val="CETBodytext"/>
              <w:ind w:right="-1"/>
              <w:jc w:val="center"/>
              <w:rPr>
                <w:rFonts w:cs="Arial"/>
                <w:szCs w:val="18"/>
                <w:lang w:val="en-GB"/>
              </w:rPr>
            </w:pPr>
          </w:p>
        </w:tc>
      </w:tr>
      <w:tr w:rsidR="000651D6" w:rsidRPr="00B57B36" w14:paraId="4E717717" w14:textId="77777777" w:rsidTr="00D31DF7">
        <w:tc>
          <w:tcPr>
            <w:tcW w:w="931" w:type="dxa"/>
            <w:shd w:val="clear" w:color="auto" w:fill="FFFFFF"/>
            <w:vAlign w:val="center"/>
          </w:tcPr>
          <w:p w14:paraId="2CA38166" w14:textId="7F8E15C4" w:rsidR="000651D6" w:rsidRDefault="000D0A03" w:rsidP="006A6D0C">
            <w:pPr>
              <w:pStyle w:val="CETBodytext"/>
              <w:ind w:right="-1"/>
              <w:jc w:val="center"/>
              <w:rPr>
                <w:rFonts w:cs="Arial"/>
                <w:szCs w:val="18"/>
                <w:lang w:val="en-GB"/>
              </w:rPr>
            </w:pPr>
            <w:r>
              <w:rPr>
                <w:rFonts w:cs="Arial"/>
                <w:szCs w:val="18"/>
                <w:lang w:val="en-GB"/>
              </w:rPr>
              <w:t>Closed drain drum</w:t>
            </w:r>
          </w:p>
        </w:tc>
        <w:tc>
          <w:tcPr>
            <w:tcW w:w="1196" w:type="dxa"/>
            <w:shd w:val="clear" w:color="auto" w:fill="FFFFFF"/>
            <w:vAlign w:val="center"/>
          </w:tcPr>
          <w:p w14:paraId="17A7DE2E" w14:textId="4E73E95F" w:rsidR="000651D6" w:rsidRDefault="000D0A03" w:rsidP="006A6D0C">
            <w:pPr>
              <w:pStyle w:val="CETBodytext"/>
              <w:ind w:right="-1"/>
              <w:jc w:val="center"/>
              <w:rPr>
                <w:rFonts w:cs="Arial"/>
                <w:szCs w:val="18"/>
                <w:lang w:val="en-GB"/>
              </w:rPr>
            </w:pPr>
            <w:r>
              <w:rPr>
                <w:rFonts w:cs="Arial"/>
                <w:szCs w:val="18"/>
                <w:lang w:val="en-GB"/>
              </w:rPr>
              <w:t>Pressure</w:t>
            </w:r>
          </w:p>
        </w:tc>
        <w:tc>
          <w:tcPr>
            <w:tcW w:w="446" w:type="dxa"/>
            <w:shd w:val="clear" w:color="auto" w:fill="FFFFFF"/>
            <w:vAlign w:val="center"/>
          </w:tcPr>
          <w:p w14:paraId="1E034010" w14:textId="112F2DF3" w:rsidR="000651D6" w:rsidRDefault="000D0A03" w:rsidP="006A6D0C">
            <w:pPr>
              <w:pStyle w:val="CETBodytext"/>
              <w:ind w:right="-1"/>
              <w:jc w:val="center"/>
              <w:rPr>
                <w:rFonts w:cs="Arial"/>
                <w:szCs w:val="18"/>
                <w:lang w:val="en-GB"/>
              </w:rPr>
            </w:pPr>
            <w:r>
              <w:rPr>
                <w:rFonts w:cs="Arial"/>
                <w:szCs w:val="18"/>
                <w:lang w:val="en-GB"/>
              </w:rPr>
              <w:t>High</w:t>
            </w:r>
          </w:p>
        </w:tc>
        <w:tc>
          <w:tcPr>
            <w:tcW w:w="404" w:type="dxa"/>
            <w:shd w:val="clear" w:color="auto" w:fill="FFFFFF"/>
            <w:vAlign w:val="center"/>
          </w:tcPr>
          <w:p w14:paraId="7DBD65DF" w14:textId="2D0F96C2" w:rsidR="000651D6" w:rsidRDefault="002249F3" w:rsidP="006A6D0C">
            <w:pPr>
              <w:pStyle w:val="CETBodytext"/>
              <w:ind w:right="-1"/>
              <w:jc w:val="center"/>
              <w:rPr>
                <w:rFonts w:cs="Arial"/>
                <w:szCs w:val="18"/>
                <w:lang w:val="en-GB"/>
              </w:rPr>
            </w:pPr>
            <w:r>
              <w:rPr>
                <w:rFonts w:cs="Arial"/>
                <w:szCs w:val="18"/>
                <w:lang w:val="en-GB"/>
              </w:rPr>
              <w:t>5</w:t>
            </w:r>
          </w:p>
        </w:tc>
        <w:tc>
          <w:tcPr>
            <w:tcW w:w="567" w:type="dxa"/>
            <w:shd w:val="clear" w:color="auto" w:fill="FFFFFF"/>
            <w:vAlign w:val="center"/>
          </w:tcPr>
          <w:p w14:paraId="65FA27D3" w14:textId="4A1765AB" w:rsidR="000651D6" w:rsidRDefault="002249F3" w:rsidP="006A6D0C">
            <w:pPr>
              <w:pStyle w:val="CETBodytext"/>
              <w:ind w:right="-1"/>
              <w:jc w:val="center"/>
              <w:rPr>
                <w:rFonts w:cs="Arial"/>
                <w:szCs w:val="18"/>
                <w:lang w:val="en-GB"/>
              </w:rPr>
            </w:pPr>
            <w:r>
              <w:rPr>
                <w:rFonts w:cs="Arial"/>
                <w:szCs w:val="18"/>
                <w:lang w:val="en-GB"/>
              </w:rPr>
              <w:t>4</w:t>
            </w:r>
          </w:p>
        </w:tc>
        <w:tc>
          <w:tcPr>
            <w:tcW w:w="425" w:type="dxa"/>
            <w:shd w:val="clear" w:color="auto" w:fill="FFFFFF"/>
            <w:vAlign w:val="center"/>
          </w:tcPr>
          <w:p w14:paraId="48D6C7C2" w14:textId="7E162E3F" w:rsidR="000651D6" w:rsidRDefault="002249F3" w:rsidP="006A6D0C">
            <w:pPr>
              <w:pStyle w:val="CETBodytext"/>
              <w:ind w:right="-1"/>
              <w:jc w:val="center"/>
              <w:rPr>
                <w:rFonts w:cs="Arial"/>
                <w:szCs w:val="18"/>
                <w:lang w:val="en-GB"/>
              </w:rPr>
            </w:pPr>
            <w:r>
              <w:rPr>
                <w:rFonts w:cs="Arial"/>
                <w:szCs w:val="18"/>
                <w:lang w:val="en-GB"/>
              </w:rPr>
              <w:t>20</w:t>
            </w:r>
          </w:p>
        </w:tc>
        <w:tc>
          <w:tcPr>
            <w:tcW w:w="709" w:type="dxa"/>
            <w:shd w:val="clear" w:color="auto" w:fill="FFFFFF"/>
            <w:vAlign w:val="center"/>
          </w:tcPr>
          <w:p w14:paraId="72BA2BD9" w14:textId="49CDAF2E" w:rsidR="000651D6" w:rsidRDefault="00951DF2" w:rsidP="006A6D0C">
            <w:pPr>
              <w:pStyle w:val="CETBodytext"/>
              <w:ind w:right="-1"/>
              <w:jc w:val="center"/>
              <w:rPr>
                <w:rFonts w:cs="Arial"/>
                <w:color w:val="000000"/>
              </w:rPr>
            </w:pPr>
            <w:r>
              <w:rPr>
                <w:rFonts w:cs="Arial"/>
                <w:color w:val="000000"/>
              </w:rPr>
              <w:t>1 E-2</w:t>
            </w:r>
          </w:p>
        </w:tc>
        <w:tc>
          <w:tcPr>
            <w:tcW w:w="709" w:type="dxa"/>
            <w:shd w:val="clear" w:color="auto" w:fill="FFFFFF"/>
            <w:vAlign w:val="center"/>
          </w:tcPr>
          <w:p w14:paraId="6B3123E2" w14:textId="057399D1" w:rsidR="000651D6" w:rsidRDefault="00951DF2" w:rsidP="006A6D0C">
            <w:pPr>
              <w:pStyle w:val="CETBodytext"/>
              <w:ind w:right="-1"/>
              <w:jc w:val="center"/>
              <w:rPr>
                <w:rFonts w:cs="Arial"/>
                <w:color w:val="000000"/>
              </w:rPr>
            </w:pPr>
            <w:r>
              <w:rPr>
                <w:rFonts w:cs="Arial"/>
                <w:color w:val="000000"/>
              </w:rPr>
              <w:t>1 E-1</w:t>
            </w:r>
          </w:p>
        </w:tc>
        <w:tc>
          <w:tcPr>
            <w:tcW w:w="709" w:type="dxa"/>
            <w:shd w:val="clear" w:color="auto" w:fill="FFFFFF"/>
            <w:vAlign w:val="center"/>
          </w:tcPr>
          <w:p w14:paraId="573A7F46" w14:textId="427C821E" w:rsidR="000651D6" w:rsidRDefault="00951DF2" w:rsidP="006A6D0C">
            <w:pPr>
              <w:pStyle w:val="CETBodytext"/>
              <w:ind w:right="-1"/>
              <w:jc w:val="center"/>
              <w:rPr>
                <w:rFonts w:cs="Arial"/>
                <w:color w:val="000000"/>
              </w:rPr>
            </w:pPr>
            <w:r>
              <w:rPr>
                <w:rFonts w:cs="Arial"/>
                <w:color w:val="000000"/>
              </w:rPr>
              <w:t>1 E-2</w:t>
            </w:r>
          </w:p>
        </w:tc>
        <w:tc>
          <w:tcPr>
            <w:tcW w:w="708" w:type="dxa"/>
            <w:shd w:val="clear" w:color="auto" w:fill="FFFFFF"/>
            <w:vAlign w:val="center"/>
          </w:tcPr>
          <w:p w14:paraId="7A31891A" w14:textId="70050701" w:rsidR="000651D6" w:rsidRDefault="00951DF2" w:rsidP="006A6D0C">
            <w:pPr>
              <w:pStyle w:val="CETBodytext"/>
              <w:ind w:right="-1"/>
              <w:jc w:val="center"/>
              <w:rPr>
                <w:rFonts w:cs="Arial"/>
                <w:color w:val="000000"/>
              </w:rPr>
            </w:pPr>
            <w:r>
              <w:rPr>
                <w:rFonts w:cs="Arial"/>
                <w:color w:val="000000"/>
              </w:rPr>
              <w:t>1 E-2</w:t>
            </w:r>
          </w:p>
        </w:tc>
        <w:tc>
          <w:tcPr>
            <w:tcW w:w="851" w:type="dxa"/>
            <w:shd w:val="clear" w:color="auto" w:fill="FFFFFF"/>
            <w:vAlign w:val="center"/>
          </w:tcPr>
          <w:p w14:paraId="5965A121" w14:textId="413867BB" w:rsidR="000651D6" w:rsidRDefault="005B3143" w:rsidP="006A6D0C">
            <w:pPr>
              <w:pStyle w:val="CETBodytext"/>
              <w:ind w:right="-1"/>
              <w:jc w:val="center"/>
              <w:rPr>
                <w:rFonts w:cs="Arial"/>
                <w:color w:val="000000"/>
              </w:rPr>
            </w:pPr>
            <w:r>
              <w:rPr>
                <w:rFonts w:cs="Arial"/>
                <w:color w:val="000000"/>
              </w:rPr>
              <w:t>1 E-7</w:t>
            </w:r>
          </w:p>
        </w:tc>
        <w:tc>
          <w:tcPr>
            <w:tcW w:w="992" w:type="dxa"/>
            <w:shd w:val="clear" w:color="auto" w:fill="FFFFFF"/>
            <w:vAlign w:val="center"/>
          </w:tcPr>
          <w:p w14:paraId="2AE36467" w14:textId="5A08217C" w:rsidR="000651D6" w:rsidRDefault="005B3143" w:rsidP="006A6D0C">
            <w:pPr>
              <w:pStyle w:val="CETBodytext"/>
              <w:ind w:right="-1"/>
              <w:jc w:val="center"/>
              <w:rPr>
                <w:rFonts w:cs="Arial"/>
                <w:szCs w:val="18"/>
                <w:lang w:val="en-GB"/>
              </w:rPr>
            </w:pPr>
            <w:r>
              <w:rPr>
                <w:rFonts w:cs="Arial"/>
                <w:color w:val="000000"/>
              </w:rPr>
              <w:t>1 E-1</w:t>
            </w:r>
          </w:p>
        </w:tc>
        <w:tc>
          <w:tcPr>
            <w:tcW w:w="415" w:type="dxa"/>
            <w:shd w:val="clear" w:color="auto" w:fill="FFFFFF"/>
            <w:vAlign w:val="center"/>
          </w:tcPr>
          <w:p w14:paraId="708F8F18" w14:textId="04F97A93" w:rsidR="000651D6" w:rsidRDefault="005B3143" w:rsidP="006A6D0C">
            <w:pPr>
              <w:pStyle w:val="CETBodytext"/>
              <w:ind w:right="-1"/>
              <w:jc w:val="center"/>
              <w:rPr>
                <w:rFonts w:cs="Arial"/>
                <w:szCs w:val="18"/>
                <w:lang w:val="en-GB"/>
              </w:rPr>
            </w:pPr>
            <w:r>
              <w:rPr>
                <w:rFonts w:cs="Arial"/>
                <w:szCs w:val="18"/>
                <w:lang w:val="en-GB"/>
              </w:rPr>
              <w:t>1</w:t>
            </w:r>
          </w:p>
        </w:tc>
      </w:tr>
      <w:tr w:rsidR="004579B6" w:rsidRPr="00B57B36" w14:paraId="766B3A7B" w14:textId="77777777" w:rsidTr="00D31DF7">
        <w:tc>
          <w:tcPr>
            <w:tcW w:w="931" w:type="dxa"/>
            <w:shd w:val="clear" w:color="auto" w:fill="FFFFFF"/>
            <w:vAlign w:val="center"/>
          </w:tcPr>
          <w:p w14:paraId="7CE024B6" w14:textId="77777777" w:rsidR="004579B6" w:rsidRDefault="004579B6" w:rsidP="006A6D0C">
            <w:pPr>
              <w:pStyle w:val="CETBodytext"/>
              <w:ind w:right="-1"/>
              <w:jc w:val="center"/>
              <w:rPr>
                <w:rFonts w:cs="Arial"/>
                <w:szCs w:val="18"/>
                <w:lang w:val="en-GB"/>
              </w:rPr>
            </w:pPr>
          </w:p>
        </w:tc>
        <w:tc>
          <w:tcPr>
            <w:tcW w:w="1196" w:type="dxa"/>
            <w:shd w:val="clear" w:color="auto" w:fill="FFFFFF"/>
            <w:vAlign w:val="center"/>
          </w:tcPr>
          <w:p w14:paraId="3DED6137" w14:textId="77777777" w:rsidR="004579B6" w:rsidRDefault="004579B6" w:rsidP="006A6D0C">
            <w:pPr>
              <w:pStyle w:val="CETBodytext"/>
              <w:ind w:right="-1"/>
              <w:jc w:val="center"/>
              <w:rPr>
                <w:rFonts w:cs="Arial"/>
                <w:szCs w:val="18"/>
                <w:lang w:val="en-GB"/>
              </w:rPr>
            </w:pPr>
          </w:p>
        </w:tc>
        <w:tc>
          <w:tcPr>
            <w:tcW w:w="446" w:type="dxa"/>
            <w:shd w:val="clear" w:color="auto" w:fill="FFFFFF"/>
            <w:vAlign w:val="center"/>
          </w:tcPr>
          <w:p w14:paraId="56B741A3" w14:textId="77777777" w:rsidR="004579B6" w:rsidRDefault="004579B6" w:rsidP="006A6D0C">
            <w:pPr>
              <w:pStyle w:val="CETBodytext"/>
              <w:ind w:right="-1"/>
              <w:jc w:val="center"/>
              <w:rPr>
                <w:rFonts w:cs="Arial"/>
                <w:szCs w:val="18"/>
                <w:lang w:val="en-GB"/>
              </w:rPr>
            </w:pPr>
          </w:p>
        </w:tc>
        <w:tc>
          <w:tcPr>
            <w:tcW w:w="404" w:type="dxa"/>
            <w:shd w:val="clear" w:color="auto" w:fill="FFFFFF"/>
            <w:vAlign w:val="center"/>
          </w:tcPr>
          <w:p w14:paraId="4F5DEF11" w14:textId="77777777" w:rsidR="004579B6" w:rsidRDefault="004579B6" w:rsidP="006A6D0C">
            <w:pPr>
              <w:pStyle w:val="CETBodytext"/>
              <w:ind w:right="-1"/>
              <w:jc w:val="center"/>
              <w:rPr>
                <w:rFonts w:cs="Arial"/>
                <w:szCs w:val="18"/>
                <w:lang w:val="en-GB"/>
              </w:rPr>
            </w:pPr>
          </w:p>
        </w:tc>
        <w:tc>
          <w:tcPr>
            <w:tcW w:w="567" w:type="dxa"/>
            <w:shd w:val="clear" w:color="auto" w:fill="FFFFFF"/>
            <w:vAlign w:val="center"/>
          </w:tcPr>
          <w:p w14:paraId="61A94BBF" w14:textId="77777777" w:rsidR="004579B6" w:rsidRDefault="004579B6" w:rsidP="006A6D0C">
            <w:pPr>
              <w:pStyle w:val="CETBodytext"/>
              <w:ind w:right="-1"/>
              <w:jc w:val="center"/>
              <w:rPr>
                <w:rFonts w:cs="Arial"/>
                <w:szCs w:val="18"/>
                <w:lang w:val="en-GB"/>
              </w:rPr>
            </w:pPr>
          </w:p>
        </w:tc>
        <w:tc>
          <w:tcPr>
            <w:tcW w:w="425" w:type="dxa"/>
            <w:shd w:val="clear" w:color="auto" w:fill="FFFFFF"/>
            <w:vAlign w:val="center"/>
          </w:tcPr>
          <w:p w14:paraId="36CBBFCB" w14:textId="77777777" w:rsidR="004579B6" w:rsidRDefault="004579B6" w:rsidP="006A6D0C">
            <w:pPr>
              <w:pStyle w:val="CETBodytext"/>
              <w:ind w:right="-1"/>
              <w:jc w:val="center"/>
              <w:rPr>
                <w:rFonts w:cs="Arial"/>
                <w:szCs w:val="18"/>
                <w:lang w:val="en-GB"/>
              </w:rPr>
            </w:pPr>
          </w:p>
        </w:tc>
        <w:tc>
          <w:tcPr>
            <w:tcW w:w="709" w:type="dxa"/>
            <w:shd w:val="clear" w:color="auto" w:fill="FFFFFF"/>
            <w:vAlign w:val="center"/>
          </w:tcPr>
          <w:p w14:paraId="4189ADAE" w14:textId="77777777" w:rsidR="004579B6" w:rsidRDefault="004579B6" w:rsidP="006A6D0C">
            <w:pPr>
              <w:pStyle w:val="CETBodytext"/>
              <w:ind w:right="-1"/>
              <w:jc w:val="center"/>
              <w:rPr>
                <w:rFonts w:cs="Arial"/>
                <w:color w:val="000000"/>
              </w:rPr>
            </w:pPr>
          </w:p>
        </w:tc>
        <w:tc>
          <w:tcPr>
            <w:tcW w:w="709" w:type="dxa"/>
            <w:shd w:val="clear" w:color="auto" w:fill="FFFFFF"/>
            <w:vAlign w:val="center"/>
          </w:tcPr>
          <w:p w14:paraId="59D8CB5E" w14:textId="77777777" w:rsidR="004579B6" w:rsidRDefault="004579B6" w:rsidP="006A6D0C">
            <w:pPr>
              <w:pStyle w:val="CETBodytext"/>
              <w:ind w:right="-1"/>
              <w:jc w:val="center"/>
              <w:rPr>
                <w:rFonts w:cs="Arial"/>
                <w:color w:val="000000"/>
              </w:rPr>
            </w:pPr>
          </w:p>
        </w:tc>
        <w:tc>
          <w:tcPr>
            <w:tcW w:w="709" w:type="dxa"/>
            <w:shd w:val="clear" w:color="auto" w:fill="FFFFFF"/>
            <w:vAlign w:val="center"/>
          </w:tcPr>
          <w:p w14:paraId="6CFEC936" w14:textId="77777777" w:rsidR="004579B6" w:rsidRDefault="004579B6" w:rsidP="006A6D0C">
            <w:pPr>
              <w:pStyle w:val="CETBodytext"/>
              <w:ind w:right="-1"/>
              <w:jc w:val="center"/>
              <w:rPr>
                <w:rFonts w:cs="Arial"/>
                <w:color w:val="000000"/>
              </w:rPr>
            </w:pPr>
          </w:p>
        </w:tc>
        <w:tc>
          <w:tcPr>
            <w:tcW w:w="708" w:type="dxa"/>
            <w:shd w:val="clear" w:color="auto" w:fill="FFFFFF"/>
            <w:vAlign w:val="center"/>
          </w:tcPr>
          <w:p w14:paraId="057A0452" w14:textId="77777777" w:rsidR="004579B6" w:rsidRDefault="004579B6" w:rsidP="006A6D0C">
            <w:pPr>
              <w:pStyle w:val="CETBodytext"/>
              <w:ind w:right="-1"/>
              <w:jc w:val="center"/>
              <w:rPr>
                <w:rFonts w:cs="Arial"/>
                <w:color w:val="000000"/>
              </w:rPr>
            </w:pPr>
          </w:p>
        </w:tc>
        <w:tc>
          <w:tcPr>
            <w:tcW w:w="851" w:type="dxa"/>
            <w:shd w:val="clear" w:color="auto" w:fill="FFFFFF"/>
            <w:vAlign w:val="center"/>
          </w:tcPr>
          <w:p w14:paraId="35048040" w14:textId="77777777" w:rsidR="004579B6" w:rsidRDefault="004579B6" w:rsidP="006A6D0C">
            <w:pPr>
              <w:pStyle w:val="CETBodytext"/>
              <w:ind w:right="-1"/>
              <w:jc w:val="center"/>
              <w:rPr>
                <w:rFonts w:cs="Arial"/>
                <w:color w:val="000000"/>
              </w:rPr>
            </w:pPr>
          </w:p>
        </w:tc>
        <w:tc>
          <w:tcPr>
            <w:tcW w:w="992" w:type="dxa"/>
            <w:shd w:val="clear" w:color="auto" w:fill="FFFFFF"/>
            <w:vAlign w:val="center"/>
          </w:tcPr>
          <w:p w14:paraId="08B8F583" w14:textId="77777777" w:rsidR="004579B6" w:rsidRDefault="004579B6" w:rsidP="006A6D0C">
            <w:pPr>
              <w:pStyle w:val="CETBodytext"/>
              <w:ind w:right="-1"/>
              <w:jc w:val="center"/>
              <w:rPr>
                <w:rFonts w:cs="Arial"/>
                <w:color w:val="000000"/>
              </w:rPr>
            </w:pPr>
          </w:p>
        </w:tc>
        <w:tc>
          <w:tcPr>
            <w:tcW w:w="415" w:type="dxa"/>
            <w:shd w:val="clear" w:color="auto" w:fill="FFFFFF"/>
            <w:vAlign w:val="center"/>
          </w:tcPr>
          <w:p w14:paraId="3AAF6966" w14:textId="77777777" w:rsidR="004579B6" w:rsidRDefault="004579B6" w:rsidP="006A6D0C">
            <w:pPr>
              <w:pStyle w:val="CETBodytext"/>
              <w:ind w:right="-1"/>
              <w:jc w:val="center"/>
              <w:rPr>
                <w:rFonts w:cs="Arial"/>
                <w:szCs w:val="18"/>
                <w:lang w:val="en-GB"/>
              </w:rPr>
            </w:pPr>
          </w:p>
        </w:tc>
      </w:tr>
      <w:tr w:rsidR="009C6A6B" w:rsidRPr="00B57B36" w14:paraId="61E6491C" w14:textId="77777777" w:rsidTr="00D31DF7">
        <w:tc>
          <w:tcPr>
            <w:tcW w:w="931" w:type="dxa"/>
            <w:shd w:val="clear" w:color="auto" w:fill="FFFFFF"/>
            <w:vAlign w:val="center"/>
          </w:tcPr>
          <w:p w14:paraId="031DF55D" w14:textId="21F9FC04" w:rsidR="009C6A6B" w:rsidRDefault="009C6A6B" w:rsidP="006A6D0C">
            <w:pPr>
              <w:pStyle w:val="CETBodytext"/>
              <w:ind w:right="-1"/>
              <w:jc w:val="center"/>
              <w:rPr>
                <w:rFonts w:cs="Arial"/>
                <w:szCs w:val="18"/>
                <w:lang w:val="en-GB"/>
              </w:rPr>
            </w:pPr>
            <w:r>
              <w:rPr>
                <w:rFonts w:cs="Arial"/>
                <w:szCs w:val="18"/>
                <w:lang w:val="en-GB"/>
              </w:rPr>
              <w:t>Closed drain drum</w:t>
            </w:r>
          </w:p>
        </w:tc>
        <w:tc>
          <w:tcPr>
            <w:tcW w:w="1196" w:type="dxa"/>
            <w:shd w:val="clear" w:color="auto" w:fill="FFFFFF"/>
            <w:vAlign w:val="center"/>
          </w:tcPr>
          <w:p w14:paraId="2F5AAAC8" w14:textId="0E45FA93" w:rsidR="009C6A6B" w:rsidRDefault="009C6A6B" w:rsidP="006A6D0C">
            <w:pPr>
              <w:pStyle w:val="CETBodytext"/>
              <w:ind w:right="-1"/>
              <w:jc w:val="center"/>
              <w:rPr>
                <w:rFonts w:cs="Arial"/>
                <w:szCs w:val="18"/>
                <w:lang w:val="en-GB"/>
              </w:rPr>
            </w:pPr>
            <w:r>
              <w:rPr>
                <w:rFonts w:cs="Arial"/>
                <w:szCs w:val="18"/>
                <w:lang w:val="en-GB"/>
              </w:rPr>
              <w:t>Pressure</w:t>
            </w:r>
          </w:p>
        </w:tc>
        <w:tc>
          <w:tcPr>
            <w:tcW w:w="446" w:type="dxa"/>
            <w:shd w:val="clear" w:color="auto" w:fill="FFFFFF"/>
            <w:vAlign w:val="center"/>
          </w:tcPr>
          <w:p w14:paraId="445684C3" w14:textId="2DAA9A11" w:rsidR="009C6A6B" w:rsidRDefault="009C6A6B" w:rsidP="006A6D0C">
            <w:pPr>
              <w:pStyle w:val="CETBodytext"/>
              <w:ind w:right="-1"/>
              <w:jc w:val="center"/>
              <w:rPr>
                <w:rFonts w:cs="Arial"/>
                <w:szCs w:val="18"/>
                <w:lang w:val="en-GB"/>
              </w:rPr>
            </w:pPr>
            <w:r>
              <w:rPr>
                <w:rFonts w:cs="Arial"/>
                <w:szCs w:val="18"/>
                <w:lang w:val="en-GB"/>
              </w:rPr>
              <w:t>High</w:t>
            </w:r>
          </w:p>
        </w:tc>
        <w:tc>
          <w:tcPr>
            <w:tcW w:w="404" w:type="dxa"/>
            <w:shd w:val="clear" w:color="auto" w:fill="FFFFFF"/>
            <w:vAlign w:val="center"/>
          </w:tcPr>
          <w:p w14:paraId="46300FF8" w14:textId="04E54EA7" w:rsidR="009C6A6B" w:rsidRDefault="009C6A6B" w:rsidP="006A6D0C">
            <w:pPr>
              <w:pStyle w:val="CETBodytext"/>
              <w:ind w:right="-1"/>
              <w:jc w:val="center"/>
              <w:rPr>
                <w:rFonts w:cs="Arial"/>
                <w:szCs w:val="18"/>
                <w:lang w:val="en-GB"/>
              </w:rPr>
            </w:pPr>
            <w:r>
              <w:rPr>
                <w:rFonts w:cs="Arial"/>
                <w:szCs w:val="18"/>
                <w:lang w:val="en-GB"/>
              </w:rPr>
              <w:t>5</w:t>
            </w:r>
          </w:p>
        </w:tc>
        <w:tc>
          <w:tcPr>
            <w:tcW w:w="567" w:type="dxa"/>
            <w:shd w:val="clear" w:color="auto" w:fill="FFFFFF"/>
            <w:vAlign w:val="center"/>
          </w:tcPr>
          <w:p w14:paraId="3CE182D9" w14:textId="6C07134A" w:rsidR="009C6A6B" w:rsidRDefault="009C6A6B" w:rsidP="006A6D0C">
            <w:pPr>
              <w:pStyle w:val="CETBodytext"/>
              <w:ind w:right="-1"/>
              <w:jc w:val="center"/>
              <w:rPr>
                <w:rFonts w:cs="Arial"/>
                <w:szCs w:val="18"/>
                <w:lang w:val="en-GB"/>
              </w:rPr>
            </w:pPr>
            <w:r>
              <w:rPr>
                <w:rFonts w:cs="Arial"/>
                <w:szCs w:val="18"/>
                <w:lang w:val="en-GB"/>
              </w:rPr>
              <w:t>4</w:t>
            </w:r>
          </w:p>
        </w:tc>
        <w:tc>
          <w:tcPr>
            <w:tcW w:w="425" w:type="dxa"/>
            <w:shd w:val="clear" w:color="auto" w:fill="FFFFFF"/>
            <w:vAlign w:val="center"/>
          </w:tcPr>
          <w:p w14:paraId="32658BEF" w14:textId="667BE7AE" w:rsidR="009C6A6B" w:rsidRDefault="009C6A6B" w:rsidP="006A6D0C">
            <w:pPr>
              <w:pStyle w:val="CETBodytext"/>
              <w:ind w:right="-1"/>
              <w:jc w:val="center"/>
              <w:rPr>
                <w:rFonts w:cs="Arial"/>
                <w:szCs w:val="18"/>
                <w:lang w:val="en-GB"/>
              </w:rPr>
            </w:pPr>
            <w:r>
              <w:rPr>
                <w:rFonts w:cs="Arial"/>
                <w:szCs w:val="18"/>
                <w:lang w:val="en-GB"/>
              </w:rPr>
              <w:t>20</w:t>
            </w:r>
          </w:p>
        </w:tc>
        <w:tc>
          <w:tcPr>
            <w:tcW w:w="709" w:type="dxa"/>
            <w:shd w:val="clear" w:color="auto" w:fill="FFFFFF"/>
            <w:vAlign w:val="center"/>
          </w:tcPr>
          <w:p w14:paraId="7CB62623" w14:textId="3A73EA55" w:rsidR="009C6A6B" w:rsidRDefault="009C6A6B" w:rsidP="006A6D0C">
            <w:pPr>
              <w:pStyle w:val="CETBodytext"/>
              <w:ind w:right="-1"/>
              <w:jc w:val="center"/>
              <w:rPr>
                <w:rFonts w:cs="Arial"/>
                <w:color w:val="000000"/>
              </w:rPr>
            </w:pPr>
            <w:r>
              <w:rPr>
                <w:rFonts w:cs="Arial"/>
                <w:color w:val="000000"/>
              </w:rPr>
              <w:t>1 E-2</w:t>
            </w:r>
          </w:p>
        </w:tc>
        <w:tc>
          <w:tcPr>
            <w:tcW w:w="709" w:type="dxa"/>
            <w:shd w:val="clear" w:color="auto" w:fill="FFFFFF"/>
            <w:vAlign w:val="center"/>
          </w:tcPr>
          <w:p w14:paraId="72E21681" w14:textId="0BF19CD8" w:rsidR="009C6A6B" w:rsidRDefault="009C6A6B" w:rsidP="006A6D0C">
            <w:pPr>
              <w:pStyle w:val="CETBodytext"/>
              <w:ind w:right="-1"/>
              <w:jc w:val="center"/>
              <w:rPr>
                <w:rFonts w:cs="Arial"/>
                <w:color w:val="000000"/>
              </w:rPr>
            </w:pPr>
            <w:r>
              <w:rPr>
                <w:rFonts w:cs="Arial"/>
                <w:color w:val="000000"/>
              </w:rPr>
              <w:t>1 E-1</w:t>
            </w:r>
          </w:p>
        </w:tc>
        <w:tc>
          <w:tcPr>
            <w:tcW w:w="709" w:type="dxa"/>
            <w:shd w:val="clear" w:color="auto" w:fill="FFFFFF"/>
            <w:vAlign w:val="center"/>
          </w:tcPr>
          <w:p w14:paraId="66865490" w14:textId="4F1AB567" w:rsidR="009C6A6B" w:rsidRDefault="009C6A6B" w:rsidP="006A6D0C">
            <w:pPr>
              <w:pStyle w:val="CETBodytext"/>
              <w:ind w:right="-1"/>
              <w:jc w:val="center"/>
              <w:rPr>
                <w:rFonts w:cs="Arial"/>
                <w:color w:val="000000"/>
              </w:rPr>
            </w:pPr>
            <w:r>
              <w:rPr>
                <w:rFonts w:cs="Arial"/>
                <w:color w:val="000000"/>
              </w:rPr>
              <w:t>1 E-2</w:t>
            </w:r>
          </w:p>
        </w:tc>
        <w:tc>
          <w:tcPr>
            <w:tcW w:w="708" w:type="dxa"/>
            <w:shd w:val="clear" w:color="auto" w:fill="FFFFFF"/>
            <w:vAlign w:val="center"/>
          </w:tcPr>
          <w:p w14:paraId="4A670256" w14:textId="4EAE0D54" w:rsidR="009C6A6B" w:rsidRDefault="009C6A6B" w:rsidP="006A6D0C">
            <w:pPr>
              <w:pStyle w:val="CETBodytext"/>
              <w:ind w:right="-1"/>
              <w:jc w:val="center"/>
              <w:rPr>
                <w:rFonts w:cs="Arial"/>
                <w:color w:val="000000"/>
              </w:rPr>
            </w:pPr>
            <w:r>
              <w:rPr>
                <w:rFonts w:cs="Arial"/>
                <w:color w:val="000000"/>
              </w:rPr>
              <w:t>1 E-2</w:t>
            </w:r>
          </w:p>
        </w:tc>
        <w:tc>
          <w:tcPr>
            <w:tcW w:w="851" w:type="dxa"/>
            <w:shd w:val="clear" w:color="auto" w:fill="FFFFFF"/>
            <w:vAlign w:val="center"/>
          </w:tcPr>
          <w:p w14:paraId="6CD177E7" w14:textId="0642325A" w:rsidR="009C6A6B" w:rsidRDefault="009C6A6B" w:rsidP="006A6D0C">
            <w:pPr>
              <w:pStyle w:val="CETBodytext"/>
              <w:ind w:right="-1"/>
              <w:jc w:val="center"/>
              <w:rPr>
                <w:rFonts w:cs="Arial"/>
                <w:color w:val="000000"/>
              </w:rPr>
            </w:pPr>
            <w:r>
              <w:rPr>
                <w:rFonts w:cs="Arial"/>
                <w:color w:val="000000"/>
              </w:rPr>
              <w:t>1 E-7</w:t>
            </w:r>
          </w:p>
        </w:tc>
        <w:tc>
          <w:tcPr>
            <w:tcW w:w="992" w:type="dxa"/>
            <w:shd w:val="clear" w:color="auto" w:fill="FFFFFF"/>
            <w:vAlign w:val="center"/>
          </w:tcPr>
          <w:p w14:paraId="3AF1D0E1" w14:textId="34924A36" w:rsidR="009C6A6B" w:rsidRDefault="009C6A6B" w:rsidP="006A6D0C">
            <w:pPr>
              <w:pStyle w:val="CETBodytext"/>
              <w:ind w:right="-1"/>
              <w:jc w:val="center"/>
              <w:rPr>
                <w:rFonts w:cs="Arial"/>
                <w:color w:val="000000"/>
              </w:rPr>
            </w:pPr>
            <w:r>
              <w:rPr>
                <w:rFonts w:cs="Arial"/>
                <w:color w:val="000000"/>
              </w:rPr>
              <w:t>1 E-1</w:t>
            </w:r>
          </w:p>
        </w:tc>
        <w:tc>
          <w:tcPr>
            <w:tcW w:w="415" w:type="dxa"/>
            <w:shd w:val="clear" w:color="auto" w:fill="FFFFFF"/>
            <w:vAlign w:val="center"/>
          </w:tcPr>
          <w:p w14:paraId="69E71A3B" w14:textId="6B35D733" w:rsidR="009C6A6B" w:rsidRDefault="009C6A6B" w:rsidP="006A6D0C">
            <w:pPr>
              <w:pStyle w:val="CETBodytext"/>
              <w:ind w:right="-1"/>
              <w:jc w:val="center"/>
              <w:rPr>
                <w:rFonts w:cs="Arial"/>
                <w:szCs w:val="18"/>
                <w:lang w:val="en-GB"/>
              </w:rPr>
            </w:pPr>
            <w:r>
              <w:rPr>
                <w:rFonts w:cs="Arial"/>
                <w:szCs w:val="18"/>
                <w:lang w:val="en-GB"/>
              </w:rPr>
              <w:t>1</w:t>
            </w:r>
          </w:p>
        </w:tc>
      </w:tr>
    </w:tbl>
    <w:p w14:paraId="77C7C58D" w14:textId="35CAE576" w:rsidR="00284A0F" w:rsidRDefault="00507558" w:rsidP="006A6D0C">
      <w:pPr>
        <w:rPr>
          <w:rFonts w:cs="Arial"/>
          <w:lang w:val="en-US"/>
        </w:rPr>
      </w:pPr>
      <w:r>
        <w:rPr>
          <w:rFonts w:cs="Arial"/>
          <w:lang w:val="en-US"/>
        </w:rPr>
        <w:t xml:space="preserve">Abbreviations: </w:t>
      </w:r>
      <w:r w:rsidR="00284A0F">
        <w:rPr>
          <w:rFonts w:cs="Arial"/>
          <w:lang w:val="en-US"/>
        </w:rPr>
        <w:t xml:space="preserve">P.P. = Process Parameter; Dev = Deviation; S = severity; F = frequency; R = Risk; </w:t>
      </w:r>
      <w:r w:rsidR="001849FD">
        <w:rPr>
          <w:rFonts w:cs="Arial"/>
          <w:lang w:val="en-US"/>
        </w:rPr>
        <w:t>IEF = Initiating Event Frequency;</w:t>
      </w:r>
      <w:r w:rsidR="00284A0F">
        <w:rPr>
          <w:rFonts w:cs="Arial"/>
          <w:lang w:val="en-US"/>
        </w:rPr>
        <w:t xml:space="preserve"> </w:t>
      </w:r>
      <w:r w:rsidR="00842CF1">
        <w:rPr>
          <w:rFonts w:cs="Arial"/>
          <w:lang w:val="en-US"/>
        </w:rPr>
        <w:t xml:space="preserve">P.D. = Process Design; </w:t>
      </w:r>
      <w:r w:rsidR="00B37D27">
        <w:rPr>
          <w:rFonts w:cs="Arial"/>
          <w:lang w:val="en-US"/>
        </w:rPr>
        <w:t>P</w:t>
      </w:r>
      <w:r w:rsidR="00533CCA">
        <w:rPr>
          <w:rFonts w:cs="Arial"/>
          <w:lang w:val="en-US"/>
        </w:rPr>
        <w:t>.</w:t>
      </w:r>
      <w:r w:rsidR="00B37D27">
        <w:rPr>
          <w:rFonts w:cs="Arial"/>
          <w:lang w:val="en-US"/>
        </w:rPr>
        <w:t xml:space="preserve"> = Procedure; </w:t>
      </w:r>
      <w:r w:rsidR="00BB4421">
        <w:rPr>
          <w:rFonts w:cs="Arial"/>
          <w:lang w:val="en-US"/>
        </w:rPr>
        <w:t>E.R. = Emergency Response; O.C.F. = Overall Consequence Frequency</w:t>
      </w:r>
    </w:p>
    <w:p w14:paraId="012D4B27" w14:textId="3F0399E3" w:rsidR="00F33316" w:rsidRDefault="00284A0F" w:rsidP="006A6D0C">
      <w:pPr>
        <w:pStyle w:val="CETBodytext"/>
        <w:rPr>
          <w:rFonts w:cs="Arial"/>
        </w:rPr>
      </w:pPr>
      <w:r w:rsidRPr="00020A6E">
        <w:rPr>
          <w:szCs w:val="18"/>
        </w:rPr>
        <w:t xml:space="preserve">Probability of failure on demand </w:t>
      </w:r>
      <w:r>
        <w:rPr>
          <w:szCs w:val="18"/>
        </w:rPr>
        <w:t xml:space="preserve">(PFD) </w:t>
      </w:r>
      <w:r w:rsidRPr="00020A6E">
        <w:rPr>
          <w:szCs w:val="18"/>
        </w:rPr>
        <w:t xml:space="preserve">values were </w:t>
      </w:r>
      <w:r>
        <w:rPr>
          <w:szCs w:val="18"/>
        </w:rPr>
        <w:t>based on documents from CCPS (2001), which report comparisons between PF</w:t>
      </w:r>
      <w:r w:rsidR="00B21BDD">
        <w:rPr>
          <w:szCs w:val="18"/>
        </w:rPr>
        <w:t>D reported</w:t>
      </w:r>
      <w:r w:rsidR="00EF287D">
        <w:rPr>
          <w:szCs w:val="18"/>
        </w:rPr>
        <w:t xml:space="preserve"> by industry</w:t>
      </w:r>
      <w:r>
        <w:rPr>
          <w:szCs w:val="18"/>
        </w:rPr>
        <w:t xml:space="preserve"> and </w:t>
      </w:r>
      <w:r w:rsidR="00B21BDD">
        <w:rPr>
          <w:szCs w:val="18"/>
        </w:rPr>
        <w:t xml:space="preserve">by </w:t>
      </w:r>
      <w:r>
        <w:rPr>
          <w:szCs w:val="18"/>
        </w:rPr>
        <w:t>CCPS.</w:t>
      </w:r>
    </w:p>
    <w:p w14:paraId="03562EE9" w14:textId="254E3787" w:rsidR="00F33316" w:rsidRDefault="00F33316" w:rsidP="006A6D0C">
      <w:pPr>
        <w:pStyle w:val="CETBodytext"/>
        <w:rPr>
          <w:szCs w:val="18"/>
        </w:rPr>
      </w:pPr>
    </w:p>
    <w:p w14:paraId="44B5046B" w14:textId="1CEA2054" w:rsidR="00651AE9" w:rsidRDefault="00651AE9" w:rsidP="006A6D0C">
      <w:pPr>
        <w:pStyle w:val="CETBodytext"/>
        <w:rPr>
          <w:szCs w:val="18"/>
        </w:rPr>
      </w:pPr>
      <w:r>
        <w:rPr>
          <w:szCs w:val="18"/>
        </w:rPr>
        <w:t>Based on Table 3, the three significant risk scenarios in HF regeneration are explained as follows:</w:t>
      </w:r>
    </w:p>
    <w:p w14:paraId="2217576B" w14:textId="50DBE1BB" w:rsidR="00BA5922" w:rsidRPr="00773A3C" w:rsidRDefault="00BA5922" w:rsidP="006A6D0C">
      <w:pPr>
        <w:pStyle w:val="CETListbullets"/>
        <w:numPr>
          <w:ilvl w:val="0"/>
          <w:numId w:val="13"/>
        </w:numPr>
      </w:pPr>
      <w:r w:rsidRPr="00B47309">
        <w:rPr>
          <w:rFonts w:cs="Arial"/>
          <w:lang w:val="en-US"/>
        </w:rPr>
        <w:t xml:space="preserve">High </w:t>
      </w:r>
      <w:r>
        <w:rPr>
          <w:rFonts w:cs="Arial"/>
          <w:lang w:val="en-US"/>
        </w:rPr>
        <w:t xml:space="preserve">temperature </w:t>
      </w:r>
      <w:r w:rsidRPr="00B47309">
        <w:rPr>
          <w:rFonts w:cs="Arial"/>
          <w:lang w:val="en-US"/>
        </w:rPr>
        <w:t xml:space="preserve">in the </w:t>
      </w:r>
      <w:r>
        <w:rPr>
          <w:rFonts w:cs="Arial"/>
          <w:lang w:val="en-US"/>
        </w:rPr>
        <w:t>acid regenerator</w:t>
      </w:r>
      <w:r w:rsidR="00262893">
        <w:rPr>
          <w:rFonts w:cs="Arial"/>
          <w:lang w:val="en-US"/>
        </w:rPr>
        <w:t>.</w:t>
      </w:r>
    </w:p>
    <w:p w14:paraId="74815865" w14:textId="25C0738A" w:rsidR="00BA5922" w:rsidRDefault="00BA5922" w:rsidP="006A6D0C">
      <w:pPr>
        <w:pStyle w:val="CETnumberingbullets"/>
        <w:numPr>
          <w:ilvl w:val="0"/>
          <w:numId w:val="0"/>
        </w:numPr>
        <w:ind w:left="340"/>
        <w:jc w:val="both"/>
        <w:rPr>
          <w:lang w:val="en-US"/>
        </w:rPr>
      </w:pPr>
      <w:r>
        <w:rPr>
          <w:lang w:val="en-US"/>
        </w:rPr>
        <w:t xml:space="preserve">As it is shown in Table 3, for this scenario, the work team </w:t>
      </w:r>
      <w:r w:rsidR="00DC69DC">
        <w:rPr>
          <w:lang w:val="en-US"/>
        </w:rPr>
        <w:t>considered</w:t>
      </w:r>
      <w:r>
        <w:rPr>
          <w:lang w:val="en-US"/>
        </w:rPr>
        <w:t xml:space="preserve"> s</w:t>
      </w:r>
      <w:r w:rsidRPr="008C48AA">
        <w:rPr>
          <w:lang w:val="en-US"/>
        </w:rPr>
        <w:t xml:space="preserve">everity of </w:t>
      </w:r>
      <w:r>
        <w:rPr>
          <w:lang w:val="en-US"/>
        </w:rPr>
        <w:t>4 (Major)</w:t>
      </w:r>
      <w:r w:rsidRPr="008C48AA">
        <w:rPr>
          <w:lang w:val="en-US"/>
        </w:rPr>
        <w:t xml:space="preserve">, </w:t>
      </w:r>
      <w:r>
        <w:rPr>
          <w:lang w:val="en-US"/>
        </w:rPr>
        <w:t>and a frequency of 3 (Rare), so this event represents a risk of 4 x 3 = 12 (Significant).</w:t>
      </w:r>
    </w:p>
    <w:p w14:paraId="16121EB8" w14:textId="77777777" w:rsidR="005B7BEC" w:rsidRDefault="00BA5922" w:rsidP="006A6D0C">
      <w:pPr>
        <w:pStyle w:val="CETListbullets"/>
        <w:ind w:firstLine="0"/>
        <w:rPr>
          <w:rFonts w:cs="Arial"/>
          <w:color w:val="000000"/>
          <w:lang w:val="en-US"/>
        </w:rPr>
      </w:pPr>
      <w:r>
        <w:rPr>
          <w:rFonts w:cs="Arial"/>
          <w:lang w:val="en-US"/>
        </w:rPr>
        <w:t>The p</w:t>
      </w:r>
      <w:r w:rsidRPr="008730E0">
        <w:rPr>
          <w:rFonts w:cs="Arial"/>
          <w:lang w:val="en-US"/>
        </w:rPr>
        <w:t xml:space="preserve">ossible </w:t>
      </w:r>
      <w:r>
        <w:rPr>
          <w:rFonts w:cs="Arial"/>
          <w:lang w:val="en-US"/>
        </w:rPr>
        <w:t>c</w:t>
      </w:r>
      <w:r w:rsidRPr="008730E0">
        <w:rPr>
          <w:rFonts w:cs="Arial"/>
          <w:lang w:val="en-US"/>
        </w:rPr>
        <w:t>ause</w:t>
      </w:r>
      <w:r>
        <w:rPr>
          <w:rFonts w:cs="Arial"/>
          <w:lang w:val="en-US"/>
        </w:rPr>
        <w:t xml:space="preserve"> of this scenario is a failure in t</w:t>
      </w:r>
      <w:r w:rsidRPr="008730E0">
        <w:rPr>
          <w:rFonts w:cs="Arial"/>
          <w:lang w:val="en-US"/>
        </w:rPr>
        <w:t xml:space="preserve">he </w:t>
      </w:r>
      <w:r>
        <w:rPr>
          <w:rFonts w:cs="Arial"/>
          <w:lang w:val="en-US"/>
        </w:rPr>
        <w:t xml:space="preserve">flow control valve (FV), which would make it stay closed, resulting in </w:t>
      </w:r>
      <w:r>
        <w:rPr>
          <w:rFonts w:cs="Arial"/>
          <w:color w:val="000000"/>
          <w:lang w:val="en-US"/>
        </w:rPr>
        <w:t>a decrease in the HF inlet flow</w:t>
      </w:r>
      <w:r w:rsidR="00946400">
        <w:rPr>
          <w:rFonts w:cs="Arial"/>
          <w:color w:val="000000"/>
          <w:lang w:val="en-US"/>
        </w:rPr>
        <w:t>. This valve failure would also result in</w:t>
      </w:r>
      <w:r>
        <w:rPr>
          <w:rFonts w:cs="Arial"/>
          <w:color w:val="000000"/>
          <w:lang w:val="en-US"/>
        </w:rPr>
        <w:t xml:space="preserve"> a decrease in the removal of soluble pollutants in the acid</w:t>
      </w:r>
      <w:r w:rsidR="005B7BEC">
        <w:rPr>
          <w:rFonts w:cs="Arial"/>
          <w:color w:val="000000"/>
          <w:lang w:val="en-US"/>
        </w:rPr>
        <w:t>.</w:t>
      </w:r>
    </w:p>
    <w:p w14:paraId="4E221B25" w14:textId="27307942" w:rsidR="004E2473" w:rsidRDefault="00510A58" w:rsidP="006A6D0C">
      <w:pPr>
        <w:pStyle w:val="CETListbullets"/>
        <w:ind w:firstLine="0"/>
        <w:rPr>
          <w:rFonts w:cs="Arial"/>
          <w:color w:val="000000"/>
          <w:lang w:val="en-US"/>
        </w:rPr>
      </w:pPr>
      <w:r>
        <w:rPr>
          <w:rFonts w:cs="Arial"/>
          <w:color w:val="000000"/>
          <w:lang w:val="en-US"/>
        </w:rPr>
        <w:t>Regarding</w:t>
      </w:r>
      <w:r w:rsidR="005B7BEC">
        <w:rPr>
          <w:rFonts w:cs="Arial"/>
          <w:color w:val="000000"/>
          <w:lang w:val="en-US"/>
        </w:rPr>
        <w:t xml:space="preserve"> the consequences, </w:t>
      </w:r>
      <w:r w:rsidR="00BA5922">
        <w:rPr>
          <w:rFonts w:cs="Arial"/>
          <w:color w:val="000000"/>
          <w:lang w:val="en-US"/>
        </w:rPr>
        <w:t>no significant consequences would</w:t>
      </w:r>
      <w:r w:rsidR="005B7BEC">
        <w:rPr>
          <w:rFonts w:cs="Arial"/>
          <w:color w:val="000000"/>
          <w:lang w:val="en-US"/>
        </w:rPr>
        <w:t xml:space="preserve"> develop in the short term, </w:t>
      </w:r>
      <w:r w:rsidR="00BA5922">
        <w:rPr>
          <w:rFonts w:cs="Arial"/>
          <w:color w:val="000000"/>
          <w:lang w:val="en-US"/>
        </w:rPr>
        <w:t xml:space="preserve">but in the long term this would potentially cause a higher overhead temperature in the regenerator, a loss of acid purity that would eventually result in a runaway reaction, </w:t>
      </w:r>
      <w:r w:rsidR="006D7B8B">
        <w:rPr>
          <w:rFonts w:cs="Arial"/>
          <w:color w:val="000000"/>
          <w:lang w:val="en-US"/>
        </w:rPr>
        <w:t xml:space="preserve">or </w:t>
      </w:r>
      <w:r w:rsidR="00BA5922">
        <w:rPr>
          <w:rFonts w:cs="Arial"/>
          <w:color w:val="000000"/>
          <w:lang w:val="en-US"/>
        </w:rPr>
        <w:t>corrosion that would result in leaks that in turn would cause personnel injury; another consequence would be an undesirable increase in the production of organic fluorides and polymerization in the reaction section.</w:t>
      </w:r>
    </w:p>
    <w:p w14:paraId="6691719E" w14:textId="707100B7" w:rsidR="00C24781" w:rsidRDefault="00BA5922" w:rsidP="006A6D0C">
      <w:pPr>
        <w:pStyle w:val="CETListbullets"/>
        <w:ind w:firstLine="0"/>
        <w:rPr>
          <w:rFonts w:cs="Arial"/>
          <w:color w:val="000000"/>
          <w:lang w:val="en-US"/>
        </w:rPr>
      </w:pPr>
      <w:r>
        <w:rPr>
          <w:rFonts w:cs="Arial"/>
          <w:color w:val="000000"/>
          <w:lang w:val="en-US"/>
        </w:rPr>
        <w:t xml:space="preserve">A first recommendation to avoid this scenario is to install a Flow Indicator Controller (FIC) in the inlet line of the acid regenerator column, to ensure the operational range in case of a fail in the FC valve or its FIC. Another recommendation is to verify </w:t>
      </w:r>
      <w:r w:rsidR="000A412D">
        <w:rPr>
          <w:rFonts w:cs="Arial"/>
          <w:color w:val="000000"/>
          <w:lang w:val="en-US"/>
        </w:rPr>
        <w:t xml:space="preserve">the </w:t>
      </w:r>
      <w:r>
        <w:rPr>
          <w:rFonts w:cs="Arial"/>
          <w:color w:val="000000"/>
          <w:lang w:val="en-US"/>
        </w:rPr>
        <w:t>sampling schedule for isobutane and olefin feed. Also,</w:t>
      </w:r>
      <w:r w:rsidR="00F40501">
        <w:rPr>
          <w:rFonts w:cs="Arial"/>
          <w:color w:val="000000"/>
          <w:lang w:val="en-US"/>
        </w:rPr>
        <w:t xml:space="preserve"> it is recommended</w:t>
      </w:r>
      <w:r>
        <w:rPr>
          <w:rFonts w:cs="Arial"/>
          <w:color w:val="000000"/>
          <w:lang w:val="en-US"/>
        </w:rPr>
        <w:t xml:space="preserve"> </w:t>
      </w:r>
      <w:r w:rsidR="00063EA4">
        <w:rPr>
          <w:rFonts w:cs="Arial"/>
          <w:color w:val="000000"/>
          <w:lang w:val="en-US"/>
        </w:rPr>
        <w:t xml:space="preserve">to add </w:t>
      </w:r>
      <w:r w:rsidR="00135764">
        <w:rPr>
          <w:rFonts w:cs="Arial"/>
          <w:color w:val="000000"/>
          <w:lang w:val="en-US"/>
        </w:rPr>
        <w:t>a HF</w:t>
      </w:r>
      <w:r>
        <w:rPr>
          <w:rFonts w:cs="Arial"/>
          <w:color w:val="000000"/>
          <w:lang w:val="en-US"/>
        </w:rPr>
        <w:t xml:space="preserve">/water </w:t>
      </w:r>
      <w:r w:rsidR="00515F4B">
        <w:rPr>
          <w:rFonts w:cs="Arial"/>
          <w:color w:val="000000"/>
          <w:lang w:val="en-US"/>
        </w:rPr>
        <w:t xml:space="preserve">ratio </w:t>
      </w:r>
      <w:r>
        <w:rPr>
          <w:rFonts w:cs="Arial"/>
          <w:color w:val="000000"/>
          <w:lang w:val="en-US"/>
        </w:rPr>
        <w:t>analyzer on the acid circulation loop of the alkylation reactor and create a calculation in the pressure control system (PCS) for the acid regenerator isobutane/acid ratio.</w:t>
      </w:r>
    </w:p>
    <w:p w14:paraId="7380CB6A" w14:textId="1276663F" w:rsidR="0036293E" w:rsidRPr="004E2473" w:rsidRDefault="00C24781" w:rsidP="006A6D0C">
      <w:pPr>
        <w:pStyle w:val="CETListbullets"/>
        <w:ind w:firstLine="0"/>
        <w:rPr>
          <w:rFonts w:cs="Arial"/>
          <w:color w:val="000000"/>
          <w:lang w:val="en-US"/>
        </w:rPr>
      </w:pPr>
      <w:r>
        <w:rPr>
          <w:rFonts w:cs="Arial"/>
          <w:color w:val="000000"/>
          <w:lang w:val="en-US"/>
        </w:rPr>
        <w:t xml:space="preserve">The existing </w:t>
      </w:r>
      <w:r w:rsidR="00BA5922" w:rsidRPr="008730E0">
        <w:rPr>
          <w:rFonts w:cs="Arial"/>
          <w:color w:val="000000"/>
          <w:lang w:val="en-US"/>
        </w:rPr>
        <w:t>safeguards</w:t>
      </w:r>
      <w:r w:rsidR="00BA5922">
        <w:rPr>
          <w:rFonts w:cs="Arial"/>
          <w:color w:val="000000"/>
          <w:lang w:val="en-US"/>
        </w:rPr>
        <w:t xml:space="preserve"> </w:t>
      </w:r>
      <w:r>
        <w:rPr>
          <w:rFonts w:cs="Arial"/>
          <w:color w:val="000000"/>
          <w:lang w:val="en-US"/>
        </w:rPr>
        <w:t xml:space="preserve">that would control this scenario </w:t>
      </w:r>
      <w:r w:rsidR="00BA5922">
        <w:rPr>
          <w:rFonts w:cs="Arial"/>
          <w:color w:val="000000"/>
          <w:lang w:val="en-US"/>
        </w:rPr>
        <w:t>were identified</w:t>
      </w:r>
      <w:r w:rsidR="00877DAB">
        <w:rPr>
          <w:rFonts w:cs="Arial"/>
          <w:color w:val="000000"/>
          <w:lang w:val="en-US"/>
        </w:rPr>
        <w:t xml:space="preserve"> as</w:t>
      </w:r>
      <w:r w:rsidR="00BA5922">
        <w:rPr>
          <w:rFonts w:cs="Arial"/>
          <w:color w:val="000000"/>
          <w:lang w:val="en-US"/>
        </w:rPr>
        <w:t xml:space="preserve"> 1) Intermittent flow from ALKAD section; 2) Lab sampling; 3) </w:t>
      </w:r>
      <w:r w:rsidR="00135764">
        <w:rPr>
          <w:rFonts w:cs="Arial"/>
          <w:color w:val="000000"/>
          <w:lang w:val="en-US"/>
        </w:rPr>
        <w:t>Hand</w:t>
      </w:r>
      <w:r w:rsidR="00BA5922">
        <w:rPr>
          <w:rFonts w:cs="Arial"/>
          <w:color w:val="000000"/>
          <w:lang w:val="en-US"/>
        </w:rPr>
        <w:t>wheel on flow control valve; 4) Temperature indicator controller which will add reflux to maintain the overhead temperature at the regenerator; and 5) Operator procedures,</w:t>
      </w:r>
      <w:r w:rsidR="00BA5922" w:rsidRPr="0036610C">
        <w:rPr>
          <w:rFonts w:cs="Arial"/>
          <w:color w:val="000000"/>
          <w:lang w:val="en-US"/>
        </w:rPr>
        <w:t xml:space="preserve"> training</w:t>
      </w:r>
      <w:r w:rsidR="008D366E">
        <w:rPr>
          <w:rFonts w:cs="Arial"/>
          <w:color w:val="000000"/>
          <w:lang w:val="en-US"/>
        </w:rPr>
        <w:t>,</w:t>
      </w:r>
      <w:r w:rsidR="00BA5922" w:rsidRPr="0036610C">
        <w:rPr>
          <w:rFonts w:cs="Arial"/>
          <w:color w:val="000000"/>
          <w:lang w:val="en-US"/>
        </w:rPr>
        <w:t xml:space="preserve"> and response</w:t>
      </w:r>
      <w:r w:rsidR="00BA5922">
        <w:rPr>
          <w:rFonts w:cs="Arial"/>
          <w:color w:val="000000"/>
          <w:lang w:val="en-US"/>
        </w:rPr>
        <w:t>.</w:t>
      </w:r>
      <w:r w:rsidR="00BA5922">
        <w:rPr>
          <w:rFonts w:cs="Arial"/>
          <w:lang w:val="en-US"/>
        </w:rPr>
        <w:t xml:space="preserve"> </w:t>
      </w:r>
      <w:r w:rsidR="00BA5922">
        <w:rPr>
          <w:rFonts w:cs="Arial"/>
          <w:color w:val="000000"/>
          <w:lang w:val="en-US"/>
        </w:rPr>
        <w:t>Considering that the initiating event frequency is 1 E-03</w:t>
      </w:r>
      <w:r w:rsidR="00AB305F">
        <w:rPr>
          <w:rFonts w:cs="Arial"/>
          <w:color w:val="000000"/>
          <w:lang w:val="en-US"/>
        </w:rPr>
        <w:t xml:space="preserve"> (suggested by the work team)</w:t>
      </w:r>
      <w:r w:rsidR="00BA5922">
        <w:rPr>
          <w:rFonts w:cs="Arial"/>
          <w:color w:val="000000"/>
          <w:lang w:val="en-US"/>
        </w:rPr>
        <w:t xml:space="preserve">, and the probability failure on demand (PFD) for each of the independent process layers (IPL) </w:t>
      </w:r>
      <w:r w:rsidR="005B4588">
        <w:rPr>
          <w:rFonts w:cs="Arial"/>
          <w:color w:val="000000"/>
          <w:lang w:val="en-US"/>
        </w:rPr>
        <w:t>was</w:t>
      </w:r>
      <w:r w:rsidR="00BA5922">
        <w:rPr>
          <w:rFonts w:cs="Arial"/>
          <w:color w:val="000000"/>
          <w:lang w:val="en-US"/>
        </w:rPr>
        <w:t>: process design: 1 E-2 PFD; basic process control systems (BPCS): 1 E-2; procedures: 1 E-2 PFD, the o</w:t>
      </w:r>
      <w:r w:rsidR="00785B2D">
        <w:rPr>
          <w:rFonts w:cs="Arial"/>
          <w:color w:val="000000"/>
          <w:lang w:val="en-US"/>
        </w:rPr>
        <w:t xml:space="preserve">verall consequence frequency is 1 E-03 x 1 E-02 x 1 E-02 x 1 E-02 = </w:t>
      </w:r>
      <w:r w:rsidR="00BA5922">
        <w:rPr>
          <w:rFonts w:cs="Arial"/>
          <w:color w:val="000000"/>
          <w:lang w:val="en-US"/>
        </w:rPr>
        <w:t>1 E-9. Based on this value, it is observed that the hazard generated by this deviation is mitigated with the safeguards that exist already.</w:t>
      </w:r>
    </w:p>
    <w:p w14:paraId="0CFF9535" w14:textId="10A96E54" w:rsidR="00823FB8" w:rsidRPr="004F4CE0" w:rsidRDefault="00A64571" w:rsidP="006A6D0C">
      <w:pPr>
        <w:pStyle w:val="CETListbullets"/>
        <w:numPr>
          <w:ilvl w:val="0"/>
          <w:numId w:val="13"/>
        </w:numPr>
      </w:pPr>
      <w:r w:rsidRPr="00B47309">
        <w:rPr>
          <w:rFonts w:cs="Arial"/>
          <w:lang w:val="en-US"/>
        </w:rPr>
        <w:t xml:space="preserve">High </w:t>
      </w:r>
      <w:r>
        <w:rPr>
          <w:rFonts w:cs="Arial"/>
          <w:lang w:val="en-US"/>
        </w:rPr>
        <w:t xml:space="preserve">temperature </w:t>
      </w:r>
      <w:r w:rsidRPr="00B47309">
        <w:rPr>
          <w:rFonts w:cs="Arial"/>
          <w:lang w:val="en-US"/>
        </w:rPr>
        <w:t xml:space="preserve">in the </w:t>
      </w:r>
      <w:r>
        <w:rPr>
          <w:rFonts w:cs="Arial"/>
          <w:lang w:val="en-US"/>
        </w:rPr>
        <w:t>acid regenerator</w:t>
      </w:r>
      <w:r w:rsidRPr="00B47309">
        <w:rPr>
          <w:rFonts w:cs="Arial"/>
          <w:lang w:val="en-US"/>
        </w:rPr>
        <w:t>.</w:t>
      </w:r>
    </w:p>
    <w:p w14:paraId="63BE0036" w14:textId="21CE83F0" w:rsidR="007649BE" w:rsidRDefault="00310B0D" w:rsidP="006A6D0C">
      <w:pPr>
        <w:pStyle w:val="CETListbullets"/>
        <w:ind w:firstLine="0"/>
        <w:rPr>
          <w:rFonts w:cs="Arial"/>
          <w:color w:val="000000"/>
          <w:lang w:val="en-US"/>
        </w:rPr>
      </w:pPr>
      <w:r>
        <w:rPr>
          <w:rFonts w:cs="Arial"/>
          <w:lang w:val="en-US"/>
        </w:rPr>
        <w:t xml:space="preserve">In this case, </w:t>
      </w:r>
      <w:r w:rsidR="0076016D">
        <w:rPr>
          <w:rFonts w:cs="Arial"/>
          <w:lang w:val="en-US"/>
        </w:rPr>
        <w:t>the p</w:t>
      </w:r>
      <w:r w:rsidR="0076016D" w:rsidRPr="008730E0">
        <w:rPr>
          <w:rFonts w:cs="Arial"/>
          <w:lang w:val="en-US"/>
        </w:rPr>
        <w:t xml:space="preserve">ossible </w:t>
      </w:r>
      <w:r w:rsidR="0076016D">
        <w:rPr>
          <w:rFonts w:cs="Arial"/>
          <w:lang w:val="en-US"/>
        </w:rPr>
        <w:t>c</w:t>
      </w:r>
      <w:r w:rsidR="0076016D" w:rsidRPr="008730E0">
        <w:rPr>
          <w:rFonts w:cs="Arial"/>
          <w:lang w:val="en-US"/>
        </w:rPr>
        <w:t>ause</w:t>
      </w:r>
      <w:r w:rsidR="0076016D">
        <w:rPr>
          <w:rFonts w:cs="Arial"/>
          <w:lang w:val="en-US"/>
        </w:rPr>
        <w:t xml:space="preserve"> of this scenario is that</w:t>
      </w:r>
      <w:r w:rsidR="0076016D" w:rsidRPr="008730E0">
        <w:rPr>
          <w:rFonts w:cs="Arial"/>
          <w:lang w:val="en-US"/>
        </w:rPr>
        <w:t xml:space="preserve"> </w:t>
      </w:r>
      <w:r w:rsidR="0076016D">
        <w:rPr>
          <w:rFonts w:cs="Arial"/>
          <w:lang w:val="en-US"/>
        </w:rPr>
        <w:t>t</w:t>
      </w:r>
      <w:r w:rsidR="0076016D" w:rsidRPr="008730E0">
        <w:rPr>
          <w:rFonts w:cs="Arial"/>
          <w:lang w:val="en-US"/>
        </w:rPr>
        <w:t xml:space="preserve">he </w:t>
      </w:r>
      <w:r w:rsidR="0076016D">
        <w:rPr>
          <w:rFonts w:cs="Arial"/>
          <w:lang w:val="en-US"/>
        </w:rPr>
        <w:t>temperature control valve (TV) fails and stays closed</w:t>
      </w:r>
      <w:r w:rsidR="0076016D" w:rsidRPr="008730E0">
        <w:rPr>
          <w:rFonts w:cs="Arial"/>
          <w:color w:val="000000"/>
          <w:lang w:val="en-US"/>
        </w:rPr>
        <w:t>.</w:t>
      </w:r>
      <w:r w:rsidR="0076016D">
        <w:rPr>
          <w:rFonts w:cs="Arial"/>
          <w:color w:val="000000"/>
          <w:lang w:val="en-US"/>
        </w:rPr>
        <w:t xml:space="preserve"> </w:t>
      </w:r>
      <w:r w:rsidR="00BA3DC2">
        <w:rPr>
          <w:rFonts w:cs="Arial"/>
          <w:color w:val="000000"/>
          <w:lang w:val="en-US"/>
        </w:rPr>
        <w:t xml:space="preserve">The consequences </w:t>
      </w:r>
      <w:r w:rsidR="0049271D">
        <w:rPr>
          <w:rFonts w:cs="Arial"/>
          <w:color w:val="000000"/>
          <w:lang w:val="en-US"/>
        </w:rPr>
        <w:t xml:space="preserve">related to </w:t>
      </w:r>
      <w:r w:rsidR="00BA3DC2">
        <w:rPr>
          <w:rFonts w:cs="Arial"/>
          <w:color w:val="000000"/>
          <w:lang w:val="en-US"/>
        </w:rPr>
        <w:t xml:space="preserve">this scenario would be </w:t>
      </w:r>
      <w:r w:rsidR="0049271D">
        <w:rPr>
          <w:rFonts w:cs="Arial"/>
          <w:color w:val="000000"/>
          <w:lang w:val="en-US"/>
        </w:rPr>
        <w:t>a d</w:t>
      </w:r>
      <w:r w:rsidR="00BA3DC2">
        <w:rPr>
          <w:rFonts w:cs="Arial"/>
          <w:color w:val="000000"/>
          <w:lang w:val="en-US"/>
        </w:rPr>
        <w:t xml:space="preserve">ecrease in the isobutane </w:t>
      </w:r>
      <w:r w:rsidR="0049271D">
        <w:rPr>
          <w:rFonts w:cs="Arial"/>
          <w:color w:val="000000"/>
          <w:lang w:val="en-US"/>
        </w:rPr>
        <w:t xml:space="preserve">flow </w:t>
      </w:r>
      <w:r w:rsidR="00BA3DC2">
        <w:rPr>
          <w:rFonts w:cs="Arial"/>
          <w:color w:val="000000"/>
          <w:lang w:val="en-US"/>
        </w:rPr>
        <w:t xml:space="preserve">from the </w:t>
      </w:r>
      <w:proofErr w:type="spellStart"/>
      <w:r w:rsidR="00BA3DC2">
        <w:rPr>
          <w:rFonts w:cs="Arial"/>
          <w:color w:val="000000"/>
          <w:lang w:val="en-US"/>
        </w:rPr>
        <w:t>depropanizer</w:t>
      </w:r>
      <w:proofErr w:type="spellEnd"/>
      <w:r w:rsidR="00BA3DC2">
        <w:rPr>
          <w:rFonts w:cs="Arial"/>
          <w:color w:val="000000"/>
          <w:lang w:val="en-US"/>
        </w:rPr>
        <w:t xml:space="preserve"> and HF stripper section</w:t>
      </w:r>
      <w:r w:rsidR="009D57CA">
        <w:rPr>
          <w:rFonts w:cs="Arial"/>
          <w:color w:val="000000"/>
          <w:lang w:val="en-US"/>
        </w:rPr>
        <w:t xml:space="preserve"> which would cause</w:t>
      </w:r>
      <w:r w:rsidR="006C2AAD">
        <w:rPr>
          <w:rFonts w:cs="Arial"/>
          <w:color w:val="000000"/>
          <w:lang w:val="en-US"/>
        </w:rPr>
        <w:t xml:space="preserve"> the following:</w:t>
      </w:r>
      <w:r w:rsidR="00965488">
        <w:rPr>
          <w:rFonts w:cs="Arial"/>
          <w:color w:val="000000"/>
          <w:lang w:val="en-US"/>
        </w:rPr>
        <w:t xml:space="preserve"> the</w:t>
      </w:r>
      <w:r w:rsidR="0049271D">
        <w:rPr>
          <w:rFonts w:cs="Arial"/>
          <w:color w:val="000000"/>
          <w:lang w:val="en-US"/>
        </w:rPr>
        <w:t xml:space="preserve"> </w:t>
      </w:r>
      <w:r w:rsidR="00BA3DC2">
        <w:rPr>
          <w:rFonts w:cs="Arial"/>
          <w:color w:val="000000"/>
          <w:lang w:val="en-US"/>
        </w:rPr>
        <w:t xml:space="preserve">higher </w:t>
      </w:r>
      <w:r w:rsidR="0049271D">
        <w:rPr>
          <w:rFonts w:cs="Arial"/>
          <w:color w:val="000000"/>
          <w:lang w:val="en-US"/>
        </w:rPr>
        <w:t xml:space="preserve">potential of </w:t>
      </w:r>
      <w:r w:rsidR="00BA3DC2">
        <w:rPr>
          <w:rFonts w:cs="Arial"/>
          <w:color w:val="000000"/>
          <w:lang w:val="en-US"/>
        </w:rPr>
        <w:t>corrosion in the acid regenerator column, drag</w:t>
      </w:r>
      <w:r w:rsidR="00266F11">
        <w:rPr>
          <w:rFonts w:cs="Arial"/>
          <w:color w:val="000000"/>
          <w:lang w:val="en-US"/>
        </w:rPr>
        <w:t>ging</w:t>
      </w:r>
      <w:r w:rsidR="00BA3DC2">
        <w:rPr>
          <w:rFonts w:cs="Arial"/>
          <w:color w:val="000000"/>
          <w:lang w:val="en-US"/>
        </w:rPr>
        <w:t xml:space="preserve"> of pollutants to </w:t>
      </w:r>
      <w:proofErr w:type="spellStart"/>
      <w:r w:rsidR="00BA3DC2">
        <w:rPr>
          <w:rFonts w:cs="Arial"/>
          <w:color w:val="000000"/>
          <w:lang w:val="en-US"/>
        </w:rPr>
        <w:t>isostripper</w:t>
      </w:r>
      <w:proofErr w:type="spellEnd"/>
      <w:r w:rsidR="00BA3DC2">
        <w:rPr>
          <w:rFonts w:cs="Arial"/>
          <w:color w:val="000000"/>
          <w:lang w:val="en-US"/>
        </w:rPr>
        <w:t xml:space="preserve"> section, loss of regenerator reflux causin</w:t>
      </w:r>
      <w:r w:rsidR="000D6664">
        <w:rPr>
          <w:rFonts w:cs="Arial"/>
          <w:color w:val="000000"/>
          <w:lang w:val="en-US"/>
        </w:rPr>
        <w:t xml:space="preserve">g higher overhead temperatures </w:t>
      </w:r>
      <w:r w:rsidR="00BA3DC2">
        <w:rPr>
          <w:rFonts w:cs="Arial"/>
          <w:color w:val="000000"/>
          <w:lang w:val="en-US"/>
        </w:rPr>
        <w:t xml:space="preserve">and, on the long term, </w:t>
      </w:r>
      <w:r w:rsidR="004B2798">
        <w:rPr>
          <w:rFonts w:cs="Arial"/>
          <w:color w:val="000000"/>
          <w:lang w:val="en-US"/>
        </w:rPr>
        <w:t xml:space="preserve">the </w:t>
      </w:r>
      <w:r w:rsidR="00BA3DC2">
        <w:rPr>
          <w:rFonts w:cs="Arial"/>
          <w:color w:val="000000"/>
          <w:lang w:val="en-US"/>
        </w:rPr>
        <w:t>potential of increased impurities in the acid and eventually, acid runaway</w:t>
      </w:r>
      <w:r w:rsidR="007649BE">
        <w:rPr>
          <w:rFonts w:cs="Arial"/>
          <w:color w:val="000000"/>
          <w:lang w:val="en-US"/>
        </w:rPr>
        <w:t>.</w:t>
      </w:r>
    </w:p>
    <w:p w14:paraId="1E6BBEFB" w14:textId="1579E1F9" w:rsidR="00BA3DC2" w:rsidRDefault="006864F9" w:rsidP="006A6D0C">
      <w:pPr>
        <w:pStyle w:val="CETListbullets"/>
        <w:ind w:firstLine="0"/>
        <w:rPr>
          <w:rFonts w:cs="Arial"/>
          <w:color w:val="000000"/>
          <w:lang w:val="en-US"/>
        </w:rPr>
      </w:pPr>
      <w:r>
        <w:rPr>
          <w:rFonts w:cs="Arial"/>
          <w:color w:val="000000"/>
          <w:lang w:val="en-US"/>
        </w:rPr>
        <w:lastRenderedPageBreak/>
        <w:t xml:space="preserve">The recommendations to avoid this scenario consider the installation of </w:t>
      </w:r>
      <w:r w:rsidR="00BA3DC2">
        <w:rPr>
          <w:rFonts w:cs="Arial"/>
          <w:color w:val="000000"/>
          <w:lang w:val="en-US"/>
        </w:rPr>
        <w:t>a</w:t>
      </w:r>
      <w:r>
        <w:rPr>
          <w:rFonts w:cs="Arial"/>
          <w:color w:val="000000"/>
          <w:lang w:val="en-US"/>
        </w:rPr>
        <w:t xml:space="preserve"> high</w:t>
      </w:r>
      <w:r w:rsidR="00014347">
        <w:rPr>
          <w:rFonts w:cs="Arial"/>
          <w:color w:val="000000"/>
          <w:lang w:val="en-US"/>
        </w:rPr>
        <w:t>-</w:t>
      </w:r>
      <w:r w:rsidR="00BA3DC2">
        <w:rPr>
          <w:rFonts w:cs="Arial"/>
          <w:color w:val="000000"/>
          <w:lang w:val="en-US"/>
        </w:rPr>
        <w:t>temperature alarm in the line, together with the constant monitoring of the temperature from the control room, and also periodic maintenance of the controllers</w:t>
      </w:r>
      <w:r w:rsidR="001C5513">
        <w:rPr>
          <w:rFonts w:cs="Arial"/>
          <w:color w:val="000000"/>
          <w:lang w:val="en-US"/>
        </w:rPr>
        <w:t xml:space="preserve"> (set</w:t>
      </w:r>
      <w:r w:rsidR="00BA3DC2">
        <w:rPr>
          <w:rFonts w:cs="Arial"/>
          <w:color w:val="000000"/>
          <w:lang w:val="en-US"/>
        </w:rPr>
        <w:t xml:space="preserve">point adjusting) and valves. </w:t>
      </w:r>
    </w:p>
    <w:p w14:paraId="4EFA44DC" w14:textId="7F725F7D" w:rsidR="004F4CE0" w:rsidRDefault="007F3DF2" w:rsidP="006A6D0C">
      <w:pPr>
        <w:pStyle w:val="CETListbullets"/>
        <w:ind w:firstLine="0"/>
      </w:pPr>
      <w:r>
        <w:rPr>
          <w:rFonts w:cs="Arial"/>
          <w:lang w:val="en-US"/>
        </w:rPr>
        <w:t xml:space="preserve">As it is shown in Table 3, </w:t>
      </w:r>
      <w:r w:rsidR="004F4CE0">
        <w:rPr>
          <w:rFonts w:cs="Arial"/>
          <w:lang w:val="en-US"/>
        </w:rPr>
        <w:t>this scenario</w:t>
      </w:r>
      <w:r>
        <w:rPr>
          <w:rFonts w:cs="Arial"/>
          <w:lang w:val="en-US"/>
        </w:rPr>
        <w:t xml:space="preserve"> has a</w:t>
      </w:r>
      <w:r w:rsidR="004F4CE0">
        <w:rPr>
          <w:rFonts w:cs="Arial"/>
          <w:lang w:val="en-US"/>
        </w:rPr>
        <w:t xml:space="preserve"> s</w:t>
      </w:r>
      <w:r w:rsidR="004F4CE0" w:rsidRPr="008C48AA">
        <w:rPr>
          <w:rFonts w:cs="Arial"/>
          <w:lang w:val="en-US"/>
        </w:rPr>
        <w:t xml:space="preserve">everity of </w:t>
      </w:r>
      <w:r w:rsidR="004F4CE0">
        <w:rPr>
          <w:rFonts w:cs="Arial"/>
          <w:lang w:val="en-US"/>
        </w:rPr>
        <w:t>4</w:t>
      </w:r>
      <w:r w:rsidR="004F4CE0" w:rsidRPr="008C48AA">
        <w:rPr>
          <w:rFonts w:cs="Arial"/>
          <w:lang w:val="en-US"/>
        </w:rPr>
        <w:t>,</w:t>
      </w:r>
      <w:r>
        <w:rPr>
          <w:rFonts w:cs="Arial"/>
          <w:lang w:val="en-US"/>
        </w:rPr>
        <w:t xml:space="preserve"> a</w:t>
      </w:r>
      <w:r w:rsidR="004F4CE0" w:rsidRPr="008C48AA">
        <w:rPr>
          <w:rFonts w:cs="Arial"/>
          <w:lang w:val="en-US"/>
        </w:rPr>
        <w:t xml:space="preserve"> </w:t>
      </w:r>
      <w:r w:rsidR="004F4CE0">
        <w:rPr>
          <w:rFonts w:cs="Arial"/>
          <w:lang w:val="en-US"/>
        </w:rPr>
        <w:t>frequency of 3</w:t>
      </w:r>
      <w:r w:rsidR="00F37B24">
        <w:rPr>
          <w:rFonts w:cs="Arial"/>
          <w:lang w:val="en-US"/>
        </w:rPr>
        <w:t>,</w:t>
      </w:r>
      <w:r w:rsidR="004F4CE0">
        <w:rPr>
          <w:rFonts w:cs="Arial"/>
          <w:lang w:val="en-US"/>
        </w:rPr>
        <w:t xml:space="preserve"> and </w:t>
      </w:r>
      <w:r>
        <w:rPr>
          <w:rFonts w:cs="Arial"/>
          <w:lang w:val="en-US"/>
        </w:rPr>
        <w:t xml:space="preserve">a </w:t>
      </w:r>
      <w:r w:rsidR="004F4CE0">
        <w:rPr>
          <w:rFonts w:cs="Arial"/>
          <w:lang w:val="en-US"/>
        </w:rPr>
        <w:t xml:space="preserve">risk </w:t>
      </w:r>
      <w:r>
        <w:rPr>
          <w:rFonts w:cs="Arial"/>
          <w:lang w:val="en-US"/>
        </w:rPr>
        <w:t>level of 12</w:t>
      </w:r>
      <w:r w:rsidR="004F4CE0">
        <w:rPr>
          <w:rFonts w:cs="Arial"/>
          <w:lang w:val="en-US"/>
        </w:rPr>
        <w:t xml:space="preserve"> (significant)</w:t>
      </w:r>
      <w:r>
        <w:rPr>
          <w:rFonts w:cs="Arial"/>
          <w:lang w:val="en-US"/>
        </w:rPr>
        <w:t>.</w:t>
      </w:r>
      <w:r w:rsidR="00082576">
        <w:rPr>
          <w:rFonts w:cs="Arial"/>
          <w:lang w:val="en-US"/>
        </w:rPr>
        <w:t xml:space="preserve"> </w:t>
      </w:r>
      <w:r w:rsidR="00082576">
        <w:rPr>
          <w:rFonts w:cs="Arial"/>
          <w:color w:val="000000"/>
          <w:lang w:val="en-US"/>
        </w:rPr>
        <w:t>T</w:t>
      </w:r>
      <w:r w:rsidR="004F4CE0">
        <w:rPr>
          <w:rFonts w:cs="Arial"/>
          <w:color w:val="000000"/>
          <w:lang w:val="en-US"/>
        </w:rPr>
        <w:t xml:space="preserve">he following </w:t>
      </w:r>
      <w:r w:rsidR="004F4CE0" w:rsidRPr="008730E0">
        <w:rPr>
          <w:rFonts w:cs="Arial"/>
          <w:color w:val="000000"/>
          <w:lang w:val="en-US"/>
        </w:rPr>
        <w:t>safeguards</w:t>
      </w:r>
      <w:r w:rsidR="004F4CE0">
        <w:rPr>
          <w:rFonts w:cs="Arial"/>
          <w:color w:val="000000"/>
          <w:lang w:val="en-US"/>
        </w:rPr>
        <w:t xml:space="preserve"> were identified</w:t>
      </w:r>
      <w:r w:rsidR="004F4CE0" w:rsidRPr="008730E0">
        <w:rPr>
          <w:rFonts w:cs="Arial"/>
          <w:color w:val="000000"/>
          <w:lang w:val="en-US"/>
        </w:rPr>
        <w:t>:</w:t>
      </w:r>
      <w:r w:rsidR="004F4CE0">
        <w:rPr>
          <w:rFonts w:cs="Arial"/>
          <w:color w:val="000000"/>
          <w:lang w:val="en-US"/>
        </w:rPr>
        <w:t xml:space="preserve"> 1) Flow indicator; 2) Temperature indicator; 3) </w:t>
      </w:r>
      <w:r w:rsidR="00136FD9">
        <w:rPr>
          <w:rFonts w:cs="Arial"/>
          <w:color w:val="000000"/>
          <w:lang w:val="en-US"/>
        </w:rPr>
        <w:t>Handwheel</w:t>
      </w:r>
      <w:r w:rsidR="004F4CE0">
        <w:rPr>
          <w:rFonts w:cs="Arial"/>
          <w:color w:val="000000"/>
          <w:lang w:val="en-US"/>
        </w:rPr>
        <w:t xml:space="preserve"> on TV; and 5) Operator procedures,</w:t>
      </w:r>
      <w:r w:rsidR="004F4CE0" w:rsidRPr="0036610C">
        <w:rPr>
          <w:rFonts w:cs="Arial"/>
          <w:color w:val="000000"/>
          <w:lang w:val="en-US"/>
        </w:rPr>
        <w:t xml:space="preserve"> training</w:t>
      </w:r>
      <w:r w:rsidR="0022184D">
        <w:rPr>
          <w:rFonts w:cs="Arial"/>
          <w:color w:val="000000"/>
          <w:lang w:val="en-US"/>
        </w:rPr>
        <w:t>,</w:t>
      </w:r>
      <w:r w:rsidR="004F4CE0" w:rsidRPr="0036610C">
        <w:rPr>
          <w:rFonts w:cs="Arial"/>
          <w:color w:val="000000"/>
          <w:lang w:val="en-US"/>
        </w:rPr>
        <w:t xml:space="preserve"> and response</w:t>
      </w:r>
      <w:r w:rsidR="004F4CE0">
        <w:rPr>
          <w:rFonts w:cs="Arial"/>
          <w:color w:val="000000"/>
          <w:lang w:val="en-US"/>
        </w:rPr>
        <w:t>.</w:t>
      </w:r>
      <w:r w:rsidR="004F4CE0">
        <w:rPr>
          <w:rFonts w:cs="Arial"/>
          <w:lang w:val="en-US"/>
        </w:rPr>
        <w:t xml:space="preserve"> </w:t>
      </w:r>
      <w:r w:rsidR="004F4CE0">
        <w:rPr>
          <w:rFonts w:cs="Arial"/>
          <w:color w:val="000000"/>
          <w:lang w:val="en-US"/>
        </w:rPr>
        <w:t>Considering that the initiating event frequency is 1 E-03, and the probability failure on demand (PFD) for each of the independent process layers (IPL) was: process design: 1 E-4 PFD</w:t>
      </w:r>
      <w:r w:rsidR="00082576">
        <w:rPr>
          <w:rFonts w:cs="Arial"/>
          <w:color w:val="000000"/>
          <w:lang w:val="en-US"/>
        </w:rPr>
        <w:t xml:space="preserve"> and</w:t>
      </w:r>
      <w:r w:rsidR="004F4CE0">
        <w:rPr>
          <w:rFonts w:cs="Arial"/>
          <w:color w:val="000000"/>
          <w:lang w:val="en-US"/>
        </w:rPr>
        <w:t xml:space="preserve"> procedures: 1 E-1 PFD, the overall consequence frequency is 1 E-8. Based on this value, it is observed that the hazard generated by this deviation is mitigated with the safeguards that exist already.</w:t>
      </w:r>
    </w:p>
    <w:p w14:paraId="440BD7A3" w14:textId="3BC41F42" w:rsidR="00823FB8" w:rsidRPr="00262893" w:rsidRDefault="00A64571" w:rsidP="006A6D0C">
      <w:pPr>
        <w:pStyle w:val="CETListbullets"/>
        <w:numPr>
          <w:ilvl w:val="0"/>
          <w:numId w:val="13"/>
        </w:numPr>
      </w:pPr>
      <w:r>
        <w:rPr>
          <w:rFonts w:cs="Arial"/>
          <w:lang w:val="en-US"/>
        </w:rPr>
        <w:t>Low pressure in the acid regenerator</w:t>
      </w:r>
      <w:r w:rsidR="00262893">
        <w:rPr>
          <w:rFonts w:cs="Arial"/>
          <w:lang w:val="en-US"/>
        </w:rPr>
        <w:t>.</w:t>
      </w:r>
    </w:p>
    <w:p w14:paraId="3943BE1D" w14:textId="56D51385" w:rsidR="002D1676" w:rsidRDefault="00262893" w:rsidP="006A6D0C">
      <w:pPr>
        <w:pStyle w:val="CETnumberingbullets"/>
        <w:numPr>
          <w:ilvl w:val="0"/>
          <w:numId w:val="0"/>
        </w:numPr>
        <w:ind w:left="340"/>
        <w:jc w:val="both"/>
        <w:rPr>
          <w:color w:val="000000"/>
          <w:lang w:val="en-US"/>
        </w:rPr>
      </w:pPr>
      <w:r>
        <w:rPr>
          <w:lang w:val="en-US"/>
        </w:rPr>
        <w:t>The p</w:t>
      </w:r>
      <w:r w:rsidRPr="008730E0">
        <w:rPr>
          <w:lang w:val="en-US"/>
        </w:rPr>
        <w:t xml:space="preserve">ossible </w:t>
      </w:r>
      <w:r>
        <w:rPr>
          <w:lang w:val="en-US"/>
        </w:rPr>
        <w:t>c</w:t>
      </w:r>
      <w:r w:rsidRPr="008730E0">
        <w:rPr>
          <w:lang w:val="en-US"/>
        </w:rPr>
        <w:t>ause</w:t>
      </w:r>
      <w:r>
        <w:rPr>
          <w:lang w:val="en-US"/>
        </w:rPr>
        <w:t xml:space="preserve"> of this scenario is that</w:t>
      </w:r>
      <w:r w:rsidRPr="008730E0">
        <w:rPr>
          <w:lang w:val="en-US"/>
        </w:rPr>
        <w:t xml:space="preserve"> </w:t>
      </w:r>
      <w:r>
        <w:rPr>
          <w:lang w:val="en-US"/>
        </w:rPr>
        <w:t>t</w:t>
      </w:r>
      <w:r w:rsidRPr="008730E0">
        <w:rPr>
          <w:lang w:val="en-US"/>
        </w:rPr>
        <w:t xml:space="preserve">he </w:t>
      </w:r>
      <w:r>
        <w:rPr>
          <w:lang w:val="en-US"/>
        </w:rPr>
        <w:t>manual valve at the top of the regenerator is</w:t>
      </w:r>
      <w:r w:rsidR="005A393C">
        <w:rPr>
          <w:lang w:val="en-US"/>
        </w:rPr>
        <w:t xml:space="preserve"> left</w:t>
      </w:r>
      <w:r>
        <w:rPr>
          <w:lang w:val="en-US"/>
        </w:rPr>
        <w:t xml:space="preserve"> open</w:t>
      </w:r>
      <w:r w:rsidRPr="008730E0">
        <w:rPr>
          <w:color w:val="000000"/>
          <w:lang w:val="en-US"/>
        </w:rPr>
        <w:t>.</w:t>
      </w:r>
      <w:r>
        <w:rPr>
          <w:color w:val="000000"/>
          <w:lang w:val="en-US"/>
        </w:rPr>
        <w:t xml:space="preserve"> The conseque</w:t>
      </w:r>
      <w:r w:rsidR="0086038D">
        <w:rPr>
          <w:color w:val="000000"/>
          <w:lang w:val="en-US"/>
        </w:rPr>
        <w:t>nces for this scenario would be</w:t>
      </w:r>
      <w:r>
        <w:rPr>
          <w:color w:val="000000"/>
          <w:lang w:val="en-US"/>
        </w:rPr>
        <w:t xml:space="preserve"> </w:t>
      </w:r>
      <w:r w:rsidR="0086038D">
        <w:rPr>
          <w:color w:val="000000"/>
          <w:lang w:val="en-US"/>
        </w:rPr>
        <w:t>p</w:t>
      </w:r>
      <w:r>
        <w:rPr>
          <w:color w:val="000000"/>
          <w:lang w:val="en-US"/>
        </w:rPr>
        <w:t xml:space="preserve">ossible fire explosion due to hydrocarbon spill, air pollution, injuries to the employees due to acid spill (and possible death of employees in case of exposure to high concentrations), equipment damage, economic losses, non-programmed stop and total evacuation of the unit. The recommendations to avoid this scenario are: changing the manual valve for a safety valve </w:t>
      </w:r>
      <w:r w:rsidR="00CD4BCA">
        <w:rPr>
          <w:color w:val="000000"/>
          <w:lang w:val="en-US"/>
        </w:rPr>
        <w:t>at the top of the column</w:t>
      </w:r>
      <w:r>
        <w:rPr>
          <w:color w:val="000000"/>
          <w:lang w:val="en-US"/>
        </w:rPr>
        <w:t xml:space="preserve"> and install a bypass system to send the stream to</w:t>
      </w:r>
      <w:r w:rsidR="0037007A">
        <w:rPr>
          <w:color w:val="000000"/>
          <w:lang w:val="en-US"/>
        </w:rPr>
        <w:t xml:space="preserve"> the</w:t>
      </w:r>
      <w:r>
        <w:rPr>
          <w:color w:val="000000"/>
          <w:lang w:val="en-US"/>
        </w:rPr>
        <w:t xml:space="preserve"> flare header to reduce the risk for the employees to be exposed to</w:t>
      </w:r>
      <w:r w:rsidR="00236507">
        <w:rPr>
          <w:color w:val="000000"/>
          <w:lang w:val="en-US"/>
        </w:rPr>
        <w:t xml:space="preserve"> a</w:t>
      </w:r>
      <w:r w:rsidR="00AE12DA">
        <w:rPr>
          <w:color w:val="000000"/>
          <w:lang w:val="en-US"/>
        </w:rPr>
        <w:t>n</w:t>
      </w:r>
      <w:r>
        <w:rPr>
          <w:color w:val="000000"/>
          <w:lang w:val="en-US"/>
        </w:rPr>
        <w:t xml:space="preserve"> HF leak</w:t>
      </w:r>
      <w:r w:rsidR="002D1676">
        <w:rPr>
          <w:color w:val="000000"/>
          <w:lang w:val="en-US"/>
        </w:rPr>
        <w:t>.</w:t>
      </w:r>
    </w:p>
    <w:p w14:paraId="27E10BB1" w14:textId="5CFCB335" w:rsidR="00262893" w:rsidRPr="00ED7D92" w:rsidRDefault="002D1676" w:rsidP="006A6D0C">
      <w:pPr>
        <w:pStyle w:val="CETnumberingbullets"/>
        <w:numPr>
          <w:ilvl w:val="0"/>
          <w:numId w:val="0"/>
        </w:numPr>
        <w:ind w:left="340"/>
        <w:jc w:val="both"/>
        <w:rPr>
          <w:lang w:val="en-US"/>
        </w:rPr>
      </w:pPr>
      <w:r>
        <w:rPr>
          <w:lang w:val="en-US"/>
        </w:rPr>
        <w:t>For this scenario, s</w:t>
      </w:r>
      <w:r w:rsidRPr="008C48AA">
        <w:rPr>
          <w:lang w:val="en-US"/>
        </w:rPr>
        <w:t xml:space="preserve">everity of </w:t>
      </w:r>
      <w:r>
        <w:rPr>
          <w:lang w:val="en-US"/>
        </w:rPr>
        <w:t>4</w:t>
      </w:r>
      <w:r w:rsidRPr="008C48AA">
        <w:rPr>
          <w:lang w:val="en-US"/>
        </w:rPr>
        <w:t xml:space="preserve">, </w:t>
      </w:r>
      <w:r>
        <w:rPr>
          <w:lang w:val="en-US"/>
        </w:rPr>
        <w:t>frequency of 3 and risk of 1</w:t>
      </w:r>
      <w:r w:rsidR="002810A9">
        <w:rPr>
          <w:lang w:val="en-US"/>
        </w:rPr>
        <w:t xml:space="preserve">2 S (significant) </w:t>
      </w:r>
      <w:r w:rsidR="00D675BB">
        <w:rPr>
          <w:lang w:val="en-US"/>
        </w:rPr>
        <w:t>was</w:t>
      </w:r>
      <w:r w:rsidR="002810A9">
        <w:rPr>
          <w:lang w:val="en-US"/>
        </w:rPr>
        <w:t xml:space="preserve"> obtained, and</w:t>
      </w:r>
      <w:r w:rsidR="00262893">
        <w:rPr>
          <w:color w:val="000000"/>
          <w:lang w:val="en-US"/>
        </w:rPr>
        <w:t xml:space="preserve"> the only safeguard identified was the operator procedures,</w:t>
      </w:r>
      <w:r w:rsidR="00262893" w:rsidRPr="0036610C">
        <w:rPr>
          <w:color w:val="000000"/>
          <w:lang w:val="en-US"/>
        </w:rPr>
        <w:t xml:space="preserve"> training</w:t>
      </w:r>
      <w:r w:rsidR="00353A96">
        <w:rPr>
          <w:color w:val="000000"/>
          <w:lang w:val="en-US"/>
        </w:rPr>
        <w:t>,</w:t>
      </w:r>
      <w:r w:rsidR="00262893" w:rsidRPr="0036610C">
        <w:rPr>
          <w:color w:val="000000"/>
          <w:lang w:val="en-US"/>
        </w:rPr>
        <w:t xml:space="preserve"> and response</w:t>
      </w:r>
      <w:r w:rsidR="00262893">
        <w:rPr>
          <w:color w:val="000000"/>
          <w:lang w:val="en-US"/>
        </w:rPr>
        <w:t>.</w:t>
      </w:r>
      <w:r w:rsidR="00262893">
        <w:rPr>
          <w:lang w:val="en-US"/>
        </w:rPr>
        <w:t xml:space="preserve"> </w:t>
      </w:r>
      <w:r w:rsidR="00262893">
        <w:rPr>
          <w:color w:val="000000"/>
          <w:lang w:val="en-US"/>
        </w:rPr>
        <w:t>Considering that the ini</w:t>
      </w:r>
      <w:r w:rsidR="00F21434">
        <w:rPr>
          <w:color w:val="000000"/>
          <w:lang w:val="en-US"/>
        </w:rPr>
        <w:t>tiating event frequency is 1 E-</w:t>
      </w:r>
      <w:r w:rsidR="00ED5CA7">
        <w:rPr>
          <w:color w:val="000000"/>
          <w:lang w:val="en-US"/>
        </w:rPr>
        <w:t>3</w:t>
      </w:r>
      <w:r w:rsidR="00262893">
        <w:rPr>
          <w:color w:val="000000"/>
          <w:lang w:val="en-US"/>
        </w:rPr>
        <w:t xml:space="preserve"> and that the probability failure on demand (PFD) for each of the independent process layers (IPL) was: procedures: 1 E-2</w:t>
      </w:r>
      <w:r w:rsidR="00810B2F">
        <w:rPr>
          <w:color w:val="000000"/>
          <w:lang w:val="en-US"/>
        </w:rPr>
        <w:t xml:space="preserve"> PFD and </w:t>
      </w:r>
      <w:r w:rsidR="00262893">
        <w:rPr>
          <w:color w:val="000000"/>
          <w:lang w:val="en-US"/>
        </w:rPr>
        <w:t xml:space="preserve">emergency response: 1 E-2 PFD, the overall consequence frequency is 1 E-7. </w:t>
      </w:r>
      <w:r w:rsidR="009B3AC6">
        <w:rPr>
          <w:color w:val="000000"/>
          <w:lang w:val="en-US"/>
        </w:rPr>
        <w:t>T</w:t>
      </w:r>
      <w:r w:rsidR="00262893">
        <w:rPr>
          <w:color w:val="000000"/>
          <w:lang w:val="en-US"/>
        </w:rPr>
        <w:t>o reach an overall consequence frequency of 1 E-8, a SIL of 1 E-1 (SIL 1) must be implemented, which corresponds to the recommendation of changing the manual valve located at the top of the vessel for a relief valve that will help prevent air pollution and system from exceeding specified overpressure. It is worth noting that the effectiveness of this device is sensitive to service and experience.</w:t>
      </w:r>
    </w:p>
    <w:p w14:paraId="2593D085" w14:textId="24D58381" w:rsidR="00F70DA9" w:rsidRDefault="00A771FC" w:rsidP="006A6D0C">
      <w:pPr>
        <w:rPr>
          <w:rFonts w:cs="Arial"/>
          <w:lang w:val="en-US"/>
        </w:rPr>
      </w:pPr>
      <w:r>
        <w:rPr>
          <w:rFonts w:cs="Arial"/>
          <w:lang w:val="en-US"/>
        </w:rPr>
        <w:t xml:space="preserve">Also shown in Table 3, </w:t>
      </w:r>
      <w:r w:rsidR="00CD7EED">
        <w:rPr>
          <w:rFonts w:cs="Arial"/>
          <w:lang w:val="en-US"/>
        </w:rPr>
        <w:t xml:space="preserve">two </w:t>
      </w:r>
      <w:r w:rsidR="00583E42">
        <w:rPr>
          <w:rFonts w:cs="Arial"/>
          <w:lang w:val="en-US"/>
        </w:rPr>
        <w:t>scenarios</w:t>
      </w:r>
      <w:r>
        <w:rPr>
          <w:rFonts w:cs="Arial"/>
          <w:lang w:val="en-US"/>
        </w:rPr>
        <w:t xml:space="preserve"> were evaluated as of high risk in HF regeneration section:</w:t>
      </w:r>
    </w:p>
    <w:p w14:paraId="34801084" w14:textId="52C50FB2" w:rsidR="001501DC" w:rsidRPr="000D24E2" w:rsidRDefault="00A2297A" w:rsidP="006A6D0C">
      <w:pPr>
        <w:pStyle w:val="CETListbullets"/>
        <w:numPr>
          <w:ilvl w:val="0"/>
          <w:numId w:val="13"/>
        </w:numPr>
      </w:pPr>
      <w:r>
        <w:rPr>
          <w:rFonts w:cs="Arial"/>
          <w:lang w:val="en-US"/>
        </w:rPr>
        <w:t>High pressure in the closed drain drum</w:t>
      </w:r>
      <w:r w:rsidRPr="008730E0">
        <w:rPr>
          <w:rFonts w:cs="Arial"/>
          <w:lang w:val="en-US"/>
        </w:rPr>
        <w:t>.</w:t>
      </w:r>
    </w:p>
    <w:p w14:paraId="27E59E2F" w14:textId="092B94FB" w:rsidR="009801E8" w:rsidRDefault="009801E8" w:rsidP="006A6D0C">
      <w:pPr>
        <w:pStyle w:val="CETListbullets"/>
        <w:ind w:firstLine="0"/>
        <w:rPr>
          <w:rFonts w:cs="Arial"/>
          <w:color w:val="000000"/>
          <w:lang w:val="en-US"/>
        </w:rPr>
      </w:pPr>
      <w:r>
        <w:rPr>
          <w:rFonts w:cs="Arial"/>
          <w:lang w:val="en-US"/>
        </w:rPr>
        <w:t>The p</w:t>
      </w:r>
      <w:r w:rsidRPr="008730E0">
        <w:rPr>
          <w:rFonts w:cs="Arial"/>
          <w:lang w:val="en-US"/>
        </w:rPr>
        <w:t xml:space="preserve">ossible </w:t>
      </w:r>
      <w:r>
        <w:rPr>
          <w:rFonts w:cs="Arial"/>
          <w:lang w:val="en-US"/>
        </w:rPr>
        <w:t>c</w:t>
      </w:r>
      <w:r w:rsidRPr="008730E0">
        <w:rPr>
          <w:rFonts w:cs="Arial"/>
          <w:lang w:val="en-US"/>
        </w:rPr>
        <w:t>ause</w:t>
      </w:r>
      <w:r>
        <w:rPr>
          <w:rFonts w:cs="Arial"/>
          <w:lang w:val="en-US"/>
        </w:rPr>
        <w:t xml:space="preserve"> of this scenario is that</w:t>
      </w:r>
      <w:r w:rsidRPr="008730E0">
        <w:rPr>
          <w:rFonts w:cs="Arial"/>
          <w:lang w:val="en-US"/>
        </w:rPr>
        <w:t xml:space="preserve"> </w:t>
      </w:r>
      <w:r>
        <w:rPr>
          <w:rFonts w:cs="Arial"/>
          <w:lang w:val="en-US"/>
        </w:rPr>
        <w:t>t</w:t>
      </w:r>
      <w:r w:rsidRPr="008730E0">
        <w:rPr>
          <w:rFonts w:cs="Arial"/>
          <w:lang w:val="en-US"/>
        </w:rPr>
        <w:t xml:space="preserve">he </w:t>
      </w:r>
      <w:r>
        <w:rPr>
          <w:rFonts w:cs="Arial"/>
          <w:lang w:val="en-US"/>
        </w:rPr>
        <w:t>bypass system of PCV is left open, which causes an increase in the nitrogen flow rate.</w:t>
      </w:r>
      <w:r>
        <w:rPr>
          <w:rFonts w:cs="Arial"/>
          <w:color w:val="000000"/>
          <w:lang w:val="en-US"/>
        </w:rPr>
        <w:t xml:space="preserve"> The conseque</w:t>
      </w:r>
      <w:r w:rsidR="00202032">
        <w:rPr>
          <w:rFonts w:cs="Arial"/>
          <w:color w:val="000000"/>
          <w:lang w:val="en-US"/>
        </w:rPr>
        <w:t>nces for this scenario would be</w:t>
      </w:r>
      <w:r>
        <w:rPr>
          <w:rFonts w:cs="Arial"/>
          <w:color w:val="000000"/>
          <w:lang w:val="en-US"/>
        </w:rPr>
        <w:t xml:space="preserve"> full nitrogen pressure on the drum and vent header, and at the worst case, during decommissioning with the vent line blocked inside. Another consequence would be potential overpressure of the slop drum, leading to flange leaks, loss of containment</w:t>
      </w:r>
      <w:r w:rsidR="00E207EC">
        <w:rPr>
          <w:rFonts w:cs="Arial"/>
          <w:color w:val="000000"/>
          <w:lang w:val="en-US"/>
        </w:rPr>
        <w:t>,</w:t>
      </w:r>
      <w:r>
        <w:rPr>
          <w:rFonts w:cs="Arial"/>
          <w:color w:val="000000"/>
          <w:lang w:val="en-US"/>
        </w:rPr>
        <w:t xml:space="preserve"> and personnel injury. The recommendations to avoid this scenario are: considering to move the pressure indicator and the restrictive orifice of the nitrogen line, to the slop drum vent downstream of the bypass PCV; also to install a pressure indicator in the top of the drum to monitor the pressure; also to review the design pressure of the slop closed drain drum (this, considering that the maximum nitrogen pressure on the purge of the drum and vent piping is around 95 psig, and the current design pressure of the drum is 50 psig).</w:t>
      </w:r>
    </w:p>
    <w:p w14:paraId="40F53D60" w14:textId="1ED1AD8C" w:rsidR="000D24E2" w:rsidRDefault="009801E8" w:rsidP="006A6D0C">
      <w:pPr>
        <w:pStyle w:val="CETListbullets"/>
        <w:ind w:firstLine="0"/>
        <w:rPr>
          <w:rFonts w:cs="Arial"/>
          <w:lang w:val="en-US"/>
        </w:rPr>
      </w:pPr>
      <w:r>
        <w:rPr>
          <w:rFonts w:cs="Arial"/>
          <w:lang w:val="en-US"/>
        </w:rPr>
        <w:t>A s</w:t>
      </w:r>
      <w:r w:rsidR="00735E4D" w:rsidRPr="008C48AA">
        <w:rPr>
          <w:rFonts w:cs="Arial"/>
          <w:lang w:val="en-US"/>
        </w:rPr>
        <w:t xml:space="preserve">everity of </w:t>
      </w:r>
      <w:r w:rsidR="00735E4D">
        <w:rPr>
          <w:rFonts w:cs="Arial"/>
          <w:lang w:val="en-US"/>
        </w:rPr>
        <w:t>5</w:t>
      </w:r>
      <w:r w:rsidR="00735E4D" w:rsidRPr="008C48AA">
        <w:rPr>
          <w:rFonts w:cs="Arial"/>
          <w:lang w:val="en-US"/>
        </w:rPr>
        <w:t xml:space="preserve">, </w:t>
      </w:r>
      <w:r w:rsidR="00735E4D">
        <w:rPr>
          <w:rFonts w:cs="Arial"/>
          <w:lang w:val="en-US"/>
        </w:rPr>
        <w:t>frequency of 4</w:t>
      </w:r>
      <w:r w:rsidR="00B7145C">
        <w:rPr>
          <w:rFonts w:cs="Arial"/>
          <w:lang w:val="en-US"/>
        </w:rPr>
        <w:t>,</w:t>
      </w:r>
      <w:r w:rsidR="00735E4D">
        <w:rPr>
          <w:rFonts w:cs="Arial"/>
          <w:lang w:val="en-US"/>
        </w:rPr>
        <w:t xml:space="preserve"> and risk of 20 (high</w:t>
      </w:r>
      <w:r w:rsidR="00C764B9">
        <w:rPr>
          <w:rFonts w:cs="Arial"/>
          <w:lang w:val="en-US"/>
        </w:rPr>
        <w:t xml:space="preserve"> risk</w:t>
      </w:r>
      <w:r w:rsidR="00735E4D">
        <w:rPr>
          <w:rFonts w:cs="Arial"/>
          <w:lang w:val="en-US"/>
        </w:rPr>
        <w:t xml:space="preserve">) </w:t>
      </w:r>
      <w:r w:rsidR="00B7145C">
        <w:rPr>
          <w:rFonts w:cs="Arial"/>
          <w:lang w:val="en-US"/>
        </w:rPr>
        <w:t xml:space="preserve">was </w:t>
      </w:r>
      <w:r w:rsidR="00735E4D">
        <w:rPr>
          <w:rFonts w:cs="Arial"/>
          <w:lang w:val="en-US"/>
        </w:rPr>
        <w:t>obtained</w:t>
      </w:r>
      <w:r>
        <w:rPr>
          <w:rFonts w:cs="Arial"/>
          <w:lang w:val="en-US"/>
        </w:rPr>
        <w:t xml:space="preserve"> for this scenario</w:t>
      </w:r>
      <w:r w:rsidR="005F15E8">
        <w:rPr>
          <w:rFonts w:cs="Arial"/>
          <w:lang w:val="en-US"/>
        </w:rPr>
        <w:t xml:space="preserve">, and </w:t>
      </w:r>
      <w:r w:rsidR="00735E4D">
        <w:rPr>
          <w:rFonts w:cs="Arial"/>
          <w:color w:val="000000"/>
          <w:lang w:val="en-US"/>
        </w:rPr>
        <w:t>the following safeguards were identified: 1) Pressure indicator; 2) Restrictive orifice; 3) Operator procedures, training</w:t>
      </w:r>
      <w:r w:rsidR="00C5602B">
        <w:rPr>
          <w:rFonts w:cs="Arial"/>
          <w:color w:val="000000"/>
          <w:lang w:val="en-US"/>
        </w:rPr>
        <w:t>,</w:t>
      </w:r>
      <w:r w:rsidR="00735E4D">
        <w:rPr>
          <w:rFonts w:cs="Arial"/>
          <w:color w:val="000000"/>
          <w:lang w:val="en-US"/>
        </w:rPr>
        <w:t xml:space="preserve"> and response.</w:t>
      </w:r>
      <w:r w:rsidR="00735E4D">
        <w:rPr>
          <w:rFonts w:cs="Arial"/>
          <w:lang w:val="en-US"/>
        </w:rPr>
        <w:t xml:space="preserve"> </w:t>
      </w:r>
      <w:r w:rsidR="00175015">
        <w:rPr>
          <w:rFonts w:cs="Arial"/>
          <w:lang w:val="en-US"/>
        </w:rPr>
        <w:t xml:space="preserve">The frequency for this event was considered as </w:t>
      </w:r>
      <w:r w:rsidR="00951DF2">
        <w:rPr>
          <w:rFonts w:cs="Arial"/>
          <w:color w:val="000000"/>
          <w:lang w:val="en-US"/>
        </w:rPr>
        <w:t>1 E-</w:t>
      </w:r>
      <w:r w:rsidR="00735E4D">
        <w:rPr>
          <w:rFonts w:cs="Arial"/>
          <w:color w:val="000000"/>
          <w:lang w:val="en-US"/>
        </w:rPr>
        <w:t>2, and that the probability failure on demand (PFD) for each of the independent process layers (IPL) was: process design: 1 E-1</w:t>
      </w:r>
      <w:r w:rsidR="008A4693">
        <w:rPr>
          <w:rFonts w:cs="Arial"/>
          <w:color w:val="000000"/>
          <w:lang w:val="en-US"/>
        </w:rPr>
        <w:t xml:space="preserve"> PFD,</w:t>
      </w:r>
      <w:r w:rsidR="00735E4D">
        <w:rPr>
          <w:rFonts w:cs="Arial"/>
          <w:color w:val="000000"/>
          <w:lang w:val="en-US"/>
        </w:rPr>
        <w:t xml:space="preserve"> procedures: 1 E-2 PFD</w:t>
      </w:r>
      <w:r w:rsidR="008A4693">
        <w:rPr>
          <w:rFonts w:cs="Arial"/>
          <w:color w:val="000000"/>
          <w:lang w:val="en-US"/>
        </w:rPr>
        <w:t xml:space="preserve"> and</w:t>
      </w:r>
      <w:r w:rsidR="00735E4D">
        <w:rPr>
          <w:rFonts w:cs="Arial"/>
          <w:color w:val="000000"/>
          <w:lang w:val="en-US"/>
        </w:rPr>
        <w:t xml:space="preserve"> emergency response: 1 E-2 PFD, </w:t>
      </w:r>
      <w:r w:rsidR="008A4693">
        <w:rPr>
          <w:rFonts w:cs="Arial"/>
          <w:color w:val="000000"/>
          <w:lang w:val="en-US"/>
        </w:rPr>
        <w:t xml:space="preserve">so </w:t>
      </w:r>
      <w:r w:rsidR="00735E4D">
        <w:rPr>
          <w:rFonts w:cs="Arial"/>
          <w:color w:val="000000"/>
          <w:lang w:val="en-US"/>
        </w:rPr>
        <w:t xml:space="preserve">the </w:t>
      </w:r>
      <w:r w:rsidR="00A34058">
        <w:rPr>
          <w:rFonts w:cs="Arial"/>
          <w:color w:val="000000"/>
          <w:lang w:val="en-US"/>
        </w:rPr>
        <w:t>overall consequence frequency has a value of</w:t>
      </w:r>
      <w:r w:rsidR="00735E4D">
        <w:rPr>
          <w:rFonts w:cs="Arial"/>
          <w:color w:val="000000"/>
          <w:lang w:val="en-US"/>
        </w:rPr>
        <w:t xml:space="preserve"> 1 E-7. </w:t>
      </w:r>
      <w:r w:rsidR="004618B7">
        <w:rPr>
          <w:rFonts w:cs="Arial"/>
          <w:color w:val="000000"/>
          <w:lang w:val="en-US"/>
        </w:rPr>
        <w:t>T</w:t>
      </w:r>
      <w:r w:rsidR="00735E4D">
        <w:rPr>
          <w:rFonts w:cs="Arial"/>
          <w:color w:val="000000"/>
          <w:lang w:val="en-US"/>
        </w:rPr>
        <w:t xml:space="preserve">o reach an overall consequence frequency of 1 E-8, a SIL of 1 E-1 (SIL 1) must be implemented. </w:t>
      </w:r>
      <w:r w:rsidR="004618B7">
        <w:rPr>
          <w:rFonts w:cs="Arial"/>
          <w:color w:val="000000"/>
          <w:lang w:val="en-US"/>
        </w:rPr>
        <w:t>Installing a high-</w:t>
      </w:r>
      <w:r w:rsidR="00735E4D">
        <w:rPr>
          <w:rFonts w:cs="Arial"/>
          <w:color w:val="000000"/>
          <w:lang w:val="en-US"/>
        </w:rPr>
        <w:t>pressure alarm together with the pressure indicator (PFD 1 E-1) would reduce the overall frequency to 1 E-8.</w:t>
      </w:r>
    </w:p>
    <w:p w14:paraId="300654B9" w14:textId="60CE636D" w:rsidR="001501DC" w:rsidRPr="00DA7AE1" w:rsidRDefault="003479C4" w:rsidP="006A6D0C">
      <w:pPr>
        <w:pStyle w:val="CETListbullets"/>
        <w:numPr>
          <w:ilvl w:val="0"/>
          <w:numId w:val="13"/>
        </w:numPr>
      </w:pPr>
      <w:r>
        <w:rPr>
          <w:rFonts w:cs="Arial"/>
          <w:lang w:val="en-US"/>
        </w:rPr>
        <w:t>High pressure in the closed drain drum.</w:t>
      </w:r>
    </w:p>
    <w:p w14:paraId="68C94036" w14:textId="03FD410B" w:rsidR="00DA7AE1" w:rsidRPr="00B47309" w:rsidRDefault="00123D03" w:rsidP="006A6D0C">
      <w:pPr>
        <w:pStyle w:val="CETListbullets"/>
        <w:ind w:firstLine="0"/>
      </w:pPr>
      <w:r>
        <w:rPr>
          <w:rFonts w:cs="Arial"/>
          <w:lang w:val="en-US"/>
        </w:rPr>
        <w:t>The di</w:t>
      </w:r>
      <w:r w:rsidR="00800DCF">
        <w:rPr>
          <w:rFonts w:cs="Arial"/>
          <w:lang w:val="en-US"/>
        </w:rPr>
        <w:t>fference with the previous high-</w:t>
      </w:r>
      <w:r>
        <w:rPr>
          <w:rFonts w:cs="Arial"/>
          <w:lang w:val="en-US"/>
        </w:rPr>
        <w:t>risk scenario is the p</w:t>
      </w:r>
      <w:r w:rsidRPr="008730E0">
        <w:rPr>
          <w:rFonts w:cs="Arial"/>
          <w:lang w:val="en-US"/>
        </w:rPr>
        <w:t xml:space="preserve">ossible </w:t>
      </w:r>
      <w:r>
        <w:rPr>
          <w:rFonts w:cs="Arial"/>
          <w:lang w:val="en-US"/>
        </w:rPr>
        <w:t>c</w:t>
      </w:r>
      <w:r w:rsidRPr="008730E0">
        <w:rPr>
          <w:rFonts w:cs="Arial"/>
          <w:lang w:val="en-US"/>
        </w:rPr>
        <w:t>ause</w:t>
      </w:r>
      <w:r>
        <w:rPr>
          <w:rFonts w:cs="Arial"/>
          <w:lang w:val="en-US"/>
        </w:rPr>
        <w:t>: PCV fails and stays open, causing an increase in the N</w:t>
      </w:r>
      <w:r w:rsidRPr="005B5919">
        <w:rPr>
          <w:rFonts w:cs="Arial"/>
          <w:vertAlign w:val="subscript"/>
          <w:lang w:val="en-US"/>
        </w:rPr>
        <w:t>2</w:t>
      </w:r>
      <w:r>
        <w:rPr>
          <w:rFonts w:cs="Arial"/>
          <w:lang w:val="en-US"/>
        </w:rPr>
        <w:t xml:space="preserve"> flow.</w:t>
      </w:r>
      <w:r>
        <w:rPr>
          <w:rFonts w:cs="Arial"/>
          <w:color w:val="000000"/>
          <w:lang w:val="en-US"/>
        </w:rPr>
        <w:t xml:space="preserve"> Consequences, recommendations, safeguards, </w:t>
      </w:r>
      <w:r w:rsidR="00A52877">
        <w:rPr>
          <w:rFonts w:cs="Arial"/>
          <w:color w:val="000000"/>
          <w:lang w:val="en-US"/>
        </w:rPr>
        <w:t xml:space="preserve">severity, </w:t>
      </w:r>
      <w:r w:rsidR="00C61082">
        <w:rPr>
          <w:rFonts w:cs="Arial"/>
          <w:color w:val="000000"/>
          <w:lang w:val="en-US"/>
        </w:rPr>
        <w:t>f</w:t>
      </w:r>
      <w:r w:rsidR="00A52877">
        <w:rPr>
          <w:rFonts w:cs="Arial"/>
          <w:color w:val="000000"/>
          <w:lang w:val="en-US"/>
        </w:rPr>
        <w:t xml:space="preserve">requency, risk, </w:t>
      </w:r>
      <w:r>
        <w:rPr>
          <w:rFonts w:cs="Arial"/>
          <w:color w:val="000000"/>
          <w:lang w:val="en-US"/>
        </w:rPr>
        <w:t>PFD’s, overall frequency</w:t>
      </w:r>
      <w:r w:rsidR="00A72654">
        <w:rPr>
          <w:rFonts w:cs="Arial"/>
          <w:color w:val="000000"/>
          <w:lang w:val="en-US"/>
        </w:rPr>
        <w:t>,</w:t>
      </w:r>
      <w:r>
        <w:rPr>
          <w:rFonts w:cs="Arial"/>
          <w:color w:val="000000"/>
          <w:lang w:val="en-US"/>
        </w:rPr>
        <w:t xml:space="preserve"> and recommendation to reduce the overall frequency to 1 E-8 are the same as in </w:t>
      </w:r>
      <w:r w:rsidR="00B61917">
        <w:rPr>
          <w:rFonts w:cs="Arial"/>
          <w:color w:val="000000"/>
          <w:lang w:val="en-US"/>
        </w:rPr>
        <w:t>the previous high-</w:t>
      </w:r>
      <w:r w:rsidR="00A52877">
        <w:rPr>
          <w:rFonts w:cs="Arial"/>
          <w:color w:val="000000"/>
          <w:lang w:val="en-US"/>
        </w:rPr>
        <w:t>risk scenario</w:t>
      </w:r>
      <w:r w:rsidR="00A52877">
        <w:rPr>
          <w:rFonts w:cs="Arial"/>
          <w:lang w:val="en-US"/>
        </w:rPr>
        <w:t>.</w:t>
      </w:r>
    </w:p>
    <w:p w14:paraId="68D26B83" w14:textId="3A4135C3" w:rsidR="00600535" w:rsidRPr="00B57B36" w:rsidRDefault="00600535" w:rsidP="006A6D0C">
      <w:pPr>
        <w:pStyle w:val="CETHeading1"/>
        <w:spacing w:line="264" w:lineRule="auto"/>
        <w:rPr>
          <w:lang w:val="en-GB"/>
        </w:rPr>
      </w:pPr>
      <w:r w:rsidRPr="00B57B36">
        <w:rPr>
          <w:lang w:val="en-GB"/>
        </w:rPr>
        <w:t>Conclusions</w:t>
      </w:r>
    </w:p>
    <w:p w14:paraId="5CBF898A" w14:textId="57ADE1F5" w:rsidR="00C14870" w:rsidRDefault="00692689" w:rsidP="006A6D0C">
      <w:pPr>
        <w:pStyle w:val="CETBodytext"/>
        <w:rPr>
          <w:rFonts w:cs="Arial"/>
        </w:rPr>
      </w:pPr>
      <w:r>
        <w:rPr>
          <w:rFonts w:cs="Arial"/>
        </w:rPr>
        <w:t>T</w:t>
      </w:r>
      <w:r w:rsidR="008C5AE9">
        <w:rPr>
          <w:rFonts w:cs="Arial"/>
        </w:rPr>
        <w:t>he complexit</w:t>
      </w:r>
      <w:r w:rsidR="00F07306">
        <w:rPr>
          <w:rFonts w:cs="Arial"/>
        </w:rPr>
        <w:t xml:space="preserve">y of the HF alkylation process </w:t>
      </w:r>
      <w:r w:rsidR="008C6477">
        <w:rPr>
          <w:rFonts w:cs="Arial"/>
        </w:rPr>
        <w:t xml:space="preserve">has been </w:t>
      </w:r>
      <w:r w:rsidR="008E2EF5">
        <w:rPr>
          <w:rFonts w:cs="Arial"/>
        </w:rPr>
        <w:t xml:space="preserve">illustrated </w:t>
      </w:r>
      <w:r w:rsidR="00C53938">
        <w:rPr>
          <w:rFonts w:cs="Arial"/>
        </w:rPr>
        <w:t>in this document</w:t>
      </w:r>
      <w:r w:rsidR="0050668E">
        <w:rPr>
          <w:rFonts w:cs="Arial"/>
        </w:rPr>
        <w:t>, considering the hazards associated with HF storage, handling</w:t>
      </w:r>
      <w:r w:rsidR="006E62D7">
        <w:rPr>
          <w:rFonts w:cs="Arial"/>
        </w:rPr>
        <w:t>,</w:t>
      </w:r>
      <w:r w:rsidR="0050668E">
        <w:rPr>
          <w:rFonts w:cs="Arial"/>
        </w:rPr>
        <w:t xml:space="preserve"> and processing</w:t>
      </w:r>
      <w:r w:rsidR="00C53938">
        <w:rPr>
          <w:rFonts w:cs="Arial"/>
        </w:rPr>
        <w:t xml:space="preserve">. Even though </w:t>
      </w:r>
      <w:r w:rsidR="0050668E">
        <w:rPr>
          <w:rFonts w:cs="Arial"/>
        </w:rPr>
        <w:t>this paper i</w:t>
      </w:r>
      <w:r w:rsidR="00C53938">
        <w:rPr>
          <w:rFonts w:cs="Arial"/>
        </w:rPr>
        <w:t>s a summary of the detailed analysis by HAZOP, LOPA</w:t>
      </w:r>
      <w:r w:rsidR="006E62D7">
        <w:rPr>
          <w:rFonts w:cs="Arial"/>
        </w:rPr>
        <w:t>,</w:t>
      </w:r>
      <w:r w:rsidR="00C53938">
        <w:rPr>
          <w:rFonts w:cs="Arial"/>
        </w:rPr>
        <w:t xml:space="preserve"> and SIL, </w:t>
      </w:r>
      <w:r w:rsidR="00CD107B">
        <w:rPr>
          <w:rFonts w:cs="Arial"/>
        </w:rPr>
        <w:t xml:space="preserve">it helps </w:t>
      </w:r>
      <w:r w:rsidR="00532800">
        <w:rPr>
          <w:rFonts w:cs="Arial"/>
        </w:rPr>
        <w:t xml:space="preserve">understanding </w:t>
      </w:r>
      <w:r w:rsidR="00CD107B">
        <w:rPr>
          <w:rFonts w:cs="Arial"/>
        </w:rPr>
        <w:t>why the r</w:t>
      </w:r>
      <w:r w:rsidR="00FF0769" w:rsidRPr="006835C3">
        <w:rPr>
          <w:rFonts w:cs="Arial"/>
        </w:rPr>
        <w:t xml:space="preserve">efineries </w:t>
      </w:r>
      <w:r w:rsidR="00CD107B">
        <w:rPr>
          <w:rFonts w:cs="Arial"/>
        </w:rPr>
        <w:t>that operate</w:t>
      </w:r>
      <w:r w:rsidR="00FF0769" w:rsidRPr="006835C3">
        <w:rPr>
          <w:rFonts w:cs="Arial"/>
        </w:rPr>
        <w:t xml:space="preserve"> HF alkylation units </w:t>
      </w:r>
      <w:r w:rsidR="00FF0769" w:rsidRPr="006835C3">
        <w:rPr>
          <w:rFonts w:cs="Arial"/>
        </w:rPr>
        <w:lastRenderedPageBreak/>
        <w:t>are under increasing pressure to maximize the safety of the unit, product quality</w:t>
      </w:r>
      <w:r w:rsidR="00C804F2">
        <w:rPr>
          <w:rFonts w:cs="Arial"/>
        </w:rPr>
        <w:t>,</w:t>
      </w:r>
      <w:r w:rsidR="00FF0769">
        <w:rPr>
          <w:rFonts w:cs="Arial"/>
        </w:rPr>
        <w:t xml:space="preserve"> and</w:t>
      </w:r>
      <w:r w:rsidR="00FF0769" w:rsidRPr="006835C3">
        <w:rPr>
          <w:rFonts w:cs="Arial"/>
        </w:rPr>
        <w:t xml:space="preserve"> operational procedures</w:t>
      </w:r>
      <w:r w:rsidR="00FF0769">
        <w:rPr>
          <w:rFonts w:cs="Arial"/>
        </w:rPr>
        <w:t>,</w:t>
      </w:r>
      <w:r w:rsidR="00FF0769" w:rsidRPr="006835C3">
        <w:rPr>
          <w:rFonts w:cs="Arial"/>
        </w:rPr>
        <w:t xml:space="preserve"> </w:t>
      </w:r>
      <w:r w:rsidR="00FF0769">
        <w:rPr>
          <w:rFonts w:cs="Arial"/>
        </w:rPr>
        <w:t>as well as to decrease</w:t>
      </w:r>
      <w:r w:rsidR="00FF0769" w:rsidRPr="006835C3">
        <w:rPr>
          <w:rFonts w:cs="Arial"/>
        </w:rPr>
        <w:t xml:space="preserve"> </w:t>
      </w:r>
      <w:r w:rsidR="00FF0769">
        <w:rPr>
          <w:rFonts w:cs="Arial"/>
        </w:rPr>
        <w:t xml:space="preserve">their </w:t>
      </w:r>
      <w:r w:rsidR="00FF0769" w:rsidRPr="006835C3">
        <w:rPr>
          <w:rFonts w:cs="Arial"/>
        </w:rPr>
        <w:t>environmental impact.</w:t>
      </w:r>
    </w:p>
    <w:p w14:paraId="4E25BBFB" w14:textId="4F987B31" w:rsidR="00C372EC" w:rsidRDefault="00C91479" w:rsidP="006A6D0C">
      <w:pPr>
        <w:pStyle w:val="CETBodytext"/>
      </w:pPr>
      <w:r>
        <w:rPr>
          <w:rFonts w:cs="Arial"/>
        </w:rPr>
        <w:t xml:space="preserve">The detailed analysis of the nodes showed that </w:t>
      </w:r>
      <w:r w:rsidR="00C14870">
        <w:rPr>
          <w:rFonts w:cs="Arial"/>
        </w:rPr>
        <w:t>t</w:t>
      </w:r>
      <w:r w:rsidR="00872B62">
        <w:t xml:space="preserve">he unit has a </w:t>
      </w:r>
      <w:r w:rsidR="00DF39AE">
        <w:t xml:space="preserve">fair </w:t>
      </w:r>
      <w:r w:rsidR="00872B62">
        <w:t>safety system</w:t>
      </w:r>
      <w:r w:rsidR="00DF39AE">
        <w:t xml:space="preserve">, and it is equipped with the </w:t>
      </w:r>
      <w:r w:rsidR="00872B62">
        <w:t xml:space="preserve">controllers and protection layers </w:t>
      </w:r>
      <w:r w:rsidR="00DF39AE">
        <w:t xml:space="preserve">to help prevent incidents. However, in </w:t>
      </w:r>
      <w:r w:rsidR="00872B62">
        <w:t>some part</w:t>
      </w:r>
      <w:r w:rsidR="00DF39AE">
        <w:t>s</w:t>
      </w:r>
      <w:r w:rsidR="00872B62">
        <w:t xml:space="preserve"> of the plant</w:t>
      </w:r>
      <w:r w:rsidR="00DF39AE">
        <w:t>, it is</w:t>
      </w:r>
      <w:r w:rsidR="00872B62">
        <w:t xml:space="preserve"> </w:t>
      </w:r>
      <w:r w:rsidR="00DF39AE">
        <w:t xml:space="preserve">needed to </w:t>
      </w:r>
      <w:r w:rsidR="00872B62">
        <w:t>implement more safeguards to mitigate hazardous scenarios.</w:t>
      </w:r>
      <w:r w:rsidR="00A24448">
        <w:t xml:space="preserve"> The majority of hazardous scenarios were cate</w:t>
      </w:r>
      <w:r w:rsidR="00C772A4">
        <w:t xml:space="preserve">gorized as of significant risk, </w:t>
      </w:r>
      <w:r w:rsidR="00D3528F">
        <w:t xml:space="preserve">and also it was found that the unit has enough safeguards that </w:t>
      </w:r>
      <w:r w:rsidR="006F6FB2">
        <w:t>can mitigate the deviations. T</w:t>
      </w:r>
      <w:r w:rsidR="000007D6">
        <w:t xml:space="preserve">wo </w:t>
      </w:r>
      <w:r w:rsidR="00C772A4">
        <w:t>scenario</w:t>
      </w:r>
      <w:r w:rsidR="00C804F2">
        <w:t>s were found to be of high-</w:t>
      </w:r>
      <w:r w:rsidR="008C7BCA">
        <w:t>risk, specifically in</w:t>
      </w:r>
      <w:r w:rsidR="00873AA2">
        <w:t xml:space="preserve"> the section of HF regeneration; both scenarios were</w:t>
      </w:r>
      <w:r w:rsidR="00A9765B">
        <w:t xml:space="preserve"> associated </w:t>
      </w:r>
      <w:r w:rsidR="00A91D87">
        <w:t>with</w:t>
      </w:r>
      <w:r w:rsidR="00A9765B">
        <w:t xml:space="preserve"> high pressure in the closed drain drum</w:t>
      </w:r>
      <w:r w:rsidR="00873AA2">
        <w:t xml:space="preserve">, </w:t>
      </w:r>
      <w:r w:rsidR="00215366">
        <w:t xml:space="preserve">due to different causes. </w:t>
      </w:r>
      <w:r w:rsidR="006F07DF">
        <w:t>Both high</w:t>
      </w:r>
      <w:r w:rsidR="008E7A6A">
        <w:t>-</w:t>
      </w:r>
      <w:r w:rsidR="006F07DF">
        <w:t>pressure scenarios can be mitigated by th</w:t>
      </w:r>
      <w:r w:rsidR="0084397F">
        <w:t xml:space="preserve">e </w:t>
      </w:r>
      <w:r w:rsidR="00520FF2">
        <w:t>i</w:t>
      </w:r>
      <w:r w:rsidR="00CD0877">
        <w:t>nstallation of an alarm</w:t>
      </w:r>
      <w:r w:rsidR="006F07DF">
        <w:t xml:space="preserve"> </w:t>
      </w:r>
      <w:r w:rsidR="00B32B34">
        <w:t xml:space="preserve">to attain </w:t>
      </w:r>
      <w:r w:rsidR="00520FF2">
        <w:t xml:space="preserve">a lower overall frequency </w:t>
      </w:r>
      <w:r w:rsidR="00AF0A87">
        <w:t xml:space="preserve">for </w:t>
      </w:r>
      <w:r w:rsidR="00520FF2">
        <w:t>this scenario.</w:t>
      </w:r>
      <w:r w:rsidR="00DA56FA">
        <w:t xml:space="preserve"> </w:t>
      </w:r>
      <w:r w:rsidR="00340342">
        <w:t xml:space="preserve">Also, in the HF regeneration section, another scenario showed the need to </w:t>
      </w:r>
      <w:r w:rsidR="00F059A2">
        <w:t>change the type of valve at the top of the acid regenerator</w:t>
      </w:r>
      <w:r w:rsidR="007C5D80">
        <w:t>. Even though this scenario represented a significant risk, it was necessary to reduce the overall frequency of the event, since the only safeguard</w:t>
      </w:r>
      <w:r w:rsidR="00C44769">
        <w:t>,</w:t>
      </w:r>
      <w:r w:rsidR="007C5D80">
        <w:t xml:space="preserve"> in this case</w:t>
      </w:r>
      <w:r w:rsidR="00C44769">
        <w:t>,</w:t>
      </w:r>
      <w:r w:rsidR="007C5D80">
        <w:t xml:space="preserve"> </w:t>
      </w:r>
      <w:r w:rsidR="009222B4">
        <w:t>were</w:t>
      </w:r>
      <w:r w:rsidR="007C5D80">
        <w:t xml:space="preserve"> the procedures, training</w:t>
      </w:r>
      <w:r w:rsidR="00C44769">
        <w:t>,</w:t>
      </w:r>
      <w:r w:rsidR="007C5D80">
        <w:t xml:space="preserve"> and response of operators.</w:t>
      </w:r>
      <w:r w:rsidR="005C59A6">
        <w:t xml:space="preserve"> </w:t>
      </w:r>
      <w:r w:rsidR="007C5D80">
        <w:t xml:space="preserve">The rigorous analysis </w:t>
      </w:r>
      <w:r w:rsidR="001A15D0">
        <w:t xml:space="preserve">involved in each case shows the importance of </w:t>
      </w:r>
      <w:r w:rsidR="00D40D42">
        <w:t>the team experience at analyzing each scenario</w:t>
      </w:r>
      <w:r w:rsidR="001A15D0">
        <w:t xml:space="preserve"> and</w:t>
      </w:r>
      <w:r w:rsidR="00DA56FA">
        <w:t xml:space="preserve"> considering the frequency of events to determine the probability of failure of safeguards in the unit.</w:t>
      </w:r>
    </w:p>
    <w:p w14:paraId="4F1327F8" w14:textId="77777777" w:rsidR="00600535" w:rsidRPr="00B57B36" w:rsidRDefault="00600535" w:rsidP="006A6D0C">
      <w:pPr>
        <w:pStyle w:val="CETReference"/>
        <w:spacing w:line="264" w:lineRule="auto"/>
      </w:pPr>
      <w:r w:rsidRPr="00B57B36">
        <w:t>References</w:t>
      </w:r>
    </w:p>
    <w:p w14:paraId="51806272" w14:textId="4A8A7D29" w:rsidR="00F461B4" w:rsidRPr="006A6D0C" w:rsidRDefault="00F461B4" w:rsidP="006A6D0C">
      <w:pPr>
        <w:pStyle w:val="CETReferencetext"/>
      </w:pPr>
      <w:proofErr w:type="spellStart"/>
      <w:r w:rsidRPr="006A6D0C">
        <w:t>Bajraktarova-Valjakova</w:t>
      </w:r>
      <w:proofErr w:type="spellEnd"/>
      <w:r w:rsidRPr="006A6D0C">
        <w:t xml:space="preserve"> E., </w:t>
      </w:r>
      <w:proofErr w:type="spellStart"/>
      <w:r w:rsidRPr="006A6D0C">
        <w:t>Korunoska-S</w:t>
      </w:r>
      <w:r w:rsidR="00A9267F" w:rsidRPr="006A6D0C">
        <w:t>tevkovska</w:t>
      </w:r>
      <w:proofErr w:type="spellEnd"/>
      <w:r w:rsidRPr="006A6D0C">
        <w:t xml:space="preserve"> V., Georgieva S., </w:t>
      </w:r>
      <w:proofErr w:type="spellStart"/>
      <w:r w:rsidR="00A9267F" w:rsidRPr="006A6D0C">
        <w:t>Ivanovski</w:t>
      </w:r>
      <w:proofErr w:type="spellEnd"/>
      <w:r w:rsidR="00A9267F" w:rsidRPr="006A6D0C">
        <w:t xml:space="preserve"> </w:t>
      </w:r>
      <w:r w:rsidR="00A82471" w:rsidRPr="006A6D0C">
        <w:t xml:space="preserve">K., </w:t>
      </w:r>
      <w:proofErr w:type="spellStart"/>
      <w:r w:rsidR="005F6F41" w:rsidRPr="006A6D0C">
        <w:t>Bajraktarova-Misevska</w:t>
      </w:r>
      <w:proofErr w:type="spellEnd"/>
      <w:r w:rsidR="005F6F41" w:rsidRPr="006A6D0C">
        <w:t xml:space="preserve"> C., </w:t>
      </w:r>
      <w:proofErr w:type="spellStart"/>
      <w:r w:rsidR="007765E6" w:rsidRPr="006A6D0C">
        <w:t>Mijoska</w:t>
      </w:r>
      <w:proofErr w:type="spellEnd"/>
      <w:r w:rsidR="007765E6" w:rsidRPr="006A6D0C">
        <w:t xml:space="preserve"> A., </w:t>
      </w:r>
      <w:proofErr w:type="spellStart"/>
      <w:r w:rsidR="007765E6" w:rsidRPr="006A6D0C">
        <w:t>Grozdanov</w:t>
      </w:r>
      <w:proofErr w:type="spellEnd"/>
      <w:r w:rsidR="007765E6" w:rsidRPr="006A6D0C">
        <w:t xml:space="preserve"> A., </w:t>
      </w:r>
      <w:r w:rsidR="00105E55" w:rsidRPr="006A6D0C">
        <w:t xml:space="preserve">2018, Hydrofluoric Acid: Burns and System Toxicity, Protective Measures, Immediate and Hospital Medical Treatment, </w:t>
      </w:r>
      <w:r w:rsidR="009B2397" w:rsidRPr="006A6D0C">
        <w:t xml:space="preserve">Open Access Macedonian Journal of Medical Sciences, </w:t>
      </w:r>
      <w:r w:rsidR="00EA43DA" w:rsidRPr="006A6D0C">
        <w:t>Nov 20, 6(11), 2257-2269.</w:t>
      </w:r>
    </w:p>
    <w:p w14:paraId="691117EB" w14:textId="73947895" w:rsidR="000143F5" w:rsidRPr="006A6D0C" w:rsidRDefault="000143F5" w:rsidP="006A6D0C">
      <w:pPr>
        <w:pStyle w:val="CETReferencetext"/>
      </w:pPr>
      <w:r w:rsidRPr="006A6D0C">
        <w:t>Benedetti-</w:t>
      </w:r>
      <w:r w:rsidR="00A9267F" w:rsidRPr="006A6D0C">
        <w:t>Marquez E., Sanchez-</w:t>
      </w:r>
      <w:proofErr w:type="spellStart"/>
      <w:r w:rsidR="00A9267F" w:rsidRPr="006A6D0C">
        <w:t>Forero</w:t>
      </w:r>
      <w:proofErr w:type="spellEnd"/>
      <w:r w:rsidR="00A9267F" w:rsidRPr="006A6D0C">
        <w:t xml:space="preserve"> D.</w:t>
      </w:r>
      <w:r w:rsidRPr="006A6D0C">
        <w:t xml:space="preserve">I., Urbina A., Rodriguez D., </w:t>
      </w:r>
      <w:proofErr w:type="spellStart"/>
      <w:r w:rsidRPr="006A6D0C">
        <w:t>Gracia</w:t>
      </w:r>
      <w:proofErr w:type="spellEnd"/>
      <w:r w:rsidRPr="006A6D0C">
        <w:t xml:space="preserve"> J., </w:t>
      </w:r>
      <w:proofErr w:type="spellStart"/>
      <w:r w:rsidRPr="006A6D0C">
        <w:t>Puello</w:t>
      </w:r>
      <w:proofErr w:type="spellEnd"/>
      <w:r w:rsidRPr="006A6D0C">
        <w:t xml:space="preserve">-Mendez J., </w:t>
      </w:r>
      <w:r w:rsidR="00E03AA7" w:rsidRPr="006A6D0C">
        <w:t xml:space="preserve">2018, Analysis of Operational Risks in the Storage of Liquid Ammonium Nitrate in a Petrochemical Plant, </w:t>
      </w:r>
      <w:proofErr w:type="spellStart"/>
      <w:r w:rsidR="00E03AA7" w:rsidRPr="006A6D0C">
        <w:t>trough</w:t>
      </w:r>
      <w:proofErr w:type="spellEnd"/>
      <w:r w:rsidR="00E03AA7" w:rsidRPr="006A6D0C">
        <w:t xml:space="preserve"> the HAZOP methodology, Chemical Engineering Transactions, 67, 883-888.</w:t>
      </w:r>
    </w:p>
    <w:p w14:paraId="33DBF1FF" w14:textId="7C164736" w:rsidR="00CE00EC" w:rsidRPr="006A6D0C" w:rsidRDefault="00B5468A" w:rsidP="006A6D0C">
      <w:pPr>
        <w:pStyle w:val="CETReferencetext"/>
      </w:pPr>
      <w:proofErr w:type="spellStart"/>
      <w:r w:rsidRPr="006A6D0C">
        <w:t>Center</w:t>
      </w:r>
      <w:proofErr w:type="spellEnd"/>
      <w:r w:rsidRPr="006A6D0C">
        <w:t xml:space="preserve"> for Chemical Process Safety (CCPS), 2001, Layer of Protection Analysis, Simplified Process Risk Assessment</w:t>
      </w:r>
      <w:r w:rsidR="00131CF8" w:rsidRPr="006A6D0C">
        <w:t xml:space="preserve">, D.A. </w:t>
      </w:r>
      <w:proofErr w:type="spellStart"/>
      <w:r w:rsidR="00131CF8" w:rsidRPr="006A6D0C">
        <w:t>Crowl</w:t>
      </w:r>
      <w:proofErr w:type="spellEnd"/>
      <w:r w:rsidR="00131CF8" w:rsidRPr="006A6D0C">
        <w:t>, ed., American Institute of Chemical Engineers, New York.</w:t>
      </w:r>
    </w:p>
    <w:p w14:paraId="21E2F2ED" w14:textId="7E5C3EA3" w:rsidR="00FD4FFA" w:rsidRPr="006A6D0C" w:rsidRDefault="00FD4FFA" w:rsidP="006A6D0C">
      <w:pPr>
        <w:pStyle w:val="CETReferencetext"/>
      </w:pPr>
      <w:r w:rsidRPr="006A6D0C">
        <w:t xml:space="preserve">Crawley F., Tyler B., 2015, HAZOP: Guide to Best Practice, Elsevier, </w:t>
      </w:r>
      <w:r w:rsidR="00F40D2C" w:rsidRPr="006A6D0C">
        <w:t>Amsterdam, Netherlands.</w:t>
      </w:r>
    </w:p>
    <w:p w14:paraId="1DDABA1C" w14:textId="7E07A81E" w:rsidR="00655460" w:rsidRPr="006A6D0C" w:rsidRDefault="00655460" w:rsidP="006A6D0C">
      <w:pPr>
        <w:pStyle w:val="CETReferencetext"/>
      </w:pPr>
      <w:proofErr w:type="spellStart"/>
      <w:r w:rsidRPr="006A6D0C">
        <w:t>Delavar</w:t>
      </w:r>
      <w:proofErr w:type="spellEnd"/>
      <w:r w:rsidRPr="006A6D0C">
        <w:t xml:space="preserve"> A., Tehrani E., </w:t>
      </w:r>
      <w:proofErr w:type="spellStart"/>
      <w:r w:rsidRPr="006A6D0C">
        <w:t>Alizadeh</w:t>
      </w:r>
      <w:proofErr w:type="spellEnd"/>
      <w:r w:rsidRPr="006A6D0C">
        <w:t xml:space="preserve"> S.,</w:t>
      </w:r>
      <w:r w:rsidR="00DD0CC0" w:rsidRPr="006A6D0C">
        <w:t xml:space="preserve"> 2016</w:t>
      </w:r>
      <w:r w:rsidRPr="006A6D0C">
        <w:t xml:space="preserve">, </w:t>
      </w:r>
      <w:r w:rsidR="00DD0CC0" w:rsidRPr="006A6D0C">
        <w:t>Layers of Protection Analysis to Achieve Safety Integrity Level (SIL), Case Study: Hydrogen Unit of Refinery, Scientific Journal of Pure and Applied Sciences, 11.</w:t>
      </w:r>
    </w:p>
    <w:p w14:paraId="56B848EE" w14:textId="27B0D463" w:rsidR="00741017" w:rsidRPr="006A6D0C" w:rsidRDefault="00741017" w:rsidP="006A6D0C">
      <w:pPr>
        <w:pStyle w:val="CETReferencetext"/>
      </w:pPr>
      <w:proofErr w:type="spellStart"/>
      <w:r w:rsidRPr="006A6D0C">
        <w:t>Kojo</w:t>
      </w:r>
      <w:proofErr w:type="spellEnd"/>
      <w:r w:rsidRPr="006A6D0C">
        <w:t xml:space="preserve"> S., </w:t>
      </w:r>
      <w:proofErr w:type="spellStart"/>
      <w:r w:rsidRPr="006A6D0C">
        <w:t>Manninen</w:t>
      </w:r>
      <w:proofErr w:type="spellEnd"/>
      <w:r w:rsidRPr="006A6D0C">
        <w:t xml:space="preserve"> V., 2019, The Benefits of Different Risk Assessment Methods Used for Power Plants, Chemical Engineering Transactions, 77, 913-918.</w:t>
      </w:r>
    </w:p>
    <w:p w14:paraId="45D0930F" w14:textId="44D703F1" w:rsidR="00AD3388" w:rsidRPr="006A6D0C" w:rsidRDefault="00AD3388" w:rsidP="006A6D0C">
      <w:pPr>
        <w:pStyle w:val="CETReferencetext"/>
      </w:pPr>
      <w:proofErr w:type="spellStart"/>
      <w:r w:rsidRPr="006A6D0C">
        <w:t>Mannan</w:t>
      </w:r>
      <w:proofErr w:type="spellEnd"/>
      <w:r w:rsidRPr="006A6D0C">
        <w:t xml:space="preserve"> S., 2012, Lee’s Loss Prevention in the Process Industries: Hazard Identification, </w:t>
      </w:r>
      <w:r w:rsidR="00C021D9" w:rsidRPr="006A6D0C">
        <w:t xml:space="preserve">Assessment and Control, 4th Ed., </w:t>
      </w:r>
      <w:r w:rsidR="00421A58" w:rsidRPr="006A6D0C">
        <w:t xml:space="preserve">Butterworth-Heinemann, </w:t>
      </w:r>
      <w:r w:rsidR="00CF275B" w:rsidRPr="006A6D0C">
        <w:t>Waltham, United States.</w:t>
      </w:r>
    </w:p>
    <w:p w14:paraId="1F217F95" w14:textId="0C28C6AB" w:rsidR="00D429E3" w:rsidRPr="006A6D0C" w:rsidRDefault="00D429E3" w:rsidP="006A6D0C">
      <w:pPr>
        <w:pStyle w:val="CETReferencetext"/>
      </w:pPr>
      <w:r w:rsidRPr="006A6D0C">
        <w:t xml:space="preserve">Tamm D.C., Devenish G.N., </w:t>
      </w:r>
      <w:proofErr w:type="spellStart"/>
      <w:r w:rsidRPr="006A6D0C">
        <w:t>Finelt</w:t>
      </w:r>
      <w:proofErr w:type="spellEnd"/>
      <w:r w:rsidRPr="006A6D0C">
        <w:t xml:space="preserve"> D.R., </w:t>
      </w:r>
      <w:proofErr w:type="spellStart"/>
      <w:r w:rsidRPr="006A6D0C">
        <w:t>Kalt</w:t>
      </w:r>
      <w:proofErr w:type="spellEnd"/>
      <w:r w:rsidRPr="006A6D0C">
        <w:t xml:space="preserve"> A.L., </w:t>
      </w:r>
      <w:r w:rsidR="005C1A67" w:rsidRPr="006A6D0C">
        <w:t xml:space="preserve">2018, Analysis of Gasoline Octane Costs, </w:t>
      </w:r>
      <w:r w:rsidR="00720769" w:rsidRPr="006A6D0C">
        <w:t xml:space="preserve">Baker O’Brien Inc., </w:t>
      </w:r>
      <w:r w:rsidR="005C1A67" w:rsidRPr="006A6D0C">
        <w:t xml:space="preserve">U.S. Energy Information Administration, </w:t>
      </w:r>
      <w:r w:rsidR="005E1B56" w:rsidRPr="006A6D0C">
        <w:t>Houston, United States.</w:t>
      </w:r>
    </w:p>
    <w:p w14:paraId="19C4FC68" w14:textId="20498582" w:rsidR="004628D2" w:rsidRPr="006A6D0C" w:rsidRDefault="00FE35C4" w:rsidP="006A6D0C">
      <w:pPr>
        <w:pStyle w:val="CETReferencetext"/>
      </w:pPr>
      <w:r w:rsidRPr="006A6D0C">
        <w:t xml:space="preserve">United Steelworkers, 2013, A Risk Too Great: Hydrofluoric Acid in U.S. Refineries, Tony </w:t>
      </w:r>
      <w:proofErr w:type="spellStart"/>
      <w:r w:rsidRPr="006A6D0C">
        <w:t>Mazzochi</w:t>
      </w:r>
      <w:proofErr w:type="spellEnd"/>
      <w:r w:rsidRPr="006A6D0C">
        <w:t xml:space="preserve"> </w:t>
      </w:r>
      <w:proofErr w:type="spellStart"/>
      <w:r w:rsidRPr="006A6D0C">
        <w:t>Center</w:t>
      </w:r>
      <w:proofErr w:type="spellEnd"/>
      <w:r w:rsidRPr="006A6D0C">
        <w:t>, New Perspectives Consulting Group, Pittsburgh, United States.</w:t>
      </w:r>
    </w:p>
    <w:p w14:paraId="1C62782F" w14:textId="4B6D6ECD" w:rsidR="00E029BF" w:rsidRPr="006A6D0C" w:rsidRDefault="00C72941" w:rsidP="006A6D0C">
      <w:pPr>
        <w:pStyle w:val="CETReferencetext"/>
      </w:pPr>
      <w:r w:rsidRPr="006A6D0C">
        <w:t xml:space="preserve">Vogt E.T., </w:t>
      </w:r>
      <w:proofErr w:type="spellStart"/>
      <w:r w:rsidRPr="006A6D0C">
        <w:t>Weckhuysen</w:t>
      </w:r>
      <w:proofErr w:type="spellEnd"/>
      <w:r w:rsidRPr="006A6D0C">
        <w:t xml:space="preserve"> B</w:t>
      </w:r>
      <w:r w:rsidR="00D512AD" w:rsidRPr="006A6D0C">
        <w:t>.</w:t>
      </w:r>
      <w:r w:rsidRPr="006A6D0C">
        <w:t>M.</w:t>
      </w:r>
      <w:r w:rsidR="00D512AD" w:rsidRPr="006A6D0C">
        <w:t>, 2015,</w:t>
      </w:r>
      <w:r w:rsidRPr="006A6D0C">
        <w:t xml:space="preserve"> Fluid catalytic cracking: recent developments on the gran</w:t>
      </w:r>
      <w:r w:rsidR="00764892" w:rsidRPr="006A6D0C">
        <w:t>d old lady of zeolite catalysis, Chemical Society Reviews, 44(20), 7342-7370</w:t>
      </w:r>
      <w:r w:rsidR="00C63C9C" w:rsidRPr="006A6D0C">
        <w:t>.</w:t>
      </w:r>
    </w:p>
    <w:p w14:paraId="40409726" w14:textId="62A1E89F" w:rsidR="00E00688" w:rsidRPr="006A6D0C" w:rsidRDefault="00E00688" w:rsidP="006A6D0C">
      <w:pPr>
        <w:pStyle w:val="CETReferencetext"/>
      </w:pPr>
      <w:r w:rsidRPr="006A6D0C">
        <w:t>Willey R.J., 2014</w:t>
      </w:r>
      <w:r w:rsidR="00A7288A" w:rsidRPr="006A6D0C">
        <w:t>, Layer of Protection Analysis, Proc</w:t>
      </w:r>
      <w:bookmarkStart w:id="1" w:name="_GoBack"/>
      <w:bookmarkEnd w:id="1"/>
      <w:r w:rsidR="00A7288A" w:rsidRPr="006A6D0C">
        <w:t>edia Engineering, 84, 12-22.</w:t>
      </w:r>
    </w:p>
    <w:sectPr w:rsidR="00E00688" w:rsidRPr="006A6D0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9FB0" w14:textId="77777777" w:rsidR="000C1F02" w:rsidRDefault="000C1F02" w:rsidP="004F5E36">
      <w:r>
        <w:separator/>
      </w:r>
    </w:p>
  </w:endnote>
  <w:endnote w:type="continuationSeparator" w:id="0">
    <w:p w14:paraId="6BD87785" w14:textId="77777777" w:rsidR="000C1F02" w:rsidRDefault="000C1F0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0F9BC" w14:textId="77777777" w:rsidR="000C1F02" w:rsidRDefault="000C1F02" w:rsidP="004F5E36">
      <w:r>
        <w:separator/>
      </w:r>
    </w:p>
  </w:footnote>
  <w:footnote w:type="continuationSeparator" w:id="0">
    <w:p w14:paraId="3EBBBB31" w14:textId="77777777" w:rsidR="000C1F02" w:rsidRDefault="000C1F0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002020E"/>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9E4EB9"/>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2757B9E"/>
    <w:multiLevelType w:val="multilevel"/>
    <w:tmpl w:val="6876D0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DEA6A89"/>
    <w:multiLevelType w:val="multilevel"/>
    <w:tmpl w:val="FD94DE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278436A"/>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7DE47E3"/>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D54E76"/>
    <w:multiLevelType w:val="multilevel"/>
    <w:tmpl w:val="E6E6B000"/>
    <w:lvl w:ilvl="0">
      <w:start w:val="1"/>
      <w:numFmt w:val="bullet"/>
      <w:lvlText w:val=""/>
      <w:lvlJc w:val="left"/>
      <w:pPr>
        <w:ind w:left="113" w:hanging="360"/>
      </w:pPr>
      <w:rPr>
        <w:rFonts w:ascii="Symbol" w:hAnsi="Symbol" w:hint="default"/>
      </w:rPr>
    </w:lvl>
    <w:lvl w:ilvl="1">
      <w:start w:val="1"/>
      <w:numFmt w:val="lowerLetter"/>
      <w:lvlText w:val="%2)"/>
      <w:lvlJc w:val="left"/>
      <w:pPr>
        <w:ind w:left="473" w:hanging="360"/>
      </w:pPr>
      <w:rPr>
        <w:rFonts w:hint="default"/>
      </w:rPr>
    </w:lvl>
    <w:lvl w:ilvl="2">
      <w:start w:val="1"/>
      <w:numFmt w:val="lowerRoman"/>
      <w:lvlText w:val="%3)"/>
      <w:lvlJc w:val="left"/>
      <w:pPr>
        <w:ind w:left="833" w:hanging="360"/>
      </w:pPr>
      <w:rPr>
        <w:rFonts w:hint="default"/>
      </w:rPr>
    </w:lvl>
    <w:lvl w:ilvl="3">
      <w:start w:val="1"/>
      <w:numFmt w:val="decimal"/>
      <w:lvlText w:val="(%4)"/>
      <w:lvlJc w:val="left"/>
      <w:pPr>
        <w:ind w:left="1193" w:hanging="360"/>
      </w:pPr>
      <w:rPr>
        <w:rFonts w:hint="default"/>
      </w:rPr>
    </w:lvl>
    <w:lvl w:ilvl="4">
      <w:start w:val="1"/>
      <w:numFmt w:val="lowerLetter"/>
      <w:lvlText w:val="(%5)"/>
      <w:lvlJc w:val="left"/>
      <w:pPr>
        <w:ind w:left="1553" w:hanging="360"/>
      </w:pPr>
      <w:rPr>
        <w:rFonts w:hint="default"/>
      </w:rPr>
    </w:lvl>
    <w:lvl w:ilvl="5">
      <w:start w:val="1"/>
      <w:numFmt w:val="lowerRoman"/>
      <w:lvlText w:val="(%6)"/>
      <w:lvlJc w:val="left"/>
      <w:pPr>
        <w:ind w:left="1913" w:hanging="360"/>
      </w:pPr>
      <w:rPr>
        <w:rFonts w:hint="default"/>
      </w:rPr>
    </w:lvl>
    <w:lvl w:ilvl="6">
      <w:start w:val="1"/>
      <w:numFmt w:val="decimal"/>
      <w:lvlText w:val="%7."/>
      <w:lvlJc w:val="left"/>
      <w:pPr>
        <w:ind w:left="2273" w:hanging="360"/>
      </w:pPr>
      <w:rPr>
        <w:rFonts w:hint="default"/>
      </w:rPr>
    </w:lvl>
    <w:lvl w:ilvl="7">
      <w:start w:val="1"/>
      <w:numFmt w:val="lowerLetter"/>
      <w:lvlText w:val="%8."/>
      <w:lvlJc w:val="left"/>
      <w:pPr>
        <w:ind w:left="2633" w:hanging="360"/>
      </w:pPr>
      <w:rPr>
        <w:rFonts w:hint="default"/>
      </w:rPr>
    </w:lvl>
    <w:lvl w:ilvl="8">
      <w:start w:val="1"/>
      <w:numFmt w:val="lowerRoman"/>
      <w:lvlText w:val="%9."/>
      <w:lvlJc w:val="left"/>
      <w:pPr>
        <w:ind w:left="2993" w:hanging="360"/>
      </w:pPr>
      <w:rPr>
        <w:rFonts w:hint="default"/>
      </w:rPr>
    </w:lvl>
  </w:abstractNum>
  <w:abstractNum w:abstractNumId="17">
    <w:nsid w:val="228C1420"/>
    <w:multiLevelType w:val="multilevel"/>
    <w:tmpl w:val="748E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38217E"/>
    <w:multiLevelType w:val="multilevel"/>
    <w:tmpl w:val="9294DC7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2F0B776C"/>
    <w:multiLevelType w:val="hybridMultilevel"/>
    <w:tmpl w:val="2B06CBE6"/>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480B02"/>
    <w:multiLevelType w:val="hybridMultilevel"/>
    <w:tmpl w:val="E1A873C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ABA00CA"/>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547C39"/>
    <w:multiLevelType w:val="multilevel"/>
    <w:tmpl w:val="E3EA3F7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F2174E7"/>
    <w:multiLevelType w:val="hybridMultilevel"/>
    <w:tmpl w:val="2BDC08E6"/>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F34FCC"/>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1">
    <w:nsid w:val="577A22B5"/>
    <w:multiLevelType w:val="multilevel"/>
    <w:tmpl w:val="994A44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87262F1"/>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CEB665C"/>
    <w:multiLevelType w:val="hybridMultilevel"/>
    <w:tmpl w:val="49D4E1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5">
    <w:nsid w:val="5E1B0191"/>
    <w:multiLevelType w:val="multilevel"/>
    <w:tmpl w:val="A45C0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19D00BA"/>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4AD0D48"/>
    <w:multiLevelType w:val="hybridMultilevel"/>
    <w:tmpl w:val="691E3F9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8">
    <w:nsid w:val="65F951AD"/>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6F344A9"/>
    <w:multiLevelType w:val="hybridMultilevel"/>
    <w:tmpl w:val="8D42AA8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B36F84"/>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F930A72"/>
    <w:multiLevelType w:val="multilevel"/>
    <w:tmpl w:val="E6E6B00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0"/>
  </w:num>
  <w:num w:numId="13">
    <w:abstractNumId w:val="21"/>
  </w:num>
  <w:num w:numId="14">
    <w:abstractNumId w:val="33"/>
  </w:num>
  <w:num w:numId="15">
    <w:abstractNumId w:val="41"/>
  </w:num>
  <w:num w:numId="16">
    <w:abstractNumId w:val="39"/>
  </w:num>
  <w:num w:numId="17">
    <w:abstractNumId w:val="20"/>
  </w:num>
  <w:num w:numId="18">
    <w:abstractNumId w:val="21"/>
    <w:lvlOverride w:ilvl="0">
      <w:startOverride w:val="1"/>
    </w:lvlOverride>
  </w:num>
  <w:num w:numId="19">
    <w:abstractNumId w:val="29"/>
  </w:num>
  <w:num w:numId="20">
    <w:abstractNumId w:val="27"/>
  </w:num>
  <w:num w:numId="21">
    <w:abstractNumId w:val="23"/>
  </w:num>
  <w:num w:numId="22">
    <w:abstractNumId w:val="13"/>
  </w:num>
  <w:num w:numId="23">
    <w:abstractNumId w:val="31"/>
  </w:num>
  <w:num w:numId="24">
    <w:abstractNumId w:val="16"/>
  </w:num>
  <w:num w:numId="25">
    <w:abstractNumId w:val="28"/>
  </w:num>
  <w:num w:numId="26">
    <w:abstractNumId w:val="12"/>
  </w:num>
  <w:num w:numId="27">
    <w:abstractNumId w:val="11"/>
  </w:num>
  <w:num w:numId="28">
    <w:abstractNumId w:val="43"/>
  </w:num>
  <w:num w:numId="29">
    <w:abstractNumId w:val="14"/>
  </w:num>
  <w:num w:numId="30">
    <w:abstractNumId w:val="32"/>
  </w:num>
  <w:num w:numId="31">
    <w:abstractNumId w:val="35"/>
  </w:num>
  <w:num w:numId="32">
    <w:abstractNumId w:val="38"/>
  </w:num>
  <w:num w:numId="33">
    <w:abstractNumId w:val="10"/>
  </w:num>
  <w:num w:numId="34">
    <w:abstractNumId w:val="15"/>
  </w:num>
  <w:num w:numId="35">
    <w:abstractNumId w:val="25"/>
  </w:num>
  <w:num w:numId="36">
    <w:abstractNumId w:val="24"/>
  </w:num>
  <w:num w:numId="37">
    <w:abstractNumId w:val="42"/>
  </w:num>
  <w:num w:numId="38">
    <w:abstractNumId w:val="36"/>
  </w:num>
  <w:num w:numId="39">
    <w:abstractNumId w:val="19"/>
  </w:num>
  <w:num w:numId="40">
    <w:abstractNumId w:val="17"/>
  </w:num>
  <w:num w:numId="41">
    <w:abstractNumId w:val="37"/>
  </w:num>
  <w:num w:numId="42">
    <w:abstractNumId w:val="40"/>
  </w:num>
  <w:num w:numId="43">
    <w:abstractNumId w:val="26"/>
  </w:num>
  <w:num w:numId="44">
    <w:abstractNumId w:val="3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D2"/>
    <w:rsid w:val="000007D6"/>
    <w:rsid w:val="000022F8"/>
    <w:rsid w:val="00002774"/>
    <w:rsid w:val="000027C0"/>
    <w:rsid w:val="00004A4A"/>
    <w:rsid w:val="000052FB"/>
    <w:rsid w:val="000058B9"/>
    <w:rsid w:val="00010D30"/>
    <w:rsid w:val="000117CB"/>
    <w:rsid w:val="00011BB5"/>
    <w:rsid w:val="00011ECC"/>
    <w:rsid w:val="00012450"/>
    <w:rsid w:val="00014347"/>
    <w:rsid w:val="000143F5"/>
    <w:rsid w:val="0001504E"/>
    <w:rsid w:val="0001579D"/>
    <w:rsid w:val="00015C75"/>
    <w:rsid w:val="00016958"/>
    <w:rsid w:val="00016C52"/>
    <w:rsid w:val="0001702B"/>
    <w:rsid w:val="00017C83"/>
    <w:rsid w:val="00020A6E"/>
    <w:rsid w:val="00023141"/>
    <w:rsid w:val="0002544E"/>
    <w:rsid w:val="00025BC4"/>
    <w:rsid w:val="00026566"/>
    <w:rsid w:val="00030C16"/>
    <w:rsid w:val="00030CA0"/>
    <w:rsid w:val="0003148D"/>
    <w:rsid w:val="00031ED4"/>
    <w:rsid w:val="00032DE2"/>
    <w:rsid w:val="000330D0"/>
    <w:rsid w:val="00033DB6"/>
    <w:rsid w:val="00034A9A"/>
    <w:rsid w:val="000353C8"/>
    <w:rsid w:val="00035F92"/>
    <w:rsid w:val="00036278"/>
    <w:rsid w:val="00041E62"/>
    <w:rsid w:val="00044115"/>
    <w:rsid w:val="00050220"/>
    <w:rsid w:val="00050551"/>
    <w:rsid w:val="000505C9"/>
    <w:rsid w:val="00050CA2"/>
    <w:rsid w:val="00051142"/>
    <w:rsid w:val="00051566"/>
    <w:rsid w:val="00051B0F"/>
    <w:rsid w:val="00051B97"/>
    <w:rsid w:val="000523B1"/>
    <w:rsid w:val="000527A5"/>
    <w:rsid w:val="00053A0A"/>
    <w:rsid w:val="000546A2"/>
    <w:rsid w:val="000560DC"/>
    <w:rsid w:val="00056156"/>
    <w:rsid w:val="00057694"/>
    <w:rsid w:val="00060AF3"/>
    <w:rsid w:val="000616FA"/>
    <w:rsid w:val="00062411"/>
    <w:rsid w:val="0006262A"/>
    <w:rsid w:val="00062A9A"/>
    <w:rsid w:val="000630E1"/>
    <w:rsid w:val="000630F4"/>
    <w:rsid w:val="00063EA4"/>
    <w:rsid w:val="00064173"/>
    <w:rsid w:val="00064428"/>
    <w:rsid w:val="00065058"/>
    <w:rsid w:val="000651D6"/>
    <w:rsid w:val="00065C5E"/>
    <w:rsid w:val="00066483"/>
    <w:rsid w:val="00066649"/>
    <w:rsid w:val="0006795E"/>
    <w:rsid w:val="000732E2"/>
    <w:rsid w:val="000774D7"/>
    <w:rsid w:val="00077C6E"/>
    <w:rsid w:val="00080D09"/>
    <w:rsid w:val="00082576"/>
    <w:rsid w:val="00082648"/>
    <w:rsid w:val="000834FF"/>
    <w:rsid w:val="000836B0"/>
    <w:rsid w:val="00083FEC"/>
    <w:rsid w:val="00086388"/>
    <w:rsid w:val="00086C39"/>
    <w:rsid w:val="000870E0"/>
    <w:rsid w:val="00087CE7"/>
    <w:rsid w:val="0009050B"/>
    <w:rsid w:val="00091003"/>
    <w:rsid w:val="000937C2"/>
    <w:rsid w:val="00097B58"/>
    <w:rsid w:val="000A03B2"/>
    <w:rsid w:val="000A05E7"/>
    <w:rsid w:val="000A22EA"/>
    <w:rsid w:val="000A2777"/>
    <w:rsid w:val="000A37B9"/>
    <w:rsid w:val="000A412D"/>
    <w:rsid w:val="000A6A1C"/>
    <w:rsid w:val="000B0D3E"/>
    <w:rsid w:val="000B157D"/>
    <w:rsid w:val="000B43C8"/>
    <w:rsid w:val="000B450E"/>
    <w:rsid w:val="000B4769"/>
    <w:rsid w:val="000B6D98"/>
    <w:rsid w:val="000B7384"/>
    <w:rsid w:val="000B7976"/>
    <w:rsid w:val="000C1163"/>
    <w:rsid w:val="000C1F02"/>
    <w:rsid w:val="000C2037"/>
    <w:rsid w:val="000C2107"/>
    <w:rsid w:val="000C2829"/>
    <w:rsid w:val="000C3216"/>
    <w:rsid w:val="000C43C4"/>
    <w:rsid w:val="000C45A2"/>
    <w:rsid w:val="000C4F36"/>
    <w:rsid w:val="000C75BF"/>
    <w:rsid w:val="000D0268"/>
    <w:rsid w:val="000D05F5"/>
    <w:rsid w:val="000D0A03"/>
    <w:rsid w:val="000D1806"/>
    <w:rsid w:val="000D24E2"/>
    <w:rsid w:val="000D34BE"/>
    <w:rsid w:val="000D3CFB"/>
    <w:rsid w:val="000D3FC5"/>
    <w:rsid w:val="000D581B"/>
    <w:rsid w:val="000D643F"/>
    <w:rsid w:val="000D6664"/>
    <w:rsid w:val="000D71D3"/>
    <w:rsid w:val="000D782A"/>
    <w:rsid w:val="000E021B"/>
    <w:rsid w:val="000E03E2"/>
    <w:rsid w:val="000E0CF9"/>
    <w:rsid w:val="000E102F"/>
    <w:rsid w:val="000E11DB"/>
    <w:rsid w:val="000E3282"/>
    <w:rsid w:val="000E36F1"/>
    <w:rsid w:val="000E3A73"/>
    <w:rsid w:val="000E40E1"/>
    <w:rsid w:val="000E414A"/>
    <w:rsid w:val="000E4246"/>
    <w:rsid w:val="000E5657"/>
    <w:rsid w:val="000E62C4"/>
    <w:rsid w:val="000E635F"/>
    <w:rsid w:val="000E6C50"/>
    <w:rsid w:val="000F08BC"/>
    <w:rsid w:val="000F093C"/>
    <w:rsid w:val="000F1223"/>
    <w:rsid w:val="000F20C9"/>
    <w:rsid w:val="000F4678"/>
    <w:rsid w:val="000F46D7"/>
    <w:rsid w:val="000F5104"/>
    <w:rsid w:val="000F787B"/>
    <w:rsid w:val="00100761"/>
    <w:rsid w:val="00105098"/>
    <w:rsid w:val="001056B1"/>
    <w:rsid w:val="00105E55"/>
    <w:rsid w:val="00107550"/>
    <w:rsid w:val="00107A18"/>
    <w:rsid w:val="00107F8E"/>
    <w:rsid w:val="00110036"/>
    <w:rsid w:val="001100D2"/>
    <w:rsid w:val="001101E6"/>
    <w:rsid w:val="00110ED8"/>
    <w:rsid w:val="00114EEC"/>
    <w:rsid w:val="00115D80"/>
    <w:rsid w:val="00115E54"/>
    <w:rsid w:val="00116B1A"/>
    <w:rsid w:val="00117017"/>
    <w:rsid w:val="00120380"/>
    <w:rsid w:val="0012091F"/>
    <w:rsid w:val="00121805"/>
    <w:rsid w:val="00121F50"/>
    <w:rsid w:val="00123D03"/>
    <w:rsid w:val="001247C4"/>
    <w:rsid w:val="00124FE5"/>
    <w:rsid w:val="00126115"/>
    <w:rsid w:val="00126494"/>
    <w:rsid w:val="00126989"/>
    <w:rsid w:val="00126BC2"/>
    <w:rsid w:val="001304C6"/>
    <w:rsid w:val="001308B6"/>
    <w:rsid w:val="00130BDB"/>
    <w:rsid w:val="0013121F"/>
    <w:rsid w:val="00131A4C"/>
    <w:rsid w:val="00131CF8"/>
    <w:rsid w:val="00131FE6"/>
    <w:rsid w:val="0013263F"/>
    <w:rsid w:val="001331B6"/>
    <w:rsid w:val="00134DE4"/>
    <w:rsid w:val="001351C2"/>
    <w:rsid w:val="00135764"/>
    <w:rsid w:val="00135BA0"/>
    <w:rsid w:val="00136827"/>
    <w:rsid w:val="00136D34"/>
    <w:rsid w:val="00136FD9"/>
    <w:rsid w:val="0014034D"/>
    <w:rsid w:val="00141038"/>
    <w:rsid w:val="00141987"/>
    <w:rsid w:val="00142538"/>
    <w:rsid w:val="00145543"/>
    <w:rsid w:val="001501DC"/>
    <w:rsid w:val="00150E59"/>
    <w:rsid w:val="00152C88"/>
    <w:rsid w:val="00152DE3"/>
    <w:rsid w:val="00152E68"/>
    <w:rsid w:val="00154BA7"/>
    <w:rsid w:val="001553E8"/>
    <w:rsid w:val="00155ECA"/>
    <w:rsid w:val="00156497"/>
    <w:rsid w:val="00162FAB"/>
    <w:rsid w:val="001632E8"/>
    <w:rsid w:val="00164720"/>
    <w:rsid w:val="00164CF9"/>
    <w:rsid w:val="001657D7"/>
    <w:rsid w:val="00165CDA"/>
    <w:rsid w:val="001667A6"/>
    <w:rsid w:val="00170098"/>
    <w:rsid w:val="00175015"/>
    <w:rsid w:val="00175D32"/>
    <w:rsid w:val="00176498"/>
    <w:rsid w:val="00177235"/>
    <w:rsid w:val="00177377"/>
    <w:rsid w:val="00177806"/>
    <w:rsid w:val="0017797A"/>
    <w:rsid w:val="00180CCF"/>
    <w:rsid w:val="00180E17"/>
    <w:rsid w:val="00182BD5"/>
    <w:rsid w:val="00183E77"/>
    <w:rsid w:val="001849FD"/>
    <w:rsid w:val="00184AD6"/>
    <w:rsid w:val="001863C1"/>
    <w:rsid w:val="001868EA"/>
    <w:rsid w:val="001870D6"/>
    <w:rsid w:val="00190097"/>
    <w:rsid w:val="00191150"/>
    <w:rsid w:val="001930B6"/>
    <w:rsid w:val="001937FE"/>
    <w:rsid w:val="00195C06"/>
    <w:rsid w:val="001961EA"/>
    <w:rsid w:val="001A0EA3"/>
    <w:rsid w:val="001A1275"/>
    <w:rsid w:val="001A15D0"/>
    <w:rsid w:val="001A227F"/>
    <w:rsid w:val="001A2D30"/>
    <w:rsid w:val="001A45D6"/>
    <w:rsid w:val="001A4642"/>
    <w:rsid w:val="001A4AF7"/>
    <w:rsid w:val="001A4B2D"/>
    <w:rsid w:val="001A503C"/>
    <w:rsid w:val="001A6694"/>
    <w:rsid w:val="001B00C0"/>
    <w:rsid w:val="001B0349"/>
    <w:rsid w:val="001B073C"/>
    <w:rsid w:val="001B29CC"/>
    <w:rsid w:val="001B3118"/>
    <w:rsid w:val="001B4EB8"/>
    <w:rsid w:val="001B5145"/>
    <w:rsid w:val="001B53F6"/>
    <w:rsid w:val="001B570E"/>
    <w:rsid w:val="001B65C1"/>
    <w:rsid w:val="001C25C9"/>
    <w:rsid w:val="001C2B86"/>
    <w:rsid w:val="001C31D8"/>
    <w:rsid w:val="001C4E45"/>
    <w:rsid w:val="001C5513"/>
    <w:rsid w:val="001C684B"/>
    <w:rsid w:val="001C7DD0"/>
    <w:rsid w:val="001D082D"/>
    <w:rsid w:val="001D0F3C"/>
    <w:rsid w:val="001D2006"/>
    <w:rsid w:val="001D31B5"/>
    <w:rsid w:val="001D3889"/>
    <w:rsid w:val="001D3BD7"/>
    <w:rsid w:val="001D40F1"/>
    <w:rsid w:val="001D53FC"/>
    <w:rsid w:val="001D59F0"/>
    <w:rsid w:val="001D5FDC"/>
    <w:rsid w:val="001D67F3"/>
    <w:rsid w:val="001D7DA0"/>
    <w:rsid w:val="001E1EBC"/>
    <w:rsid w:val="001E2A1F"/>
    <w:rsid w:val="001E4189"/>
    <w:rsid w:val="001E44FD"/>
    <w:rsid w:val="001E71DF"/>
    <w:rsid w:val="001E78EA"/>
    <w:rsid w:val="001F067C"/>
    <w:rsid w:val="001F1FE9"/>
    <w:rsid w:val="001F2016"/>
    <w:rsid w:val="001F42A5"/>
    <w:rsid w:val="001F449D"/>
    <w:rsid w:val="001F4A6E"/>
    <w:rsid w:val="001F5ACA"/>
    <w:rsid w:val="001F7B9D"/>
    <w:rsid w:val="002006C7"/>
    <w:rsid w:val="00200933"/>
    <w:rsid w:val="00201C69"/>
    <w:rsid w:val="0020201F"/>
    <w:rsid w:val="00202032"/>
    <w:rsid w:val="002025BE"/>
    <w:rsid w:val="00203DF7"/>
    <w:rsid w:val="002041CF"/>
    <w:rsid w:val="00205818"/>
    <w:rsid w:val="00205A41"/>
    <w:rsid w:val="002063C0"/>
    <w:rsid w:val="00211233"/>
    <w:rsid w:val="002129EF"/>
    <w:rsid w:val="00214738"/>
    <w:rsid w:val="00215366"/>
    <w:rsid w:val="0021607A"/>
    <w:rsid w:val="00221746"/>
    <w:rsid w:val="0022184D"/>
    <w:rsid w:val="00221F47"/>
    <w:rsid w:val="002224B4"/>
    <w:rsid w:val="002238B7"/>
    <w:rsid w:val="002249B1"/>
    <w:rsid w:val="002249F3"/>
    <w:rsid w:val="00224A03"/>
    <w:rsid w:val="00224BCD"/>
    <w:rsid w:val="00224F94"/>
    <w:rsid w:val="002254EB"/>
    <w:rsid w:val="002266C5"/>
    <w:rsid w:val="0022675D"/>
    <w:rsid w:val="002275FC"/>
    <w:rsid w:val="00231441"/>
    <w:rsid w:val="0023373F"/>
    <w:rsid w:val="00233A3E"/>
    <w:rsid w:val="00233D85"/>
    <w:rsid w:val="002354F1"/>
    <w:rsid w:val="00235D60"/>
    <w:rsid w:val="00236507"/>
    <w:rsid w:val="00236A5D"/>
    <w:rsid w:val="00236D47"/>
    <w:rsid w:val="00237303"/>
    <w:rsid w:val="0024058F"/>
    <w:rsid w:val="002406AA"/>
    <w:rsid w:val="00240A6F"/>
    <w:rsid w:val="0024367C"/>
    <w:rsid w:val="00243F9D"/>
    <w:rsid w:val="0024411E"/>
    <w:rsid w:val="00244622"/>
    <w:rsid w:val="002447EF"/>
    <w:rsid w:val="00244CBF"/>
    <w:rsid w:val="002505AA"/>
    <w:rsid w:val="00250F63"/>
    <w:rsid w:val="00251550"/>
    <w:rsid w:val="00253D92"/>
    <w:rsid w:val="00253F2D"/>
    <w:rsid w:val="0025426A"/>
    <w:rsid w:val="002545BE"/>
    <w:rsid w:val="00256689"/>
    <w:rsid w:val="00257505"/>
    <w:rsid w:val="00261887"/>
    <w:rsid w:val="00262893"/>
    <w:rsid w:val="00262EFB"/>
    <w:rsid w:val="00263B05"/>
    <w:rsid w:val="00263BD2"/>
    <w:rsid w:val="0026549C"/>
    <w:rsid w:val="0026675B"/>
    <w:rsid w:val="002669EE"/>
    <w:rsid w:val="00266BA8"/>
    <w:rsid w:val="00266F11"/>
    <w:rsid w:val="00267428"/>
    <w:rsid w:val="0026795F"/>
    <w:rsid w:val="00267961"/>
    <w:rsid w:val="00267B6B"/>
    <w:rsid w:val="00267E1C"/>
    <w:rsid w:val="00272112"/>
    <w:rsid w:val="0027221A"/>
    <w:rsid w:val="002751E2"/>
    <w:rsid w:val="00275311"/>
    <w:rsid w:val="00275ABC"/>
    <w:rsid w:val="00275B61"/>
    <w:rsid w:val="0027659A"/>
    <w:rsid w:val="00277FFB"/>
    <w:rsid w:val="00280808"/>
    <w:rsid w:val="002810A9"/>
    <w:rsid w:val="00282656"/>
    <w:rsid w:val="00282687"/>
    <w:rsid w:val="00284A0F"/>
    <w:rsid w:val="00286B33"/>
    <w:rsid w:val="00286DBE"/>
    <w:rsid w:val="00290842"/>
    <w:rsid w:val="00292753"/>
    <w:rsid w:val="002940DD"/>
    <w:rsid w:val="00296B83"/>
    <w:rsid w:val="002970B1"/>
    <w:rsid w:val="00297813"/>
    <w:rsid w:val="002A282C"/>
    <w:rsid w:val="002A29BA"/>
    <w:rsid w:val="002A2E45"/>
    <w:rsid w:val="002A4AC4"/>
    <w:rsid w:val="002A6CF1"/>
    <w:rsid w:val="002B115B"/>
    <w:rsid w:val="002B24E8"/>
    <w:rsid w:val="002B6D89"/>
    <w:rsid w:val="002B7511"/>
    <w:rsid w:val="002B767F"/>
    <w:rsid w:val="002B78CE"/>
    <w:rsid w:val="002B7EF1"/>
    <w:rsid w:val="002C2534"/>
    <w:rsid w:val="002C2FB6"/>
    <w:rsid w:val="002C7D28"/>
    <w:rsid w:val="002C7E58"/>
    <w:rsid w:val="002D049F"/>
    <w:rsid w:val="002D111B"/>
    <w:rsid w:val="002D1676"/>
    <w:rsid w:val="002D1A26"/>
    <w:rsid w:val="002D2A26"/>
    <w:rsid w:val="002D36AB"/>
    <w:rsid w:val="002D3C66"/>
    <w:rsid w:val="002D472B"/>
    <w:rsid w:val="002D4C70"/>
    <w:rsid w:val="002D653B"/>
    <w:rsid w:val="002D6D2D"/>
    <w:rsid w:val="002E09D9"/>
    <w:rsid w:val="002E483C"/>
    <w:rsid w:val="002E64D7"/>
    <w:rsid w:val="002E69D0"/>
    <w:rsid w:val="002E6A9F"/>
    <w:rsid w:val="002F0093"/>
    <w:rsid w:val="002F0C41"/>
    <w:rsid w:val="002F135F"/>
    <w:rsid w:val="002F14F8"/>
    <w:rsid w:val="002F2AD4"/>
    <w:rsid w:val="002F2AFC"/>
    <w:rsid w:val="002F2DF4"/>
    <w:rsid w:val="002F3309"/>
    <w:rsid w:val="002F52FF"/>
    <w:rsid w:val="002F5B2F"/>
    <w:rsid w:val="002F748B"/>
    <w:rsid w:val="003009B7"/>
    <w:rsid w:val="00300E56"/>
    <w:rsid w:val="00303621"/>
    <w:rsid w:val="00304403"/>
    <w:rsid w:val="0030469C"/>
    <w:rsid w:val="00305DD8"/>
    <w:rsid w:val="003062A6"/>
    <w:rsid w:val="00306A60"/>
    <w:rsid w:val="00306C64"/>
    <w:rsid w:val="0031040A"/>
    <w:rsid w:val="00310B0D"/>
    <w:rsid w:val="00311BCA"/>
    <w:rsid w:val="00311E36"/>
    <w:rsid w:val="00312621"/>
    <w:rsid w:val="00314756"/>
    <w:rsid w:val="003150D8"/>
    <w:rsid w:val="003157D1"/>
    <w:rsid w:val="00315876"/>
    <w:rsid w:val="00316D3B"/>
    <w:rsid w:val="00316D56"/>
    <w:rsid w:val="003179FD"/>
    <w:rsid w:val="003205D4"/>
    <w:rsid w:val="003209E5"/>
    <w:rsid w:val="00320B16"/>
    <w:rsid w:val="00321CA6"/>
    <w:rsid w:val="00322B8F"/>
    <w:rsid w:val="00323BF2"/>
    <w:rsid w:val="00325A95"/>
    <w:rsid w:val="00325EC1"/>
    <w:rsid w:val="00326021"/>
    <w:rsid w:val="00326284"/>
    <w:rsid w:val="003269B4"/>
    <w:rsid w:val="00326DD0"/>
    <w:rsid w:val="00327286"/>
    <w:rsid w:val="003277A5"/>
    <w:rsid w:val="00331952"/>
    <w:rsid w:val="0033341C"/>
    <w:rsid w:val="00333B8F"/>
    <w:rsid w:val="00334C09"/>
    <w:rsid w:val="00334CB9"/>
    <w:rsid w:val="00336930"/>
    <w:rsid w:val="00336F83"/>
    <w:rsid w:val="00340342"/>
    <w:rsid w:val="0034181D"/>
    <w:rsid w:val="00341E99"/>
    <w:rsid w:val="0034290A"/>
    <w:rsid w:val="00346A5E"/>
    <w:rsid w:val="0034776C"/>
    <w:rsid w:val="003479C4"/>
    <w:rsid w:val="00350384"/>
    <w:rsid w:val="0035039B"/>
    <w:rsid w:val="003508CA"/>
    <w:rsid w:val="00352121"/>
    <w:rsid w:val="00353580"/>
    <w:rsid w:val="00353A96"/>
    <w:rsid w:val="00354E68"/>
    <w:rsid w:val="00356676"/>
    <w:rsid w:val="00356A8F"/>
    <w:rsid w:val="00356AC1"/>
    <w:rsid w:val="003575B6"/>
    <w:rsid w:val="00357788"/>
    <w:rsid w:val="00357C4B"/>
    <w:rsid w:val="00360BDB"/>
    <w:rsid w:val="00360D71"/>
    <w:rsid w:val="003612C1"/>
    <w:rsid w:val="00361B7B"/>
    <w:rsid w:val="0036293E"/>
    <w:rsid w:val="0036433B"/>
    <w:rsid w:val="0036541C"/>
    <w:rsid w:val="0036610C"/>
    <w:rsid w:val="00366C76"/>
    <w:rsid w:val="00367B99"/>
    <w:rsid w:val="0037007A"/>
    <w:rsid w:val="003700C4"/>
    <w:rsid w:val="0037025E"/>
    <w:rsid w:val="003703A2"/>
    <w:rsid w:val="00370486"/>
    <w:rsid w:val="003723D4"/>
    <w:rsid w:val="00373778"/>
    <w:rsid w:val="0037561F"/>
    <w:rsid w:val="00375F63"/>
    <w:rsid w:val="00376879"/>
    <w:rsid w:val="00381905"/>
    <w:rsid w:val="003826CA"/>
    <w:rsid w:val="003835CF"/>
    <w:rsid w:val="0038419F"/>
    <w:rsid w:val="00384CC8"/>
    <w:rsid w:val="00384DF3"/>
    <w:rsid w:val="00385A84"/>
    <w:rsid w:val="003871FD"/>
    <w:rsid w:val="00387616"/>
    <w:rsid w:val="0039002B"/>
    <w:rsid w:val="003915AF"/>
    <w:rsid w:val="00393E74"/>
    <w:rsid w:val="003946CB"/>
    <w:rsid w:val="00395006"/>
    <w:rsid w:val="0039617E"/>
    <w:rsid w:val="00397141"/>
    <w:rsid w:val="003A0B9D"/>
    <w:rsid w:val="003A19B3"/>
    <w:rsid w:val="003A1D7F"/>
    <w:rsid w:val="003A1E30"/>
    <w:rsid w:val="003A3288"/>
    <w:rsid w:val="003A6F10"/>
    <w:rsid w:val="003A74B9"/>
    <w:rsid w:val="003A7BE6"/>
    <w:rsid w:val="003A7D1C"/>
    <w:rsid w:val="003B0001"/>
    <w:rsid w:val="003B304B"/>
    <w:rsid w:val="003B3146"/>
    <w:rsid w:val="003B32B7"/>
    <w:rsid w:val="003B3DBB"/>
    <w:rsid w:val="003B3FA0"/>
    <w:rsid w:val="003B506B"/>
    <w:rsid w:val="003B74AE"/>
    <w:rsid w:val="003B7CFC"/>
    <w:rsid w:val="003C0E41"/>
    <w:rsid w:val="003C2612"/>
    <w:rsid w:val="003C3724"/>
    <w:rsid w:val="003C3B71"/>
    <w:rsid w:val="003C3F27"/>
    <w:rsid w:val="003C3F55"/>
    <w:rsid w:val="003C6CEB"/>
    <w:rsid w:val="003D1D72"/>
    <w:rsid w:val="003D4E48"/>
    <w:rsid w:val="003D77F8"/>
    <w:rsid w:val="003D7B66"/>
    <w:rsid w:val="003E0C5F"/>
    <w:rsid w:val="003E1377"/>
    <w:rsid w:val="003E361B"/>
    <w:rsid w:val="003F015E"/>
    <w:rsid w:val="003F2011"/>
    <w:rsid w:val="003F2026"/>
    <w:rsid w:val="003F263E"/>
    <w:rsid w:val="003F2C57"/>
    <w:rsid w:val="003F3A60"/>
    <w:rsid w:val="003F4220"/>
    <w:rsid w:val="003F551F"/>
    <w:rsid w:val="003F5C0A"/>
    <w:rsid w:val="003F6089"/>
    <w:rsid w:val="003F76E3"/>
    <w:rsid w:val="003F795B"/>
    <w:rsid w:val="0040036A"/>
    <w:rsid w:val="00400414"/>
    <w:rsid w:val="00400AD6"/>
    <w:rsid w:val="00400D73"/>
    <w:rsid w:val="0040414E"/>
    <w:rsid w:val="004043B7"/>
    <w:rsid w:val="0040506B"/>
    <w:rsid w:val="00405573"/>
    <w:rsid w:val="00405D32"/>
    <w:rsid w:val="00406A39"/>
    <w:rsid w:val="004114FB"/>
    <w:rsid w:val="004135A3"/>
    <w:rsid w:val="00414309"/>
    <w:rsid w:val="0041446B"/>
    <w:rsid w:val="00414FEE"/>
    <w:rsid w:val="00416006"/>
    <w:rsid w:val="00416DA5"/>
    <w:rsid w:val="00417ECD"/>
    <w:rsid w:val="004217B1"/>
    <w:rsid w:val="00421A58"/>
    <w:rsid w:val="004221DC"/>
    <w:rsid w:val="004232C1"/>
    <w:rsid w:val="00426707"/>
    <w:rsid w:val="00426898"/>
    <w:rsid w:val="00426E4A"/>
    <w:rsid w:val="0042716F"/>
    <w:rsid w:val="00427771"/>
    <w:rsid w:val="00430751"/>
    <w:rsid w:val="0043092A"/>
    <w:rsid w:val="00430A8A"/>
    <w:rsid w:val="00432746"/>
    <w:rsid w:val="00434DEE"/>
    <w:rsid w:val="00435DC2"/>
    <w:rsid w:val="00437FD2"/>
    <w:rsid w:val="004403F5"/>
    <w:rsid w:val="00441021"/>
    <w:rsid w:val="00442AFD"/>
    <w:rsid w:val="0044329C"/>
    <w:rsid w:val="00444608"/>
    <w:rsid w:val="00444C38"/>
    <w:rsid w:val="00444EA9"/>
    <w:rsid w:val="00446545"/>
    <w:rsid w:val="004469C9"/>
    <w:rsid w:val="00447B2A"/>
    <w:rsid w:val="00447B60"/>
    <w:rsid w:val="00451AB9"/>
    <w:rsid w:val="0045223D"/>
    <w:rsid w:val="00453550"/>
    <w:rsid w:val="00454405"/>
    <w:rsid w:val="004545F9"/>
    <w:rsid w:val="004577FE"/>
    <w:rsid w:val="004579B6"/>
    <w:rsid w:val="00457B9C"/>
    <w:rsid w:val="0046164A"/>
    <w:rsid w:val="004618B7"/>
    <w:rsid w:val="004628D2"/>
    <w:rsid w:val="00462DCD"/>
    <w:rsid w:val="0046385D"/>
    <w:rsid w:val="0046397A"/>
    <w:rsid w:val="00463C69"/>
    <w:rsid w:val="004648AD"/>
    <w:rsid w:val="00464F60"/>
    <w:rsid w:val="004653FB"/>
    <w:rsid w:val="004656AD"/>
    <w:rsid w:val="00465A65"/>
    <w:rsid w:val="0046621A"/>
    <w:rsid w:val="00466E54"/>
    <w:rsid w:val="0046711E"/>
    <w:rsid w:val="0046723D"/>
    <w:rsid w:val="004703A9"/>
    <w:rsid w:val="0047068B"/>
    <w:rsid w:val="004709AC"/>
    <w:rsid w:val="00470FB7"/>
    <w:rsid w:val="0047306B"/>
    <w:rsid w:val="0047375C"/>
    <w:rsid w:val="00475BA3"/>
    <w:rsid w:val="004760D3"/>
    <w:rsid w:val="004760DE"/>
    <w:rsid w:val="004763D7"/>
    <w:rsid w:val="0048179F"/>
    <w:rsid w:val="00481966"/>
    <w:rsid w:val="00481BA6"/>
    <w:rsid w:val="00482747"/>
    <w:rsid w:val="00482BA7"/>
    <w:rsid w:val="00482EA7"/>
    <w:rsid w:val="00483D22"/>
    <w:rsid w:val="004841FC"/>
    <w:rsid w:val="00485C31"/>
    <w:rsid w:val="00486424"/>
    <w:rsid w:val="00486C26"/>
    <w:rsid w:val="00490A99"/>
    <w:rsid w:val="00490FB2"/>
    <w:rsid w:val="00491DD8"/>
    <w:rsid w:val="00491DF5"/>
    <w:rsid w:val="0049271D"/>
    <w:rsid w:val="00494566"/>
    <w:rsid w:val="00497F26"/>
    <w:rsid w:val="004A004E"/>
    <w:rsid w:val="004A1E50"/>
    <w:rsid w:val="004A24CF"/>
    <w:rsid w:val="004A4C37"/>
    <w:rsid w:val="004A4D87"/>
    <w:rsid w:val="004A5426"/>
    <w:rsid w:val="004A5B9F"/>
    <w:rsid w:val="004A5BCC"/>
    <w:rsid w:val="004A7694"/>
    <w:rsid w:val="004B1262"/>
    <w:rsid w:val="004B1651"/>
    <w:rsid w:val="004B1AAE"/>
    <w:rsid w:val="004B1B58"/>
    <w:rsid w:val="004B23DE"/>
    <w:rsid w:val="004B2798"/>
    <w:rsid w:val="004B55BA"/>
    <w:rsid w:val="004B66A7"/>
    <w:rsid w:val="004B7C2F"/>
    <w:rsid w:val="004C1E69"/>
    <w:rsid w:val="004C3D1D"/>
    <w:rsid w:val="004C7201"/>
    <w:rsid w:val="004C7913"/>
    <w:rsid w:val="004C7C25"/>
    <w:rsid w:val="004D034D"/>
    <w:rsid w:val="004D109C"/>
    <w:rsid w:val="004D1B17"/>
    <w:rsid w:val="004D4185"/>
    <w:rsid w:val="004D4A40"/>
    <w:rsid w:val="004D4B92"/>
    <w:rsid w:val="004D6DB8"/>
    <w:rsid w:val="004E1228"/>
    <w:rsid w:val="004E2473"/>
    <w:rsid w:val="004E2875"/>
    <w:rsid w:val="004E28F1"/>
    <w:rsid w:val="004E317B"/>
    <w:rsid w:val="004E4A66"/>
    <w:rsid w:val="004E4DD6"/>
    <w:rsid w:val="004E6E6D"/>
    <w:rsid w:val="004E75FE"/>
    <w:rsid w:val="004F1F1A"/>
    <w:rsid w:val="004F30B3"/>
    <w:rsid w:val="004F334C"/>
    <w:rsid w:val="004F36AC"/>
    <w:rsid w:val="004F36F5"/>
    <w:rsid w:val="004F3D38"/>
    <w:rsid w:val="004F4CE0"/>
    <w:rsid w:val="004F5E36"/>
    <w:rsid w:val="004F69FC"/>
    <w:rsid w:val="004F7575"/>
    <w:rsid w:val="004F7CA6"/>
    <w:rsid w:val="00500A2F"/>
    <w:rsid w:val="0050231C"/>
    <w:rsid w:val="005031FC"/>
    <w:rsid w:val="0050361A"/>
    <w:rsid w:val="00503ABF"/>
    <w:rsid w:val="005051DA"/>
    <w:rsid w:val="0050668E"/>
    <w:rsid w:val="00506A5B"/>
    <w:rsid w:val="00506F83"/>
    <w:rsid w:val="00507558"/>
    <w:rsid w:val="00507B47"/>
    <w:rsid w:val="00507BEF"/>
    <w:rsid w:val="00507CC9"/>
    <w:rsid w:val="00510A58"/>
    <w:rsid w:val="0051122A"/>
    <w:rsid w:val="005119A5"/>
    <w:rsid w:val="00515F4B"/>
    <w:rsid w:val="00516B13"/>
    <w:rsid w:val="005179A4"/>
    <w:rsid w:val="005209C2"/>
    <w:rsid w:val="00520FDF"/>
    <w:rsid w:val="00520FF2"/>
    <w:rsid w:val="005216A3"/>
    <w:rsid w:val="00521950"/>
    <w:rsid w:val="0052286A"/>
    <w:rsid w:val="005241AA"/>
    <w:rsid w:val="00524E0A"/>
    <w:rsid w:val="005252B3"/>
    <w:rsid w:val="00527336"/>
    <w:rsid w:val="005278B7"/>
    <w:rsid w:val="0052799E"/>
    <w:rsid w:val="00527C9C"/>
    <w:rsid w:val="00530AF8"/>
    <w:rsid w:val="00530D8B"/>
    <w:rsid w:val="00531744"/>
    <w:rsid w:val="00532016"/>
    <w:rsid w:val="00532800"/>
    <w:rsid w:val="00532A91"/>
    <w:rsid w:val="00533CCA"/>
    <w:rsid w:val="005346C8"/>
    <w:rsid w:val="00536CA5"/>
    <w:rsid w:val="00536FA3"/>
    <w:rsid w:val="00537A71"/>
    <w:rsid w:val="0054064E"/>
    <w:rsid w:val="00543BD1"/>
    <w:rsid w:val="00543E7D"/>
    <w:rsid w:val="00545AD8"/>
    <w:rsid w:val="00547A68"/>
    <w:rsid w:val="00551CCE"/>
    <w:rsid w:val="005525B2"/>
    <w:rsid w:val="005527B2"/>
    <w:rsid w:val="005531C9"/>
    <w:rsid w:val="0055467E"/>
    <w:rsid w:val="00554766"/>
    <w:rsid w:val="00554CE0"/>
    <w:rsid w:val="005550F9"/>
    <w:rsid w:val="00560E67"/>
    <w:rsid w:val="00562699"/>
    <w:rsid w:val="00564192"/>
    <w:rsid w:val="005653B5"/>
    <w:rsid w:val="00566AEE"/>
    <w:rsid w:val="00566C8C"/>
    <w:rsid w:val="00566DC9"/>
    <w:rsid w:val="00566F31"/>
    <w:rsid w:val="00567546"/>
    <w:rsid w:val="00570C43"/>
    <w:rsid w:val="00570DE0"/>
    <w:rsid w:val="00571697"/>
    <w:rsid w:val="0057209C"/>
    <w:rsid w:val="005725BE"/>
    <w:rsid w:val="00573CB5"/>
    <w:rsid w:val="00573E14"/>
    <w:rsid w:val="00574D34"/>
    <w:rsid w:val="00577BDD"/>
    <w:rsid w:val="00581867"/>
    <w:rsid w:val="0058213E"/>
    <w:rsid w:val="00583545"/>
    <w:rsid w:val="00583E42"/>
    <w:rsid w:val="005905CD"/>
    <w:rsid w:val="00590BB3"/>
    <w:rsid w:val="00590FAB"/>
    <w:rsid w:val="00591BC4"/>
    <w:rsid w:val="00596BBB"/>
    <w:rsid w:val="005A2295"/>
    <w:rsid w:val="005A393C"/>
    <w:rsid w:val="005A3EA6"/>
    <w:rsid w:val="005A632C"/>
    <w:rsid w:val="005A7651"/>
    <w:rsid w:val="005B0501"/>
    <w:rsid w:val="005B12B0"/>
    <w:rsid w:val="005B1AB6"/>
    <w:rsid w:val="005B1E0B"/>
    <w:rsid w:val="005B2110"/>
    <w:rsid w:val="005B234D"/>
    <w:rsid w:val="005B2FC8"/>
    <w:rsid w:val="005B3143"/>
    <w:rsid w:val="005B362C"/>
    <w:rsid w:val="005B442D"/>
    <w:rsid w:val="005B4588"/>
    <w:rsid w:val="005B5919"/>
    <w:rsid w:val="005B61E6"/>
    <w:rsid w:val="005B66C2"/>
    <w:rsid w:val="005B7BB7"/>
    <w:rsid w:val="005B7BEC"/>
    <w:rsid w:val="005B7D4C"/>
    <w:rsid w:val="005C03E0"/>
    <w:rsid w:val="005C0B2B"/>
    <w:rsid w:val="005C0F4F"/>
    <w:rsid w:val="005C1A67"/>
    <w:rsid w:val="005C2DA2"/>
    <w:rsid w:val="005C3AF4"/>
    <w:rsid w:val="005C4EBE"/>
    <w:rsid w:val="005C59A6"/>
    <w:rsid w:val="005C5CB9"/>
    <w:rsid w:val="005C6191"/>
    <w:rsid w:val="005C644A"/>
    <w:rsid w:val="005C6DA0"/>
    <w:rsid w:val="005C77E1"/>
    <w:rsid w:val="005C7ED4"/>
    <w:rsid w:val="005D12A6"/>
    <w:rsid w:val="005D3169"/>
    <w:rsid w:val="005D3EBA"/>
    <w:rsid w:val="005D49E5"/>
    <w:rsid w:val="005D60C9"/>
    <w:rsid w:val="005D6A2F"/>
    <w:rsid w:val="005D7067"/>
    <w:rsid w:val="005D7322"/>
    <w:rsid w:val="005D7586"/>
    <w:rsid w:val="005E1A82"/>
    <w:rsid w:val="005E1B56"/>
    <w:rsid w:val="005E2BD5"/>
    <w:rsid w:val="005E2CAC"/>
    <w:rsid w:val="005E3B02"/>
    <w:rsid w:val="005E451F"/>
    <w:rsid w:val="005E6DD2"/>
    <w:rsid w:val="005E794C"/>
    <w:rsid w:val="005F0A28"/>
    <w:rsid w:val="005F0E5E"/>
    <w:rsid w:val="005F15E8"/>
    <w:rsid w:val="005F18EB"/>
    <w:rsid w:val="005F31F4"/>
    <w:rsid w:val="005F3784"/>
    <w:rsid w:val="005F6F41"/>
    <w:rsid w:val="005F6F6F"/>
    <w:rsid w:val="005F7E6F"/>
    <w:rsid w:val="005F7EFC"/>
    <w:rsid w:val="0060034F"/>
    <w:rsid w:val="00600535"/>
    <w:rsid w:val="00601276"/>
    <w:rsid w:val="0060326B"/>
    <w:rsid w:val="00604972"/>
    <w:rsid w:val="00604AB5"/>
    <w:rsid w:val="00607049"/>
    <w:rsid w:val="00610CD6"/>
    <w:rsid w:val="00611B10"/>
    <w:rsid w:val="00612FF5"/>
    <w:rsid w:val="006131F8"/>
    <w:rsid w:val="00614234"/>
    <w:rsid w:val="00614F1E"/>
    <w:rsid w:val="006151B7"/>
    <w:rsid w:val="006155DC"/>
    <w:rsid w:val="0061608A"/>
    <w:rsid w:val="006178F7"/>
    <w:rsid w:val="0062027F"/>
    <w:rsid w:val="00620DEE"/>
    <w:rsid w:val="00621F92"/>
    <w:rsid w:val="0062280A"/>
    <w:rsid w:val="00622857"/>
    <w:rsid w:val="00623A8C"/>
    <w:rsid w:val="0062467E"/>
    <w:rsid w:val="00625639"/>
    <w:rsid w:val="00625C78"/>
    <w:rsid w:val="006300B3"/>
    <w:rsid w:val="00630520"/>
    <w:rsid w:val="00631B33"/>
    <w:rsid w:val="0063222C"/>
    <w:rsid w:val="006323AD"/>
    <w:rsid w:val="00632B1A"/>
    <w:rsid w:val="006334EA"/>
    <w:rsid w:val="0063428B"/>
    <w:rsid w:val="00634A28"/>
    <w:rsid w:val="006355A0"/>
    <w:rsid w:val="00636F86"/>
    <w:rsid w:val="00637D1C"/>
    <w:rsid w:val="0064097A"/>
    <w:rsid w:val="0064184D"/>
    <w:rsid w:val="006422CC"/>
    <w:rsid w:val="00642457"/>
    <w:rsid w:val="00642559"/>
    <w:rsid w:val="0064546D"/>
    <w:rsid w:val="00645C01"/>
    <w:rsid w:val="006462D9"/>
    <w:rsid w:val="00650346"/>
    <w:rsid w:val="00650DB1"/>
    <w:rsid w:val="00651013"/>
    <w:rsid w:val="00651064"/>
    <w:rsid w:val="00651AE9"/>
    <w:rsid w:val="00651C64"/>
    <w:rsid w:val="00653C8C"/>
    <w:rsid w:val="00655460"/>
    <w:rsid w:val="00655D4D"/>
    <w:rsid w:val="00660213"/>
    <w:rsid w:val="00660E3E"/>
    <w:rsid w:val="0066199A"/>
    <w:rsid w:val="00661E7C"/>
    <w:rsid w:val="0066269D"/>
    <w:rsid w:val="006629B6"/>
    <w:rsid w:val="00662CD4"/>
    <w:rsid w:val="00662E74"/>
    <w:rsid w:val="00663336"/>
    <w:rsid w:val="00663B69"/>
    <w:rsid w:val="0066426D"/>
    <w:rsid w:val="00664A08"/>
    <w:rsid w:val="006653BB"/>
    <w:rsid w:val="00666F27"/>
    <w:rsid w:val="006710E9"/>
    <w:rsid w:val="00672DED"/>
    <w:rsid w:val="00675CC7"/>
    <w:rsid w:val="006772C3"/>
    <w:rsid w:val="00680C23"/>
    <w:rsid w:val="00682F6F"/>
    <w:rsid w:val="00682FF5"/>
    <w:rsid w:val="0068305F"/>
    <w:rsid w:val="006835C3"/>
    <w:rsid w:val="00683F16"/>
    <w:rsid w:val="00684611"/>
    <w:rsid w:val="006848BD"/>
    <w:rsid w:val="006864F9"/>
    <w:rsid w:val="00686DAF"/>
    <w:rsid w:val="00687A06"/>
    <w:rsid w:val="00687A28"/>
    <w:rsid w:val="00692689"/>
    <w:rsid w:val="00692B07"/>
    <w:rsid w:val="00692C56"/>
    <w:rsid w:val="00693766"/>
    <w:rsid w:val="00694039"/>
    <w:rsid w:val="00694224"/>
    <w:rsid w:val="0069599E"/>
    <w:rsid w:val="006A046B"/>
    <w:rsid w:val="006A0BCE"/>
    <w:rsid w:val="006A0CCA"/>
    <w:rsid w:val="006A3034"/>
    <w:rsid w:val="006A3281"/>
    <w:rsid w:val="006A3358"/>
    <w:rsid w:val="006A629B"/>
    <w:rsid w:val="006A6D0C"/>
    <w:rsid w:val="006A78BC"/>
    <w:rsid w:val="006A7A07"/>
    <w:rsid w:val="006B02D7"/>
    <w:rsid w:val="006B0B05"/>
    <w:rsid w:val="006B152A"/>
    <w:rsid w:val="006B2B4D"/>
    <w:rsid w:val="006B2E2C"/>
    <w:rsid w:val="006B4888"/>
    <w:rsid w:val="006B5170"/>
    <w:rsid w:val="006B6DB9"/>
    <w:rsid w:val="006C1626"/>
    <w:rsid w:val="006C2AAD"/>
    <w:rsid w:val="006C2E45"/>
    <w:rsid w:val="006C3372"/>
    <w:rsid w:val="006C359C"/>
    <w:rsid w:val="006C3EF8"/>
    <w:rsid w:val="006C45E1"/>
    <w:rsid w:val="006C4841"/>
    <w:rsid w:val="006C515E"/>
    <w:rsid w:val="006C5579"/>
    <w:rsid w:val="006C6042"/>
    <w:rsid w:val="006C7E7E"/>
    <w:rsid w:val="006D11A6"/>
    <w:rsid w:val="006D13E6"/>
    <w:rsid w:val="006D21F4"/>
    <w:rsid w:val="006D2407"/>
    <w:rsid w:val="006D2D3E"/>
    <w:rsid w:val="006D2DCD"/>
    <w:rsid w:val="006D2F21"/>
    <w:rsid w:val="006D5310"/>
    <w:rsid w:val="006D550D"/>
    <w:rsid w:val="006D6C91"/>
    <w:rsid w:val="006D7B8B"/>
    <w:rsid w:val="006E32F6"/>
    <w:rsid w:val="006E3A83"/>
    <w:rsid w:val="006E5435"/>
    <w:rsid w:val="006E5559"/>
    <w:rsid w:val="006E62D7"/>
    <w:rsid w:val="006E6836"/>
    <w:rsid w:val="006E737D"/>
    <w:rsid w:val="006F0597"/>
    <w:rsid w:val="006F07DF"/>
    <w:rsid w:val="006F0B0D"/>
    <w:rsid w:val="006F1DA7"/>
    <w:rsid w:val="006F3949"/>
    <w:rsid w:val="006F4578"/>
    <w:rsid w:val="006F5680"/>
    <w:rsid w:val="006F69BB"/>
    <w:rsid w:val="006F6CBA"/>
    <w:rsid w:val="006F6FB2"/>
    <w:rsid w:val="006F7197"/>
    <w:rsid w:val="007002C3"/>
    <w:rsid w:val="0070040F"/>
    <w:rsid w:val="00700CE3"/>
    <w:rsid w:val="007017F8"/>
    <w:rsid w:val="00701F22"/>
    <w:rsid w:val="007048DF"/>
    <w:rsid w:val="00704BEB"/>
    <w:rsid w:val="00710314"/>
    <w:rsid w:val="007104B9"/>
    <w:rsid w:val="00710C9D"/>
    <w:rsid w:val="0071113F"/>
    <w:rsid w:val="007122B3"/>
    <w:rsid w:val="00713D8F"/>
    <w:rsid w:val="00713DD7"/>
    <w:rsid w:val="00714290"/>
    <w:rsid w:val="00715FC3"/>
    <w:rsid w:val="00716893"/>
    <w:rsid w:val="00717A59"/>
    <w:rsid w:val="00717EAA"/>
    <w:rsid w:val="00720769"/>
    <w:rsid w:val="00720A24"/>
    <w:rsid w:val="007212F9"/>
    <w:rsid w:val="007214A5"/>
    <w:rsid w:val="00721EB0"/>
    <w:rsid w:val="0072215D"/>
    <w:rsid w:val="00723E9F"/>
    <w:rsid w:val="00725D69"/>
    <w:rsid w:val="00725DFD"/>
    <w:rsid w:val="0072620E"/>
    <w:rsid w:val="00730F73"/>
    <w:rsid w:val="00732386"/>
    <w:rsid w:val="0073336B"/>
    <w:rsid w:val="00733942"/>
    <w:rsid w:val="007349A6"/>
    <w:rsid w:val="0073514D"/>
    <w:rsid w:val="00735E4D"/>
    <w:rsid w:val="00736352"/>
    <w:rsid w:val="0073684B"/>
    <w:rsid w:val="00740317"/>
    <w:rsid w:val="00741017"/>
    <w:rsid w:val="007447F3"/>
    <w:rsid w:val="00747269"/>
    <w:rsid w:val="00750B8E"/>
    <w:rsid w:val="00750D83"/>
    <w:rsid w:val="00752443"/>
    <w:rsid w:val="00752773"/>
    <w:rsid w:val="007545FA"/>
    <w:rsid w:val="0075499F"/>
    <w:rsid w:val="00755582"/>
    <w:rsid w:val="007559B9"/>
    <w:rsid w:val="00756FDA"/>
    <w:rsid w:val="0076016D"/>
    <w:rsid w:val="00760B4D"/>
    <w:rsid w:val="00763863"/>
    <w:rsid w:val="00763E12"/>
    <w:rsid w:val="00764162"/>
    <w:rsid w:val="00764226"/>
    <w:rsid w:val="00764892"/>
    <w:rsid w:val="007649BE"/>
    <w:rsid w:val="00764E4A"/>
    <w:rsid w:val="007656B0"/>
    <w:rsid w:val="007661C8"/>
    <w:rsid w:val="00766E06"/>
    <w:rsid w:val="007672D5"/>
    <w:rsid w:val="007708E9"/>
    <w:rsid w:val="0077098D"/>
    <w:rsid w:val="00771B00"/>
    <w:rsid w:val="007735F4"/>
    <w:rsid w:val="00773A3C"/>
    <w:rsid w:val="007745B6"/>
    <w:rsid w:val="007755E5"/>
    <w:rsid w:val="007765E6"/>
    <w:rsid w:val="00776CA3"/>
    <w:rsid w:val="007774DA"/>
    <w:rsid w:val="00781C73"/>
    <w:rsid w:val="00781F5F"/>
    <w:rsid w:val="007831AC"/>
    <w:rsid w:val="007834FE"/>
    <w:rsid w:val="00784FD2"/>
    <w:rsid w:val="00785B2D"/>
    <w:rsid w:val="007868CA"/>
    <w:rsid w:val="00786AE7"/>
    <w:rsid w:val="00786D7F"/>
    <w:rsid w:val="0078738B"/>
    <w:rsid w:val="007931FA"/>
    <w:rsid w:val="00793D67"/>
    <w:rsid w:val="0079480F"/>
    <w:rsid w:val="00795624"/>
    <w:rsid w:val="00795B15"/>
    <w:rsid w:val="007A08FE"/>
    <w:rsid w:val="007A2296"/>
    <w:rsid w:val="007A2A4A"/>
    <w:rsid w:val="007A3E8C"/>
    <w:rsid w:val="007A4817"/>
    <w:rsid w:val="007A4861"/>
    <w:rsid w:val="007A6690"/>
    <w:rsid w:val="007A704E"/>
    <w:rsid w:val="007A7BBA"/>
    <w:rsid w:val="007B0C50"/>
    <w:rsid w:val="007B4E82"/>
    <w:rsid w:val="007C19D3"/>
    <w:rsid w:val="007C1A43"/>
    <w:rsid w:val="007C25F4"/>
    <w:rsid w:val="007C5183"/>
    <w:rsid w:val="007C5269"/>
    <w:rsid w:val="007C5D80"/>
    <w:rsid w:val="007C642A"/>
    <w:rsid w:val="007C7D04"/>
    <w:rsid w:val="007D0BE8"/>
    <w:rsid w:val="007D1601"/>
    <w:rsid w:val="007D1FDC"/>
    <w:rsid w:val="007D40EF"/>
    <w:rsid w:val="007D6718"/>
    <w:rsid w:val="007D699A"/>
    <w:rsid w:val="007D7189"/>
    <w:rsid w:val="007D7501"/>
    <w:rsid w:val="007E2769"/>
    <w:rsid w:val="007E3449"/>
    <w:rsid w:val="007E46E8"/>
    <w:rsid w:val="007E5415"/>
    <w:rsid w:val="007E5538"/>
    <w:rsid w:val="007E6201"/>
    <w:rsid w:val="007F0680"/>
    <w:rsid w:val="007F08D3"/>
    <w:rsid w:val="007F20EA"/>
    <w:rsid w:val="007F27CB"/>
    <w:rsid w:val="007F341B"/>
    <w:rsid w:val="007F3DF2"/>
    <w:rsid w:val="007F5A8A"/>
    <w:rsid w:val="0080013E"/>
    <w:rsid w:val="00800C91"/>
    <w:rsid w:val="00800DCF"/>
    <w:rsid w:val="008021D2"/>
    <w:rsid w:val="00802A95"/>
    <w:rsid w:val="00802D44"/>
    <w:rsid w:val="008047EF"/>
    <w:rsid w:val="00805CA7"/>
    <w:rsid w:val="00806044"/>
    <w:rsid w:val="00806335"/>
    <w:rsid w:val="008100EF"/>
    <w:rsid w:val="008105A1"/>
    <w:rsid w:val="008109AB"/>
    <w:rsid w:val="00810B2F"/>
    <w:rsid w:val="00811955"/>
    <w:rsid w:val="00812C7A"/>
    <w:rsid w:val="00813288"/>
    <w:rsid w:val="00813B9C"/>
    <w:rsid w:val="00815AE3"/>
    <w:rsid w:val="00815D9B"/>
    <w:rsid w:val="00815FAF"/>
    <w:rsid w:val="0081684E"/>
    <w:rsid w:val="008168FC"/>
    <w:rsid w:val="0081758D"/>
    <w:rsid w:val="00817E37"/>
    <w:rsid w:val="00820A50"/>
    <w:rsid w:val="008213C0"/>
    <w:rsid w:val="00822E8B"/>
    <w:rsid w:val="008230C8"/>
    <w:rsid w:val="0082379E"/>
    <w:rsid w:val="00823FB8"/>
    <w:rsid w:val="00824A3B"/>
    <w:rsid w:val="00826253"/>
    <w:rsid w:val="00830996"/>
    <w:rsid w:val="00831992"/>
    <w:rsid w:val="00831A2F"/>
    <w:rsid w:val="00832002"/>
    <w:rsid w:val="008327A8"/>
    <w:rsid w:val="008345F1"/>
    <w:rsid w:val="0083586D"/>
    <w:rsid w:val="00835C2B"/>
    <w:rsid w:val="0083772C"/>
    <w:rsid w:val="0084069B"/>
    <w:rsid w:val="00842CF1"/>
    <w:rsid w:val="0084384D"/>
    <w:rsid w:val="0084397F"/>
    <w:rsid w:val="00844962"/>
    <w:rsid w:val="00846639"/>
    <w:rsid w:val="008470DA"/>
    <w:rsid w:val="00850D48"/>
    <w:rsid w:val="00851E11"/>
    <w:rsid w:val="008526FB"/>
    <w:rsid w:val="0085297E"/>
    <w:rsid w:val="008541D1"/>
    <w:rsid w:val="00855430"/>
    <w:rsid w:val="00856201"/>
    <w:rsid w:val="0085691E"/>
    <w:rsid w:val="00857CCA"/>
    <w:rsid w:val="00857F02"/>
    <w:rsid w:val="00860200"/>
    <w:rsid w:val="0086038D"/>
    <w:rsid w:val="00860A6E"/>
    <w:rsid w:val="0086216A"/>
    <w:rsid w:val="00864ADF"/>
    <w:rsid w:val="00864CB9"/>
    <w:rsid w:val="008654B5"/>
    <w:rsid w:val="00865B07"/>
    <w:rsid w:val="00865F71"/>
    <w:rsid w:val="008661CC"/>
    <w:rsid w:val="008667EA"/>
    <w:rsid w:val="00866B95"/>
    <w:rsid w:val="0087057B"/>
    <w:rsid w:val="00871D42"/>
    <w:rsid w:val="00872B62"/>
    <w:rsid w:val="008730E0"/>
    <w:rsid w:val="00873249"/>
    <w:rsid w:val="00873A92"/>
    <w:rsid w:val="00873AA2"/>
    <w:rsid w:val="00873CA8"/>
    <w:rsid w:val="00875ACB"/>
    <w:rsid w:val="0087637F"/>
    <w:rsid w:val="00876967"/>
    <w:rsid w:val="00877DAB"/>
    <w:rsid w:val="00881D96"/>
    <w:rsid w:val="0088350E"/>
    <w:rsid w:val="00883A94"/>
    <w:rsid w:val="008847CC"/>
    <w:rsid w:val="00886DA1"/>
    <w:rsid w:val="0088777E"/>
    <w:rsid w:val="00887C95"/>
    <w:rsid w:val="00891EC6"/>
    <w:rsid w:val="00892AD5"/>
    <w:rsid w:val="0089533D"/>
    <w:rsid w:val="00895949"/>
    <w:rsid w:val="00895FF0"/>
    <w:rsid w:val="008966D7"/>
    <w:rsid w:val="008976ED"/>
    <w:rsid w:val="00897A5B"/>
    <w:rsid w:val="00897AC0"/>
    <w:rsid w:val="008A0210"/>
    <w:rsid w:val="008A06AB"/>
    <w:rsid w:val="008A1512"/>
    <w:rsid w:val="008A3EF5"/>
    <w:rsid w:val="008A4693"/>
    <w:rsid w:val="008A4EC8"/>
    <w:rsid w:val="008A5785"/>
    <w:rsid w:val="008A66F8"/>
    <w:rsid w:val="008A6E21"/>
    <w:rsid w:val="008B043D"/>
    <w:rsid w:val="008B17A6"/>
    <w:rsid w:val="008B2759"/>
    <w:rsid w:val="008B32D8"/>
    <w:rsid w:val="008B4507"/>
    <w:rsid w:val="008B5D96"/>
    <w:rsid w:val="008C118E"/>
    <w:rsid w:val="008C19BF"/>
    <w:rsid w:val="008C1C3E"/>
    <w:rsid w:val="008C2F04"/>
    <w:rsid w:val="008C48AA"/>
    <w:rsid w:val="008C50D1"/>
    <w:rsid w:val="008C5AE9"/>
    <w:rsid w:val="008C6477"/>
    <w:rsid w:val="008C7BCA"/>
    <w:rsid w:val="008D057C"/>
    <w:rsid w:val="008D11A2"/>
    <w:rsid w:val="008D1443"/>
    <w:rsid w:val="008D2466"/>
    <w:rsid w:val="008D32B9"/>
    <w:rsid w:val="008D366E"/>
    <w:rsid w:val="008D433B"/>
    <w:rsid w:val="008D4959"/>
    <w:rsid w:val="008D4E9A"/>
    <w:rsid w:val="008D538A"/>
    <w:rsid w:val="008D5669"/>
    <w:rsid w:val="008D693F"/>
    <w:rsid w:val="008E0259"/>
    <w:rsid w:val="008E038B"/>
    <w:rsid w:val="008E2EEF"/>
    <w:rsid w:val="008E2EF5"/>
    <w:rsid w:val="008E55A3"/>
    <w:rsid w:val="008E566E"/>
    <w:rsid w:val="008E7A6A"/>
    <w:rsid w:val="008F0516"/>
    <w:rsid w:val="008F0DB7"/>
    <w:rsid w:val="008F0E38"/>
    <w:rsid w:val="008F1CC1"/>
    <w:rsid w:val="008F2B9D"/>
    <w:rsid w:val="008F2D12"/>
    <w:rsid w:val="008F31D7"/>
    <w:rsid w:val="008F7DB8"/>
    <w:rsid w:val="00900C8C"/>
    <w:rsid w:val="00900D0A"/>
    <w:rsid w:val="0090161A"/>
    <w:rsid w:val="00901EB6"/>
    <w:rsid w:val="00901FAD"/>
    <w:rsid w:val="00902793"/>
    <w:rsid w:val="00902CFF"/>
    <w:rsid w:val="009031D2"/>
    <w:rsid w:val="00904145"/>
    <w:rsid w:val="00904C62"/>
    <w:rsid w:val="0091008D"/>
    <w:rsid w:val="009100A8"/>
    <w:rsid w:val="0091245F"/>
    <w:rsid w:val="00917747"/>
    <w:rsid w:val="009179F0"/>
    <w:rsid w:val="0092221F"/>
    <w:rsid w:val="009222B4"/>
    <w:rsid w:val="0092258F"/>
    <w:rsid w:val="00922A6C"/>
    <w:rsid w:val="00922BA8"/>
    <w:rsid w:val="00924555"/>
    <w:rsid w:val="00924DAC"/>
    <w:rsid w:val="0092510C"/>
    <w:rsid w:val="00925B11"/>
    <w:rsid w:val="00925B28"/>
    <w:rsid w:val="00927058"/>
    <w:rsid w:val="009326B1"/>
    <w:rsid w:val="009334F0"/>
    <w:rsid w:val="00934B3C"/>
    <w:rsid w:val="00934D45"/>
    <w:rsid w:val="0093612D"/>
    <w:rsid w:val="00942750"/>
    <w:rsid w:val="009435B6"/>
    <w:rsid w:val="009438B9"/>
    <w:rsid w:val="00944BF8"/>
    <w:rsid w:val="009450CE"/>
    <w:rsid w:val="00945E0B"/>
    <w:rsid w:val="00946400"/>
    <w:rsid w:val="00947179"/>
    <w:rsid w:val="0094745E"/>
    <w:rsid w:val="00947B3A"/>
    <w:rsid w:val="0095164B"/>
    <w:rsid w:val="00951819"/>
    <w:rsid w:val="00951DF2"/>
    <w:rsid w:val="009531C5"/>
    <w:rsid w:val="009537E3"/>
    <w:rsid w:val="00953BA5"/>
    <w:rsid w:val="00954090"/>
    <w:rsid w:val="00955E78"/>
    <w:rsid w:val="009573E7"/>
    <w:rsid w:val="00957FCD"/>
    <w:rsid w:val="009601DB"/>
    <w:rsid w:val="00960C7F"/>
    <w:rsid w:val="00960D35"/>
    <w:rsid w:val="009615BF"/>
    <w:rsid w:val="00961ECA"/>
    <w:rsid w:val="00962EED"/>
    <w:rsid w:val="00963E05"/>
    <w:rsid w:val="00965488"/>
    <w:rsid w:val="009657EF"/>
    <w:rsid w:val="009659A9"/>
    <w:rsid w:val="009667D9"/>
    <w:rsid w:val="00966C48"/>
    <w:rsid w:val="009670EA"/>
    <w:rsid w:val="00967D54"/>
    <w:rsid w:val="0097059E"/>
    <w:rsid w:val="00971028"/>
    <w:rsid w:val="00971FDE"/>
    <w:rsid w:val="00972A61"/>
    <w:rsid w:val="00972CBC"/>
    <w:rsid w:val="009738D5"/>
    <w:rsid w:val="00973F57"/>
    <w:rsid w:val="00975E32"/>
    <w:rsid w:val="0097617A"/>
    <w:rsid w:val="009801E8"/>
    <w:rsid w:val="00984E15"/>
    <w:rsid w:val="009850A7"/>
    <w:rsid w:val="00985186"/>
    <w:rsid w:val="0098722D"/>
    <w:rsid w:val="0098771B"/>
    <w:rsid w:val="00987E45"/>
    <w:rsid w:val="009919C1"/>
    <w:rsid w:val="00991B8D"/>
    <w:rsid w:val="00993091"/>
    <w:rsid w:val="00994EA4"/>
    <w:rsid w:val="00995153"/>
    <w:rsid w:val="00996482"/>
    <w:rsid w:val="00996483"/>
    <w:rsid w:val="00996F5A"/>
    <w:rsid w:val="0099708D"/>
    <w:rsid w:val="009A19FE"/>
    <w:rsid w:val="009A3861"/>
    <w:rsid w:val="009A6694"/>
    <w:rsid w:val="009A6B74"/>
    <w:rsid w:val="009A6EAF"/>
    <w:rsid w:val="009B041A"/>
    <w:rsid w:val="009B04BA"/>
    <w:rsid w:val="009B07F3"/>
    <w:rsid w:val="009B0B98"/>
    <w:rsid w:val="009B0C0D"/>
    <w:rsid w:val="009B2397"/>
    <w:rsid w:val="009B3AC6"/>
    <w:rsid w:val="009B45E8"/>
    <w:rsid w:val="009B64F0"/>
    <w:rsid w:val="009B6DC4"/>
    <w:rsid w:val="009B7A4A"/>
    <w:rsid w:val="009C2FF5"/>
    <w:rsid w:val="009C37C3"/>
    <w:rsid w:val="009C3908"/>
    <w:rsid w:val="009C4627"/>
    <w:rsid w:val="009C6910"/>
    <w:rsid w:val="009C6A6B"/>
    <w:rsid w:val="009C7A34"/>
    <w:rsid w:val="009C7C86"/>
    <w:rsid w:val="009D119A"/>
    <w:rsid w:val="009D2FF7"/>
    <w:rsid w:val="009D3480"/>
    <w:rsid w:val="009D3C20"/>
    <w:rsid w:val="009D46AC"/>
    <w:rsid w:val="009D57CA"/>
    <w:rsid w:val="009D7F5B"/>
    <w:rsid w:val="009E07C2"/>
    <w:rsid w:val="009E0B0B"/>
    <w:rsid w:val="009E2DF3"/>
    <w:rsid w:val="009E4FB9"/>
    <w:rsid w:val="009E53CA"/>
    <w:rsid w:val="009E7042"/>
    <w:rsid w:val="009E7884"/>
    <w:rsid w:val="009E788A"/>
    <w:rsid w:val="009F01B9"/>
    <w:rsid w:val="009F0963"/>
    <w:rsid w:val="009F0B52"/>
    <w:rsid w:val="009F0E08"/>
    <w:rsid w:val="009F11EF"/>
    <w:rsid w:val="009F1BF3"/>
    <w:rsid w:val="009F2069"/>
    <w:rsid w:val="009F2A54"/>
    <w:rsid w:val="009F2B53"/>
    <w:rsid w:val="009F43AF"/>
    <w:rsid w:val="009F5558"/>
    <w:rsid w:val="00A014A0"/>
    <w:rsid w:val="00A01E26"/>
    <w:rsid w:val="00A02A78"/>
    <w:rsid w:val="00A049D4"/>
    <w:rsid w:val="00A06077"/>
    <w:rsid w:val="00A06CC8"/>
    <w:rsid w:val="00A12BE6"/>
    <w:rsid w:val="00A13515"/>
    <w:rsid w:val="00A14FA5"/>
    <w:rsid w:val="00A16B35"/>
    <w:rsid w:val="00A1733B"/>
    <w:rsid w:val="00A1763D"/>
    <w:rsid w:val="00A17CEC"/>
    <w:rsid w:val="00A20818"/>
    <w:rsid w:val="00A21B12"/>
    <w:rsid w:val="00A21CF5"/>
    <w:rsid w:val="00A2234E"/>
    <w:rsid w:val="00A225BF"/>
    <w:rsid w:val="00A2297A"/>
    <w:rsid w:val="00A23B5B"/>
    <w:rsid w:val="00A24448"/>
    <w:rsid w:val="00A251B6"/>
    <w:rsid w:val="00A25216"/>
    <w:rsid w:val="00A26577"/>
    <w:rsid w:val="00A276F2"/>
    <w:rsid w:val="00A27BFF"/>
    <w:rsid w:val="00A27EF0"/>
    <w:rsid w:val="00A30CCF"/>
    <w:rsid w:val="00A34058"/>
    <w:rsid w:val="00A35EC2"/>
    <w:rsid w:val="00A3764B"/>
    <w:rsid w:val="00A4152E"/>
    <w:rsid w:val="00A41F60"/>
    <w:rsid w:val="00A45674"/>
    <w:rsid w:val="00A46945"/>
    <w:rsid w:val="00A46A2E"/>
    <w:rsid w:val="00A50B20"/>
    <w:rsid w:val="00A51390"/>
    <w:rsid w:val="00A51B92"/>
    <w:rsid w:val="00A52755"/>
    <w:rsid w:val="00A52877"/>
    <w:rsid w:val="00A53132"/>
    <w:rsid w:val="00A5405B"/>
    <w:rsid w:val="00A54847"/>
    <w:rsid w:val="00A54FC6"/>
    <w:rsid w:val="00A55513"/>
    <w:rsid w:val="00A56821"/>
    <w:rsid w:val="00A56B1F"/>
    <w:rsid w:val="00A56BEB"/>
    <w:rsid w:val="00A5708B"/>
    <w:rsid w:val="00A57C46"/>
    <w:rsid w:val="00A602BD"/>
    <w:rsid w:val="00A60569"/>
    <w:rsid w:val="00A609A3"/>
    <w:rsid w:val="00A60D13"/>
    <w:rsid w:val="00A6297E"/>
    <w:rsid w:val="00A629AC"/>
    <w:rsid w:val="00A6440B"/>
    <w:rsid w:val="00A64571"/>
    <w:rsid w:val="00A66793"/>
    <w:rsid w:val="00A671EE"/>
    <w:rsid w:val="00A677EC"/>
    <w:rsid w:val="00A71960"/>
    <w:rsid w:val="00A72067"/>
    <w:rsid w:val="00A72654"/>
    <w:rsid w:val="00A72745"/>
    <w:rsid w:val="00A7288A"/>
    <w:rsid w:val="00A7638B"/>
    <w:rsid w:val="00A76EFC"/>
    <w:rsid w:val="00A771FC"/>
    <w:rsid w:val="00A80141"/>
    <w:rsid w:val="00A801AA"/>
    <w:rsid w:val="00A8087A"/>
    <w:rsid w:val="00A82471"/>
    <w:rsid w:val="00A843CD"/>
    <w:rsid w:val="00A87534"/>
    <w:rsid w:val="00A87ACE"/>
    <w:rsid w:val="00A87C64"/>
    <w:rsid w:val="00A87E95"/>
    <w:rsid w:val="00A9072E"/>
    <w:rsid w:val="00A91010"/>
    <w:rsid w:val="00A91D87"/>
    <w:rsid w:val="00A92064"/>
    <w:rsid w:val="00A9267F"/>
    <w:rsid w:val="00A92979"/>
    <w:rsid w:val="00A951CE"/>
    <w:rsid w:val="00A958AE"/>
    <w:rsid w:val="00A97655"/>
    <w:rsid w:val="00A9765B"/>
    <w:rsid w:val="00A97A77"/>
    <w:rsid w:val="00A97F29"/>
    <w:rsid w:val="00AA3CEA"/>
    <w:rsid w:val="00AA4F5E"/>
    <w:rsid w:val="00AA64A3"/>
    <w:rsid w:val="00AA68FB"/>
    <w:rsid w:val="00AA702E"/>
    <w:rsid w:val="00AA70B3"/>
    <w:rsid w:val="00AA73D2"/>
    <w:rsid w:val="00AB0964"/>
    <w:rsid w:val="00AB25B1"/>
    <w:rsid w:val="00AB2D60"/>
    <w:rsid w:val="00AB305F"/>
    <w:rsid w:val="00AB4041"/>
    <w:rsid w:val="00AB4482"/>
    <w:rsid w:val="00AB4C81"/>
    <w:rsid w:val="00AB4E2C"/>
    <w:rsid w:val="00AB5011"/>
    <w:rsid w:val="00AB5D83"/>
    <w:rsid w:val="00AB63A3"/>
    <w:rsid w:val="00AB701E"/>
    <w:rsid w:val="00AB7DBF"/>
    <w:rsid w:val="00AC08E3"/>
    <w:rsid w:val="00AC0FA0"/>
    <w:rsid w:val="00AC141E"/>
    <w:rsid w:val="00AC43E3"/>
    <w:rsid w:val="00AC47C0"/>
    <w:rsid w:val="00AC6962"/>
    <w:rsid w:val="00AC7354"/>
    <w:rsid w:val="00AC7368"/>
    <w:rsid w:val="00AC7A73"/>
    <w:rsid w:val="00AC7E88"/>
    <w:rsid w:val="00AD16B9"/>
    <w:rsid w:val="00AD3388"/>
    <w:rsid w:val="00AD4243"/>
    <w:rsid w:val="00AD51BA"/>
    <w:rsid w:val="00AD584C"/>
    <w:rsid w:val="00AE12DA"/>
    <w:rsid w:val="00AE2763"/>
    <w:rsid w:val="00AE377D"/>
    <w:rsid w:val="00AE3EE8"/>
    <w:rsid w:val="00AE3FD4"/>
    <w:rsid w:val="00AE4C1F"/>
    <w:rsid w:val="00AE5157"/>
    <w:rsid w:val="00AE5840"/>
    <w:rsid w:val="00AE7014"/>
    <w:rsid w:val="00AF0A87"/>
    <w:rsid w:val="00AF1A78"/>
    <w:rsid w:val="00AF2F45"/>
    <w:rsid w:val="00AF33E3"/>
    <w:rsid w:val="00AF59D4"/>
    <w:rsid w:val="00AF6C75"/>
    <w:rsid w:val="00B00A21"/>
    <w:rsid w:val="00B00B03"/>
    <w:rsid w:val="00B011D4"/>
    <w:rsid w:val="00B02C8A"/>
    <w:rsid w:val="00B04C0F"/>
    <w:rsid w:val="00B04F67"/>
    <w:rsid w:val="00B05E54"/>
    <w:rsid w:val="00B06DCA"/>
    <w:rsid w:val="00B06E50"/>
    <w:rsid w:val="00B107BE"/>
    <w:rsid w:val="00B11330"/>
    <w:rsid w:val="00B12A8A"/>
    <w:rsid w:val="00B12F47"/>
    <w:rsid w:val="00B14D20"/>
    <w:rsid w:val="00B15DE4"/>
    <w:rsid w:val="00B1683F"/>
    <w:rsid w:val="00B1722F"/>
    <w:rsid w:val="00B17E7D"/>
    <w:rsid w:val="00B17FBD"/>
    <w:rsid w:val="00B17FF6"/>
    <w:rsid w:val="00B219FD"/>
    <w:rsid w:val="00B21BDD"/>
    <w:rsid w:val="00B21C6E"/>
    <w:rsid w:val="00B2273A"/>
    <w:rsid w:val="00B23106"/>
    <w:rsid w:val="00B23E68"/>
    <w:rsid w:val="00B27FD6"/>
    <w:rsid w:val="00B315A6"/>
    <w:rsid w:val="00B31813"/>
    <w:rsid w:val="00B32128"/>
    <w:rsid w:val="00B32B34"/>
    <w:rsid w:val="00B32DFA"/>
    <w:rsid w:val="00B33365"/>
    <w:rsid w:val="00B3385E"/>
    <w:rsid w:val="00B34934"/>
    <w:rsid w:val="00B355AE"/>
    <w:rsid w:val="00B35741"/>
    <w:rsid w:val="00B35C82"/>
    <w:rsid w:val="00B36BEA"/>
    <w:rsid w:val="00B36C23"/>
    <w:rsid w:val="00B371FE"/>
    <w:rsid w:val="00B37470"/>
    <w:rsid w:val="00B37D19"/>
    <w:rsid w:val="00B37D27"/>
    <w:rsid w:val="00B4020D"/>
    <w:rsid w:val="00B40588"/>
    <w:rsid w:val="00B41A68"/>
    <w:rsid w:val="00B41B3C"/>
    <w:rsid w:val="00B4251D"/>
    <w:rsid w:val="00B44B1B"/>
    <w:rsid w:val="00B4536B"/>
    <w:rsid w:val="00B46CEE"/>
    <w:rsid w:val="00B47001"/>
    <w:rsid w:val="00B47009"/>
    <w:rsid w:val="00B47309"/>
    <w:rsid w:val="00B47C9F"/>
    <w:rsid w:val="00B500C7"/>
    <w:rsid w:val="00B50F06"/>
    <w:rsid w:val="00B51205"/>
    <w:rsid w:val="00B52881"/>
    <w:rsid w:val="00B5338E"/>
    <w:rsid w:val="00B542FD"/>
    <w:rsid w:val="00B5468A"/>
    <w:rsid w:val="00B57B36"/>
    <w:rsid w:val="00B605FA"/>
    <w:rsid w:val="00B60E99"/>
    <w:rsid w:val="00B61917"/>
    <w:rsid w:val="00B62ACF"/>
    <w:rsid w:val="00B6504B"/>
    <w:rsid w:val="00B659D7"/>
    <w:rsid w:val="00B66419"/>
    <w:rsid w:val="00B66BFC"/>
    <w:rsid w:val="00B67D85"/>
    <w:rsid w:val="00B7145C"/>
    <w:rsid w:val="00B72691"/>
    <w:rsid w:val="00B72ED6"/>
    <w:rsid w:val="00B743CD"/>
    <w:rsid w:val="00B7441E"/>
    <w:rsid w:val="00B74F78"/>
    <w:rsid w:val="00B75994"/>
    <w:rsid w:val="00B77674"/>
    <w:rsid w:val="00B807C9"/>
    <w:rsid w:val="00B80809"/>
    <w:rsid w:val="00B80BDF"/>
    <w:rsid w:val="00B81671"/>
    <w:rsid w:val="00B81B00"/>
    <w:rsid w:val="00B81C68"/>
    <w:rsid w:val="00B84A8A"/>
    <w:rsid w:val="00B851D6"/>
    <w:rsid w:val="00B86342"/>
    <w:rsid w:val="00B8686D"/>
    <w:rsid w:val="00B90130"/>
    <w:rsid w:val="00B921AB"/>
    <w:rsid w:val="00B924E8"/>
    <w:rsid w:val="00B95056"/>
    <w:rsid w:val="00B96569"/>
    <w:rsid w:val="00B96D34"/>
    <w:rsid w:val="00B96D43"/>
    <w:rsid w:val="00BA03AF"/>
    <w:rsid w:val="00BA0AE4"/>
    <w:rsid w:val="00BA17C5"/>
    <w:rsid w:val="00BA3DBB"/>
    <w:rsid w:val="00BA3DC2"/>
    <w:rsid w:val="00BA3FB0"/>
    <w:rsid w:val="00BA5922"/>
    <w:rsid w:val="00BA6ACC"/>
    <w:rsid w:val="00BB0462"/>
    <w:rsid w:val="00BB1323"/>
    <w:rsid w:val="00BB14CE"/>
    <w:rsid w:val="00BB154C"/>
    <w:rsid w:val="00BB15FE"/>
    <w:rsid w:val="00BB1933"/>
    <w:rsid w:val="00BB1DDC"/>
    <w:rsid w:val="00BB2108"/>
    <w:rsid w:val="00BB271C"/>
    <w:rsid w:val="00BB343D"/>
    <w:rsid w:val="00BB3B4E"/>
    <w:rsid w:val="00BB4421"/>
    <w:rsid w:val="00BB6D9C"/>
    <w:rsid w:val="00BB7192"/>
    <w:rsid w:val="00BB726E"/>
    <w:rsid w:val="00BB7922"/>
    <w:rsid w:val="00BB7A57"/>
    <w:rsid w:val="00BC2A5E"/>
    <w:rsid w:val="00BC2EDF"/>
    <w:rsid w:val="00BC30C9"/>
    <w:rsid w:val="00BC3988"/>
    <w:rsid w:val="00BD15EB"/>
    <w:rsid w:val="00BD209E"/>
    <w:rsid w:val="00BD69A2"/>
    <w:rsid w:val="00BD7AF0"/>
    <w:rsid w:val="00BE018F"/>
    <w:rsid w:val="00BE033C"/>
    <w:rsid w:val="00BE098A"/>
    <w:rsid w:val="00BE1DE3"/>
    <w:rsid w:val="00BE2C67"/>
    <w:rsid w:val="00BE3E58"/>
    <w:rsid w:val="00BE482F"/>
    <w:rsid w:val="00BE629C"/>
    <w:rsid w:val="00BE7655"/>
    <w:rsid w:val="00BE7BC3"/>
    <w:rsid w:val="00BE7F88"/>
    <w:rsid w:val="00BF0555"/>
    <w:rsid w:val="00BF05BE"/>
    <w:rsid w:val="00BF23B7"/>
    <w:rsid w:val="00BF545C"/>
    <w:rsid w:val="00BF54FE"/>
    <w:rsid w:val="00BF6975"/>
    <w:rsid w:val="00BF6B18"/>
    <w:rsid w:val="00BF7AFE"/>
    <w:rsid w:val="00C00CF6"/>
    <w:rsid w:val="00C01616"/>
    <w:rsid w:val="00C0162B"/>
    <w:rsid w:val="00C01A27"/>
    <w:rsid w:val="00C021D9"/>
    <w:rsid w:val="00C02531"/>
    <w:rsid w:val="00C0358A"/>
    <w:rsid w:val="00C068ED"/>
    <w:rsid w:val="00C06C3B"/>
    <w:rsid w:val="00C07CDE"/>
    <w:rsid w:val="00C110F0"/>
    <w:rsid w:val="00C11594"/>
    <w:rsid w:val="00C14870"/>
    <w:rsid w:val="00C16A1E"/>
    <w:rsid w:val="00C16A50"/>
    <w:rsid w:val="00C20B5B"/>
    <w:rsid w:val="00C20FD4"/>
    <w:rsid w:val="00C22457"/>
    <w:rsid w:val="00C2251B"/>
    <w:rsid w:val="00C23F00"/>
    <w:rsid w:val="00C24781"/>
    <w:rsid w:val="00C2479D"/>
    <w:rsid w:val="00C268E7"/>
    <w:rsid w:val="00C3190D"/>
    <w:rsid w:val="00C32C19"/>
    <w:rsid w:val="00C3400B"/>
    <w:rsid w:val="00C345B1"/>
    <w:rsid w:val="00C345FF"/>
    <w:rsid w:val="00C346A1"/>
    <w:rsid w:val="00C369F6"/>
    <w:rsid w:val="00C3715B"/>
    <w:rsid w:val="00C372EC"/>
    <w:rsid w:val="00C37BAD"/>
    <w:rsid w:val="00C40142"/>
    <w:rsid w:val="00C4229E"/>
    <w:rsid w:val="00C42A53"/>
    <w:rsid w:val="00C42D83"/>
    <w:rsid w:val="00C44769"/>
    <w:rsid w:val="00C456E8"/>
    <w:rsid w:val="00C471C8"/>
    <w:rsid w:val="00C50921"/>
    <w:rsid w:val="00C53938"/>
    <w:rsid w:val="00C55A4A"/>
    <w:rsid w:val="00C55DCA"/>
    <w:rsid w:val="00C5602B"/>
    <w:rsid w:val="00C56615"/>
    <w:rsid w:val="00C569F8"/>
    <w:rsid w:val="00C56B40"/>
    <w:rsid w:val="00C57182"/>
    <w:rsid w:val="00C57863"/>
    <w:rsid w:val="00C57B98"/>
    <w:rsid w:val="00C61082"/>
    <w:rsid w:val="00C61552"/>
    <w:rsid w:val="00C61768"/>
    <w:rsid w:val="00C624B4"/>
    <w:rsid w:val="00C628F7"/>
    <w:rsid w:val="00C63C9C"/>
    <w:rsid w:val="00C64B39"/>
    <w:rsid w:val="00C655FD"/>
    <w:rsid w:val="00C67598"/>
    <w:rsid w:val="00C675C5"/>
    <w:rsid w:val="00C70398"/>
    <w:rsid w:val="00C72941"/>
    <w:rsid w:val="00C73B76"/>
    <w:rsid w:val="00C742C5"/>
    <w:rsid w:val="00C75407"/>
    <w:rsid w:val="00C754DC"/>
    <w:rsid w:val="00C75979"/>
    <w:rsid w:val="00C764B9"/>
    <w:rsid w:val="00C76AE7"/>
    <w:rsid w:val="00C76F31"/>
    <w:rsid w:val="00C772A4"/>
    <w:rsid w:val="00C804F2"/>
    <w:rsid w:val="00C809D8"/>
    <w:rsid w:val="00C82A01"/>
    <w:rsid w:val="00C83D57"/>
    <w:rsid w:val="00C83F87"/>
    <w:rsid w:val="00C86334"/>
    <w:rsid w:val="00C870A8"/>
    <w:rsid w:val="00C87454"/>
    <w:rsid w:val="00C900F8"/>
    <w:rsid w:val="00C903CE"/>
    <w:rsid w:val="00C90B01"/>
    <w:rsid w:val="00C91479"/>
    <w:rsid w:val="00C9195C"/>
    <w:rsid w:val="00C93252"/>
    <w:rsid w:val="00C93A56"/>
    <w:rsid w:val="00C94434"/>
    <w:rsid w:val="00C9793A"/>
    <w:rsid w:val="00CA0D75"/>
    <w:rsid w:val="00CA14C2"/>
    <w:rsid w:val="00CA1C95"/>
    <w:rsid w:val="00CA2E37"/>
    <w:rsid w:val="00CA2F8E"/>
    <w:rsid w:val="00CA3090"/>
    <w:rsid w:val="00CA3389"/>
    <w:rsid w:val="00CA3E1A"/>
    <w:rsid w:val="00CA435D"/>
    <w:rsid w:val="00CA476E"/>
    <w:rsid w:val="00CA49DB"/>
    <w:rsid w:val="00CA4A58"/>
    <w:rsid w:val="00CA4D28"/>
    <w:rsid w:val="00CA548F"/>
    <w:rsid w:val="00CA5A9C"/>
    <w:rsid w:val="00CA6876"/>
    <w:rsid w:val="00CA68D5"/>
    <w:rsid w:val="00CA7CD5"/>
    <w:rsid w:val="00CB08E6"/>
    <w:rsid w:val="00CB16A2"/>
    <w:rsid w:val="00CB3005"/>
    <w:rsid w:val="00CB386A"/>
    <w:rsid w:val="00CB3BB0"/>
    <w:rsid w:val="00CB3C59"/>
    <w:rsid w:val="00CB415F"/>
    <w:rsid w:val="00CB6403"/>
    <w:rsid w:val="00CB77D9"/>
    <w:rsid w:val="00CC2902"/>
    <w:rsid w:val="00CC2956"/>
    <w:rsid w:val="00CC4C20"/>
    <w:rsid w:val="00CC5CD6"/>
    <w:rsid w:val="00CC5E56"/>
    <w:rsid w:val="00CC648F"/>
    <w:rsid w:val="00CC6C0C"/>
    <w:rsid w:val="00CC7946"/>
    <w:rsid w:val="00CD0877"/>
    <w:rsid w:val="00CD107B"/>
    <w:rsid w:val="00CD3517"/>
    <w:rsid w:val="00CD38C3"/>
    <w:rsid w:val="00CD41C5"/>
    <w:rsid w:val="00CD4701"/>
    <w:rsid w:val="00CD4BCA"/>
    <w:rsid w:val="00CD5FE2"/>
    <w:rsid w:val="00CD7EED"/>
    <w:rsid w:val="00CE00EC"/>
    <w:rsid w:val="00CE0F08"/>
    <w:rsid w:val="00CE1F39"/>
    <w:rsid w:val="00CE4630"/>
    <w:rsid w:val="00CE7294"/>
    <w:rsid w:val="00CE7C68"/>
    <w:rsid w:val="00CF24C0"/>
    <w:rsid w:val="00CF275B"/>
    <w:rsid w:val="00CF334E"/>
    <w:rsid w:val="00CF3A8A"/>
    <w:rsid w:val="00CF4209"/>
    <w:rsid w:val="00CF4DF3"/>
    <w:rsid w:val="00CF50BB"/>
    <w:rsid w:val="00CF5720"/>
    <w:rsid w:val="00CF5CF2"/>
    <w:rsid w:val="00CF60ED"/>
    <w:rsid w:val="00CF7294"/>
    <w:rsid w:val="00CF74D1"/>
    <w:rsid w:val="00CF7582"/>
    <w:rsid w:val="00D008E2"/>
    <w:rsid w:val="00D028AB"/>
    <w:rsid w:val="00D02B4C"/>
    <w:rsid w:val="00D03392"/>
    <w:rsid w:val="00D040C4"/>
    <w:rsid w:val="00D05541"/>
    <w:rsid w:val="00D05CD7"/>
    <w:rsid w:val="00D05DEF"/>
    <w:rsid w:val="00D06439"/>
    <w:rsid w:val="00D06FE3"/>
    <w:rsid w:val="00D106CF"/>
    <w:rsid w:val="00D10AD0"/>
    <w:rsid w:val="00D13161"/>
    <w:rsid w:val="00D131BA"/>
    <w:rsid w:val="00D131BC"/>
    <w:rsid w:val="00D146A1"/>
    <w:rsid w:val="00D15D2F"/>
    <w:rsid w:val="00D165D8"/>
    <w:rsid w:val="00D175F2"/>
    <w:rsid w:val="00D2149F"/>
    <w:rsid w:val="00D21D97"/>
    <w:rsid w:val="00D22343"/>
    <w:rsid w:val="00D26161"/>
    <w:rsid w:val="00D26D7A"/>
    <w:rsid w:val="00D306B1"/>
    <w:rsid w:val="00D30AB5"/>
    <w:rsid w:val="00D31DF7"/>
    <w:rsid w:val="00D33F94"/>
    <w:rsid w:val="00D349B6"/>
    <w:rsid w:val="00D3528F"/>
    <w:rsid w:val="00D354FE"/>
    <w:rsid w:val="00D37264"/>
    <w:rsid w:val="00D402A4"/>
    <w:rsid w:val="00D40D42"/>
    <w:rsid w:val="00D4118F"/>
    <w:rsid w:val="00D429E3"/>
    <w:rsid w:val="00D43F38"/>
    <w:rsid w:val="00D47A8D"/>
    <w:rsid w:val="00D50A63"/>
    <w:rsid w:val="00D512AD"/>
    <w:rsid w:val="00D51593"/>
    <w:rsid w:val="00D51A5B"/>
    <w:rsid w:val="00D523DF"/>
    <w:rsid w:val="00D53508"/>
    <w:rsid w:val="00D53B22"/>
    <w:rsid w:val="00D568C8"/>
    <w:rsid w:val="00D57246"/>
    <w:rsid w:val="00D57C84"/>
    <w:rsid w:val="00D6057D"/>
    <w:rsid w:val="00D6109A"/>
    <w:rsid w:val="00D6224E"/>
    <w:rsid w:val="00D627A5"/>
    <w:rsid w:val="00D640E8"/>
    <w:rsid w:val="00D661C0"/>
    <w:rsid w:val="00D66643"/>
    <w:rsid w:val="00D67148"/>
    <w:rsid w:val="00D675BB"/>
    <w:rsid w:val="00D6798E"/>
    <w:rsid w:val="00D67E38"/>
    <w:rsid w:val="00D71825"/>
    <w:rsid w:val="00D727EA"/>
    <w:rsid w:val="00D73A5A"/>
    <w:rsid w:val="00D757D2"/>
    <w:rsid w:val="00D759CB"/>
    <w:rsid w:val="00D8174C"/>
    <w:rsid w:val="00D830BE"/>
    <w:rsid w:val="00D830C3"/>
    <w:rsid w:val="00D836C5"/>
    <w:rsid w:val="00D83C8B"/>
    <w:rsid w:val="00D8424C"/>
    <w:rsid w:val="00D843A9"/>
    <w:rsid w:val="00D84576"/>
    <w:rsid w:val="00D84C16"/>
    <w:rsid w:val="00D8714C"/>
    <w:rsid w:val="00D875C8"/>
    <w:rsid w:val="00D91393"/>
    <w:rsid w:val="00D925D6"/>
    <w:rsid w:val="00D950A9"/>
    <w:rsid w:val="00D95EDE"/>
    <w:rsid w:val="00D97F45"/>
    <w:rsid w:val="00DA1399"/>
    <w:rsid w:val="00DA24C6"/>
    <w:rsid w:val="00DA2F4D"/>
    <w:rsid w:val="00DA4D7B"/>
    <w:rsid w:val="00DA56FA"/>
    <w:rsid w:val="00DA5E34"/>
    <w:rsid w:val="00DA6017"/>
    <w:rsid w:val="00DA6751"/>
    <w:rsid w:val="00DA7AE1"/>
    <w:rsid w:val="00DB03E8"/>
    <w:rsid w:val="00DB3990"/>
    <w:rsid w:val="00DB41B4"/>
    <w:rsid w:val="00DB429F"/>
    <w:rsid w:val="00DB617B"/>
    <w:rsid w:val="00DB6A2D"/>
    <w:rsid w:val="00DB6D83"/>
    <w:rsid w:val="00DB7C19"/>
    <w:rsid w:val="00DC086D"/>
    <w:rsid w:val="00DC58EA"/>
    <w:rsid w:val="00DC69DC"/>
    <w:rsid w:val="00DC7C95"/>
    <w:rsid w:val="00DC7EC3"/>
    <w:rsid w:val="00DD0CC0"/>
    <w:rsid w:val="00DD17D6"/>
    <w:rsid w:val="00DD21E9"/>
    <w:rsid w:val="00DD261B"/>
    <w:rsid w:val="00DD2DE5"/>
    <w:rsid w:val="00DD2E18"/>
    <w:rsid w:val="00DD3ADC"/>
    <w:rsid w:val="00DD496E"/>
    <w:rsid w:val="00DD6754"/>
    <w:rsid w:val="00DD6CDB"/>
    <w:rsid w:val="00DD6EFB"/>
    <w:rsid w:val="00DE1BC2"/>
    <w:rsid w:val="00DE264A"/>
    <w:rsid w:val="00DE4F3A"/>
    <w:rsid w:val="00DE5FB6"/>
    <w:rsid w:val="00DF0BC3"/>
    <w:rsid w:val="00DF1B34"/>
    <w:rsid w:val="00DF39AE"/>
    <w:rsid w:val="00DF3F16"/>
    <w:rsid w:val="00DF5072"/>
    <w:rsid w:val="00DF5389"/>
    <w:rsid w:val="00E00688"/>
    <w:rsid w:val="00E01D4D"/>
    <w:rsid w:val="00E02927"/>
    <w:rsid w:val="00E029BF"/>
    <w:rsid w:val="00E02D18"/>
    <w:rsid w:val="00E03AA7"/>
    <w:rsid w:val="00E03D97"/>
    <w:rsid w:val="00E03E0F"/>
    <w:rsid w:val="00E041E7"/>
    <w:rsid w:val="00E05F59"/>
    <w:rsid w:val="00E06132"/>
    <w:rsid w:val="00E072AD"/>
    <w:rsid w:val="00E07C22"/>
    <w:rsid w:val="00E11FF3"/>
    <w:rsid w:val="00E136E1"/>
    <w:rsid w:val="00E144FF"/>
    <w:rsid w:val="00E17466"/>
    <w:rsid w:val="00E202BD"/>
    <w:rsid w:val="00E207EC"/>
    <w:rsid w:val="00E237A6"/>
    <w:rsid w:val="00E238CF"/>
    <w:rsid w:val="00E23CA1"/>
    <w:rsid w:val="00E24CC0"/>
    <w:rsid w:val="00E268FD"/>
    <w:rsid w:val="00E2708D"/>
    <w:rsid w:val="00E275B8"/>
    <w:rsid w:val="00E318EC"/>
    <w:rsid w:val="00E32817"/>
    <w:rsid w:val="00E3295D"/>
    <w:rsid w:val="00E3505D"/>
    <w:rsid w:val="00E3610D"/>
    <w:rsid w:val="00E3685B"/>
    <w:rsid w:val="00E36E30"/>
    <w:rsid w:val="00E37A13"/>
    <w:rsid w:val="00E409A8"/>
    <w:rsid w:val="00E41FE0"/>
    <w:rsid w:val="00E50B5C"/>
    <w:rsid w:val="00E50C12"/>
    <w:rsid w:val="00E5100B"/>
    <w:rsid w:val="00E5102F"/>
    <w:rsid w:val="00E52072"/>
    <w:rsid w:val="00E53917"/>
    <w:rsid w:val="00E61B8A"/>
    <w:rsid w:val="00E63A1D"/>
    <w:rsid w:val="00E63E18"/>
    <w:rsid w:val="00E6479D"/>
    <w:rsid w:val="00E65347"/>
    <w:rsid w:val="00E65B91"/>
    <w:rsid w:val="00E66281"/>
    <w:rsid w:val="00E665A9"/>
    <w:rsid w:val="00E665D8"/>
    <w:rsid w:val="00E6742F"/>
    <w:rsid w:val="00E7209D"/>
    <w:rsid w:val="00E72650"/>
    <w:rsid w:val="00E72652"/>
    <w:rsid w:val="00E7278D"/>
    <w:rsid w:val="00E73D4C"/>
    <w:rsid w:val="00E7647B"/>
    <w:rsid w:val="00E77223"/>
    <w:rsid w:val="00E778B0"/>
    <w:rsid w:val="00E81909"/>
    <w:rsid w:val="00E8203F"/>
    <w:rsid w:val="00E824FA"/>
    <w:rsid w:val="00E8355A"/>
    <w:rsid w:val="00E8528B"/>
    <w:rsid w:val="00E85B94"/>
    <w:rsid w:val="00E85CCA"/>
    <w:rsid w:val="00E90291"/>
    <w:rsid w:val="00E902B3"/>
    <w:rsid w:val="00E909D7"/>
    <w:rsid w:val="00E90F24"/>
    <w:rsid w:val="00E926C0"/>
    <w:rsid w:val="00E929C5"/>
    <w:rsid w:val="00E94A64"/>
    <w:rsid w:val="00E964E5"/>
    <w:rsid w:val="00E978D0"/>
    <w:rsid w:val="00EA01CC"/>
    <w:rsid w:val="00EA028B"/>
    <w:rsid w:val="00EA2E81"/>
    <w:rsid w:val="00EA43DA"/>
    <w:rsid w:val="00EA4613"/>
    <w:rsid w:val="00EA5E50"/>
    <w:rsid w:val="00EA79AF"/>
    <w:rsid w:val="00EA7F91"/>
    <w:rsid w:val="00EB0198"/>
    <w:rsid w:val="00EB1523"/>
    <w:rsid w:val="00EB184C"/>
    <w:rsid w:val="00EB1EC5"/>
    <w:rsid w:val="00EB2FE1"/>
    <w:rsid w:val="00EB446F"/>
    <w:rsid w:val="00EB587E"/>
    <w:rsid w:val="00EB6740"/>
    <w:rsid w:val="00EC0E49"/>
    <w:rsid w:val="00EC101F"/>
    <w:rsid w:val="00EC1886"/>
    <w:rsid w:val="00EC2635"/>
    <w:rsid w:val="00EC269F"/>
    <w:rsid w:val="00EC3EF9"/>
    <w:rsid w:val="00EC60DF"/>
    <w:rsid w:val="00EC624C"/>
    <w:rsid w:val="00EC6890"/>
    <w:rsid w:val="00EC7696"/>
    <w:rsid w:val="00EC79AA"/>
    <w:rsid w:val="00ED05B4"/>
    <w:rsid w:val="00ED0F67"/>
    <w:rsid w:val="00ED2375"/>
    <w:rsid w:val="00ED2D0D"/>
    <w:rsid w:val="00ED36AF"/>
    <w:rsid w:val="00ED4AD5"/>
    <w:rsid w:val="00ED5003"/>
    <w:rsid w:val="00ED5CA7"/>
    <w:rsid w:val="00ED6269"/>
    <w:rsid w:val="00ED7746"/>
    <w:rsid w:val="00ED78CF"/>
    <w:rsid w:val="00ED7D92"/>
    <w:rsid w:val="00EE0131"/>
    <w:rsid w:val="00EE0803"/>
    <w:rsid w:val="00EE0A2C"/>
    <w:rsid w:val="00EE1641"/>
    <w:rsid w:val="00EE17B0"/>
    <w:rsid w:val="00EE17E9"/>
    <w:rsid w:val="00EE293A"/>
    <w:rsid w:val="00EE2A3F"/>
    <w:rsid w:val="00EE461B"/>
    <w:rsid w:val="00EE5955"/>
    <w:rsid w:val="00EE6077"/>
    <w:rsid w:val="00EE6C24"/>
    <w:rsid w:val="00EE75FE"/>
    <w:rsid w:val="00EF04F7"/>
    <w:rsid w:val="00EF0559"/>
    <w:rsid w:val="00EF06D9"/>
    <w:rsid w:val="00EF287D"/>
    <w:rsid w:val="00EF2FB4"/>
    <w:rsid w:val="00EF5088"/>
    <w:rsid w:val="00EF6891"/>
    <w:rsid w:val="00EF746A"/>
    <w:rsid w:val="00EF7B3D"/>
    <w:rsid w:val="00EF7B87"/>
    <w:rsid w:val="00F0088E"/>
    <w:rsid w:val="00F01C57"/>
    <w:rsid w:val="00F02BD1"/>
    <w:rsid w:val="00F02D74"/>
    <w:rsid w:val="00F0314E"/>
    <w:rsid w:val="00F045E3"/>
    <w:rsid w:val="00F04E4D"/>
    <w:rsid w:val="00F051C2"/>
    <w:rsid w:val="00F059A2"/>
    <w:rsid w:val="00F06C98"/>
    <w:rsid w:val="00F07306"/>
    <w:rsid w:val="00F07EE6"/>
    <w:rsid w:val="00F100DF"/>
    <w:rsid w:val="00F1049F"/>
    <w:rsid w:val="00F104D0"/>
    <w:rsid w:val="00F11E29"/>
    <w:rsid w:val="00F12DC0"/>
    <w:rsid w:val="00F12F20"/>
    <w:rsid w:val="00F13AB0"/>
    <w:rsid w:val="00F141A7"/>
    <w:rsid w:val="00F14380"/>
    <w:rsid w:val="00F147A8"/>
    <w:rsid w:val="00F14B36"/>
    <w:rsid w:val="00F1611C"/>
    <w:rsid w:val="00F16319"/>
    <w:rsid w:val="00F1642E"/>
    <w:rsid w:val="00F1646D"/>
    <w:rsid w:val="00F205E4"/>
    <w:rsid w:val="00F21154"/>
    <w:rsid w:val="00F21434"/>
    <w:rsid w:val="00F215A7"/>
    <w:rsid w:val="00F21714"/>
    <w:rsid w:val="00F2185C"/>
    <w:rsid w:val="00F23645"/>
    <w:rsid w:val="00F2367B"/>
    <w:rsid w:val="00F2381A"/>
    <w:rsid w:val="00F2469A"/>
    <w:rsid w:val="00F24F14"/>
    <w:rsid w:val="00F27A96"/>
    <w:rsid w:val="00F27DF7"/>
    <w:rsid w:val="00F30C64"/>
    <w:rsid w:val="00F31DA5"/>
    <w:rsid w:val="00F31DF7"/>
    <w:rsid w:val="00F32CDB"/>
    <w:rsid w:val="00F33316"/>
    <w:rsid w:val="00F356F8"/>
    <w:rsid w:val="00F35C47"/>
    <w:rsid w:val="00F37353"/>
    <w:rsid w:val="00F375D7"/>
    <w:rsid w:val="00F37B24"/>
    <w:rsid w:val="00F40501"/>
    <w:rsid w:val="00F40D2C"/>
    <w:rsid w:val="00F414C7"/>
    <w:rsid w:val="00F42291"/>
    <w:rsid w:val="00F429B7"/>
    <w:rsid w:val="00F431BD"/>
    <w:rsid w:val="00F43FF9"/>
    <w:rsid w:val="00F45346"/>
    <w:rsid w:val="00F461B4"/>
    <w:rsid w:val="00F46B2C"/>
    <w:rsid w:val="00F47404"/>
    <w:rsid w:val="00F47FC4"/>
    <w:rsid w:val="00F51422"/>
    <w:rsid w:val="00F5168D"/>
    <w:rsid w:val="00F51955"/>
    <w:rsid w:val="00F52925"/>
    <w:rsid w:val="00F52B93"/>
    <w:rsid w:val="00F53763"/>
    <w:rsid w:val="00F542EE"/>
    <w:rsid w:val="00F56936"/>
    <w:rsid w:val="00F56B89"/>
    <w:rsid w:val="00F573C1"/>
    <w:rsid w:val="00F57B9F"/>
    <w:rsid w:val="00F601AE"/>
    <w:rsid w:val="00F6152F"/>
    <w:rsid w:val="00F621B1"/>
    <w:rsid w:val="00F6274C"/>
    <w:rsid w:val="00F62C60"/>
    <w:rsid w:val="00F62FCA"/>
    <w:rsid w:val="00F63A70"/>
    <w:rsid w:val="00F67765"/>
    <w:rsid w:val="00F70DA9"/>
    <w:rsid w:val="00F7122A"/>
    <w:rsid w:val="00F712B5"/>
    <w:rsid w:val="00F72428"/>
    <w:rsid w:val="00F7254E"/>
    <w:rsid w:val="00F73870"/>
    <w:rsid w:val="00F74A52"/>
    <w:rsid w:val="00F74D43"/>
    <w:rsid w:val="00F74E3A"/>
    <w:rsid w:val="00F7662C"/>
    <w:rsid w:val="00F811BB"/>
    <w:rsid w:val="00F81539"/>
    <w:rsid w:val="00F82840"/>
    <w:rsid w:val="00F82BE1"/>
    <w:rsid w:val="00F832A6"/>
    <w:rsid w:val="00F83B96"/>
    <w:rsid w:val="00F84A32"/>
    <w:rsid w:val="00F8742D"/>
    <w:rsid w:val="00F874D2"/>
    <w:rsid w:val="00F87B09"/>
    <w:rsid w:val="00F87DEF"/>
    <w:rsid w:val="00F90A60"/>
    <w:rsid w:val="00F93303"/>
    <w:rsid w:val="00F96BC8"/>
    <w:rsid w:val="00F96C94"/>
    <w:rsid w:val="00F975FB"/>
    <w:rsid w:val="00F977EA"/>
    <w:rsid w:val="00FA21D0"/>
    <w:rsid w:val="00FA4297"/>
    <w:rsid w:val="00FA5F5F"/>
    <w:rsid w:val="00FA6D1A"/>
    <w:rsid w:val="00FA6F41"/>
    <w:rsid w:val="00FA7684"/>
    <w:rsid w:val="00FB4EC4"/>
    <w:rsid w:val="00FB4F2B"/>
    <w:rsid w:val="00FB535A"/>
    <w:rsid w:val="00FB6F5B"/>
    <w:rsid w:val="00FB730C"/>
    <w:rsid w:val="00FC2695"/>
    <w:rsid w:val="00FC302B"/>
    <w:rsid w:val="00FC3E03"/>
    <w:rsid w:val="00FC3FC1"/>
    <w:rsid w:val="00FC525A"/>
    <w:rsid w:val="00FC59FA"/>
    <w:rsid w:val="00FD0A62"/>
    <w:rsid w:val="00FD0CDF"/>
    <w:rsid w:val="00FD1F7F"/>
    <w:rsid w:val="00FD4401"/>
    <w:rsid w:val="00FD4FFA"/>
    <w:rsid w:val="00FD69BB"/>
    <w:rsid w:val="00FD6AF7"/>
    <w:rsid w:val="00FD72A6"/>
    <w:rsid w:val="00FD7C57"/>
    <w:rsid w:val="00FE1479"/>
    <w:rsid w:val="00FE2790"/>
    <w:rsid w:val="00FE35C4"/>
    <w:rsid w:val="00FE4C25"/>
    <w:rsid w:val="00FE4E4B"/>
    <w:rsid w:val="00FE6493"/>
    <w:rsid w:val="00FE7F54"/>
    <w:rsid w:val="00FF05DF"/>
    <w:rsid w:val="00FF0769"/>
    <w:rsid w:val="00FF10EE"/>
    <w:rsid w:val="00FF18FB"/>
    <w:rsid w:val="00FF3B7C"/>
    <w:rsid w:val="00FF4040"/>
    <w:rsid w:val="00FF5856"/>
    <w:rsid w:val="00FF5E68"/>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8777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8777E"/>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5C3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8777E"/>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8777E"/>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5C3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0968">
      <w:bodyDiv w:val="1"/>
      <w:marLeft w:val="0"/>
      <w:marRight w:val="0"/>
      <w:marTop w:val="0"/>
      <w:marBottom w:val="0"/>
      <w:divBdr>
        <w:top w:val="none" w:sz="0" w:space="0" w:color="auto"/>
        <w:left w:val="none" w:sz="0" w:space="0" w:color="auto"/>
        <w:bottom w:val="none" w:sz="0" w:space="0" w:color="auto"/>
        <w:right w:val="none" w:sz="0" w:space="0" w:color="auto"/>
      </w:divBdr>
    </w:div>
    <w:div w:id="254214607">
      <w:bodyDiv w:val="1"/>
      <w:marLeft w:val="0"/>
      <w:marRight w:val="0"/>
      <w:marTop w:val="0"/>
      <w:marBottom w:val="0"/>
      <w:divBdr>
        <w:top w:val="none" w:sz="0" w:space="0" w:color="auto"/>
        <w:left w:val="none" w:sz="0" w:space="0" w:color="auto"/>
        <w:bottom w:val="none" w:sz="0" w:space="0" w:color="auto"/>
        <w:right w:val="none" w:sz="0" w:space="0" w:color="auto"/>
      </w:divBdr>
    </w:div>
    <w:div w:id="63610671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0413">
      <w:bodyDiv w:val="1"/>
      <w:marLeft w:val="0"/>
      <w:marRight w:val="0"/>
      <w:marTop w:val="0"/>
      <w:marBottom w:val="0"/>
      <w:divBdr>
        <w:top w:val="none" w:sz="0" w:space="0" w:color="auto"/>
        <w:left w:val="none" w:sz="0" w:space="0" w:color="auto"/>
        <w:bottom w:val="none" w:sz="0" w:space="0" w:color="auto"/>
        <w:right w:val="none" w:sz="0" w:space="0" w:color="auto"/>
      </w:divBdr>
    </w:div>
    <w:div w:id="212645804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FE66-2444-455B-A6C0-7792157E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4430</TotalTime>
  <Pages>6</Pages>
  <Words>3644</Words>
  <Characters>20774</Characters>
  <Application>Microsoft Office Word</Application>
  <DocSecurity>0</DocSecurity>
  <Lines>173</Lines>
  <Paragraphs>48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2161</cp:revision>
  <cp:lastPrinted>2015-05-12T18:31:00Z</cp:lastPrinted>
  <dcterms:created xsi:type="dcterms:W3CDTF">2017-11-20T08:58:00Z</dcterms:created>
  <dcterms:modified xsi:type="dcterms:W3CDTF">2020-08-31T10:23:00Z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