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624027" w14:paraId="6C26F23D" w14:textId="77777777" w:rsidTr="00624027">
        <w:trPr>
          <w:trHeight w:val="852"/>
          <w:jc w:val="center"/>
        </w:trPr>
        <w:tc>
          <w:tcPr>
            <w:tcW w:w="6946" w:type="dxa"/>
            <w:vMerge w:val="restart"/>
            <w:tcBorders>
              <w:top w:val="nil"/>
              <w:left w:val="nil"/>
              <w:bottom w:val="nil"/>
              <w:right w:val="single" w:sz="4" w:space="0" w:color="auto"/>
            </w:tcBorders>
            <w:hideMark/>
          </w:tcPr>
          <w:p w14:paraId="4FFE2116" w14:textId="5B8BF1E2" w:rsidR="00624027" w:rsidRDefault="00624027">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29B534FC" wp14:editId="687B417B">
                  <wp:extent cx="638175" cy="371475"/>
                  <wp:effectExtent l="0" t="0" r="9525" b="9525"/>
                  <wp:docPr id="4" name="Immagine 4"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63483AA8" w14:textId="77777777" w:rsidR="00624027" w:rsidRDefault="00624027">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64FF2DEC" w14:textId="77777777" w:rsidR="00624027" w:rsidRDefault="00624027">
            <w:pPr>
              <w:spacing w:line="140" w:lineRule="atLeast"/>
              <w:jc w:val="right"/>
              <w:rPr>
                <w:rFonts w:cs="Arial"/>
                <w:sz w:val="14"/>
                <w:szCs w:val="14"/>
              </w:rPr>
            </w:pPr>
            <w:r>
              <w:rPr>
                <w:rFonts w:cs="Arial"/>
                <w:sz w:val="14"/>
                <w:szCs w:val="14"/>
              </w:rPr>
              <w:t>A publication of</w:t>
            </w:r>
          </w:p>
          <w:p w14:paraId="2C91B058" w14:textId="1A4F04C9" w:rsidR="00624027" w:rsidRDefault="00624027">
            <w:pPr>
              <w:jc w:val="right"/>
            </w:pPr>
            <w:r>
              <w:rPr>
                <w:noProof/>
                <w:lang w:val="it-IT" w:eastAsia="it-IT"/>
              </w:rPr>
              <w:drawing>
                <wp:inline distT="0" distB="0" distL="0" distR="0" wp14:anchorId="27BE70E7" wp14:editId="2DD332C2">
                  <wp:extent cx="666750" cy="361950"/>
                  <wp:effectExtent l="0" t="0" r="0" b="0"/>
                  <wp:docPr id="2"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624027" w14:paraId="698B284B" w14:textId="77777777" w:rsidTr="00624027">
        <w:trPr>
          <w:trHeight w:val="567"/>
          <w:jc w:val="center"/>
        </w:trPr>
        <w:tc>
          <w:tcPr>
            <w:tcW w:w="0" w:type="auto"/>
            <w:vMerge/>
            <w:tcBorders>
              <w:top w:val="nil"/>
              <w:left w:val="nil"/>
              <w:bottom w:val="nil"/>
              <w:right w:val="single" w:sz="4" w:space="0" w:color="auto"/>
            </w:tcBorders>
            <w:vAlign w:val="center"/>
            <w:hideMark/>
          </w:tcPr>
          <w:p w14:paraId="2D27F8EF" w14:textId="77777777" w:rsidR="00624027" w:rsidRDefault="00624027">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7185BC84" w14:textId="77777777" w:rsidR="00624027" w:rsidRDefault="00624027">
            <w:pPr>
              <w:spacing w:line="140" w:lineRule="atLeast"/>
              <w:jc w:val="right"/>
              <w:rPr>
                <w:rFonts w:cs="Arial"/>
                <w:sz w:val="14"/>
                <w:szCs w:val="14"/>
              </w:rPr>
            </w:pPr>
            <w:r>
              <w:rPr>
                <w:rFonts w:cs="Arial"/>
                <w:sz w:val="14"/>
                <w:szCs w:val="14"/>
              </w:rPr>
              <w:t>The Italian Association</w:t>
            </w:r>
          </w:p>
          <w:p w14:paraId="329E1009" w14:textId="77777777" w:rsidR="00624027" w:rsidRDefault="00624027">
            <w:pPr>
              <w:spacing w:line="140" w:lineRule="atLeast"/>
              <w:jc w:val="right"/>
              <w:rPr>
                <w:rFonts w:cs="Arial"/>
                <w:sz w:val="14"/>
                <w:szCs w:val="14"/>
              </w:rPr>
            </w:pPr>
            <w:r>
              <w:rPr>
                <w:rFonts w:cs="Arial"/>
                <w:sz w:val="14"/>
                <w:szCs w:val="14"/>
              </w:rPr>
              <w:t>of Chemical Engineering</w:t>
            </w:r>
          </w:p>
          <w:p w14:paraId="74D9FB50" w14:textId="77777777" w:rsidR="00624027" w:rsidRDefault="00624027">
            <w:pPr>
              <w:spacing w:line="140" w:lineRule="atLeast"/>
              <w:jc w:val="right"/>
              <w:rPr>
                <w:rFonts w:cs="Arial"/>
                <w:sz w:val="13"/>
                <w:szCs w:val="13"/>
              </w:rPr>
            </w:pPr>
            <w:r>
              <w:rPr>
                <w:rFonts w:cs="Arial"/>
                <w:sz w:val="13"/>
                <w:szCs w:val="13"/>
              </w:rPr>
              <w:t>Online at www.cetjournal.it</w:t>
            </w:r>
          </w:p>
        </w:tc>
      </w:tr>
      <w:tr w:rsidR="00624027" w14:paraId="7A4671F6" w14:textId="77777777" w:rsidTr="00624027">
        <w:trPr>
          <w:trHeight w:val="68"/>
          <w:jc w:val="center"/>
        </w:trPr>
        <w:tc>
          <w:tcPr>
            <w:tcW w:w="8789" w:type="dxa"/>
            <w:gridSpan w:val="2"/>
            <w:tcBorders>
              <w:top w:val="nil"/>
              <w:left w:val="nil"/>
              <w:bottom w:val="single" w:sz="4" w:space="0" w:color="auto"/>
              <w:right w:val="nil"/>
            </w:tcBorders>
            <w:hideMark/>
          </w:tcPr>
          <w:p w14:paraId="1A95A562" w14:textId="77777777" w:rsidR="00624027" w:rsidRDefault="00624027">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79F655CC" w14:textId="77777777" w:rsidR="00624027" w:rsidRDefault="00624027">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5B1FCE" w:rsidRDefault="000A03B2" w:rsidP="008F2D16">
      <w:pPr>
        <w:pStyle w:val="CETAuthors"/>
        <w:sectPr w:rsidR="000A03B2" w:rsidRPr="005B1FCE" w:rsidSect="008B32D8">
          <w:type w:val="continuous"/>
          <w:pgSz w:w="11906" w:h="16838" w:code="9"/>
          <w:pgMar w:top="1701" w:right="1418" w:bottom="1701" w:left="1701" w:header="1701" w:footer="0" w:gutter="0"/>
          <w:cols w:space="708"/>
          <w:titlePg/>
          <w:docGrid w:linePitch="360"/>
        </w:sectPr>
      </w:pPr>
    </w:p>
    <w:p w14:paraId="2E667253" w14:textId="0B6B03CB" w:rsidR="00E978D0" w:rsidRPr="00656830" w:rsidRDefault="00122803" w:rsidP="00656830">
      <w:pPr>
        <w:pStyle w:val="CETTitle"/>
      </w:pPr>
      <w:r w:rsidRPr="00656830">
        <w:lastRenderedPageBreak/>
        <w:t>Assessing the Impact of Natural Hazards on Safety Barriers on the Basis of Expert Elicitation</w:t>
      </w:r>
    </w:p>
    <w:p w14:paraId="2B3CA35C" w14:textId="7FAAEE98" w:rsidR="00E978D0" w:rsidRPr="005B1FCE" w:rsidRDefault="00122803" w:rsidP="00AB5011">
      <w:pPr>
        <w:pStyle w:val="CETAuthors"/>
        <w:rPr>
          <w:lang w:val="it-IT"/>
        </w:rPr>
      </w:pPr>
      <w:r w:rsidRPr="005B1FCE">
        <w:rPr>
          <w:lang w:val="it-IT"/>
        </w:rPr>
        <w:t>Alessio Misuri</w:t>
      </w:r>
      <w:r w:rsidR="00600535" w:rsidRPr="005B1FCE">
        <w:rPr>
          <w:vertAlign w:val="superscript"/>
          <w:lang w:val="it-IT"/>
        </w:rPr>
        <w:t>a</w:t>
      </w:r>
      <w:r w:rsidR="00600535" w:rsidRPr="005B1FCE">
        <w:rPr>
          <w:lang w:val="it-IT"/>
        </w:rPr>
        <w:t xml:space="preserve">, </w:t>
      </w:r>
      <w:r w:rsidRPr="005B1FCE">
        <w:rPr>
          <w:lang w:val="it-IT"/>
        </w:rPr>
        <w:t>Gabriele Landucci</w:t>
      </w:r>
      <w:r w:rsidR="00600535" w:rsidRPr="005B1FCE">
        <w:rPr>
          <w:vertAlign w:val="superscript"/>
          <w:lang w:val="it-IT"/>
        </w:rPr>
        <w:t>b</w:t>
      </w:r>
      <w:r w:rsidR="00750FE9" w:rsidRPr="005B1FCE">
        <w:rPr>
          <w:vertAlign w:val="superscript"/>
          <w:lang w:val="it-IT"/>
        </w:rPr>
        <w:t>*</w:t>
      </w:r>
      <w:r w:rsidR="00600535" w:rsidRPr="005B1FCE">
        <w:rPr>
          <w:lang w:val="it-IT"/>
        </w:rPr>
        <w:t xml:space="preserve">, </w:t>
      </w:r>
      <w:r w:rsidRPr="005B1FCE">
        <w:rPr>
          <w:lang w:val="it-IT"/>
        </w:rPr>
        <w:t>Valerio Cozzani</w:t>
      </w:r>
      <w:r w:rsidRPr="005B1FCE">
        <w:rPr>
          <w:vertAlign w:val="superscript"/>
          <w:lang w:val="it-IT"/>
        </w:rPr>
        <w:t>a</w:t>
      </w:r>
    </w:p>
    <w:p w14:paraId="55D504B1" w14:textId="77777777" w:rsidR="00122803" w:rsidRPr="005B1FCE" w:rsidRDefault="00122803" w:rsidP="00122803">
      <w:pPr>
        <w:pStyle w:val="CETAddress"/>
      </w:pPr>
      <w:r w:rsidRPr="005B1FCE">
        <w:rPr>
          <w:vertAlign w:val="superscript"/>
        </w:rPr>
        <w:t>a</w:t>
      </w:r>
      <w:r w:rsidRPr="005B1FCE">
        <w:t>Department of Civil, Chemical, Environmental, and Materials Engineering, University of Bologna, Bologna, Italy</w:t>
      </w:r>
    </w:p>
    <w:p w14:paraId="38D29194" w14:textId="3DD5CEB7" w:rsidR="00E978D0" w:rsidRPr="005B1FCE" w:rsidRDefault="00122803" w:rsidP="00E978D0">
      <w:pPr>
        <w:pStyle w:val="CETAddress"/>
      </w:pPr>
      <w:r w:rsidRPr="005B1FCE">
        <w:rPr>
          <w:vertAlign w:val="superscript"/>
        </w:rPr>
        <w:t>b</w:t>
      </w:r>
      <w:r w:rsidRPr="005B1FCE">
        <w:t>Department of Civil and Industrial Engineering, University of Pisa, Pisa, Italy</w:t>
      </w:r>
      <w:r w:rsidR="00E978D0" w:rsidRPr="005B1FCE">
        <w:t xml:space="preserve"> </w:t>
      </w:r>
    </w:p>
    <w:p w14:paraId="0127A28D" w14:textId="7F3155A3" w:rsidR="00E978D0" w:rsidRPr="005B1FCE" w:rsidRDefault="00A84CF7" w:rsidP="00E978D0">
      <w:pPr>
        <w:pStyle w:val="CETemail"/>
      </w:pPr>
      <w:r w:rsidRPr="005B1FCE">
        <w:t>gabriele.landucci</w:t>
      </w:r>
      <w:r w:rsidR="00600535" w:rsidRPr="005B1FCE">
        <w:t>@</w:t>
      </w:r>
      <w:r w:rsidRPr="005B1FCE">
        <w:t>unipi</w:t>
      </w:r>
      <w:r w:rsidR="00122803" w:rsidRPr="005B1FCE">
        <w:t>.it</w:t>
      </w:r>
    </w:p>
    <w:p w14:paraId="6BCDD8B0" w14:textId="1EE22AAD" w:rsidR="00022DBE" w:rsidRPr="005B1FCE" w:rsidRDefault="00022DBE" w:rsidP="00600535">
      <w:pPr>
        <w:pStyle w:val="CETBodytext"/>
        <w:rPr>
          <w:lang w:val="en-GB"/>
        </w:rPr>
      </w:pPr>
      <w:bookmarkStart w:id="1" w:name="_Hlk495475023"/>
      <w:r w:rsidRPr="005B1FCE">
        <w:rPr>
          <w:lang w:val="en-GB"/>
        </w:rPr>
        <w:t>Natural hazards pose critical threats to chemical and process installations handling hazardous materials. In particular,</w:t>
      </w:r>
      <w:r w:rsidR="00D55247" w:rsidRPr="005B1FCE">
        <w:rPr>
          <w:lang w:val="en-GB"/>
        </w:rPr>
        <w:t xml:space="preserve"> </w:t>
      </w:r>
      <w:r w:rsidRPr="005B1FCE">
        <w:rPr>
          <w:lang w:val="en-GB"/>
        </w:rPr>
        <w:t xml:space="preserve">severe technological accidents involving the release of </w:t>
      </w:r>
      <w:r w:rsidR="00B64EE3" w:rsidRPr="005B1FCE">
        <w:rPr>
          <w:lang w:val="en-GB"/>
        </w:rPr>
        <w:t>chemicals</w:t>
      </w:r>
      <w:r w:rsidRPr="005B1FCE">
        <w:rPr>
          <w:lang w:val="en-GB"/>
        </w:rPr>
        <w:t xml:space="preserve"> </w:t>
      </w:r>
      <w:r w:rsidR="003D1A3D" w:rsidRPr="005B1FCE">
        <w:rPr>
          <w:lang w:val="en-GB"/>
        </w:rPr>
        <w:t>can</w:t>
      </w:r>
      <w:r w:rsidR="00B64EE3" w:rsidRPr="005B1FCE">
        <w:rPr>
          <w:lang w:val="en-GB"/>
        </w:rPr>
        <w:t xml:space="preserve"> </w:t>
      </w:r>
      <w:r w:rsidRPr="005B1FCE">
        <w:rPr>
          <w:lang w:val="en-GB"/>
        </w:rPr>
        <w:t xml:space="preserve">be triggered by natural </w:t>
      </w:r>
      <w:r w:rsidR="00B64EE3" w:rsidRPr="005B1FCE">
        <w:rPr>
          <w:lang w:val="en-GB"/>
        </w:rPr>
        <w:t>events</w:t>
      </w:r>
      <w:r w:rsidR="000E2497" w:rsidRPr="005B1FCE">
        <w:rPr>
          <w:lang w:val="en-GB"/>
        </w:rPr>
        <w:t xml:space="preserve">, namely </w:t>
      </w:r>
      <w:proofErr w:type="spellStart"/>
      <w:r w:rsidR="000E2497" w:rsidRPr="005B1FCE">
        <w:rPr>
          <w:lang w:val="en-GB"/>
        </w:rPr>
        <w:t>Natech</w:t>
      </w:r>
      <w:proofErr w:type="spellEnd"/>
      <w:r w:rsidR="000E2497" w:rsidRPr="005B1FCE">
        <w:rPr>
          <w:lang w:val="en-GB"/>
        </w:rPr>
        <w:t xml:space="preserve"> accidents</w:t>
      </w:r>
      <w:r w:rsidRPr="005B1FCE">
        <w:rPr>
          <w:lang w:val="en-GB"/>
        </w:rPr>
        <w:t>. Moreover, natural hazards can impact and weaken safety measures for accident prevention and mitigation implemented in the</w:t>
      </w:r>
      <w:r w:rsidR="003D1A3D" w:rsidRPr="005B1FCE">
        <w:rPr>
          <w:lang w:val="en-GB"/>
        </w:rPr>
        <w:t xml:space="preserve"> impacted</w:t>
      </w:r>
      <w:r w:rsidRPr="005B1FCE">
        <w:rPr>
          <w:lang w:val="en-GB"/>
        </w:rPr>
        <w:t xml:space="preserve"> plant, increasing the </w:t>
      </w:r>
      <w:r w:rsidR="003D1A3D" w:rsidRPr="005B1FCE">
        <w:rPr>
          <w:lang w:val="en-GB"/>
        </w:rPr>
        <w:t xml:space="preserve">credibility of severe domino effect escalation and, thus, affecting the risk induced by </w:t>
      </w:r>
      <w:proofErr w:type="spellStart"/>
      <w:r w:rsidR="003D1A3D" w:rsidRPr="005B1FCE">
        <w:rPr>
          <w:lang w:val="en-GB"/>
        </w:rPr>
        <w:t>Natech</w:t>
      </w:r>
      <w:proofErr w:type="spellEnd"/>
      <w:r w:rsidR="003D1A3D" w:rsidRPr="005B1FCE">
        <w:rPr>
          <w:lang w:val="en-GB"/>
        </w:rPr>
        <w:t xml:space="preserve"> scenarios</w:t>
      </w:r>
      <w:r w:rsidRPr="005B1FCE">
        <w:rPr>
          <w:lang w:val="en-GB"/>
        </w:rPr>
        <w:t xml:space="preserve">. </w:t>
      </w:r>
      <w:r w:rsidR="003D1A3D" w:rsidRPr="005B1FCE">
        <w:rPr>
          <w:lang w:val="en-GB"/>
        </w:rPr>
        <w:t xml:space="preserve">The present study is aimed at developing a structured approach aimed at supporting the probabilistic evaluation of </w:t>
      </w:r>
      <w:proofErr w:type="spellStart"/>
      <w:r w:rsidR="003D1A3D" w:rsidRPr="005B1FCE">
        <w:rPr>
          <w:lang w:val="en-GB"/>
        </w:rPr>
        <w:t>Natech</w:t>
      </w:r>
      <w:proofErr w:type="spellEnd"/>
      <w:r w:rsidR="003D1A3D" w:rsidRPr="005B1FCE">
        <w:rPr>
          <w:lang w:val="en-GB"/>
        </w:rPr>
        <w:t xml:space="preserve"> events in presence of safety barriers. </w:t>
      </w:r>
      <w:r w:rsidR="006E2187" w:rsidRPr="005B1FCE">
        <w:rPr>
          <w:lang w:val="en-GB"/>
        </w:rPr>
        <w:t xml:space="preserve">Barrier performance are described with a </w:t>
      </w:r>
      <w:r w:rsidR="00D55247" w:rsidRPr="005B1FCE">
        <w:rPr>
          <w:lang w:val="en-GB"/>
        </w:rPr>
        <w:t>specific</w:t>
      </w:r>
      <w:r w:rsidR="006E2187" w:rsidRPr="005B1FCE">
        <w:rPr>
          <w:lang w:val="en-GB"/>
        </w:rPr>
        <w:t xml:space="preserve"> metric</w:t>
      </w:r>
      <w:r w:rsidR="00D55247" w:rsidRPr="005B1FCE">
        <w:rPr>
          <w:lang w:val="en-GB"/>
        </w:rPr>
        <w:t>, able to quantitatively assess the</w:t>
      </w:r>
      <w:r w:rsidR="006E2187" w:rsidRPr="005B1FCE">
        <w:rPr>
          <w:lang w:val="en-GB"/>
        </w:rPr>
        <w:t xml:space="preserve"> degradation due to natural hazards.</w:t>
      </w:r>
      <w:r w:rsidR="00D55247" w:rsidRPr="005B1FCE">
        <w:rPr>
          <w:lang w:val="en-GB"/>
        </w:rPr>
        <w:t xml:space="preserve"> </w:t>
      </w:r>
      <w:r w:rsidR="003D1A3D" w:rsidRPr="005B1FCE">
        <w:rPr>
          <w:lang w:val="en-GB"/>
        </w:rPr>
        <w:t xml:space="preserve">The methodology is applied to the analysis of an industrial case study, showing the influence of the natural event impact on the performance of safety barriers and, thus, on the probability and frequency of escalation scenarios triggered by </w:t>
      </w:r>
      <w:proofErr w:type="spellStart"/>
      <w:r w:rsidR="003D1A3D" w:rsidRPr="005B1FCE">
        <w:rPr>
          <w:lang w:val="en-GB"/>
        </w:rPr>
        <w:t>Natech</w:t>
      </w:r>
      <w:proofErr w:type="spellEnd"/>
      <w:r w:rsidR="003D1A3D" w:rsidRPr="005B1FCE">
        <w:rPr>
          <w:lang w:val="en-GB"/>
        </w:rPr>
        <w:t xml:space="preserve"> events.</w:t>
      </w:r>
    </w:p>
    <w:bookmarkEnd w:id="1"/>
    <w:p w14:paraId="476B2F2E" w14:textId="77777777" w:rsidR="00600535" w:rsidRPr="005B1FCE" w:rsidRDefault="00600535" w:rsidP="00600535">
      <w:pPr>
        <w:pStyle w:val="CETHeading1"/>
        <w:rPr>
          <w:lang w:val="en-GB"/>
        </w:rPr>
      </w:pPr>
      <w:r w:rsidRPr="005B1FCE">
        <w:rPr>
          <w:lang w:val="en-GB"/>
        </w:rPr>
        <w:t>Introduction</w:t>
      </w:r>
    </w:p>
    <w:p w14:paraId="13B36009" w14:textId="103C5025" w:rsidR="008A61D4" w:rsidRPr="005B1FCE" w:rsidRDefault="008A61D4" w:rsidP="00600535">
      <w:pPr>
        <w:pStyle w:val="CETBodytext"/>
        <w:rPr>
          <w:lang w:val="en-GB"/>
        </w:rPr>
      </w:pPr>
      <w:r w:rsidRPr="005B1FCE">
        <w:rPr>
          <w:lang w:val="en-GB"/>
        </w:rPr>
        <w:t xml:space="preserve">In the last decades, natural </w:t>
      </w:r>
      <w:r w:rsidR="00983F95" w:rsidRPr="005B1FCE">
        <w:rPr>
          <w:lang w:val="en-GB"/>
        </w:rPr>
        <w:t>hazards</w:t>
      </w:r>
      <w:r w:rsidR="00155ED8" w:rsidRPr="005B1FCE">
        <w:rPr>
          <w:lang w:val="en-GB"/>
        </w:rPr>
        <w:t xml:space="preserve"> became a reason of concern for the safety of chemical and process installations (</w:t>
      </w:r>
      <w:proofErr w:type="spellStart"/>
      <w:r w:rsidR="00452177" w:rsidRPr="005B1FCE">
        <w:rPr>
          <w:lang w:val="en-GB"/>
        </w:rPr>
        <w:t>Krausmann</w:t>
      </w:r>
      <w:proofErr w:type="spellEnd"/>
      <w:r w:rsidR="00452177" w:rsidRPr="005B1FCE">
        <w:rPr>
          <w:lang w:val="en-GB"/>
        </w:rPr>
        <w:t xml:space="preserve"> et al., 201</w:t>
      </w:r>
      <w:r w:rsidR="007D1584" w:rsidRPr="005B1FCE">
        <w:rPr>
          <w:lang w:val="en-GB"/>
        </w:rPr>
        <w:t>7</w:t>
      </w:r>
      <w:r w:rsidR="00155ED8" w:rsidRPr="005B1FCE">
        <w:rPr>
          <w:lang w:val="en-GB"/>
        </w:rPr>
        <w:t>). Indeed, the</w:t>
      </w:r>
      <w:r w:rsidR="000E2497" w:rsidRPr="005B1FCE">
        <w:rPr>
          <w:lang w:val="en-GB"/>
        </w:rPr>
        <w:t xml:space="preserve"> impact of natural disasters </w:t>
      </w:r>
      <w:r w:rsidR="00155ED8" w:rsidRPr="005B1FCE">
        <w:rPr>
          <w:lang w:val="en-GB"/>
        </w:rPr>
        <w:t xml:space="preserve">can lead to the release of hazardous substances </w:t>
      </w:r>
      <w:r w:rsidR="001E6E89" w:rsidRPr="005B1FCE">
        <w:rPr>
          <w:lang w:val="en-GB"/>
        </w:rPr>
        <w:t xml:space="preserve">that </w:t>
      </w:r>
      <w:r w:rsidR="00155ED8" w:rsidRPr="005B1FCE">
        <w:rPr>
          <w:lang w:val="en-GB"/>
        </w:rPr>
        <w:t>are usually handled in such instal</w:t>
      </w:r>
      <w:r w:rsidR="000E2497" w:rsidRPr="005B1FCE">
        <w:rPr>
          <w:lang w:val="en-GB"/>
        </w:rPr>
        <w:t>lations</w:t>
      </w:r>
      <w:r w:rsidR="00155ED8" w:rsidRPr="005B1FCE">
        <w:rPr>
          <w:lang w:val="en-GB"/>
        </w:rPr>
        <w:t xml:space="preserve">. These technological accidents, arising from the interaction between natural causes and process installations are usually referred to as </w:t>
      </w:r>
      <w:proofErr w:type="spellStart"/>
      <w:r w:rsidR="00155ED8" w:rsidRPr="005B1FCE">
        <w:rPr>
          <w:lang w:val="en-GB"/>
        </w:rPr>
        <w:t>Natech</w:t>
      </w:r>
      <w:proofErr w:type="spellEnd"/>
      <w:r w:rsidR="00155ED8" w:rsidRPr="005B1FCE">
        <w:rPr>
          <w:lang w:val="en-GB"/>
        </w:rPr>
        <w:t xml:space="preserve"> events </w:t>
      </w:r>
      <w:r w:rsidR="000E2497" w:rsidRPr="005B1FCE">
        <w:rPr>
          <w:lang w:val="en-GB"/>
        </w:rPr>
        <w:t>and can be particularly critical (</w:t>
      </w:r>
      <w:proofErr w:type="spellStart"/>
      <w:r w:rsidR="000E2497" w:rsidRPr="005B1FCE">
        <w:rPr>
          <w:lang w:val="en-GB"/>
        </w:rPr>
        <w:t>Krausmann</w:t>
      </w:r>
      <w:proofErr w:type="spellEnd"/>
      <w:r w:rsidR="000E2497" w:rsidRPr="005B1FCE">
        <w:rPr>
          <w:lang w:val="en-GB"/>
        </w:rPr>
        <w:t xml:space="preserve"> et al., 201</w:t>
      </w:r>
      <w:r w:rsidR="006645E3" w:rsidRPr="005B1FCE">
        <w:rPr>
          <w:lang w:val="en-GB"/>
        </w:rPr>
        <w:t>7</w:t>
      </w:r>
      <w:r w:rsidR="000E2497" w:rsidRPr="005B1FCE">
        <w:rPr>
          <w:lang w:val="en-GB"/>
        </w:rPr>
        <w:t xml:space="preserve">). </w:t>
      </w:r>
      <w:r w:rsidRPr="005B1FCE">
        <w:rPr>
          <w:lang w:val="en-GB"/>
        </w:rPr>
        <w:t>In fact, severe</w:t>
      </w:r>
      <w:r w:rsidRPr="005B1FCE">
        <w:t xml:space="preserve"> natural events, </w:t>
      </w:r>
      <w:r w:rsidRPr="005B1FCE">
        <w:rPr>
          <w:lang w:val="en-GB"/>
        </w:rPr>
        <w:t>such as</w:t>
      </w:r>
      <w:r w:rsidR="0059660D" w:rsidRPr="005B1FCE">
        <w:rPr>
          <w:lang w:val="en-GB"/>
        </w:rPr>
        <w:t xml:space="preserve"> earthquakes, floods or storms have an impact over a wide area and may damage multiple items located in the plant, leading to simultaneous scenarios. </w:t>
      </w:r>
    </w:p>
    <w:p w14:paraId="36C41F95" w14:textId="0D700049" w:rsidR="003864F8" w:rsidRPr="005B1FCE" w:rsidRDefault="0059660D" w:rsidP="00600535">
      <w:pPr>
        <w:pStyle w:val="CETBodytext"/>
        <w:rPr>
          <w:lang w:val="en-GB"/>
        </w:rPr>
      </w:pPr>
      <w:r w:rsidRPr="005B1FCE">
        <w:rPr>
          <w:lang w:val="en-GB"/>
        </w:rPr>
        <w:t xml:space="preserve">Another critical aspect of </w:t>
      </w:r>
      <w:proofErr w:type="spellStart"/>
      <w:r w:rsidRPr="005B1FCE">
        <w:rPr>
          <w:lang w:val="en-GB"/>
        </w:rPr>
        <w:t>Natech</w:t>
      </w:r>
      <w:proofErr w:type="spellEnd"/>
      <w:r w:rsidRPr="005B1FCE">
        <w:rPr>
          <w:lang w:val="en-GB"/>
        </w:rPr>
        <w:t xml:space="preserve"> accidents is the possibility that systems in place in the plant for accident prevention and mitigation are concurrently damaged and not able to perform their function. This issue was critical during Hurricane Harvey</w:t>
      </w:r>
      <w:r w:rsidR="001318BC" w:rsidRPr="005B1FCE">
        <w:rPr>
          <w:lang w:val="en-GB"/>
        </w:rPr>
        <w:t>,</w:t>
      </w:r>
      <w:r w:rsidRPr="005B1FCE">
        <w:rPr>
          <w:lang w:val="en-GB"/>
        </w:rPr>
        <w:t xml:space="preserve"> </w:t>
      </w:r>
      <w:r w:rsidR="001318BC" w:rsidRPr="005B1FCE">
        <w:rPr>
          <w:lang w:val="en-GB"/>
        </w:rPr>
        <w:t>which</w:t>
      </w:r>
      <w:r w:rsidRPr="005B1FCE">
        <w:rPr>
          <w:lang w:val="en-GB"/>
        </w:rPr>
        <w:t xml:space="preserve"> caused multiple chemical releases in principal refinery US areas in 2017 (</w:t>
      </w:r>
      <w:proofErr w:type="spellStart"/>
      <w:r w:rsidRPr="005B1FCE">
        <w:rPr>
          <w:lang w:val="en-GB"/>
        </w:rPr>
        <w:t>Misuri</w:t>
      </w:r>
      <w:proofErr w:type="spellEnd"/>
      <w:r w:rsidRPr="005B1FCE">
        <w:rPr>
          <w:lang w:val="en-GB"/>
        </w:rPr>
        <w:t xml:space="preserve"> et al., 2019a). For instance, a well-known accident was caused in a peroxide storage in Crosby due to the loss of electricity and unavailability of backup generators led by the storm-related flooding (CSB, 2018). Again, during </w:t>
      </w:r>
      <w:proofErr w:type="spellStart"/>
      <w:r w:rsidRPr="005B1FCE">
        <w:rPr>
          <w:lang w:val="en-GB"/>
        </w:rPr>
        <w:t>Koaceli</w:t>
      </w:r>
      <w:proofErr w:type="spellEnd"/>
      <w:r w:rsidRPr="005B1FCE">
        <w:rPr>
          <w:lang w:val="en-GB"/>
        </w:rPr>
        <w:t xml:space="preserve"> earthquake (1999)</w:t>
      </w:r>
      <w:r w:rsidR="008A61D4" w:rsidRPr="005B1FCE">
        <w:rPr>
          <w:lang w:val="en-GB"/>
        </w:rPr>
        <w:t>,</w:t>
      </w:r>
      <w:r w:rsidRPr="005B1FCE">
        <w:rPr>
          <w:lang w:val="en-GB"/>
        </w:rPr>
        <w:t xml:space="preserve"> fires arising from petrochemical storage spread over wide areas since many firefighting installations were unavailable due to water lifeline disruption and power outage leading to pumps unavailability, and massive quantity of toxic materials was released into the sea due to containment dike structural failure due to strong ground shaking (</w:t>
      </w:r>
      <w:proofErr w:type="spellStart"/>
      <w:r w:rsidRPr="005B1FCE">
        <w:rPr>
          <w:lang w:val="en-GB"/>
        </w:rPr>
        <w:t>Girgin</w:t>
      </w:r>
      <w:proofErr w:type="spellEnd"/>
      <w:r w:rsidRPr="005B1FCE">
        <w:rPr>
          <w:lang w:val="en-GB"/>
        </w:rPr>
        <w:t xml:space="preserve">, 2011). </w:t>
      </w:r>
    </w:p>
    <w:p w14:paraId="4BB9C5A6" w14:textId="3F9F059C" w:rsidR="00262D82" w:rsidRPr="005B1FCE" w:rsidRDefault="003864F8" w:rsidP="00600535">
      <w:pPr>
        <w:pStyle w:val="CETBodytext"/>
        <w:rPr>
          <w:lang w:val="en-GB"/>
        </w:rPr>
      </w:pPr>
      <w:r w:rsidRPr="005B1FCE">
        <w:rPr>
          <w:lang w:val="en-GB"/>
        </w:rPr>
        <w:t xml:space="preserve">Therefore, assessing the risk associated with </w:t>
      </w:r>
      <w:proofErr w:type="spellStart"/>
      <w:r w:rsidR="003E5310" w:rsidRPr="005B1FCE">
        <w:rPr>
          <w:lang w:val="en-GB"/>
        </w:rPr>
        <w:t>Natech</w:t>
      </w:r>
      <w:proofErr w:type="spellEnd"/>
      <w:r w:rsidR="003E5310" w:rsidRPr="005B1FCE">
        <w:rPr>
          <w:lang w:val="en-GB"/>
        </w:rPr>
        <w:t xml:space="preserve"> scenarios in chemical and process facilities is of utmost importance and represents a critical task</w:t>
      </w:r>
      <w:r w:rsidRPr="005B1FCE">
        <w:rPr>
          <w:lang w:val="en-GB"/>
        </w:rPr>
        <w:t xml:space="preserve">. </w:t>
      </w:r>
      <w:r w:rsidR="0059660D" w:rsidRPr="005B1FCE">
        <w:rPr>
          <w:lang w:val="en-GB"/>
        </w:rPr>
        <w:t xml:space="preserve">Methodologies to </w:t>
      </w:r>
      <w:r w:rsidR="003E5310" w:rsidRPr="005B1FCE">
        <w:rPr>
          <w:lang w:val="en-GB"/>
        </w:rPr>
        <w:t xml:space="preserve">carry out the quantitative risk assessment (QRA) of </w:t>
      </w:r>
      <w:proofErr w:type="spellStart"/>
      <w:r w:rsidR="003E5310" w:rsidRPr="005B1FCE">
        <w:rPr>
          <w:lang w:val="en-GB"/>
        </w:rPr>
        <w:t>Natech</w:t>
      </w:r>
      <w:proofErr w:type="spellEnd"/>
      <w:r w:rsidR="003E5310" w:rsidRPr="005B1FCE">
        <w:rPr>
          <w:lang w:val="en-GB"/>
        </w:rPr>
        <w:t xml:space="preserve"> scenarios in process facilities are </w:t>
      </w:r>
      <w:r w:rsidR="0059660D" w:rsidRPr="005B1FCE">
        <w:rPr>
          <w:lang w:val="en-GB"/>
        </w:rPr>
        <w:t>available in the literature</w:t>
      </w:r>
      <w:r w:rsidR="00D149E3" w:rsidRPr="005B1FCE">
        <w:rPr>
          <w:lang w:val="en-GB"/>
        </w:rPr>
        <w:t xml:space="preserve"> (Cozzani et al., 2014)</w:t>
      </w:r>
      <w:r w:rsidR="003167E7" w:rsidRPr="005B1FCE">
        <w:rPr>
          <w:lang w:val="en-GB"/>
        </w:rPr>
        <w:t>. However,</w:t>
      </w:r>
      <w:r w:rsidR="0059660D" w:rsidRPr="005B1FCE">
        <w:rPr>
          <w:lang w:val="en-GB"/>
        </w:rPr>
        <w:t xml:space="preserve"> the role of accident prevention and mitigation systems, </w:t>
      </w:r>
      <w:r w:rsidR="003167E7" w:rsidRPr="005B1FCE">
        <w:rPr>
          <w:lang w:val="en-GB"/>
        </w:rPr>
        <w:t>i.e.,</w:t>
      </w:r>
      <w:r w:rsidR="0059660D" w:rsidRPr="005B1FCE">
        <w:rPr>
          <w:lang w:val="en-GB"/>
        </w:rPr>
        <w:t xml:space="preserve"> safety barriers, and the influence of their possibly reduced performance</w:t>
      </w:r>
      <w:r w:rsidR="003167E7" w:rsidRPr="005B1FCE">
        <w:rPr>
          <w:lang w:val="en-GB"/>
        </w:rPr>
        <w:t xml:space="preserve"> cause</w:t>
      </w:r>
      <w:r w:rsidR="00DE3519" w:rsidRPr="005B1FCE">
        <w:rPr>
          <w:lang w:val="en-GB"/>
        </w:rPr>
        <w:t>d</w:t>
      </w:r>
      <w:r w:rsidR="003167E7" w:rsidRPr="005B1FCE">
        <w:rPr>
          <w:lang w:val="en-GB"/>
        </w:rPr>
        <w:t xml:space="preserve"> by the impact of natural events</w:t>
      </w:r>
      <w:r w:rsidR="0059660D" w:rsidRPr="005B1FCE">
        <w:rPr>
          <w:lang w:val="en-GB"/>
        </w:rPr>
        <w:t xml:space="preserve"> is not assessed</w:t>
      </w:r>
      <w:r w:rsidR="003E5310" w:rsidRPr="005B1FCE">
        <w:rPr>
          <w:lang w:val="en-GB"/>
        </w:rPr>
        <w:t xml:space="preserve"> (Antonioni et al., 2015)</w:t>
      </w:r>
      <w:r w:rsidR="0059660D" w:rsidRPr="005B1FCE">
        <w:rPr>
          <w:lang w:val="en-GB"/>
        </w:rPr>
        <w:t xml:space="preserve">. </w:t>
      </w:r>
    </w:p>
    <w:p w14:paraId="63E4C66D" w14:textId="637BA787" w:rsidR="00642C58" w:rsidRPr="005B1FCE" w:rsidRDefault="00262D82" w:rsidP="00642C58">
      <w:pPr>
        <w:pStyle w:val="CETBodytext"/>
        <w:rPr>
          <w:lang w:val="en-GB"/>
        </w:rPr>
      </w:pPr>
      <w:r w:rsidRPr="005B1FCE">
        <w:rPr>
          <w:lang w:val="en-GB"/>
        </w:rPr>
        <w:t xml:space="preserve">The aim of the present study is to develop </w:t>
      </w:r>
      <w:r w:rsidR="003167E7" w:rsidRPr="005B1FCE">
        <w:rPr>
          <w:lang w:val="en-GB"/>
        </w:rPr>
        <w:t xml:space="preserve">a </w:t>
      </w:r>
      <w:r w:rsidR="0059660D" w:rsidRPr="005B1FCE">
        <w:rPr>
          <w:lang w:val="en-GB"/>
        </w:rPr>
        <w:t xml:space="preserve">novel methodology for assessing the impact of natural hazards on safety barriers, with the final aim of the inclusion on risk assessment procedures. </w:t>
      </w:r>
      <w:r w:rsidR="00642C58" w:rsidRPr="005B1FCE">
        <w:rPr>
          <w:lang w:val="en-GB"/>
        </w:rPr>
        <w:t xml:space="preserve">The methodology is based on expert elicitation to obtain barrier performance modification factors. Frequency of escalation is then modelled by means of event tree analysis specifically developed to assess domino propagation. </w:t>
      </w:r>
      <w:r w:rsidR="00DE3519" w:rsidRPr="005B1FCE">
        <w:rPr>
          <w:lang w:val="en-GB"/>
        </w:rPr>
        <w:t>The methodology is applied to an industrial case study.</w:t>
      </w:r>
    </w:p>
    <w:p w14:paraId="18867DCB" w14:textId="4BEB6247" w:rsidR="003167E7" w:rsidRPr="005B1FCE" w:rsidRDefault="003167E7" w:rsidP="003167E7">
      <w:pPr>
        <w:pStyle w:val="CETHeading1"/>
        <w:rPr>
          <w:lang w:val="en-GB"/>
        </w:rPr>
      </w:pPr>
      <w:r w:rsidRPr="005B1FCE">
        <w:rPr>
          <w:lang w:val="en-GB"/>
        </w:rPr>
        <w:lastRenderedPageBreak/>
        <w:t>Methodology</w:t>
      </w:r>
    </w:p>
    <w:p w14:paraId="25E32E85" w14:textId="562353CB" w:rsidR="003167E7" w:rsidRPr="005B1FCE" w:rsidRDefault="001E6E89" w:rsidP="001E6E89">
      <w:pPr>
        <w:pStyle w:val="CETBodytext"/>
        <w:rPr>
          <w:lang w:val="en-GB"/>
        </w:rPr>
      </w:pPr>
      <w:r w:rsidRPr="005B1FCE">
        <w:rPr>
          <w:lang w:val="en-GB"/>
        </w:rPr>
        <w:t>The conceptual framework for the methodology is presented in Figure 1</w:t>
      </w:r>
      <w:r w:rsidR="003167E7" w:rsidRPr="005B1FCE">
        <w:rPr>
          <w:lang w:val="en-GB"/>
        </w:rPr>
        <w:t xml:space="preserve">, based on the approach developed by </w:t>
      </w:r>
      <w:proofErr w:type="spellStart"/>
      <w:r w:rsidR="003167E7" w:rsidRPr="005B1FCE">
        <w:rPr>
          <w:lang w:val="en-GB"/>
        </w:rPr>
        <w:t>Misuri</w:t>
      </w:r>
      <w:proofErr w:type="spellEnd"/>
      <w:r w:rsidR="003167E7" w:rsidRPr="005B1FCE">
        <w:rPr>
          <w:lang w:val="en-GB"/>
        </w:rPr>
        <w:t xml:space="preserve"> et al. (</w:t>
      </w:r>
      <w:r w:rsidR="00452177" w:rsidRPr="005B1FCE">
        <w:t>2020</w:t>
      </w:r>
      <w:r w:rsidR="003167E7" w:rsidRPr="005B1FCE">
        <w:rPr>
          <w:lang w:val="en-GB"/>
        </w:rPr>
        <w:t>). The preliminary element is definition of the natural events under concerns</w:t>
      </w:r>
      <w:r w:rsidR="00BE05B7" w:rsidRPr="005B1FCE">
        <w:rPr>
          <w:lang w:val="en-GB"/>
        </w:rPr>
        <w:t xml:space="preserve"> (Step 1)</w:t>
      </w:r>
      <w:r w:rsidR="003167E7" w:rsidRPr="005B1FCE">
        <w:rPr>
          <w:lang w:val="en-GB"/>
        </w:rPr>
        <w:t xml:space="preserve">, which influence the type of damage associated with the impacted process equipment and safety barriers. </w:t>
      </w:r>
      <w:r w:rsidR="00BE05B7" w:rsidRPr="005B1FCE">
        <w:rPr>
          <w:lang w:val="en-GB"/>
        </w:rPr>
        <w:t xml:space="preserve">Safety barriers are then classified in categories sharing similarities (Step 2), and a suitable metric for barrier performance evaluation is defined (Step 3). Information on the impact of natural hazards on barriers are retrieved from expert elicitation procedure (Step 4), expressing the main findings by means of performance modification factors (Step 5). Finally, these factors are implemented in the performance assessment metrics (Step 6), with the final aim of including degraded barriers in event tree analysis to </w:t>
      </w:r>
      <w:r w:rsidR="00355259" w:rsidRPr="005B1FCE">
        <w:rPr>
          <w:lang w:val="en-GB"/>
        </w:rPr>
        <w:t>evaluate</w:t>
      </w:r>
      <w:r w:rsidR="00BE05B7" w:rsidRPr="005B1FCE">
        <w:rPr>
          <w:lang w:val="en-GB"/>
        </w:rPr>
        <w:t xml:space="preserve"> how final scenario frequencies are modified (Step 7).</w:t>
      </w:r>
      <w:r w:rsidR="00351FC5" w:rsidRPr="005B1FCE">
        <w:rPr>
          <w:lang w:val="en-GB"/>
        </w:rPr>
        <w:t xml:space="preserve"> The steps of the methodology are thoroughly described in the next sections.</w:t>
      </w:r>
    </w:p>
    <w:p w14:paraId="0873ECEC" w14:textId="6BE05510" w:rsidR="00A027FC" w:rsidRPr="005B1FCE" w:rsidRDefault="00A70940" w:rsidP="001E6E89">
      <w:pPr>
        <w:pStyle w:val="CETBodytext"/>
        <w:rPr>
          <w:lang w:val="en-GB"/>
        </w:rPr>
      </w:pPr>
      <w:r w:rsidRPr="005B1FCE">
        <w:rPr>
          <w:noProof/>
          <w:lang w:val="it-IT" w:eastAsia="it-IT"/>
        </w:rPr>
        <w:drawing>
          <wp:inline distT="0" distB="0" distL="0" distR="0" wp14:anchorId="0751FFA9" wp14:editId="3A0948CF">
            <wp:extent cx="4613456" cy="3158067"/>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3186" cy="3164727"/>
                    </a:xfrm>
                    <a:prstGeom prst="rect">
                      <a:avLst/>
                    </a:prstGeom>
                    <a:noFill/>
                    <a:ln>
                      <a:noFill/>
                    </a:ln>
                  </pic:spPr>
                </pic:pic>
              </a:graphicData>
            </a:graphic>
          </wp:inline>
        </w:drawing>
      </w:r>
    </w:p>
    <w:p w14:paraId="4512C02C" w14:textId="6FB9E633" w:rsidR="001E6E89" w:rsidRPr="005B1FCE" w:rsidRDefault="001E6E89" w:rsidP="001E6E89">
      <w:pPr>
        <w:pStyle w:val="CETCaption"/>
      </w:pPr>
      <w:r w:rsidRPr="005B1FCE">
        <w:t>Figure 1: Conceptual framework for safety barrier assessment during natural hazards.</w:t>
      </w:r>
    </w:p>
    <w:p w14:paraId="7EE4102B" w14:textId="6C3646DF" w:rsidR="00217D39" w:rsidRPr="005B1FCE" w:rsidRDefault="00217D39" w:rsidP="00217D39">
      <w:pPr>
        <w:pStyle w:val="CETHeading1"/>
        <w:rPr>
          <w:lang w:val="en-GB"/>
        </w:rPr>
      </w:pPr>
      <w:r w:rsidRPr="005B1FCE">
        <w:rPr>
          <w:lang w:val="en-GB"/>
        </w:rPr>
        <w:t>Safety barriers analysis: conventional approaches</w:t>
      </w:r>
    </w:p>
    <w:p w14:paraId="127DD88F" w14:textId="46D35D56" w:rsidR="00530FC2" w:rsidRPr="005B1FCE" w:rsidRDefault="00217D39" w:rsidP="00D010D1">
      <w:pPr>
        <w:pStyle w:val="CETheadingx"/>
      </w:pPr>
      <w:r w:rsidRPr="005B1FCE">
        <w:t>B</w:t>
      </w:r>
      <w:r w:rsidR="003167E7" w:rsidRPr="005B1FCE">
        <w:t>asic concepts and classification</w:t>
      </w:r>
    </w:p>
    <w:p w14:paraId="280D7B21" w14:textId="664251A7" w:rsidR="008117C4" w:rsidRPr="005B1FCE" w:rsidRDefault="00A8695B" w:rsidP="00530FC2">
      <w:pPr>
        <w:pStyle w:val="CETBodytext"/>
        <w:rPr>
          <w:lang w:val="en-GB"/>
        </w:rPr>
      </w:pPr>
      <w:r w:rsidRPr="005B1FCE">
        <w:t xml:space="preserve">Safety </w:t>
      </w:r>
      <w:r w:rsidR="001972CF" w:rsidRPr="005B1FCE">
        <w:rPr>
          <w:lang w:val="en-GB"/>
        </w:rPr>
        <w:t xml:space="preserve">barriers </w:t>
      </w:r>
      <w:r w:rsidR="00BB4AB0" w:rsidRPr="005B1FCE">
        <w:rPr>
          <w:lang w:val="en-GB"/>
        </w:rPr>
        <w:t>represent</w:t>
      </w:r>
      <w:r w:rsidR="00DE0683" w:rsidRPr="005B1FCE">
        <w:rPr>
          <w:lang w:val="en-GB"/>
        </w:rPr>
        <w:t xml:space="preserve"> the </w:t>
      </w:r>
      <w:r w:rsidR="001972CF" w:rsidRPr="005B1FCE">
        <w:rPr>
          <w:lang w:val="en-GB"/>
        </w:rPr>
        <w:t>conceptualization of technical and organizational measures for accident prevention or consequence mitigation</w:t>
      </w:r>
      <w:r w:rsidR="00A63910" w:rsidRPr="005B1FCE">
        <w:rPr>
          <w:lang w:val="en-GB"/>
        </w:rPr>
        <w:t>,</w:t>
      </w:r>
      <w:r w:rsidR="001972CF" w:rsidRPr="005B1FCE">
        <w:rPr>
          <w:lang w:val="en-GB"/>
        </w:rPr>
        <w:t xml:space="preserve"> which are commonly implemented in chemical and process</w:t>
      </w:r>
      <w:r w:rsidR="00620C51" w:rsidRPr="005B1FCE">
        <w:rPr>
          <w:lang w:val="en-GB"/>
        </w:rPr>
        <w:t xml:space="preserve"> plants (</w:t>
      </w:r>
      <w:proofErr w:type="spellStart"/>
      <w:r w:rsidR="00620C51" w:rsidRPr="005B1FCE">
        <w:rPr>
          <w:lang w:val="en-GB"/>
        </w:rPr>
        <w:t>Delvosalle</w:t>
      </w:r>
      <w:proofErr w:type="spellEnd"/>
      <w:r w:rsidR="00620C51" w:rsidRPr="005B1FCE">
        <w:rPr>
          <w:lang w:val="en-GB"/>
        </w:rPr>
        <w:t xml:space="preserve"> et al.</w:t>
      </w:r>
      <w:r w:rsidR="001972CF" w:rsidRPr="005B1FCE">
        <w:rPr>
          <w:lang w:val="en-GB"/>
        </w:rPr>
        <w:t xml:space="preserve">, 2006). </w:t>
      </w:r>
      <w:r w:rsidR="008117C4" w:rsidRPr="005B1FCE">
        <w:rPr>
          <w:lang w:val="en-GB"/>
        </w:rPr>
        <w:t xml:space="preserve">Safety barriers are the means for performing safety functions </w:t>
      </w:r>
      <w:r w:rsidR="001D1D77" w:rsidRPr="005B1FCE">
        <w:rPr>
          <w:lang w:val="en-GB"/>
        </w:rPr>
        <w:t xml:space="preserve">they are designed for (PSA, 2013), such as </w:t>
      </w:r>
      <w:r w:rsidR="008A3C9A" w:rsidRPr="005B1FCE">
        <w:rPr>
          <w:lang w:val="en-GB"/>
        </w:rPr>
        <w:t xml:space="preserve">reducing heat radiation </w:t>
      </w:r>
      <w:r w:rsidR="00791A9E" w:rsidRPr="005B1FCE">
        <w:rPr>
          <w:lang w:val="en-GB"/>
        </w:rPr>
        <w:t xml:space="preserve">affecting </w:t>
      </w:r>
      <w:r w:rsidR="001D1D77" w:rsidRPr="005B1FCE">
        <w:rPr>
          <w:lang w:val="en-GB"/>
        </w:rPr>
        <w:t>a target equipment, containing a liquid spillage, depressurizing equipment, etc.</w:t>
      </w:r>
      <w:r w:rsidR="008A3C9A" w:rsidRPr="005B1FCE">
        <w:rPr>
          <w:lang w:val="en-GB"/>
        </w:rPr>
        <w:t xml:space="preserve"> </w:t>
      </w:r>
      <w:r w:rsidR="00DE0683" w:rsidRPr="005B1FCE">
        <w:rPr>
          <w:lang w:val="en-GB"/>
        </w:rPr>
        <w:t xml:space="preserve">Several </w:t>
      </w:r>
      <w:r w:rsidR="003D5564" w:rsidRPr="005B1FCE">
        <w:rPr>
          <w:lang w:val="en-GB"/>
        </w:rPr>
        <w:t xml:space="preserve">definitions have been given in the literature, embracing a </w:t>
      </w:r>
      <w:r w:rsidR="004C2755" w:rsidRPr="005B1FCE">
        <w:rPr>
          <w:lang w:val="en-GB"/>
        </w:rPr>
        <w:t>great variety of fields</w:t>
      </w:r>
      <w:r w:rsidR="008117C4" w:rsidRPr="005B1FCE">
        <w:rPr>
          <w:lang w:val="en-GB"/>
        </w:rPr>
        <w:t xml:space="preserve"> (</w:t>
      </w:r>
      <w:proofErr w:type="spellStart"/>
      <w:r w:rsidR="008117C4" w:rsidRPr="005B1FCE">
        <w:rPr>
          <w:lang w:val="en-GB"/>
        </w:rPr>
        <w:t>Sklet</w:t>
      </w:r>
      <w:proofErr w:type="spellEnd"/>
      <w:r w:rsidR="008117C4" w:rsidRPr="005B1FCE">
        <w:rPr>
          <w:lang w:val="en-GB"/>
        </w:rPr>
        <w:t xml:space="preserve">, 2006). </w:t>
      </w:r>
    </w:p>
    <w:p w14:paraId="5AE8920C" w14:textId="5D0EC348" w:rsidR="008117C4" w:rsidRPr="005B1FCE" w:rsidRDefault="001D1D77" w:rsidP="008117C4">
      <w:pPr>
        <w:pStyle w:val="CETBodytext"/>
      </w:pPr>
      <w:r w:rsidRPr="005B1FCE">
        <w:t>In the present work a</w:t>
      </w:r>
      <w:r w:rsidR="008A3C9A" w:rsidRPr="005B1FCE">
        <w:t xml:space="preserve"> well-established classification for barrier based on working-principle, that is in the way the safety function is expressed. </w:t>
      </w:r>
      <w:r w:rsidR="00DE0683" w:rsidRPr="005B1FCE">
        <w:t xml:space="preserve">Hence, safety barriers </w:t>
      </w:r>
      <w:r w:rsidR="008A3C9A" w:rsidRPr="005B1FCE">
        <w:t>may be divided in three main categories (CCPS, 2001):</w:t>
      </w:r>
    </w:p>
    <w:p w14:paraId="70C68532" w14:textId="06C5D12F" w:rsidR="008A3C9A" w:rsidRPr="005B1FCE" w:rsidRDefault="008A3C9A" w:rsidP="00452177">
      <w:pPr>
        <w:pStyle w:val="CETListbullets"/>
        <w:numPr>
          <w:ilvl w:val="0"/>
          <w:numId w:val="23"/>
        </w:numPr>
      </w:pPr>
      <w:r w:rsidRPr="005B1FCE">
        <w:t>Passive barriers</w:t>
      </w:r>
      <w:r w:rsidR="00DE0683" w:rsidRPr="005B1FCE">
        <w:t>:</w:t>
      </w:r>
      <w:r w:rsidR="003A6055" w:rsidRPr="005B1FCE">
        <w:t xml:space="preserve"> </w:t>
      </w:r>
      <w:r w:rsidRPr="005B1FCE">
        <w:t xml:space="preserve">physical measures permanently in place in the plant that do not require </w:t>
      </w:r>
      <w:r w:rsidR="00E41125" w:rsidRPr="005B1FCE">
        <w:t>external</w:t>
      </w:r>
      <w:r w:rsidRPr="005B1FCE">
        <w:t xml:space="preserve"> of activation to perform their safety functions; containment bunds, catch basins, fireproofing materials are relevant examples of barriers belonging to this category</w:t>
      </w:r>
      <w:r w:rsidR="00DE0683" w:rsidRPr="005B1FCE">
        <w:t>;</w:t>
      </w:r>
    </w:p>
    <w:p w14:paraId="4CA6CB5D" w14:textId="037B7C82" w:rsidR="008A3C9A" w:rsidRPr="005B1FCE" w:rsidRDefault="008A3C9A" w:rsidP="00452177">
      <w:pPr>
        <w:pStyle w:val="CETListbullets"/>
        <w:numPr>
          <w:ilvl w:val="0"/>
          <w:numId w:val="23"/>
        </w:numPr>
      </w:pPr>
      <w:r w:rsidRPr="005B1FCE">
        <w:t>Active barriers</w:t>
      </w:r>
      <w:r w:rsidR="00DE0683" w:rsidRPr="005B1FCE">
        <w:t xml:space="preserve">: </w:t>
      </w:r>
      <w:r w:rsidRPr="005B1FCE">
        <w:t>complex instrumented systems requiring activation to perform their safety function</w:t>
      </w:r>
      <w:r w:rsidR="004339A5" w:rsidRPr="005B1FCE">
        <w:t>s; most of firefighting network systems belong to this category, as well as emergency shutdown (ESD)</w:t>
      </w:r>
      <w:r w:rsidR="00DE0683" w:rsidRPr="005B1FCE">
        <w:t>;</w:t>
      </w:r>
    </w:p>
    <w:p w14:paraId="6227CE86" w14:textId="27101E5C" w:rsidR="004339A5" w:rsidRPr="005B1FCE" w:rsidRDefault="004339A5" w:rsidP="00452177">
      <w:pPr>
        <w:pStyle w:val="CETListbullets"/>
        <w:numPr>
          <w:ilvl w:val="0"/>
          <w:numId w:val="23"/>
        </w:numPr>
      </w:pPr>
      <w:r w:rsidRPr="005B1FCE">
        <w:t>Procedural barriers</w:t>
      </w:r>
      <w:r w:rsidR="00DE0683" w:rsidRPr="005B1FCE">
        <w:t xml:space="preserve">: </w:t>
      </w:r>
      <w:r w:rsidRPr="005B1FCE">
        <w:t xml:space="preserve">procedures and </w:t>
      </w:r>
      <w:r w:rsidR="00C85F8B" w:rsidRPr="005B1FCE">
        <w:t xml:space="preserve">coordinate </w:t>
      </w:r>
      <w:r w:rsidRPr="005B1FCE">
        <w:t>operations carried out by internal personnel or external intervention; emergency intervention of fire brigades is a relevant example of barrier of this group.</w:t>
      </w:r>
    </w:p>
    <w:p w14:paraId="1080F12F" w14:textId="565FDF16" w:rsidR="00AD4C96" w:rsidRPr="005B1FCE" w:rsidRDefault="00217D39" w:rsidP="00AD4C96">
      <w:pPr>
        <w:pStyle w:val="CETheadingx"/>
      </w:pPr>
      <w:r w:rsidRPr="005B1FCE">
        <w:lastRenderedPageBreak/>
        <w:t>P</w:t>
      </w:r>
      <w:r w:rsidR="00AD4C96" w:rsidRPr="005B1FCE">
        <w:t>erformance</w:t>
      </w:r>
      <w:r w:rsidRPr="005B1FCE">
        <w:t xml:space="preserve"> assessment of safety barriers</w:t>
      </w:r>
    </w:p>
    <w:p w14:paraId="777ED92F" w14:textId="75D88C93" w:rsidR="00217D39" w:rsidRPr="005B1FCE" w:rsidRDefault="00AD4C96" w:rsidP="00600535">
      <w:pPr>
        <w:pStyle w:val="CETBodytext"/>
      </w:pPr>
      <w:r w:rsidRPr="005B1FCE">
        <w:t>In this work, a two</w:t>
      </w:r>
      <w:r w:rsidR="009A4E17" w:rsidRPr="005B1FCE">
        <w:t>-</w:t>
      </w:r>
      <w:r w:rsidRPr="005B1FCE">
        <w:t xml:space="preserve">parameter metrics </w:t>
      </w:r>
      <w:r w:rsidR="00870669" w:rsidRPr="005B1FCE">
        <w:t xml:space="preserve">has been adopted to characterize </w:t>
      </w:r>
      <w:r w:rsidRPr="005B1FCE">
        <w:t>barrier performanc</w:t>
      </w:r>
      <w:r w:rsidR="00870669" w:rsidRPr="005B1FCE">
        <w:t>e</w:t>
      </w:r>
      <w:r w:rsidRPr="005B1FCE">
        <w:t xml:space="preserve">. The metrics has been specifically developed in the framework of </w:t>
      </w:r>
      <w:r w:rsidR="00BD0181" w:rsidRPr="005B1FCE">
        <w:t>risk assessment of mitigated</w:t>
      </w:r>
      <w:r w:rsidRPr="005B1FCE">
        <w:t xml:space="preserve"> domino scenarios (Landucci et al.,</w:t>
      </w:r>
      <w:r w:rsidR="00BD0181" w:rsidRPr="005B1FCE">
        <w:t>2017</w:t>
      </w:r>
      <w:r w:rsidRPr="005B1FCE">
        <w:t xml:space="preserve">). </w:t>
      </w:r>
      <w:r w:rsidR="002A0C6F" w:rsidRPr="005B1FCE">
        <w:t xml:space="preserve">Overall </w:t>
      </w:r>
      <w:r w:rsidR="00870669" w:rsidRPr="005B1FCE">
        <w:t xml:space="preserve">barrier </w:t>
      </w:r>
      <w:r w:rsidR="002A0C6F" w:rsidRPr="005B1FCE">
        <w:t>performance in accident mitigation are thus described by means of a probability of failure on demand (PFD), expressing the probability that the barrier when required to perform its safety function fails, and a parameter expressing the likelihood of successful escalation prevention once activated, namely an effectiveness (</w:t>
      </w:r>
      <w:r w:rsidR="002A0C6F" w:rsidRPr="005B1FCE">
        <w:rPr>
          <w:rFonts w:cs="Arial"/>
        </w:rPr>
        <w:t>η</w:t>
      </w:r>
      <w:r w:rsidR="002A0C6F" w:rsidRPr="005B1FCE">
        <w:t xml:space="preserve">). </w:t>
      </w:r>
      <w:r w:rsidR="00870669" w:rsidRPr="005B1FCE">
        <w:t>F</w:t>
      </w:r>
      <w:r w:rsidR="002A0C6F" w:rsidRPr="005B1FCE">
        <w:t>or the case of passive barriers, PFD is not required, since are permanently performing their function</w:t>
      </w:r>
      <w:r w:rsidR="00E41125" w:rsidRPr="005B1FCE">
        <w:t xml:space="preserve"> without the need of external activation</w:t>
      </w:r>
      <w:r w:rsidR="002A0C6F" w:rsidRPr="005B1FCE">
        <w:t xml:space="preserve">. </w:t>
      </w:r>
    </w:p>
    <w:p w14:paraId="08B4A582" w14:textId="545B3D0F" w:rsidR="00530FC2" w:rsidRPr="005B1FCE" w:rsidRDefault="00BD5C82" w:rsidP="00600535">
      <w:pPr>
        <w:pStyle w:val="CETBodytext"/>
      </w:pPr>
      <w:r w:rsidRPr="005B1FCE">
        <w:t>This metrics has been obtained from layer of protection analysis (LOPA) approach, which is widely adopted within industry for safety barrier characterization (</w:t>
      </w:r>
      <w:r w:rsidR="00BC7C2D" w:rsidRPr="005B1FCE">
        <w:t>CCPS, 2001</w:t>
      </w:r>
      <w:r w:rsidR="003A6055" w:rsidRPr="005B1FCE">
        <w:t xml:space="preserve">). It should be noted that </w:t>
      </w:r>
      <w:r w:rsidR="00BC7C2D" w:rsidRPr="005B1FCE">
        <w:t xml:space="preserve">in the original methodology </w:t>
      </w:r>
      <w:r w:rsidR="00BC7C2D" w:rsidRPr="005B1FCE">
        <w:rPr>
          <w:rFonts w:cs="Arial"/>
        </w:rPr>
        <w:t>η was not assessed, while it is critical in domino accident assessment (Landucci et al., 2016). Values of PFD and η for common safety barriers can be found in previous works</w:t>
      </w:r>
      <w:r w:rsidR="00217D39" w:rsidRPr="005B1FCE">
        <w:rPr>
          <w:rFonts w:cs="Arial"/>
        </w:rPr>
        <w:t>, see e.g.</w:t>
      </w:r>
      <w:r w:rsidR="00BC7C2D" w:rsidRPr="005B1FCE">
        <w:rPr>
          <w:rFonts w:cs="Arial"/>
        </w:rPr>
        <w:t xml:space="preserve"> (Landucci et al., 2015) and reference</w:t>
      </w:r>
      <w:r w:rsidR="00217D39" w:rsidRPr="005B1FCE">
        <w:rPr>
          <w:rFonts w:cs="Arial"/>
        </w:rPr>
        <w:t>s cited</w:t>
      </w:r>
      <w:r w:rsidR="00BC7C2D" w:rsidRPr="005B1FCE">
        <w:rPr>
          <w:rFonts w:cs="Arial"/>
        </w:rPr>
        <w:t xml:space="preserve"> therein. </w:t>
      </w:r>
      <w:r w:rsidR="003A6055" w:rsidRPr="005B1FCE">
        <w:rPr>
          <w:rFonts w:cs="Arial"/>
        </w:rPr>
        <w:t>In case data is not directly ava</w:t>
      </w:r>
      <w:r w:rsidR="00C234E6" w:rsidRPr="005B1FCE">
        <w:rPr>
          <w:rFonts w:cs="Arial"/>
        </w:rPr>
        <w:t>ilable, performance values can be obtained via the application of reliability techniques (e.g., fault tree analysis), starting from reliability database entries for component availability (Mannan, 2005)</w:t>
      </w:r>
      <w:r w:rsidR="00217D39" w:rsidRPr="005B1FCE">
        <w:rPr>
          <w:rFonts w:cs="Arial"/>
        </w:rPr>
        <w:t>.</w:t>
      </w:r>
    </w:p>
    <w:p w14:paraId="153E1943" w14:textId="0EBC6F9F" w:rsidR="00530FC2" w:rsidRPr="005B1FCE" w:rsidRDefault="005D25EF" w:rsidP="00530FC2">
      <w:pPr>
        <w:pStyle w:val="CETHeading1"/>
        <w:rPr>
          <w:lang w:val="en-GB"/>
        </w:rPr>
      </w:pPr>
      <w:r w:rsidRPr="005B1FCE">
        <w:rPr>
          <w:lang w:val="en-GB"/>
        </w:rPr>
        <w:t>Safety barrier performance during natural hazards</w:t>
      </w:r>
    </w:p>
    <w:p w14:paraId="6E12D3DE" w14:textId="7A8A9160" w:rsidR="005D25EF" w:rsidRPr="005B1FCE" w:rsidRDefault="005D25EF" w:rsidP="004E280B">
      <w:pPr>
        <w:pStyle w:val="CETheadingx"/>
      </w:pPr>
      <w:r w:rsidRPr="005B1FCE">
        <w:t>Expert elicitation</w:t>
      </w:r>
    </w:p>
    <w:p w14:paraId="556903A6" w14:textId="1EEDB58D" w:rsidR="005A1A60" w:rsidRPr="005B1FCE" w:rsidRDefault="004E280B" w:rsidP="009F4B2C">
      <w:pPr>
        <w:pStyle w:val="CETBodytext"/>
      </w:pPr>
      <w:r w:rsidRPr="005B1FCE">
        <w:rPr>
          <w:lang w:val="en-GB"/>
        </w:rPr>
        <w:t xml:space="preserve">Due to the scarcity of statistical data to be used as basis for barrier performance </w:t>
      </w:r>
      <w:proofErr w:type="spellStart"/>
      <w:r w:rsidRPr="005B1FCE">
        <w:rPr>
          <w:lang w:val="en-GB"/>
        </w:rPr>
        <w:t>tailorization</w:t>
      </w:r>
      <w:proofErr w:type="spellEnd"/>
      <w:r w:rsidRPr="005B1FCE">
        <w:rPr>
          <w:lang w:val="en-GB"/>
        </w:rPr>
        <w:t>, an expert elicitation was performed, involving more than 40 experts in the field (</w:t>
      </w:r>
      <w:proofErr w:type="spellStart"/>
      <w:r w:rsidRPr="005B1FCE">
        <w:rPr>
          <w:lang w:val="en-GB"/>
        </w:rPr>
        <w:t>Misuri</w:t>
      </w:r>
      <w:proofErr w:type="spellEnd"/>
      <w:r w:rsidRPr="005B1FCE">
        <w:rPr>
          <w:lang w:val="en-GB"/>
        </w:rPr>
        <w:t xml:space="preserve"> et al., 2020). </w:t>
      </w:r>
      <w:r w:rsidR="005A1A60" w:rsidRPr="005B1FCE">
        <w:rPr>
          <w:lang w:val="en-GB"/>
        </w:rPr>
        <w:t xml:space="preserve">Experts were asked to express quantitative judgments on the barrier failure likelihood </w:t>
      </w:r>
      <w:r w:rsidR="00BE05B7" w:rsidRPr="005B1FCE">
        <w:rPr>
          <w:lang w:val="en-GB"/>
        </w:rPr>
        <w:t>considering</w:t>
      </w:r>
      <w:r w:rsidR="005A1A60" w:rsidRPr="005B1FCE">
        <w:rPr>
          <w:lang w:val="en-GB"/>
        </w:rPr>
        <w:t xml:space="preserve"> earthquakes and floods</w:t>
      </w:r>
      <w:r w:rsidR="009F4B2C" w:rsidRPr="005B1FCE">
        <w:rPr>
          <w:lang w:val="en-GB"/>
        </w:rPr>
        <w:t xml:space="preserve"> of plausible </w:t>
      </w:r>
      <w:r w:rsidR="00E41125" w:rsidRPr="005B1FCE">
        <w:rPr>
          <w:lang w:val="en-GB"/>
        </w:rPr>
        <w:t>intensity. S</w:t>
      </w:r>
      <w:r w:rsidR="009F4B2C" w:rsidRPr="005B1FCE">
        <w:rPr>
          <w:lang w:val="en-GB"/>
        </w:rPr>
        <w:t>upplementary information on terminology and technical scheme</w:t>
      </w:r>
      <w:r w:rsidR="00287CB9" w:rsidRPr="005B1FCE">
        <w:rPr>
          <w:lang w:val="en-GB"/>
        </w:rPr>
        <w:t>s</w:t>
      </w:r>
      <w:r w:rsidR="009F4B2C" w:rsidRPr="005B1FCE">
        <w:rPr>
          <w:lang w:val="en-GB"/>
        </w:rPr>
        <w:t xml:space="preserve"> to consider</w:t>
      </w:r>
      <w:r w:rsidR="00E41125" w:rsidRPr="005B1FCE">
        <w:rPr>
          <w:lang w:val="en-GB"/>
        </w:rPr>
        <w:t xml:space="preserve"> was also provided to the experts</w:t>
      </w:r>
      <w:r w:rsidR="009F4B2C" w:rsidRPr="005B1FCE">
        <w:rPr>
          <w:lang w:val="en-GB"/>
        </w:rPr>
        <w:t xml:space="preserve">. </w:t>
      </w:r>
      <w:r w:rsidR="005A1A60" w:rsidRPr="005B1FCE">
        <w:rPr>
          <w:lang w:val="en-GB"/>
        </w:rPr>
        <w:t>The analysis was limited to two natural hazards only, both because those are the events with the potential of causing most severe accidents</w:t>
      </w:r>
      <w:r w:rsidR="00217D39" w:rsidRPr="005B1FCE">
        <w:rPr>
          <w:lang w:val="en-GB"/>
        </w:rPr>
        <w:t xml:space="preserve"> </w:t>
      </w:r>
      <w:r w:rsidR="00C90DAE" w:rsidRPr="005B1FCE">
        <w:rPr>
          <w:lang w:val="en-GB"/>
        </w:rPr>
        <w:t>(</w:t>
      </w:r>
      <w:proofErr w:type="spellStart"/>
      <w:r w:rsidR="00C90DAE" w:rsidRPr="005B1FCE">
        <w:rPr>
          <w:lang w:val="en-GB"/>
        </w:rPr>
        <w:t>Krausmann</w:t>
      </w:r>
      <w:proofErr w:type="spellEnd"/>
      <w:r w:rsidR="00C90DAE" w:rsidRPr="005B1FCE">
        <w:rPr>
          <w:lang w:val="en-GB"/>
        </w:rPr>
        <w:t xml:space="preserve"> et al., 201</w:t>
      </w:r>
      <w:r w:rsidR="006645E3" w:rsidRPr="005B1FCE">
        <w:rPr>
          <w:lang w:val="en-GB"/>
        </w:rPr>
        <w:t>7</w:t>
      </w:r>
      <w:r w:rsidR="00C90DAE" w:rsidRPr="005B1FCE">
        <w:rPr>
          <w:lang w:val="en-GB"/>
        </w:rPr>
        <w:t>)</w:t>
      </w:r>
      <w:r w:rsidR="005A1A60" w:rsidRPr="005B1FCE">
        <w:rPr>
          <w:lang w:val="en-GB"/>
        </w:rPr>
        <w:t xml:space="preserve">, and to facilitate answering. Nevertheless, the same approach can be </w:t>
      </w:r>
      <w:r w:rsidR="00E41125" w:rsidRPr="005B1FCE">
        <w:rPr>
          <w:lang w:val="en-GB"/>
        </w:rPr>
        <w:t>adapted</w:t>
      </w:r>
      <w:r w:rsidR="005A1A60" w:rsidRPr="005B1FCE">
        <w:rPr>
          <w:lang w:val="en-GB"/>
        </w:rPr>
        <w:t xml:space="preserve"> to other natural hazards</w:t>
      </w:r>
      <w:r w:rsidR="00866966" w:rsidRPr="005B1FCE">
        <w:rPr>
          <w:lang w:val="en-GB"/>
        </w:rPr>
        <w:t>.</w:t>
      </w:r>
      <w:r w:rsidR="00287CB9" w:rsidRPr="005B1FCE">
        <w:rPr>
          <w:lang w:val="en-GB"/>
        </w:rPr>
        <w:t xml:space="preserve"> Figure 2a and Figure 2b report the distributions of probability of damage due to natural hazards elicited from the experts for floods and earthquake</w:t>
      </w:r>
      <w:r w:rsidR="00763612" w:rsidRPr="005B1FCE">
        <w:rPr>
          <w:lang w:val="en-GB"/>
        </w:rPr>
        <w:t>,</w:t>
      </w:r>
      <w:r w:rsidR="00287CB9" w:rsidRPr="005B1FCE">
        <w:rPr>
          <w:lang w:val="en-GB"/>
        </w:rPr>
        <w:t xml:space="preserve"> respectively (</w:t>
      </w:r>
      <w:proofErr w:type="spellStart"/>
      <w:r w:rsidR="00287CB9" w:rsidRPr="005B1FCE">
        <w:rPr>
          <w:lang w:val="en-GB"/>
        </w:rPr>
        <w:t>Misuri</w:t>
      </w:r>
      <w:proofErr w:type="spellEnd"/>
      <w:r w:rsidR="00287CB9" w:rsidRPr="005B1FCE">
        <w:rPr>
          <w:lang w:val="en-GB"/>
        </w:rPr>
        <w:t xml:space="preserve"> et al., 2020).</w:t>
      </w:r>
    </w:p>
    <w:p w14:paraId="4194372A" w14:textId="21A9A254" w:rsidR="00217D39" w:rsidRPr="005B1FCE" w:rsidRDefault="00217D39" w:rsidP="00217D39">
      <w:pPr>
        <w:pStyle w:val="CETBodytext"/>
        <w:rPr>
          <w:lang w:val="en-GB"/>
        </w:rPr>
      </w:pPr>
    </w:p>
    <w:p w14:paraId="0FB45123" w14:textId="380FF0CB" w:rsidR="009551DE" w:rsidRPr="005B1FCE" w:rsidRDefault="009551DE" w:rsidP="00BD4E24">
      <w:pPr>
        <w:pStyle w:val="CETCaption"/>
        <w:spacing w:before="0"/>
      </w:pPr>
      <w:r w:rsidRPr="005B1FCE">
        <w:rPr>
          <w:noProof/>
          <w:lang w:val="it-IT" w:eastAsia="it-IT"/>
        </w:rPr>
        <w:drawing>
          <wp:inline distT="0" distB="0" distL="0" distR="0" wp14:anchorId="27B32345" wp14:editId="58699C14">
            <wp:extent cx="4411832" cy="3657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r="3388"/>
                    <a:stretch/>
                  </pic:blipFill>
                  <pic:spPr bwMode="auto">
                    <a:xfrm>
                      <a:off x="0" y="0"/>
                      <a:ext cx="4446525" cy="3686362"/>
                    </a:xfrm>
                    <a:prstGeom prst="rect">
                      <a:avLst/>
                    </a:prstGeom>
                    <a:noFill/>
                    <a:ln>
                      <a:noFill/>
                    </a:ln>
                    <a:extLst>
                      <a:ext uri="{53640926-AAD7-44D8-BBD7-CCE9431645EC}">
                        <a14:shadowObscured xmlns:a14="http://schemas.microsoft.com/office/drawing/2010/main"/>
                      </a:ext>
                    </a:extLst>
                  </pic:spPr>
                </pic:pic>
              </a:graphicData>
            </a:graphic>
          </wp:inline>
        </w:drawing>
      </w:r>
    </w:p>
    <w:p w14:paraId="6E150EDC" w14:textId="7A1E8433" w:rsidR="00217D39" w:rsidRPr="005B1FCE" w:rsidRDefault="00217D39" w:rsidP="00217D39">
      <w:pPr>
        <w:pStyle w:val="CETCaption"/>
      </w:pPr>
      <w:r w:rsidRPr="005B1FCE">
        <w:t xml:space="preserve">Figure 2: Elicited distribution for barrier failure probability due to a) floods and b) earthquakes. </w:t>
      </w:r>
      <w:r w:rsidR="00033DBC" w:rsidRPr="005B1FCE">
        <w:t>Boxplot terminology</w:t>
      </w:r>
      <w:r w:rsidRPr="005B1FCE">
        <w:t>: min=minimum value, Q1=1</w:t>
      </w:r>
      <w:r w:rsidRPr="005B1FCE">
        <w:rPr>
          <w:vertAlign w:val="superscript"/>
        </w:rPr>
        <w:t>st</w:t>
      </w:r>
      <w:r w:rsidRPr="005B1FCE">
        <w:t xml:space="preserve"> quartile, Q2=2</w:t>
      </w:r>
      <w:r w:rsidRPr="005B1FCE">
        <w:rPr>
          <w:vertAlign w:val="superscript"/>
        </w:rPr>
        <w:t>nd</w:t>
      </w:r>
      <w:r w:rsidRPr="005B1FCE">
        <w:t xml:space="preserve"> quartile (median), Q3=3</w:t>
      </w:r>
      <w:r w:rsidRPr="005B1FCE">
        <w:rPr>
          <w:vertAlign w:val="superscript"/>
        </w:rPr>
        <w:t>rd</w:t>
      </w:r>
      <w:r w:rsidRPr="005B1FCE">
        <w:t xml:space="preserve"> quartile, max=maximum value. </w:t>
      </w:r>
      <w:r w:rsidR="005D1764" w:rsidRPr="005B1FCE">
        <w:t>Based on</w:t>
      </w:r>
      <w:r w:rsidRPr="005B1FCE">
        <w:t xml:space="preserve"> (</w:t>
      </w:r>
      <w:proofErr w:type="spellStart"/>
      <w:r w:rsidRPr="005B1FCE">
        <w:t>Misuri</w:t>
      </w:r>
      <w:proofErr w:type="spellEnd"/>
      <w:r w:rsidRPr="005B1FCE">
        <w:t xml:space="preserve"> et al., 2020).</w:t>
      </w:r>
    </w:p>
    <w:p w14:paraId="368DCC99" w14:textId="4220D388" w:rsidR="005D25EF" w:rsidRPr="005B1FCE" w:rsidRDefault="005D25EF" w:rsidP="005D25EF">
      <w:pPr>
        <w:pStyle w:val="CETheadingx"/>
      </w:pPr>
      <w:r w:rsidRPr="005B1FCE">
        <w:lastRenderedPageBreak/>
        <w:t>Performance modification</w:t>
      </w:r>
    </w:p>
    <w:p w14:paraId="760829E7" w14:textId="77777777" w:rsidR="0011043B" w:rsidRPr="005B1FCE" w:rsidRDefault="005D25EF" w:rsidP="005D25EF">
      <w:pPr>
        <w:pStyle w:val="CETBodytext"/>
      </w:pPr>
      <w:r w:rsidRPr="005B1FCE">
        <w:t xml:space="preserve">The median value (Q2 in </w:t>
      </w:r>
      <w:r w:rsidR="00217D39" w:rsidRPr="005B1FCE">
        <w:t>Figure 2</w:t>
      </w:r>
      <w:r w:rsidRPr="005B1FCE">
        <w:t>)</w:t>
      </w:r>
      <w:r w:rsidR="0066543D" w:rsidRPr="005B1FCE">
        <w:t xml:space="preserve"> has been chosen as </w:t>
      </w:r>
      <w:r w:rsidR="00022B01" w:rsidRPr="005B1FCE">
        <w:t>performance modification factor (</w:t>
      </w:r>
      <w:proofErr w:type="spellStart"/>
      <w:r w:rsidR="00022B01" w:rsidRPr="005B1FCE">
        <w:rPr>
          <w:rFonts w:cs="Arial"/>
        </w:rPr>
        <w:t>ϕ</w:t>
      </w:r>
      <w:r w:rsidR="00743681" w:rsidRPr="005B1FCE">
        <w:rPr>
          <w:rFonts w:cs="Arial"/>
          <w:vertAlign w:val="subscript"/>
        </w:rPr>
        <w:t>n</w:t>
      </w:r>
      <w:proofErr w:type="spellEnd"/>
      <w:r w:rsidR="00022B01" w:rsidRPr="005B1FCE">
        <w:t xml:space="preserve">) </w:t>
      </w:r>
      <w:r w:rsidR="0066543D" w:rsidRPr="005B1FCE">
        <w:t xml:space="preserve">describing the direct impact of </w:t>
      </w:r>
      <w:r w:rsidR="00743681" w:rsidRPr="005B1FCE">
        <w:t>n-</w:t>
      </w:r>
      <w:proofErr w:type="spellStart"/>
      <w:r w:rsidR="00743681" w:rsidRPr="005B1FCE">
        <w:t>th</w:t>
      </w:r>
      <w:proofErr w:type="spellEnd"/>
      <w:r w:rsidR="00743681" w:rsidRPr="005B1FCE">
        <w:t xml:space="preserve"> </w:t>
      </w:r>
      <w:r w:rsidR="0066543D" w:rsidRPr="005B1FCE">
        <w:t xml:space="preserve">natural hazard </w:t>
      </w:r>
      <w:r w:rsidR="00022B01" w:rsidRPr="005B1FCE">
        <w:t>on barriers</w:t>
      </w:r>
      <w:r w:rsidR="0066543D" w:rsidRPr="005B1FCE">
        <w:t xml:space="preserve">. The choice of </w:t>
      </w:r>
      <w:r w:rsidR="00313068" w:rsidRPr="005B1FCE">
        <w:t xml:space="preserve">the </w:t>
      </w:r>
      <w:r w:rsidR="0066543D" w:rsidRPr="005B1FCE">
        <w:t xml:space="preserve">median as representative indicator </w:t>
      </w:r>
      <w:r w:rsidR="00313068" w:rsidRPr="005B1FCE">
        <w:t xml:space="preserve">of elicited distributions </w:t>
      </w:r>
      <w:r w:rsidR="0066543D" w:rsidRPr="005B1FCE">
        <w:t xml:space="preserve">is in agreement with previous studies, as discussed </w:t>
      </w:r>
      <w:r w:rsidR="005A1A60" w:rsidRPr="005B1FCE">
        <w:t>elsewhere (</w:t>
      </w:r>
      <w:proofErr w:type="spellStart"/>
      <w:r w:rsidR="0066543D" w:rsidRPr="005B1FCE">
        <w:t>Misuri</w:t>
      </w:r>
      <w:proofErr w:type="spellEnd"/>
      <w:r w:rsidR="0066543D" w:rsidRPr="005B1FCE">
        <w:t xml:space="preserve"> et al. 2020).</w:t>
      </w:r>
      <w:r w:rsidR="00BA3067" w:rsidRPr="005B1FCE">
        <w:t xml:space="preserve"> Considering past accident analysis, some failure patterns were identified (</w:t>
      </w:r>
      <w:proofErr w:type="spellStart"/>
      <w:r w:rsidR="00BA3067" w:rsidRPr="005B1FCE">
        <w:t>Misuri</w:t>
      </w:r>
      <w:proofErr w:type="spellEnd"/>
      <w:r w:rsidR="00BA3067" w:rsidRPr="005B1FCE">
        <w:t xml:space="preserve"> et al., 2019</w:t>
      </w:r>
      <w:r w:rsidR="0049620D" w:rsidRPr="005B1FCE">
        <w:t>b</w:t>
      </w:r>
      <w:r w:rsidR="00BA3067" w:rsidRPr="005B1FCE">
        <w:t>). In particular, the dependence on lifeline of active barriers may be a critical flaw during natural hazards</w:t>
      </w:r>
      <w:r w:rsidR="0049620D" w:rsidRPr="005B1FCE">
        <w:t xml:space="preserve"> (</w:t>
      </w:r>
      <w:proofErr w:type="spellStart"/>
      <w:r w:rsidR="0049620D" w:rsidRPr="005B1FCE">
        <w:t>Misuri</w:t>
      </w:r>
      <w:proofErr w:type="spellEnd"/>
      <w:r w:rsidR="0049620D" w:rsidRPr="005B1FCE">
        <w:t xml:space="preserve"> et al., 2019a).</w:t>
      </w:r>
      <w:r w:rsidR="00BA3067" w:rsidRPr="005B1FCE">
        <w:t xml:space="preserve"> </w:t>
      </w:r>
      <w:r w:rsidR="0049620D" w:rsidRPr="005B1FCE">
        <w:t>Indeed,</w:t>
      </w:r>
      <w:r w:rsidR="00BA3067" w:rsidRPr="005B1FCE">
        <w:t xml:space="preserve"> these high impact event</w:t>
      </w:r>
      <w:r w:rsidR="0049620D" w:rsidRPr="005B1FCE">
        <w:t>s</w:t>
      </w:r>
      <w:r w:rsidR="00BA3067" w:rsidRPr="005B1FCE">
        <w:t xml:space="preserve"> may </w:t>
      </w:r>
      <w:r w:rsidR="005A1A60" w:rsidRPr="005B1FCE">
        <w:t>affec</w:t>
      </w:r>
      <w:r w:rsidR="00BA3067" w:rsidRPr="005B1FCE">
        <w:t xml:space="preserve">t broad areas and cut </w:t>
      </w:r>
      <w:r w:rsidR="005A1A60" w:rsidRPr="005B1FCE">
        <w:t xml:space="preserve">lifelines and </w:t>
      </w:r>
      <w:r w:rsidR="00BA3067" w:rsidRPr="005B1FCE">
        <w:t>services like power connection (</w:t>
      </w:r>
      <w:proofErr w:type="spellStart"/>
      <w:r w:rsidR="00BA3067" w:rsidRPr="005B1FCE">
        <w:t>Karagiannis</w:t>
      </w:r>
      <w:proofErr w:type="spellEnd"/>
      <w:r w:rsidR="00BA3067" w:rsidRPr="005B1FCE">
        <w:t xml:space="preserve"> et al., 2017). </w:t>
      </w:r>
      <w:r w:rsidR="00022B01" w:rsidRPr="005B1FCE">
        <w:t xml:space="preserve">Backup generators may be vulnerable as well and past accidents demonstrated that there is the concrete possibility they fail during natural disasters (Labib and Harris, 2015). </w:t>
      </w:r>
    </w:p>
    <w:p w14:paraId="51F9FF8E" w14:textId="22371BAE" w:rsidR="00022B01" w:rsidRPr="005B1FCE" w:rsidRDefault="005A1A60" w:rsidP="005D25EF">
      <w:pPr>
        <w:pStyle w:val="CETBodytext"/>
      </w:pPr>
      <w:r w:rsidRPr="005B1FCE">
        <w:t>Given the lessons learnt from accident analysis, it is clear that it can be assumed that the most significant contribution of natural hazards to active barrier unavailability will be linked to the lack of activation, while in case of passive barrier the system can be supposed to be structurally damaged, and unable to</w:t>
      </w:r>
      <w:r w:rsidR="00217D39" w:rsidRPr="005B1FCE">
        <w:t xml:space="preserve"> fully</w:t>
      </w:r>
      <w:r w:rsidRPr="005B1FCE">
        <w:t xml:space="preserve"> perform the design safety function. </w:t>
      </w:r>
      <w:r w:rsidR="00022B01" w:rsidRPr="005B1FCE">
        <w:t xml:space="preserve">Therefore, </w:t>
      </w:r>
      <w:r w:rsidR="0017481C" w:rsidRPr="005B1FCE">
        <w:t>the performance of safety barrier starting from PFD</w:t>
      </w:r>
      <w:r w:rsidR="0017481C" w:rsidRPr="005B1FCE">
        <w:rPr>
          <w:vertAlign w:val="subscript"/>
        </w:rPr>
        <w:t>0</w:t>
      </w:r>
      <w:r w:rsidR="0017481C" w:rsidRPr="005B1FCE">
        <w:t xml:space="preserve"> and </w:t>
      </w:r>
      <w:r w:rsidR="0017481C" w:rsidRPr="005B1FCE">
        <w:rPr>
          <w:rFonts w:cs="Arial"/>
        </w:rPr>
        <w:t>η</w:t>
      </w:r>
      <w:r w:rsidR="0017481C" w:rsidRPr="005B1FCE">
        <w:rPr>
          <w:rFonts w:cs="Arial"/>
          <w:vertAlign w:val="subscript"/>
        </w:rPr>
        <w:t>0</w:t>
      </w:r>
      <w:r w:rsidR="0017481C" w:rsidRPr="005B1FCE">
        <w:rPr>
          <w:rFonts w:cs="Arial"/>
        </w:rPr>
        <w:t xml:space="preserve">, namely the </w:t>
      </w:r>
      <w:r w:rsidR="0011043B" w:rsidRPr="005B1FCE">
        <w:rPr>
          <w:rFonts w:cs="Arial"/>
        </w:rPr>
        <w:t>baseline</w:t>
      </w:r>
      <w:r w:rsidR="0017481C" w:rsidRPr="005B1FCE">
        <w:rPr>
          <w:rFonts w:cs="Arial"/>
        </w:rPr>
        <w:t xml:space="preserve"> probability of failure on demand and effectiveness, estimated without the contribution of natural hazard, should be assessed according to Table </w:t>
      </w:r>
      <w:r w:rsidR="00E7581D" w:rsidRPr="005B1FCE">
        <w:rPr>
          <w:rFonts w:cs="Arial"/>
        </w:rPr>
        <w:t>1</w:t>
      </w:r>
      <w:r w:rsidR="0017481C" w:rsidRPr="005B1FCE">
        <w:rPr>
          <w:rFonts w:cs="Arial"/>
        </w:rPr>
        <w:t>.</w:t>
      </w:r>
      <w:r w:rsidR="00FF56DF" w:rsidRPr="005B1FCE">
        <w:rPr>
          <w:rFonts w:cs="Arial"/>
        </w:rPr>
        <w:t xml:space="preserve"> </w:t>
      </w:r>
      <w:r w:rsidR="000F1718" w:rsidRPr="005B1FCE">
        <w:rPr>
          <w:rFonts w:cs="Arial"/>
        </w:rPr>
        <w:t>As can be seen from the table, for the case of active barriers,</w:t>
      </w:r>
      <w:r w:rsidR="00520151" w:rsidRPr="005B1FCE">
        <w:rPr>
          <w:rFonts w:cs="Arial"/>
        </w:rPr>
        <w:t xml:space="preserve"> the probability</w:t>
      </w:r>
      <w:r w:rsidR="00B0448C" w:rsidRPr="005B1FCE">
        <w:rPr>
          <w:rFonts w:cs="Arial"/>
        </w:rPr>
        <w:t xml:space="preserve"> of failure of demand is thus updated to </w:t>
      </w:r>
      <w:proofErr w:type="spellStart"/>
      <w:r w:rsidR="00B0448C" w:rsidRPr="005B1FCE">
        <w:t>PFD</w:t>
      </w:r>
      <w:r w:rsidR="00B0448C" w:rsidRPr="005B1FCE">
        <w:rPr>
          <w:vertAlign w:val="subscript"/>
        </w:rPr>
        <w:t>n</w:t>
      </w:r>
      <w:proofErr w:type="spellEnd"/>
      <w:r w:rsidR="00B0448C" w:rsidRPr="005B1FCE">
        <w:rPr>
          <w:vertAlign w:val="subscript"/>
        </w:rPr>
        <w:t xml:space="preserve"> </w:t>
      </w:r>
      <w:r w:rsidR="000F1718" w:rsidRPr="005B1FCE">
        <w:t xml:space="preserve">to include the additional contribution of natural hazards to unavailability, while for the case of passive barriers the possible structural damage is assessed through the reduction of effectiveness to </w:t>
      </w:r>
      <w:proofErr w:type="spellStart"/>
      <w:r w:rsidR="000F1718" w:rsidRPr="005B1FCE">
        <w:rPr>
          <w:rFonts w:cs="Arial"/>
        </w:rPr>
        <w:t>η</w:t>
      </w:r>
      <w:r w:rsidR="000F1718" w:rsidRPr="005B1FCE">
        <w:rPr>
          <w:rFonts w:cs="Arial"/>
          <w:vertAlign w:val="subscript"/>
        </w:rPr>
        <w:t>n</w:t>
      </w:r>
      <w:proofErr w:type="spellEnd"/>
      <w:r w:rsidR="000F1718" w:rsidRPr="005B1FCE">
        <w:rPr>
          <w:rFonts w:cs="Arial"/>
        </w:rPr>
        <w:t xml:space="preserve">. </w:t>
      </w:r>
      <w:r w:rsidR="00FF56DF" w:rsidRPr="005B1FCE">
        <w:rPr>
          <w:rFonts w:cs="Arial"/>
        </w:rPr>
        <w:t>It should be noted that the methodology does not directly address procedural barriers due to their high site-specificity.</w:t>
      </w:r>
      <w:r w:rsidR="00BF1A0F" w:rsidRPr="005B1FCE">
        <w:rPr>
          <w:rFonts w:cs="Arial"/>
        </w:rPr>
        <w:t xml:space="preserve"> </w:t>
      </w:r>
    </w:p>
    <w:p w14:paraId="51BFD3F6" w14:textId="70C05F35" w:rsidR="0017481C" w:rsidRPr="005B1FCE" w:rsidRDefault="0017481C" w:rsidP="0017481C">
      <w:pPr>
        <w:pStyle w:val="CETTabletitle"/>
      </w:pPr>
      <w:r w:rsidRPr="005B1FCE">
        <w:t xml:space="preserve">Table </w:t>
      </w:r>
      <w:r w:rsidR="00E7581D" w:rsidRPr="005B1FCE">
        <w:t>1</w:t>
      </w:r>
      <w:r w:rsidRPr="005B1FCE">
        <w:t>: Methodology for barrier performance modification.</w:t>
      </w:r>
    </w:p>
    <w:tbl>
      <w:tblPr>
        <w:tblW w:w="652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0"/>
        <w:gridCol w:w="176"/>
        <w:gridCol w:w="2693"/>
        <w:gridCol w:w="142"/>
        <w:gridCol w:w="2410"/>
      </w:tblGrid>
      <w:tr w:rsidR="005B1FCE" w:rsidRPr="005B1FCE" w14:paraId="016302C0" w14:textId="77777777" w:rsidTr="007D70D3">
        <w:tc>
          <w:tcPr>
            <w:tcW w:w="1100" w:type="dxa"/>
            <w:tcBorders>
              <w:top w:val="single" w:sz="12" w:space="0" w:color="008000"/>
              <w:bottom w:val="single" w:sz="6" w:space="0" w:color="008000"/>
            </w:tcBorders>
            <w:shd w:val="clear" w:color="auto" w:fill="FFFFFF"/>
          </w:tcPr>
          <w:p w14:paraId="47336134" w14:textId="1E3207FF" w:rsidR="007D70D3" w:rsidRPr="005B1FCE" w:rsidRDefault="007D70D3" w:rsidP="008763CD">
            <w:pPr>
              <w:pStyle w:val="CETBodytext"/>
              <w:rPr>
                <w:lang w:val="en-GB"/>
              </w:rPr>
            </w:pPr>
            <w:r w:rsidRPr="005B1FCE">
              <w:rPr>
                <w:lang w:val="en-GB"/>
              </w:rPr>
              <w:t>Barrier category</w:t>
            </w:r>
          </w:p>
        </w:tc>
        <w:tc>
          <w:tcPr>
            <w:tcW w:w="176" w:type="dxa"/>
            <w:tcBorders>
              <w:top w:val="single" w:sz="12" w:space="0" w:color="008000"/>
              <w:bottom w:val="single" w:sz="6" w:space="0" w:color="008000"/>
            </w:tcBorders>
            <w:shd w:val="clear" w:color="auto" w:fill="FFFFFF"/>
          </w:tcPr>
          <w:p w14:paraId="1260E97E" w14:textId="77777777" w:rsidR="007D70D3" w:rsidRPr="005B1FCE" w:rsidRDefault="007D70D3" w:rsidP="008763CD">
            <w:pPr>
              <w:pStyle w:val="CETBodytext"/>
              <w:rPr>
                <w:lang w:val="en-GB"/>
              </w:rPr>
            </w:pPr>
          </w:p>
        </w:tc>
        <w:tc>
          <w:tcPr>
            <w:tcW w:w="2693" w:type="dxa"/>
            <w:tcBorders>
              <w:top w:val="single" w:sz="12" w:space="0" w:color="008000"/>
              <w:bottom w:val="single" w:sz="6" w:space="0" w:color="008000"/>
            </w:tcBorders>
            <w:shd w:val="clear" w:color="auto" w:fill="FFFFFF"/>
          </w:tcPr>
          <w:p w14:paraId="1924E3C1" w14:textId="05DD35AD" w:rsidR="007D70D3" w:rsidRPr="005B1FCE" w:rsidRDefault="007D70D3" w:rsidP="008763CD">
            <w:pPr>
              <w:pStyle w:val="CETBodytext"/>
              <w:rPr>
                <w:lang w:val="en-GB"/>
              </w:rPr>
            </w:pPr>
            <w:r w:rsidRPr="005B1FCE">
              <w:rPr>
                <w:lang w:val="en-GB"/>
              </w:rPr>
              <w:t>Modified PFD during n-</w:t>
            </w:r>
            <w:proofErr w:type="spellStart"/>
            <w:r w:rsidRPr="005B1FCE">
              <w:rPr>
                <w:lang w:val="en-GB"/>
              </w:rPr>
              <w:t>th</w:t>
            </w:r>
            <w:proofErr w:type="spellEnd"/>
            <w:r w:rsidRPr="005B1FCE">
              <w:rPr>
                <w:lang w:val="en-GB"/>
              </w:rPr>
              <w:t xml:space="preserve"> natural hazards (</w:t>
            </w:r>
            <w:proofErr w:type="spellStart"/>
            <w:r w:rsidRPr="005B1FCE">
              <w:rPr>
                <w:lang w:val="en-GB"/>
              </w:rPr>
              <w:t>PFD</w:t>
            </w:r>
            <w:r w:rsidRPr="005B1FCE">
              <w:rPr>
                <w:vertAlign w:val="subscript"/>
                <w:lang w:val="en-GB"/>
              </w:rPr>
              <w:t>n</w:t>
            </w:r>
            <w:proofErr w:type="spellEnd"/>
            <w:r w:rsidRPr="005B1FCE">
              <w:rPr>
                <w:lang w:val="en-GB"/>
              </w:rPr>
              <w:t>)</w:t>
            </w:r>
          </w:p>
        </w:tc>
        <w:tc>
          <w:tcPr>
            <w:tcW w:w="142" w:type="dxa"/>
            <w:tcBorders>
              <w:top w:val="single" w:sz="12" w:space="0" w:color="008000"/>
              <w:bottom w:val="single" w:sz="6" w:space="0" w:color="008000"/>
            </w:tcBorders>
            <w:shd w:val="clear" w:color="auto" w:fill="FFFFFF"/>
          </w:tcPr>
          <w:p w14:paraId="1A541199" w14:textId="77777777" w:rsidR="007D70D3" w:rsidRPr="005B1FCE" w:rsidRDefault="007D70D3" w:rsidP="008763CD">
            <w:pPr>
              <w:pStyle w:val="CETBodytext"/>
              <w:rPr>
                <w:lang w:val="en-GB"/>
              </w:rPr>
            </w:pPr>
          </w:p>
        </w:tc>
        <w:tc>
          <w:tcPr>
            <w:tcW w:w="2410" w:type="dxa"/>
            <w:tcBorders>
              <w:top w:val="single" w:sz="12" w:space="0" w:color="008000"/>
              <w:bottom w:val="single" w:sz="6" w:space="0" w:color="008000"/>
            </w:tcBorders>
            <w:shd w:val="clear" w:color="auto" w:fill="FFFFFF"/>
          </w:tcPr>
          <w:p w14:paraId="3742311D" w14:textId="728603FE" w:rsidR="007D70D3" w:rsidRPr="005B1FCE" w:rsidRDefault="007D70D3" w:rsidP="008763CD">
            <w:pPr>
              <w:pStyle w:val="CETBodytext"/>
              <w:rPr>
                <w:lang w:val="en-GB"/>
              </w:rPr>
            </w:pPr>
            <w:r w:rsidRPr="005B1FCE">
              <w:rPr>
                <w:lang w:val="en-GB"/>
              </w:rPr>
              <w:t xml:space="preserve">Modified </w:t>
            </w:r>
            <w:r w:rsidRPr="005B1FCE">
              <w:rPr>
                <w:rFonts w:cs="Arial"/>
              </w:rPr>
              <w:t>η during n-</w:t>
            </w:r>
            <w:proofErr w:type="spellStart"/>
            <w:r w:rsidRPr="005B1FCE">
              <w:rPr>
                <w:rFonts w:cs="Arial"/>
              </w:rPr>
              <w:t>th</w:t>
            </w:r>
            <w:proofErr w:type="spellEnd"/>
            <w:r w:rsidRPr="005B1FCE">
              <w:rPr>
                <w:rFonts w:cs="Arial"/>
              </w:rPr>
              <w:t xml:space="preserve"> natural hazards (</w:t>
            </w:r>
            <w:proofErr w:type="spellStart"/>
            <w:r w:rsidRPr="005B1FCE">
              <w:rPr>
                <w:rFonts w:cs="Arial"/>
              </w:rPr>
              <w:t>η</w:t>
            </w:r>
            <w:r w:rsidRPr="005B1FCE">
              <w:rPr>
                <w:rFonts w:cs="Arial"/>
                <w:vertAlign w:val="subscript"/>
              </w:rPr>
              <w:t>n</w:t>
            </w:r>
            <w:proofErr w:type="spellEnd"/>
            <w:r w:rsidRPr="005B1FCE">
              <w:rPr>
                <w:rFonts w:cs="Arial"/>
              </w:rPr>
              <w:t>)</w:t>
            </w:r>
          </w:p>
        </w:tc>
      </w:tr>
      <w:tr w:rsidR="005B1FCE" w:rsidRPr="005B1FCE" w14:paraId="5EE413E4" w14:textId="77777777" w:rsidTr="007D70D3">
        <w:tc>
          <w:tcPr>
            <w:tcW w:w="1100" w:type="dxa"/>
            <w:shd w:val="clear" w:color="auto" w:fill="FFFFFF"/>
            <w:vAlign w:val="center"/>
          </w:tcPr>
          <w:p w14:paraId="4E6D31BA" w14:textId="66EE22ED" w:rsidR="007D70D3" w:rsidRPr="005B1FCE" w:rsidRDefault="007D70D3" w:rsidP="00D92E5D">
            <w:pPr>
              <w:pStyle w:val="CETBodytext"/>
              <w:jc w:val="left"/>
              <w:rPr>
                <w:lang w:val="en-GB"/>
              </w:rPr>
            </w:pPr>
            <w:r w:rsidRPr="005B1FCE">
              <w:rPr>
                <w:lang w:val="en-GB"/>
              </w:rPr>
              <w:t>Active</w:t>
            </w:r>
          </w:p>
        </w:tc>
        <w:tc>
          <w:tcPr>
            <w:tcW w:w="176" w:type="dxa"/>
            <w:shd w:val="clear" w:color="auto" w:fill="FFFFFF"/>
          </w:tcPr>
          <w:p w14:paraId="7A27D41F" w14:textId="77777777" w:rsidR="007D70D3" w:rsidRPr="005B1FCE" w:rsidRDefault="007D70D3" w:rsidP="00D92E5D">
            <w:pPr>
              <w:pStyle w:val="CETEquation"/>
            </w:pPr>
          </w:p>
        </w:tc>
        <w:tc>
          <w:tcPr>
            <w:tcW w:w="2693" w:type="dxa"/>
            <w:shd w:val="clear" w:color="auto" w:fill="FFFFFF"/>
          </w:tcPr>
          <w:p w14:paraId="4E198C54" w14:textId="2AEA50BB" w:rsidR="007D70D3" w:rsidRPr="005B1FCE" w:rsidRDefault="007D70D3" w:rsidP="00D92E5D">
            <w:pPr>
              <w:pStyle w:val="CETEquation"/>
            </w:pPr>
            <w:proofErr w:type="spellStart"/>
            <w:r w:rsidRPr="005B1FCE">
              <w:t>PFD</w:t>
            </w:r>
            <w:r w:rsidRPr="005B1FCE">
              <w:rPr>
                <w:vertAlign w:val="subscript"/>
              </w:rPr>
              <w:t>n</w:t>
            </w:r>
            <w:proofErr w:type="spellEnd"/>
            <w:r w:rsidRPr="005B1FCE">
              <w:rPr>
                <w:vertAlign w:val="subscript"/>
              </w:rPr>
              <w:t xml:space="preserve"> </w:t>
            </w:r>
            <w:r w:rsidRPr="005B1FCE">
              <w:t>= 1 - (</w:t>
            </w:r>
            <w:proofErr w:type="spellStart"/>
            <w:r w:rsidRPr="005B1FCE">
              <w:t>ϕ</w:t>
            </w:r>
            <w:r w:rsidRPr="005B1FCE">
              <w:rPr>
                <w:vertAlign w:val="subscript"/>
              </w:rPr>
              <w:t>n</w:t>
            </w:r>
            <w:proofErr w:type="spellEnd"/>
            <w:r w:rsidRPr="005B1FCE">
              <w:rPr>
                <w:vertAlign w:val="subscript"/>
              </w:rPr>
              <w:t xml:space="preserve"> </w:t>
            </w:r>
            <w:r w:rsidRPr="005B1FCE">
              <w:t>- 1) * (1 - PFD</w:t>
            </w:r>
            <w:r w:rsidRPr="005B1FCE">
              <w:rPr>
                <w:vertAlign w:val="subscript"/>
              </w:rPr>
              <w:t>0</w:t>
            </w:r>
            <w:r w:rsidRPr="005B1FCE">
              <w:t>)</w:t>
            </w:r>
          </w:p>
        </w:tc>
        <w:tc>
          <w:tcPr>
            <w:tcW w:w="142" w:type="dxa"/>
            <w:shd w:val="clear" w:color="auto" w:fill="FFFFFF"/>
          </w:tcPr>
          <w:p w14:paraId="30C4B576" w14:textId="77777777" w:rsidR="007D70D3" w:rsidRPr="005B1FCE" w:rsidRDefault="007D70D3" w:rsidP="008763CD">
            <w:pPr>
              <w:pStyle w:val="CETBodytext"/>
              <w:rPr>
                <w:rFonts w:cs="Arial"/>
              </w:rPr>
            </w:pPr>
          </w:p>
        </w:tc>
        <w:tc>
          <w:tcPr>
            <w:tcW w:w="2410" w:type="dxa"/>
            <w:shd w:val="clear" w:color="auto" w:fill="FFFFFF"/>
          </w:tcPr>
          <w:p w14:paraId="45295D10" w14:textId="7A98FB41" w:rsidR="007D70D3" w:rsidRPr="005B1FCE" w:rsidRDefault="007D70D3" w:rsidP="00D92E5D">
            <w:pPr>
              <w:pStyle w:val="CETEquation"/>
            </w:pPr>
            <w:proofErr w:type="spellStart"/>
            <w:r w:rsidRPr="005B1FCE">
              <w:rPr>
                <w:rFonts w:cs="Arial"/>
              </w:rPr>
              <w:t>η</w:t>
            </w:r>
            <w:r w:rsidRPr="005B1FCE">
              <w:rPr>
                <w:rFonts w:cs="Arial"/>
                <w:vertAlign w:val="subscript"/>
              </w:rPr>
              <w:t>n</w:t>
            </w:r>
            <w:proofErr w:type="spellEnd"/>
            <w:r w:rsidRPr="005B1FCE">
              <w:rPr>
                <w:rFonts w:cs="Arial"/>
              </w:rPr>
              <w:t xml:space="preserve"> =</w:t>
            </w:r>
            <w:r w:rsidRPr="005B1FCE">
              <w:rPr>
                <w:rFonts w:cs="Arial"/>
                <w:vertAlign w:val="subscript"/>
              </w:rPr>
              <w:t xml:space="preserve"> </w:t>
            </w:r>
            <w:r w:rsidRPr="005B1FCE">
              <w:rPr>
                <w:rFonts w:cs="Arial"/>
              </w:rPr>
              <w:t>η</w:t>
            </w:r>
            <w:r w:rsidRPr="005B1FCE">
              <w:rPr>
                <w:rFonts w:cs="Arial"/>
                <w:vertAlign w:val="subscript"/>
              </w:rPr>
              <w:t xml:space="preserve">0 </w:t>
            </w:r>
            <w:r w:rsidRPr="005B1FCE">
              <w:t>(Not modified)</w:t>
            </w:r>
          </w:p>
        </w:tc>
      </w:tr>
      <w:tr w:rsidR="005B1FCE" w:rsidRPr="005B1FCE" w14:paraId="4A9BA142" w14:textId="77777777" w:rsidTr="007D70D3">
        <w:tc>
          <w:tcPr>
            <w:tcW w:w="1100" w:type="dxa"/>
            <w:shd w:val="clear" w:color="auto" w:fill="FFFFFF"/>
            <w:vAlign w:val="center"/>
          </w:tcPr>
          <w:p w14:paraId="6EDBECF0" w14:textId="4C680E9C" w:rsidR="007D70D3" w:rsidRPr="005B1FCE" w:rsidRDefault="007D70D3" w:rsidP="00D92E5D">
            <w:pPr>
              <w:pStyle w:val="CETBodytext"/>
              <w:ind w:right="-1"/>
              <w:jc w:val="left"/>
              <w:rPr>
                <w:rFonts w:cs="Arial"/>
                <w:szCs w:val="18"/>
                <w:lang w:val="en-GB"/>
              </w:rPr>
            </w:pPr>
            <w:r w:rsidRPr="005B1FCE">
              <w:rPr>
                <w:rFonts w:cs="Arial"/>
                <w:szCs w:val="18"/>
                <w:lang w:val="en-GB"/>
              </w:rPr>
              <w:t>Passive</w:t>
            </w:r>
          </w:p>
        </w:tc>
        <w:tc>
          <w:tcPr>
            <w:tcW w:w="176" w:type="dxa"/>
            <w:shd w:val="clear" w:color="auto" w:fill="FFFFFF"/>
          </w:tcPr>
          <w:p w14:paraId="0A705BC2" w14:textId="77777777" w:rsidR="007D70D3" w:rsidRPr="005B1FCE" w:rsidRDefault="007D70D3" w:rsidP="00D92E5D">
            <w:pPr>
              <w:pStyle w:val="CETEquation"/>
            </w:pPr>
          </w:p>
        </w:tc>
        <w:tc>
          <w:tcPr>
            <w:tcW w:w="2693" w:type="dxa"/>
            <w:shd w:val="clear" w:color="auto" w:fill="FFFFFF"/>
          </w:tcPr>
          <w:p w14:paraId="061DAE99" w14:textId="6501A052" w:rsidR="007D70D3" w:rsidRPr="005B1FCE" w:rsidRDefault="007D70D3" w:rsidP="00D92E5D">
            <w:pPr>
              <w:pStyle w:val="CETEquation"/>
            </w:pPr>
            <w:r w:rsidRPr="005B1FCE">
              <w:t>0 (Not modified)</w:t>
            </w:r>
          </w:p>
        </w:tc>
        <w:tc>
          <w:tcPr>
            <w:tcW w:w="142" w:type="dxa"/>
            <w:shd w:val="clear" w:color="auto" w:fill="FFFFFF"/>
          </w:tcPr>
          <w:p w14:paraId="0B0147C2" w14:textId="77777777" w:rsidR="007D70D3" w:rsidRPr="005B1FCE" w:rsidRDefault="007D70D3" w:rsidP="00D92E5D">
            <w:pPr>
              <w:pStyle w:val="CETEquation"/>
            </w:pPr>
          </w:p>
        </w:tc>
        <w:tc>
          <w:tcPr>
            <w:tcW w:w="2410" w:type="dxa"/>
            <w:shd w:val="clear" w:color="auto" w:fill="FFFFFF"/>
          </w:tcPr>
          <w:p w14:paraId="3BBFDD5A" w14:textId="05723FAB" w:rsidR="007D70D3" w:rsidRPr="005B1FCE" w:rsidRDefault="007D70D3" w:rsidP="00D92E5D">
            <w:pPr>
              <w:pStyle w:val="CETEquation"/>
            </w:pPr>
            <w:proofErr w:type="spellStart"/>
            <w:r w:rsidRPr="005B1FCE">
              <w:t>η</w:t>
            </w:r>
            <w:r w:rsidRPr="005B1FCE">
              <w:rPr>
                <w:vertAlign w:val="subscript"/>
              </w:rPr>
              <w:t>n</w:t>
            </w:r>
            <w:proofErr w:type="spellEnd"/>
            <w:r w:rsidRPr="005B1FCE">
              <w:t xml:space="preserve"> = (1 - </w:t>
            </w:r>
            <w:proofErr w:type="spellStart"/>
            <w:r w:rsidRPr="005B1FCE">
              <w:t>ϕ</w:t>
            </w:r>
            <w:r w:rsidRPr="005B1FCE">
              <w:rPr>
                <w:vertAlign w:val="subscript"/>
              </w:rPr>
              <w:t>n</w:t>
            </w:r>
            <w:proofErr w:type="spellEnd"/>
            <w:r w:rsidRPr="005B1FCE">
              <w:t>) * η</w:t>
            </w:r>
            <w:r w:rsidRPr="005B1FCE">
              <w:rPr>
                <w:vertAlign w:val="subscript"/>
              </w:rPr>
              <w:t>0</w:t>
            </w:r>
          </w:p>
        </w:tc>
      </w:tr>
      <w:tr w:rsidR="005B1FCE" w:rsidRPr="005B1FCE" w14:paraId="6C9490EB" w14:textId="77777777" w:rsidTr="007D70D3">
        <w:trPr>
          <w:trHeight w:val="370"/>
        </w:trPr>
        <w:tc>
          <w:tcPr>
            <w:tcW w:w="1100" w:type="dxa"/>
            <w:shd w:val="clear" w:color="auto" w:fill="FFFFFF"/>
            <w:vAlign w:val="center"/>
          </w:tcPr>
          <w:p w14:paraId="0E046E60" w14:textId="6D9981FA" w:rsidR="007D70D3" w:rsidRPr="005B1FCE" w:rsidRDefault="007D70D3" w:rsidP="00D92E5D">
            <w:pPr>
              <w:pStyle w:val="CETBodytext"/>
              <w:ind w:right="-1"/>
              <w:jc w:val="left"/>
              <w:rPr>
                <w:rFonts w:cs="Arial"/>
                <w:szCs w:val="18"/>
                <w:lang w:val="en-GB"/>
              </w:rPr>
            </w:pPr>
            <w:r w:rsidRPr="005B1FCE">
              <w:rPr>
                <w:rFonts w:cs="Arial"/>
                <w:szCs w:val="18"/>
                <w:lang w:val="en-GB"/>
              </w:rPr>
              <w:t xml:space="preserve">Procedural </w:t>
            </w:r>
          </w:p>
        </w:tc>
        <w:tc>
          <w:tcPr>
            <w:tcW w:w="176" w:type="dxa"/>
            <w:shd w:val="clear" w:color="auto" w:fill="FFFFFF"/>
          </w:tcPr>
          <w:p w14:paraId="3897B414" w14:textId="77777777" w:rsidR="007D70D3" w:rsidRPr="005B1FCE" w:rsidRDefault="007D70D3" w:rsidP="00D92E5D">
            <w:pPr>
              <w:pStyle w:val="CETBodytext"/>
              <w:ind w:right="-1"/>
              <w:jc w:val="left"/>
              <w:rPr>
                <w:rFonts w:cs="Arial"/>
                <w:szCs w:val="18"/>
                <w:lang w:val="en-GB"/>
              </w:rPr>
            </w:pPr>
          </w:p>
        </w:tc>
        <w:tc>
          <w:tcPr>
            <w:tcW w:w="2693" w:type="dxa"/>
            <w:shd w:val="clear" w:color="auto" w:fill="FFFFFF"/>
            <w:vAlign w:val="center"/>
          </w:tcPr>
          <w:p w14:paraId="5B0B17BD" w14:textId="137CDF85" w:rsidR="007D70D3" w:rsidRPr="005B1FCE" w:rsidRDefault="007D70D3" w:rsidP="00D92E5D">
            <w:pPr>
              <w:pStyle w:val="CETBodytext"/>
              <w:ind w:right="-1"/>
              <w:jc w:val="left"/>
              <w:rPr>
                <w:rFonts w:cs="Arial"/>
                <w:szCs w:val="18"/>
                <w:lang w:val="en-GB"/>
              </w:rPr>
            </w:pPr>
            <w:r w:rsidRPr="005B1FCE">
              <w:rPr>
                <w:rFonts w:cs="Arial"/>
                <w:szCs w:val="18"/>
                <w:lang w:val="en-GB"/>
              </w:rPr>
              <w:t>Site-specific assessment</w:t>
            </w:r>
          </w:p>
        </w:tc>
        <w:tc>
          <w:tcPr>
            <w:tcW w:w="142" w:type="dxa"/>
            <w:shd w:val="clear" w:color="auto" w:fill="FFFFFF"/>
            <w:vAlign w:val="center"/>
          </w:tcPr>
          <w:p w14:paraId="3D3B18F7" w14:textId="77777777" w:rsidR="007D70D3" w:rsidRPr="005B1FCE" w:rsidRDefault="007D70D3" w:rsidP="00D92E5D">
            <w:pPr>
              <w:pStyle w:val="CETBodytext"/>
              <w:ind w:right="-1"/>
              <w:jc w:val="left"/>
              <w:rPr>
                <w:lang w:val="en-GB"/>
              </w:rPr>
            </w:pPr>
          </w:p>
        </w:tc>
        <w:tc>
          <w:tcPr>
            <w:tcW w:w="2410" w:type="dxa"/>
            <w:shd w:val="clear" w:color="auto" w:fill="FFFFFF"/>
            <w:vAlign w:val="center"/>
          </w:tcPr>
          <w:p w14:paraId="539A96B5" w14:textId="4B2A9FA3" w:rsidR="007D70D3" w:rsidRPr="005B1FCE" w:rsidRDefault="007D70D3" w:rsidP="00D92E5D">
            <w:pPr>
              <w:pStyle w:val="CETBodytext"/>
              <w:ind w:right="-1"/>
              <w:jc w:val="left"/>
              <w:rPr>
                <w:rFonts w:cs="Arial"/>
                <w:szCs w:val="18"/>
                <w:lang w:val="en-GB"/>
              </w:rPr>
            </w:pPr>
            <w:r w:rsidRPr="005B1FCE">
              <w:rPr>
                <w:lang w:val="en-GB"/>
              </w:rPr>
              <w:t>Site-specific assessment</w:t>
            </w:r>
          </w:p>
        </w:tc>
      </w:tr>
    </w:tbl>
    <w:p w14:paraId="2B114E32" w14:textId="3AEC630F" w:rsidR="00530FC2" w:rsidRPr="005B1FCE" w:rsidRDefault="00530FC2" w:rsidP="00530FC2">
      <w:pPr>
        <w:pStyle w:val="CETHeading1"/>
        <w:rPr>
          <w:lang w:val="en-GB"/>
        </w:rPr>
      </w:pPr>
      <w:r w:rsidRPr="005B1FCE">
        <w:rPr>
          <w:lang w:val="en-GB"/>
        </w:rPr>
        <w:t>Probabilistic assessment</w:t>
      </w:r>
    </w:p>
    <w:p w14:paraId="7D8E2383" w14:textId="0F29448C" w:rsidR="00BF1A0F" w:rsidRPr="005B1FCE" w:rsidRDefault="00BF1A0F" w:rsidP="00BF1A0F">
      <w:pPr>
        <w:pStyle w:val="CETBodytext"/>
        <w:rPr>
          <w:lang w:val="en-GB"/>
        </w:rPr>
      </w:pPr>
      <w:r w:rsidRPr="005B1FCE">
        <w:rPr>
          <w:lang w:val="en-GB"/>
        </w:rPr>
        <w:t xml:space="preserve">The probabilistic assessment of domino scenarios developing from </w:t>
      </w:r>
      <w:proofErr w:type="spellStart"/>
      <w:r w:rsidRPr="005B1FCE">
        <w:rPr>
          <w:lang w:val="en-GB"/>
        </w:rPr>
        <w:t>Natech</w:t>
      </w:r>
      <w:proofErr w:type="spellEnd"/>
      <w:r w:rsidRPr="005B1FCE">
        <w:rPr>
          <w:lang w:val="en-GB"/>
        </w:rPr>
        <w:t xml:space="preserve"> primary accident can be carried out applying a </w:t>
      </w:r>
      <w:r w:rsidR="0011043B" w:rsidRPr="005B1FCE">
        <w:rPr>
          <w:lang w:val="en-GB"/>
        </w:rPr>
        <w:t>customized</w:t>
      </w:r>
      <w:r w:rsidRPr="005B1FCE">
        <w:rPr>
          <w:lang w:val="en-GB"/>
        </w:rPr>
        <w:t xml:space="preserve"> </w:t>
      </w:r>
      <w:r w:rsidR="003C56CB" w:rsidRPr="005B1FCE">
        <w:rPr>
          <w:lang w:val="en-GB"/>
        </w:rPr>
        <w:t>event tree analysis (</w:t>
      </w:r>
      <w:r w:rsidRPr="005B1FCE">
        <w:rPr>
          <w:lang w:val="en-GB"/>
        </w:rPr>
        <w:t>ETA</w:t>
      </w:r>
      <w:r w:rsidR="003C56CB" w:rsidRPr="005B1FCE">
        <w:rPr>
          <w:lang w:val="en-GB"/>
        </w:rPr>
        <w:t>)</w:t>
      </w:r>
      <w:r w:rsidRPr="005B1FCE">
        <w:rPr>
          <w:lang w:val="en-GB"/>
        </w:rPr>
        <w:t xml:space="preserve"> methodology for modelling safety barrier impact on escalation scenario frequencies</w:t>
      </w:r>
      <w:r w:rsidR="008B57ED" w:rsidRPr="005B1FCE">
        <w:rPr>
          <w:lang w:val="en-GB"/>
        </w:rPr>
        <w:t xml:space="preserve"> (Landucci et al., 2016)</w:t>
      </w:r>
      <w:r w:rsidRPr="005B1FCE">
        <w:rPr>
          <w:lang w:val="en-GB"/>
        </w:rPr>
        <w:t>.</w:t>
      </w:r>
      <w:r w:rsidR="008B57ED" w:rsidRPr="005B1FCE">
        <w:rPr>
          <w:lang w:val="en-GB"/>
        </w:rPr>
        <w:t xml:space="preserve"> </w:t>
      </w:r>
    </w:p>
    <w:p w14:paraId="7C05DD4A" w14:textId="21B433CA" w:rsidR="00FC318A" w:rsidRPr="005B1FCE" w:rsidRDefault="007A6B5D" w:rsidP="00FC318A">
      <w:pPr>
        <w:pStyle w:val="CETBodytext"/>
      </w:pPr>
      <w:r w:rsidRPr="005B1FCE">
        <w:t xml:space="preserve">The logical operators adopted in this framework are presented in Table </w:t>
      </w:r>
      <w:r w:rsidR="00E7581D" w:rsidRPr="005B1FCE">
        <w:t>2</w:t>
      </w:r>
      <w:r w:rsidRPr="005B1FCE">
        <w:t>.</w:t>
      </w:r>
      <w:r w:rsidR="00B27DEB" w:rsidRPr="005B1FCE">
        <w:t xml:space="preserve"> The proper gate choice for a specific barrier is performed according to barrier functioning, as described elsewhere (Landucci et al., 2015).</w:t>
      </w:r>
    </w:p>
    <w:p w14:paraId="1332541B" w14:textId="5CEAB4E9" w:rsidR="007A6B5D" w:rsidRPr="005B1FCE" w:rsidRDefault="007A6B5D" w:rsidP="007A6B5D">
      <w:pPr>
        <w:pStyle w:val="CETTabletitle"/>
      </w:pPr>
      <w:r w:rsidRPr="005B1FCE">
        <w:t xml:space="preserve">Table </w:t>
      </w:r>
      <w:r w:rsidR="00E7581D" w:rsidRPr="005B1FCE">
        <w:t>2</w:t>
      </w:r>
      <w:r w:rsidRPr="005B1FCE">
        <w:t>: Logical operators adopted in</w:t>
      </w:r>
      <w:r w:rsidR="0011043B" w:rsidRPr="005B1FCE">
        <w:t xml:space="preserve"> the</w:t>
      </w:r>
      <w:r w:rsidRPr="005B1FCE">
        <w:t xml:space="preserve"> ETA</w:t>
      </w:r>
      <w:r w:rsidR="0011043B" w:rsidRPr="005B1FCE">
        <w:t>, adapted from (Landucci et al., 2016).</w:t>
      </w:r>
    </w:p>
    <w:tbl>
      <w:tblPr>
        <w:tblW w:w="882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87"/>
        <w:gridCol w:w="20"/>
        <w:gridCol w:w="3686"/>
        <w:gridCol w:w="20"/>
        <w:gridCol w:w="4516"/>
      </w:tblGrid>
      <w:tr w:rsidR="005B1FCE" w:rsidRPr="005B1FCE" w14:paraId="11FE6474" w14:textId="77777777" w:rsidTr="00C5318E">
        <w:trPr>
          <w:trHeight w:val="204"/>
        </w:trPr>
        <w:tc>
          <w:tcPr>
            <w:tcW w:w="587" w:type="dxa"/>
            <w:tcBorders>
              <w:top w:val="single" w:sz="12" w:space="0" w:color="008000"/>
              <w:bottom w:val="single" w:sz="6" w:space="0" w:color="008000"/>
            </w:tcBorders>
            <w:shd w:val="clear" w:color="auto" w:fill="FFFFFF"/>
          </w:tcPr>
          <w:p w14:paraId="0CD15738" w14:textId="116A61CF" w:rsidR="00C5318E" w:rsidRPr="005B1FCE" w:rsidRDefault="00C5318E" w:rsidP="008763CD">
            <w:pPr>
              <w:pStyle w:val="CETBodytext"/>
              <w:rPr>
                <w:lang w:val="en-GB"/>
              </w:rPr>
            </w:pPr>
            <w:r w:rsidRPr="005B1FCE">
              <w:rPr>
                <w:lang w:val="en-GB"/>
              </w:rPr>
              <w:t>Gate</w:t>
            </w:r>
          </w:p>
        </w:tc>
        <w:tc>
          <w:tcPr>
            <w:tcW w:w="20" w:type="dxa"/>
            <w:tcBorders>
              <w:top w:val="single" w:sz="12" w:space="0" w:color="008000"/>
              <w:bottom w:val="single" w:sz="6" w:space="0" w:color="008000"/>
            </w:tcBorders>
            <w:shd w:val="clear" w:color="auto" w:fill="FFFFFF"/>
          </w:tcPr>
          <w:p w14:paraId="6E3014D1" w14:textId="77777777" w:rsidR="00C5318E" w:rsidRPr="005B1FCE" w:rsidRDefault="00C5318E" w:rsidP="00613A51">
            <w:pPr>
              <w:pStyle w:val="CETBodytext"/>
              <w:jc w:val="left"/>
              <w:rPr>
                <w:lang w:val="en-GB"/>
              </w:rPr>
            </w:pPr>
          </w:p>
        </w:tc>
        <w:tc>
          <w:tcPr>
            <w:tcW w:w="3686" w:type="dxa"/>
            <w:tcBorders>
              <w:top w:val="single" w:sz="12" w:space="0" w:color="008000"/>
              <w:bottom w:val="single" w:sz="6" w:space="0" w:color="008000"/>
            </w:tcBorders>
            <w:shd w:val="clear" w:color="auto" w:fill="FFFFFF"/>
          </w:tcPr>
          <w:p w14:paraId="560BB6CA" w14:textId="27366E3E" w:rsidR="00C5318E" w:rsidRPr="005B1FCE" w:rsidRDefault="00C5318E" w:rsidP="00613A51">
            <w:pPr>
              <w:pStyle w:val="CETBodytext"/>
              <w:jc w:val="left"/>
              <w:rPr>
                <w:lang w:val="en-GB"/>
              </w:rPr>
            </w:pPr>
            <w:r w:rsidRPr="005B1FCE">
              <w:rPr>
                <w:lang w:val="en-GB"/>
              </w:rPr>
              <w:t>Graphical representation &amp; Combination rules</w:t>
            </w:r>
          </w:p>
        </w:tc>
        <w:tc>
          <w:tcPr>
            <w:tcW w:w="20" w:type="dxa"/>
            <w:tcBorders>
              <w:top w:val="single" w:sz="12" w:space="0" w:color="008000"/>
              <w:bottom w:val="single" w:sz="6" w:space="0" w:color="008000"/>
            </w:tcBorders>
            <w:shd w:val="clear" w:color="auto" w:fill="FFFFFF"/>
          </w:tcPr>
          <w:p w14:paraId="1A704D1C" w14:textId="77777777" w:rsidR="00C5318E" w:rsidRPr="005B1FCE" w:rsidRDefault="00C5318E" w:rsidP="008763CD">
            <w:pPr>
              <w:pStyle w:val="CETBodytext"/>
              <w:rPr>
                <w:lang w:val="en-GB"/>
              </w:rPr>
            </w:pPr>
          </w:p>
        </w:tc>
        <w:tc>
          <w:tcPr>
            <w:tcW w:w="4516" w:type="dxa"/>
            <w:tcBorders>
              <w:top w:val="single" w:sz="12" w:space="0" w:color="008000"/>
              <w:bottom w:val="single" w:sz="6" w:space="0" w:color="008000"/>
            </w:tcBorders>
            <w:shd w:val="clear" w:color="auto" w:fill="FFFFFF"/>
          </w:tcPr>
          <w:p w14:paraId="614AE9F6" w14:textId="0FD04CAC" w:rsidR="00C5318E" w:rsidRPr="005B1FCE" w:rsidRDefault="00C5318E" w:rsidP="008763CD">
            <w:pPr>
              <w:pStyle w:val="CETBodytext"/>
              <w:rPr>
                <w:lang w:val="en-GB"/>
              </w:rPr>
            </w:pPr>
            <w:r w:rsidRPr="005B1FCE">
              <w:rPr>
                <w:lang w:val="en-GB"/>
              </w:rPr>
              <w:t>Description</w:t>
            </w:r>
          </w:p>
        </w:tc>
      </w:tr>
      <w:tr w:rsidR="005B1FCE" w:rsidRPr="005B1FCE" w14:paraId="0E8ABD86" w14:textId="77777777" w:rsidTr="00C5318E">
        <w:trPr>
          <w:trHeight w:val="945"/>
        </w:trPr>
        <w:tc>
          <w:tcPr>
            <w:tcW w:w="587" w:type="dxa"/>
            <w:shd w:val="clear" w:color="auto" w:fill="FFFFFF"/>
            <w:vAlign w:val="center"/>
          </w:tcPr>
          <w:p w14:paraId="676060B3" w14:textId="2464E430" w:rsidR="00C5318E" w:rsidRPr="005B1FCE" w:rsidRDefault="00C5318E" w:rsidP="008763CD">
            <w:pPr>
              <w:pStyle w:val="CETBodytext"/>
              <w:jc w:val="left"/>
              <w:rPr>
                <w:lang w:val="en-GB"/>
              </w:rPr>
            </w:pPr>
            <w:r w:rsidRPr="005B1FCE">
              <w:rPr>
                <w:lang w:val="en-GB"/>
              </w:rPr>
              <w:t>a</w:t>
            </w:r>
          </w:p>
        </w:tc>
        <w:tc>
          <w:tcPr>
            <w:tcW w:w="20" w:type="dxa"/>
            <w:shd w:val="clear" w:color="auto" w:fill="FFFFFF"/>
          </w:tcPr>
          <w:p w14:paraId="79184CFB" w14:textId="77777777" w:rsidR="00C5318E" w:rsidRPr="005B1FCE" w:rsidRDefault="00C5318E" w:rsidP="008763CD">
            <w:pPr>
              <w:pStyle w:val="CETEquation"/>
              <w:rPr>
                <w:noProof/>
                <w:lang w:eastAsia="en-GB"/>
              </w:rPr>
            </w:pPr>
          </w:p>
        </w:tc>
        <w:tc>
          <w:tcPr>
            <w:tcW w:w="3686" w:type="dxa"/>
            <w:shd w:val="clear" w:color="auto" w:fill="FFFFFF"/>
          </w:tcPr>
          <w:p w14:paraId="776A9375" w14:textId="459B7D07" w:rsidR="00C5318E" w:rsidRPr="005B1FCE" w:rsidRDefault="00C5318E" w:rsidP="008763CD">
            <w:pPr>
              <w:pStyle w:val="CETEquation"/>
            </w:pPr>
            <w:r w:rsidRPr="005B1FCE">
              <w:rPr>
                <w:noProof/>
                <w:lang w:val="it-IT" w:eastAsia="it-IT"/>
              </w:rPr>
              <w:drawing>
                <wp:inline distT="0" distB="0" distL="0" distR="0" wp14:anchorId="74338EC9" wp14:editId="6ACE912A">
                  <wp:extent cx="2235200" cy="5424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2544" cy="566102"/>
                          </a:xfrm>
                          <a:prstGeom prst="rect">
                            <a:avLst/>
                          </a:prstGeom>
                          <a:noFill/>
                          <a:ln>
                            <a:noFill/>
                          </a:ln>
                        </pic:spPr>
                      </pic:pic>
                    </a:graphicData>
                  </a:graphic>
                </wp:inline>
              </w:drawing>
            </w:r>
          </w:p>
        </w:tc>
        <w:tc>
          <w:tcPr>
            <w:tcW w:w="20" w:type="dxa"/>
            <w:shd w:val="clear" w:color="auto" w:fill="FFFFFF"/>
          </w:tcPr>
          <w:p w14:paraId="4EA7E6F0" w14:textId="77777777" w:rsidR="00C5318E" w:rsidRPr="005B1FCE" w:rsidRDefault="00C5318E" w:rsidP="008763CD">
            <w:pPr>
              <w:pStyle w:val="CETBodytext"/>
              <w:rPr>
                <w:rFonts w:cs="Arial"/>
              </w:rPr>
            </w:pPr>
          </w:p>
        </w:tc>
        <w:tc>
          <w:tcPr>
            <w:tcW w:w="4516" w:type="dxa"/>
            <w:shd w:val="clear" w:color="auto" w:fill="FFFFFF"/>
          </w:tcPr>
          <w:p w14:paraId="1A5373B6" w14:textId="0D9D9BC0" w:rsidR="00C5318E" w:rsidRPr="005B1FCE" w:rsidRDefault="00C5318E" w:rsidP="00000976">
            <w:pPr>
              <w:pStyle w:val="CETEquation"/>
              <w:rPr>
                <w:rFonts w:cs="Arial"/>
              </w:rPr>
            </w:pPr>
            <w:r w:rsidRPr="005B1FCE">
              <w:rPr>
                <w:rFonts w:cs="Arial"/>
              </w:rPr>
              <w:t>Simple composite probability: unavailability, expressed as PFD, is combined with a single probability value for η.</w:t>
            </w:r>
          </w:p>
        </w:tc>
      </w:tr>
      <w:tr w:rsidR="005B1FCE" w:rsidRPr="005B1FCE" w14:paraId="202F2A90" w14:textId="77777777" w:rsidTr="00C5318E">
        <w:trPr>
          <w:trHeight w:val="869"/>
        </w:trPr>
        <w:tc>
          <w:tcPr>
            <w:tcW w:w="587" w:type="dxa"/>
            <w:shd w:val="clear" w:color="auto" w:fill="FFFFFF"/>
            <w:vAlign w:val="center"/>
          </w:tcPr>
          <w:p w14:paraId="7B957E31" w14:textId="14C92CC6" w:rsidR="00C5318E" w:rsidRPr="005B1FCE" w:rsidRDefault="00C5318E" w:rsidP="008763CD">
            <w:pPr>
              <w:pStyle w:val="CETBodytext"/>
              <w:ind w:right="-1"/>
              <w:jc w:val="left"/>
              <w:rPr>
                <w:rFonts w:cs="Arial"/>
                <w:szCs w:val="18"/>
                <w:lang w:val="en-GB"/>
              </w:rPr>
            </w:pPr>
            <w:r w:rsidRPr="005B1FCE">
              <w:rPr>
                <w:rFonts w:cs="Arial"/>
                <w:szCs w:val="18"/>
                <w:lang w:val="en-GB"/>
              </w:rPr>
              <w:t>b</w:t>
            </w:r>
          </w:p>
        </w:tc>
        <w:tc>
          <w:tcPr>
            <w:tcW w:w="20" w:type="dxa"/>
            <w:shd w:val="clear" w:color="auto" w:fill="FFFFFF"/>
          </w:tcPr>
          <w:p w14:paraId="37D6FE78" w14:textId="77777777" w:rsidR="00C5318E" w:rsidRPr="005B1FCE" w:rsidRDefault="00C5318E" w:rsidP="00AD4BD8">
            <w:pPr>
              <w:pStyle w:val="CETEquation"/>
              <w:rPr>
                <w:noProof/>
                <w:lang w:eastAsia="en-GB"/>
              </w:rPr>
            </w:pPr>
          </w:p>
        </w:tc>
        <w:tc>
          <w:tcPr>
            <w:tcW w:w="3686" w:type="dxa"/>
            <w:shd w:val="clear" w:color="auto" w:fill="FFFFFF"/>
            <w:vAlign w:val="center"/>
          </w:tcPr>
          <w:p w14:paraId="311706B4" w14:textId="344E386A" w:rsidR="00C5318E" w:rsidRPr="005B1FCE" w:rsidRDefault="00C5318E" w:rsidP="00AD4BD8">
            <w:pPr>
              <w:pStyle w:val="CETEquation"/>
            </w:pPr>
            <w:r w:rsidRPr="005B1FCE">
              <w:rPr>
                <w:noProof/>
                <w:lang w:val="it-IT" w:eastAsia="it-IT"/>
              </w:rPr>
              <w:drawing>
                <wp:inline distT="0" distB="0" distL="0" distR="0" wp14:anchorId="2955C84B" wp14:editId="54C9B78A">
                  <wp:extent cx="2051050" cy="4844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8067" cy="497885"/>
                          </a:xfrm>
                          <a:prstGeom prst="rect">
                            <a:avLst/>
                          </a:prstGeom>
                          <a:noFill/>
                          <a:ln>
                            <a:noFill/>
                          </a:ln>
                        </pic:spPr>
                      </pic:pic>
                    </a:graphicData>
                  </a:graphic>
                </wp:inline>
              </w:drawing>
            </w:r>
          </w:p>
        </w:tc>
        <w:tc>
          <w:tcPr>
            <w:tcW w:w="20" w:type="dxa"/>
            <w:shd w:val="clear" w:color="auto" w:fill="FFFFFF"/>
          </w:tcPr>
          <w:p w14:paraId="5B68E641" w14:textId="77777777" w:rsidR="00C5318E" w:rsidRPr="005B1FCE" w:rsidRDefault="00C5318E" w:rsidP="008763CD">
            <w:pPr>
              <w:pStyle w:val="CETEquation"/>
            </w:pPr>
          </w:p>
        </w:tc>
        <w:tc>
          <w:tcPr>
            <w:tcW w:w="4516" w:type="dxa"/>
            <w:shd w:val="clear" w:color="auto" w:fill="FFFFFF"/>
          </w:tcPr>
          <w:p w14:paraId="625634A9" w14:textId="28C0FB1C" w:rsidR="00C5318E" w:rsidRPr="005B1FCE" w:rsidRDefault="00C5318E" w:rsidP="007637DC">
            <w:pPr>
              <w:pStyle w:val="CETEquation"/>
            </w:pPr>
            <w:r w:rsidRPr="005B1FCE">
              <w:t xml:space="preserve">Composite probability distribution: unavailability, expressed as PFD, is combined with a probability distribution expressing </w:t>
            </w:r>
            <w:r w:rsidRPr="005B1FCE">
              <w:rPr>
                <w:rFonts w:cs="Arial"/>
              </w:rPr>
              <w:t xml:space="preserve">η. An </w:t>
            </w:r>
            <w:r w:rsidRPr="005B1FCE">
              <w:t>integrated PFD can be used, obtaining the rule reported.</w:t>
            </w:r>
          </w:p>
        </w:tc>
      </w:tr>
      <w:tr w:rsidR="005B1FCE" w:rsidRPr="005B1FCE" w14:paraId="43690FAC" w14:textId="77777777" w:rsidTr="00C5318E">
        <w:trPr>
          <w:trHeight w:val="315"/>
        </w:trPr>
        <w:tc>
          <w:tcPr>
            <w:tcW w:w="587" w:type="dxa"/>
            <w:shd w:val="clear" w:color="auto" w:fill="FFFFFF"/>
            <w:vAlign w:val="center"/>
          </w:tcPr>
          <w:p w14:paraId="4C8090C2" w14:textId="6E32E026" w:rsidR="00C5318E" w:rsidRPr="005B1FCE" w:rsidRDefault="00C5318E" w:rsidP="008763CD">
            <w:pPr>
              <w:pStyle w:val="CETBodytext"/>
              <w:ind w:right="-1"/>
              <w:jc w:val="left"/>
              <w:rPr>
                <w:rFonts w:cs="Arial"/>
                <w:szCs w:val="18"/>
                <w:lang w:val="en-GB"/>
              </w:rPr>
            </w:pPr>
            <w:r w:rsidRPr="005B1FCE">
              <w:rPr>
                <w:rFonts w:cs="Arial"/>
                <w:szCs w:val="18"/>
                <w:lang w:val="en-GB"/>
              </w:rPr>
              <w:t xml:space="preserve">c </w:t>
            </w:r>
          </w:p>
        </w:tc>
        <w:tc>
          <w:tcPr>
            <w:tcW w:w="20" w:type="dxa"/>
            <w:shd w:val="clear" w:color="auto" w:fill="FFFFFF"/>
          </w:tcPr>
          <w:p w14:paraId="1ACF73AF" w14:textId="77777777" w:rsidR="00C5318E" w:rsidRPr="005B1FCE" w:rsidRDefault="00C5318E" w:rsidP="008763CD">
            <w:pPr>
              <w:pStyle w:val="CETBodytext"/>
              <w:ind w:right="-1"/>
              <w:jc w:val="left"/>
              <w:rPr>
                <w:rFonts w:cs="Arial"/>
                <w:noProof/>
                <w:szCs w:val="18"/>
                <w:lang w:val="en-GB" w:eastAsia="en-GB"/>
              </w:rPr>
            </w:pPr>
          </w:p>
        </w:tc>
        <w:tc>
          <w:tcPr>
            <w:tcW w:w="3686" w:type="dxa"/>
            <w:shd w:val="clear" w:color="auto" w:fill="FFFFFF"/>
            <w:vAlign w:val="center"/>
          </w:tcPr>
          <w:p w14:paraId="7B3E3006" w14:textId="4DED11C4" w:rsidR="00C5318E" w:rsidRPr="005B1FCE" w:rsidRDefault="00C5318E" w:rsidP="008763CD">
            <w:pPr>
              <w:pStyle w:val="CETBodytext"/>
              <w:ind w:right="-1"/>
              <w:jc w:val="left"/>
              <w:rPr>
                <w:rFonts w:cs="Arial"/>
                <w:szCs w:val="18"/>
                <w:lang w:val="en-GB"/>
              </w:rPr>
            </w:pPr>
            <w:r w:rsidRPr="005B1FCE">
              <w:rPr>
                <w:rFonts w:cs="Arial"/>
                <w:noProof/>
                <w:szCs w:val="18"/>
                <w:lang w:val="it-IT" w:eastAsia="it-IT"/>
              </w:rPr>
              <w:drawing>
                <wp:inline distT="0" distB="0" distL="0" distR="0" wp14:anchorId="77FB6E1F" wp14:editId="59AE7819">
                  <wp:extent cx="2089150" cy="5419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9524" cy="549787"/>
                          </a:xfrm>
                          <a:prstGeom prst="rect">
                            <a:avLst/>
                          </a:prstGeom>
                          <a:noFill/>
                          <a:ln>
                            <a:noFill/>
                          </a:ln>
                        </pic:spPr>
                      </pic:pic>
                    </a:graphicData>
                  </a:graphic>
                </wp:inline>
              </w:drawing>
            </w:r>
          </w:p>
        </w:tc>
        <w:tc>
          <w:tcPr>
            <w:tcW w:w="20" w:type="dxa"/>
            <w:shd w:val="clear" w:color="auto" w:fill="FFFFFF"/>
            <w:vAlign w:val="center"/>
          </w:tcPr>
          <w:p w14:paraId="1BC5564F" w14:textId="77777777" w:rsidR="00C5318E" w:rsidRPr="005B1FCE" w:rsidRDefault="00C5318E" w:rsidP="008763CD">
            <w:pPr>
              <w:pStyle w:val="CETBodytext"/>
              <w:ind w:right="-1"/>
              <w:jc w:val="left"/>
              <w:rPr>
                <w:lang w:val="en-GB"/>
              </w:rPr>
            </w:pPr>
          </w:p>
        </w:tc>
        <w:tc>
          <w:tcPr>
            <w:tcW w:w="4516" w:type="dxa"/>
            <w:shd w:val="clear" w:color="auto" w:fill="FFFFFF"/>
            <w:vAlign w:val="center"/>
          </w:tcPr>
          <w:p w14:paraId="7C8CDF8D" w14:textId="449F8F98" w:rsidR="00C5318E" w:rsidRPr="005B1FCE" w:rsidRDefault="00C5318E" w:rsidP="00AD4BD8">
            <w:pPr>
              <w:pStyle w:val="CETBodytext"/>
              <w:ind w:right="-1"/>
              <w:jc w:val="left"/>
              <w:rPr>
                <w:lang w:val="en-GB"/>
              </w:rPr>
            </w:pPr>
            <w:r w:rsidRPr="005B1FCE">
              <w:rPr>
                <w:lang w:val="en-GB"/>
              </w:rPr>
              <w:t xml:space="preserve">Discrete probability distribution: depending on barrier </w:t>
            </w:r>
            <w:r w:rsidRPr="005B1FCE">
              <w:rPr>
                <w:rFonts w:cs="Arial"/>
              </w:rPr>
              <w:t>η</w:t>
            </w:r>
            <w:r w:rsidRPr="005B1FCE">
              <w:rPr>
                <w:lang w:val="en-GB"/>
              </w:rPr>
              <w:t>, three events may arise.</w:t>
            </w:r>
          </w:p>
        </w:tc>
      </w:tr>
      <w:tr w:rsidR="005B1FCE" w:rsidRPr="005B1FCE" w14:paraId="0C8BFB9D" w14:textId="77777777" w:rsidTr="00C5318E">
        <w:trPr>
          <w:trHeight w:val="315"/>
        </w:trPr>
        <w:tc>
          <w:tcPr>
            <w:tcW w:w="587" w:type="dxa"/>
            <w:shd w:val="clear" w:color="auto" w:fill="FFFFFF"/>
            <w:vAlign w:val="center"/>
          </w:tcPr>
          <w:p w14:paraId="15528EAD" w14:textId="30CE13BB" w:rsidR="00C5318E" w:rsidRPr="005B1FCE" w:rsidRDefault="00C5318E" w:rsidP="008763CD">
            <w:pPr>
              <w:pStyle w:val="CETBodytext"/>
              <w:ind w:right="-1"/>
              <w:jc w:val="left"/>
              <w:rPr>
                <w:rFonts w:cs="Arial"/>
                <w:szCs w:val="18"/>
                <w:lang w:val="en-GB"/>
              </w:rPr>
            </w:pPr>
            <w:r w:rsidRPr="005B1FCE">
              <w:rPr>
                <w:rFonts w:cs="Arial"/>
                <w:szCs w:val="18"/>
                <w:lang w:val="en-GB"/>
              </w:rPr>
              <w:t>d</w:t>
            </w:r>
          </w:p>
        </w:tc>
        <w:tc>
          <w:tcPr>
            <w:tcW w:w="20" w:type="dxa"/>
            <w:shd w:val="clear" w:color="auto" w:fill="FFFFFF"/>
          </w:tcPr>
          <w:p w14:paraId="4046129D" w14:textId="77777777" w:rsidR="00C5318E" w:rsidRPr="005B1FCE" w:rsidRDefault="00C5318E" w:rsidP="008763CD">
            <w:pPr>
              <w:pStyle w:val="CETBodytext"/>
              <w:ind w:right="-1"/>
              <w:jc w:val="left"/>
              <w:rPr>
                <w:rFonts w:cs="Arial"/>
                <w:noProof/>
                <w:szCs w:val="18"/>
                <w:lang w:val="en-GB" w:eastAsia="en-GB"/>
              </w:rPr>
            </w:pPr>
          </w:p>
        </w:tc>
        <w:tc>
          <w:tcPr>
            <w:tcW w:w="3686" w:type="dxa"/>
            <w:shd w:val="clear" w:color="auto" w:fill="FFFFFF"/>
            <w:vAlign w:val="center"/>
          </w:tcPr>
          <w:p w14:paraId="1B385113" w14:textId="2395AE22" w:rsidR="00C5318E" w:rsidRPr="005B1FCE" w:rsidRDefault="00C5318E" w:rsidP="008763CD">
            <w:pPr>
              <w:pStyle w:val="CETBodytext"/>
              <w:ind w:right="-1"/>
              <w:jc w:val="left"/>
              <w:rPr>
                <w:rFonts w:cs="Arial"/>
                <w:noProof/>
                <w:szCs w:val="18"/>
                <w:lang w:val="en-GB" w:eastAsia="en-GB"/>
              </w:rPr>
            </w:pPr>
            <w:r w:rsidRPr="005B1FCE">
              <w:rPr>
                <w:rFonts w:cs="Arial"/>
                <w:noProof/>
                <w:szCs w:val="18"/>
                <w:lang w:val="it-IT" w:eastAsia="it-IT"/>
              </w:rPr>
              <w:drawing>
                <wp:inline distT="0" distB="0" distL="0" distR="0" wp14:anchorId="48944E3D" wp14:editId="716E1219">
                  <wp:extent cx="1651000" cy="5308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7364" cy="545716"/>
                          </a:xfrm>
                          <a:prstGeom prst="rect">
                            <a:avLst/>
                          </a:prstGeom>
                          <a:noFill/>
                          <a:ln>
                            <a:noFill/>
                          </a:ln>
                        </pic:spPr>
                      </pic:pic>
                    </a:graphicData>
                  </a:graphic>
                </wp:inline>
              </w:drawing>
            </w:r>
          </w:p>
        </w:tc>
        <w:tc>
          <w:tcPr>
            <w:tcW w:w="20" w:type="dxa"/>
            <w:shd w:val="clear" w:color="auto" w:fill="FFFFFF"/>
            <w:vAlign w:val="center"/>
          </w:tcPr>
          <w:p w14:paraId="5A8B11A7" w14:textId="77777777" w:rsidR="00C5318E" w:rsidRPr="005B1FCE" w:rsidRDefault="00C5318E" w:rsidP="008763CD">
            <w:pPr>
              <w:pStyle w:val="CETBodytext"/>
              <w:ind w:right="-1"/>
              <w:jc w:val="left"/>
              <w:rPr>
                <w:lang w:val="en-GB"/>
              </w:rPr>
            </w:pPr>
          </w:p>
        </w:tc>
        <w:tc>
          <w:tcPr>
            <w:tcW w:w="4516" w:type="dxa"/>
            <w:shd w:val="clear" w:color="auto" w:fill="FFFFFF"/>
            <w:vAlign w:val="center"/>
          </w:tcPr>
          <w:p w14:paraId="24312603" w14:textId="12778107" w:rsidR="00C5318E" w:rsidRPr="005B1FCE" w:rsidRDefault="00C5318E" w:rsidP="00AD4BD8">
            <w:pPr>
              <w:pStyle w:val="CETBodytext"/>
              <w:ind w:right="-1"/>
              <w:jc w:val="left"/>
              <w:rPr>
                <w:lang w:val="en-GB"/>
              </w:rPr>
            </w:pPr>
            <w:r w:rsidRPr="005B1FCE">
              <w:rPr>
                <w:lang w:val="en-GB"/>
              </w:rPr>
              <w:t>Vessel fragility gate: the failure probability is calculated accounting for the status of the target equipment (e.g., received heat load).</w:t>
            </w:r>
          </w:p>
        </w:tc>
      </w:tr>
    </w:tbl>
    <w:p w14:paraId="55F302DC" w14:textId="075EA95D" w:rsidR="00BD4E24" w:rsidRPr="005B1FCE" w:rsidRDefault="0011043B" w:rsidP="00BF1A0F">
      <w:pPr>
        <w:pStyle w:val="CETBodytext"/>
      </w:pPr>
      <w:r w:rsidRPr="005B1FCE">
        <w:lastRenderedPageBreak/>
        <w:t>As shown in the table, f</w:t>
      </w:r>
      <w:r w:rsidR="00BD4E24" w:rsidRPr="005B1FCE">
        <w:t xml:space="preserve">our types of operators are considered and graphically depicted as gates. Safety barriers can be described by means of “a” and “b” gates, representing composite probabilities, which are combinations of both the probability that barrier is not activated on demand and that is not able to perform the required safety function effectively (i.e., the two performance parameters, PFD and </w:t>
      </w:r>
      <w:r w:rsidR="00BD4E24" w:rsidRPr="005B1FCE">
        <w:rPr>
          <w:rFonts w:cs="Arial"/>
        </w:rPr>
        <w:t>η, respectively).</w:t>
      </w:r>
      <w:r w:rsidR="00BD4E24" w:rsidRPr="005B1FCE">
        <w:t xml:space="preserve"> Thus, Out</w:t>
      </w:r>
      <w:r w:rsidR="00BD4E24" w:rsidRPr="005B1FCE">
        <w:rPr>
          <w:vertAlign w:val="subscript"/>
        </w:rPr>
        <w:t>1</w:t>
      </w:r>
      <w:r w:rsidR="00BD4E24" w:rsidRPr="005B1FCE">
        <w:t xml:space="preserve"> is the frequency of failure in mitigation, given the frequency entering the operator </w:t>
      </w:r>
      <w:proofErr w:type="spellStart"/>
      <w:r w:rsidR="00BD4E24" w:rsidRPr="005B1FCE">
        <w:t>f</w:t>
      </w:r>
      <w:r w:rsidR="00BD4E24" w:rsidRPr="005B1FCE">
        <w:rPr>
          <w:vertAlign w:val="subscript"/>
        </w:rPr>
        <w:t>IN</w:t>
      </w:r>
      <w:proofErr w:type="spellEnd"/>
      <w:r w:rsidR="00BD4E24" w:rsidRPr="005B1FCE">
        <w:t>, and Out</w:t>
      </w:r>
      <w:r w:rsidR="00BD4E24" w:rsidRPr="005B1FCE">
        <w:rPr>
          <w:vertAlign w:val="subscript"/>
        </w:rPr>
        <w:t>2</w:t>
      </w:r>
      <w:r w:rsidR="00BD4E24" w:rsidRPr="005B1FCE">
        <w:t xml:space="preserve"> quantifies the frequency of success. Gate “c” is used to model emergency intervention, and it is associated with a discrete probability distribution since multiple outcomes are considered, according to the value of </w:t>
      </w:r>
      <w:r w:rsidR="00BD4E24" w:rsidRPr="005B1FCE">
        <w:rPr>
          <w:rFonts w:cs="Arial"/>
        </w:rPr>
        <w:t>η</w:t>
      </w:r>
      <w:r w:rsidR="00BD4E24" w:rsidRPr="005B1FCE">
        <w:t>. Lastly, gate “d” is included to model equipment vulnerability to escalation. The probability of failure (i.e., P</w:t>
      </w:r>
      <w:r w:rsidR="00BD4E24" w:rsidRPr="005B1FCE">
        <w:rPr>
          <w:vertAlign w:val="subscript"/>
        </w:rPr>
        <w:t>D</w:t>
      </w:r>
      <w:r w:rsidR="00BD4E24" w:rsidRPr="005B1FCE">
        <w:t xml:space="preserve"> in Table 3) depends on the escalation vector impacting the </w:t>
      </w:r>
      <w:r w:rsidR="00E7581D" w:rsidRPr="005B1FCE">
        <w:t>target and</w:t>
      </w:r>
      <w:r w:rsidR="00BD4E24" w:rsidRPr="005B1FCE">
        <w:t xml:space="preserve"> is quantifiable with well-established </w:t>
      </w:r>
      <w:r w:rsidR="00BF14A1" w:rsidRPr="005B1FCE">
        <w:t>failure correlations</w:t>
      </w:r>
      <w:r w:rsidR="00BD4E24" w:rsidRPr="005B1FCE">
        <w:t xml:space="preserve"> (Landucci et al., 2009).</w:t>
      </w:r>
    </w:p>
    <w:p w14:paraId="634F6FF8" w14:textId="3DED6E09" w:rsidR="00356EEE" w:rsidRPr="005B1FCE" w:rsidRDefault="00810CD3" w:rsidP="008B7C16">
      <w:pPr>
        <w:pStyle w:val="CETHeading1"/>
        <w:tabs>
          <w:tab w:val="num" w:pos="360"/>
        </w:tabs>
        <w:rPr>
          <w:lang w:val="en-GB"/>
        </w:rPr>
      </w:pPr>
      <w:r w:rsidRPr="005B1FCE">
        <w:rPr>
          <w:lang w:val="en-GB"/>
        </w:rPr>
        <w:t>Results and discussion</w:t>
      </w:r>
    </w:p>
    <w:p w14:paraId="60217C4F" w14:textId="2A80EA5A" w:rsidR="00810CD3" w:rsidRPr="005B1FCE" w:rsidRDefault="00810CD3" w:rsidP="00530FC2">
      <w:pPr>
        <w:pStyle w:val="CETBodytext"/>
        <w:rPr>
          <w:lang w:val="en-GB"/>
        </w:rPr>
      </w:pPr>
      <w:r w:rsidRPr="005B1FCE">
        <w:rPr>
          <w:lang w:val="en-GB"/>
        </w:rPr>
        <w:t>In order to show the application of the method</w:t>
      </w:r>
      <w:r w:rsidR="00E7581D" w:rsidRPr="005B1FCE">
        <w:rPr>
          <w:lang w:val="en-GB"/>
        </w:rPr>
        <w:t>ology</w:t>
      </w:r>
      <w:r w:rsidRPr="005B1FCE">
        <w:rPr>
          <w:lang w:val="en-GB"/>
        </w:rPr>
        <w:t xml:space="preserve">, a simple example is defined. The possible domino escalation due to primary fire radiation on an atmospheric storage tank is considered. The target vessel is assumed to store a flammable substance (e.g., gasoline), and a reference frequency of </w:t>
      </w:r>
      <w:proofErr w:type="spellStart"/>
      <w:r w:rsidRPr="005B1FCE">
        <w:rPr>
          <w:lang w:val="en-GB"/>
        </w:rPr>
        <w:t>f</w:t>
      </w:r>
      <w:r w:rsidRPr="005B1FCE">
        <w:rPr>
          <w:vertAlign w:val="subscript"/>
          <w:lang w:val="en-GB"/>
        </w:rPr>
        <w:t>I</w:t>
      </w:r>
      <w:proofErr w:type="spellEnd"/>
      <w:r w:rsidRPr="005B1FCE">
        <w:rPr>
          <w:lang w:val="en-GB"/>
        </w:rPr>
        <w:t>=1.0e-5 y</w:t>
      </w:r>
      <w:r w:rsidR="00E7581D" w:rsidRPr="005B1FCE">
        <w:rPr>
          <w:vertAlign w:val="superscript"/>
          <w:lang w:val="en-GB"/>
        </w:rPr>
        <w:t>-1</w:t>
      </w:r>
      <w:r w:rsidRPr="005B1FCE">
        <w:rPr>
          <w:lang w:val="en-GB"/>
        </w:rPr>
        <w:t xml:space="preserve"> for the primary fire is considered. Tanks storing these hazardous substances are usually provided of foam water systems for fire extinction </w:t>
      </w:r>
      <w:r w:rsidR="0049620D" w:rsidRPr="005B1FCE">
        <w:rPr>
          <w:lang w:val="en-GB"/>
        </w:rPr>
        <w:t xml:space="preserve">(SB.3 in Figure 2) </w:t>
      </w:r>
      <w:r w:rsidRPr="005B1FCE">
        <w:rPr>
          <w:lang w:val="en-GB"/>
        </w:rPr>
        <w:t>and catch basins for flammable liquid spreading prevention in case of loss of containment</w:t>
      </w:r>
      <w:r w:rsidR="0049620D" w:rsidRPr="005B1FCE">
        <w:rPr>
          <w:lang w:val="en-GB"/>
        </w:rPr>
        <w:t xml:space="preserve"> (SB.13 in Figure 2)</w:t>
      </w:r>
      <w:r w:rsidRPr="005B1FCE">
        <w:rPr>
          <w:lang w:val="en-GB"/>
        </w:rPr>
        <w:t>.</w:t>
      </w:r>
      <w:r w:rsidR="00866966" w:rsidRPr="005B1FCE">
        <w:rPr>
          <w:lang w:val="en-GB"/>
        </w:rPr>
        <w:t xml:space="preserve"> The effect of both floods and earthquake is assessed</w:t>
      </w:r>
      <w:r w:rsidR="00BD4E24" w:rsidRPr="005B1FCE">
        <w:rPr>
          <w:lang w:val="en-GB"/>
        </w:rPr>
        <w:t xml:space="preserve">, by implementing the factors shown in Figure 2 to modify </w:t>
      </w:r>
      <w:r w:rsidR="00BD4E24" w:rsidRPr="005B1FCE">
        <w:t xml:space="preserve">PFD and </w:t>
      </w:r>
      <w:r w:rsidR="00BD4E24" w:rsidRPr="005B1FCE">
        <w:rPr>
          <w:rFonts w:cs="Arial"/>
        </w:rPr>
        <w:t xml:space="preserve">η of the two barriers according to the rules reported in Table </w:t>
      </w:r>
      <w:r w:rsidR="00E7581D" w:rsidRPr="005B1FCE">
        <w:rPr>
          <w:rFonts w:cs="Arial"/>
        </w:rPr>
        <w:t>1</w:t>
      </w:r>
      <w:r w:rsidR="00BD4E24" w:rsidRPr="005B1FCE">
        <w:rPr>
          <w:rFonts w:cs="Arial"/>
        </w:rPr>
        <w:t>.</w:t>
      </w:r>
    </w:p>
    <w:p w14:paraId="450642E9" w14:textId="250CDB12" w:rsidR="00BF1A0F" w:rsidRPr="005B1FCE" w:rsidRDefault="00810CD3" w:rsidP="00530FC2">
      <w:pPr>
        <w:pStyle w:val="CETBodytext"/>
        <w:rPr>
          <w:lang w:val="en-GB"/>
        </w:rPr>
      </w:pPr>
      <w:r w:rsidRPr="005B1FCE">
        <w:rPr>
          <w:lang w:val="en-GB"/>
        </w:rPr>
        <w:t xml:space="preserve">The </w:t>
      </w:r>
      <w:r w:rsidR="00DF7E22" w:rsidRPr="005B1FCE">
        <w:rPr>
          <w:lang w:val="en-GB"/>
        </w:rPr>
        <w:t>ETA applying the described methodology</w:t>
      </w:r>
      <w:r w:rsidR="00353327" w:rsidRPr="005B1FCE">
        <w:rPr>
          <w:lang w:val="en-GB"/>
        </w:rPr>
        <w:t xml:space="preserve"> and the gates defined in Table 2</w:t>
      </w:r>
      <w:r w:rsidR="00DF7E22" w:rsidRPr="005B1FCE">
        <w:rPr>
          <w:lang w:val="en-GB"/>
        </w:rPr>
        <w:t xml:space="preserve"> is shown in Figure </w:t>
      </w:r>
      <w:r w:rsidR="00E7581D" w:rsidRPr="005B1FCE">
        <w:rPr>
          <w:lang w:val="en-GB"/>
        </w:rPr>
        <w:t>3</w:t>
      </w:r>
      <w:r w:rsidR="00DF7E22" w:rsidRPr="005B1FCE">
        <w:rPr>
          <w:lang w:val="en-GB"/>
        </w:rPr>
        <w:t xml:space="preserve">. </w:t>
      </w:r>
      <w:r w:rsidR="00BD4E24" w:rsidRPr="005B1FCE">
        <w:rPr>
          <w:lang w:val="en-GB"/>
        </w:rPr>
        <w:t>The original barrier performance is indicated with the subscript “0”, while the cases of floods and earthquakes are indicated respectively with “f” and “e”.</w:t>
      </w:r>
    </w:p>
    <w:p w14:paraId="604F4D7A" w14:textId="77777777" w:rsidR="00DF7E22" w:rsidRPr="005B1FCE" w:rsidRDefault="00DF7E22" w:rsidP="00530FC2">
      <w:pPr>
        <w:pStyle w:val="CETBodytext"/>
        <w:rPr>
          <w:lang w:val="en-GB"/>
        </w:rPr>
      </w:pPr>
    </w:p>
    <w:p w14:paraId="4FCAA18A" w14:textId="426DAE63" w:rsidR="00425CB4" w:rsidRPr="005B1FCE" w:rsidRDefault="00102EC6" w:rsidP="00102EC6">
      <w:pPr>
        <w:pStyle w:val="CETBodytext"/>
        <w:spacing w:after="240"/>
        <w:rPr>
          <w:lang w:val="en-GB"/>
        </w:rPr>
      </w:pPr>
      <w:bookmarkStart w:id="2" w:name="_GoBack"/>
      <w:r w:rsidRPr="005B1FCE">
        <w:rPr>
          <w:noProof/>
          <w:lang w:val="it-IT" w:eastAsia="it-IT"/>
        </w:rPr>
        <w:drawing>
          <wp:inline distT="0" distB="0" distL="0" distR="0" wp14:anchorId="342331C0" wp14:editId="7C3D9932">
            <wp:extent cx="5577840" cy="3033117"/>
            <wp:effectExtent l="0" t="0" r="381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r="3059"/>
                    <a:stretch/>
                  </pic:blipFill>
                  <pic:spPr bwMode="auto">
                    <a:xfrm>
                      <a:off x="0" y="0"/>
                      <a:ext cx="5584588" cy="3036786"/>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2BA4105D" w14:textId="59BE3206" w:rsidR="00425CB4" w:rsidRPr="005B1FCE" w:rsidRDefault="00425CB4" w:rsidP="00102EC6">
      <w:pPr>
        <w:pStyle w:val="CETCaption"/>
        <w:spacing w:before="0"/>
      </w:pPr>
      <w:r w:rsidRPr="005B1FCE">
        <w:t xml:space="preserve">Figure </w:t>
      </w:r>
      <w:r w:rsidR="00E7581D" w:rsidRPr="005B1FCE">
        <w:t>3</w:t>
      </w:r>
      <w:r w:rsidRPr="005B1FCE">
        <w:t>: Example of ET for atmospheric tank impacted by hea</w:t>
      </w:r>
      <w:r w:rsidR="00DE25A5" w:rsidRPr="005B1FCE">
        <w:t xml:space="preserve">t radiation. </w:t>
      </w:r>
      <w:r w:rsidR="00595E5C" w:rsidRPr="005B1FCE">
        <w:t>L</w:t>
      </w:r>
      <w:r w:rsidR="00ED4C07" w:rsidRPr="005B1FCE">
        <w:t>egend</w:t>
      </w:r>
      <w:r w:rsidR="00DE25A5" w:rsidRPr="005B1FCE">
        <w:t xml:space="preserve">: </w:t>
      </w:r>
      <w:r w:rsidR="00ED4C07" w:rsidRPr="005B1FCE">
        <w:t>0=</w:t>
      </w:r>
      <w:r w:rsidR="00E110CB" w:rsidRPr="005B1FCE">
        <w:t>normal barrier performance, f</w:t>
      </w:r>
      <w:r w:rsidRPr="005B1FCE">
        <w:t xml:space="preserve">=performance during flood, </w:t>
      </w:r>
      <w:r w:rsidR="00E110CB" w:rsidRPr="005B1FCE">
        <w:t>e</w:t>
      </w:r>
      <w:r w:rsidRPr="005B1FCE">
        <w:t>=performance during earthquake</w:t>
      </w:r>
      <w:r w:rsidR="00E110CB" w:rsidRPr="005B1FCE">
        <w:t>, FO=final outcome</w:t>
      </w:r>
      <w:r w:rsidR="00595E5C" w:rsidRPr="005B1FCE">
        <w:t xml:space="preserve">, SB=safety barrier (for </w:t>
      </w:r>
      <w:r w:rsidR="00E7581D" w:rsidRPr="005B1FCE">
        <w:t xml:space="preserve">safety barriers </w:t>
      </w:r>
      <w:r w:rsidR="00595E5C" w:rsidRPr="005B1FCE">
        <w:t>numbering see Figure 2).</w:t>
      </w:r>
    </w:p>
    <w:p w14:paraId="036C8EA3" w14:textId="57DB8679" w:rsidR="00530FC2" w:rsidRPr="005B1FCE" w:rsidRDefault="00053B1C" w:rsidP="00530FC2">
      <w:pPr>
        <w:pStyle w:val="CETBodytext"/>
        <w:rPr>
          <w:lang w:val="en-GB"/>
        </w:rPr>
      </w:pPr>
      <w:r w:rsidRPr="005B1FCE">
        <w:rPr>
          <w:lang w:val="en-GB"/>
        </w:rPr>
        <w:t>As can be noted, the concurrent degradation of barriers during natural hazards causes an increase in frequencies of the more severe final scenarios (i.e., uppermost branches). For instance, unconfined pool fire with maximum surface emissive power (SEP) is not deemed possible in case catch basin retains their original performance, while due to natural hazard impact on barriers it is a credible scenario.</w:t>
      </w:r>
    </w:p>
    <w:p w14:paraId="0225C496" w14:textId="77777777" w:rsidR="00530FC2" w:rsidRPr="005B1FCE" w:rsidRDefault="00530FC2" w:rsidP="00530FC2">
      <w:pPr>
        <w:pStyle w:val="CETHeading1"/>
        <w:rPr>
          <w:lang w:val="en-GB"/>
        </w:rPr>
      </w:pPr>
      <w:r w:rsidRPr="005B1FCE">
        <w:rPr>
          <w:lang w:val="en-GB"/>
        </w:rPr>
        <w:lastRenderedPageBreak/>
        <w:t>Conclusions</w:t>
      </w:r>
    </w:p>
    <w:p w14:paraId="3C85B509" w14:textId="15501763" w:rsidR="009832AE" w:rsidRPr="005B1FCE" w:rsidRDefault="009832AE" w:rsidP="00530FC2">
      <w:pPr>
        <w:pStyle w:val="CETBodytext"/>
        <w:rPr>
          <w:lang w:val="en-GB"/>
        </w:rPr>
      </w:pPr>
      <w:r w:rsidRPr="005B1FCE">
        <w:rPr>
          <w:lang w:val="en-GB"/>
        </w:rPr>
        <w:t>In this work, a methodology for safety barrier assessment during natural hazards is presented. The methodology is based on the application of performance modification factors obtained from failure distributions from expert elicitation. A two</w:t>
      </w:r>
      <w:r w:rsidR="00ED4C07" w:rsidRPr="005B1FCE">
        <w:rPr>
          <w:lang w:val="en-GB"/>
        </w:rPr>
        <w:t>-</w:t>
      </w:r>
      <w:r w:rsidRPr="005B1FCE">
        <w:rPr>
          <w:lang w:val="en-GB"/>
        </w:rPr>
        <w:t xml:space="preserve">parameter metrics has been adopted to model barrier performance and parameters are modified according to failure patterns observed in past accidents. Barriers with modified performances are implemented in modified event tree analysis to show the influence of their degradation in the frequency of final scenarios arising from escalation of </w:t>
      </w:r>
      <w:proofErr w:type="spellStart"/>
      <w:r w:rsidRPr="005B1FCE">
        <w:rPr>
          <w:lang w:val="en-GB"/>
        </w:rPr>
        <w:t>Natech</w:t>
      </w:r>
      <w:proofErr w:type="spellEnd"/>
      <w:r w:rsidRPr="005B1FCE">
        <w:rPr>
          <w:lang w:val="en-GB"/>
        </w:rPr>
        <w:t xml:space="preserve"> scenarios. </w:t>
      </w:r>
      <w:r w:rsidR="002A7D0F" w:rsidRPr="005B1FCE">
        <w:rPr>
          <w:lang w:val="en-GB"/>
        </w:rPr>
        <w:t xml:space="preserve">The methodology is applied to a </w:t>
      </w:r>
      <w:r w:rsidR="00353327" w:rsidRPr="005B1FCE">
        <w:rPr>
          <w:lang w:val="en-GB"/>
        </w:rPr>
        <w:t>demonstrative</w:t>
      </w:r>
      <w:r w:rsidR="002A7D0F" w:rsidRPr="005B1FCE">
        <w:rPr>
          <w:lang w:val="en-GB"/>
        </w:rPr>
        <w:t xml:space="preserve"> case, showing how reduced barrier performance lead to significant increase of frequency of more severe final scenarios, with a consequent reduction of the likelihood of less critical outcomes.</w:t>
      </w:r>
    </w:p>
    <w:p w14:paraId="3572F8D8" w14:textId="3C8681A4" w:rsidR="0066543D" w:rsidRPr="005B1FCE" w:rsidRDefault="00530FC2" w:rsidP="009832AE">
      <w:pPr>
        <w:pStyle w:val="CETReference"/>
      </w:pPr>
      <w:r w:rsidRPr="005B1FCE">
        <w:t>References</w:t>
      </w:r>
    </w:p>
    <w:p w14:paraId="67B4D8A5" w14:textId="69307698" w:rsidR="00452177" w:rsidRPr="005B1FCE" w:rsidRDefault="00452177" w:rsidP="001972CF">
      <w:pPr>
        <w:pStyle w:val="CETReferencetext"/>
      </w:pPr>
      <w:r w:rsidRPr="005B1FCE">
        <w:t xml:space="preserve">Antonioni G., Landucci G., </w:t>
      </w:r>
      <w:proofErr w:type="spellStart"/>
      <w:r w:rsidRPr="005B1FCE">
        <w:t>Necci</w:t>
      </w:r>
      <w:proofErr w:type="spellEnd"/>
      <w:r w:rsidRPr="005B1FCE">
        <w:t xml:space="preserve"> A., </w:t>
      </w:r>
      <w:proofErr w:type="spellStart"/>
      <w:r w:rsidRPr="005B1FCE">
        <w:t>Gheorghiu</w:t>
      </w:r>
      <w:proofErr w:type="spellEnd"/>
      <w:r w:rsidRPr="005B1FCE">
        <w:t xml:space="preserve"> D., Cozzani V., 2015 Quantitative assessment of risk due to </w:t>
      </w:r>
      <w:proofErr w:type="spellStart"/>
      <w:r w:rsidRPr="005B1FCE">
        <w:t>NaTech</w:t>
      </w:r>
      <w:proofErr w:type="spellEnd"/>
      <w:r w:rsidRPr="005B1FCE">
        <w:t xml:space="preserve"> scenarios caused by floods, Reliability Engineering and System Safety, 142, 334-345.</w:t>
      </w:r>
    </w:p>
    <w:p w14:paraId="29485DE2" w14:textId="423E3645" w:rsidR="001972CF" w:rsidRPr="005B1FCE" w:rsidRDefault="001972CF" w:rsidP="001972CF">
      <w:pPr>
        <w:pStyle w:val="CETReferencetext"/>
      </w:pPr>
      <w:r w:rsidRPr="005B1FCE">
        <w:t xml:space="preserve">CCPS, 2001, Layer of protection analysis: simplified process risk assessment, </w:t>
      </w:r>
      <w:proofErr w:type="spellStart"/>
      <w:r w:rsidRPr="005B1FCE">
        <w:t>AIChE</w:t>
      </w:r>
      <w:proofErr w:type="spellEnd"/>
      <w:r w:rsidR="008117C4" w:rsidRPr="005B1FCE">
        <w:t xml:space="preserve"> Centre of Chemical Process Safety,</w:t>
      </w:r>
      <w:r w:rsidRPr="005B1FCE">
        <w:t xml:space="preserve"> New York, NY.</w:t>
      </w:r>
    </w:p>
    <w:p w14:paraId="5F17AA2C" w14:textId="77777777" w:rsidR="004A779F" w:rsidRPr="005B1FCE" w:rsidRDefault="004A779F" w:rsidP="004A779F">
      <w:pPr>
        <w:pStyle w:val="CETReferencetext"/>
      </w:pPr>
      <w:r w:rsidRPr="005B1FCE">
        <w:rPr>
          <w:lang w:val="it-IT"/>
        </w:rPr>
        <w:t xml:space="preserve">Cozzani V., Antonioni G., Landucci G., Tugnoli A., Bonvicini S., Spadoni G., 2014, Quantitative </w:t>
      </w:r>
      <w:proofErr w:type="spellStart"/>
      <w:r w:rsidRPr="005B1FCE">
        <w:rPr>
          <w:lang w:val="it-IT"/>
        </w:rPr>
        <w:t>assessment</w:t>
      </w:r>
      <w:proofErr w:type="spellEnd"/>
      <w:r w:rsidRPr="005B1FCE">
        <w:rPr>
          <w:lang w:val="it-IT"/>
        </w:rPr>
        <w:t xml:space="preserve"> of domino and </w:t>
      </w:r>
      <w:proofErr w:type="spellStart"/>
      <w:r w:rsidRPr="005B1FCE">
        <w:rPr>
          <w:lang w:val="it-IT"/>
        </w:rPr>
        <w:t>NaTech</w:t>
      </w:r>
      <w:proofErr w:type="spellEnd"/>
      <w:r w:rsidRPr="005B1FCE">
        <w:rPr>
          <w:lang w:val="it-IT"/>
        </w:rPr>
        <w:t xml:space="preserve"> </w:t>
      </w:r>
      <w:proofErr w:type="spellStart"/>
      <w:r w:rsidRPr="005B1FCE">
        <w:rPr>
          <w:lang w:val="it-IT"/>
        </w:rPr>
        <w:t>scenarios</w:t>
      </w:r>
      <w:proofErr w:type="spellEnd"/>
      <w:r w:rsidRPr="005B1FCE">
        <w:rPr>
          <w:lang w:val="it-IT"/>
        </w:rPr>
        <w:t xml:space="preserve"> in </w:t>
      </w:r>
      <w:proofErr w:type="spellStart"/>
      <w:r w:rsidRPr="005B1FCE">
        <w:rPr>
          <w:lang w:val="it-IT"/>
        </w:rPr>
        <w:t>complex</w:t>
      </w:r>
      <w:proofErr w:type="spellEnd"/>
      <w:r w:rsidRPr="005B1FCE">
        <w:rPr>
          <w:lang w:val="it-IT"/>
        </w:rPr>
        <w:t xml:space="preserve"> industrial </w:t>
      </w:r>
      <w:proofErr w:type="spellStart"/>
      <w:r w:rsidRPr="005B1FCE">
        <w:rPr>
          <w:lang w:val="it-IT"/>
        </w:rPr>
        <w:t>areas</w:t>
      </w:r>
      <w:proofErr w:type="spellEnd"/>
      <w:r w:rsidRPr="005B1FCE">
        <w:rPr>
          <w:lang w:val="it-IT"/>
        </w:rPr>
        <w:t xml:space="preserve">, J. </w:t>
      </w:r>
      <w:proofErr w:type="spellStart"/>
      <w:r w:rsidRPr="005B1FCE">
        <w:rPr>
          <w:lang w:val="it-IT"/>
        </w:rPr>
        <w:t>Loss</w:t>
      </w:r>
      <w:proofErr w:type="spellEnd"/>
      <w:r w:rsidRPr="005B1FCE">
        <w:rPr>
          <w:lang w:val="it-IT"/>
        </w:rPr>
        <w:t xml:space="preserve"> </w:t>
      </w:r>
      <w:proofErr w:type="spellStart"/>
      <w:r w:rsidRPr="005B1FCE">
        <w:rPr>
          <w:lang w:val="it-IT"/>
        </w:rPr>
        <w:t>Prev</w:t>
      </w:r>
      <w:proofErr w:type="spellEnd"/>
      <w:r w:rsidRPr="005B1FCE">
        <w:rPr>
          <w:lang w:val="it-IT"/>
        </w:rPr>
        <w:t xml:space="preserve">. </w:t>
      </w:r>
      <w:r w:rsidRPr="005B1FCE">
        <w:t>Proc. Industries, 28, 10-22.</w:t>
      </w:r>
    </w:p>
    <w:p w14:paraId="4FAB0CC3" w14:textId="2ED2046C" w:rsidR="00E6675F" w:rsidRPr="005B1FCE" w:rsidRDefault="00E6675F" w:rsidP="001972CF">
      <w:pPr>
        <w:pStyle w:val="CETReferencetext"/>
      </w:pPr>
      <w:r w:rsidRPr="005B1FCE">
        <w:t>CSB, 2018, Organic peroxide decomposition, release and fire at Arkema Crosby following Hurricane Harvey flooding, US Chemical Safety and Hazard Investigation Board, Washington DC.</w:t>
      </w:r>
    </w:p>
    <w:p w14:paraId="33BF08CA" w14:textId="75B02CE7" w:rsidR="001972CF" w:rsidRPr="005B1FCE" w:rsidRDefault="001972CF" w:rsidP="001972CF">
      <w:pPr>
        <w:pStyle w:val="CETReferencetext"/>
      </w:pPr>
      <w:proofErr w:type="spellStart"/>
      <w:r w:rsidRPr="005B1FCE">
        <w:t>Delvosalle</w:t>
      </w:r>
      <w:proofErr w:type="spellEnd"/>
      <w:r w:rsidRPr="005B1FCE">
        <w:t xml:space="preserve"> C., </w:t>
      </w:r>
      <w:proofErr w:type="spellStart"/>
      <w:r w:rsidR="006610CC" w:rsidRPr="005B1FCE">
        <w:t>Fiévez</w:t>
      </w:r>
      <w:proofErr w:type="spellEnd"/>
      <w:r w:rsidR="006610CC" w:rsidRPr="005B1FCE">
        <w:t xml:space="preserve"> C., </w:t>
      </w:r>
      <w:proofErr w:type="spellStart"/>
      <w:r w:rsidR="006610CC" w:rsidRPr="005B1FCE">
        <w:t>Pipart</w:t>
      </w:r>
      <w:proofErr w:type="spellEnd"/>
      <w:r w:rsidR="006610CC" w:rsidRPr="005B1FCE">
        <w:t xml:space="preserve"> A., </w:t>
      </w:r>
      <w:proofErr w:type="spellStart"/>
      <w:r w:rsidR="006610CC" w:rsidRPr="005B1FCE">
        <w:t>Debray</w:t>
      </w:r>
      <w:proofErr w:type="spellEnd"/>
      <w:r w:rsidR="006610CC" w:rsidRPr="005B1FCE">
        <w:t xml:space="preserve"> B., 2006, ARAMIS Project: A comprehensive methodology for the identification of reference accident scenarios in process industries, Journal of Hazardous Materials, 130, 200-2019.</w:t>
      </w:r>
    </w:p>
    <w:p w14:paraId="71CBE3DB" w14:textId="3DCDB704" w:rsidR="0074537C" w:rsidRPr="005B1FCE" w:rsidRDefault="0074537C" w:rsidP="0074537C">
      <w:pPr>
        <w:pStyle w:val="CETReferencetext"/>
      </w:pPr>
      <w:proofErr w:type="spellStart"/>
      <w:r w:rsidRPr="005B1FCE">
        <w:t>Girgin</w:t>
      </w:r>
      <w:proofErr w:type="spellEnd"/>
      <w:r w:rsidRPr="005B1FCE">
        <w:t xml:space="preserve"> S., 2011, The </w:t>
      </w:r>
      <w:proofErr w:type="spellStart"/>
      <w:r w:rsidRPr="005B1FCE">
        <w:t>Natech</w:t>
      </w:r>
      <w:proofErr w:type="spellEnd"/>
      <w:r w:rsidRPr="005B1FCE">
        <w:t xml:space="preserve"> events during the 17 August 1999 </w:t>
      </w:r>
      <w:proofErr w:type="spellStart"/>
      <w:r w:rsidRPr="005B1FCE">
        <w:t>Koaceli</w:t>
      </w:r>
      <w:proofErr w:type="spellEnd"/>
      <w:r w:rsidRPr="005B1FCE">
        <w:t xml:space="preserve"> earthquake: aftermath and lessons learned, Natural Hazards and Earth System Sciences, 11, 1129-1140.</w:t>
      </w:r>
    </w:p>
    <w:p w14:paraId="2A69B3CB" w14:textId="77777777" w:rsidR="00022B01" w:rsidRPr="005B1FCE" w:rsidRDefault="00022B01" w:rsidP="00022B01">
      <w:pPr>
        <w:pStyle w:val="CETReferencetext"/>
      </w:pPr>
      <w:proofErr w:type="spellStart"/>
      <w:r w:rsidRPr="005B1FCE">
        <w:t>Karagiannis</w:t>
      </w:r>
      <w:proofErr w:type="spellEnd"/>
      <w:r w:rsidRPr="005B1FCE">
        <w:t xml:space="preserve"> G.M., </w:t>
      </w:r>
      <w:proofErr w:type="spellStart"/>
      <w:r w:rsidRPr="005B1FCE">
        <w:t>Chondrogiannis</w:t>
      </w:r>
      <w:proofErr w:type="spellEnd"/>
      <w:r w:rsidRPr="005B1FCE">
        <w:t xml:space="preserve"> S., </w:t>
      </w:r>
      <w:proofErr w:type="spellStart"/>
      <w:r w:rsidRPr="005B1FCE">
        <w:t>Krausmann</w:t>
      </w:r>
      <w:proofErr w:type="spellEnd"/>
      <w:r w:rsidRPr="005B1FCE">
        <w:t xml:space="preserve"> E., </w:t>
      </w:r>
      <w:proofErr w:type="spellStart"/>
      <w:r w:rsidRPr="005B1FCE">
        <w:t>Turksezer</w:t>
      </w:r>
      <w:proofErr w:type="spellEnd"/>
      <w:r w:rsidRPr="005B1FCE">
        <w:t xml:space="preserve"> Z.I., 2017, Power grid recovery after natural hazard impact, EUR 28844 EN, European Commission, Luxembourg.</w:t>
      </w:r>
    </w:p>
    <w:p w14:paraId="0A464932" w14:textId="1BC49964" w:rsidR="00155ED8" w:rsidRPr="005B1FCE" w:rsidRDefault="00155ED8" w:rsidP="00155ED8">
      <w:pPr>
        <w:pStyle w:val="CETReferencetext"/>
      </w:pPr>
      <w:proofErr w:type="spellStart"/>
      <w:r w:rsidRPr="005B1FCE">
        <w:t>Krausmann</w:t>
      </w:r>
      <w:proofErr w:type="spellEnd"/>
      <w:r w:rsidRPr="005B1FCE">
        <w:t xml:space="preserve"> E., Cruz A.M., </w:t>
      </w:r>
      <w:proofErr w:type="spellStart"/>
      <w:r w:rsidRPr="005B1FCE">
        <w:t>Salzano</w:t>
      </w:r>
      <w:proofErr w:type="spellEnd"/>
      <w:r w:rsidRPr="005B1FCE">
        <w:t xml:space="preserve"> E., 2017, </w:t>
      </w:r>
      <w:proofErr w:type="spellStart"/>
      <w:r w:rsidRPr="005B1FCE">
        <w:t>Natech</w:t>
      </w:r>
      <w:proofErr w:type="spellEnd"/>
      <w:r w:rsidRPr="005B1FCE">
        <w:t xml:space="preserve"> Risk Assessment and Management, Reducing the Risk of Natural-Hazard Impact on Hazardous Installations, Elsevier, Amsterdam, NL.</w:t>
      </w:r>
    </w:p>
    <w:p w14:paraId="66A9EDB2" w14:textId="3AAF736C" w:rsidR="00022B01" w:rsidRPr="005B1FCE" w:rsidRDefault="00022B01" w:rsidP="00022B01">
      <w:pPr>
        <w:pStyle w:val="CETReferencetext"/>
      </w:pPr>
      <w:r w:rsidRPr="005B1FCE">
        <w:t>Labib A., Harris M.J., 2015, Learning how to learn from failures: The Fukushima nuclear disaster, Engineering Failure Analysis, 47, 117-128.</w:t>
      </w:r>
    </w:p>
    <w:p w14:paraId="719418A0" w14:textId="77777777" w:rsidR="003C56CB" w:rsidRPr="005B1FCE" w:rsidRDefault="003C56CB" w:rsidP="003C56CB">
      <w:pPr>
        <w:pStyle w:val="CETReferencetext"/>
        <w:rPr>
          <w:szCs w:val="18"/>
        </w:rPr>
      </w:pPr>
      <w:r w:rsidRPr="005B1FCE">
        <w:rPr>
          <w:szCs w:val="18"/>
        </w:rPr>
        <w:t xml:space="preserve">Landucci G., </w:t>
      </w:r>
      <w:proofErr w:type="spellStart"/>
      <w:r w:rsidRPr="005B1FCE">
        <w:rPr>
          <w:szCs w:val="18"/>
        </w:rPr>
        <w:t>Argenti</w:t>
      </w:r>
      <w:proofErr w:type="spellEnd"/>
      <w:r w:rsidRPr="005B1FCE">
        <w:rPr>
          <w:szCs w:val="18"/>
        </w:rPr>
        <w:t xml:space="preserve"> F., Spadoni G., Cozzani V., 2016, Domino effect frequency assessment: The role of safety barriers, Journal of Loss Prevention in the Process Industries, 44, 706-717.</w:t>
      </w:r>
    </w:p>
    <w:p w14:paraId="68101D69" w14:textId="3FC05E9A" w:rsidR="00022B01" w:rsidRPr="005B1FCE" w:rsidRDefault="00022B01" w:rsidP="00022B01">
      <w:pPr>
        <w:pStyle w:val="CETReferencetext"/>
      </w:pPr>
      <w:r w:rsidRPr="005B1FCE">
        <w:t xml:space="preserve">Landucci G., </w:t>
      </w:r>
      <w:proofErr w:type="spellStart"/>
      <w:r w:rsidRPr="005B1FCE">
        <w:t>Argenti</w:t>
      </w:r>
      <w:proofErr w:type="spellEnd"/>
      <w:r w:rsidRPr="005B1FCE">
        <w:t xml:space="preserve"> F., </w:t>
      </w:r>
      <w:proofErr w:type="spellStart"/>
      <w:r w:rsidRPr="005B1FCE">
        <w:t>Tugnoli</w:t>
      </w:r>
      <w:proofErr w:type="spellEnd"/>
      <w:r w:rsidRPr="005B1FCE">
        <w:t xml:space="preserve"> A., Cozzani V., 2015, Quantitative assessment of safety barrier performance in the prevention of domino scenarios triggered by fire, Reliability Engineering and System Safety, 143, 30-43.</w:t>
      </w:r>
    </w:p>
    <w:p w14:paraId="4D346B95" w14:textId="77777777" w:rsidR="003C56CB" w:rsidRPr="005B1FCE" w:rsidRDefault="003C56CB" w:rsidP="003C56CB">
      <w:pPr>
        <w:pStyle w:val="CETReferencetext"/>
      </w:pPr>
      <w:r w:rsidRPr="005B1FCE">
        <w:t xml:space="preserve">Landucci G., </w:t>
      </w:r>
      <w:proofErr w:type="spellStart"/>
      <w:r w:rsidRPr="005B1FCE">
        <w:t>Gubinelli</w:t>
      </w:r>
      <w:proofErr w:type="spellEnd"/>
      <w:r w:rsidRPr="005B1FCE">
        <w:t xml:space="preserve"> G., Antonioni G., Cozzani V., 2009, The assessment of the damage probability of storage tanks in domino events triggered by fire, Accident Analysis and Prevention, 41, 1206-1215.</w:t>
      </w:r>
    </w:p>
    <w:p w14:paraId="45E6FD4E" w14:textId="67FCED1E" w:rsidR="00452177" w:rsidRPr="005B1FCE" w:rsidRDefault="00452177" w:rsidP="001972CF">
      <w:pPr>
        <w:pStyle w:val="CETReferencetext"/>
        <w:rPr>
          <w:szCs w:val="18"/>
        </w:rPr>
      </w:pPr>
      <w:r w:rsidRPr="005B1FCE">
        <w:rPr>
          <w:szCs w:val="18"/>
        </w:rPr>
        <w:t xml:space="preserve">Landucci G., </w:t>
      </w:r>
      <w:proofErr w:type="spellStart"/>
      <w:r w:rsidRPr="005B1FCE">
        <w:rPr>
          <w:szCs w:val="18"/>
        </w:rPr>
        <w:t>Necci</w:t>
      </w:r>
      <w:proofErr w:type="spellEnd"/>
      <w:r w:rsidRPr="005B1FCE">
        <w:rPr>
          <w:szCs w:val="18"/>
        </w:rPr>
        <w:t xml:space="preserve"> A., Antonioni G., </w:t>
      </w:r>
      <w:proofErr w:type="spellStart"/>
      <w:r w:rsidRPr="005B1FCE">
        <w:rPr>
          <w:szCs w:val="18"/>
        </w:rPr>
        <w:t>Argenti</w:t>
      </w:r>
      <w:proofErr w:type="spellEnd"/>
      <w:r w:rsidRPr="005B1FCE">
        <w:rPr>
          <w:szCs w:val="18"/>
        </w:rPr>
        <w:t xml:space="preserve"> F., Cozzani V., 2017, Risk assessment of mitigated domino scenarios in process facilities, Reliability Engineering and System Safety, 160, 37-53.</w:t>
      </w:r>
    </w:p>
    <w:p w14:paraId="466E20FF" w14:textId="3EF530EB" w:rsidR="00C234E6" w:rsidRPr="005B1FCE" w:rsidRDefault="00C234E6" w:rsidP="001972CF">
      <w:pPr>
        <w:pStyle w:val="CETReferencetext"/>
        <w:rPr>
          <w:szCs w:val="18"/>
        </w:rPr>
      </w:pPr>
      <w:r w:rsidRPr="005B1FCE">
        <w:rPr>
          <w:szCs w:val="18"/>
        </w:rPr>
        <w:t>Mannan</w:t>
      </w:r>
      <w:r w:rsidR="00DB23BB" w:rsidRPr="005B1FCE">
        <w:rPr>
          <w:szCs w:val="18"/>
        </w:rPr>
        <w:t xml:space="preserve"> </w:t>
      </w:r>
      <w:r w:rsidRPr="005B1FCE">
        <w:rPr>
          <w:szCs w:val="18"/>
        </w:rPr>
        <w:t>S., 2005, Lee’s Loss Prevention in the Process Industries, 3</w:t>
      </w:r>
      <w:r w:rsidRPr="005B1FCE">
        <w:rPr>
          <w:szCs w:val="18"/>
          <w:vertAlign w:val="superscript"/>
        </w:rPr>
        <w:t>rd</w:t>
      </w:r>
      <w:r w:rsidRPr="005B1FCE">
        <w:rPr>
          <w:szCs w:val="18"/>
        </w:rPr>
        <w:t xml:space="preserve"> edition, Elsevier Butterworth-Heinemann, Oxford, UK.</w:t>
      </w:r>
    </w:p>
    <w:p w14:paraId="7732D58C" w14:textId="53D313E4" w:rsidR="00022B01" w:rsidRPr="005B1FCE" w:rsidRDefault="00022B01" w:rsidP="001972CF">
      <w:pPr>
        <w:pStyle w:val="CETReferencetext"/>
        <w:rPr>
          <w:szCs w:val="18"/>
        </w:rPr>
      </w:pPr>
      <w:proofErr w:type="spellStart"/>
      <w:r w:rsidRPr="005B1FCE">
        <w:rPr>
          <w:szCs w:val="18"/>
        </w:rPr>
        <w:t>Misuri</w:t>
      </w:r>
      <w:proofErr w:type="spellEnd"/>
      <w:r w:rsidRPr="005B1FCE">
        <w:rPr>
          <w:szCs w:val="18"/>
        </w:rPr>
        <w:t xml:space="preserve"> A., Casson Moreno V., </w:t>
      </w:r>
      <w:proofErr w:type="spellStart"/>
      <w:r w:rsidRPr="005B1FCE">
        <w:rPr>
          <w:szCs w:val="18"/>
        </w:rPr>
        <w:t>Quddus</w:t>
      </w:r>
      <w:proofErr w:type="spellEnd"/>
      <w:r w:rsidRPr="005B1FCE">
        <w:rPr>
          <w:szCs w:val="18"/>
        </w:rPr>
        <w:t xml:space="preserve"> N., Cozzani V., 2019</w:t>
      </w:r>
      <w:r w:rsidR="0049620D" w:rsidRPr="005B1FCE">
        <w:rPr>
          <w:szCs w:val="18"/>
        </w:rPr>
        <w:t>a</w:t>
      </w:r>
      <w:r w:rsidRPr="005B1FCE">
        <w:rPr>
          <w:szCs w:val="18"/>
        </w:rPr>
        <w:t>, Lessons learnt from the impact of hurricane Harvey on the chemical and process industry, Reliability Engineering and System Safety, 190, 106521.</w:t>
      </w:r>
    </w:p>
    <w:p w14:paraId="52000753" w14:textId="77777777" w:rsidR="003C56CB" w:rsidRPr="005B1FCE" w:rsidRDefault="003C56CB" w:rsidP="003C56CB">
      <w:pPr>
        <w:pStyle w:val="CETReferencetext"/>
      </w:pPr>
      <w:proofErr w:type="spellStart"/>
      <w:r w:rsidRPr="005B1FCE">
        <w:t>Misuri</w:t>
      </w:r>
      <w:proofErr w:type="spellEnd"/>
      <w:r w:rsidRPr="005B1FCE">
        <w:t xml:space="preserve"> A., Landucci G., Cozzani V., 2020, Assessment of safety barrier performance in </w:t>
      </w:r>
      <w:proofErr w:type="spellStart"/>
      <w:r w:rsidRPr="005B1FCE">
        <w:t>Natech</w:t>
      </w:r>
      <w:proofErr w:type="spellEnd"/>
      <w:r w:rsidRPr="005B1FCE">
        <w:t xml:space="preserve"> scenarios, Reliability Engineering and Systems Safety, 193, 106597.</w:t>
      </w:r>
    </w:p>
    <w:p w14:paraId="318238AB" w14:textId="29CC3CE7" w:rsidR="00022B01" w:rsidRPr="005B1FCE" w:rsidRDefault="00022B01" w:rsidP="00022B01">
      <w:pPr>
        <w:pStyle w:val="CETReferencetext"/>
        <w:rPr>
          <w:szCs w:val="18"/>
        </w:rPr>
      </w:pPr>
      <w:proofErr w:type="spellStart"/>
      <w:r w:rsidRPr="005B1FCE">
        <w:rPr>
          <w:szCs w:val="18"/>
        </w:rPr>
        <w:t>Misuri</w:t>
      </w:r>
      <w:proofErr w:type="spellEnd"/>
      <w:r w:rsidRPr="005B1FCE">
        <w:rPr>
          <w:szCs w:val="18"/>
        </w:rPr>
        <w:t xml:space="preserve"> A., Landucci G</w:t>
      </w:r>
      <w:r w:rsidR="0021637F" w:rsidRPr="005B1FCE">
        <w:rPr>
          <w:szCs w:val="18"/>
        </w:rPr>
        <w:t>.</w:t>
      </w:r>
      <w:r w:rsidRPr="005B1FCE">
        <w:rPr>
          <w:szCs w:val="18"/>
        </w:rPr>
        <w:t xml:space="preserve">, </w:t>
      </w:r>
      <w:proofErr w:type="spellStart"/>
      <w:r w:rsidRPr="005B1FCE">
        <w:rPr>
          <w:szCs w:val="18"/>
        </w:rPr>
        <w:t>Vivarelli</w:t>
      </w:r>
      <w:proofErr w:type="spellEnd"/>
      <w:r w:rsidRPr="005B1FCE">
        <w:rPr>
          <w:szCs w:val="18"/>
        </w:rPr>
        <w:t xml:space="preserve"> S., Bonvicini S., Cozzani V., 2019b, Risk-based Vulnerability Analysis of Chemical Facilities Affected by Flooding, Chemical Engineering Transactions, 77, 523-528.</w:t>
      </w:r>
    </w:p>
    <w:p w14:paraId="64E47B9A" w14:textId="0E6A88C4" w:rsidR="008117C4" w:rsidRPr="005B1FCE" w:rsidRDefault="008117C4" w:rsidP="00530FC2">
      <w:pPr>
        <w:pStyle w:val="CETReferencetext"/>
      </w:pPr>
      <w:proofErr w:type="spellStart"/>
      <w:r w:rsidRPr="005B1FCE">
        <w:t>Sklet</w:t>
      </w:r>
      <w:proofErr w:type="spellEnd"/>
      <w:r w:rsidRPr="005B1FCE">
        <w:t xml:space="preserve"> S., 2006, Safety barriers: definition, classification, and performance, Journal of Loss Prevention in the Process Industries, 19, 494-506.</w:t>
      </w:r>
    </w:p>
    <w:p w14:paraId="0B38789A" w14:textId="17F2EE98" w:rsidR="00530FC2" w:rsidRPr="005B1FCE" w:rsidRDefault="008117C4" w:rsidP="0074537C">
      <w:pPr>
        <w:pStyle w:val="CETReferencetext"/>
      </w:pPr>
      <w:r w:rsidRPr="005B1FCE">
        <w:t>PSA, 2013, Principles for barrier management in the petroleum industry, Petroleum Safety Authority, Stavanger, Norway.</w:t>
      </w:r>
    </w:p>
    <w:sectPr w:rsidR="00530FC2" w:rsidRPr="005B1FC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171B9" w14:textId="77777777" w:rsidR="00CA2D23" w:rsidRDefault="00CA2D23" w:rsidP="004F5E36">
      <w:r>
        <w:separator/>
      </w:r>
    </w:p>
  </w:endnote>
  <w:endnote w:type="continuationSeparator" w:id="0">
    <w:p w14:paraId="0EA0D8E1" w14:textId="77777777" w:rsidR="00CA2D23" w:rsidRDefault="00CA2D2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1DA55" w14:textId="77777777" w:rsidR="00CA2D23" w:rsidRDefault="00CA2D23" w:rsidP="004F5E36">
      <w:r>
        <w:separator/>
      </w:r>
    </w:p>
  </w:footnote>
  <w:footnote w:type="continuationSeparator" w:id="0">
    <w:p w14:paraId="4A207002" w14:textId="77777777" w:rsidR="00CA2D23" w:rsidRDefault="00CA2D23"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B069F0"/>
    <w:multiLevelType w:val="hybridMultilevel"/>
    <w:tmpl w:val="C27C9AA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976"/>
    <w:rsid w:val="000027C0"/>
    <w:rsid w:val="000052FB"/>
    <w:rsid w:val="000117CB"/>
    <w:rsid w:val="00022B01"/>
    <w:rsid w:val="00022DBE"/>
    <w:rsid w:val="0003148D"/>
    <w:rsid w:val="00033DBC"/>
    <w:rsid w:val="00042469"/>
    <w:rsid w:val="00051566"/>
    <w:rsid w:val="00053B1C"/>
    <w:rsid w:val="00062A9A"/>
    <w:rsid w:val="00065058"/>
    <w:rsid w:val="00072C6F"/>
    <w:rsid w:val="00086C39"/>
    <w:rsid w:val="000A03B2"/>
    <w:rsid w:val="000D0268"/>
    <w:rsid w:val="000D34BE"/>
    <w:rsid w:val="000E102F"/>
    <w:rsid w:val="000E2497"/>
    <w:rsid w:val="000E36F1"/>
    <w:rsid w:val="000E3A73"/>
    <w:rsid w:val="000E414A"/>
    <w:rsid w:val="000F093C"/>
    <w:rsid w:val="000F1718"/>
    <w:rsid w:val="000F787B"/>
    <w:rsid w:val="00102EC6"/>
    <w:rsid w:val="0011043B"/>
    <w:rsid w:val="001145C9"/>
    <w:rsid w:val="0012091F"/>
    <w:rsid w:val="00122803"/>
    <w:rsid w:val="00126BC2"/>
    <w:rsid w:val="001308B6"/>
    <w:rsid w:val="0013121F"/>
    <w:rsid w:val="001318BC"/>
    <w:rsid w:val="00131FE6"/>
    <w:rsid w:val="0013263F"/>
    <w:rsid w:val="00134DE4"/>
    <w:rsid w:val="0014034D"/>
    <w:rsid w:val="00150E59"/>
    <w:rsid w:val="00152DE3"/>
    <w:rsid w:val="00155ED8"/>
    <w:rsid w:val="00164CF9"/>
    <w:rsid w:val="001667A6"/>
    <w:rsid w:val="0017314C"/>
    <w:rsid w:val="0017481C"/>
    <w:rsid w:val="00184AD6"/>
    <w:rsid w:val="001972CF"/>
    <w:rsid w:val="001A4AF7"/>
    <w:rsid w:val="001B0349"/>
    <w:rsid w:val="001B0EC1"/>
    <w:rsid w:val="001B65C1"/>
    <w:rsid w:val="001C684B"/>
    <w:rsid w:val="001D1D77"/>
    <w:rsid w:val="001D53FC"/>
    <w:rsid w:val="001E6E89"/>
    <w:rsid w:val="001F42A5"/>
    <w:rsid w:val="001F5E5E"/>
    <w:rsid w:val="001F7B9D"/>
    <w:rsid w:val="00203F8F"/>
    <w:rsid w:val="00204727"/>
    <w:rsid w:val="0021637F"/>
    <w:rsid w:val="00217D39"/>
    <w:rsid w:val="002224B4"/>
    <w:rsid w:val="00240283"/>
    <w:rsid w:val="002447EF"/>
    <w:rsid w:val="00251550"/>
    <w:rsid w:val="00253909"/>
    <w:rsid w:val="00262D82"/>
    <w:rsid w:val="00263B05"/>
    <w:rsid w:val="00266635"/>
    <w:rsid w:val="0026770F"/>
    <w:rsid w:val="0027221A"/>
    <w:rsid w:val="00275B61"/>
    <w:rsid w:val="00282656"/>
    <w:rsid w:val="00287CB9"/>
    <w:rsid w:val="00296B83"/>
    <w:rsid w:val="002A0C6F"/>
    <w:rsid w:val="002A7D0F"/>
    <w:rsid w:val="002B78CE"/>
    <w:rsid w:val="002C2FB6"/>
    <w:rsid w:val="002D1884"/>
    <w:rsid w:val="002D52DC"/>
    <w:rsid w:val="002F3309"/>
    <w:rsid w:val="003009B7"/>
    <w:rsid w:val="00300E56"/>
    <w:rsid w:val="0030469C"/>
    <w:rsid w:val="00310A1B"/>
    <w:rsid w:val="00313068"/>
    <w:rsid w:val="003167E7"/>
    <w:rsid w:val="00321CA6"/>
    <w:rsid w:val="00334C09"/>
    <w:rsid w:val="00351FC5"/>
    <w:rsid w:val="00353327"/>
    <w:rsid w:val="00355259"/>
    <w:rsid w:val="00356EEE"/>
    <w:rsid w:val="003723D4"/>
    <w:rsid w:val="00381905"/>
    <w:rsid w:val="00384CC8"/>
    <w:rsid w:val="003864F8"/>
    <w:rsid w:val="003871FD"/>
    <w:rsid w:val="00390D52"/>
    <w:rsid w:val="003A1E30"/>
    <w:rsid w:val="003A6055"/>
    <w:rsid w:val="003A7D1C"/>
    <w:rsid w:val="003B304B"/>
    <w:rsid w:val="003B3146"/>
    <w:rsid w:val="003C56CB"/>
    <w:rsid w:val="003D1A3D"/>
    <w:rsid w:val="003D5564"/>
    <w:rsid w:val="003E5310"/>
    <w:rsid w:val="003F015E"/>
    <w:rsid w:val="00400414"/>
    <w:rsid w:val="0041446B"/>
    <w:rsid w:val="00425CB4"/>
    <w:rsid w:val="004339A5"/>
    <w:rsid w:val="0044329C"/>
    <w:rsid w:val="00452177"/>
    <w:rsid w:val="004577FE"/>
    <w:rsid w:val="00457B9C"/>
    <w:rsid w:val="0046164A"/>
    <w:rsid w:val="004628D2"/>
    <w:rsid w:val="00462DCD"/>
    <w:rsid w:val="004648AD"/>
    <w:rsid w:val="004703A9"/>
    <w:rsid w:val="004760DE"/>
    <w:rsid w:val="004763D7"/>
    <w:rsid w:val="0049620D"/>
    <w:rsid w:val="004A004E"/>
    <w:rsid w:val="004A24CF"/>
    <w:rsid w:val="004A779F"/>
    <w:rsid w:val="004C2755"/>
    <w:rsid w:val="004C3D1D"/>
    <w:rsid w:val="004C7913"/>
    <w:rsid w:val="004E280B"/>
    <w:rsid w:val="004E4DD6"/>
    <w:rsid w:val="004F5E36"/>
    <w:rsid w:val="004F6A94"/>
    <w:rsid w:val="0050087A"/>
    <w:rsid w:val="00507B47"/>
    <w:rsid w:val="00507BEF"/>
    <w:rsid w:val="00507CC9"/>
    <w:rsid w:val="005115C2"/>
    <w:rsid w:val="005119A5"/>
    <w:rsid w:val="00520151"/>
    <w:rsid w:val="005278B7"/>
    <w:rsid w:val="00530FC2"/>
    <w:rsid w:val="00532016"/>
    <w:rsid w:val="005346C8"/>
    <w:rsid w:val="00543E7D"/>
    <w:rsid w:val="00547A68"/>
    <w:rsid w:val="005531C9"/>
    <w:rsid w:val="00570C43"/>
    <w:rsid w:val="00584299"/>
    <w:rsid w:val="00595E5C"/>
    <w:rsid w:val="0059660D"/>
    <w:rsid w:val="005A1A60"/>
    <w:rsid w:val="005B1FCE"/>
    <w:rsid w:val="005B2110"/>
    <w:rsid w:val="005B61E6"/>
    <w:rsid w:val="005C77E1"/>
    <w:rsid w:val="005D1764"/>
    <w:rsid w:val="005D25EF"/>
    <w:rsid w:val="005D6A2F"/>
    <w:rsid w:val="005E1A82"/>
    <w:rsid w:val="005E794C"/>
    <w:rsid w:val="005F0A28"/>
    <w:rsid w:val="005F0E5E"/>
    <w:rsid w:val="005F2121"/>
    <w:rsid w:val="00600535"/>
    <w:rsid w:val="00610CD6"/>
    <w:rsid w:val="00613A51"/>
    <w:rsid w:val="00620C51"/>
    <w:rsid w:val="00620DEE"/>
    <w:rsid w:val="00621F92"/>
    <w:rsid w:val="00622018"/>
    <w:rsid w:val="0062280A"/>
    <w:rsid w:val="00624027"/>
    <w:rsid w:val="00625639"/>
    <w:rsid w:val="00631B33"/>
    <w:rsid w:val="0064184D"/>
    <w:rsid w:val="006422CC"/>
    <w:rsid w:val="00642C58"/>
    <w:rsid w:val="00656830"/>
    <w:rsid w:val="00660E3E"/>
    <w:rsid w:val="006610CC"/>
    <w:rsid w:val="00662E74"/>
    <w:rsid w:val="006645E3"/>
    <w:rsid w:val="0066543D"/>
    <w:rsid w:val="006807B3"/>
    <w:rsid w:val="00680C23"/>
    <w:rsid w:val="00692864"/>
    <w:rsid w:val="00693766"/>
    <w:rsid w:val="00697467"/>
    <w:rsid w:val="006A3281"/>
    <w:rsid w:val="006B197C"/>
    <w:rsid w:val="006B4888"/>
    <w:rsid w:val="006C2E45"/>
    <w:rsid w:val="006C359C"/>
    <w:rsid w:val="006C5579"/>
    <w:rsid w:val="006E2187"/>
    <w:rsid w:val="006E6B58"/>
    <w:rsid w:val="006E737D"/>
    <w:rsid w:val="006F2E2B"/>
    <w:rsid w:val="006F69BB"/>
    <w:rsid w:val="00705D81"/>
    <w:rsid w:val="00720A24"/>
    <w:rsid w:val="00727CC7"/>
    <w:rsid w:val="00732386"/>
    <w:rsid w:val="0073514D"/>
    <w:rsid w:val="00742308"/>
    <w:rsid w:val="00743681"/>
    <w:rsid w:val="007447F3"/>
    <w:rsid w:val="0074537C"/>
    <w:rsid w:val="00750FE9"/>
    <w:rsid w:val="0075499F"/>
    <w:rsid w:val="00763612"/>
    <w:rsid w:val="007637DC"/>
    <w:rsid w:val="00765BB7"/>
    <w:rsid w:val="007661C8"/>
    <w:rsid w:val="0077098D"/>
    <w:rsid w:val="00791A9E"/>
    <w:rsid w:val="007931FA"/>
    <w:rsid w:val="007A4861"/>
    <w:rsid w:val="007A6B5D"/>
    <w:rsid w:val="007A7BBA"/>
    <w:rsid w:val="007B0C50"/>
    <w:rsid w:val="007B29EB"/>
    <w:rsid w:val="007C1A43"/>
    <w:rsid w:val="007D1584"/>
    <w:rsid w:val="007D70D3"/>
    <w:rsid w:val="0080013E"/>
    <w:rsid w:val="00810CD3"/>
    <w:rsid w:val="008117C4"/>
    <w:rsid w:val="00813288"/>
    <w:rsid w:val="008168FC"/>
    <w:rsid w:val="00825F33"/>
    <w:rsid w:val="00830996"/>
    <w:rsid w:val="00832853"/>
    <w:rsid w:val="008345F1"/>
    <w:rsid w:val="008478C0"/>
    <w:rsid w:val="00852806"/>
    <w:rsid w:val="00862F2F"/>
    <w:rsid w:val="00865B07"/>
    <w:rsid w:val="008667EA"/>
    <w:rsid w:val="00866966"/>
    <w:rsid w:val="00870669"/>
    <w:rsid w:val="0087637F"/>
    <w:rsid w:val="00892AD5"/>
    <w:rsid w:val="008A1512"/>
    <w:rsid w:val="008A3C9A"/>
    <w:rsid w:val="008A61D4"/>
    <w:rsid w:val="008B32D8"/>
    <w:rsid w:val="008B57ED"/>
    <w:rsid w:val="008B7C16"/>
    <w:rsid w:val="008C31E7"/>
    <w:rsid w:val="008D32B9"/>
    <w:rsid w:val="008D433B"/>
    <w:rsid w:val="008E566E"/>
    <w:rsid w:val="008F2D16"/>
    <w:rsid w:val="008F7198"/>
    <w:rsid w:val="0090161A"/>
    <w:rsid w:val="00901EB6"/>
    <w:rsid w:val="00904C62"/>
    <w:rsid w:val="00910E6D"/>
    <w:rsid w:val="00922BA8"/>
    <w:rsid w:val="00924DAC"/>
    <w:rsid w:val="00927058"/>
    <w:rsid w:val="00942750"/>
    <w:rsid w:val="009450CE"/>
    <w:rsid w:val="00947179"/>
    <w:rsid w:val="0095164B"/>
    <w:rsid w:val="00954090"/>
    <w:rsid w:val="009551DE"/>
    <w:rsid w:val="009573E7"/>
    <w:rsid w:val="00963E05"/>
    <w:rsid w:val="00967D54"/>
    <w:rsid w:val="00971028"/>
    <w:rsid w:val="009832AE"/>
    <w:rsid w:val="00983F95"/>
    <w:rsid w:val="00996483"/>
    <w:rsid w:val="00996F5A"/>
    <w:rsid w:val="009A4E17"/>
    <w:rsid w:val="009B041A"/>
    <w:rsid w:val="009B0949"/>
    <w:rsid w:val="009B671E"/>
    <w:rsid w:val="009B77FA"/>
    <w:rsid w:val="009C37C3"/>
    <w:rsid w:val="009C7C86"/>
    <w:rsid w:val="009D0C78"/>
    <w:rsid w:val="009D2E5D"/>
    <w:rsid w:val="009D2FF7"/>
    <w:rsid w:val="009E7884"/>
    <w:rsid w:val="009E788A"/>
    <w:rsid w:val="009F0E08"/>
    <w:rsid w:val="009F4B2C"/>
    <w:rsid w:val="00A027FC"/>
    <w:rsid w:val="00A1008E"/>
    <w:rsid w:val="00A1186F"/>
    <w:rsid w:val="00A15736"/>
    <w:rsid w:val="00A1763D"/>
    <w:rsid w:val="00A17CEC"/>
    <w:rsid w:val="00A27EF0"/>
    <w:rsid w:val="00A50B20"/>
    <w:rsid w:val="00A51390"/>
    <w:rsid w:val="00A60D13"/>
    <w:rsid w:val="00A63910"/>
    <w:rsid w:val="00A70940"/>
    <w:rsid w:val="00A7098B"/>
    <w:rsid w:val="00A72745"/>
    <w:rsid w:val="00A76EFC"/>
    <w:rsid w:val="00A84CF7"/>
    <w:rsid w:val="00A8695B"/>
    <w:rsid w:val="00A91010"/>
    <w:rsid w:val="00A97F29"/>
    <w:rsid w:val="00AA702E"/>
    <w:rsid w:val="00AB0964"/>
    <w:rsid w:val="00AB5011"/>
    <w:rsid w:val="00AC7368"/>
    <w:rsid w:val="00AD16B9"/>
    <w:rsid w:val="00AD4BD8"/>
    <w:rsid w:val="00AD4C96"/>
    <w:rsid w:val="00AE377D"/>
    <w:rsid w:val="00B02C8A"/>
    <w:rsid w:val="00B0448C"/>
    <w:rsid w:val="00B17FBD"/>
    <w:rsid w:val="00B21946"/>
    <w:rsid w:val="00B27DEB"/>
    <w:rsid w:val="00B315A6"/>
    <w:rsid w:val="00B31813"/>
    <w:rsid w:val="00B33365"/>
    <w:rsid w:val="00B57B36"/>
    <w:rsid w:val="00B64EE3"/>
    <w:rsid w:val="00B8686D"/>
    <w:rsid w:val="00B869B2"/>
    <w:rsid w:val="00B95C1C"/>
    <w:rsid w:val="00BA3067"/>
    <w:rsid w:val="00BB1DDC"/>
    <w:rsid w:val="00BB4AB0"/>
    <w:rsid w:val="00BC30C9"/>
    <w:rsid w:val="00BC62EF"/>
    <w:rsid w:val="00BC7C2D"/>
    <w:rsid w:val="00BD0181"/>
    <w:rsid w:val="00BD4E24"/>
    <w:rsid w:val="00BD5C82"/>
    <w:rsid w:val="00BE05B7"/>
    <w:rsid w:val="00BE3E58"/>
    <w:rsid w:val="00BF14A1"/>
    <w:rsid w:val="00BF1A0F"/>
    <w:rsid w:val="00C01616"/>
    <w:rsid w:val="00C0162B"/>
    <w:rsid w:val="00C068ED"/>
    <w:rsid w:val="00C07060"/>
    <w:rsid w:val="00C234E6"/>
    <w:rsid w:val="00C345B1"/>
    <w:rsid w:val="00C40142"/>
    <w:rsid w:val="00C5318E"/>
    <w:rsid w:val="00C57182"/>
    <w:rsid w:val="00C57863"/>
    <w:rsid w:val="00C655FD"/>
    <w:rsid w:val="00C75407"/>
    <w:rsid w:val="00C85F8B"/>
    <w:rsid w:val="00C870A8"/>
    <w:rsid w:val="00C90DAE"/>
    <w:rsid w:val="00C94434"/>
    <w:rsid w:val="00CA0D75"/>
    <w:rsid w:val="00CA1C95"/>
    <w:rsid w:val="00CA2D23"/>
    <w:rsid w:val="00CA5A9C"/>
    <w:rsid w:val="00CC4C20"/>
    <w:rsid w:val="00CC4F8A"/>
    <w:rsid w:val="00CD3517"/>
    <w:rsid w:val="00CD5FE2"/>
    <w:rsid w:val="00CE7C68"/>
    <w:rsid w:val="00D010D1"/>
    <w:rsid w:val="00D02B4C"/>
    <w:rsid w:val="00D040C4"/>
    <w:rsid w:val="00D149E3"/>
    <w:rsid w:val="00D55247"/>
    <w:rsid w:val="00D57C84"/>
    <w:rsid w:val="00D6057D"/>
    <w:rsid w:val="00D836C5"/>
    <w:rsid w:val="00D84576"/>
    <w:rsid w:val="00D87532"/>
    <w:rsid w:val="00D92E5D"/>
    <w:rsid w:val="00D92EAF"/>
    <w:rsid w:val="00DA1399"/>
    <w:rsid w:val="00DA24C6"/>
    <w:rsid w:val="00DA4D7B"/>
    <w:rsid w:val="00DA64AF"/>
    <w:rsid w:val="00DB23BB"/>
    <w:rsid w:val="00DB2979"/>
    <w:rsid w:val="00DC38BB"/>
    <w:rsid w:val="00DE0683"/>
    <w:rsid w:val="00DE25A5"/>
    <w:rsid w:val="00DE264A"/>
    <w:rsid w:val="00DE3519"/>
    <w:rsid w:val="00DF5072"/>
    <w:rsid w:val="00DF7E22"/>
    <w:rsid w:val="00E02D18"/>
    <w:rsid w:val="00E041E7"/>
    <w:rsid w:val="00E110CB"/>
    <w:rsid w:val="00E2262A"/>
    <w:rsid w:val="00E23CA1"/>
    <w:rsid w:val="00E409A8"/>
    <w:rsid w:val="00E41125"/>
    <w:rsid w:val="00E50C12"/>
    <w:rsid w:val="00E65B91"/>
    <w:rsid w:val="00E6675F"/>
    <w:rsid w:val="00E7209D"/>
    <w:rsid w:val="00E7581D"/>
    <w:rsid w:val="00E77223"/>
    <w:rsid w:val="00E84D63"/>
    <w:rsid w:val="00E8528B"/>
    <w:rsid w:val="00E85B94"/>
    <w:rsid w:val="00E978D0"/>
    <w:rsid w:val="00EA4613"/>
    <w:rsid w:val="00EA7F91"/>
    <w:rsid w:val="00EB1523"/>
    <w:rsid w:val="00EC0E49"/>
    <w:rsid w:val="00EC101F"/>
    <w:rsid w:val="00ED4C07"/>
    <w:rsid w:val="00EE0131"/>
    <w:rsid w:val="00EE0223"/>
    <w:rsid w:val="00EE17B0"/>
    <w:rsid w:val="00EE31DD"/>
    <w:rsid w:val="00EF06D9"/>
    <w:rsid w:val="00F30C64"/>
    <w:rsid w:val="00F32CDB"/>
    <w:rsid w:val="00F557C2"/>
    <w:rsid w:val="00F601FD"/>
    <w:rsid w:val="00F63A70"/>
    <w:rsid w:val="00F874D2"/>
    <w:rsid w:val="00FA21D0"/>
    <w:rsid w:val="00FA5F5F"/>
    <w:rsid w:val="00FB730C"/>
    <w:rsid w:val="00FC2695"/>
    <w:rsid w:val="00FC318A"/>
    <w:rsid w:val="00FC3E03"/>
    <w:rsid w:val="00FC3FC1"/>
    <w:rsid w:val="00FD4D11"/>
    <w:rsid w:val="00FF56DF"/>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544032">
      <w:bodyDiv w:val="1"/>
      <w:marLeft w:val="0"/>
      <w:marRight w:val="0"/>
      <w:marTop w:val="0"/>
      <w:marBottom w:val="0"/>
      <w:divBdr>
        <w:top w:val="none" w:sz="0" w:space="0" w:color="auto"/>
        <w:left w:val="none" w:sz="0" w:space="0" w:color="auto"/>
        <w:bottom w:val="none" w:sz="0" w:space="0" w:color="auto"/>
        <w:right w:val="none" w:sz="0" w:space="0" w:color="auto"/>
      </w:divBdr>
      <w:divsChild>
        <w:div w:id="616790012">
          <w:marLeft w:val="0"/>
          <w:marRight w:val="0"/>
          <w:marTop w:val="0"/>
          <w:marBottom w:val="0"/>
          <w:divBdr>
            <w:top w:val="none" w:sz="0" w:space="0" w:color="auto"/>
            <w:left w:val="none" w:sz="0" w:space="0" w:color="auto"/>
            <w:bottom w:val="none" w:sz="0" w:space="0" w:color="auto"/>
            <w:right w:val="none" w:sz="0" w:space="0" w:color="auto"/>
          </w:divBdr>
          <w:divsChild>
            <w:div w:id="1197160384">
              <w:marLeft w:val="0"/>
              <w:marRight w:val="0"/>
              <w:marTop w:val="0"/>
              <w:marBottom w:val="0"/>
              <w:divBdr>
                <w:top w:val="none" w:sz="0" w:space="0" w:color="auto"/>
                <w:left w:val="none" w:sz="0" w:space="0" w:color="auto"/>
                <w:bottom w:val="none" w:sz="0" w:space="0" w:color="auto"/>
                <w:right w:val="none" w:sz="0" w:space="0" w:color="auto"/>
              </w:divBdr>
              <w:divsChild>
                <w:div w:id="20683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5174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8872">
      <w:bodyDiv w:val="1"/>
      <w:marLeft w:val="0"/>
      <w:marRight w:val="0"/>
      <w:marTop w:val="0"/>
      <w:marBottom w:val="0"/>
      <w:divBdr>
        <w:top w:val="none" w:sz="0" w:space="0" w:color="auto"/>
        <w:left w:val="none" w:sz="0" w:space="0" w:color="auto"/>
        <w:bottom w:val="none" w:sz="0" w:space="0" w:color="auto"/>
        <w:right w:val="none" w:sz="0" w:space="0" w:color="auto"/>
      </w:divBdr>
      <w:divsChild>
        <w:div w:id="1406105632">
          <w:marLeft w:val="0"/>
          <w:marRight w:val="0"/>
          <w:marTop w:val="0"/>
          <w:marBottom w:val="0"/>
          <w:divBdr>
            <w:top w:val="none" w:sz="0" w:space="0" w:color="auto"/>
            <w:left w:val="none" w:sz="0" w:space="0" w:color="auto"/>
            <w:bottom w:val="none" w:sz="0" w:space="0" w:color="auto"/>
            <w:right w:val="none" w:sz="0" w:space="0" w:color="auto"/>
          </w:divBdr>
          <w:divsChild>
            <w:div w:id="1880505320">
              <w:marLeft w:val="0"/>
              <w:marRight w:val="0"/>
              <w:marTop w:val="0"/>
              <w:marBottom w:val="0"/>
              <w:divBdr>
                <w:top w:val="none" w:sz="0" w:space="0" w:color="auto"/>
                <w:left w:val="none" w:sz="0" w:space="0" w:color="auto"/>
                <w:bottom w:val="none" w:sz="0" w:space="0" w:color="auto"/>
                <w:right w:val="none" w:sz="0" w:space="0" w:color="auto"/>
              </w:divBdr>
            </w:div>
          </w:divsChild>
        </w:div>
        <w:div w:id="1718625392">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7298B034BCB49BEAF9F865A07DDCA" ma:contentTypeVersion="13" ma:contentTypeDescription="Create a new document." ma:contentTypeScope="" ma:versionID="1b81515ea35dd2257ceaa030c0f89d2d">
  <xsd:schema xmlns:xsd="http://www.w3.org/2001/XMLSchema" xmlns:xs="http://www.w3.org/2001/XMLSchema" xmlns:p="http://schemas.microsoft.com/office/2006/metadata/properties" xmlns:ns3="7cbca779-064b-40bb-8607-bec49cccf7f7" xmlns:ns4="a9beaaf1-936e-47e7-b574-6b1a0818d28e" targetNamespace="http://schemas.microsoft.com/office/2006/metadata/properties" ma:root="true" ma:fieldsID="3afc99229d8a4ed142d93809750a5689" ns3:_="" ns4:_="">
    <xsd:import namespace="7cbca779-064b-40bb-8607-bec49cccf7f7"/>
    <xsd:import namespace="a9beaaf1-936e-47e7-b574-6b1a0818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ca779-064b-40bb-8607-bec49ccc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eaaf1-936e-47e7-b574-6b1a0818d2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ED8D-7EAF-4451-8F2B-AC23103A397F}">
  <ds:schemaRefs>
    <ds:schemaRef ds:uri="http://schemas.microsoft.com/sharepoint/v3/contenttype/forms"/>
  </ds:schemaRefs>
</ds:datastoreItem>
</file>

<file path=customXml/itemProps2.xml><?xml version="1.0" encoding="utf-8"?>
<ds:datastoreItem xmlns:ds="http://schemas.openxmlformats.org/officeDocument/2006/customXml" ds:itemID="{739CAB14-1568-4B0E-9C67-D6CF9BD5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ca779-064b-40bb-8607-bec49cccf7f7"/>
    <ds:schemaRef ds:uri="a9beaaf1-936e-47e7-b574-6b1a0818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B41D8-C42A-4709-A6F2-BF3296D03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71C46E-CE53-46D4-B5C0-57381863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3002</Words>
  <Characters>17113</Characters>
  <Application>Microsoft Office Word</Application>
  <DocSecurity>0</DocSecurity>
  <Lines>142</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7</cp:revision>
  <cp:lastPrinted>2015-05-12T18:31:00Z</cp:lastPrinted>
  <dcterms:created xsi:type="dcterms:W3CDTF">2020-07-06T09:47:00Z</dcterms:created>
  <dcterms:modified xsi:type="dcterms:W3CDTF">2020-08-31T10:21:00Z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0x0101000377298B034BCB49BEAF9F865A07DDCA</vt:lpwstr>
  </property>
</Properties>
</file>